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3F0B" w:rsidRDefault="003B7091" w:rsidP="00FA5866">
      <w:pPr>
        <w:spacing w:after="0" w:line="240" w:lineRule="auto"/>
        <w:jc w:val="center"/>
        <w:rPr>
          <w:b/>
        </w:rPr>
      </w:pPr>
      <w:r w:rsidRPr="004A29DC">
        <w:rPr>
          <w:b/>
        </w:rPr>
        <w:t xml:space="preserve">ESTUDO DE EVENTOS </w:t>
      </w:r>
      <w:r w:rsidR="00984767">
        <w:rPr>
          <w:b/>
        </w:rPr>
        <w:t xml:space="preserve">E ANÁLISE DA RENTABILIDADE </w:t>
      </w:r>
      <w:r w:rsidR="00984767" w:rsidRPr="00984767">
        <w:rPr>
          <w:b/>
          <w:i/>
        </w:rPr>
        <w:t>EX POST</w:t>
      </w:r>
      <w:r w:rsidR="00B90CCB">
        <w:rPr>
          <w:b/>
          <w:i/>
        </w:rPr>
        <w:t xml:space="preserve"> </w:t>
      </w:r>
      <w:r w:rsidRPr="004A29DC">
        <w:rPr>
          <w:b/>
        </w:rPr>
        <w:t>COMO METODOLOGIA DE ANÁL</w:t>
      </w:r>
      <w:r w:rsidR="00EF3369">
        <w:rPr>
          <w:b/>
        </w:rPr>
        <w:t>ISE DE FUSÕES: O CASO BRASILEIRO</w:t>
      </w:r>
    </w:p>
    <w:p w:rsidR="00FF71D1" w:rsidRDefault="00FF71D1" w:rsidP="00FA5866">
      <w:pPr>
        <w:spacing w:after="0" w:line="240" w:lineRule="auto"/>
        <w:jc w:val="center"/>
        <w:rPr>
          <w:b/>
        </w:rPr>
      </w:pPr>
    </w:p>
    <w:p w:rsidR="00FF71D1" w:rsidRDefault="00FF71D1" w:rsidP="00FF71D1">
      <w:pPr>
        <w:spacing w:after="0" w:line="240" w:lineRule="auto"/>
        <w:jc w:val="left"/>
        <w:rPr>
          <w:b/>
        </w:rPr>
      </w:pPr>
      <w:r>
        <w:rPr>
          <w:b/>
        </w:rPr>
        <w:t>AUTORES:</w:t>
      </w:r>
    </w:p>
    <w:p w:rsidR="00FF71D1" w:rsidRDefault="00FF71D1" w:rsidP="00FF71D1">
      <w:pPr>
        <w:spacing w:after="0" w:line="240" w:lineRule="auto"/>
        <w:jc w:val="left"/>
      </w:pPr>
      <w:r w:rsidRPr="00FF71D1">
        <w:t xml:space="preserve">Gabriel </w:t>
      </w:r>
      <w:proofErr w:type="spellStart"/>
      <w:r w:rsidR="001A0F8E">
        <w:t>Gouvea</w:t>
      </w:r>
      <w:proofErr w:type="spellEnd"/>
      <w:r w:rsidR="001A0F8E">
        <w:t xml:space="preserve"> </w:t>
      </w:r>
      <w:r w:rsidRPr="00FF71D1">
        <w:t>Ra</w:t>
      </w:r>
      <w:bookmarkStart w:id="0" w:name="_GoBack"/>
      <w:bookmarkEnd w:id="0"/>
      <w:r w:rsidRPr="00FF71D1">
        <w:t>bello</w:t>
      </w:r>
      <w:r>
        <w:t xml:space="preserve"> – Mestre em Economia Aplicada pela UFJF</w:t>
      </w:r>
    </w:p>
    <w:p w:rsidR="00FF71D1" w:rsidRDefault="00FF71D1" w:rsidP="00FF71D1">
      <w:pPr>
        <w:spacing w:after="0" w:line="240" w:lineRule="auto"/>
        <w:jc w:val="left"/>
      </w:pPr>
    </w:p>
    <w:p w:rsidR="00FF71D1" w:rsidRDefault="00FF71D1" w:rsidP="00FF71D1">
      <w:pPr>
        <w:spacing w:after="0" w:line="240" w:lineRule="auto"/>
        <w:jc w:val="left"/>
      </w:pPr>
      <w:r>
        <w:t xml:space="preserve">Fernanda </w:t>
      </w:r>
      <w:proofErr w:type="spellStart"/>
      <w:r>
        <w:t>Finotti</w:t>
      </w:r>
      <w:proofErr w:type="spellEnd"/>
      <w:r>
        <w:t xml:space="preserve"> Cordeiro </w:t>
      </w:r>
      <w:proofErr w:type="spellStart"/>
      <w:r>
        <w:t>Perobelli</w:t>
      </w:r>
      <w:proofErr w:type="spellEnd"/>
      <w:r>
        <w:t xml:space="preserve"> – Professora Associada da Faculdade de Economia e do </w:t>
      </w:r>
      <w:r>
        <w:tab/>
        <w:t>Programa de Pós-graduação em Economia Aplicada da UFJF</w:t>
      </w:r>
    </w:p>
    <w:p w:rsidR="00FF71D1" w:rsidRDefault="00FF71D1" w:rsidP="00FF71D1">
      <w:pPr>
        <w:spacing w:after="0" w:line="240" w:lineRule="auto"/>
        <w:jc w:val="left"/>
      </w:pPr>
    </w:p>
    <w:p w:rsidR="00FF71D1" w:rsidRPr="00FF71D1" w:rsidRDefault="00FF71D1" w:rsidP="00FF71D1">
      <w:pPr>
        <w:spacing w:after="0" w:line="240" w:lineRule="auto"/>
        <w:jc w:val="left"/>
      </w:pPr>
      <w:r>
        <w:t xml:space="preserve">Silvinha Pinto Vasconcelos – Professora Associada da Faculdade de Economia e do Programa de </w:t>
      </w:r>
      <w:r>
        <w:tab/>
        <w:t xml:space="preserve">Pós-graduação em Economia Aplicada da UFJF </w:t>
      </w:r>
    </w:p>
    <w:p w:rsidR="00FF71D1" w:rsidRDefault="00FF71D1" w:rsidP="00FA5866">
      <w:pPr>
        <w:spacing w:after="0" w:line="240" w:lineRule="auto"/>
        <w:rPr>
          <w:b/>
        </w:rPr>
      </w:pPr>
    </w:p>
    <w:p w:rsidR="00F93F0B" w:rsidRPr="00D24BB3" w:rsidRDefault="00F93F0B" w:rsidP="00FA5866">
      <w:pPr>
        <w:spacing w:after="0" w:line="240" w:lineRule="auto"/>
        <w:rPr>
          <w:b/>
        </w:rPr>
      </w:pPr>
      <w:r w:rsidRPr="00D24BB3">
        <w:rPr>
          <w:b/>
        </w:rPr>
        <w:t>RESUMO</w:t>
      </w:r>
    </w:p>
    <w:p w:rsidR="00FA5866" w:rsidRDefault="00463659" w:rsidP="00FA5866">
      <w:pPr>
        <w:spacing w:after="0" w:line="240" w:lineRule="auto"/>
        <w:rPr>
          <w:rFonts w:eastAsia="GungsuhChe"/>
        </w:rPr>
      </w:pPr>
      <w:r>
        <w:t>O objetivo deste artigo</w:t>
      </w:r>
      <w:r w:rsidR="00F93F0B" w:rsidRPr="00BD249E">
        <w:t xml:space="preserve"> </w:t>
      </w:r>
      <w:r w:rsidR="004203FE">
        <w:t>é</w:t>
      </w:r>
      <w:r w:rsidR="00303624">
        <w:t xml:space="preserve"> </w:t>
      </w:r>
      <w:r w:rsidR="00A2385D">
        <w:t>estimar os potenciais efeitos competitivos sobre</w:t>
      </w:r>
      <w:r w:rsidR="004203FE">
        <w:t xml:space="preserve"> o mercado relevante das principais fusões</w:t>
      </w:r>
      <w:r w:rsidR="00303624">
        <w:t xml:space="preserve"> </w:t>
      </w:r>
      <w:r w:rsidR="004203FE">
        <w:t xml:space="preserve">ocorridas </w:t>
      </w:r>
      <w:r w:rsidR="00D66F89">
        <w:t xml:space="preserve">no Brasil </w:t>
      </w:r>
      <w:r w:rsidR="00033C2A">
        <w:t>após o Plano Real</w:t>
      </w:r>
      <w:r w:rsidR="004203FE">
        <w:t>, avaliando a eficácia da</w:t>
      </w:r>
      <w:r w:rsidR="00D66F89">
        <w:t xml:space="preserve"> metodologia de estimação </w:t>
      </w:r>
      <w:r w:rsidR="00D66F89" w:rsidRPr="00D66F89">
        <w:rPr>
          <w:i/>
        </w:rPr>
        <w:t>ex</w:t>
      </w:r>
      <w:r w:rsidR="00303624">
        <w:rPr>
          <w:i/>
        </w:rPr>
        <w:t xml:space="preserve"> </w:t>
      </w:r>
      <w:r w:rsidR="00D66F89" w:rsidRPr="00D66F89">
        <w:rPr>
          <w:i/>
        </w:rPr>
        <w:t>ante</w:t>
      </w:r>
      <w:r w:rsidR="00303624">
        <w:rPr>
          <w:i/>
        </w:rPr>
        <w:t xml:space="preserve"> </w:t>
      </w:r>
      <w:r w:rsidR="004203FE">
        <w:t xml:space="preserve">de efeitos efetivamente observados na rentabilidade das firmas </w:t>
      </w:r>
      <w:r w:rsidR="00642944">
        <w:t>fusionadas</w:t>
      </w:r>
      <w:r w:rsidR="004203FE">
        <w:t xml:space="preserve"> e rivais </w:t>
      </w:r>
      <w:r w:rsidR="004203FE" w:rsidRPr="004203FE">
        <w:rPr>
          <w:i/>
        </w:rPr>
        <w:t xml:space="preserve">ex </w:t>
      </w:r>
      <w:proofErr w:type="spellStart"/>
      <w:r w:rsidR="004203FE" w:rsidRPr="004203FE">
        <w:rPr>
          <w:i/>
        </w:rPr>
        <w:t>post</w:t>
      </w:r>
      <w:proofErr w:type="spellEnd"/>
      <w:r w:rsidR="00D66F89">
        <w:t xml:space="preserve">. Segundo </w:t>
      </w:r>
      <w:r w:rsidR="004203FE">
        <w:t>a</w:t>
      </w:r>
      <w:r w:rsidR="00D66F89">
        <w:t xml:space="preserve"> análise de modelo teórico pr</w:t>
      </w:r>
      <w:r w:rsidR="00014657">
        <w:t>oposto por Motta (2004</w:t>
      </w:r>
      <w:r w:rsidR="00D66F89">
        <w:t>)</w:t>
      </w:r>
      <w:r w:rsidR="004203FE">
        <w:t>,</w:t>
      </w:r>
      <w:r w:rsidR="00303624">
        <w:t xml:space="preserve"> </w:t>
      </w:r>
      <w:r w:rsidR="004203FE">
        <w:t xml:space="preserve">é possível </w:t>
      </w:r>
      <w:r w:rsidR="00D66F89">
        <w:t xml:space="preserve">utilizar o resultado das firmas rivais </w:t>
      </w:r>
      <w:r w:rsidR="0040068F">
        <w:t xml:space="preserve">no mercado em que ocorreu </w:t>
      </w:r>
      <w:r w:rsidR="004203FE">
        <w:t>a</w:t>
      </w:r>
      <w:r w:rsidR="00D66F89">
        <w:t xml:space="preserve"> fus</w:t>
      </w:r>
      <w:r w:rsidR="0040068F">
        <w:t>ão</w:t>
      </w:r>
      <w:r w:rsidR="00D66F89">
        <w:t xml:space="preserve"> como indicador da presença </w:t>
      </w:r>
      <w:r w:rsidR="0040068F">
        <w:t xml:space="preserve">de </w:t>
      </w:r>
      <w:r w:rsidR="00D66F89">
        <w:t>ganhos em eficiência ou de poder de mercado</w:t>
      </w:r>
      <w:r w:rsidR="004203FE">
        <w:t xml:space="preserve"> no mercado relevante das firmas </w:t>
      </w:r>
      <w:r w:rsidR="00642944">
        <w:t>fusionadas</w:t>
      </w:r>
      <w:r w:rsidR="004203FE">
        <w:t>, em que</w:t>
      </w:r>
      <w:r w:rsidR="0040068F">
        <w:t xml:space="preserve"> retornos positivos para as </w:t>
      </w:r>
      <w:proofErr w:type="gramStart"/>
      <w:r w:rsidR="0040068F">
        <w:t>firmas</w:t>
      </w:r>
      <w:proofErr w:type="gramEnd"/>
      <w:r w:rsidR="0040068F">
        <w:t xml:space="preserve"> </w:t>
      </w:r>
      <w:proofErr w:type="gramStart"/>
      <w:r w:rsidR="0040068F">
        <w:t>rivais</w:t>
      </w:r>
      <w:proofErr w:type="gramEnd"/>
      <w:r w:rsidR="0040068F">
        <w:t xml:space="preserve"> indicam a presença de poder de mercado e</w:t>
      </w:r>
      <w:r w:rsidR="004203FE">
        <w:t>,</w:t>
      </w:r>
      <w:r w:rsidR="0040068F">
        <w:t xml:space="preserve"> conseq</w:t>
      </w:r>
      <w:r w:rsidR="004203FE">
        <w:t>u</w:t>
      </w:r>
      <w:r w:rsidR="0040068F">
        <w:t>entemente</w:t>
      </w:r>
      <w:r w:rsidR="004203FE">
        <w:t>,</w:t>
      </w:r>
      <w:r w:rsidR="0040068F">
        <w:t xml:space="preserve"> uma diminuição do excedente do consumi</w:t>
      </w:r>
      <w:r w:rsidR="004203FE">
        <w:t>dor e do bem-estar na economia</w:t>
      </w:r>
      <w:r w:rsidR="0040068F">
        <w:t>. Analogamente, retornos negativos para as firmas rivais indicariam a presença de ganhos em eficiência e aumento do bem-estar.</w:t>
      </w:r>
      <w:r w:rsidR="00585B6B">
        <w:t xml:space="preserve"> Para estimar os efeitos das fusões sobre as firmas rivais</w:t>
      </w:r>
      <w:r w:rsidR="004203FE">
        <w:t xml:space="preserve"> e </w:t>
      </w:r>
      <w:r w:rsidR="00642944">
        <w:t>fusionadas</w:t>
      </w:r>
      <w:r w:rsidR="004203FE">
        <w:t>,</w:t>
      </w:r>
      <w:r w:rsidR="00585B6B">
        <w:t xml:space="preserve"> utiliza-se neste </w:t>
      </w:r>
      <w:r w:rsidR="004203FE">
        <w:t>trabalho</w:t>
      </w:r>
      <w:r w:rsidR="00585B6B">
        <w:t xml:space="preserve"> a metodologia de estudo de eventos em que são calculados os retornos anormais </w:t>
      </w:r>
      <w:r w:rsidR="004203FE">
        <w:t>d</w:t>
      </w:r>
      <w:r w:rsidR="00585B6B">
        <w:t xml:space="preserve">as ações das firmas rivais, bem como </w:t>
      </w:r>
      <w:r w:rsidR="00DE73CE">
        <w:t>d</w:t>
      </w:r>
      <w:r w:rsidR="00585B6B">
        <w:t>as firmas fusionadas</w:t>
      </w:r>
      <w:r w:rsidR="004203FE">
        <w:t>,</w:t>
      </w:r>
      <w:r w:rsidR="0075271A">
        <w:t xml:space="preserve"> decorrentes do anúncio da fusão</w:t>
      </w:r>
      <w:r w:rsidR="00585B6B">
        <w:t>.</w:t>
      </w:r>
      <w:r w:rsidR="00014657">
        <w:t xml:space="preserve"> Além disso, para verificar se a metodologia de estudo de eventos é capaz de capturar os efeitos competitivos das fusões </w:t>
      </w:r>
      <w:r w:rsidR="004203FE">
        <w:t xml:space="preserve">de maneira adequada, </w:t>
      </w:r>
      <w:r w:rsidR="00014657">
        <w:t>compar</w:t>
      </w:r>
      <w:r w:rsidR="007E6386">
        <w:t>a</w:t>
      </w:r>
      <w:r w:rsidR="004203FE">
        <w:t>m</w:t>
      </w:r>
      <w:r w:rsidR="00014657">
        <w:t xml:space="preserve">-se os resultados </w:t>
      </w:r>
      <w:r w:rsidR="004203FE">
        <w:t xml:space="preserve">obtidos via metodologia de estudo de eventos </w:t>
      </w:r>
      <w:r w:rsidR="00014657">
        <w:t xml:space="preserve">com uma </w:t>
      </w:r>
      <w:r w:rsidR="004203FE">
        <w:t>medida de</w:t>
      </w:r>
      <w:r w:rsidR="00642944">
        <w:t xml:space="preserve"> desempenho</w:t>
      </w:r>
      <w:r w:rsidR="004203FE">
        <w:t xml:space="preserve"> da</w:t>
      </w:r>
      <w:r w:rsidR="00642944">
        <w:t>s</w:t>
      </w:r>
      <w:r w:rsidR="004203FE">
        <w:t xml:space="preserve"> firmas </w:t>
      </w:r>
      <w:r w:rsidR="004203FE">
        <w:rPr>
          <w:i/>
        </w:rPr>
        <w:t>ex</w:t>
      </w:r>
      <w:r w:rsidR="00303624">
        <w:rPr>
          <w:i/>
        </w:rPr>
        <w:t xml:space="preserve"> </w:t>
      </w:r>
      <w:proofErr w:type="spellStart"/>
      <w:r w:rsidR="00014657" w:rsidRPr="00014657">
        <w:rPr>
          <w:i/>
        </w:rPr>
        <w:t>post</w:t>
      </w:r>
      <w:proofErr w:type="spellEnd"/>
      <w:r w:rsidR="00014657">
        <w:t>.</w:t>
      </w:r>
      <w:r w:rsidR="00303624">
        <w:t xml:space="preserve"> </w:t>
      </w:r>
      <w:r w:rsidR="004203FE">
        <w:t>Tal comparação foi feita por</w:t>
      </w:r>
      <w:r w:rsidR="00950C56" w:rsidRPr="009E65A6">
        <w:t xml:space="preserve"> meio de uma análise de correlação </w:t>
      </w:r>
      <w:r w:rsidR="00950C56" w:rsidRPr="00C67A23">
        <w:t xml:space="preserve">e </w:t>
      </w:r>
      <w:r w:rsidR="00C7478A" w:rsidRPr="00C67A23">
        <w:t>r</w:t>
      </w:r>
      <w:r w:rsidR="00950C56" w:rsidRPr="00C67A23">
        <w:t>egressão</w:t>
      </w:r>
      <w:r w:rsidR="004203FE" w:rsidRPr="00C67A23">
        <w:t>.</w:t>
      </w:r>
      <w:r w:rsidR="00585B6B">
        <w:t xml:space="preserve"> Nesse estudo</w:t>
      </w:r>
      <w:r w:rsidR="004203FE">
        <w:t>,</w:t>
      </w:r>
      <w:r w:rsidR="00D72C0E">
        <w:t xml:space="preserve"> foi utilizada uma amostra de 42</w:t>
      </w:r>
      <w:r w:rsidR="00585B6B">
        <w:t xml:space="preserve"> grandes fusões horizontais entre firmas de capital aberto </w:t>
      </w:r>
      <w:r w:rsidR="00014657">
        <w:t xml:space="preserve">com ações cotadas na </w:t>
      </w:r>
      <w:proofErr w:type="spellStart"/>
      <w:r w:rsidR="00014657">
        <w:t>BM&amp;FBOVESPA</w:t>
      </w:r>
      <w:proofErr w:type="spellEnd"/>
      <w:r w:rsidR="00014657">
        <w:t xml:space="preserve"> </w:t>
      </w:r>
      <w:r w:rsidR="0075271A">
        <w:t>e suas respectivas rivais</w:t>
      </w:r>
      <w:r w:rsidR="004203FE">
        <w:t xml:space="preserve"> no setor</w:t>
      </w:r>
      <w:r w:rsidR="0075271A">
        <w:t>.</w:t>
      </w:r>
      <w:r w:rsidR="00014657">
        <w:t xml:space="preserve"> Os resultados </w:t>
      </w:r>
      <w:r w:rsidR="00950C56">
        <w:rPr>
          <w:rFonts w:eastAsia="GungsuhChe"/>
        </w:rPr>
        <w:t xml:space="preserve">empíricos </w:t>
      </w:r>
      <w:r w:rsidR="004203FE">
        <w:rPr>
          <w:rFonts w:eastAsia="GungsuhChe"/>
        </w:rPr>
        <w:t xml:space="preserve">obtidos </w:t>
      </w:r>
      <w:r w:rsidR="00950C56">
        <w:rPr>
          <w:rFonts w:eastAsia="GungsuhChe"/>
        </w:rPr>
        <w:t>na metodologia de estudo de eventos apontam para uma</w:t>
      </w:r>
      <w:r w:rsidR="009A1EC0">
        <w:rPr>
          <w:rFonts w:eastAsia="GungsuhChe"/>
        </w:rPr>
        <w:t xml:space="preserve"> maior presença de efeitos anti</w:t>
      </w:r>
      <w:r w:rsidR="00950C56">
        <w:rPr>
          <w:rFonts w:eastAsia="GungsuhChe"/>
        </w:rPr>
        <w:t>competitivos</w:t>
      </w:r>
      <w:r w:rsidR="004203FE">
        <w:rPr>
          <w:rFonts w:eastAsia="GungsuhChe"/>
        </w:rPr>
        <w:t xml:space="preserve"> nas fusões </w:t>
      </w:r>
      <w:r w:rsidR="00C2496C">
        <w:rPr>
          <w:rFonts w:eastAsia="GungsuhChe"/>
        </w:rPr>
        <w:t xml:space="preserve">em geral </w:t>
      </w:r>
      <w:r w:rsidR="004203FE">
        <w:rPr>
          <w:rFonts w:eastAsia="GungsuhChe"/>
        </w:rPr>
        <w:t>(ganho de poder de mercado)</w:t>
      </w:r>
      <w:r w:rsidR="00950C56">
        <w:rPr>
          <w:rFonts w:eastAsia="GungsuhChe"/>
        </w:rPr>
        <w:t xml:space="preserve">. </w:t>
      </w:r>
      <w:r w:rsidR="00C7478A">
        <w:rPr>
          <w:rFonts w:eastAsia="GungsuhChe"/>
        </w:rPr>
        <w:t>Além disso,</w:t>
      </w:r>
      <w:r w:rsidR="004203FE">
        <w:rPr>
          <w:rFonts w:eastAsia="GungsuhChe"/>
        </w:rPr>
        <w:t xml:space="preserve"> foi encontrada,</w:t>
      </w:r>
      <w:r w:rsidR="00950C56">
        <w:rPr>
          <w:rFonts w:eastAsia="GungsuhChe"/>
        </w:rPr>
        <w:t xml:space="preserve"> tanto para as firmas rivais como</w:t>
      </w:r>
      <w:r w:rsidR="009E65A6">
        <w:rPr>
          <w:rFonts w:eastAsia="GungsuhChe"/>
        </w:rPr>
        <w:t xml:space="preserve"> para as firmas fusionadas,</w:t>
      </w:r>
      <w:r w:rsidR="00303624">
        <w:rPr>
          <w:rFonts w:eastAsia="GungsuhChe"/>
        </w:rPr>
        <w:t xml:space="preserve"> </w:t>
      </w:r>
      <w:r w:rsidR="00950C56">
        <w:rPr>
          <w:rFonts w:eastAsia="GungsuhChe"/>
        </w:rPr>
        <w:t xml:space="preserve">correlação positiva e significativa entre os retornos anormais e o efeito na lucratividade </w:t>
      </w:r>
      <w:r w:rsidR="00950C56" w:rsidRPr="002B1E53">
        <w:rPr>
          <w:rFonts w:eastAsia="GungsuhChe"/>
          <w:i/>
        </w:rPr>
        <w:t xml:space="preserve">ex </w:t>
      </w:r>
      <w:proofErr w:type="spellStart"/>
      <w:r w:rsidR="00950C56" w:rsidRPr="002B1E53">
        <w:rPr>
          <w:rFonts w:eastAsia="GungsuhChe"/>
          <w:i/>
        </w:rPr>
        <w:t>post</w:t>
      </w:r>
      <w:proofErr w:type="spellEnd"/>
      <w:r w:rsidR="00950C56">
        <w:rPr>
          <w:rFonts w:eastAsia="GungsuhChe"/>
        </w:rPr>
        <w:t xml:space="preserve">, evidenciando a capacidade do mercado em antecipar os efeitos </w:t>
      </w:r>
      <w:r w:rsidR="004203FE">
        <w:rPr>
          <w:rFonts w:eastAsia="GungsuhChe"/>
        </w:rPr>
        <w:t xml:space="preserve">negativos </w:t>
      </w:r>
      <w:r w:rsidR="00950C56">
        <w:rPr>
          <w:rFonts w:eastAsia="GungsuhChe"/>
        </w:rPr>
        <w:t>das fusões</w:t>
      </w:r>
      <w:r w:rsidR="004203FE">
        <w:rPr>
          <w:rFonts w:eastAsia="GungsuhChe"/>
        </w:rPr>
        <w:t xml:space="preserve"> sobre o bem-estar</w:t>
      </w:r>
      <w:r w:rsidR="00950C56">
        <w:rPr>
          <w:rFonts w:eastAsia="GungsuhChe"/>
        </w:rPr>
        <w:t xml:space="preserve">. </w:t>
      </w:r>
      <w:r w:rsidR="00950C56" w:rsidRPr="00C67A23">
        <w:rPr>
          <w:rFonts w:eastAsia="GungsuhChe"/>
        </w:rPr>
        <w:t xml:space="preserve">Esses resultados também são corroborados pela análise de regressão, cabendo ressaltar a presença do efeito de reversão à média, evidenciando, assim, a utilidade da </w:t>
      </w:r>
      <w:r w:rsidR="004203FE" w:rsidRPr="00C67A23">
        <w:rPr>
          <w:rFonts w:eastAsia="GungsuhChe"/>
        </w:rPr>
        <w:t>metodologia</w:t>
      </w:r>
      <w:r w:rsidR="00950C56" w:rsidRPr="00C67A23">
        <w:rPr>
          <w:rFonts w:eastAsia="GungsuhChe"/>
        </w:rPr>
        <w:t xml:space="preserve"> de estudo de eventos em capturar os efeitos </w:t>
      </w:r>
      <w:r w:rsidR="004203FE" w:rsidRPr="00C67A23">
        <w:rPr>
          <w:rFonts w:eastAsia="GungsuhChe"/>
        </w:rPr>
        <w:t>potenciais das</w:t>
      </w:r>
      <w:r w:rsidR="00303624" w:rsidRPr="00C67A23">
        <w:rPr>
          <w:rFonts w:eastAsia="GungsuhChe"/>
        </w:rPr>
        <w:t xml:space="preserve"> </w:t>
      </w:r>
      <w:r w:rsidR="00950C56" w:rsidRPr="00C67A23">
        <w:rPr>
          <w:rFonts w:eastAsia="GungsuhChe"/>
        </w:rPr>
        <w:t>fusões</w:t>
      </w:r>
      <w:r w:rsidR="00303624" w:rsidRPr="00C67A23">
        <w:rPr>
          <w:rFonts w:eastAsia="GungsuhChe"/>
        </w:rPr>
        <w:t xml:space="preserve"> </w:t>
      </w:r>
      <w:r w:rsidR="004203FE" w:rsidRPr="00C67A23">
        <w:rPr>
          <w:rFonts w:eastAsia="GungsuhChe"/>
          <w:i/>
        </w:rPr>
        <w:t>ex ante</w:t>
      </w:r>
      <w:r w:rsidR="009E65A6" w:rsidRPr="00C67A23">
        <w:rPr>
          <w:rFonts w:eastAsia="GungsuhChe"/>
        </w:rPr>
        <w:t>.</w:t>
      </w:r>
    </w:p>
    <w:p w:rsidR="00C53556" w:rsidRDefault="00C53556" w:rsidP="00FA5866">
      <w:pPr>
        <w:spacing w:after="0" w:line="240" w:lineRule="auto"/>
        <w:rPr>
          <w:b/>
        </w:rPr>
      </w:pPr>
    </w:p>
    <w:p w:rsidR="00C53556" w:rsidRPr="00C53556" w:rsidRDefault="00FA5866" w:rsidP="00FA5866">
      <w:pPr>
        <w:spacing w:after="0" w:line="240" w:lineRule="auto"/>
        <w:rPr>
          <w:b/>
          <w:lang w:val="en-US"/>
        </w:rPr>
      </w:pPr>
      <w:r w:rsidRPr="00B40EDF">
        <w:rPr>
          <w:b/>
          <w:lang w:val="en-US"/>
        </w:rPr>
        <w:t>ABSTRACT</w:t>
      </w:r>
    </w:p>
    <w:p w:rsidR="00FA5866" w:rsidRPr="00C53556" w:rsidRDefault="00C53556" w:rsidP="00FA5866">
      <w:pPr>
        <w:spacing w:after="0" w:line="240" w:lineRule="auto"/>
        <w:rPr>
          <w:rFonts w:eastAsia="GungsuhChe"/>
          <w:lang w:val="en-US"/>
        </w:rPr>
      </w:pPr>
      <w:r w:rsidRPr="00C53556">
        <w:rPr>
          <w:rFonts w:eastAsia="GungsuhChe"/>
          <w:lang w:val="en-US"/>
        </w:rPr>
        <w:t xml:space="preserve">The objective of this paper is to estimate the potential competitive effects on the relevant market of the major mergers that occurred in Brazil after the Real Plan, evaluating the effectiveness of methods used to estimate ex ante effects actually observed in the profitability of merged firms and rivals ex post. According to the analysis of the theoretical model proposed by Motta (2004), it is possible to use the result of rival firms in the market in which the merger occurred as an indicator of the presence of efficiency gains or market power in the relevant market of the merged firms, where positive returns for rival firms indicate the presence of market power and, consequently, a decrease in consumer surplus and welfare in the economy. Similarly, negative returns for the rival firms would indicate the presence of efficiency gains and increased well-being. To estimate the effects of mergers on rivals and firms merged, event </w:t>
      </w:r>
      <w:proofErr w:type="spellStart"/>
      <w:r w:rsidRPr="00C53556">
        <w:rPr>
          <w:rFonts w:eastAsia="GungsuhChe"/>
          <w:lang w:val="en-US"/>
        </w:rPr>
        <w:t>studies</w:t>
      </w:r>
      <w:proofErr w:type="spellEnd"/>
      <w:r w:rsidRPr="00C53556">
        <w:rPr>
          <w:rFonts w:eastAsia="GungsuhChe"/>
          <w:lang w:val="en-US"/>
        </w:rPr>
        <w:t xml:space="preserve"> methodology is used. Abnormal stock returns of rival firms as well as firms merged are calculated, resulting from the merger announcement. Furthermore, to verify that the event study methodology is able to capture the competitive effects of mergers properly, we compare the results obtained via the event study </w:t>
      </w:r>
      <w:proofErr w:type="gramStart"/>
      <w:r w:rsidRPr="00C53556">
        <w:rPr>
          <w:rFonts w:eastAsia="GungsuhChe"/>
          <w:lang w:val="en-US"/>
        </w:rPr>
        <w:t>methodology with a performance measure of the ex post</w:t>
      </w:r>
      <w:proofErr w:type="gramEnd"/>
      <w:r w:rsidRPr="00C53556">
        <w:rPr>
          <w:rFonts w:eastAsia="GungsuhChe"/>
          <w:lang w:val="en-US"/>
        </w:rPr>
        <w:t xml:space="preserve"> firms. This </w:t>
      </w:r>
      <w:r w:rsidRPr="00C53556">
        <w:rPr>
          <w:rFonts w:eastAsia="GungsuhChe"/>
          <w:lang w:val="en-US"/>
        </w:rPr>
        <w:lastRenderedPageBreak/>
        <w:t>comparison was made by means of correlation and regression analysis. In this study, a sample of 42 large horizontal mergers between firms with publicly traded shares listed on the BM&amp;FBOVESPA and their respective rivals in the sector was used. The empirical results obtained in the methodology of event studies show a higher presence of anticompetitive mergers in general (gain market power) effects. Furthermore, it was found both for rival firms as for firms merged, positive and significant correlation between abnormal returns and the effect on ex post profitability, demonstrating the market's ability to anticipate the negative effects of mergers on welfare. These results are also corroborated by regression analysis, fitting to emphasize the presence of the effect of mean reversion, thus demonstrating the usefulness of the event study methodology to capture the potential effects of ex ante merger.</w:t>
      </w:r>
    </w:p>
    <w:p w:rsidR="00463659" w:rsidRDefault="00F93F0B" w:rsidP="00FA5866">
      <w:pPr>
        <w:spacing w:after="0" w:line="240" w:lineRule="auto"/>
      </w:pPr>
      <w:r w:rsidRPr="00BD249E">
        <w:rPr>
          <w:b/>
        </w:rPr>
        <w:t>Palavras-Chave:</w:t>
      </w:r>
      <w:r w:rsidR="00303624">
        <w:rPr>
          <w:b/>
        </w:rPr>
        <w:t xml:space="preserve"> </w:t>
      </w:r>
      <w:r w:rsidR="00950C56">
        <w:t xml:space="preserve">defesa da concorrência, </w:t>
      </w:r>
      <w:r w:rsidRPr="00BD249E">
        <w:t>e</w:t>
      </w:r>
      <w:r w:rsidR="00950C56">
        <w:t>studo de eventos, fusões,</w:t>
      </w:r>
      <w:r w:rsidR="00303624">
        <w:t xml:space="preserve"> </w:t>
      </w:r>
      <w:r w:rsidR="004203FE">
        <w:t xml:space="preserve">efeitos </w:t>
      </w:r>
      <w:r w:rsidR="009A1EC0">
        <w:t>anti</w:t>
      </w:r>
      <w:r w:rsidR="00B40EDF">
        <w:t xml:space="preserve">competitivos, poder de </w:t>
      </w:r>
      <w:proofErr w:type="gramStart"/>
      <w:r w:rsidR="00B40EDF">
        <w:t>mercado</w:t>
      </w:r>
      <w:bookmarkStart w:id="1" w:name="_Toc379492264"/>
      <w:proofErr w:type="gramEnd"/>
    </w:p>
    <w:p w:rsidR="00C53556" w:rsidRDefault="00C53556" w:rsidP="00FA5866">
      <w:pPr>
        <w:spacing w:after="0" w:line="240" w:lineRule="auto"/>
      </w:pPr>
    </w:p>
    <w:p w:rsidR="00463659" w:rsidRPr="00B40EDF" w:rsidRDefault="00FA5866" w:rsidP="00FA5866">
      <w:pPr>
        <w:spacing w:after="0" w:line="240" w:lineRule="auto"/>
        <w:rPr>
          <w:lang w:val="en-US"/>
        </w:rPr>
      </w:pPr>
      <w:r w:rsidRPr="00B40EDF">
        <w:rPr>
          <w:b/>
          <w:lang w:val="en-US"/>
        </w:rPr>
        <w:t>Key words</w:t>
      </w:r>
      <w:r w:rsidRPr="00B40EDF">
        <w:rPr>
          <w:lang w:val="en-US"/>
        </w:rPr>
        <w:t xml:space="preserve">: </w:t>
      </w:r>
      <w:r w:rsidR="00C53556" w:rsidRPr="00B40EDF">
        <w:rPr>
          <w:lang w:val="en-US"/>
        </w:rPr>
        <w:t>antitrust, event study, mergers, antico</w:t>
      </w:r>
      <w:r w:rsidR="00B40EDF">
        <w:rPr>
          <w:lang w:val="en-US"/>
        </w:rPr>
        <w:t>mpetitive effects, market power</w:t>
      </w:r>
    </w:p>
    <w:p w:rsidR="00C53556" w:rsidRPr="00B40EDF" w:rsidRDefault="00C53556" w:rsidP="00FA5866">
      <w:pPr>
        <w:spacing w:after="0" w:line="240" w:lineRule="auto"/>
        <w:rPr>
          <w:lang w:val="en-US"/>
        </w:rPr>
      </w:pPr>
    </w:p>
    <w:p w:rsidR="00FA5866" w:rsidRDefault="00FA5866" w:rsidP="00FA5866">
      <w:pPr>
        <w:spacing w:after="0" w:line="240" w:lineRule="auto"/>
      </w:pPr>
      <w:r w:rsidRPr="00C53556">
        <w:rPr>
          <w:b/>
        </w:rPr>
        <w:t>Classificação JEL</w:t>
      </w:r>
      <w:r>
        <w:t>:</w:t>
      </w:r>
      <w:r w:rsidR="00941148">
        <w:t xml:space="preserve"> </w:t>
      </w:r>
      <w:r w:rsidR="0032435D">
        <w:t>L4</w:t>
      </w:r>
    </w:p>
    <w:p w:rsidR="00C53556" w:rsidRDefault="00C53556" w:rsidP="00FA5866">
      <w:pPr>
        <w:spacing w:after="0" w:line="240" w:lineRule="auto"/>
      </w:pPr>
    </w:p>
    <w:p w:rsidR="00FA5866" w:rsidRDefault="00FA5866" w:rsidP="00FA5866">
      <w:pPr>
        <w:spacing w:after="0" w:line="240" w:lineRule="auto"/>
      </w:pPr>
      <w:r w:rsidRPr="00C53556">
        <w:rPr>
          <w:b/>
        </w:rPr>
        <w:t>Área ANPEC</w:t>
      </w:r>
      <w:r>
        <w:t>:</w:t>
      </w:r>
      <w:r w:rsidR="00941148">
        <w:t xml:space="preserve"> </w:t>
      </w:r>
      <w:r w:rsidR="00941148" w:rsidRPr="00B40EDF">
        <w:rPr>
          <w:rFonts w:ascii="Times" w:hAnsi="Times" w:cs="Times"/>
          <w:color w:val="202020"/>
          <w:lang w:eastAsia="pt-BR"/>
        </w:rPr>
        <w:t>Área 9 - Economia Industrial e da Tecnologia</w:t>
      </w:r>
    </w:p>
    <w:p w:rsidR="00FA5866" w:rsidRDefault="00FA5866" w:rsidP="00FA5866">
      <w:pPr>
        <w:spacing w:after="0" w:line="240" w:lineRule="auto"/>
      </w:pPr>
    </w:p>
    <w:p w:rsidR="00A464E6" w:rsidRPr="00463659" w:rsidRDefault="00463659" w:rsidP="00FA5866">
      <w:pPr>
        <w:spacing w:after="0" w:line="240" w:lineRule="auto"/>
        <w:rPr>
          <w:b/>
        </w:rPr>
      </w:pPr>
      <w:r w:rsidRPr="00463659">
        <w:rPr>
          <w:b/>
        </w:rPr>
        <w:t xml:space="preserve">1. </w:t>
      </w:r>
      <w:r w:rsidR="0083618C" w:rsidRPr="00463659">
        <w:rPr>
          <w:b/>
        </w:rPr>
        <w:t>Introdução</w:t>
      </w:r>
      <w:bookmarkEnd w:id="1"/>
    </w:p>
    <w:p w:rsidR="001F5A37" w:rsidRPr="00CA37CB" w:rsidRDefault="001F685F" w:rsidP="00FA5866">
      <w:pPr>
        <w:pStyle w:val="PargrafodaLista"/>
        <w:spacing w:after="0" w:line="240" w:lineRule="auto"/>
        <w:ind w:left="0"/>
      </w:pPr>
      <w:r w:rsidRPr="00CA37CB">
        <w:t>E</w:t>
      </w:r>
      <w:r w:rsidR="001F5A37" w:rsidRPr="00CA37CB">
        <w:t>m 2011</w:t>
      </w:r>
      <w:r w:rsidRPr="00CA37CB">
        <w:t>,</w:t>
      </w:r>
      <w:r w:rsidR="001F5A37" w:rsidRPr="00CA37CB">
        <w:t xml:space="preserve"> as fusõe</w:t>
      </w:r>
      <w:r w:rsidRPr="00CA37CB">
        <w:t>s e aquisições (</w:t>
      </w:r>
      <w:proofErr w:type="spellStart"/>
      <w:r w:rsidRPr="00CA37CB">
        <w:t>M&amp;A</w:t>
      </w:r>
      <w:proofErr w:type="spellEnd"/>
      <w:r w:rsidR="00463659">
        <w:t>)</w:t>
      </w:r>
      <w:r w:rsidRPr="00CA37CB">
        <w:t xml:space="preserve"> que tiveram seu valor divulgado n</w:t>
      </w:r>
      <w:r w:rsidR="001F5A37" w:rsidRPr="00CA37CB">
        <w:t xml:space="preserve">o Brasil totalizaram </w:t>
      </w:r>
      <w:r w:rsidR="00151BDA" w:rsidRPr="00CA37CB">
        <w:t xml:space="preserve">um montante de </w:t>
      </w:r>
      <w:r w:rsidR="001F5A37" w:rsidRPr="00CA37CB">
        <w:t>US$ 49,9 bilhões</w:t>
      </w:r>
      <w:r w:rsidRPr="00CA37CB">
        <w:t>,</w:t>
      </w:r>
      <w:r w:rsidR="00151BDA" w:rsidRPr="00CA37CB">
        <w:t xml:space="preserve"> em um total de 746 </w:t>
      </w:r>
      <w:r w:rsidR="007B2007" w:rsidRPr="00CA37CB">
        <w:t>transações anunciadas</w:t>
      </w:r>
      <w:r w:rsidRPr="00CA37CB">
        <w:t>. Desse valor, s</w:t>
      </w:r>
      <w:r w:rsidR="001F5A37" w:rsidRPr="00CA37CB">
        <w:t>omente as 10 maiores fusões movimentaram 16,8 bilhões</w:t>
      </w:r>
      <w:r w:rsidR="002A408D">
        <w:t xml:space="preserve"> (</w:t>
      </w:r>
      <w:proofErr w:type="spellStart"/>
      <w:r w:rsidR="0062098B">
        <w:t>Pierantoni</w:t>
      </w:r>
      <w:proofErr w:type="spellEnd"/>
      <w:r w:rsidR="00B90CCB">
        <w:t xml:space="preserve"> </w:t>
      </w:r>
      <w:proofErr w:type="spellStart"/>
      <w:proofErr w:type="gramStart"/>
      <w:r w:rsidR="0062098B" w:rsidRPr="004D17F8">
        <w:rPr>
          <w:i/>
        </w:rPr>
        <w:t>et</w:t>
      </w:r>
      <w:proofErr w:type="spellEnd"/>
      <w:proofErr w:type="gramEnd"/>
      <w:r w:rsidR="0062098B" w:rsidRPr="004D17F8">
        <w:rPr>
          <w:i/>
        </w:rPr>
        <w:t xml:space="preserve"> al</w:t>
      </w:r>
      <w:r w:rsidR="004D17F8">
        <w:t>.</w:t>
      </w:r>
      <w:r w:rsidR="002A408D" w:rsidRPr="004D17F8">
        <w:t xml:space="preserve">, </w:t>
      </w:r>
      <w:r w:rsidR="005544C4" w:rsidRPr="004D17F8">
        <w:t>2011</w:t>
      </w:r>
      <w:r w:rsidR="005544C4" w:rsidRPr="00CA37CB">
        <w:t>)</w:t>
      </w:r>
      <w:r w:rsidR="001F5A37" w:rsidRPr="00CA37CB">
        <w:t xml:space="preserve">. </w:t>
      </w:r>
      <w:r w:rsidRPr="00CA37CB">
        <w:t xml:space="preserve">Em que pesem </w:t>
      </w:r>
      <w:r w:rsidR="00160572" w:rsidRPr="00CA37CB">
        <w:t>os</w:t>
      </w:r>
      <w:r w:rsidR="00303624">
        <w:t xml:space="preserve"> </w:t>
      </w:r>
      <w:r w:rsidR="001F5A37" w:rsidRPr="00CA37CB">
        <w:t xml:space="preserve">montantes envolvidos em tais operações </w:t>
      </w:r>
      <w:r w:rsidRPr="00CA37CB">
        <w:t>sobre a área de Finanças,</w:t>
      </w:r>
      <w:r w:rsidR="00160572" w:rsidRPr="00CA37CB">
        <w:t xml:space="preserve"> a relevância </w:t>
      </w:r>
      <w:r w:rsidRPr="00CA37CB">
        <w:t xml:space="preserve">do tema </w:t>
      </w:r>
      <w:r w:rsidR="00160572" w:rsidRPr="00CA37CB">
        <w:t xml:space="preserve">se torna </w:t>
      </w:r>
      <w:r w:rsidRPr="00CA37CB">
        <w:t xml:space="preserve">ainda maior </w:t>
      </w:r>
      <w:r w:rsidR="00160572" w:rsidRPr="00CA37CB">
        <w:t>quando se leva em consideração os efeitos que tais transações podem gerar aos co</w:t>
      </w:r>
      <w:r w:rsidR="002A408D">
        <w:t>nsumidores, à</w:t>
      </w:r>
      <w:r w:rsidR="00160572" w:rsidRPr="00CA37CB">
        <w:t xml:space="preserve"> livre</w:t>
      </w:r>
      <w:r w:rsidR="00303624">
        <w:t xml:space="preserve"> </w:t>
      </w:r>
      <w:r w:rsidR="00160572" w:rsidRPr="00CA37CB">
        <w:t>concorr</w:t>
      </w:r>
      <w:r w:rsidR="00DD7686" w:rsidRPr="00CA37CB">
        <w:t>ê</w:t>
      </w:r>
      <w:r w:rsidR="00160572" w:rsidRPr="00CA37CB">
        <w:t>ncia e</w:t>
      </w:r>
      <w:r w:rsidR="00DD7686" w:rsidRPr="00CA37CB">
        <w:t xml:space="preserve"> ao bem-estar da economia.</w:t>
      </w:r>
    </w:p>
    <w:p w:rsidR="00E2531A" w:rsidRPr="00CA37CB" w:rsidRDefault="00AD674F" w:rsidP="00FA5866">
      <w:pPr>
        <w:pStyle w:val="PargrafodaLista"/>
        <w:spacing w:after="0" w:line="240" w:lineRule="auto"/>
        <w:ind w:left="0"/>
      </w:pPr>
      <w:r w:rsidRPr="00CA37CB">
        <w:t xml:space="preserve">A dinâmica dos processos de </w:t>
      </w:r>
      <w:proofErr w:type="spellStart"/>
      <w:r w:rsidRPr="00CA37CB">
        <w:t>M&amp;A</w:t>
      </w:r>
      <w:proofErr w:type="spellEnd"/>
      <w:r w:rsidRPr="00CA37CB">
        <w:t xml:space="preserve"> afeta não apenas o fun</w:t>
      </w:r>
      <w:r w:rsidR="007B2007" w:rsidRPr="00CA37CB">
        <w:t>cionamento das empresas fusionadas</w:t>
      </w:r>
      <w:r w:rsidRPr="00CA37CB">
        <w:t>, mas também das rivais,</w:t>
      </w:r>
      <w:r w:rsidR="00151BDA" w:rsidRPr="00CA37CB">
        <w:t xml:space="preserve"> além dos consumidores</w:t>
      </w:r>
      <w:r w:rsidRPr="00CA37CB">
        <w:t>, o que lhe confere uma dimensão econômica relevante. Talvez por essa razão, a análise dos processos de fusão e de s</w:t>
      </w:r>
      <w:r w:rsidR="007D5F19">
        <w:t>eus efeitos sobre o bem-estar te</w:t>
      </w:r>
      <w:r w:rsidRPr="00CA37CB">
        <w:t xml:space="preserve">m se tornado uma das tarefas mais relevantes das autoridades antitruste, não sendo ainda consensual a questão de quais métodos </w:t>
      </w:r>
      <w:proofErr w:type="gramStart"/>
      <w:r w:rsidRPr="00CA37CB">
        <w:t>deveriam</w:t>
      </w:r>
      <w:proofErr w:type="gramEnd"/>
      <w:r w:rsidRPr="00CA37CB">
        <w:t xml:space="preserve"> ser utilizados pelos reguladores para permitir ou não uma fusão. </w:t>
      </w:r>
      <w:r w:rsidR="00151BDA" w:rsidRPr="00CA37CB">
        <w:t xml:space="preserve">Como ressaltado por </w:t>
      </w:r>
      <w:proofErr w:type="spellStart"/>
      <w:r w:rsidR="00151BDA" w:rsidRPr="00CA37CB">
        <w:t>Duso</w:t>
      </w:r>
      <w:proofErr w:type="spellEnd"/>
      <w:r w:rsidR="00303624">
        <w:t xml:space="preserve"> </w:t>
      </w:r>
      <w:proofErr w:type="spellStart"/>
      <w:proofErr w:type="gramStart"/>
      <w:r w:rsidR="00151BDA" w:rsidRPr="00CA37CB">
        <w:rPr>
          <w:i/>
        </w:rPr>
        <w:t>et</w:t>
      </w:r>
      <w:proofErr w:type="spellEnd"/>
      <w:proofErr w:type="gramEnd"/>
      <w:r w:rsidR="00151BDA" w:rsidRPr="00CA37CB">
        <w:rPr>
          <w:i/>
        </w:rPr>
        <w:t xml:space="preserve"> al</w:t>
      </w:r>
      <w:r w:rsidR="00D91017" w:rsidRPr="00CA37CB">
        <w:rPr>
          <w:i/>
        </w:rPr>
        <w:t>.</w:t>
      </w:r>
      <w:r w:rsidR="00151BDA" w:rsidRPr="00CA37CB">
        <w:t xml:space="preserve"> (2006)</w:t>
      </w:r>
      <w:r w:rsidR="00D91017" w:rsidRPr="00CA37CB">
        <w:t>,</w:t>
      </w:r>
      <w:r w:rsidR="00151BDA" w:rsidRPr="00CA37CB">
        <w:t xml:space="preserve"> a</w:t>
      </w:r>
      <w:r w:rsidR="00E2531A" w:rsidRPr="00CA37CB">
        <w:t xml:space="preserve">pesar da importância econômica e intenso debate político, não existe quase nenhuma evidência </w:t>
      </w:r>
      <w:proofErr w:type="spellStart"/>
      <w:r w:rsidR="00E2531A" w:rsidRPr="00CA37CB">
        <w:t>econométric</w:t>
      </w:r>
      <w:r w:rsidR="00151BDA" w:rsidRPr="00CA37CB">
        <w:t>a</w:t>
      </w:r>
      <w:proofErr w:type="spellEnd"/>
      <w:r w:rsidR="00151BDA" w:rsidRPr="00CA37CB">
        <w:t xml:space="preserve"> sistemática de que</w:t>
      </w:r>
      <w:r w:rsidR="00E2531A" w:rsidRPr="00CA37CB">
        <w:t xml:space="preserve"> a política de controle de </w:t>
      </w:r>
      <w:r w:rsidR="00151BDA" w:rsidRPr="00CA37CB">
        <w:t>fusões</w:t>
      </w:r>
      <w:r w:rsidR="00E2531A" w:rsidRPr="00CA37CB">
        <w:t xml:space="preserve"> atin</w:t>
      </w:r>
      <w:r w:rsidR="004D17F8">
        <w:t>ja</w:t>
      </w:r>
      <w:r w:rsidR="00D91017" w:rsidRPr="00CA37CB">
        <w:t xml:space="preserve"> seu objetivo, </w:t>
      </w:r>
      <w:r w:rsidR="004D17F8">
        <w:t>qual</w:t>
      </w:r>
      <w:r w:rsidR="00D91017" w:rsidRPr="00CA37CB">
        <w:t xml:space="preserve"> seja, protege</w:t>
      </w:r>
      <w:r w:rsidR="004D17F8">
        <w:t>r</w:t>
      </w:r>
      <w:r w:rsidR="00D91017" w:rsidRPr="00CA37CB">
        <w:t xml:space="preserve"> e restaura</w:t>
      </w:r>
      <w:r w:rsidR="004D17F8">
        <w:t>r</w:t>
      </w:r>
      <w:r w:rsidR="00E2531A" w:rsidRPr="00CA37CB">
        <w:t xml:space="preserve"> a competição efetiva, nem se as restrições impostas </w:t>
      </w:r>
      <w:r w:rsidR="00151BDA" w:rsidRPr="00CA37CB">
        <w:t>são de fato o melhor instrumento</w:t>
      </w:r>
      <w:r w:rsidR="000E6243">
        <w:t xml:space="preserve"> de defesa da concorrência</w:t>
      </w:r>
      <w:r w:rsidR="00151BDA" w:rsidRPr="00CA37CB">
        <w:t>.</w:t>
      </w:r>
    </w:p>
    <w:p w:rsidR="00AD674F" w:rsidRPr="00CA37CB" w:rsidRDefault="00AD674F" w:rsidP="00FA5866">
      <w:pPr>
        <w:pStyle w:val="PargrafodaLista"/>
        <w:spacing w:after="0" w:line="240" w:lineRule="auto"/>
        <w:ind w:left="0"/>
      </w:pPr>
      <w:r w:rsidRPr="00CA37CB">
        <w:t>Nesse contexto, a análise de reações do mercado ao anúncio d</w:t>
      </w:r>
      <w:r w:rsidR="004D17F8">
        <w:t>e fusões (formalmente conhecida</w:t>
      </w:r>
      <w:r w:rsidRPr="00CA37CB">
        <w:t xml:space="preserve"> como ‘estudos de eventos’), tal como </w:t>
      </w:r>
      <w:r w:rsidR="000E6243">
        <w:t xml:space="preserve">inicialmente </w:t>
      </w:r>
      <w:r w:rsidRPr="00CA37CB">
        <w:t>forma</w:t>
      </w:r>
      <w:r w:rsidR="00F94566">
        <w:t xml:space="preserve">lizado por Brown e Warner (1980; </w:t>
      </w:r>
      <w:r w:rsidRPr="00CA37CB">
        <w:t xml:space="preserve">1985), apresenta-se como uma alternativa à verificação dos potenciais efeitos </w:t>
      </w:r>
      <w:r w:rsidR="000E6243" w:rsidRPr="000E6243">
        <w:rPr>
          <w:i/>
        </w:rPr>
        <w:t>ex ante</w:t>
      </w:r>
      <w:r w:rsidR="00303624">
        <w:rPr>
          <w:i/>
        </w:rPr>
        <w:t xml:space="preserve"> </w:t>
      </w:r>
      <w:r w:rsidRPr="00CA37CB">
        <w:t>de uma fusão sobre o mercado relevante, assumindo-se a premissa de que os mercados financeiros sejam eficientes no s</w:t>
      </w:r>
      <w:r w:rsidR="00F94566">
        <w:t>entido defendido por Fama (1970;</w:t>
      </w:r>
      <w:r w:rsidRPr="00CA37CB">
        <w:t xml:space="preserve"> 1991).</w:t>
      </w:r>
    </w:p>
    <w:p w:rsidR="00AD674F" w:rsidRPr="00CA37CB" w:rsidRDefault="00AD674F" w:rsidP="00FA5866">
      <w:pPr>
        <w:pStyle w:val="PargrafodaLista"/>
        <w:spacing w:after="0" w:line="240" w:lineRule="auto"/>
        <w:ind w:left="0"/>
      </w:pPr>
      <w:r w:rsidRPr="00CA37CB">
        <w:t>De maneira complementar, o trabalho pioneiro de Mueller (1980)</w:t>
      </w:r>
      <w:r w:rsidR="00303624">
        <w:t xml:space="preserve"> </w:t>
      </w:r>
      <w:r w:rsidRPr="00CA37CB">
        <w:t>procura</w:t>
      </w:r>
      <w:r w:rsidR="00303624">
        <w:t xml:space="preserve"> </w:t>
      </w:r>
      <w:r w:rsidRPr="00CA37CB">
        <w:t>verificar os efeitos poste</w:t>
      </w:r>
      <w:r w:rsidR="00642944">
        <w:t>riores de uma fusão comparando o desempenho</w:t>
      </w:r>
      <w:r w:rsidRPr="00CA37CB">
        <w:t xml:space="preserve"> das firmas</w:t>
      </w:r>
      <w:r w:rsidR="00642944">
        <w:t xml:space="preserve"> fusionadas</w:t>
      </w:r>
      <w:r w:rsidRPr="00CA37CB">
        <w:t xml:space="preserve"> com um grupo de controle de firmas não </w:t>
      </w:r>
      <w:r w:rsidR="00642944">
        <w:t>fusionadas</w:t>
      </w:r>
      <w:r w:rsidRPr="00CA37CB">
        <w:t xml:space="preserve"> por meio da análise das diferenças nas rentabilidades dos dois grupos no período pré e </w:t>
      </w:r>
      <w:proofErr w:type="gramStart"/>
      <w:r w:rsidRPr="00CA37CB">
        <w:t>pós fusão</w:t>
      </w:r>
      <w:proofErr w:type="gramEnd"/>
      <w:r w:rsidRPr="00CA37CB">
        <w:t xml:space="preserve">. </w:t>
      </w:r>
    </w:p>
    <w:p w:rsidR="00AD674F" w:rsidRDefault="00CE19AE" w:rsidP="00FA5866">
      <w:pPr>
        <w:pStyle w:val="PargrafodaLista"/>
        <w:spacing w:after="0" w:line="240" w:lineRule="auto"/>
        <w:ind w:left="0"/>
      </w:pPr>
      <w:r>
        <w:t>O</w:t>
      </w:r>
      <w:r w:rsidR="00AD674F" w:rsidRPr="00CA37CB">
        <w:t xml:space="preserve"> estudo de Caves (1989)</w:t>
      </w:r>
      <w:r>
        <w:t>, entretanto,</w:t>
      </w:r>
      <w:r w:rsidR="00AD674F" w:rsidRPr="00CA37CB">
        <w:t xml:space="preserve"> aponta para diferenças nas conclusões obtidas por meio dos estudos de eventos envolvendo fusões (efeitos </w:t>
      </w:r>
      <w:r w:rsidR="00AD674F" w:rsidRPr="00CA37CB">
        <w:rPr>
          <w:i/>
        </w:rPr>
        <w:t>ex ante</w:t>
      </w:r>
      <w:r w:rsidR="00642944">
        <w:t>) e a análise do desempenho</w:t>
      </w:r>
      <w:r w:rsidR="00AD674F" w:rsidRPr="00CA37CB">
        <w:t xml:space="preserve"> pós-fusão das firmas </w:t>
      </w:r>
      <w:r w:rsidR="00642944">
        <w:t>fusionadas</w:t>
      </w:r>
      <w:r w:rsidR="00AD674F" w:rsidRPr="00CA37CB">
        <w:t xml:space="preserve"> (efeitos </w:t>
      </w:r>
      <w:r w:rsidR="00AD674F" w:rsidRPr="00CA37CB">
        <w:rPr>
          <w:i/>
        </w:rPr>
        <w:t xml:space="preserve">ex </w:t>
      </w:r>
      <w:proofErr w:type="spellStart"/>
      <w:r w:rsidR="00AD674F" w:rsidRPr="00CA37CB">
        <w:rPr>
          <w:i/>
        </w:rPr>
        <w:t>post</w:t>
      </w:r>
      <w:proofErr w:type="spellEnd"/>
      <w:r w:rsidR="00AD674F" w:rsidRPr="00CA37CB">
        <w:t>), almejando reconciliar os dois conjuntos de evidências empíricas, quais sejam</w:t>
      </w:r>
      <w:r w:rsidR="004D17F8">
        <w:t>,</w:t>
      </w:r>
      <w:r w:rsidR="00AD674F" w:rsidRPr="00CA37CB">
        <w:t xml:space="preserve"> efeitos previstos e efeitos observados. </w:t>
      </w:r>
    </w:p>
    <w:p w:rsidR="00CE19AE" w:rsidRPr="00CA37CB" w:rsidRDefault="00CE19AE" w:rsidP="00FA5866">
      <w:pPr>
        <w:pStyle w:val="PargrafodaLista"/>
        <w:spacing w:after="0" w:line="240" w:lineRule="auto"/>
        <w:ind w:left="0"/>
      </w:pPr>
      <w:r>
        <w:rPr>
          <w:rFonts w:eastAsia="Times New Roman"/>
        </w:rPr>
        <w:t>Por fim, e</w:t>
      </w:r>
      <w:r w:rsidRPr="00F72F61">
        <w:rPr>
          <w:rFonts w:eastAsia="Times New Roman"/>
        </w:rPr>
        <w:t xml:space="preserve">m </w:t>
      </w:r>
      <w:proofErr w:type="spellStart"/>
      <w:r w:rsidRPr="00F72F61">
        <w:rPr>
          <w:rFonts w:eastAsia="Times New Roman"/>
        </w:rPr>
        <w:t>Duso</w:t>
      </w:r>
      <w:proofErr w:type="spellEnd"/>
      <w:r>
        <w:rPr>
          <w:rFonts w:eastAsia="Times New Roman"/>
        </w:rPr>
        <w:t xml:space="preserve"> </w:t>
      </w:r>
      <w:proofErr w:type="spellStart"/>
      <w:proofErr w:type="gramStart"/>
      <w:r w:rsidRPr="00D40C2C">
        <w:rPr>
          <w:rFonts w:eastAsia="Times New Roman"/>
          <w:i/>
        </w:rPr>
        <w:t>et</w:t>
      </w:r>
      <w:proofErr w:type="spellEnd"/>
      <w:proofErr w:type="gramEnd"/>
      <w:r>
        <w:rPr>
          <w:rFonts w:eastAsia="Times New Roman"/>
          <w:i/>
        </w:rPr>
        <w:t xml:space="preserve"> </w:t>
      </w:r>
      <w:r w:rsidRPr="00D40C2C">
        <w:rPr>
          <w:rFonts w:eastAsia="Times New Roman"/>
          <w:i/>
        </w:rPr>
        <w:t>al</w:t>
      </w:r>
      <w:r>
        <w:rPr>
          <w:rFonts w:eastAsia="Times New Roman"/>
          <w:i/>
        </w:rPr>
        <w:t>.</w:t>
      </w:r>
      <w:r w:rsidRPr="00F72F61">
        <w:rPr>
          <w:rFonts w:eastAsia="Times New Roman"/>
        </w:rPr>
        <w:t xml:space="preserve"> (2010)</w:t>
      </w:r>
      <w:r>
        <w:rPr>
          <w:rFonts w:eastAsia="Times New Roman"/>
        </w:rPr>
        <w:t xml:space="preserve">, </w:t>
      </w:r>
      <w:r w:rsidRPr="006F5460">
        <w:rPr>
          <w:rFonts w:eastAsia="Times New Roman"/>
        </w:rPr>
        <w:t>artigo base d</w:t>
      </w:r>
      <w:r>
        <w:rPr>
          <w:rFonts w:eastAsia="Times New Roman"/>
        </w:rPr>
        <w:t xml:space="preserve">este trabalho, </w:t>
      </w:r>
      <w:r w:rsidRPr="00F72F61">
        <w:rPr>
          <w:rFonts w:eastAsia="Times New Roman"/>
        </w:rPr>
        <w:t>juntamente com a análise de estudo de eventos que mensura os retornos anormais das ações das firmas unidas e de suas rivais</w:t>
      </w:r>
      <w:r>
        <w:rPr>
          <w:rFonts w:eastAsia="Times New Roman"/>
        </w:rPr>
        <w:t>,</w:t>
      </w:r>
      <w:r w:rsidRPr="00F72F61">
        <w:rPr>
          <w:rFonts w:eastAsia="Times New Roman"/>
        </w:rPr>
        <w:t xml:space="preserve"> utiliza-se uma metodologia baseada em dados contábeis que incorpora uma avaliação</w:t>
      </w:r>
      <w:r>
        <w:rPr>
          <w:rFonts w:eastAsia="Times New Roman"/>
        </w:rPr>
        <w:t xml:space="preserve"> do desempenho das firmas </w:t>
      </w:r>
      <w:r w:rsidRPr="00D40C2C">
        <w:rPr>
          <w:rFonts w:eastAsia="Times New Roman"/>
          <w:i/>
        </w:rPr>
        <w:t>ex</w:t>
      </w:r>
      <w:r>
        <w:rPr>
          <w:rFonts w:eastAsia="Times New Roman"/>
          <w:i/>
        </w:rPr>
        <w:t xml:space="preserve"> </w:t>
      </w:r>
      <w:proofErr w:type="spellStart"/>
      <w:r w:rsidRPr="00D40C2C">
        <w:rPr>
          <w:rFonts w:eastAsia="Times New Roman"/>
          <w:i/>
        </w:rPr>
        <w:t>post</w:t>
      </w:r>
      <w:proofErr w:type="spellEnd"/>
      <w:r w:rsidRPr="00F72F61">
        <w:rPr>
          <w:rFonts w:eastAsia="Times New Roman"/>
        </w:rPr>
        <w:t>. A evolução dos lucros das firmas envolvidas alguns anos depois da fusão é comparada co</w:t>
      </w:r>
      <w:r>
        <w:rPr>
          <w:rFonts w:eastAsia="Times New Roman"/>
        </w:rPr>
        <w:t>m a de um contra</w:t>
      </w:r>
      <w:r w:rsidRPr="00F72F61">
        <w:rPr>
          <w:rFonts w:eastAsia="Times New Roman"/>
        </w:rPr>
        <w:t>factual, que é</w:t>
      </w:r>
      <w:r>
        <w:rPr>
          <w:rFonts w:eastAsia="Times New Roman"/>
        </w:rPr>
        <w:t xml:space="preserve"> definido como</w:t>
      </w:r>
      <w:r w:rsidRPr="00F72F61">
        <w:rPr>
          <w:rFonts w:eastAsia="Times New Roman"/>
        </w:rPr>
        <w:t xml:space="preserve"> a firma m</w:t>
      </w:r>
      <w:r>
        <w:rPr>
          <w:rFonts w:eastAsia="Times New Roman"/>
        </w:rPr>
        <w:t>ediana da</w:t>
      </w:r>
      <w:r w:rsidRPr="00F72F61">
        <w:rPr>
          <w:rFonts w:eastAsia="Times New Roman"/>
        </w:rPr>
        <w:t xml:space="preserve"> indústria.</w:t>
      </w:r>
    </w:p>
    <w:p w:rsidR="00790EF7" w:rsidRDefault="00AD674F" w:rsidP="00FA5866">
      <w:pPr>
        <w:pStyle w:val="PargrafodaLista"/>
        <w:spacing w:after="0" w:line="240" w:lineRule="auto"/>
        <w:ind w:left="0"/>
      </w:pPr>
      <w:r w:rsidRPr="00CA37CB">
        <w:lastRenderedPageBreak/>
        <w:t xml:space="preserve">Dada </w:t>
      </w:r>
      <w:proofErr w:type="gramStart"/>
      <w:r w:rsidRPr="00CA37CB">
        <w:t>a</w:t>
      </w:r>
      <w:proofErr w:type="gramEnd"/>
      <w:r w:rsidRPr="00CA37CB">
        <w:t xml:space="preserve"> situação inconclusa do debate envolvendo questões como ‘como prever os efeitos advindos de uma fusão sobre o bem-estar da economia</w:t>
      </w:r>
      <w:r w:rsidR="007D5F19">
        <w:t>?</w:t>
      </w:r>
      <w:r w:rsidRPr="00CA37CB">
        <w:t xml:space="preserve">’ </w:t>
      </w:r>
      <w:r w:rsidR="00C221BF">
        <w:t>o presente trabalho se propõe a analisa</w:t>
      </w:r>
      <w:r w:rsidR="007D5F19">
        <w:t>r</w:t>
      </w:r>
      <w:r w:rsidR="00C221BF">
        <w:t xml:space="preserve"> as fusões envolvendo empresas de capital aberto </w:t>
      </w:r>
      <w:r w:rsidR="00D91017" w:rsidRPr="00CA37CB">
        <w:t>(seja</w:t>
      </w:r>
      <w:r w:rsidRPr="00CA37CB">
        <w:t xml:space="preserve"> como adquirentes ou adquiridas)</w:t>
      </w:r>
      <w:r w:rsidR="00303624">
        <w:t xml:space="preserve"> </w:t>
      </w:r>
      <w:r w:rsidRPr="00CA37CB">
        <w:t>ocorridas no período pós-Real e que tenham sido objeto de análise pela autoridade reguladora brasileira, o</w:t>
      </w:r>
      <w:r w:rsidR="00E84EF3">
        <w:t xml:space="preserve"> Conselho Administrativo de Defesa Econômica (</w:t>
      </w:r>
      <w:r w:rsidRPr="00CA37CB">
        <w:t>CADE</w:t>
      </w:r>
      <w:r w:rsidR="00E84EF3">
        <w:t>)</w:t>
      </w:r>
      <w:r w:rsidR="00790EF7">
        <w:t>, com vistas</w:t>
      </w:r>
      <w:r w:rsidR="00FA5866">
        <w:t xml:space="preserve"> a</w:t>
      </w:r>
      <w:r w:rsidR="00790EF7">
        <w:t>:</w:t>
      </w:r>
    </w:p>
    <w:p w:rsidR="00AD674F" w:rsidRPr="00CA37CB" w:rsidRDefault="00790EF7" w:rsidP="00FA5866">
      <w:pPr>
        <w:pStyle w:val="PargrafodaLista"/>
        <w:spacing w:after="0" w:line="240" w:lineRule="auto"/>
        <w:ind w:left="0"/>
      </w:pPr>
      <w:r w:rsidRPr="00CA37CB">
        <w:t xml:space="preserve"> </w:t>
      </w:r>
      <w:r>
        <w:t xml:space="preserve">(1) </w:t>
      </w:r>
      <w:r w:rsidR="00D91017" w:rsidRPr="00CA37CB">
        <w:t>e</w:t>
      </w:r>
      <w:r w:rsidR="00AD674F" w:rsidRPr="00CA37CB">
        <w:t>stimar os potenciais efeitos sobre o mercado relevante das fusões envolvendo empresas de</w:t>
      </w:r>
      <w:r w:rsidR="00D91017" w:rsidRPr="00CA37CB">
        <w:t xml:space="preserve"> capital aberto, seja</w:t>
      </w:r>
      <w:r w:rsidR="00AD674F" w:rsidRPr="00CA37CB">
        <w:t xml:space="preserve"> como adquirentes ou adquiridas (análise </w:t>
      </w:r>
      <w:r w:rsidR="00AD674F" w:rsidRPr="00CA37CB">
        <w:rPr>
          <w:i/>
        </w:rPr>
        <w:t>ex ante</w:t>
      </w:r>
      <w:r w:rsidR="00AD674F" w:rsidRPr="00CA37CB">
        <w:t>);</w:t>
      </w:r>
    </w:p>
    <w:p w:rsidR="00AD674F" w:rsidRPr="00CA37CB" w:rsidRDefault="00AD674F" w:rsidP="00FA5866">
      <w:pPr>
        <w:pStyle w:val="PargrafodaLista"/>
        <w:numPr>
          <w:ilvl w:val="0"/>
          <w:numId w:val="10"/>
        </w:numPr>
        <w:spacing w:after="0" w:line="240" w:lineRule="auto"/>
        <w:ind w:left="0" w:firstLine="709"/>
      </w:pPr>
      <w:proofErr w:type="gramStart"/>
      <w:r w:rsidRPr="00CA37CB">
        <w:t>avaliar</w:t>
      </w:r>
      <w:proofErr w:type="gramEnd"/>
      <w:r w:rsidR="00303624">
        <w:t xml:space="preserve"> </w:t>
      </w:r>
      <w:r w:rsidR="00B078FF">
        <w:t>os efeitos d</w:t>
      </w:r>
      <w:r w:rsidRPr="00CA37CB">
        <w:t xml:space="preserve">as fusões analisadas </w:t>
      </w:r>
      <w:r w:rsidR="00B078FF">
        <w:t>sobre</w:t>
      </w:r>
      <w:r w:rsidR="00303624">
        <w:t xml:space="preserve"> </w:t>
      </w:r>
      <w:r w:rsidR="00B078FF">
        <w:t xml:space="preserve">a </w:t>
      </w:r>
      <w:r w:rsidR="00C5200E">
        <w:t>rentabilidade</w:t>
      </w:r>
      <w:r w:rsidRPr="00CA37CB">
        <w:t xml:space="preserve"> das empresas envolvidas (análise </w:t>
      </w:r>
      <w:r w:rsidRPr="00CA37CB">
        <w:rPr>
          <w:i/>
        </w:rPr>
        <w:t xml:space="preserve">ex </w:t>
      </w:r>
      <w:proofErr w:type="spellStart"/>
      <w:r w:rsidRPr="00CA37CB">
        <w:rPr>
          <w:i/>
        </w:rPr>
        <w:t>post</w:t>
      </w:r>
      <w:proofErr w:type="spellEnd"/>
      <w:r w:rsidRPr="00CA37CB">
        <w:t>);</w:t>
      </w:r>
    </w:p>
    <w:p w:rsidR="00455DEE" w:rsidRPr="00FA5866" w:rsidRDefault="00AD674F" w:rsidP="00FA5866">
      <w:pPr>
        <w:pStyle w:val="PargrafodaLista"/>
        <w:numPr>
          <w:ilvl w:val="0"/>
          <w:numId w:val="10"/>
        </w:numPr>
        <w:spacing w:after="0" w:line="240" w:lineRule="auto"/>
        <w:ind w:left="0" w:firstLine="709"/>
      </w:pPr>
      <w:proofErr w:type="gramStart"/>
      <w:r w:rsidRPr="00CA37CB">
        <w:t>verificar</w:t>
      </w:r>
      <w:proofErr w:type="gramEnd"/>
      <w:r w:rsidRPr="00CA37CB">
        <w:t xml:space="preserve"> se o método de estimação </w:t>
      </w:r>
      <w:r w:rsidRPr="00CA37CB">
        <w:rPr>
          <w:i/>
        </w:rPr>
        <w:t>ex</w:t>
      </w:r>
      <w:r w:rsidR="00303624">
        <w:rPr>
          <w:i/>
        </w:rPr>
        <w:t xml:space="preserve"> </w:t>
      </w:r>
      <w:r w:rsidRPr="00CA37CB">
        <w:rPr>
          <w:i/>
        </w:rPr>
        <w:t>ante</w:t>
      </w:r>
      <w:r w:rsidR="00303624">
        <w:rPr>
          <w:i/>
        </w:rPr>
        <w:t xml:space="preserve"> </w:t>
      </w:r>
      <w:r w:rsidRPr="00CA37CB">
        <w:t>dos</w:t>
      </w:r>
      <w:r w:rsidR="00303624">
        <w:t xml:space="preserve"> </w:t>
      </w:r>
      <w:r w:rsidRPr="00CA37CB">
        <w:t>efeitos</w:t>
      </w:r>
      <w:r w:rsidR="00D91017">
        <w:t xml:space="preserve"> das fusões </w:t>
      </w:r>
      <w:r>
        <w:t xml:space="preserve">fornece evidências correlacionadas aos efeitos sobre as empresas envolvidas </w:t>
      </w:r>
      <w:r w:rsidRPr="00BD6B7D">
        <w:rPr>
          <w:i/>
        </w:rPr>
        <w:t xml:space="preserve">ex </w:t>
      </w:r>
      <w:proofErr w:type="spellStart"/>
      <w:r w:rsidRPr="00BD6B7D">
        <w:rPr>
          <w:i/>
        </w:rPr>
        <w:t>post</w:t>
      </w:r>
      <w:proofErr w:type="spellEnd"/>
      <w:r>
        <w:t xml:space="preserve">. </w:t>
      </w:r>
    </w:p>
    <w:p w:rsidR="00455DEE" w:rsidRDefault="00455DEE" w:rsidP="00FA5866">
      <w:pPr>
        <w:spacing w:after="0" w:line="240" w:lineRule="auto"/>
        <w:ind w:firstLine="0"/>
        <w:rPr>
          <w:b/>
        </w:rPr>
      </w:pPr>
    </w:p>
    <w:p w:rsidR="00790EF7" w:rsidRPr="00790EF7" w:rsidRDefault="00790EF7" w:rsidP="00FA5866">
      <w:pPr>
        <w:spacing w:after="0" w:line="240" w:lineRule="auto"/>
        <w:ind w:firstLine="0"/>
        <w:rPr>
          <w:b/>
        </w:rPr>
      </w:pPr>
      <w:r w:rsidRPr="00790EF7">
        <w:rPr>
          <w:b/>
        </w:rPr>
        <w:t>2. Referencial teórico</w:t>
      </w:r>
    </w:p>
    <w:p w:rsidR="00DC3DA3" w:rsidRDefault="00B47A7D" w:rsidP="00FA5866">
      <w:pPr>
        <w:spacing w:after="0" w:line="240" w:lineRule="auto"/>
      </w:pPr>
      <w:r>
        <w:t>C</w:t>
      </w:r>
      <w:r w:rsidR="00131C8A" w:rsidRPr="003C053C">
        <w:t>onsidera</w:t>
      </w:r>
      <w:r w:rsidR="002D1AD4">
        <w:t>ndo</w:t>
      </w:r>
      <w:r w:rsidR="00E3737F" w:rsidRPr="003C053C">
        <w:t xml:space="preserve">-se que a questão central na avaliação de fusões </w:t>
      </w:r>
      <w:r w:rsidR="00E3737F" w:rsidRPr="006C3131">
        <w:t>por parte da autoridade antitruste resid</w:t>
      </w:r>
      <w:r w:rsidR="002D1AD4">
        <w:t>a</w:t>
      </w:r>
      <w:r w:rsidR="00E3737F" w:rsidRPr="006C3131">
        <w:t xml:space="preserve"> na necessidade</w:t>
      </w:r>
      <w:r w:rsidR="00E3737F" w:rsidRPr="003C053C">
        <w:t xml:space="preserve"> de se balancear </w:t>
      </w:r>
      <w:r w:rsidR="00985336">
        <w:t xml:space="preserve">a possibilidade de aumento de poder de mercado pela nova firma </w:t>
      </w:r>
      <w:r w:rsidR="00E3737F" w:rsidRPr="003C053C">
        <w:t>c</w:t>
      </w:r>
      <w:r w:rsidR="00985336">
        <w:t xml:space="preserve">ontra os possíveis </w:t>
      </w:r>
      <w:r w:rsidR="00D914F9" w:rsidRPr="003C053C">
        <w:t>ganhos</w:t>
      </w:r>
      <w:r w:rsidR="0078744C">
        <w:t xml:space="preserve"> em eficiência</w:t>
      </w:r>
      <w:r w:rsidR="00093FB8" w:rsidRPr="006C3131">
        <w:t xml:space="preserve">, este </w:t>
      </w:r>
      <w:r w:rsidR="00790EF7">
        <w:t>tópico</w:t>
      </w:r>
      <w:r w:rsidR="00093FB8" w:rsidRPr="006C3131">
        <w:t xml:space="preserve"> apresenta </w:t>
      </w:r>
      <w:r w:rsidR="00245449">
        <w:t xml:space="preserve">inicialmente </w:t>
      </w:r>
      <w:r w:rsidR="0061227A" w:rsidRPr="006C3131">
        <w:t>os</w:t>
      </w:r>
      <w:r w:rsidR="00273846" w:rsidRPr="006C3131">
        <w:t xml:space="preserve"> principais efeitos </w:t>
      </w:r>
      <w:r w:rsidR="00272394">
        <w:t xml:space="preserve">esperados </w:t>
      </w:r>
      <w:r w:rsidR="00273846" w:rsidRPr="006C3131">
        <w:t>de uma fusão</w:t>
      </w:r>
      <w:r>
        <w:t xml:space="preserve"> capazes de influenciar a autoridade antitruste</w:t>
      </w:r>
      <w:r w:rsidR="00C3681C">
        <w:t xml:space="preserve"> a tomar alguma medida restringindo a operação</w:t>
      </w:r>
      <w:r w:rsidR="00D356F7">
        <w:t xml:space="preserve">. </w:t>
      </w:r>
    </w:p>
    <w:p w:rsidR="005544C4" w:rsidRPr="005D7BAC" w:rsidRDefault="00ED387A" w:rsidP="00FA5866">
      <w:pPr>
        <w:spacing w:after="0" w:line="240" w:lineRule="auto"/>
      </w:pPr>
      <w:r>
        <w:t>A fim de compreender as diferenças entre os tipos de fusões e as razõ</w:t>
      </w:r>
      <w:r w:rsidRPr="00ED387A">
        <w:t>es</w:t>
      </w:r>
      <w:r>
        <w:t xml:space="preserve"> que levam as empresas </w:t>
      </w:r>
      <w:r w:rsidR="00247222">
        <w:t xml:space="preserve">a se </w:t>
      </w:r>
      <w:r>
        <w:t>engajarem nesse modelo de reestruturação</w:t>
      </w:r>
      <w:r w:rsidR="00247222">
        <w:t>,</w:t>
      </w:r>
      <w:r w:rsidR="00705130">
        <w:t xml:space="preserve"> </w:t>
      </w:r>
      <w:proofErr w:type="spellStart"/>
      <w:r w:rsidR="008F6443" w:rsidRPr="003C053C">
        <w:t>Viscusi</w:t>
      </w:r>
      <w:proofErr w:type="spellEnd"/>
      <w:r w:rsidR="00B90CCB">
        <w:t xml:space="preserve"> </w:t>
      </w:r>
      <w:proofErr w:type="spellStart"/>
      <w:proofErr w:type="gramStart"/>
      <w:r w:rsidR="00940184" w:rsidRPr="00247222">
        <w:rPr>
          <w:i/>
        </w:rPr>
        <w:t>et</w:t>
      </w:r>
      <w:proofErr w:type="spellEnd"/>
      <w:proofErr w:type="gramEnd"/>
      <w:r w:rsidR="00940184" w:rsidRPr="00247222">
        <w:rPr>
          <w:i/>
        </w:rPr>
        <w:t xml:space="preserve"> al</w:t>
      </w:r>
      <w:r w:rsidR="00247222">
        <w:rPr>
          <w:i/>
        </w:rPr>
        <w:t>.</w:t>
      </w:r>
      <w:r w:rsidR="00616CDB">
        <w:t xml:space="preserve"> (2000</w:t>
      </w:r>
      <w:r w:rsidR="00940184" w:rsidRPr="003C053C">
        <w:t xml:space="preserve">) </w:t>
      </w:r>
      <w:r w:rsidR="006A53F7">
        <w:t>divide</w:t>
      </w:r>
      <w:r w:rsidR="00247222">
        <w:t>m</w:t>
      </w:r>
      <w:r w:rsidR="006A53F7">
        <w:t xml:space="preserve"> os</w:t>
      </w:r>
      <w:r w:rsidR="008F6443" w:rsidRPr="003C053C">
        <w:t xml:space="preserve"> tipos de fusões</w:t>
      </w:r>
      <w:r w:rsidR="00705130">
        <w:t xml:space="preserve"> </w:t>
      </w:r>
      <w:r w:rsidR="00247222">
        <w:t>em</w:t>
      </w:r>
      <w:r w:rsidR="00705130">
        <w:t xml:space="preserve"> </w:t>
      </w:r>
      <w:r w:rsidR="00940184" w:rsidRPr="003C053C">
        <w:t>horizontais,</w:t>
      </w:r>
      <w:r w:rsidR="008F6443" w:rsidRPr="003C053C">
        <w:t xml:space="preserve"> verticais</w:t>
      </w:r>
      <w:r w:rsidR="00940184" w:rsidRPr="003C053C">
        <w:t xml:space="preserve"> e conglomerada</w:t>
      </w:r>
      <w:r w:rsidR="00247222">
        <w:t>s</w:t>
      </w:r>
      <w:r w:rsidR="008F6443" w:rsidRPr="003C053C">
        <w:t xml:space="preserve">. </w:t>
      </w:r>
      <w:r w:rsidR="00247222">
        <w:t>A</w:t>
      </w:r>
      <w:r w:rsidR="006C3131">
        <w:t xml:space="preserve">s </w:t>
      </w:r>
      <w:r w:rsidR="006A53F7">
        <w:t>f</w:t>
      </w:r>
      <w:r w:rsidR="008F6443" w:rsidRPr="003C053C">
        <w:t>usões horizontais</w:t>
      </w:r>
      <w:r w:rsidR="00705130">
        <w:t xml:space="preserve"> </w:t>
      </w:r>
      <w:r w:rsidR="00247222">
        <w:t>são</w:t>
      </w:r>
      <w:r w:rsidR="00705130">
        <w:t xml:space="preserve"> </w:t>
      </w:r>
      <w:r w:rsidR="008F6443" w:rsidRPr="003C053C">
        <w:t>aquelas em que rivais no mesmo mercado se unem</w:t>
      </w:r>
      <w:r w:rsidR="00247222">
        <w:t>.</w:t>
      </w:r>
      <w:r w:rsidR="008F6443" w:rsidRPr="003C053C">
        <w:t xml:space="preserve"> Por sua vez, fusões verticais acontecem entre firmas com uma relação de comprador e vendedor.</w:t>
      </w:r>
      <w:r w:rsidR="00940184" w:rsidRPr="003C053C">
        <w:t xml:space="preserve"> Todas as fusões que não podem ser classificadas como horizontais ou verticais são </w:t>
      </w:r>
      <w:r w:rsidR="00247222">
        <w:t xml:space="preserve">classificadas como </w:t>
      </w:r>
      <w:r w:rsidR="00940184" w:rsidRPr="003C053C">
        <w:t>conglomeradas.</w:t>
      </w:r>
      <w:r w:rsidR="00705130">
        <w:t xml:space="preserve"> </w:t>
      </w:r>
      <w:r w:rsidR="00790EF7">
        <w:t>Neste trabalho</w:t>
      </w:r>
      <w:r w:rsidR="004B3D6B">
        <w:t>, foi</w:t>
      </w:r>
      <w:r w:rsidR="005544C4" w:rsidRPr="005D7BAC">
        <w:t xml:space="preserve"> dada uma atenção especial às fusões horizontais uma vez que, conforme abordado em </w:t>
      </w:r>
      <w:proofErr w:type="spellStart"/>
      <w:r w:rsidR="005544C4" w:rsidRPr="005D7BAC">
        <w:t>Duso</w:t>
      </w:r>
      <w:proofErr w:type="spellEnd"/>
      <w:r w:rsidR="00B90CCB">
        <w:t xml:space="preserve"> </w:t>
      </w:r>
      <w:proofErr w:type="spellStart"/>
      <w:proofErr w:type="gramStart"/>
      <w:r w:rsidR="005544C4" w:rsidRPr="005D7BAC">
        <w:rPr>
          <w:i/>
        </w:rPr>
        <w:t>et</w:t>
      </w:r>
      <w:proofErr w:type="spellEnd"/>
      <w:proofErr w:type="gramEnd"/>
      <w:r w:rsidR="005544C4" w:rsidRPr="005D7BAC">
        <w:rPr>
          <w:i/>
        </w:rPr>
        <w:t xml:space="preserve"> al.</w:t>
      </w:r>
      <w:r w:rsidR="005544C4" w:rsidRPr="005D7BAC">
        <w:t xml:space="preserve"> (2006), a análise das variações no excedente do consumidor pelos retornos </w:t>
      </w:r>
      <w:r w:rsidR="0003426D">
        <w:t xml:space="preserve">anormais das firmas rivais pode </w:t>
      </w:r>
      <w:r w:rsidR="005544C4" w:rsidRPr="005D7BAC">
        <w:t>se perder em concentrações não horizontais</w:t>
      </w:r>
      <w:r w:rsidR="00C40B6B">
        <w:rPr>
          <w:rStyle w:val="Refdenotaderodap"/>
        </w:rPr>
        <w:footnoteReference w:id="1"/>
      </w:r>
      <w:r w:rsidR="005544C4" w:rsidRPr="005D7BAC">
        <w:t xml:space="preserve">. </w:t>
      </w:r>
      <w:r w:rsidR="00DF1446" w:rsidRPr="00C40B6B">
        <w:t xml:space="preserve">Dessa forma, a amostra analisada considera </w:t>
      </w:r>
      <w:r w:rsidR="005A4C13" w:rsidRPr="00C40B6B">
        <w:t>fusões</w:t>
      </w:r>
      <w:r w:rsidR="00DF1446" w:rsidRPr="00C40B6B">
        <w:t xml:space="preserve"> em que o efeito preponderante é horizontal.</w:t>
      </w:r>
    </w:p>
    <w:p w:rsidR="00466B47" w:rsidRDefault="007B0705" w:rsidP="00FA5866">
      <w:pPr>
        <w:spacing w:after="0" w:line="240" w:lineRule="auto"/>
      </w:pPr>
      <w:r>
        <w:t>A</w:t>
      </w:r>
      <w:r w:rsidR="00273E67" w:rsidRPr="003C053C">
        <w:t xml:space="preserve">s fusões horizontais são o exemplo mais claro de </w:t>
      </w:r>
      <w:r w:rsidR="004A0B70">
        <w:t xml:space="preserve">existência de </w:t>
      </w:r>
      <w:r w:rsidR="00273E67" w:rsidRPr="003C053C">
        <w:t>possíveis efeitos anticompetitivos. Isso acontece porque todas a</w:t>
      </w:r>
      <w:r w:rsidR="00CE1F50">
        <w:t>s fusões deste tipo reduzem o nú</w:t>
      </w:r>
      <w:r w:rsidR="00273E67" w:rsidRPr="003C053C">
        <w:t>mero de co</w:t>
      </w:r>
      <w:r w:rsidR="00500580">
        <w:t>mpetidores e, portanto, elevam</w:t>
      </w:r>
      <w:r w:rsidR="00273E67" w:rsidRPr="003C053C">
        <w:t xml:space="preserve"> a possibilidade de aumento de poder de mercado</w:t>
      </w:r>
      <w:r w:rsidR="00F24859">
        <w:rPr>
          <w:rStyle w:val="Refdenotaderodap"/>
        </w:rPr>
        <w:footnoteReference w:id="2"/>
      </w:r>
      <w:r w:rsidR="00705130">
        <w:t xml:space="preserve"> </w:t>
      </w:r>
      <w:r w:rsidR="00132ED5">
        <w:t>das firmas remanescentes</w:t>
      </w:r>
      <w:r w:rsidR="00273E67" w:rsidRPr="003C053C">
        <w:t>. Entretanto, como as fusões resultam na integração das unidades produtivas das firmas</w:t>
      </w:r>
      <w:r w:rsidR="00642944">
        <w:t xml:space="preserve"> fusionadas</w:t>
      </w:r>
      <w:r w:rsidR="00273E67" w:rsidRPr="003C053C">
        <w:t>, existe a possibilidade d</w:t>
      </w:r>
      <w:r w:rsidR="00132ED5">
        <w:t>e uma</w:t>
      </w:r>
      <w:r w:rsidR="00273E67" w:rsidRPr="003C053C">
        <w:t xml:space="preserve"> redução de custos socialmente benéfic</w:t>
      </w:r>
      <w:r w:rsidR="00943C14">
        <w:t>a</w:t>
      </w:r>
      <w:r w:rsidR="00273E67" w:rsidRPr="003C053C">
        <w:t>.</w:t>
      </w:r>
      <w:r w:rsidR="00705130">
        <w:t xml:space="preserve"> </w:t>
      </w:r>
      <w:r>
        <w:t>T</w:t>
      </w:r>
      <w:r w:rsidR="00072D97">
        <w:t xml:space="preserve">endo em vista </w:t>
      </w:r>
      <w:r w:rsidR="00F23E7B">
        <w:t xml:space="preserve">o </w:t>
      </w:r>
      <w:proofErr w:type="spellStart"/>
      <w:r w:rsidR="00F23E7B" w:rsidRPr="00500580">
        <w:rPr>
          <w:i/>
        </w:rPr>
        <w:t>trade-</w:t>
      </w:r>
      <w:proofErr w:type="gramStart"/>
      <w:r w:rsidR="00F23E7B" w:rsidRPr="00500580">
        <w:rPr>
          <w:i/>
        </w:rPr>
        <w:t>off</w:t>
      </w:r>
      <w:proofErr w:type="spellEnd"/>
      <w:proofErr w:type="gramEnd"/>
      <w:r w:rsidR="00AA4C50">
        <w:rPr>
          <w:i/>
        </w:rPr>
        <w:t xml:space="preserve">, </w:t>
      </w:r>
      <w:r w:rsidR="00AA4C50">
        <w:t xml:space="preserve">primeiramente abordado na literatura econômica por </w:t>
      </w:r>
      <w:proofErr w:type="spellStart"/>
      <w:r w:rsidR="00AA4C50">
        <w:t>Williamson</w:t>
      </w:r>
      <w:proofErr w:type="spellEnd"/>
      <w:r w:rsidR="00AA4C50">
        <w:t xml:space="preserve"> (1968)</w:t>
      </w:r>
      <w:r w:rsidR="00466B47">
        <w:t>,</w:t>
      </w:r>
      <w:r w:rsidR="00F23E7B">
        <w:t xml:space="preserve"> entre </w:t>
      </w:r>
      <w:r w:rsidR="00072D97">
        <w:t xml:space="preserve">os </w:t>
      </w:r>
      <w:r w:rsidR="00F23E7B">
        <w:t xml:space="preserve">possíveis </w:t>
      </w:r>
      <w:r w:rsidR="00072D97">
        <w:t xml:space="preserve">efeitos </w:t>
      </w:r>
      <w:r w:rsidR="00CE1F50">
        <w:t xml:space="preserve">danosos </w:t>
      </w:r>
      <w:r w:rsidR="00F23E7B">
        <w:t>e a possibilidade de ganhos em eficiência</w:t>
      </w:r>
      <w:r w:rsidR="00132ED5">
        <w:t xml:space="preserve"> resultante</w:t>
      </w:r>
      <w:r w:rsidR="00B16238">
        <w:t>s</w:t>
      </w:r>
      <w:r w:rsidR="00132ED5">
        <w:t xml:space="preserve"> da fusão,</w:t>
      </w:r>
      <w:r w:rsidR="00705130">
        <w:t xml:space="preserve"> </w:t>
      </w:r>
      <w:r w:rsidR="00E84572">
        <w:t xml:space="preserve">torna-se importante uma análise </w:t>
      </w:r>
      <w:r w:rsidR="00F23E7B">
        <w:t>dos fatores que permitem que uma firma adquira poder de mercado ou ganhe eficiência ao engajar em uma fusão.</w:t>
      </w:r>
    </w:p>
    <w:p w:rsidR="00822632" w:rsidRPr="003C053C" w:rsidRDefault="00384D66" w:rsidP="00FA5866">
      <w:pPr>
        <w:spacing w:after="0" w:line="240" w:lineRule="auto"/>
      </w:pPr>
      <w:r>
        <w:t>M</w:t>
      </w:r>
      <w:r w:rsidR="00822632" w:rsidRPr="003C053C">
        <w:t>otta (2004)</w:t>
      </w:r>
      <w:r w:rsidR="0096631E">
        <w:t xml:space="preserve"> apresenta </w:t>
      </w:r>
      <w:r w:rsidR="00822632" w:rsidRPr="003C053C">
        <w:t xml:space="preserve">os efeitos </w:t>
      </w:r>
      <w:r w:rsidR="00705130">
        <w:t xml:space="preserve">esperados </w:t>
      </w:r>
      <w:r w:rsidR="00257C64">
        <w:t>em fusões horizontais</w:t>
      </w:r>
      <w:r w:rsidR="00822632" w:rsidRPr="003C053C">
        <w:t xml:space="preserve"> e as principais circunstâncias em que essas operações </w:t>
      </w:r>
      <w:r w:rsidR="00466B47">
        <w:t xml:space="preserve">não </w:t>
      </w:r>
      <w:r w:rsidR="00822632" w:rsidRPr="003C053C">
        <w:t>devem ser permitidas pela autoridade antitruste.</w:t>
      </w:r>
      <w:r w:rsidR="00705130">
        <w:t xml:space="preserve"> </w:t>
      </w:r>
      <w:r w:rsidR="007251B4">
        <w:t>O autor d</w:t>
      </w:r>
      <w:r w:rsidR="00F23E7B" w:rsidRPr="00563A95">
        <w:t>istingu</w:t>
      </w:r>
      <w:r w:rsidR="007251B4">
        <w:t>e</w:t>
      </w:r>
      <w:r w:rsidR="00F23E7B" w:rsidRPr="00563A95">
        <w:t xml:space="preserve"> dois casos principais quando se estuda os efeitos</w:t>
      </w:r>
      <w:r w:rsidR="00705130">
        <w:t xml:space="preserve"> esperados</w:t>
      </w:r>
      <w:r w:rsidR="00F23E7B" w:rsidRPr="00563A95">
        <w:t xml:space="preserve"> de fusões</w:t>
      </w:r>
      <w:r w:rsidR="00943C14" w:rsidRPr="00563A95">
        <w:t>: p</w:t>
      </w:r>
      <w:r w:rsidR="00822632" w:rsidRPr="00563A95">
        <w:t xml:space="preserve">rimeiro, o caso </w:t>
      </w:r>
      <w:r w:rsidR="003F191A">
        <w:t>em que</w:t>
      </w:r>
      <w:r w:rsidR="00822632" w:rsidRPr="00563A95">
        <w:t xml:space="preserve"> a fusão pode permitir </w:t>
      </w:r>
      <w:r w:rsidR="00943C14" w:rsidRPr="00563A95">
        <w:t>à</w:t>
      </w:r>
      <w:r w:rsidR="00822632" w:rsidRPr="00563A95">
        <w:t xml:space="preserve"> nova firma obter poder de mercado</w:t>
      </w:r>
      <w:r w:rsidR="00C7782E">
        <w:t>, ou seja,</w:t>
      </w:r>
      <w:r w:rsidR="00822632" w:rsidRPr="00563A95">
        <w:t xml:space="preserve"> aumentar unilateralmente os preços</w:t>
      </w:r>
      <w:r w:rsidR="00943C14" w:rsidRPr="00563A95">
        <w:t>; s</w:t>
      </w:r>
      <w:r w:rsidR="00822632" w:rsidRPr="00563A95">
        <w:t>egundo</w:t>
      </w:r>
      <w:r w:rsidR="00943C14" w:rsidRPr="00563A95">
        <w:t>,</w:t>
      </w:r>
      <w:r w:rsidR="00822632" w:rsidRPr="00563A95">
        <w:t xml:space="preserve"> o caso em que a fusão pode favorecer a colusão</w:t>
      </w:r>
      <w:r w:rsidR="009D579F">
        <w:rPr>
          <w:rStyle w:val="Refdenotaderodap"/>
        </w:rPr>
        <w:footnoteReference w:id="3"/>
      </w:r>
      <w:r w:rsidR="00822632" w:rsidRPr="00563A95">
        <w:t xml:space="preserve"> na indústria</w:t>
      </w:r>
      <w:r w:rsidR="00016CA8">
        <w:t>.</w:t>
      </w:r>
    </w:p>
    <w:p w:rsidR="00822632" w:rsidRPr="003C053C" w:rsidRDefault="00822632" w:rsidP="00FA5866">
      <w:pPr>
        <w:spacing w:after="0" w:line="240" w:lineRule="auto"/>
      </w:pPr>
      <w:r w:rsidRPr="003C053C">
        <w:lastRenderedPageBreak/>
        <w:t>Em geral, a fusão aumenta</w:t>
      </w:r>
      <w:r w:rsidR="007F6A21">
        <w:t>, em algum nível,</w:t>
      </w:r>
      <w:r w:rsidRPr="003C053C">
        <w:t xml:space="preserve"> o poder de mercado das firmas unidas, o que</w:t>
      </w:r>
      <w:r w:rsidR="00132ED5">
        <w:t>,</w:t>
      </w:r>
      <w:r w:rsidRPr="003C053C">
        <w:t xml:space="preserve"> por sua vez</w:t>
      </w:r>
      <w:r w:rsidR="00132ED5">
        <w:t>,</w:t>
      </w:r>
      <w:r w:rsidRPr="003C053C">
        <w:t xml:space="preserve"> aumentará os preços do mercado.</w:t>
      </w:r>
      <w:r w:rsidR="00705130">
        <w:t xml:space="preserve"> </w:t>
      </w:r>
      <w:r w:rsidR="002810CC">
        <w:t>E</w:t>
      </w:r>
      <w:r w:rsidRPr="003C053C">
        <w:t xml:space="preserve">xistem pequenas diferenças nas previsões sobre os efeitos </w:t>
      </w:r>
      <w:r w:rsidR="00F13F1F">
        <w:t>sobre os preços decorrentes d</w:t>
      </w:r>
      <w:r w:rsidRPr="003C053C">
        <w:t xml:space="preserve">as fusões nos diferentes modelos </w:t>
      </w:r>
      <w:r w:rsidR="00943C14">
        <w:t>d</w:t>
      </w:r>
      <w:r w:rsidRPr="003C053C">
        <w:t>a literatura d</w:t>
      </w:r>
      <w:r w:rsidR="007F6A21">
        <w:t xml:space="preserve">e economia industrial. Em </w:t>
      </w:r>
      <w:r w:rsidRPr="003C053C">
        <w:t>modelos que assumem a v</w:t>
      </w:r>
      <w:r w:rsidR="007F6A21">
        <w:t xml:space="preserve">ariável estratégica </w:t>
      </w:r>
      <w:r w:rsidR="00C35F5F">
        <w:t xml:space="preserve">de escolha </w:t>
      </w:r>
      <w:r w:rsidR="007F6A21">
        <w:t>das firmas como</w:t>
      </w:r>
      <w:r w:rsidRPr="003C053C">
        <w:t xml:space="preserve"> o preço, prevê</w:t>
      </w:r>
      <w:r w:rsidR="00943C14">
        <w:t>-se</w:t>
      </w:r>
      <w:r w:rsidRPr="003C053C">
        <w:t xml:space="preserve"> que o preço cobrado pelas firmas unidas e por suas concorrentes ir</w:t>
      </w:r>
      <w:r w:rsidR="00943C14">
        <w:t>á</w:t>
      </w:r>
      <w:r w:rsidRPr="003C053C">
        <w:t xml:space="preserve"> aumentar. Entretanto, os modelos que assumem como </w:t>
      </w:r>
      <w:r w:rsidR="00132ED5">
        <w:t xml:space="preserve">variável estratégica a </w:t>
      </w:r>
      <w:r w:rsidRPr="003C053C">
        <w:t xml:space="preserve">quantidade </w:t>
      </w:r>
      <w:r w:rsidR="00132ED5">
        <w:t>produzida</w:t>
      </w:r>
      <w:r w:rsidR="00705130">
        <w:t>,</w:t>
      </w:r>
      <w:r w:rsidR="00132ED5">
        <w:t xml:space="preserve"> </w:t>
      </w:r>
      <w:r w:rsidRPr="003C053C">
        <w:t>prev</w:t>
      </w:r>
      <w:r w:rsidR="00132ED5">
        <w:t>e</w:t>
      </w:r>
      <w:r w:rsidR="009B2A2E">
        <w:t>em que as firmas fusionadas</w:t>
      </w:r>
      <w:r w:rsidRPr="003C053C">
        <w:t xml:space="preserve"> reduziriam sua quantidade ofertada</w:t>
      </w:r>
      <w:r w:rsidR="00943C14">
        <w:t>,</w:t>
      </w:r>
      <w:r w:rsidRPr="003C053C">
        <w:t xml:space="preserve"> enquanto suas concorrentes aumentariam sua oferta. </w:t>
      </w:r>
      <w:r w:rsidR="00BC5F00">
        <w:t>A intuiçã</w:t>
      </w:r>
      <w:r w:rsidR="003F191A">
        <w:t>o por trás deste efeito</w:t>
      </w:r>
      <w:r w:rsidR="00AD0464">
        <w:t xml:space="preserve"> </w:t>
      </w:r>
      <w:r w:rsidR="00064B16">
        <w:t xml:space="preserve">é que as firmas unidas internalizam as </w:t>
      </w:r>
      <w:proofErr w:type="spellStart"/>
      <w:r w:rsidR="00064B16">
        <w:t>externalidades</w:t>
      </w:r>
      <w:proofErr w:type="spellEnd"/>
      <w:r w:rsidR="00064B16">
        <w:t xml:space="preserve"> negativas dos preços mais baixos da indústria e reduzem sua produção, </w:t>
      </w:r>
      <w:r w:rsidR="00C1655D">
        <w:t xml:space="preserve">sendo que </w:t>
      </w:r>
      <w:r w:rsidR="00064B16">
        <w:t>as concorrentes responderão aumenta</w:t>
      </w:r>
      <w:r w:rsidR="00C1655D">
        <w:t>n</w:t>
      </w:r>
      <w:r w:rsidR="00064B16">
        <w:t>do sua produção.</w:t>
      </w:r>
      <w:r w:rsidR="00AD0464">
        <w:t xml:space="preserve"> </w:t>
      </w:r>
      <w:r w:rsidRPr="003C053C">
        <w:t>A</w:t>
      </w:r>
      <w:r w:rsidR="007F6A21">
        <w:t>pesar dessa</w:t>
      </w:r>
      <w:r w:rsidRPr="003C053C">
        <w:t xml:space="preserve"> diferença entre </w:t>
      </w:r>
      <w:r w:rsidR="007F6A21">
        <w:t>os dois modelos</w:t>
      </w:r>
      <w:r w:rsidR="00943C14">
        <w:t>,</w:t>
      </w:r>
      <w:r w:rsidRPr="003C053C">
        <w:t xml:space="preserve"> ambos prev</w:t>
      </w:r>
      <w:r w:rsidR="00132ED5">
        <w:t>e</w:t>
      </w:r>
      <w:r w:rsidRPr="003C053C">
        <w:t>em que o efeito geral de uma fusão</w:t>
      </w:r>
      <w:r w:rsidR="00572ADA">
        <w:t xml:space="preserve">, </w:t>
      </w:r>
      <w:r w:rsidR="00234149">
        <w:t>na a</w:t>
      </w:r>
      <w:r w:rsidR="00572ADA">
        <w:t xml:space="preserve">usência de ganhos de eficiência, </w:t>
      </w:r>
      <w:r w:rsidR="007F6A21">
        <w:t>será</w:t>
      </w:r>
      <w:r w:rsidR="00AD0464">
        <w:t xml:space="preserve"> </w:t>
      </w:r>
      <w:r w:rsidR="007F6A21">
        <w:t>a diminuição d</w:t>
      </w:r>
      <w:r w:rsidRPr="003C053C">
        <w:t>o excedente do consumidor.</w:t>
      </w:r>
    </w:p>
    <w:p w:rsidR="00822632" w:rsidRDefault="00822632" w:rsidP="00FA5866">
      <w:pPr>
        <w:spacing w:after="0" w:line="240" w:lineRule="auto"/>
      </w:pPr>
      <w:r w:rsidRPr="003C053C">
        <w:t>O que é</w:t>
      </w:r>
      <w:r w:rsidR="007F6A21">
        <w:t xml:space="preserve"> de certo modo surpreendente é que</w:t>
      </w:r>
      <w:r w:rsidR="00D93380">
        <w:t>,</w:t>
      </w:r>
      <w:r w:rsidR="007F6A21">
        <w:t xml:space="preserve"> sem</w:t>
      </w:r>
      <w:r w:rsidRPr="003C053C">
        <w:t xml:space="preserve"> ganhos em eficiência</w:t>
      </w:r>
      <w:r w:rsidR="00D93380">
        <w:t>,</w:t>
      </w:r>
      <w:r w:rsidRPr="003C053C">
        <w:t xml:space="preserve"> a</w:t>
      </w:r>
      <w:r w:rsidR="004A0B70">
        <w:t>s fusões horizontais</w:t>
      </w:r>
      <w:r w:rsidR="00AD0464">
        <w:t xml:space="preserve"> </w:t>
      </w:r>
      <w:r w:rsidR="004A0B70">
        <w:t>podem beneficiar</w:t>
      </w:r>
      <w:r w:rsidRPr="003C053C">
        <w:t xml:space="preserve"> as firmas concorrentes. Isto acontece porque as firmas fusionadas</w:t>
      </w:r>
      <w:r w:rsidR="00D93380">
        <w:t>,</w:t>
      </w:r>
      <w:r w:rsidRPr="003C053C">
        <w:t xml:space="preserve"> ao aumentarem seus preços e/ou reduzirem </w:t>
      </w:r>
      <w:r w:rsidR="007F6A21">
        <w:t xml:space="preserve">a </w:t>
      </w:r>
      <w:r w:rsidRPr="003C053C">
        <w:t>quantidade</w:t>
      </w:r>
      <w:r w:rsidR="00D93380">
        <w:t>,</w:t>
      </w:r>
      <w:r w:rsidRPr="003C053C">
        <w:t xml:space="preserve"> beneficiarão suas rivais</w:t>
      </w:r>
      <w:r w:rsidR="002810CC">
        <w:t>, que poderão também aumentar seus preços ou produzir mais para atender à lacuna de mercado deixada pelas firmas</w:t>
      </w:r>
      <w:r w:rsidR="00642944">
        <w:t xml:space="preserve"> fusionadas</w:t>
      </w:r>
      <w:r w:rsidRPr="003C053C">
        <w:t xml:space="preserve">. De fato, </w:t>
      </w:r>
      <w:r w:rsidR="003F191A">
        <w:t xml:space="preserve">se não </w:t>
      </w:r>
      <w:proofErr w:type="gramStart"/>
      <w:r w:rsidR="003F191A">
        <w:t>houver ganhos</w:t>
      </w:r>
      <w:proofErr w:type="gramEnd"/>
      <w:r w:rsidR="003F191A">
        <w:t xml:space="preserve"> de eficiência, </w:t>
      </w:r>
      <w:r w:rsidRPr="003C053C">
        <w:t xml:space="preserve">as firmas rivais poderão ganhar mais </w:t>
      </w:r>
      <w:r w:rsidR="003F191A">
        <w:t>com a fusão</w:t>
      </w:r>
      <w:r w:rsidRPr="003C053C">
        <w:t xml:space="preserve"> que as firmas unidas.</w:t>
      </w:r>
    </w:p>
    <w:p w:rsidR="00822632" w:rsidRPr="003C053C" w:rsidRDefault="00BA794E" w:rsidP="00FA5866">
      <w:pPr>
        <w:spacing w:after="0" w:line="240" w:lineRule="auto"/>
      </w:pPr>
      <w:r>
        <w:t>N</w:t>
      </w:r>
      <w:r w:rsidR="00822632" w:rsidRPr="003C053C">
        <w:t xml:space="preserve">a ausência de ganhos em eficiência, deve-se esperar que uma fusão </w:t>
      </w:r>
      <w:proofErr w:type="gramStart"/>
      <w:r w:rsidR="00822632" w:rsidRPr="003C053C">
        <w:t>diminua</w:t>
      </w:r>
      <w:proofErr w:type="gramEnd"/>
      <w:r w:rsidR="00822632" w:rsidRPr="003C053C">
        <w:t xml:space="preserve"> o excedente do consumidor </w:t>
      </w:r>
      <w:r w:rsidR="00CA087E">
        <w:t>e</w:t>
      </w:r>
      <w:r w:rsidR="00822632" w:rsidRPr="003C053C">
        <w:t xml:space="preserve"> o bem-estar total. No entanto, está bem sedimentado na literatura econômica que ganhos em eficiência poderão compensar </w:t>
      </w:r>
      <w:r w:rsidR="007812DF">
        <w:t xml:space="preserve">o </w:t>
      </w:r>
      <w:r w:rsidR="00822632" w:rsidRPr="003C053C">
        <w:t>aumento de poder de mercado das firmas fusionadas e gerar um aumento do bem-estar. Isto acontece porque a nova firma poderá ser mais eficiente de modo a diminuir seu custo por unidade produzida. Se esta economia for suficientemente grande</w:t>
      </w:r>
      <w:r w:rsidR="00CA087E">
        <w:t>,</w:t>
      </w:r>
      <w:r w:rsidR="00822632" w:rsidRPr="003C053C">
        <w:t xml:space="preserve"> irá superar o aumento de poder de mercado</w:t>
      </w:r>
      <w:r w:rsidR="00CA087E">
        <w:t>,</w:t>
      </w:r>
      <w:r w:rsidR="00822632" w:rsidRPr="003C053C">
        <w:t xml:space="preserve"> resultando </w:t>
      </w:r>
      <w:r w:rsidR="00CA087E">
        <w:t xml:space="preserve">em </w:t>
      </w:r>
      <w:r w:rsidR="006F78C5">
        <w:t>um benefí</w:t>
      </w:r>
      <w:r w:rsidR="00822632" w:rsidRPr="003C053C">
        <w:t xml:space="preserve">cio aos consumidores.        </w:t>
      </w:r>
    </w:p>
    <w:p w:rsidR="00822632" w:rsidRPr="003C053C" w:rsidRDefault="00822632" w:rsidP="00FA5866">
      <w:pPr>
        <w:spacing w:after="0" w:line="240" w:lineRule="auto"/>
      </w:pPr>
      <w:r w:rsidRPr="003C053C">
        <w:t>Em geral, com a existência de ganhos em eficiência</w:t>
      </w:r>
      <w:r w:rsidR="00CA087E">
        <w:t>,</w:t>
      </w:r>
      <w:r w:rsidRPr="003C053C">
        <w:t xml:space="preserve"> as firmas fusionadas possuem dois caminhos possíveis para aumentar seus lucros: aumen</w:t>
      </w:r>
      <w:r w:rsidR="007812DF">
        <w:t xml:space="preserve">tar </w:t>
      </w:r>
      <w:r w:rsidR="00EA6484">
        <w:t>as margens</w:t>
      </w:r>
      <w:r w:rsidR="001C19FA">
        <w:rPr>
          <w:rStyle w:val="Refdenotaderodap"/>
        </w:rPr>
        <w:footnoteReference w:id="4"/>
      </w:r>
      <w:r w:rsidR="00EA6484">
        <w:t xml:space="preserve"> mantendo o volume de produção</w:t>
      </w:r>
      <w:r w:rsidRPr="003C053C">
        <w:t xml:space="preserve"> ou</w:t>
      </w:r>
      <w:r w:rsidR="009D579F">
        <w:t xml:space="preserve"> aumentar </w:t>
      </w:r>
      <w:r w:rsidR="00EA6484">
        <w:t xml:space="preserve">o volume de </w:t>
      </w:r>
      <w:r w:rsidR="009D579F">
        <w:t>produção</w:t>
      </w:r>
      <w:r w:rsidR="00CF0D59">
        <w:t xml:space="preserve"> </w:t>
      </w:r>
      <w:r w:rsidR="00375B9D">
        <w:t>com</w:t>
      </w:r>
      <w:r w:rsidR="00EA6484">
        <w:t xml:space="preserve"> diminuição das margens</w:t>
      </w:r>
      <w:r w:rsidR="001C19FA">
        <w:rPr>
          <w:rStyle w:val="Refdenotaderodap"/>
        </w:rPr>
        <w:footnoteReference w:id="5"/>
      </w:r>
      <w:r w:rsidRPr="003C053C">
        <w:t xml:space="preserve">. </w:t>
      </w:r>
      <w:r w:rsidR="00CA087E">
        <w:t>O</w:t>
      </w:r>
      <w:r w:rsidRPr="003C053C">
        <w:t xml:space="preserve"> caminho que será adotado não pode ser </w:t>
      </w:r>
      <w:r w:rsidR="00CA087E">
        <w:t>estabelecido</w:t>
      </w:r>
      <w:r w:rsidR="00CF0D59">
        <w:t xml:space="preserve"> </w:t>
      </w:r>
      <w:r w:rsidRPr="00CA087E">
        <w:rPr>
          <w:i/>
        </w:rPr>
        <w:t>a priori</w:t>
      </w:r>
      <w:r w:rsidRPr="003C053C">
        <w:t>, mas</w:t>
      </w:r>
      <w:r w:rsidR="007812DF">
        <w:t>,</w:t>
      </w:r>
      <w:r w:rsidRPr="003C053C">
        <w:t xml:space="preserve"> quanto maior</w:t>
      </w:r>
      <w:r w:rsidR="00CA087E">
        <w:t>es</w:t>
      </w:r>
      <w:r w:rsidRPr="003C053C">
        <w:t xml:space="preserve"> forem os ganhos em eficiência</w:t>
      </w:r>
      <w:r w:rsidR="00CA087E">
        <w:t>,</w:t>
      </w:r>
      <w:r w:rsidRPr="003C053C">
        <w:t xml:space="preserve"> maior será a possibilidade </w:t>
      </w:r>
      <w:proofErr w:type="gramStart"/>
      <w:r w:rsidR="00D356F7">
        <w:t>d</w:t>
      </w:r>
      <w:r w:rsidRPr="003C053C">
        <w:t>o segundo efeito se</w:t>
      </w:r>
      <w:r w:rsidR="00D356F7">
        <w:t>r</w:t>
      </w:r>
      <w:proofErr w:type="gramEnd"/>
      <w:r w:rsidRPr="003C053C">
        <w:t xml:space="preserve"> preponderante. Se os ganhos em eficiência forem suficientemente grandes</w:t>
      </w:r>
      <w:r w:rsidR="00CA087E">
        <w:t>,</w:t>
      </w:r>
      <w:r w:rsidRPr="003C053C">
        <w:t xml:space="preserve"> então as firmas fusionadas diminuirão os preços de venda e </w:t>
      </w:r>
      <w:r w:rsidR="00CA087E">
        <w:t xml:space="preserve">tanto </w:t>
      </w:r>
      <w:r w:rsidRPr="003C053C">
        <w:t xml:space="preserve">o excedente dos consumidores </w:t>
      </w:r>
      <w:r w:rsidR="00CA087E">
        <w:t>quanto</w:t>
      </w:r>
      <w:r w:rsidR="00CF0D59">
        <w:t xml:space="preserve"> </w:t>
      </w:r>
      <w:proofErr w:type="gramStart"/>
      <w:r w:rsidR="001B4575">
        <w:t>o</w:t>
      </w:r>
      <w:r w:rsidR="00CF0D59">
        <w:t xml:space="preserve"> </w:t>
      </w:r>
      <w:r w:rsidR="001B4575">
        <w:t>bem-estar total aumentarão</w:t>
      </w:r>
      <w:proofErr w:type="gramEnd"/>
      <w:r w:rsidR="00717717">
        <w:t xml:space="preserve"> (MOTTA, </w:t>
      </w:r>
      <w:r w:rsidR="001B4575">
        <w:t>2004).</w:t>
      </w:r>
    </w:p>
    <w:p w:rsidR="00822632" w:rsidRDefault="008B2E88" w:rsidP="00FA5866">
      <w:pPr>
        <w:spacing w:after="0" w:line="240" w:lineRule="auto"/>
      </w:pPr>
      <w:r>
        <w:t>E</w:t>
      </w:r>
      <w:r w:rsidR="00822632" w:rsidRPr="003C053C">
        <w:t>xistem diversas razões p</w:t>
      </w:r>
      <w:r w:rsidR="00CA087E">
        <w:t>elas quais</w:t>
      </w:r>
      <w:r w:rsidR="00CF0D59">
        <w:t xml:space="preserve"> </w:t>
      </w:r>
      <w:r w:rsidR="00670F87">
        <w:t>as</w:t>
      </w:r>
      <w:r w:rsidR="00CF0D59">
        <w:t xml:space="preserve"> </w:t>
      </w:r>
      <w:r w:rsidR="00822632" w:rsidRPr="003C053C">
        <w:t>firmas que se un</w:t>
      </w:r>
      <w:r w:rsidR="00717717">
        <w:t xml:space="preserve">em podem diminuir seus custos. </w:t>
      </w:r>
      <w:r w:rsidR="00822632" w:rsidRPr="003C053C">
        <w:t>A primeira que se destaca é a existência de economias de escala e escopo. Por causa de uma fusão, as firmas poderão reorganizar suas produções de forma a melhorar suas divisões de trabalho e obter economias de escala</w:t>
      </w:r>
      <w:r w:rsidR="00463DFE">
        <w:t>,</w:t>
      </w:r>
      <w:r w:rsidR="00822632" w:rsidRPr="003C053C">
        <w:t xml:space="preserve"> ou poderão obter menores custos dada </w:t>
      </w:r>
      <w:proofErr w:type="gramStart"/>
      <w:r w:rsidR="00822632" w:rsidRPr="003C053C">
        <w:t>a</w:t>
      </w:r>
      <w:proofErr w:type="gramEnd"/>
      <w:r w:rsidR="00822632" w:rsidRPr="003C053C">
        <w:t xml:space="preserve"> produção conjunta. Outros possíveis ganhos poderão advir de sinergias em pesquisa e desenvolvimento e racionalização da distribuição.</w:t>
      </w:r>
    </w:p>
    <w:p w:rsidR="00137859" w:rsidRDefault="00137859" w:rsidP="00FA5866">
      <w:pPr>
        <w:spacing w:after="0" w:line="240" w:lineRule="auto"/>
      </w:pPr>
      <w:r>
        <w:t xml:space="preserve">Em relação </w:t>
      </w:r>
      <w:r w:rsidR="0090113A">
        <w:t>à</w:t>
      </w:r>
      <w:r>
        <w:t xml:space="preserve">s firmas rivais, ao contrário do caso em que não existem ganhos em eficiência, </w:t>
      </w:r>
      <w:r w:rsidR="0090113A">
        <w:t>essas</w:t>
      </w:r>
      <w:r>
        <w:t xml:space="preserve"> perderão com a fusão e, desta forma, se oporão a </w:t>
      </w:r>
      <w:r w:rsidR="0090113A">
        <w:t>ela</w:t>
      </w:r>
      <w:r>
        <w:t>.</w:t>
      </w:r>
      <w:r w:rsidR="00CF0D59">
        <w:t xml:space="preserve"> </w:t>
      </w:r>
      <w:r>
        <w:t>Quando, por exemplo, a fusão permitir que as firmas fusionadas diminuam seus custos</w:t>
      </w:r>
      <w:r w:rsidR="0090113A">
        <w:t>,</w:t>
      </w:r>
      <w:r w:rsidR="00CF0D59">
        <w:t xml:space="preserve"> </w:t>
      </w:r>
      <w:r w:rsidR="00F40148">
        <w:t xml:space="preserve">isso </w:t>
      </w:r>
      <w:r w:rsidR="0090113A">
        <w:t xml:space="preserve">fará </w:t>
      </w:r>
      <w:r w:rsidR="00F40148">
        <w:t>com que as firmas fusionadas melhorem sua posição competitiva em detrimento das rivais.</w:t>
      </w:r>
    </w:p>
    <w:p w:rsidR="001C19FA" w:rsidRDefault="00F40298" w:rsidP="00FA5866">
      <w:pPr>
        <w:spacing w:after="0" w:line="240" w:lineRule="auto"/>
      </w:pPr>
      <w:r>
        <w:t xml:space="preserve">Dessa forma, a análise </w:t>
      </w:r>
      <w:r w:rsidR="0090113A">
        <w:t xml:space="preserve">teórica </w:t>
      </w:r>
      <w:r>
        <w:t>de fusões revela que o lucro das firmas rivais diminuirá quando a fusão tiver um efeito positivo sobre o bem-estar</w:t>
      </w:r>
      <w:r w:rsidR="001D430B">
        <w:t xml:space="preserve">, notadamente, quando existirem ganhos de </w:t>
      </w:r>
      <w:r w:rsidR="00352258">
        <w:t>eficiência</w:t>
      </w:r>
      <w:r w:rsidR="001D430B">
        <w:t xml:space="preserve"> suficientemente grandes</w:t>
      </w:r>
      <w:r w:rsidR="00352258">
        <w:t xml:space="preserve">. Nessa direção, autores como </w:t>
      </w:r>
      <w:proofErr w:type="spellStart"/>
      <w:r w:rsidR="00352258">
        <w:t>Stil</w:t>
      </w:r>
      <w:r w:rsidR="006F5460">
        <w:t>l</w:t>
      </w:r>
      <w:r w:rsidR="00352258">
        <w:t>mann</w:t>
      </w:r>
      <w:proofErr w:type="spellEnd"/>
      <w:r w:rsidR="00352258">
        <w:t xml:space="preserve"> (</w:t>
      </w:r>
      <w:r w:rsidR="0035647F">
        <w:t>1983</w:t>
      </w:r>
      <w:r w:rsidR="0028177F">
        <w:t xml:space="preserve">) e </w:t>
      </w:r>
      <w:proofErr w:type="spellStart"/>
      <w:r w:rsidR="0028177F">
        <w:t>Eckbo</w:t>
      </w:r>
      <w:proofErr w:type="spellEnd"/>
      <w:r w:rsidR="0028177F">
        <w:t xml:space="preserve"> (1983) utilizaram </w:t>
      </w:r>
      <w:r w:rsidR="00352258">
        <w:t xml:space="preserve">as reações das ações das firmas rivais ao anúncio de uma fusão </w:t>
      </w:r>
      <w:r w:rsidR="0090113A">
        <w:t xml:space="preserve">como ferramenta para se </w:t>
      </w:r>
      <w:proofErr w:type="gramStart"/>
      <w:r w:rsidR="00352258">
        <w:t>obter</w:t>
      </w:r>
      <w:proofErr w:type="gramEnd"/>
      <w:r w:rsidR="00352258">
        <w:t xml:space="preserve"> um indicativo de ganhos de eficiência. Se </w:t>
      </w:r>
      <w:r w:rsidR="0028177F">
        <w:t>o preço d</w:t>
      </w:r>
      <w:r w:rsidR="00352258">
        <w:t>as ações das firmas rivais decresce</w:t>
      </w:r>
      <w:r w:rsidR="00CF0D59">
        <w:t>sse</w:t>
      </w:r>
      <w:r w:rsidR="00352258">
        <w:t>, isso então indicaria que o mercado antecipa a presença de ganhos de eficiência</w:t>
      </w:r>
      <w:r w:rsidR="0090113A">
        <w:t xml:space="preserve"> (efeito competitivo da fusão)</w:t>
      </w:r>
      <w:r w:rsidR="00352258">
        <w:t xml:space="preserve">. </w:t>
      </w:r>
      <w:r w:rsidR="0028177F">
        <w:t>Por outro lado, uma reação positiva n</w:t>
      </w:r>
      <w:r w:rsidR="00352258">
        <w:t>os retornos das rivais ao anúncio da fusão indicaria a ausência ou a pequena relevância de ganhos de eficiência</w:t>
      </w:r>
      <w:r w:rsidR="0028177F">
        <w:t>;</w:t>
      </w:r>
      <w:r w:rsidR="00352258">
        <w:t xml:space="preserve"> consequentemente</w:t>
      </w:r>
      <w:r w:rsidR="0028177F">
        <w:t>,</w:t>
      </w:r>
      <w:r w:rsidR="00352258">
        <w:t xml:space="preserve"> a fusão seria danosa ao bem-estar</w:t>
      </w:r>
      <w:r w:rsidR="0090113A">
        <w:t xml:space="preserve"> por gera</w:t>
      </w:r>
      <w:r w:rsidR="009A1EC0">
        <w:t>r poder de mercado (efeito anti</w:t>
      </w:r>
      <w:r w:rsidR="0090113A">
        <w:t>competitivo da fusão)</w:t>
      </w:r>
      <w:r w:rsidR="0028177F">
        <w:t>.</w:t>
      </w:r>
    </w:p>
    <w:p w:rsidR="00455DEE" w:rsidRDefault="00455DEE" w:rsidP="00FA5866">
      <w:pPr>
        <w:spacing w:after="0" w:line="240" w:lineRule="auto"/>
        <w:ind w:firstLine="0"/>
        <w:rPr>
          <w:b/>
        </w:rPr>
      </w:pPr>
    </w:p>
    <w:p w:rsidR="00790EF7" w:rsidRPr="00790EF7" w:rsidRDefault="00790EF7" w:rsidP="00FA5866">
      <w:pPr>
        <w:spacing w:after="0" w:line="240" w:lineRule="auto"/>
        <w:ind w:firstLine="0"/>
        <w:rPr>
          <w:b/>
        </w:rPr>
      </w:pPr>
      <w:r w:rsidRPr="00790EF7">
        <w:rPr>
          <w:b/>
        </w:rPr>
        <w:t>3. Trabalhos empíricos sobre o tema</w:t>
      </w:r>
    </w:p>
    <w:p w:rsidR="00DF273E" w:rsidRPr="00F72F61" w:rsidRDefault="00DF273E" w:rsidP="00FA5866">
      <w:pPr>
        <w:spacing w:after="0" w:line="240" w:lineRule="auto"/>
        <w:rPr>
          <w:rFonts w:eastAsia="Times New Roman"/>
        </w:rPr>
      </w:pPr>
      <w:r>
        <w:rPr>
          <w:rFonts w:eastAsia="Times New Roman"/>
        </w:rPr>
        <w:t xml:space="preserve">Em </w:t>
      </w:r>
      <w:proofErr w:type="spellStart"/>
      <w:r>
        <w:rPr>
          <w:rFonts w:eastAsia="Times New Roman"/>
        </w:rPr>
        <w:t>Stillman</w:t>
      </w:r>
      <w:proofErr w:type="spellEnd"/>
      <w:r>
        <w:rPr>
          <w:rFonts w:eastAsia="Times New Roman"/>
        </w:rPr>
        <w:t xml:space="preserve"> (1983), foram utilizado</w:t>
      </w:r>
      <w:r w:rsidRPr="00F72F61">
        <w:rPr>
          <w:rFonts w:eastAsia="Times New Roman"/>
        </w:rPr>
        <w:t xml:space="preserve">s retornos diários de ações de uma amostra das firmas rivais de 11 fusões horizontais </w:t>
      </w:r>
      <w:r w:rsidR="00CE19AE">
        <w:rPr>
          <w:rFonts w:eastAsia="Times New Roman"/>
        </w:rPr>
        <w:t xml:space="preserve">nos EUA </w:t>
      </w:r>
      <w:r w:rsidRPr="00F72F61">
        <w:rPr>
          <w:rFonts w:eastAsia="Times New Roman"/>
        </w:rPr>
        <w:t>entre 1964 e 1972 que foram</w:t>
      </w:r>
      <w:r>
        <w:rPr>
          <w:rFonts w:eastAsia="Times New Roman"/>
        </w:rPr>
        <w:t xml:space="preserve"> confrontadas pelas agê</w:t>
      </w:r>
      <w:r w:rsidRPr="00F72F61">
        <w:rPr>
          <w:rFonts w:eastAsia="Times New Roman"/>
        </w:rPr>
        <w:t>ncias antitruste americanas para testar a hipótese de que</w:t>
      </w:r>
      <w:r>
        <w:rPr>
          <w:rFonts w:eastAsia="Times New Roman"/>
        </w:rPr>
        <w:t>,</w:t>
      </w:r>
      <w:r w:rsidRPr="00F72F61">
        <w:rPr>
          <w:rFonts w:eastAsia="Times New Roman"/>
        </w:rPr>
        <w:t xml:space="preserve"> na ausência da interferência governamental</w:t>
      </w:r>
      <w:r>
        <w:rPr>
          <w:rFonts w:eastAsia="Times New Roman"/>
        </w:rPr>
        <w:t>,</w:t>
      </w:r>
      <w:r w:rsidRPr="00F72F61">
        <w:rPr>
          <w:rFonts w:eastAsia="Times New Roman"/>
        </w:rPr>
        <w:t xml:space="preserve"> as fusões analisadas levariam a um aumento dos preços do mercado.</w:t>
      </w:r>
      <w:r>
        <w:rPr>
          <w:rFonts w:eastAsia="Times New Roman"/>
        </w:rPr>
        <w:t xml:space="preserve"> </w:t>
      </w:r>
      <w:r w:rsidRPr="00F72F61">
        <w:rPr>
          <w:rFonts w:eastAsia="Times New Roman"/>
        </w:rPr>
        <w:t xml:space="preserve">Os resultados reportados por </w:t>
      </w:r>
      <w:proofErr w:type="spellStart"/>
      <w:r w:rsidRPr="00F72F61">
        <w:rPr>
          <w:rFonts w:eastAsia="Times New Roman"/>
        </w:rPr>
        <w:t>Stil</w:t>
      </w:r>
      <w:r>
        <w:rPr>
          <w:rFonts w:eastAsia="Times New Roman"/>
        </w:rPr>
        <w:t>lman</w:t>
      </w:r>
      <w:proofErr w:type="spellEnd"/>
      <w:r>
        <w:rPr>
          <w:rFonts w:eastAsia="Times New Roman"/>
        </w:rPr>
        <w:t xml:space="preserve"> (1983</w:t>
      </w:r>
      <w:r w:rsidRPr="00F72F61">
        <w:rPr>
          <w:rFonts w:eastAsia="Times New Roman"/>
        </w:rPr>
        <w:t>) indica</w:t>
      </w:r>
      <w:r>
        <w:rPr>
          <w:rFonts w:eastAsia="Times New Roman"/>
        </w:rPr>
        <w:t>ra</w:t>
      </w:r>
      <w:r w:rsidRPr="00F72F61">
        <w:rPr>
          <w:rFonts w:eastAsia="Times New Roman"/>
        </w:rPr>
        <w:t>m que</w:t>
      </w:r>
      <w:r>
        <w:rPr>
          <w:rFonts w:eastAsia="Times New Roman"/>
        </w:rPr>
        <w:t>,</w:t>
      </w:r>
      <w:r w:rsidRPr="00F72F61">
        <w:rPr>
          <w:rFonts w:eastAsia="Times New Roman"/>
        </w:rPr>
        <w:t xml:space="preserve"> em apenas uma das 11 fusões analisadas</w:t>
      </w:r>
      <w:r>
        <w:rPr>
          <w:rFonts w:eastAsia="Times New Roman"/>
        </w:rPr>
        <w:t>,</w:t>
      </w:r>
      <w:r w:rsidRPr="00F72F61">
        <w:rPr>
          <w:rFonts w:eastAsia="Times New Roman"/>
        </w:rPr>
        <w:t xml:space="preserve"> as firmas rivais exibiram retornos anormais</w:t>
      </w:r>
      <w:r w:rsidR="00CE19AE">
        <w:rPr>
          <w:rFonts w:eastAsia="Times New Roman"/>
        </w:rPr>
        <w:t xml:space="preserve"> positivos</w:t>
      </w:r>
      <w:r w:rsidRPr="00F72F61">
        <w:rPr>
          <w:rFonts w:eastAsia="Times New Roman"/>
        </w:rPr>
        <w:t>. Dessa forma, os resultados sugerem que</w:t>
      </w:r>
      <w:r>
        <w:rPr>
          <w:rFonts w:eastAsia="Times New Roman"/>
        </w:rPr>
        <w:t>,</w:t>
      </w:r>
      <w:r w:rsidRPr="00F72F61">
        <w:rPr>
          <w:rFonts w:eastAsia="Times New Roman"/>
        </w:rPr>
        <w:t xml:space="preserve"> na maioria das fusões analisadas</w:t>
      </w:r>
      <w:r>
        <w:rPr>
          <w:rFonts w:eastAsia="Times New Roman"/>
        </w:rPr>
        <w:t>, não era esperado pelos</w:t>
      </w:r>
      <w:r w:rsidRPr="00F72F61">
        <w:rPr>
          <w:rFonts w:eastAsia="Times New Roman"/>
        </w:rPr>
        <w:t xml:space="preserve"> investidores que existisse qualquer aumento nos preços dos produtos.</w:t>
      </w:r>
    </w:p>
    <w:p w:rsidR="00DF273E" w:rsidRPr="006F5460" w:rsidRDefault="00DF273E" w:rsidP="00FA5866">
      <w:pPr>
        <w:spacing w:after="0" w:line="240" w:lineRule="auto"/>
      </w:pPr>
      <w:proofErr w:type="spellStart"/>
      <w:r>
        <w:t>Eckbo</w:t>
      </w:r>
      <w:proofErr w:type="spellEnd"/>
      <w:r>
        <w:t xml:space="preserve"> (1983</w:t>
      </w:r>
      <w:r w:rsidRPr="00F86115">
        <w:t>), por meio de uma amostra de 232 fusões horizontais entre 1963 e 1981, t</w:t>
      </w:r>
      <w:r>
        <w:t>estou</w:t>
      </w:r>
      <w:r w:rsidRPr="00782C06">
        <w:t xml:space="preserve"> empiricamente a rela</w:t>
      </w:r>
      <w:r>
        <w:t xml:space="preserve">ção entre o efeito renda </w:t>
      </w:r>
      <w:r w:rsidRPr="00782C06">
        <w:t>de uma fusão bem sucedida e os anúnci</w:t>
      </w:r>
      <w:r>
        <w:t>os das fusões e variáveis especí</w:t>
      </w:r>
      <w:r w:rsidRPr="00782C06">
        <w:t>ficas de cada indústria</w:t>
      </w:r>
      <w:r>
        <w:t>,</w:t>
      </w:r>
      <w:r w:rsidRPr="00782C06">
        <w:t xml:space="preserve"> como o nível de concentração e participação de mercado das firmas envolvidas na fusão. </w:t>
      </w:r>
      <w:r w:rsidRPr="00F72F61">
        <w:rPr>
          <w:rFonts w:eastAsia="Times New Roman"/>
        </w:rPr>
        <w:t>Os resultados enc</w:t>
      </w:r>
      <w:r>
        <w:rPr>
          <w:rFonts w:eastAsia="Times New Roman"/>
        </w:rPr>
        <w:t xml:space="preserve">ontrados por </w:t>
      </w:r>
      <w:proofErr w:type="spellStart"/>
      <w:r>
        <w:rPr>
          <w:rFonts w:eastAsia="Times New Roman"/>
        </w:rPr>
        <w:t>Eckbo</w:t>
      </w:r>
      <w:proofErr w:type="spellEnd"/>
      <w:r>
        <w:rPr>
          <w:rFonts w:eastAsia="Times New Roman"/>
        </w:rPr>
        <w:t xml:space="preserve"> (1983) sugerira</w:t>
      </w:r>
      <w:r w:rsidRPr="00F72F61">
        <w:rPr>
          <w:rFonts w:eastAsia="Times New Roman"/>
        </w:rPr>
        <w:t>m que, apó</w:t>
      </w:r>
      <w:r>
        <w:rPr>
          <w:rFonts w:eastAsia="Times New Roman"/>
        </w:rPr>
        <w:t>s a fusão, em média, a firma adquirida obtinha</w:t>
      </w:r>
      <w:r w:rsidRPr="00F72F61">
        <w:rPr>
          <w:rFonts w:eastAsia="Times New Roman"/>
        </w:rPr>
        <w:t xml:space="preserve"> significativos retornos anormais </w:t>
      </w:r>
      <w:r w:rsidR="00CE19AE">
        <w:rPr>
          <w:rFonts w:eastAsia="Times New Roman"/>
        </w:rPr>
        <w:t xml:space="preserve">positivos </w:t>
      </w:r>
      <w:r w:rsidRPr="00F72F61">
        <w:rPr>
          <w:rFonts w:eastAsia="Times New Roman"/>
        </w:rPr>
        <w:t xml:space="preserve">enquanto a firma compradora média </w:t>
      </w:r>
      <w:r>
        <w:rPr>
          <w:rFonts w:eastAsia="Times New Roman"/>
        </w:rPr>
        <w:t>apresentava</w:t>
      </w:r>
      <w:r w:rsidRPr="00F72F61">
        <w:rPr>
          <w:rFonts w:eastAsia="Times New Roman"/>
        </w:rPr>
        <w:t xml:space="preserve"> retornos anormais bem menores. </w:t>
      </w:r>
      <w:r>
        <w:rPr>
          <w:rFonts w:eastAsia="Times New Roman"/>
        </w:rPr>
        <w:t>A</w:t>
      </w:r>
      <w:r w:rsidRPr="00F72F61">
        <w:rPr>
          <w:rFonts w:eastAsia="Times New Roman"/>
        </w:rPr>
        <w:t>pesar das perdas significativas das firmas fusionadas com os anúncios de restrição, as firmas rivais não apresentaram retornos anormais significativamente negativos independentemente do nível de concentração</w:t>
      </w:r>
      <w:r>
        <w:rPr>
          <w:rFonts w:eastAsia="Times New Roman"/>
        </w:rPr>
        <w:t xml:space="preserve">, não podendo se concluir que ganhos com sinergias produziriam uma expansão significativa da parcela de mercado das firmas fusionadas. </w:t>
      </w:r>
    </w:p>
    <w:p w:rsidR="00DF273E" w:rsidRDefault="00DF273E" w:rsidP="00FA5866">
      <w:pPr>
        <w:spacing w:after="0" w:line="240" w:lineRule="auto"/>
        <w:rPr>
          <w:rFonts w:eastAsia="Times New Roman"/>
        </w:rPr>
      </w:pPr>
      <w:r w:rsidRPr="00F72F61">
        <w:rPr>
          <w:rFonts w:eastAsia="Times New Roman"/>
        </w:rPr>
        <w:t xml:space="preserve">Também com o intuito de </w:t>
      </w:r>
      <w:r>
        <w:rPr>
          <w:rFonts w:eastAsia="Times New Roman"/>
        </w:rPr>
        <w:t>verificar</w:t>
      </w:r>
      <w:r w:rsidRPr="00F72F61">
        <w:rPr>
          <w:rFonts w:eastAsia="Times New Roman"/>
        </w:rPr>
        <w:t xml:space="preserve"> se os retornos anormais nas ações das firmas rivais</w:t>
      </w:r>
      <w:r>
        <w:rPr>
          <w:rFonts w:eastAsia="Times New Roman"/>
        </w:rPr>
        <w:t xml:space="preserve"> foram decorrentes de </w:t>
      </w:r>
      <w:r w:rsidRPr="00F72F61">
        <w:rPr>
          <w:rFonts w:eastAsia="Times New Roman"/>
        </w:rPr>
        <w:t xml:space="preserve">um </w:t>
      </w:r>
      <w:r>
        <w:rPr>
          <w:rFonts w:eastAsia="Times New Roman"/>
        </w:rPr>
        <w:t xml:space="preserve">possível </w:t>
      </w:r>
      <w:r w:rsidRPr="00F72F61">
        <w:rPr>
          <w:rFonts w:eastAsia="Times New Roman"/>
        </w:rPr>
        <w:t xml:space="preserve">aumento nos preços, Simpson e </w:t>
      </w:r>
      <w:proofErr w:type="spellStart"/>
      <w:r w:rsidRPr="00F72F61">
        <w:rPr>
          <w:rFonts w:eastAsia="Times New Roman"/>
        </w:rPr>
        <w:t>Hosken</w:t>
      </w:r>
      <w:proofErr w:type="spellEnd"/>
      <w:r w:rsidRPr="00F72F61">
        <w:rPr>
          <w:rFonts w:eastAsia="Times New Roman"/>
        </w:rPr>
        <w:t xml:space="preserve"> (1998) examinaram quatro fusões no mercado varejista americano.</w:t>
      </w:r>
      <w:r>
        <w:rPr>
          <w:rFonts w:eastAsia="Times New Roman"/>
        </w:rPr>
        <w:t xml:space="preserve"> </w:t>
      </w:r>
      <w:r w:rsidRPr="00F72F61">
        <w:rPr>
          <w:rFonts w:eastAsia="Times New Roman"/>
        </w:rPr>
        <w:t xml:space="preserve">Para </w:t>
      </w:r>
      <w:r>
        <w:rPr>
          <w:rFonts w:eastAsia="Times New Roman"/>
        </w:rPr>
        <w:t xml:space="preserve">tal, </w:t>
      </w:r>
      <w:r w:rsidRPr="00F72F61">
        <w:rPr>
          <w:rFonts w:eastAsia="Times New Roman"/>
        </w:rPr>
        <w:t xml:space="preserve">os autores computaram o retorno anormal nos preços das ações utilizando uma versão modificada do modelo de mercado utilizado por </w:t>
      </w:r>
      <w:proofErr w:type="spellStart"/>
      <w:r w:rsidRPr="00F72F61">
        <w:rPr>
          <w:rFonts w:eastAsia="Times New Roman"/>
        </w:rPr>
        <w:t>Eckbo</w:t>
      </w:r>
      <w:proofErr w:type="spellEnd"/>
      <w:r w:rsidRPr="00F72F61">
        <w:rPr>
          <w:rFonts w:eastAsia="Times New Roman"/>
        </w:rPr>
        <w:t xml:space="preserve"> (</w:t>
      </w:r>
      <w:r>
        <w:rPr>
          <w:rFonts w:eastAsia="Times New Roman"/>
        </w:rPr>
        <w:t xml:space="preserve">1983), </w:t>
      </w:r>
      <w:proofErr w:type="spellStart"/>
      <w:r>
        <w:rPr>
          <w:rFonts w:eastAsia="Times New Roman"/>
        </w:rPr>
        <w:t>Stillman</w:t>
      </w:r>
      <w:proofErr w:type="spellEnd"/>
      <w:r>
        <w:rPr>
          <w:rFonts w:eastAsia="Times New Roman"/>
        </w:rPr>
        <w:t xml:space="preserve"> (1983) e outros. O</w:t>
      </w:r>
      <w:r w:rsidRPr="00F72F61">
        <w:rPr>
          <w:rFonts w:eastAsia="Times New Roman"/>
        </w:rPr>
        <w:t>s autores encontraram evidências de que</w:t>
      </w:r>
      <w:r>
        <w:rPr>
          <w:rFonts w:eastAsia="Times New Roman"/>
        </w:rPr>
        <w:t xml:space="preserve">, em </w:t>
      </w:r>
      <w:r w:rsidRPr="00F72F61">
        <w:rPr>
          <w:rFonts w:eastAsia="Times New Roman"/>
        </w:rPr>
        <w:t xml:space="preserve">duas das fusões analisadas </w:t>
      </w:r>
      <w:r>
        <w:rPr>
          <w:rFonts w:eastAsia="Times New Roman"/>
        </w:rPr>
        <w:t xml:space="preserve">que </w:t>
      </w:r>
      <w:r w:rsidRPr="00F72F61">
        <w:rPr>
          <w:rFonts w:eastAsia="Times New Roman"/>
        </w:rPr>
        <w:t>tiveram retornos anormais positivos e estatisticamente significativos, também</w:t>
      </w:r>
      <w:r>
        <w:rPr>
          <w:rFonts w:eastAsia="Times New Roman"/>
        </w:rPr>
        <w:t xml:space="preserve"> houve aumento d</w:t>
      </w:r>
      <w:r w:rsidRPr="00F72F61">
        <w:rPr>
          <w:rFonts w:eastAsia="Times New Roman"/>
        </w:rPr>
        <w:t>a concentração de mercado medidas pelo índice HHI. Nessas duas fusões</w:t>
      </w:r>
      <w:r>
        <w:rPr>
          <w:rFonts w:eastAsia="Times New Roman"/>
        </w:rPr>
        <w:t>,</w:t>
      </w:r>
      <w:r w:rsidRPr="00F72F61">
        <w:rPr>
          <w:rFonts w:eastAsia="Times New Roman"/>
        </w:rPr>
        <w:t xml:space="preserve"> as empresas rivais também obtiveram retornos anormais</w:t>
      </w:r>
      <w:r w:rsidR="00CE19AE">
        <w:rPr>
          <w:rFonts w:eastAsia="Times New Roman"/>
        </w:rPr>
        <w:t xml:space="preserve"> positivos</w:t>
      </w:r>
      <w:r>
        <w:rPr>
          <w:rFonts w:eastAsia="Times New Roman"/>
        </w:rPr>
        <w:t>, havendo</w:t>
      </w:r>
      <w:r w:rsidRPr="00F72F61">
        <w:rPr>
          <w:rFonts w:eastAsia="Times New Roman"/>
        </w:rPr>
        <w:t xml:space="preserve"> um aumento de 1% nos preços do mercado durante três anos.</w:t>
      </w:r>
    </w:p>
    <w:p w:rsidR="00DF273E" w:rsidRPr="00F72F61" w:rsidRDefault="00DF273E" w:rsidP="00FA5866">
      <w:pPr>
        <w:spacing w:after="0" w:line="240" w:lineRule="auto"/>
        <w:rPr>
          <w:rFonts w:eastAsia="Times New Roman"/>
        </w:rPr>
      </w:pPr>
      <w:r>
        <w:rPr>
          <w:rFonts w:eastAsia="Times New Roman"/>
        </w:rPr>
        <w:t xml:space="preserve">Em relação à análise dos retornos anormais em fusões analisadas pela Comissão Europeia, </w:t>
      </w:r>
      <w:proofErr w:type="spellStart"/>
      <w:r>
        <w:rPr>
          <w:rFonts w:eastAsia="Times New Roman"/>
        </w:rPr>
        <w:t>Duso</w:t>
      </w:r>
      <w:proofErr w:type="spellEnd"/>
      <w:r>
        <w:rPr>
          <w:rFonts w:eastAsia="Times New Roman"/>
        </w:rPr>
        <w:t xml:space="preserve"> </w:t>
      </w:r>
      <w:proofErr w:type="spellStart"/>
      <w:proofErr w:type="gramStart"/>
      <w:r w:rsidRPr="00D40C2C">
        <w:rPr>
          <w:rFonts w:eastAsia="Times New Roman"/>
          <w:i/>
        </w:rPr>
        <w:t>et</w:t>
      </w:r>
      <w:proofErr w:type="spellEnd"/>
      <w:proofErr w:type="gramEnd"/>
      <w:r w:rsidRPr="00D40C2C">
        <w:rPr>
          <w:rFonts w:eastAsia="Times New Roman"/>
          <w:i/>
        </w:rPr>
        <w:t xml:space="preserve"> al.</w:t>
      </w:r>
      <w:r>
        <w:rPr>
          <w:rFonts w:eastAsia="Times New Roman"/>
        </w:rPr>
        <w:t xml:space="preserve"> (2006) controla</w:t>
      </w:r>
      <w:r w:rsidR="00CE19AE">
        <w:rPr>
          <w:rFonts w:eastAsia="Times New Roman"/>
        </w:rPr>
        <w:t>ra</w:t>
      </w:r>
      <w:r>
        <w:rPr>
          <w:rFonts w:eastAsia="Times New Roman"/>
        </w:rPr>
        <w:t>m os retornos anormais acumulados médios pela expectativa do mercado em relação à decisão da autoridade antitruste. Ou seja, utiliza</w:t>
      </w:r>
      <w:r w:rsidR="00CE19AE">
        <w:rPr>
          <w:rFonts w:eastAsia="Times New Roman"/>
        </w:rPr>
        <w:t>ra</w:t>
      </w:r>
      <w:r>
        <w:rPr>
          <w:rFonts w:eastAsia="Times New Roman"/>
        </w:rPr>
        <w:t xml:space="preserve">m as características observadas de uma fusão para estimar a probabilidade de uma decisão particular da autoridade antitruste e corrigir adequadamente as medidas de lucratividade. </w:t>
      </w:r>
      <w:proofErr w:type="spellStart"/>
      <w:r>
        <w:rPr>
          <w:rFonts w:eastAsia="Times New Roman"/>
        </w:rPr>
        <w:t>Duso</w:t>
      </w:r>
      <w:proofErr w:type="spellEnd"/>
      <w:r w:rsidR="00074E37">
        <w:rPr>
          <w:rFonts w:eastAsia="Times New Roman"/>
        </w:rPr>
        <w:t xml:space="preserve"> </w:t>
      </w:r>
      <w:proofErr w:type="spellStart"/>
      <w:proofErr w:type="gramStart"/>
      <w:r w:rsidRPr="00D40C2C">
        <w:rPr>
          <w:rFonts w:eastAsia="Times New Roman"/>
          <w:i/>
        </w:rPr>
        <w:t>et</w:t>
      </w:r>
      <w:proofErr w:type="spellEnd"/>
      <w:proofErr w:type="gramEnd"/>
      <w:r w:rsidRPr="00D40C2C">
        <w:rPr>
          <w:rFonts w:eastAsia="Times New Roman"/>
          <w:i/>
        </w:rPr>
        <w:t xml:space="preserve"> al.</w:t>
      </w:r>
      <w:r>
        <w:rPr>
          <w:rFonts w:eastAsia="Times New Roman"/>
        </w:rPr>
        <w:t xml:space="preserve"> (2006) encontram que as reprovações completas da autoridade antitruste europeia reverte</w:t>
      </w:r>
      <w:r w:rsidR="00CE19AE">
        <w:rPr>
          <w:rFonts w:eastAsia="Times New Roman"/>
        </w:rPr>
        <w:t>ra</w:t>
      </w:r>
      <w:r>
        <w:rPr>
          <w:rFonts w:eastAsia="Times New Roman"/>
        </w:rPr>
        <w:t>m completamente a renda gerada em torno do anúncio da fusão.</w:t>
      </w:r>
    </w:p>
    <w:p w:rsidR="00DF273E" w:rsidRDefault="00DF273E" w:rsidP="00FA5866">
      <w:pPr>
        <w:spacing w:after="0" w:line="240" w:lineRule="auto"/>
        <w:rPr>
          <w:rFonts w:eastAsia="Times New Roman"/>
        </w:rPr>
      </w:pPr>
      <w:r w:rsidRPr="00F72F61">
        <w:rPr>
          <w:rFonts w:eastAsia="Times New Roman"/>
        </w:rPr>
        <w:t>Utilizando a metodologia de estudo de eve</w:t>
      </w:r>
      <w:r>
        <w:rPr>
          <w:rFonts w:eastAsia="Times New Roman"/>
        </w:rPr>
        <w:t xml:space="preserve">ntos proposta por </w:t>
      </w:r>
      <w:proofErr w:type="spellStart"/>
      <w:r>
        <w:rPr>
          <w:rFonts w:eastAsia="Times New Roman"/>
        </w:rPr>
        <w:t>Eckbo</w:t>
      </w:r>
      <w:proofErr w:type="spellEnd"/>
      <w:r>
        <w:rPr>
          <w:rFonts w:eastAsia="Times New Roman"/>
        </w:rPr>
        <w:t xml:space="preserve"> (1983) e </w:t>
      </w:r>
      <w:proofErr w:type="spellStart"/>
      <w:r w:rsidRPr="00F72F61">
        <w:rPr>
          <w:rFonts w:eastAsia="Times New Roman"/>
        </w:rPr>
        <w:t>Hosken</w:t>
      </w:r>
      <w:proofErr w:type="spellEnd"/>
      <w:r w:rsidRPr="00F72F61">
        <w:rPr>
          <w:rFonts w:eastAsia="Times New Roman"/>
        </w:rPr>
        <w:t xml:space="preserve"> e Simpson (1998)</w:t>
      </w:r>
      <w:r>
        <w:rPr>
          <w:rFonts w:eastAsia="Times New Roman"/>
        </w:rPr>
        <w:t>, Li e Lucinda (2009</w:t>
      </w:r>
      <w:r w:rsidRPr="00F72F61">
        <w:rPr>
          <w:rFonts w:eastAsia="Times New Roman"/>
        </w:rPr>
        <w:t>) investiga</w:t>
      </w:r>
      <w:r>
        <w:rPr>
          <w:rFonts w:eastAsia="Times New Roman"/>
        </w:rPr>
        <w:t>ra</w:t>
      </w:r>
      <w:r w:rsidRPr="00F72F61">
        <w:rPr>
          <w:rFonts w:eastAsia="Times New Roman"/>
        </w:rPr>
        <w:t>m os possíveis efeitos da fusão entre Brasil Telecom e a Oi em 2008. Pelos resultados encontrados</w:t>
      </w:r>
      <w:r>
        <w:rPr>
          <w:rFonts w:eastAsia="Times New Roman"/>
        </w:rPr>
        <w:t xml:space="preserve">, </w:t>
      </w:r>
      <w:r w:rsidRPr="00F72F61">
        <w:rPr>
          <w:rFonts w:eastAsia="Times New Roman"/>
        </w:rPr>
        <w:t>apenas no primeiro dos eventos observ</w:t>
      </w:r>
      <w:r>
        <w:rPr>
          <w:rFonts w:eastAsia="Times New Roman"/>
        </w:rPr>
        <w:t>aram</w:t>
      </w:r>
      <w:r w:rsidRPr="00F72F61">
        <w:rPr>
          <w:rFonts w:eastAsia="Times New Roman"/>
        </w:rPr>
        <w:t xml:space="preserve">-se retornos excedentes superiores a zero para as empresas rivais. Tal resultado é explicado pela regulação do mercado de telefonia, em que o ritmo de alterações regulatórias faz com que boa parte dos efeitos sejam </w:t>
      </w:r>
      <w:proofErr w:type="gramStart"/>
      <w:r w:rsidRPr="00F72F61">
        <w:rPr>
          <w:rFonts w:eastAsia="Times New Roman"/>
        </w:rPr>
        <w:t>antecipados</w:t>
      </w:r>
      <w:proofErr w:type="gramEnd"/>
      <w:r w:rsidRPr="00F72F61">
        <w:rPr>
          <w:rFonts w:eastAsia="Times New Roman"/>
        </w:rPr>
        <w:t xml:space="preserve"> bem antes da formalização da fusão. Em relação às empresas rivais</w:t>
      </w:r>
      <w:r>
        <w:rPr>
          <w:rFonts w:eastAsia="Times New Roman"/>
        </w:rPr>
        <w:t>,</w:t>
      </w:r>
      <w:r w:rsidRPr="00F72F61">
        <w:rPr>
          <w:rFonts w:eastAsia="Times New Roman"/>
        </w:rPr>
        <w:t xml:space="preserve"> foram encontrados retornos significativamente positivos para as empresas TIM e VIVO.  </w:t>
      </w:r>
    </w:p>
    <w:p w:rsidR="00DF273E" w:rsidRPr="00F72F61" w:rsidRDefault="00DF273E" w:rsidP="00FA5866">
      <w:pPr>
        <w:spacing w:after="0" w:line="240" w:lineRule="auto"/>
        <w:rPr>
          <w:rFonts w:eastAsia="Times New Roman"/>
        </w:rPr>
      </w:pPr>
      <w:r w:rsidRPr="00F72F61">
        <w:rPr>
          <w:rFonts w:eastAsia="Times New Roman"/>
        </w:rPr>
        <w:t>Por sua vez,</w:t>
      </w:r>
      <w:r w:rsidR="00074E37">
        <w:rPr>
          <w:rFonts w:eastAsia="Times New Roman"/>
        </w:rPr>
        <w:t xml:space="preserve"> </w:t>
      </w:r>
      <w:proofErr w:type="spellStart"/>
      <w:r w:rsidRPr="00F72F61">
        <w:rPr>
          <w:rFonts w:eastAsia="Times New Roman"/>
        </w:rPr>
        <w:t>Clougherty</w:t>
      </w:r>
      <w:proofErr w:type="spellEnd"/>
      <w:r w:rsidRPr="00F72F61">
        <w:rPr>
          <w:rFonts w:eastAsia="Times New Roman"/>
        </w:rPr>
        <w:t xml:space="preserve"> e </w:t>
      </w:r>
      <w:proofErr w:type="spellStart"/>
      <w:r w:rsidRPr="00F72F61">
        <w:rPr>
          <w:rFonts w:eastAsia="Times New Roman"/>
        </w:rPr>
        <w:t>Duso</w:t>
      </w:r>
      <w:proofErr w:type="spellEnd"/>
      <w:r w:rsidRPr="00F72F61">
        <w:rPr>
          <w:rFonts w:eastAsia="Times New Roman"/>
        </w:rPr>
        <w:t xml:space="preserve"> (2009) testa</w:t>
      </w:r>
      <w:r>
        <w:rPr>
          <w:rFonts w:eastAsia="Times New Roman"/>
        </w:rPr>
        <w:t>ra</w:t>
      </w:r>
      <w:r w:rsidRPr="00F72F61">
        <w:rPr>
          <w:rFonts w:eastAsia="Times New Roman"/>
        </w:rPr>
        <w:t>m a hipótese de que as firmas rivais se beneficiam com uma fusão devido ao aumento do poder de mercado por parte das firmas unidas</w:t>
      </w:r>
      <w:r>
        <w:rPr>
          <w:rFonts w:eastAsia="Times New Roman"/>
        </w:rPr>
        <w:t>,</w:t>
      </w:r>
      <w:r w:rsidRPr="00F72F61">
        <w:rPr>
          <w:rFonts w:eastAsia="Times New Roman"/>
        </w:rPr>
        <w:t xml:space="preserve"> levando a um aumento geral nos preços. Para isso</w:t>
      </w:r>
      <w:r>
        <w:rPr>
          <w:rFonts w:eastAsia="Times New Roman"/>
        </w:rPr>
        <w:t>,</w:t>
      </w:r>
      <w:r w:rsidRPr="00F72F61">
        <w:rPr>
          <w:rFonts w:eastAsia="Times New Roman"/>
        </w:rPr>
        <w:t xml:space="preserve"> os autores utiliza</w:t>
      </w:r>
      <w:r>
        <w:rPr>
          <w:rFonts w:eastAsia="Times New Roman"/>
        </w:rPr>
        <w:t>ra</w:t>
      </w:r>
      <w:r w:rsidRPr="00F72F61">
        <w:rPr>
          <w:rFonts w:eastAsia="Times New Roman"/>
        </w:rPr>
        <w:t>m uma amostra de 165 grandes fusões e aquisições horizontais entre 1990 e 2002 que afetaram o mercado europeu. Os autores mensur</w:t>
      </w:r>
      <w:r>
        <w:rPr>
          <w:rFonts w:eastAsia="Times New Roman"/>
        </w:rPr>
        <w:t>ar</w:t>
      </w:r>
      <w:r w:rsidRPr="00F72F61">
        <w:rPr>
          <w:rFonts w:eastAsia="Times New Roman"/>
        </w:rPr>
        <w:t>am os retornos anormais das ações das firmas compradora, da</w:t>
      </w:r>
      <w:r>
        <w:rPr>
          <w:rFonts w:eastAsia="Times New Roman"/>
        </w:rPr>
        <w:t>s</w:t>
      </w:r>
      <w:r w:rsidRPr="00F72F61">
        <w:rPr>
          <w:rFonts w:eastAsia="Times New Roman"/>
        </w:rPr>
        <w:t xml:space="preserve"> firma</w:t>
      </w:r>
      <w:r>
        <w:rPr>
          <w:rFonts w:eastAsia="Times New Roman"/>
        </w:rPr>
        <w:t>s</w:t>
      </w:r>
      <w:r w:rsidRPr="00F72F61">
        <w:rPr>
          <w:rFonts w:eastAsia="Times New Roman"/>
        </w:rPr>
        <w:t xml:space="preserve"> alvo e das rivais para capturar as mudanças no fluxo de lucro das firmas. Os resultados encontrados corroboram a hipótese de que as fusões trazem benefícios às firmas rivais.</w:t>
      </w:r>
      <w:r>
        <w:rPr>
          <w:rFonts w:eastAsia="Times New Roman"/>
        </w:rPr>
        <w:t xml:space="preserve"> Em particular, as firmas adquirentes apresentaram em média retornos anormais pequenos e não significativamente diferentes de zero, enquanto as firmas adquiridas apresentaram em média a soma dos retornos anormais (CAR) positiva e significativa de 4,2% em um período de 11 dias antes da fusão. As firmas rivais, por sua vez, para o mesmo intervalo de tempo, apresentaram em média </w:t>
      </w:r>
      <w:proofErr w:type="spellStart"/>
      <w:r>
        <w:rPr>
          <w:rFonts w:eastAsia="Times New Roman"/>
        </w:rPr>
        <w:t>CARs</w:t>
      </w:r>
      <w:proofErr w:type="spellEnd"/>
      <w:r>
        <w:rPr>
          <w:rFonts w:eastAsia="Times New Roman"/>
        </w:rPr>
        <w:t xml:space="preserve"> positivos e estatisticamente significativos de 0,90%.</w:t>
      </w:r>
    </w:p>
    <w:p w:rsidR="00CE19AE" w:rsidRDefault="00DF273E" w:rsidP="00FA5866">
      <w:pPr>
        <w:spacing w:after="0" w:line="240" w:lineRule="auto"/>
        <w:rPr>
          <w:rFonts w:eastAsia="Times New Roman"/>
        </w:rPr>
      </w:pPr>
      <w:r w:rsidRPr="00F72F61">
        <w:rPr>
          <w:rFonts w:eastAsia="Times New Roman"/>
        </w:rPr>
        <w:lastRenderedPageBreak/>
        <w:t xml:space="preserve">Em </w:t>
      </w:r>
      <w:proofErr w:type="spellStart"/>
      <w:r w:rsidRPr="00F72F61">
        <w:rPr>
          <w:rFonts w:eastAsia="Times New Roman"/>
        </w:rPr>
        <w:t>Duso</w:t>
      </w:r>
      <w:proofErr w:type="spellEnd"/>
      <w:r w:rsidR="00074E37">
        <w:rPr>
          <w:rFonts w:eastAsia="Times New Roman"/>
        </w:rPr>
        <w:t xml:space="preserve"> </w:t>
      </w:r>
      <w:proofErr w:type="spellStart"/>
      <w:proofErr w:type="gramStart"/>
      <w:r w:rsidRPr="00D40C2C">
        <w:rPr>
          <w:rFonts w:eastAsia="Times New Roman"/>
          <w:i/>
        </w:rPr>
        <w:t>et</w:t>
      </w:r>
      <w:proofErr w:type="spellEnd"/>
      <w:proofErr w:type="gramEnd"/>
      <w:r w:rsidR="00074E37">
        <w:rPr>
          <w:rFonts w:eastAsia="Times New Roman"/>
          <w:i/>
        </w:rPr>
        <w:t xml:space="preserve"> </w:t>
      </w:r>
      <w:r w:rsidRPr="00D40C2C">
        <w:rPr>
          <w:rFonts w:eastAsia="Times New Roman"/>
          <w:i/>
        </w:rPr>
        <w:t>al</w:t>
      </w:r>
      <w:r>
        <w:rPr>
          <w:rFonts w:eastAsia="Times New Roman"/>
          <w:i/>
        </w:rPr>
        <w:t>.</w:t>
      </w:r>
      <w:r w:rsidRPr="00F72F61">
        <w:rPr>
          <w:rFonts w:eastAsia="Times New Roman"/>
        </w:rPr>
        <w:t xml:space="preserve"> (2010)</w:t>
      </w:r>
      <w:r w:rsidR="00CE19AE">
        <w:rPr>
          <w:rFonts w:eastAsia="Times New Roman"/>
        </w:rPr>
        <w:t xml:space="preserve"> utilizou-se</w:t>
      </w:r>
      <w:r w:rsidRPr="00F72F61">
        <w:rPr>
          <w:rFonts w:eastAsia="Times New Roman"/>
        </w:rPr>
        <w:t xml:space="preserve"> uma amostra de grandes fusões que sofreram análise</w:t>
      </w:r>
      <w:r>
        <w:rPr>
          <w:rFonts w:eastAsia="Times New Roman"/>
        </w:rPr>
        <w:t xml:space="preserve"> da autoridade antitruste europe</w:t>
      </w:r>
      <w:r w:rsidRPr="00F72F61">
        <w:rPr>
          <w:rFonts w:eastAsia="Times New Roman"/>
        </w:rPr>
        <w:t>ia</w:t>
      </w:r>
      <w:r w:rsidR="00074E37">
        <w:rPr>
          <w:rFonts w:eastAsia="Times New Roman"/>
        </w:rPr>
        <w:t xml:space="preserve"> </w:t>
      </w:r>
      <w:r w:rsidRPr="00F72F61">
        <w:rPr>
          <w:rFonts w:eastAsia="Times New Roman"/>
        </w:rPr>
        <w:t>no</w:t>
      </w:r>
      <w:r w:rsidR="00074E37">
        <w:rPr>
          <w:rFonts w:eastAsia="Times New Roman"/>
        </w:rPr>
        <w:t xml:space="preserve"> </w:t>
      </w:r>
      <w:r w:rsidRPr="00F72F61">
        <w:rPr>
          <w:rFonts w:eastAsia="Times New Roman"/>
        </w:rPr>
        <w:t xml:space="preserve">período de 1990-2001. Os resultados encontrados por </w:t>
      </w:r>
      <w:proofErr w:type="spellStart"/>
      <w:r w:rsidRPr="00F72F61">
        <w:rPr>
          <w:rFonts w:eastAsia="Times New Roman"/>
        </w:rPr>
        <w:t>Duso</w:t>
      </w:r>
      <w:proofErr w:type="spellEnd"/>
      <w:r w:rsidR="00074E37">
        <w:rPr>
          <w:rFonts w:eastAsia="Times New Roman"/>
        </w:rPr>
        <w:t xml:space="preserve"> </w:t>
      </w:r>
      <w:proofErr w:type="spellStart"/>
      <w:proofErr w:type="gramStart"/>
      <w:r w:rsidRPr="00D40C2C">
        <w:rPr>
          <w:rFonts w:eastAsia="Times New Roman"/>
          <w:i/>
        </w:rPr>
        <w:t>et</w:t>
      </w:r>
      <w:proofErr w:type="spellEnd"/>
      <w:proofErr w:type="gramEnd"/>
      <w:r w:rsidR="00074E37">
        <w:rPr>
          <w:rFonts w:eastAsia="Times New Roman"/>
          <w:i/>
        </w:rPr>
        <w:t xml:space="preserve"> </w:t>
      </w:r>
      <w:r w:rsidRPr="00D40C2C">
        <w:rPr>
          <w:rFonts w:eastAsia="Times New Roman"/>
          <w:i/>
        </w:rPr>
        <w:t>al.</w:t>
      </w:r>
      <w:r w:rsidRPr="00F72F61">
        <w:rPr>
          <w:rFonts w:eastAsia="Times New Roman"/>
        </w:rPr>
        <w:t xml:space="preserve"> (2010) indicam que os retornos anormais e a lucratividade </w:t>
      </w:r>
      <w:r>
        <w:rPr>
          <w:rFonts w:eastAsia="Times New Roman"/>
          <w:i/>
        </w:rPr>
        <w:t>ex</w:t>
      </w:r>
      <w:r w:rsidR="00074E37">
        <w:rPr>
          <w:rFonts w:eastAsia="Times New Roman"/>
          <w:i/>
        </w:rPr>
        <w:t xml:space="preserve"> </w:t>
      </w:r>
      <w:proofErr w:type="spellStart"/>
      <w:r w:rsidRPr="0080599F">
        <w:rPr>
          <w:rFonts w:eastAsia="Times New Roman"/>
          <w:i/>
        </w:rPr>
        <w:t>post</w:t>
      </w:r>
      <w:proofErr w:type="spellEnd"/>
      <w:r>
        <w:rPr>
          <w:rFonts w:eastAsia="Times New Roman"/>
        </w:rPr>
        <w:t xml:space="preserve"> das fusões são positiva</w:t>
      </w:r>
      <w:r w:rsidR="00074E37">
        <w:rPr>
          <w:rFonts w:eastAsia="Times New Roman"/>
        </w:rPr>
        <w:t xml:space="preserve"> </w:t>
      </w:r>
      <w:r w:rsidRPr="00F72F61">
        <w:rPr>
          <w:rFonts w:eastAsia="Times New Roman"/>
        </w:rPr>
        <w:t>e significativamente correlacionados para as firmas fusionadas e parcialmente para as firmas rivais.</w:t>
      </w:r>
      <w:r>
        <w:rPr>
          <w:rFonts w:eastAsia="Times New Roman"/>
        </w:rPr>
        <w:t xml:space="preserve"> Apesar </w:t>
      </w:r>
      <w:proofErr w:type="gramStart"/>
      <w:r>
        <w:rPr>
          <w:rFonts w:eastAsia="Times New Roman"/>
        </w:rPr>
        <w:t>desse resultado fornecer</w:t>
      </w:r>
      <w:proofErr w:type="gramEnd"/>
      <w:r>
        <w:rPr>
          <w:rFonts w:eastAsia="Times New Roman"/>
        </w:rPr>
        <w:t xml:space="preserve"> evidência de que os estudos de eventos são bons previsores dos futuros resultados reais, mais estudos são necessários para haver tal comprovação. A maior preocupação é que os resultados de</w:t>
      </w:r>
      <w:r w:rsidR="00074E37">
        <w:rPr>
          <w:rFonts w:eastAsia="Times New Roman"/>
        </w:rPr>
        <w:t xml:space="preserve"> </w:t>
      </w:r>
      <w:proofErr w:type="spellStart"/>
      <w:r w:rsidRPr="00F72F61">
        <w:rPr>
          <w:rFonts w:eastAsia="Times New Roman"/>
        </w:rPr>
        <w:t>Duso</w:t>
      </w:r>
      <w:proofErr w:type="spellEnd"/>
      <w:r w:rsidR="00074E37">
        <w:rPr>
          <w:rFonts w:eastAsia="Times New Roman"/>
        </w:rPr>
        <w:t xml:space="preserve"> </w:t>
      </w:r>
      <w:proofErr w:type="spellStart"/>
      <w:proofErr w:type="gramStart"/>
      <w:r w:rsidRPr="00D40C2C">
        <w:rPr>
          <w:rFonts w:eastAsia="Times New Roman"/>
          <w:i/>
        </w:rPr>
        <w:t>et</w:t>
      </w:r>
      <w:proofErr w:type="spellEnd"/>
      <w:proofErr w:type="gramEnd"/>
      <w:r w:rsidR="00074E37">
        <w:rPr>
          <w:rFonts w:eastAsia="Times New Roman"/>
          <w:i/>
        </w:rPr>
        <w:t xml:space="preserve"> </w:t>
      </w:r>
      <w:r w:rsidRPr="00D40C2C">
        <w:rPr>
          <w:rFonts w:eastAsia="Times New Roman"/>
          <w:i/>
        </w:rPr>
        <w:t>al</w:t>
      </w:r>
      <w:r>
        <w:rPr>
          <w:rFonts w:eastAsia="Times New Roman"/>
          <w:i/>
        </w:rPr>
        <w:t>.</w:t>
      </w:r>
      <w:r w:rsidRPr="00F72F61">
        <w:rPr>
          <w:rFonts w:eastAsia="Times New Roman"/>
        </w:rPr>
        <w:t xml:space="preserve"> (2010)</w:t>
      </w:r>
      <w:r>
        <w:rPr>
          <w:rFonts w:eastAsia="Times New Roman"/>
        </w:rPr>
        <w:t>, em geral, mostrem que a reação do mercado acionário é tipicamente correlacionada com</w:t>
      </w:r>
      <w:r w:rsidR="00074E37">
        <w:rPr>
          <w:rFonts w:eastAsia="Times New Roman"/>
        </w:rPr>
        <w:t xml:space="preserve"> </w:t>
      </w:r>
      <w:r>
        <w:rPr>
          <w:rFonts w:eastAsia="Times New Roman"/>
        </w:rPr>
        <w:t>o</w:t>
      </w:r>
      <w:r w:rsidR="00074E37">
        <w:rPr>
          <w:rFonts w:eastAsia="Times New Roman"/>
        </w:rPr>
        <w:t xml:space="preserve"> </w:t>
      </w:r>
      <w:r>
        <w:rPr>
          <w:rFonts w:eastAsia="Times New Roman"/>
        </w:rPr>
        <w:t>desenvolvimento</w:t>
      </w:r>
      <w:r w:rsidR="00074E37">
        <w:rPr>
          <w:rFonts w:eastAsia="Times New Roman"/>
        </w:rPr>
        <w:t xml:space="preserve"> </w:t>
      </w:r>
      <w:r w:rsidRPr="00DF1D41">
        <w:rPr>
          <w:rFonts w:eastAsia="Times New Roman"/>
          <w:i/>
        </w:rPr>
        <w:t>ex</w:t>
      </w:r>
      <w:r w:rsidR="00074E37">
        <w:rPr>
          <w:rFonts w:eastAsia="Times New Roman"/>
          <w:i/>
        </w:rPr>
        <w:t xml:space="preserve"> </w:t>
      </w:r>
      <w:proofErr w:type="spellStart"/>
      <w:r w:rsidRPr="00DF1D41">
        <w:rPr>
          <w:rFonts w:eastAsia="Times New Roman"/>
          <w:i/>
        </w:rPr>
        <w:t>post</w:t>
      </w:r>
      <w:proofErr w:type="spellEnd"/>
      <w:r>
        <w:rPr>
          <w:rFonts w:eastAsia="Times New Roman"/>
        </w:rPr>
        <w:t xml:space="preserve"> em casos onde se utiliza uma janela de eventos longa, gerando dúvidas se as reações são de fato em relação à fusão ou se elas incorporam outros efeitos também.</w:t>
      </w:r>
      <w:bookmarkStart w:id="2" w:name="_Toc379492282"/>
    </w:p>
    <w:bookmarkEnd w:id="2"/>
    <w:p w:rsidR="00DF273E" w:rsidRPr="006F4015" w:rsidRDefault="00DF273E" w:rsidP="00FA5866">
      <w:pPr>
        <w:spacing w:after="0" w:line="240" w:lineRule="auto"/>
      </w:pPr>
      <w:r>
        <w:t xml:space="preserve">Sobre avaliações </w:t>
      </w:r>
      <w:r w:rsidRPr="00666BC7">
        <w:rPr>
          <w:i/>
        </w:rPr>
        <w:t xml:space="preserve">ex </w:t>
      </w:r>
      <w:proofErr w:type="spellStart"/>
      <w:r w:rsidRPr="00666BC7">
        <w:rPr>
          <w:i/>
        </w:rPr>
        <w:t>post</w:t>
      </w:r>
      <w:proofErr w:type="spellEnd"/>
      <w:r>
        <w:t xml:space="preserve"> de fusões, </w:t>
      </w:r>
      <w:proofErr w:type="spellStart"/>
      <w:r w:rsidRPr="003200EE">
        <w:t>Ravenscraft</w:t>
      </w:r>
      <w:proofErr w:type="spellEnd"/>
      <w:r w:rsidRPr="003200EE">
        <w:t xml:space="preserve"> e </w:t>
      </w:r>
      <w:proofErr w:type="spellStart"/>
      <w:r w:rsidRPr="003200EE">
        <w:t>Scherer</w:t>
      </w:r>
      <w:proofErr w:type="spellEnd"/>
      <w:r w:rsidRPr="003200EE">
        <w:t xml:space="preserve"> (1987) verificam se uma parcela considerável das aquisições por “</w:t>
      </w:r>
      <w:r w:rsidRPr="003200EE">
        <w:rPr>
          <w:i/>
        </w:rPr>
        <w:t>tende</w:t>
      </w:r>
      <w:r w:rsidRPr="0061251E">
        <w:rPr>
          <w:i/>
        </w:rPr>
        <w:t xml:space="preserve">r </w:t>
      </w:r>
      <w:proofErr w:type="spellStart"/>
      <w:r w:rsidRPr="0061251E">
        <w:rPr>
          <w:i/>
        </w:rPr>
        <w:t>offers</w:t>
      </w:r>
      <w:proofErr w:type="spellEnd"/>
      <w:r>
        <w:rPr>
          <w:rStyle w:val="Refdenotaderodap"/>
        </w:rPr>
        <w:footnoteReference w:id="6"/>
      </w:r>
      <w:r>
        <w:t xml:space="preserve">” tem o intuito de substituir uma diretoria ineficiente por uma mais eficiente. Para isso, os autores verificaram se </w:t>
      </w:r>
      <w:r w:rsidRPr="002A41E3">
        <w:t xml:space="preserve">a lucratividade pré-aquisição das firmas alvo era menor, </w:t>
      </w:r>
      <w:proofErr w:type="spellStart"/>
      <w:r w:rsidRPr="002A41E3">
        <w:rPr>
          <w:i/>
        </w:rPr>
        <w:t>ceteris</w:t>
      </w:r>
      <w:proofErr w:type="spellEnd"/>
      <w:r w:rsidR="006766D1">
        <w:rPr>
          <w:i/>
        </w:rPr>
        <w:t xml:space="preserve"> </w:t>
      </w:r>
      <w:proofErr w:type="spellStart"/>
      <w:r w:rsidRPr="002A41E3">
        <w:rPr>
          <w:i/>
        </w:rPr>
        <w:t>paribus</w:t>
      </w:r>
      <w:proofErr w:type="spellEnd"/>
      <w:r w:rsidRPr="002A41E3">
        <w:t>, que as das outras firmas e se existiu uma melhora da lucrativ</w:t>
      </w:r>
      <w:r>
        <w:t>idade pós-aquisição em relação à</w:t>
      </w:r>
      <w:r w:rsidRPr="002A41E3">
        <w:t xml:space="preserve"> situação pré-aquisição.</w:t>
      </w:r>
      <w:r>
        <w:t xml:space="preserve"> Para isso, foi testado o desempenho pré-oferta das empresas alvo utilizando a taxa de receita operacional sobre o ativo do período de dois anos antes da oferta. Para controlar para o efeito da</w:t>
      </w:r>
      <w:r w:rsidR="006766D1">
        <w:t xml:space="preserve"> </w:t>
      </w:r>
      <w:r>
        <w:t>indústria</w:t>
      </w:r>
      <w:r w:rsidR="006766D1">
        <w:t xml:space="preserve"> </w:t>
      </w:r>
      <w:r>
        <w:t>e do ciclo de negócios, a receita operacional/ativo de cada firma foi normalizada subtraindo-se o percentual comparável</w:t>
      </w:r>
      <w:r w:rsidR="006766D1">
        <w:t xml:space="preserve"> </w:t>
      </w:r>
      <w:r>
        <w:t>da indústria mais próxima utilizada pela autoridade antitruste americana.</w:t>
      </w:r>
      <w:r w:rsidR="006766D1">
        <w:t xml:space="preserve"> </w:t>
      </w:r>
      <w:r>
        <w:t xml:space="preserve">Para a análise de desempenho pós-aquisição, a principal variável dependente utilizada por </w:t>
      </w:r>
      <w:proofErr w:type="spellStart"/>
      <w:r>
        <w:t>Ravenscraft</w:t>
      </w:r>
      <w:proofErr w:type="spellEnd"/>
      <w:r>
        <w:t xml:space="preserve"> e </w:t>
      </w:r>
      <w:proofErr w:type="spellStart"/>
      <w:r>
        <w:t>Scherer</w:t>
      </w:r>
      <w:proofErr w:type="spellEnd"/>
      <w:r>
        <w:t xml:space="preserve"> (1987</w:t>
      </w:r>
      <w:r w:rsidRPr="0061251E">
        <w:t>)</w:t>
      </w:r>
      <w:r>
        <w:t xml:space="preserve"> foi </w:t>
      </w:r>
      <w:proofErr w:type="gramStart"/>
      <w:r>
        <w:t>a</w:t>
      </w:r>
      <w:proofErr w:type="gramEnd"/>
      <w:r>
        <w:t xml:space="preserve"> média da receita operacional/ativos dos três anos após a operação. Para controlar para as diferenças </w:t>
      </w:r>
      <w:proofErr w:type="spellStart"/>
      <w:proofErr w:type="gramStart"/>
      <w:r>
        <w:t>inter-indústria</w:t>
      </w:r>
      <w:proofErr w:type="spellEnd"/>
      <w:proofErr w:type="gramEnd"/>
      <w:r>
        <w:t>, os autores utilizaram o modelo de regressão de efeitos fixos.</w:t>
      </w:r>
      <w:r w:rsidR="006766D1">
        <w:t xml:space="preserve"> </w:t>
      </w:r>
      <w:r>
        <w:t>Os resultados apontaram que as firmas adquiridas possuíam um histórico de lucros um pouco menor do que as outras firmas da indústria antes da fusão. Em média, nove anos após a aquisição, as firmas apresentaram uma deterioração na sua lucratividade. Assim, não se corroborou as teorias de aquisições como mecanismo de aumento de eficiência, pelo menos não no setor operacional das firmas</w:t>
      </w:r>
      <w:r w:rsidR="006766D1">
        <w:t xml:space="preserve"> </w:t>
      </w:r>
      <w:r>
        <w:t xml:space="preserve">da amostra. Dessa forma, o estudo de </w:t>
      </w:r>
      <w:proofErr w:type="spellStart"/>
      <w:r>
        <w:t>Ravenscraft</w:t>
      </w:r>
      <w:proofErr w:type="spellEnd"/>
      <w:r>
        <w:t xml:space="preserve"> e </w:t>
      </w:r>
      <w:proofErr w:type="spellStart"/>
      <w:r>
        <w:t>Scherer</w:t>
      </w:r>
      <w:proofErr w:type="spellEnd"/>
      <w:r>
        <w:t xml:space="preserve"> (1987</w:t>
      </w:r>
      <w:r w:rsidRPr="0061251E">
        <w:t>)</w:t>
      </w:r>
      <w:r>
        <w:t xml:space="preserve"> mostra que fusões, em média, possuem efeitos significativamente negativos na lucratividade real das unidades adquiridas. Resultado semelhante já havia sido encontrado em Mueller (1985), em que não foram encontrados indícios de que as fusões melhoram a eficiência por consolidar as vendas das firmas adquiridas em suas linhas de produtos mais eficientes. </w:t>
      </w:r>
    </w:p>
    <w:p w:rsidR="00DF273E" w:rsidRDefault="00DF273E" w:rsidP="00FA5866">
      <w:pPr>
        <w:spacing w:after="0" w:line="240" w:lineRule="auto"/>
      </w:pPr>
      <w:r w:rsidRPr="00546351">
        <w:t xml:space="preserve">Caves </w:t>
      </w:r>
      <w:r>
        <w:t xml:space="preserve">(1989) compara a literatura que aborda a análise de estudo de eventos </w:t>
      </w:r>
      <w:r w:rsidRPr="00025F46">
        <w:rPr>
          <w:i/>
        </w:rPr>
        <w:t>ex ante</w:t>
      </w:r>
      <w:r>
        <w:t xml:space="preserve"> com a literatura de avaliações </w:t>
      </w:r>
      <w:r>
        <w:rPr>
          <w:i/>
        </w:rPr>
        <w:t>ex</w:t>
      </w:r>
      <w:r w:rsidR="006766D1">
        <w:rPr>
          <w:i/>
        </w:rPr>
        <w:t xml:space="preserve"> </w:t>
      </w:r>
      <w:proofErr w:type="spellStart"/>
      <w:r w:rsidRPr="00025F46">
        <w:rPr>
          <w:i/>
        </w:rPr>
        <w:t>post</w:t>
      </w:r>
      <w:proofErr w:type="spellEnd"/>
      <w:r>
        <w:t xml:space="preserve">. Caves (1989) argumenta que a literatura de estudo de eventos confirma a eficiência de uma típica fusão corporativa. No entanto, enquanto são confirmados ganhos significativos para os acionistas das firmas adquiridas, pouca evidência foi encontrada para os ganhos conjuntos das firmas fusionadas. Estudos de retornos anormais mostraram que os acionistas das firmas adquirentes, na melhor das hipóteses, no dia do anúncio da fusão não obtiveram perdas, mas depois do anúncio eles tenderam a incorrer em perdas adicionais. A evidência em estudos de lucratividade </w:t>
      </w:r>
      <w:r w:rsidRPr="00025F46">
        <w:rPr>
          <w:i/>
        </w:rPr>
        <w:t>ex</w:t>
      </w:r>
      <w:r w:rsidR="006766D1">
        <w:rPr>
          <w:i/>
        </w:rPr>
        <w:t xml:space="preserve"> </w:t>
      </w:r>
      <w:proofErr w:type="spellStart"/>
      <w:r w:rsidRPr="00025F46">
        <w:rPr>
          <w:i/>
        </w:rPr>
        <w:t>post</w:t>
      </w:r>
      <w:proofErr w:type="spellEnd"/>
      <w:r>
        <w:t xml:space="preserve"> de fusões é ainda mais pessimista: a firma adquirente média, na melhor das hipóteses, não obtém nenhum lucro líquido sobre seus ativos consolidados, podendo tal lucro ser substancialmente pior ao lucro anterior à fusão. Ou seja, em estudos de eventos, os mercados financeiros aparentemente acreditam que as firmas adquirentes podem em média gerar mais valor a partir dos ativos das firmas adquiridas. No entanto, para avaliações </w:t>
      </w:r>
      <w:r>
        <w:rPr>
          <w:i/>
        </w:rPr>
        <w:t>ex</w:t>
      </w:r>
      <w:r w:rsidR="006766D1">
        <w:rPr>
          <w:i/>
        </w:rPr>
        <w:t xml:space="preserve"> </w:t>
      </w:r>
      <w:proofErr w:type="spellStart"/>
      <w:r w:rsidRPr="003C5F75">
        <w:rPr>
          <w:i/>
        </w:rPr>
        <w:t>post</w:t>
      </w:r>
      <w:proofErr w:type="spellEnd"/>
      <w:r>
        <w:rPr>
          <w:i/>
        </w:rPr>
        <w:t xml:space="preserve">, </w:t>
      </w:r>
      <w:r>
        <w:t>os resultados indicam que as fusões não somente falham em garantir o prêmio pela aquisição</w:t>
      </w:r>
      <w:proofErr w:type="gramStart"/>
      <w:r>
        <w:t xml:space="preserve"> mas</w:t>
      </w:r>
      <w:proofErr w:type="gramEnd"/>
      <w:r>
        <w:t xml:space="preserve"> reduzem a lucratividade real das unidades adquiridas e diminuem a participação de mercado da firma adquirente. Caves (1989) conclui que a política pública em relação às </w:t>
      </w:r>
      <w:proofErr w:type="spellStart"/>
      <w:r>
        <w:t>M&amp;A</w:t>
      </w:r>
      <w:proofErr w:type="spellEnd"/>
      <w:r>
        <w:t xml:space="preserve"> não deve ser direcionada com o intuito de proteger o mercado de alguma potencial aquisição, o que apenas piora o problema de agência entre os acionistas e os administradores e ainda impede a realização das fusões que gerem ganhos em eficiência. Assim, para Caves (1989), a política antitruste deve ser no sentido de aumentar os incentivos para que administradores retornem aos acionistas recursos que, caso contrário, seriam utilizados em investimentos de baixo valor.</w:t>
      </w:r>
    </w:p>
    <w:p w:rsidR="00DF273E" w:rsidRPr="00546351" w:rsidRDefault="00DF273E" w:rsidP="00FA5866">
      <w:pPr>
        <w:spacing w:after="0" w:line="240" w:lineRule="auto"/>
      </w:pPr>
      <w:r>
        <w:lastRenderedPageBreak/>
        <w:t xml:space="preserve">Já </w:t>
      </w:r>
      <w:proofErr w:type="spellStart"/>
      <w:r w:rsidRPr="00546351">
        <w:t>Healy</w:t>
      </w:r>
      <w:proofErr w:type="spellEnd"/>
      <w:r w:rsidR="006766D1">
        <w:t xml:space="preserve"> </w:t>
      </w:r>
      <w:proofErr w:type="spellStart"/>
      <w:proofErr w:type="gramStart"/>
      <w:r w:rsidRPr="00025F46">
        <w:rPr>
          <w:i/>
        </w:rPr>
        <w:t>et</w:t>
      </w:r>
      <w:proofErr w:type="spellEnd"/>
      <w:proofErr w:type="gramEnd"/>
      <w:r w:rsidR="006766D1">
        <w:rPr>
          <w:i/>
        </w:rPr>
        <w:t xml:space="preserve"> </w:t>
      </w:r>
      <w:r w:rsidRPr="00025F46">
        <w:rPr>
          <w:i/>
        </w:rPr>
        <w:t>al</w:t>
      </w:r>
      <w:r>
        <w:rPr>
          <w:i/>
        </w:rPr>
        <w:t>.</w:t>
      </w:r>
      <w:r>
        <w:t xml:space="preserve"> (1992) examinam o desempenho</w:t>
      </w:r>
      <w:r w:rsidRPr="00546351">
        <w:t xml:space="preserve"> operacional pós aquisição em amostra de 50 grandes fusão no Estados Unidos e</w:t>
      </w:r>
      <w:r>
        <w:t>ntre 1979 e 1983. Os autores</w:t>
      </w:r>
      <w:r w:rsidR="006766D1">
        <w:t xml:space="preserve"> </w:t>
      </w:r>
      <w:r w:rsidRPr="00546351">
        <w:t>utiliza</w:t>
      </w:r>
      <w:r>
        <w:t>m</w:t>
      </w:r>
      <w:r w:rsidR="006766D1">
        <w:t xml:space="preserve"> </w:t>
      </w:r>
      <w:r w:rsidRPr="00546351">
        <w:t>o</w:t>
      </w:r>
      <w:r w:rsidR="006766D1">
        <w:t xml:space="preserve"> </w:t>
      </w:r>
      <w:r w:rsidRPr="00546351">
        <w:t>fluxo de caixa operacional</w:t>
      </w:r>
      <w:r w:rsidRPr="00546351">
        <w:rPr>
          <w:rStyle w:val="Refdenotaderodap"/>
        </w:rPr>
        <w:footnoteReference w:id="7"/>
      </w:r>
      <w:r>
        <w:t xml:space="preserve"> para</w:t>
      </w:r>
      <w:r w:rsidRPr="00546351">
        <w:t xml:space="preserve"> mensurar a melh</w:t>
      </w:r>
      <w:r>
        <w:t xml:space="preserve">ora no rendimento operacional </w:t>
      </w:r>
      <w:proofErr w:type="gramStart"/>
      <w:r>
        <w:t>pós fusão</w:t>
      </w:r>
      <w:proofErr w:type="gramEnd"/>
      <w:r>
        <w:t xml:space="preserve">. </w:t>
      </w:r>
      <w:r w:rsidRPr="00546351">
        <w:t>Compara-se o fluxo de caixa da nova firma pós-fusão com os fluxos combi</w:t>
      </w:r>
      <w:r>
        <w:t>nados das duas firmas pré-fusão</w:t>
      </w:r>
      <w:r w:rsidRPr="00546351">
        <w:t xml:space="preserve"> e utiliza-se o desempenho da indústria</w:t>
      </w:r>
      <w:r w:rsidRPr="00546351">
        <w:rPr>
          <w:rStyle w:val="Refdenotaderodap"/>
        </w:rPr>
        <w:footnoteReference w:id="8"/>
      </w:r>
      <w:r w:rsidR="006766D1">
        <w:t xml:space="preserve"> </w:t>
      </w:r>
      <w:r w:rsidRPr="00546351">
        <w:t>c</w:t>
      </w:r>
      <w:r>
        <w:t>omo referência para se ajustar</w:t>
      </w:r>
      <w:r w:rsidRPr="00546351">
        <w:t xml:space="preserve"> a diferença entre os desempenh</w:t>
      </w:r>
      <w:r>
        <w:t xml:space="preserve">os das firmas pré e pós-fusão. </w:t>
      </w:r>
      <w:r w:rsidRPr="00546351">
        <w:t xml:space="preserve">Os resultados apontaram um crescimento significativo na produtividade dos ativos em relação </w:t>
      </w:r>
      <w:r>
        <w:t>às indústrias após a fusão, m</w:t>
      </w:r>
      <w:r w:rsidRPr="00546351">
        <w:t xml:space="preserve">ostrando relação positiva entre o aumento do fluxo de caixa </w:t>
      </w:r>
      <w:proofErr w:type="gramStart"/>
      <w:r w:rsidRPr="00546351">
        <w:t>pós operação</w:t>
      </w:r>
      <w:proofErr w:type="gramEnd"/>
      <w:r w:rsidRPr="00546351">
        <w:t xml:space="preserve"> e o</w:t>
      </w:r>
      <w:r>
        <w:t>s</w:t>
      </w:r>
      <w:r w:rsidRPr="00546351">
        <w:t xml:space="preserve"> retornos anormais das ações nos anúncios.  </w:t>
      </w:r>
    </w:p>
    <w:p w:rsidR="00DF273E" w:rsidRDefault="00DF273E" w:rsidP="00FA5866">
      <w:pPr>
        <w:spacing w:after="0" w:line="240" w:lineRule="auto"/>
      </w:pPr>
      <w:r w:rsidRPr="00213221">
        <w:t xml:space="preserve">Kaplan e </w:t>
      </w:r>
      <w:proofErr w:type="spellStart"/>
      <w:r w:rsidRPr="00213221">
        <w:t>Weisbach</w:t>
      </w:r>
      <w:proofErr w:type="spellEnd"/>
      <w:r w:rsidRPr="00213221">
        <w:t xml:space="preserve"> (1992)</w:t>
      </w:r>
      <w:r>
        <w:t>,</w:t>
      </w:r>
      <w:r w:rsidRPr="00213221">
        <w:t xml:space="preserve"> por meio de uma amostra de 271 grandes aquisições no período entre 1971 e 1982</w:t>
      </w:r>
      <w:r>
        <w:t>,</w:t>
      </w:r>
      <w:r w:rsidRPr="00213221">
        <w:t xml:space="preserve"> avaliam a extensão dos desinvestimentos que representaram aquisições que fracassaram. Os autores comparam a extensão dos desinvestimentos com os retornos </w:t>
      </w:r>
      <w:proofErr w:type="gramStart"/>
      <w:r w:rsidRPr="00213221">
        <w:t>anormais acumulados das firmas adquirente e adquirida estimados pelo modelo de mercado</w:t>
      </w:r>
      <w:proofErr w:type="gramEnd"/>
      <w:r w:rsidRPr="00213221">
        <w:t>.</w:t>
      </w:r>
      <w:r w:rsidR="006766D1">
        <w:t xml:space="preserve"> </w:t>
      </w:r>
      <w:r w:rsidRPr="00213221">
        <w:t xml:space="preserve">Os resultados encontrados por Kaplan e </w:t>
      </w:r>
      <w:proofErr w:type="spellStart"/>
      <w:r w:rsidRPr="00213221">
        <w:t>Weisbach</w:t>
      </w:r>
      <w:proofErr w:type="spellEnd"/>
      <w:r w:rsidRPr="00213221">
        <w:t xml:space="preserve"> (1992) sugerem que muitos dos desinvestimentos feitos após a fusão não representam fracassos. Apenas 44% das adquirentes que reportaram algum resultado incorreram em queda nas vendas. Além disso, quando se compara o preço de venda com o de compra de uma unidade alienada</w:t>
      </w:r>
      <w:r>
        <w:t>,</w:t>
      </w:r>
      <w:r w:rsidRPr="00213221">
        <w:t xml:space="preserve"> foi encontrado que a maior parte das unidades foram </w:t>
      </w:r>
      <w:proofErr w:type="gramStart"/>
      <w:r w:rsidRPr="00213221">
        <w:t>vendidas mais caras</w:t>
      </w:r>
      <w:proofErr w:type="gramEnd"/>
      <w:r w:rsidRPr="00213221">
        <w:t xml:space="preserve"> que custaram. Portanto, os resultados para as perdas e ganhos </w:t>
      </w:r>
      <w:r>
        <w:t xml:space="preserve">tanto </w:t>
      </w:r>
      <w:r w:rsidRPr="00213221">
        <w:t>nas vendas como para o preço de venda são consistentes com os resultados do estudo de ev</w:t>
      </w:r>
      <w:r>
        <w:t>ento de retornos pequenos e nega</w:t>
      </w:r>
      <w:r w:rsidRPr="00213221">
        <w:t>tivos para as adquirentes e retornos positivos para as firmas combinadas.</w:t>
      </w:r>
    </w:p>
    <w:p w:rsidR="00DF273E" w:rsidRPr="00546351" w:rsidRDefault="00DF273E" w:rsidP="00FA5866">
      <w:pPr>
        <w:spacing w:after="0" w:line="240" w:lineRule="auto"/>
      </w:pPr>
      <w:proofErr w:type="spellStart"/>
      <w:r w:rsidRPr="00546351">
        <w:t>Schwert</w:t>
      </w:r>
      <w:proofErr w:type="spellEnd"/>
      <w:r w:rsidRPr="00546351">
        <w:t xml:space="preserve"> (1996) estuda a relação entre os prêmios de ofertas públicas de aquisição envolvendo firmas alvo no período 1975-91</w:t>
      </w:r>
      <w:r>
        <w:t>,</w:t>
      </w:r>
      <w:r w:rsidRPr="00546351">
        <w:t xml:space="preserve"> as variações dos preços das ações durante o anúncio da operação</w:t>
      </w:r>
      <w:r>
        <w:t xml:space="preserve"> utilizando as metodologias de estudos de eventos e análise </w:t>
      </w:r>
      <w:r>
        <w:rPr>
          <w:i/>
        </w:rPr>
        <w:t>ex</w:t>
      </w:r>
      <w:r w:rsidR="006766D1">
        <w:rPr>
          <w:i/>
        </w:rPr>
        <w:t xml:space="preserve"> </w:t>
      </w:r>
      <w:proofErr w:type="spellStart"/>
      <w:r w:rsidRPr="004A1AD9">
        <w:rPr>
          <w:i/>
        </w:rPr>
        <w:t>post</w:t>
      </w:r>
      <w:proofErr w:type="spellEnd"/>
      <w:r w:rsidRPr="00546351">
        <w:t xml:space="preserve">. </w:t>
      </w:r>
      <w:r>
        <w:t xml:space="preserve">Utilizando o </w:t>
      </w:r>
      <w:r w:rsidRPr="00546351">
        <w:t>modelo de mercado</w:t>
      </w:r>
      <w:r>
        <w:t>,</w:t>
      </w:r>
      <w:r w:rsidR="006766D1">
        <w:t xml:space="preserve"> </w:t>
      </w:r>
      <w:proofErr w:type="spellStart"/>
      <w:r w:rsidRPr="00546351">
        <w:t>Schwert</w:t>
      </w:r>
      <w:proofErr w:type="spellEnd"/>
      <w:r w:rsidRPr="00546351">
        <w:t xml:space="preserve"> (1996) </w:t>
      </w:r>
      <w:r>
        <w:t>estima</w:t>
      </w:r>
      <w:r w:rsidRPr="00546351">
        <w:t xml:space="preserve"> os retornos anorma</w:t>
      </w:r>
      <w:r>
        <w:t>is das firmas alvo e analisa</w:t>
      </w:r>
      <w:r w:rsidRPr="00546351">
        <w:t xml:space="preserve"> o custo adicional no preço de oferta pré-anúncio (</w:t>
      </w:r>
      <w:proofErr w:type="spellStart"/>
      <w:r w:rsidRPr="00481AD1">
        <w:rPr>
          <w:i/>
        </w:rPr>
        <w:t>runup</w:t>
      </w:r>
      <w:proofErr w:type="spellEnd"/>
      <w:r w:rsidRPr="00546351">
        <w:t>) e o aumento pós-anúncio nos preços das ações das firmas alvo (</w:t>
      </w:r>
      <w:proofErr w:type="spellStart"/>
      <w:proofErr w:type="gramStart"/>
      <w:r w:rsidRPr="00481AD1">
        <w:rPr>
          <w:i/>
        </w:rPr>
        <w:t>mark</w:t>
      </w:r>
      <w:proofErr w:type="gramEnd"/>
      <w:r w:rsidRPr="00481AD1">
        <w:rPr>
          <w:i/>
        </w:rPr>
        <w:t>-up</w:t>
      </w:r>
      <w:proofErr w:type="spellEnd"/>
      <w:r w:rsidRPr="00546351">
        <w:t>)</w:t>
      </w:r>
      <w:r>
        <w:t xml:space="preserve">. </w:t>
      </w:r>
      <w:r w:rsidRPr="00546351">
        <w:t xml:space="preserve"> Encontra-s</w:t>
      </w:r>
      <w:r>
        <w:t xml:space="preserve">e uma baixa correlação entre o </w:t>
      </w:r>
      <w:proofErr w:type="spellStart"/>
      <w:r w:rsidRPr="00025F46">
        <w:rPr>
          <w:i/>
        </w:rPr>
        <w:t>runup</w:t>
      </w:r>
      <w:proofErr w:type="spellEnd"/>
      <w:r w:rsidRPr="00546351">
        <w:t xml:space="preserve"> e o </w:t>
      </w:r>
      <w:proofErr w:type="spellStart"/>
      <w:proofErr w:type="gramStart"/>
      <w:r w:rsidRPr="00025F46">
        <w:rPr>
          <w:i/>
        </w:rPr>
        <w:t>mark</w:t>
      </w:r>
      <w:proofErr w:type="gramEnd"/>
      <w:r w:rsidRPr="00025F46">
        <w:rPr>
          <w:i/>
        </w:rPr>
        <w:t>-up</w:t>
      </w:r>
      <w:proofErr w:type="spellEnd"/>
      <w:r>
        <w:t xml:space="preserve">, ou seja, o </w:t>
      </w:r>
      <w:proofErr w:type="spellStart"/>
      <w:r w:rsidRPr="00BD28B0">
        <w:rPr>
          <w:i/>
        </w:rPr>
        <w:t>mark-up</w:t>
      </w:r>
      <w:proofErr w:type="spellEnd"/>
      <w:r>
        <w:t xml:space="preserve"> par</w:t>
      </w:r>
      <w:r w:rsidRPr="00546351">
        <w:t>a o acionista da firma alvo e</w:t>
      </w:r>
      <w:r>
        <w:t>m uma fusão bem sucedida não é correlacionado</w:t>
      </w:r>
      <w:r w:rsidRPr="00546351">
        <w:t xml:space="preserve"> com o preço ou volume do </w:t>
      </w:r>
      <w:proofErr w:type="spellStart"/>
      <w:r w:rsidRPr="00025F46">
        <w:rPr>
          <w:i/>
        </w:rPr>
        <w:t>runup</w:t>
      </w:r>
      <w:proofErr w:type="spellEnd"/>
      <w:r w:rsidRPr="00546351">
        <w:t xml:space="preserve"> que ocorre antes do anúncio do primeiro lance.</w:t>
      </w:r>
    </w:p>
    <w:p w:rsidR="00642BD7" w:rsidRDefault="00DF273E" w:rsidP="00FA5866">
      <w:pPr>
        <w:spacing w:after="0" w:line="240" w:lineRule="auto"/>
      </w:pPr>
      <w:r>
        <w:t xml:space="preserve">Por fim, </w:t>
      </w:r>
      <w:proofErr w:type="spellStart"/>
      <w:r w:rsidRPr="00546351">
        <w:t>Sirower</w:t>
      </w:r>
      <w:proofErr w:type="spellEnd"/>
      <w:r w:rsidRPr="00546351">
        <w:t xml:space="preserve"> e </w:t>
      </w:r>
      <w:proofErr w:type="spellStart"/>
      <w:proofErr w:type="gramStart"/>
      <w:r w:rsidRPr="00546351">
        <w:t>O’Byne</w:t>
      </w:r>
      <w:proofErr w:type="spellEnd"/>
      <w:proofErr w:type="gramEnd"/>
      <w:r w:rsidRPr="00546351">
        <w:t xml:space="preserve"> (1998) desenvolve</w:t>
      </w:r>
      <w:r>
        <w:t>ra</w:t>
      </w:r>
      <w:r w:rsidRPr="00546351">
        <w:t>m uma metodologia para a previsão e avaliaç</w:t>
      </w:r>
      <w:r>
        <w:t xml:space="preserve">ão </w:t>
      </w:r>
      <w:r w:rsidRPr="00025F46">
        <w:rPr>
          <w:i/>
        </w:rPr>
        <w:t>ex</w:t>
      </w:r>
      <w:r w:rsidR="006766D1">
        <w:rPr>
          <w:i/>
        </w:rPr>
        <w:t xml:space="preserve"> </w:t>
      </w:r>
      <w:proofErr w:type="spellStart"/>
      <w:r w:rsidRPr="00025F46">
        <w:rPr>
          <w:i/>
        </w:rPr>
        <w:t>post</w:t>
      </w:r>
      <w:proofErr w:type="spellEnd"/>
      <w:r>
        <w:t xml:space="preserve"> à operação do desemp</w:t>
      </w:r>
      <w:r w:rsidRPr="00546351">
        <w:t xml:space="preserve">enho operacional da fusão. O método utiliza os valores de mercado pré-operação das firmas envolvidas e o prêmio de aquisição para determinar os níveis futuros de desempenho operacional que são necessários para justificar o investimento. O desempenho operacional é mensurado em termos </w:t>
      </w:r>
      <w:r>
        <w:t xml:space="preserve">de </w:t>
      </w:r>
      <w:r w:rsidRPr="00546351">
        <w:t>aumentos esperados de EV</w:t>
      </w:r>
      <w:r w:rsidR="00642BD7">
        <w:t>A</w:t>
      </w:r>
      <w:r w:rsidRPr="00546351">
        <w:rPr>
          <w:rStyle w:val="Refdenotaderodap"/>
        </w:rPr>
        <w:footnoteReference w:id="9"/>
      </w:r>
      <w:r w:rsidR="006766D1">
        <w:t xml:space="preserve"> </w:t>
      </w:r>
      <w:r w:rsidRPr="00546351">
        <w:t>ou valor econômico adicionado. Os resultados apontaram uma</w:t>
      </w:r>
      <w:r>
        <w:t xml:space="preserve"> correlação de 0,68 </w:t>
      </w:r>
      <w:r w:rsidRPr="00B3359C">
        <w:t xml:space="preserve">entre </w:t>
      </w:r>
      <w:r>
        <w:t>a</w:t>
      </w:r>
      <w:r w:rsidRPr="00B3359C">
        <w:t xml:space="preserve"> reação d</w:t>
      </w:r>
      <w:r>
        <w:t xml:space="preserve">e mercado da adquirente, </w:t>
      </w:r>
      <w:proofErr w:type="gramStart"/>
      <w:r>
        <w:t>5</w:t>
      </w:r>
      <w:proofErr w:type="gramEnd"/>
      <w:r>
        <w:t xml:space="preserve"> dias antes e 5 dias depois ao anúncio, e o valor presente capitalizado da variação do EVA</w:t>
      </w:r>
      <w:r>
        <w:rPr>
          <w:rStyle w:val="Refdenotaderodap"/>
        </w:rPr>
        <w:footnoteReference w:id="10"/>
      </w:r>
      <w:r>
        <w:t xml:space="preserve">, sendo </w:t>
      </w:r>
      <w:r w:rsidRPr="00546351">
        <w:t xml:space="preserve">mais de 46% da variância do retorno inicial do mercado de ações explicada pela medida de melhoria EVA. </w:t>
      </w:r>
      <w:r>
        <w:t>O</w:t>
      </w:r>
      <w:r w:rsidRPr="00546351">
        <w:t>s resultados para a medida de retorno do acionista de longo prazo indicara</w:t>
      </w:r>
      <w:r>
        <w:t xml:space="preserve">m uma correlação de </w:t>
      </w:r>
      <w:proofErr w:type="gramStart"/>
      <w:r>
        <w:t>0,70 entre a variação no</w:t>
      </w:r>
      <w:r w:rsidRPr="00546351">
        <w:t xml:space="preserve"> valor presente de cinco anos </w:t>
      </w:r>
      <w:r>
        <w:t>d</w:t>
      </w:r>
      <w:r w:rsidRPr="00546351">
        <w:t>o retorno dos acionistas</w:t>
      </w:r>
      <w:r>
        <w:t xml:space="preserve"> e </w:t>
      </w:r>
      <w:r w:rsidRPr="00546351">
        <w:t>o valor futuro capitalizado da medida EVA</w:t>
      </w:r>
      <w:proofErr w:type="gramEnd"/>
      <w:r w:rsidRPr="00546351">
        <w:t xml:space="preserve"> baseada no desempenho operacional. </w:t>
      </w:r>
      <w:r>
        <w:t>Portanto, o</w:t>
      </w:r>
      <w:r w:rsidRPr="00546351">
        <w:t>s resultados indica</w:t>
      </w:r>
      <w:r>
        <w:t>ra</w:t>
      </w:r>
      <w:r w:rsidRPr="00546351">
        <w:t xml:space="preserve">m que as reações às aquisições </w:t>
      </w:r>
      <w:r>
        <w:t>n</w:t>
      </w:r>
      <w:r w:rsidRPr="00546351">
        <w:t xml:space="preserve">o mercado </w:t>
      </w:r>
      <w:r w:rsidRPr="002A41E3">
        <w:t>de ações carregam informações importantes</w:t>
      </w:r>
      <w:r w:rsidRPr="00546351">
        <w:t xml:space="preserve"> que pode</w:t>
      </w:r>
      <w:r>
        <w:t>m ser observadas</w:t>
      </w:r>
      <w:r w:rsidRPr="00546351">
        <w:t xml:space="preserve"> pelos conselhos de administração antes da data</w:t>
      </w:r>
      <w:r>
        <w:t xml:space="preserve"> de vigência dessas aquisições.</w:t>
      </w:r>
    </w:p>
    <w:p w:rsidR="00455DEE" w:rsidRDefault="00455DEE" w:rsidP="00FA5866">
      <w:pPr>
        <w:spacing w:after="0" w:line="240" w:lineRule="auto"/>
        <w:ind w:firstLine="0"/>
        <w:rPr>
          <w:b/>
        </w:rPr>
      </w:pPr>
    </w:p>
    <w:p w:rsidR="006766D1" w:rsidRPr="00642BD7" w:rsidRDefault="006766D1" w:rsidP="00FA5866">
      <w:pPr>
        <w:spacing w:after="0" w:line="240" w:lineRule="auto"/>
        <w:ind w:firstLine="0"/>
        <w:rPr>
          <w:b/>
        </w:rPr>
      </w:pPr>
      <w:r w:rsidRPr="00642BD7">
        <w:rPr>
          <w:b/>
        </w:rPr>
        <w:t xml:space="preserve">4 – Metodologia </w:t>
      </w:r>
    </w:p>
    <w:p w:rsidR="00DF273E" w:rsidRPr="00642BD7" w:rsidRDefault="006766D1" w:rsidP="00FA5866">
      <w:pPr>
        <w:pStyle w:val="Ttulo2"/>
        <w:spacing w:before="0" w:after="0" w:line="240" w:lineRule="auto"/>
        <w:rPr>
          <w:b w:val="0"/>
          <w:sz w:val="24"/>
          <w:szCs w:val="24"/>
        </w:rPr>
      </w:pPr>
      <w:proofErr w:type="gramStart"/>
      <w:r w:rsidRPr="00642BD7">
        <w:rPr>
          <w:b w:val="0"/>
          <w:sz w:val="24"/>
          <w:szCs w:val="24"/>
        </w:rPr>
        <w:lastRenderedPageBreak/>
        <w:t xml:space="preserve">4.1 – </w:t>
      </w:r>
      <w:r w:rsidR="00DF273E" w:rsidRPr="00642BD7">
        <w:rPr>
          <w:b w:val="0"/>
          <w:sz w:val="24"/>
          <w:szCs w:val="24"/>
        </w:rPr>
        <w:t>Estudo</w:t>
      </w:r>
      <w:proofErr w:type="gramEnd"/>
      <w:r w:rsidR="00DF273E" w:rsidRPr="00642BD7">
        <w:rPr>
          <w:b w:val="0"/>
          <w:sz w:val="24"/>
          <w:szCs w:val="24"/>
        </w:rPr>
        <w:t xml:space="preserve"> de Evento</w:t>
      </w:r>
    </w:p>
    <w:p w:rsidR="00642BD7" w:rsidRDefault="00F547CB" w:rsidP="00FA5866">
      <w:pPr>
        <w:spacing w:after="0" w:line="240" w:lineRule="auto"/>
      </w:pPr>
      <w:r>
        <w:t>Conforme Cox e Portes (</w:t>
      </w:r>
      <w:r w:rsidR="0017621B">
        <w:t>1998</w:t>
      </w:r>
      <w:r>
        <w:t>)</w:t>
      </w:r>
      <w:r w:rsidR="0017621B">
        <w:t>, a hipótese de</w:t>
      </w:r>
      <w:r>
        <w:t xml:space="preserve"> efici</w:t>
      </w:r>
      <w:r w:rsidR="0017621B">
        <w:t xml:space="preserve">ência de mercado, </w:t>
      </w:r>
      <w:r>
        <w:t xml:space="preserve">em que toda informação publicamente </w:t>
      </w:r>
      <w:r w:rsidR="005202D5">
        <w:t>disponível</w:t>
      </w:r>
      <w:r>
        <w:t xml:space="preserve"> é incorporada nos </w:t>
      </w:r>
      <w:r w:rsidR="005202D5">
        <w:t>preços</w:t>
      </w:r>
      <w:r>
        <w:t xml:space="preserve"> das </w:t>
      </w:r>
      <w:r w:rsidR="005202D5">
        <w:t>ações</w:t>
      </w:r>
      <w:r w:rsidR="0017621B">
        <w:t>,</w:t>
      </w:r>
      <w:r>
        <w:t xml:space="preserve"> fornece uma ótima ferramenta para avaliar fusões e aquisições.</w:t>
      </w:r>
      <w:r w:rsidR="005202D5">
        <w:t xml:space="preserve"> Ao</w:t>
      </w:r>
      <w:r w:rsidR="00930272">
        <w:t xml:space="preserve"> </w:t>
      </w:r>
      <w:r w:rsidR="005202D5">
        <w:t>a</w:t>
      </w:r>
      <w:r>
        <w:t>tribui</w:t>
      </w:r>
      <w:r w:rsidR="005202D5">
        <w:t>r</w:t>
      </w:r>
      <w:r w:rsidR="00AF62DA">
        <w:t xml:space="preserve"> a</w:t>
      </w:r>
      <w:r w:rsidR="0017621B">
        <w:t>s</w:t>
      </w:r>
      <w:r w:rsidR="00930272">
        <w:t xml:space="preserve"> </w:t>
      </w:r>
      <w:r>
        <w:t>variações</w:t>
      </w:r>
      <w:r w:rsidR="007A7877">
        <w:t xml:space="preserve"> </w:t>
      </w:r>
      <w:r w:rsidR="00642BD7">
        <w:t xml:space="preserve">anormais </w:t>
      </w:r>
      <w:r w:rsidR="007A7877">
        <w:t>nos preços das ações</w:t>
      </w:r>
      <w:r w:rsidR="005202D5">
        <w:t>,</w:t>
      </w:r>
      <w:r w:rsidR="00AF62DA">
        <w:t xml:space="preserve"> de outra forma</w:t>
      </w:r>
      <w:r w:rsidR="005202D5">
        <w:t xml:space="preserve"> inexplicáveis, </w:t>
      </w:r>
      <w:r w:rsidR="0017621B">
        <w:t xml:space="preserve">a uma </w:t>
      </w:r>
      <w:r w:rsidR="005202D5">
        <w:t>informação</w:t>
      </w:r>
      <w:r w:rsidR="00930272">
        <w:t xml:space="preserve"> </w:t>
      </w:r>
      <w:r w:rsidR="005202D5">
        <w:t>específica</w:t>
      </w:r>
      <w:r>
        <w:t xml:space="preserve">, </w:t>
      </w:r>
      <w:r w:rsidR="005202D5">
        <w:t>a análise de estudo de evento permite que uma nova informação seja valorada.</w:t>
      </w:r>
      <w:r w:rsidR="00642BD7">
        <w:t xml:space="preserve"> </w:t>
      </w:r>
    </w:p>
    <w:p w:rsidR="00642BD7" w:rsidRDefault="00642BD7" w:rsidP="00345FF2">
      <w:pPr>
        <w:spacing w:after="0" w:line="240" w:lineRule="auto"/>
      </w:pPr>
      <w:r>
        <w:t xml:space="preserve">Segundo Brown e Warner (1980), o comportamento do preço de uma ação só pode ser considerado “anormal” em relação a </w:t>
      </w:r>
      <w:r w:rsidRPr="002A41E3">
        <w:t>uma</w:t>
      </w:r>
      <w:r>
        <w:t xml:space="preserve"> </w:t>
      </w:r>
      <w:r w:rsidRPr="002A41E3">
        <w:t>referência</w:t>
      </w:r>
      <w:r>
        <w:t xml:space="preserve"> particular. Então, é necessário especificar um modelo que gere os retornos “normais” antes que os retornos anormais sejam mensurados. Brown e Warner (1980) definem três modelos de comportamento dos retornos normais dos ativos, quais sejam: (i) retornos ajustados à média; (</w:t>
      </w:r>
      <w:proofErr w:type="gramStart"/>
      <w:r>
        <w:t>ii</w:t>
      </w:r>
      <w:proofErr w:type="gramEnd"/>
      <w:r>
        <w:t xml:space="preserve">) retornos ajustados ao mercado; (iii) retornos </w:t>
      </w:r>
      <w:r w:rsidR="00345FF2">
        <w:t>ajustados ao risco e ao mercado.</w:t>
      </w:r>
    </w:p>
    <w:p w:rsidR="00642BD7" w:rsidRDefault="00642BD7" w:rsidP="00FA5866">
      <w:pPr>
        <w:pStyle w:val="PargrafodaLista"/>
        <w:spacing w:after="0" w:line="240" w:lineRule="auto"/>
        <w:ind w:left="0"/>
      </w:pPr>
      <w:r w:rsidRPr="001F7926">
        <w:t xml:space="preserve">O Modelo de Retorno ajustado ao Risco e ao Mercado é obtido estimando-se os coeficientes </w:t>
      </w:r>
      <w:r w:rsidRPr="001F7926">
        <w:sym w:font="Symbol" w:char="F061"/>
      </w:r>
      <w:r w:rsidRPr="001F7926">
        <w:rPr>
          <w:i/>
          <w:vertAlign w:val="subscript"/>
        </w:rPr>
        <w:t xml:space="preserve">i </w:t>
      </w:r>
      <w:r w:rsidRPr="001F7926">
        <w:t xml:space="preserve">e </w:t>
      </w:r>
      <w:r w:rsidRPr="001F7926">
        <w:sym w:font="Symbol" w:char="F062"/>
      </w:r>
      <w:r w:rsidRPr="001F7926">
        <w:rPr>
          <w:i/>
          <w:vertAlign w:val="subscript"/>
        </w:rPr>
        <w:t xml:space="preserve">i </w:t>
      </w:r>
      <w:r w:rsidRPr="001F7926">
        <w:t xml:space="preserve">da regressão linear entre os retornos observados da ação </w:t>
      </w:r>
      <m:oMath>
        <m:r>
          <w:rPr>
            <w:rFonts w:ascii="Cambria Math" w:hAnsi="Cambria Math"/>
          </w:rPr>
          <m:t xml:space="preserve">i </m:t>
        </m:r>
      </m:oMath>
      <w:r w:rsidRPr="001F7926">
        <w:t xml:space="preserve">no </w:t>
      </w:r>
      <w:r w:rsidRPr="000A2909">
        <w:t>período</w:t>
      </w:r>
      <m:oMath>
        <m:r>
          <w:rPr>
            <w:rFonts w:ascii="Cambria Math" w:hAnsi="Cambria Math"/>
          </w:rPr>
          <m:t>τ</m:t>
        </m:r>
      </m:oMath>
      <w:r w:rsidRPr="000A2909">
        <w:t xml:space="preserve"> (</w:t>
      </w:r>
      <m:oMath>
        <m:sSub>
          <m:sSubPr>
            <m:ctrlPr>
              <w:rPr>
                <w:rFonts w:ascii="Cambria Math" w:hAnsi="Cambria Math"/>
                <w:i/>
              </w:rPr>
            </m:ctrlPr>
          </m:sSubPr>
          <m:e>
            <m:r>
              <w:rPr>
                <w:rFonts w:ascii="Cambria Math" w:hAnsi="Cambria Math"/>
              </w:rPr>
              <m:t>R</m:t>
            </m:r>
          </m:e>
          <m:sub>
            <m:r>
              <w:rPr>
                <w:rFonts w:ascii="Cambria Math" w:hAnsi="Cambria Math"/>
              </w:rPr>
              <m:t>iτ</m:t>
            </m:r>
          </m:sub>
        </m:sSub>
      </m:oMath>
      <w:r w:rsidRPr="000A2909">
        <w:t>) e os retornos do mercado (R</w:t>
      </w:r>
      <w:r w:rsidRPr="000A2909">
        <w:rPr>
          <w:vertAlign w:val="subscript"/>
        </w:rPr>
        <w:t>m</w:t>
      </w:r>
      <w:r w:rsidRPr="000A2909">
        <w:t xml:space="preserve">). Para a ação </w:t>
      </w:r>
      <w:r w:rsidRPr="000A2909">
        <w:rPr>
          <w:i/>
        </w:rPr>
        <w:t>i</w:t>
      </w:r>
      <w:r w:rsidRPr="000A2909">
        <w:t xml:space="preserve"> no tempo </w:t>
      </w:r>
      <m:oMath>
        <m:r>
          <w:rPr>
            <w:rFonts w:ascii="Cambria Math" w:hAnsi="Cambria Math"/>
          </w:rPr>
          <m:t>τ</m:t>
        </m:r>
      </m:oMath>
      <w:r w:rsidRPr="000A2909">
        <w:t xml:space="preserve"> tem-se o seguinte retorno anormal (</w:t>
      </w:r>
      <w:proofErr w:type="gramStart"/>
      <w:r w:rsidRPr="000A2909">
        <w:t>RA</w:t>
      </w:r>
      <w:r w:rsidRPr="000A2909">
        <w:rPr>
          <w:i/>
          <w:vertAlign w:val="subscript"/>
        </w:rPr>
        <w:t>it</w:t>
      </w:r>
      <w:proofErr w:type="gramEnd"/>
      <w:r w:rsidRPr="000A2909">
        <w:t>):</w:t>
      </w:r>
    </w:p>
    <w:p w:rsidR="00642BD7" w:rsidRDefault="00642BD7" w:rsidP="00FA5866">
      <w:pPr>
        <w:pStyle w:val="PargrafodaLista"/>
        <w:spacing w:after="0" w:line="240" w:lineRule="auto"/>
        <w:ind w:left="0"/>
      </w:pPr>
    </w:p>
    <w:p w:rsidR="00642BD7" w:rsidRDefault="00642BD7" w:rsidP="00FA5866">
      <w:pPr>
        <w:pStyle w:val="PargrafodaLista"/>
        <w:spacing w:after="0" w:line="240" w:lineRule="auto"/>
        <w:ind w:left="0"/>
      </w:pPr>
      <w:r>
        <w:t xml:space="preserve"> </w:t>
      </w:r>
      <m:oMath>
        <m:sSub>
          <m:sSubPr>
            <m:ctrlPr>
              <w:rPr>
                <w:rFonts w:ascii="Cambria Math" w:hAnsi="Cambria Math"/>
                <w:i/>
              </w:rPr>
            </m:ctrlPr>
          </m:sSubPr>
          <m:e>
            <m:r>
              <w:rPr>
                <w:rFonts w:ascii="Cambria Math" w:hAnsi="Cambria Math"/>
              </w:rPr>
              <m:t>ε</m:t>
            </m:r>
          </m:e>
          <m:sub>
            <m:r>
              <w:rPr>
                <w:rFonts w:ascii="Cambria Math" w:hAnsi="Cambria Math"/>
              </w:rPr>
              <m:t>i</m:t>
            </m:r>
            <m:r>
              <w:rPr>
                <w:rFonts w:ascii="Cambria Math" w:eastAsiaTheme="minorEastAsia" w:hAnsi="Cambria Math"/>
              </w:rPr>
              <m:t>τ</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r>
              <w:rPr>
                <w:rFonts w:ascii="Cambria Math" w:eastAsiaTheme="minorEastAsia" w:hAnsi="Cambria Math"/>
              </w:rPr>
              <m:t>τ</m:t>
            </m:r>
          </m:sub>
        </m:sSub>
      </m:oMath>
      <w:r w:rsidR="00345FF2">
        <w:tab/>
      </w:r>
      <w:r w:rsidR="00345FF2">
        <w:tab/>
      </w:r>
      <w:r w:rsidR="00345FF2">
        <w:tab/>
      </w:r>
      <w:r w:rsidR="00345FF2">
        <w:tab/>
      </w:r>
      <w:r w:rsidR="00345FF2">
        <w:tab/>
      </w:r>
      <w:r w:rsidR="00345FF2">
        <w:tab/>
      </w:r>
      <w:r w:rsidR="00345FF2">
        <w:tab/>
        <w:t>Eq. (1</w:t>
      </w:r>
      <w:r>
        <w:t>)</w:t>
      </w:r>
    </w:p>
    <w:p w:rsidR="00345FF2" w:rsidRDefault="00345FF2" w:rsidP="00FA5866">
      <w:pPr>
        <w:spacing w:after="0" w:line="240" w:lineRule="auto"/>
      </w:pPr>
    </w:p>
    <w:p w:rsidR="0060160A" w:rsidRDefault="00C971A8" w:rsidP="00FA5866">
      <w:pPr>
        <w:spacing w:after="0" w:line="240" w:lineRule="auto"/>
      </w:pPr>
      <w:r>
        <w:t>Antes da análise dos retornos anormais</w:t>
      </w:r>
      <w:r w:rsidR="00282B8E">
        <w:t>, define</w:t>
      </w:r>
      <w:r>
        <w:t xml:space="preserve">-se como </w:t>
      </w:r>
      <w:r w:rsidR="005A4C13">
        <w:t xml:space="preserve">em </w:t>
      </w:r>
      <w:proofErr w:type="spellStart"/>
      <w:r>
        <w:t>Mackinlay</w:t>
      </w:r>
      <w:proofErr w:type="spellEnd"/>
      <w:r>
        <w:t xml:space="preserve"> (1993) </w:t>
      </w:r>
      <m:oMath>
        <m:r>
          <w:rPr>
            <w:rFonts w:ascii="Cambria Math" w:hAnsi="Cambria Math"/>
          </w:rPr>
          <m:t>τ=0</m:t>
        </m:r>
      </m:oMath>
      <w:r w:rsidR="005A4C13">
        <w:t xml:space="preserve"> como</w:t>
      </w:r>
      <w:r>
        <w:t xml:space="preserve"> a data do evento, </w:t>
      </w:r>
      <m:oMath>
        <m:r>
          <w:rPr>
            <w:rFonts w:ascii="Cambria Math" w:hAnsi="Cambria Math"/>
          </w:rPr>
          <m:t>τ=</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+1</m:t>
        </m:r>
      </m:oMath>
      <w:r>
        <w:t xml:space="preserve"> a </w:t>
      </w:r>
      <m:oMath>
        <m:r>
          <w:rPr>
            <w:rFonts w:ascii="Cambria Math" w:hAnsi="Cambria Math"/>
          </w:rPr>
          <m:t>τ=</m:t>
        </m:r>
        <m:sSub>
          <m:sSubPr>
            <m:ctrlPr>
              <w:rPr>
                <w:rFonts w:ascii="Cambria Math" w:hAnsi="Cambria Math"/>
                <w:i/>
              </w:rPr>
            </m:ctrlPr>
          </m:sSubPr>
          <m:e>
            <m:r>
              <w:rPr>
                <w:rFonts w:ascii="Cambria Math" w:hAnsi="Cambria Math"/>
              </w:rPr>
              <m:t>T</m:t>
            </m:r>
          </m:e>
          <m:sub>
            <m:r>
              <w:rPr>
                <w:rFonts w:ascii="Cambria Math" w:hAnsi="Cambria Math"/>
              </w:rPr>
              <m:t>2</m:t>
            </m:r>
          </m:sub>
        </m:sSub>
      </m:oMath>
      <w:r w:rsidR="00282B8E">
        <w:t>como a janela de evento</w:t>
      </w:r>
      <w:r>
        <w:t xml:space="preserve"> e </w:t>
      </w:r>
      <m:oMath>
        <m:r>
          <w:rPr>
            <w:rFonts w:ascii="Cambria Math" w:hAnsi="Cambria Math"/>
          </w:rPr>
          <m:t>τ=</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+1</m:t>
        </m:r>
      </m:oMath>
      <w:r w:rsidR="002604B8">
        <w:t xml:space="preserve"> a </w:t>
      </w:r>
      <m:oMath>
        <m:r>
          <w:rPr>
            <w:rFonts w:ascii="Cambria Math" w:hAnsi="Cambria Math"/>
          </w:rPr>
          <m:t>τ=</m:t>
        </m:r>
        <m:sSub>
          <m:sSubPr>
            <m:ctrlPr>
              <w:rPr>
                <w:rFonts w:ascii="Cambria Math" w:hAnsi="Cambria Math"/>
                <w:i/>
              </w:rPr>
            </m:ctrlPr>
          </m:sSubPr>
          <m:e>
            <m:r>
              <w:rPr>
                <w:rFonts w:ascii="Cambria Math" w:hAnsi="Cambria Math"/>
              </w:rPr>
              <m:t>T</m:t>
            </m:r>
          </m:e>
          <m:sub>
            <m:r>
              <w:rPr>
                <w:rFonts w:ascii="Cambria Math" w:hAnsi="Cambria Math"/>
              </w:rPr>
              <m:t xml:space="preserve">1 </m:t>
            </m:r>
          </m:sub>
        </m:sSub>
      </m:oMath>
      <w:r w:rsidR="00282B8E">
        <w:t xml:space="preserve">como a </w:t>
      </w:r>
      <w:r w:rsidR="002604B8">
        <w:t xml:space="preserve">janela de estimação. Seja </w:t>
      </w:r>
      <m:oMath>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oMath>
      <w:r w:rsidR="002604B8">
        <w:t xml:space="preserve"> e </w:t>
      </w:r>
      <m:oMath>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oMath>
      <w:r w:rsidR="002604B8">
        <w:t xml:space="preserve"> a extensão da janela de estimação e da j</w:t>
      </w:r>
      <w:r w:rsidR="0017621B">
        <w:t>anela de evento respectivamente</w:t>
      </w:r>
      <w:r w:rsidR="002604B8">
        <w:t xml:space="preserve">. Mesmo se o evento </w:t>
      </w:r>
      <w:r w:rsidR="00F9076A">
        <w:t>co</w:t>
      </w:r>
      <w:r w:rsidR="00AF798E">
        <w:t>n</w:t>
      </w:r>
      <w:r w:rsidR="00F9076A">
        <w:t>siderado for um anúncio em uma</w:t>
      </w:r>
      <w:r w:rsidR="00AF798E">
        <w:t xml:space="preserve"> data específica</w:t>
      </w:r>
      <w:r w:rsidR="00282B8E">
        <w:t>,</w:t>
      </w:r>
      <w:r w:rsidR="00AF798E">
        <w:t xml:space="preserve"> usualmente utiliza-se uma janela de evento maior que uma unidade. Isto facilita </w:t>
      </w:r>
      <w:r w:rsidR="0017621B">
        <w:t>a apuração</w:t>
      </w:r>
      <w:r w:rsidR="00AF798E">
        <w:t xml:space="preserve"> de retornos anormais </w:t>
      </w:r>
      <w:r w:rsidR="0017621B">
        <w:t xml:space="preserve">em </w:t>
      </w:r>
      <w:r w:rsidR="00AF798E" w:rsidRPr="00345CE4">
        <w:t>torno do dia</w:t>
      </w:r>
      <w:r w:rsidR="00AF798E">
        <w:t xml:space="preserve"> do evento na análise. Quando aplicável</w:t>
      </w:r>
      <w:r w:rsidR="00282B8E">
        <w:t>,</w:t>
      </w:r>
      <w:r w:rsidR="00AF798E">
        <w:t xml:space="preserve"> a janela </w:t>
      </w:r>
      <w:proofErr w:type="gramStart"/>
      <w:r w:rsidR="00AF798E">
        <w:t>pós evento</w:t>
      </w:r>
      <w:proofErr w:type="gramEnd"/>
      <w:r w:rsidR="00AF798E">
        <w:t xml:space="preserve"> será de </w:t>
      </w:r>
      <m:oMath>
        <m:r>
          <w:rPr>
            <w:rFonts w:ascii="Cambria Math" w:hAnsi="Cambria Math"/>
          </w:rPr>
          <m:t>τ=</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+1</m:t>
        </m:r>
      </m:oMath>
      <w:r w:rsidR="0060160A">
        <w:t xml:space="preserve"> a </w:t>
      </w:r>
      <m:oMath>
        <m:r>
          <w:rPr>
            <w:rFonts w:ascii="Cambria Math" w:hAnsi="Cambria Math"/>
          </w:rPr>
          <m:t>τ=</m:t>
        </m:r>
        <m:sSub>
          <m:sSubPr>
            <m:ctrlPr>
              <w:rPr>
                <w:rFonts w:ascii="Cambria Math" w:hAnsi="Cambria Math"/>
                <w:i/>
              </w:rPr>
            </m:ctrlPr>
          </m:sSubPr>
          <m:e>
            <m:r>
              <w:rPr>
                <w:rFonts w:ascii="Cambria Math" w:hAnsi="Cambria Math"/>
              </w:rPr>
              <m:t>T</m:t>
            </m:r>
          </m:e>
          <m:sub>
            <m:r>
              <w:rPr>
                <w:rFonts w:ascii="Cambria Math" w:hAnsi="Cambria Math"/>
              </w:rPr>
              <m:t>3</m:t>
            </m:r>
          </m:sub>
        </m:sSub>
      </m:oMath>
      <w:r w:rsidR="0060160A">
        <w:t xml:space="preserve"> e a </w:t>
      </w:r>
      <w:r w:rsidR="005A4C13">
        <w:t>extensão</w:t>
      </w:r>
      <m:oMath>
        <m:sSub>
          <m:sSubPr>
            <m:ctrlPr>
              <w:rPr>
                <w:rFonts w:ascii="Cambria Math" w:hAnsi="Cambria Math"/>
                <w:i/>
              </w:rPr>
            </m:ctrlPr>
          </m:sSubPr>
          <m:e>
            <m:r>
              <w:rPr>
                <w:rFonts w:ascii="Cambria Math" w:hAnsi="Cambria Math"/>
              </w:rPr>
              <m:t xml:space="preserve"> L</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oMath>
      <w:r w:rsidR="0060160A">
        <w:t xml:space="preserve">. </w:t>
      </w:r>
    </w:p>
    <w:p w:rsidR="003D56D3" w:rsidRPr="003D56D3" w:rsidRDefault="00264F52" w:rsidP="00FA5866">
      <w:pPr>
        <w:spacing w:after="0" w:line="240" w:lineRule="auto"/>
      </w:pPr>
      <w:r>
        <w:t>Tipicamente</w:t>
      </w:r>
      <w:r w:rsidR="00282B8E">
        <w:t>,</w:t>
      </w:r>
      <w:r>
        <w:t xml:space="preserve"> as janelas de evento e estimação não possuem </w:t>
      </w:r>
      <w:r w:rsidR="007A7877">
        <w:t>sobreposições</w:t>
      </w:r>
      <w:r w:rsidR="0017621B">
        <w:t>. A</w:t>
      </w:r>
      <w:r w:rsidRPr="00345CE4">
        <w:t>ssim, propicia</w:t>
      </w:r>
      <w:r w:rsidR="00282B8E">
        <w:t>m</w:t>
      </w:r>
      <w:r w:rsidRPr="00345CE4">
        <w:t xml:space="preserve"> que os estimadores para o modelo de retornos normais não sejam influe</w:t>
      </w:r>
      <w:r>
        <w:t xml:space="preserve">nciados pelos retornos em torno do evento. Incluir a janela de evento na estimação dos </w:t>
      </w:r>
      <w:r w:rsidR="005A4C13">
        <w:t>parâmetros</w:t>
      </w:r>
      <w:r>
        <w:t xml:space="preserve"> do modelo de retornos normais poderia levar a uma influência dos retornos do evento sobre a medida de retornos normais. </w:t>
      </w:r>
    </w:p>
    <w:p w:rsidR="00C648B9" w:rsidRDefault="00C648B9" w:rsidP="00FA5866">
      <w:pPr>
        <w:spacing w:after="0" w:line="240" w:lineRule="auto"/>
      </w:pPr>
      <w:r>
        <w:t xml:space="preserve">As observações dos retornos anormais </w:t>
      </w:r>
      <w:r w:rsidR="003A6BF3" w:rsidRPr="00345CE4">
        <w:t>pode</w:t>
      </w:r>
      <w:r w:rsidR="00345CE4" w:rsidRPr="00345CE4">
        <w:t>m</w:t>
      </w:r>
      <w:r>
        <w:t xml:space="preserve"> ser agregada</w:t>
      </w:r>
      <w:r w:rsidR="00345CE4">
        <w:t>s</w:t>
      </w:r>
      <w:r w:rsidR="00930272">
        <w:t xml:space="preserve"> </w:t>
      </w:r>
      <w:r w:rsidR="003A6BF3">
        <w:t>conforme</w:t>
      </w:r>
      <w:r w:rsidR="00930272">
        <w:t xml:space="preserve"> </w:t>
      </w:r>
      <w:proofErr w:type="spellStart"/>
      <w:r w:rsidR="003A6BF3">
        <w:t>Mackinlay</w:t>
      </w:r>
      <w:proofErr w:type="spellEnd"/>
      <w:r w:rsidR="003A6BF3">
        <w:t xml:space="preserve"> (1993) </w:t>
      </w:r>
      <w:r>
        <w:t xml:space="preserve">para se </w:t>
      </w:r>
      <w:r w:rsidR="000A2909">
        <w:t>realizar</w:t>
      </w:r>
      <w:r>
        <w:t xml:space="preserve"> in</w:t>
      </w:r>
      <w:r w:rsidR="005A4C13">
        <w:t>ferências globais. A agregação ocorre</w:t>
      </w:r>
      <w:r>
        <w:t xml:space="preserve"> ao longo de duas dimensões, através tempo e das ações. O conceito de um retorno anormal acumulado</w:t>
      </w:r>
      <w:r w:rsidR="00B54D83">
        <w:t xml:space="preserve"> é necessário para se adaptar uma janela de evento com múltiplos períodos. Define-se  </w:t>
      </w:r>
      <m:oMath>
        <m:r>
          <w:rPr>
            <w:rFonts w:ascii="Cambria Math" w:hAnsi="Cambria Math"/>
          </w:rPr>
          <m:t>CA</m:t>
        </m:r>
        <m:sSub>
          <m:sSubPr>
            <m:ctrlPr>
              <w:rPr>
                <w:rFonts w:ascii="Cambria Math" w:hAnsi="Cambria Math"/>
                <w:i/>
              </w:rPr>
            </m:ctrlPr>
          </m:sSubPr>
          <m:e>
            <m:r>
              <w:rPr>
                <w:rFonts w:ascii="Cambria Math" w:hAnsi="Cambria Math"/>
              </w:rPr>
              <m:t>R</m:t>
            </m:r>
          </m:e>
          <m:sub>
            <m:r>
              <w:rPr>
                <w:rFonts w:ascii="Cambria Math" w:hAnsi="Cambria Math"/>
              </w:rPr>
              <m:t>i</m:t>
            </m:r>
          </m:sub>
        </m:sSub>
        <w:proofErr w:type="gramStart"/>
        <m:r>
          <w:rPr>
            <w:rFonts w:ascii="Cambria Math" w:hAnsi="Cambria Math"/>
          </w:rPr>
          <m:t>(</m:t>
        </m:r>
        <w:proofErr w:type="gramEnd"/>
        <m:sSub>
          <m:sSubPr>
            <m:ctrlPr>
              <w:rPr>
                <w:rFonts w:ascii="Cambria Math" w:hAnsi="Cambria Math"/>
                <w:i/>
              </w:rPr>
            </m:ctrlPr>
          </m:sSubPr>
          <m:e>
            <m:r>
              <w:rPr>
                <w:rFonts w:ascii="Cambria Math" w:hAnsi="Cambria Math"/>
              </w:rPr>
              <m:t>τ</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2</m:t>
            </m:r>
          </m:sub>
        </m:sSub>
        <m:r>
          <w:rPr>
            <w:rFonts w:ascii="Cambria Math" w:hAnsi="Cambria Math"/>
          </w:rPr>
          <m:t>)</m:t>
        </m:r>
      </m:oMath>
      <w:r w:rsidR="00B54D83">
        <w:t xml:space="preserve"> como a amostra de retornos anormais acumulados (</w:t>
      </w:r>
      <m:oMath>
        <m:r>
          <w:rPr>
            <w:rFonts w:ascii="Cambria Math" w:hAnsi="Cambria Math"/>
          </w:rPr>
          <m:t>CAR</m:t>
        </m:r>
      </m:oMath>
      <w:r w:rsidR="00B54D83">
        <w:t xml:space="preserve">) de </w:t>
      </w:r>
      <m:oMath>
        <m:sSub>
          <m:sSubPr>
            <m:ctrlPr>
              <w:rPr>
                <w:rFonts w:ascii="Cambria Math" w:hAnsi="Cambria Math"/>
                <w:i/>
              </w:rPr>
            </m:ctrlPr>
          </m:sSubPr>
          <m:e>
            <m:r>
              <w:rPr>
                <w:rFonts w:ascii="Cambria Math" w:hAnsi="Cambria Math"/>
              </w:rPr>
              <m:t>τ</m:t>
            </m:r>
          </m:e>
          <m:sub>
            <m:r>
              <w:rPr>
                <w:rFonts w:ascii="Cambria Math" w:hAnsi="Cambria Math"/>
              </w:rPr>
              <m:t>1</m:t>
            </m:r>
          </m:sub>
        </m:sSub>
      </m:oMath>
      <w:r w:rsidR="00B54D83">
        <w:t xml:space="preserve"> a </w:t>
      </w:r>
      <m:oMath>
        <m:sSub>
          <m:sSubPr>
            <m:ctrlPr>
              <w:rPr>
                <w:rFonts w:ascii="Cambria Math" w:hAnsi="Cambria Math"/>
                <w:i/>
              </w:rPr>
            </m:ctrlPr>
          </m:sSubPr>
          <m:e>
            <m:r>
              <w:rPr>
                <w:rFonts w:ascii="Cambria Math" w:hAnsi="Cambria Math"/>
              </w:rPr>
              <m:t>τ</m:t>
            </m:r>
          </m:e>
          <m:sub>
            <m:r>
              <w:rPr>
                <w:rFonts w:ascii="Cambria Math" w:hAnsi="Cambria Math"/>
              </w:rPr>
              <m:t>2</m:t>
            </m:r>
          </m:sub>
        </m:sSub>
      </m:oMath>
      <w:r w:rsidR="00B54D83">
        <w:t xml:space="preserve"> onde </w:t>
      </w:r>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oMath>
      <w:r w:rsidR="00B54D83">
        <w:t xml:space="preserve">. Em que o </w:t>
      </w:r>
      <m:oMath>
        <m:r>
          <w:rPr>
            <w:rFonts w:ascii="Cambria Math" w:hAnsi="Cambria Math"/>
          </w:rPr>
          <m:t>CAR</m:t>
        </m:r>
      </m:oMath>
      <w:r w:rsidR="00B54D83">
        <w:t xml:space="preserve"> de </w:t>
      </w:r>
      <m:oMath>
        <m:sSub>
          <m:sSubPr>
            <m:ctrlPr>
              <w:rPr>
                <w:rFonts w:ascii="Cambria Math" w:hAnsi="Cambria Math"/>
                <w:i/>
              </w:rPr>
            </m:ctrlPr>
          </m:sSubPr>
          <m:e>
            <m:r>
              <w:rPr>
                <w:rFonts w:ascii="Cambria Math" w:hAnsi="Cambria Math"/>
              </w:rPr>
              <m:t>τ</m:t>
            </m:r>
          </m:e>
          <m:sub>
            <m:r>
              <w:rPr>
                <w:rFonts w:ascii="Cambria Math" w:hAnsi="Cambria Math"/>
              </w:rPr>
              <m:t>1</m:t>
            </m:r>
          </m:sub>
        </m:sSub>
      </m:oMath>
      <w:r w:rsidR="00B54D83">
        <w:t xml:space="preserve"> a </w:t>
      </w:r>
      <m:oMath>
        <m:sSub>
          <m:sSubPr>
            <m:ctrlPr>
              <w:rPr>
                <w:rFonts w:ascii="Cambria Math" w:hAnsi="Cambria Math"/>
                <w:i/>
              </w:rPr>
            </m:ctrlPr>
          </m:sSubPr>
          <m:e>
            <m:r>
              <w:rPr>
                <w:rFonts w:ascii="Cambria Math" w:hAnsi="Cambria Math"/>
              </w:rPr>
              <m:t>τ</m:t>
            </m:r>
          </m:e>
          <m:sub>
            <m:r>
              <w:rPr>
                <w:rFonts w:ascii="Cambria Math" w:hAnsi="Cambria Math"/>
              </w:rPr>
              <m:t>2</m:t>
            </m:r>
          </m:sub>
        </m:sSub>
      </m:oMath>
      <w:r w:rsidR="00B54D83">
        <w:t xml:space="preserve"> é a soma dos retornos anormais no intervalo,</w:t>
      </w:r>
    </w:p>
    <w:p w:rsidR="00345FF2" w:rsidRDefault="00345FF2" w:rsidP="00FA5866">
      <w:pPr>
        <w:spacing w:after="0" w:line="240" w:lineRule="auto"/>
      </w:pPr>
    </w:p>
    <w:p w:rsidR="00B54D83" w:rsidRDefault="00930272" w:rsidP="00FA5866">
      <w:pPr>
        <w:spacing w:after="0" w:line="240" w:lineRule="auto"/>
      </w:pPr>
      <m:oMath>
        <m:r>
          <w:rPr>
            <w:rFonts w:ascii="Cambria Math" w:hAnsi="Cambria Math"/>
          </w:rPr>
          <m:t>CA</m:t>
        </m:r>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2</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τ=</m:t>
            </m:r>
            <m:sSub>
              <m:sSubPr>
                <m:ctrlPr>
                  <w:rPr>
                    <w:rFonts w:ascii="Cambria Math" w:hAnsi="Cambria Math"/>
                    <w:i/>
                  </w:rPr>
                </m:ctrlPr>
              </m:sSubPr>
              <m:e>
                <m:r>
                  <w:rPr>
                    <w:rFonts w:ascii="Cambria Math" w:hAnsi="Cambria Math"/>
                  </w:rPr>
                  <m:t>τ</m:t>
                </m:r>
              </m:e>
              <m:sub>
                <m:r>
                  <w:rPr>
                    <w:rFonts w:ascii="Cambria Math" w:hAnsi="Cambria Math"/>
                  </w:rPr>
                  <m:t>1</m:t>
                </m:r>
              </m:sub>
            </m:sSub>
          </m:sub>
          <m:sup>
            <m:sSub>
              <m:sSubPr>
                <m:ctrlPr>
                  <w:rPr>
                    <w:rFonts w:ascii="Cambria Math" w:hAnsi="Cambria Math"/>
                    <w:i/>
                  </w:rPr>
                </m:ctrlPr>
              </m:sSubPr>
              <m:e>
                <m:r>
                  <w:rPr>
                    <w:rFonts w:ascii="Cambria Math" w:hAnsi="Cambria Math"/>
                  </w:rPr>
                  <m:t>τ</m:t>
                </m:r>
              </m:e>
              <m:sub>
                <m:r>
                  <w:rPr>
                    <w:rFonts w:ascii="Cambria Math" w:hAnsi="Cambria Math"/>
                  </w:rPr>
                  <m:t>2</m:t>
                </m:r>
              </m:sub>
            </m:sSub>
          </m:sup>
          <m:e>
            <m:r>
              <w:rPr>
                <w:rFonts w:ascii="Cambria Math" w:hAnsi="Cambria Math"/>
              </w:rPr>
              <m:t>A</m:t>
            </m:r>
            <m:sSub>
              <m:sSubPr>
                <m:ctrlPr>
                  <w:rPr>
                    <w:rFonts w:ascii="Cambria Math" w:hAnsi="Cambria Math"/>
                    <w:i/>
                  </w:rPr>
                </m:ctrlPr>
              </m:sSubPr>
              <m:e>
                <m:r>
                  <w:rPr>
                    <w:rFonts w:ascii="Cambria Math" w:hAnsi="Cambria Math"/>
                  </w:rPr>
                  <m:t>R</m:t>
                </m:r>
              </m:e>
              <m:sub>
                <m:r>
                  <w:rPr>
                    <w:rFonts w:ascii="Cambria Math" w:hAnsi="Cambria Math"/>
                  </w:rPr>
                  <m:t>iτ</m:t>
                </m:r>
              </m:sub>
            </m:sSub>
          </m:e>
        </m:nary>
      </m:oMath>
      <w:r w:rsidR="00345FF2">
        <w:tab/>
      </w:r>
      <w:r w:rsidR="00345FF2">
        <w:tab/>
      </w:r>
      <w:r w:rsidR="00345FF2">
        <w:tab/>
      </w:r>
      <w:r w:rsidR="00345FF2">
        <w:tab/>
      </w:r>
      <w:r w:rsidR="00345FF2">
        <w:tab/>
      </w:r>
      <w:r w:rsidR="00345FF2">
        <w:tab/>
      </w:r>
      <w:r w:rsidR="00345FF2">
        <w:tab/>
        <w:t>Eq. (2</w:t>
      </w:r>
      <w:r>
        <w:t>)</w:t>
      </w:r>
    </w:p>
    <w:p w:rsidR="00345FF2" w:rsidRDefault="00345FF2" w:rsidP="00FA5866">
      <w:pPr>
        <w:spacing w:after="0" w:line="240" w:lineRule="auto"/>
      </w:pPr>
    </w:p>
    <w:p w:rsidR="00B54D83" w:rsidRDefault="00B54D83" w:rsidP="00FA5866">
      <w:pPr>
        <w:spacing w:after="0" w:line="240" w:lineRule="auto"/>
      </w:pPr>
      <w:r>
        <w:t>Assintoticamente</w:t>
      </w:r>
      <w:r w:rsidR="00930272">
        <w:t xml:space="preserve"> </w:t>
      </w:r>
      <w:r w:rsidR="00282B8E">
        <w:t>(</w:t>
      </w:r>
      <w:r w:rsidR="00340F6B">
        <w:t xml:space="preserve">ou seja, </w:t>
      </w:r>
      <w:r w:rsidR="00282B8E">
        <w:t>à</w:t>
      </w:r>
      <w:r w:rsidR="00EA30F0">
        <w:t xml:space="preserve"> medida que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rsidR="00EA30F0">
        <w:t xml:space="preserve"> aumenta) a variância dos </w:t>
      </w:r>
      <m:oMath>
        <m:r>
          <w:rPr>
            <w:rFonts w:ascii="Cambria Math" w:hAnsi="Cambria Math"/>
          </w:rPr>
          <m:t>CA</m:t>
        </m:r>
        <m:sSub>
          <m:sSubPr>
            <m:ctrlPr>
              <w:rPr>
                <w:rFonts w:ascii="Cambria Math" w:hAnsi="Cambria Math"/>
                <w:i/>
              </w:rPr>
            </m:ctrlPr>
          </m:sSubPr>
          <m:e>
            <m:r>
              <w:rPr>
                <w:rFonts w:ascii="Cambria Math" w:hAnsi="Cambria Math"/>
              </w:rPr>
              <m:t>R</m:t>
            </m:r>
          </m:e>
          <m:sub>
            <m:r>
              <w:rPr>
                <w:rFonts w:ascii="Cambria Math" w:hAnsi="Cambria Math"/>
              </w:rPr>
              <m:t>i</m:t>
            </m:r>
          </m:sub>
        </m:sSub>
      </m:oMath>
      <w:r w:rsidR="00EA30F0">
        <w:t xml:space="preserve"> </w:t>
      </w:r>
      <w:proofErr w:type="gramStart"/>
      <w:r w:rsidR="00EA30F0">
        <w:t>é</w:t>
      </w:r>
      <w:proofErr w:type="gramEnd"/>
    </w:p>
    <w:p w:rsidR="00EA30F0" w:rsidRDefault="006E76EF" w:rsidP="00FA5866">
      <w:pPr>
        <w:spacing w:after="0" w:line="240" w:lineRule="auto"/>
      </w:pPr>
      <m:oMath>
        <m:sSubSup>
          <m:sSubSupPr>
            <m:ctrlPr>
              <w:rPr>
                <w:rFonts w:ascii="Cambria Math" w:hAnsi="Cambria Math"/>
                <w:i/>
              </w:rPr>
            </m:ctrlPr>
          </m:sSubSupPr>
          <m:e>
            <m:r>
              <w:rPr>
                <w:rFonts w:ascii="Cambria Math" w:hAnsi="Cambria Math"/>
              </w:rPr>
              <m:t>σ</m:t>
            </m:r>
          </m:e>
          <m:sub>
            <m:r>
              <w:rPr>
                <w:rFonts w:ascii="Cambria Math" w:hAnsi="Cambria Math"/>
              </w:rPr>
              <m:t>i</m:t>
            </m:r>
          </m:sub>
          <m:sup>
            <m:r>
              <w:rPr>
                <w:rFonts w:ascii="Cambria Math" w:hAnsi="Cambria Math"/>
              </w:rPr>
              <m:t>2</m:t>
            </m:r>
          </m:sup>
        </m:sSub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1</m:t>
            </m:r>
          </m:sub>
        </m:sSub>
        <m:r>
          <w:rPr>
            <w:rFonts w:ascii="Cambria Math" w:hAnsi="Cambria Math"/>
          </w:rPr>
          <m:t>+1)</m:t>
        </m:r>
        <m:sSubSup>
          <m:sSubSupPr>
            <m:ctrlPr>
              <w:rPr>
                <w:rFonts w:ascii="Cambria Math" w:hAnsi="Cambria Math"/>
                <w:i/>
              </w:rPr>
            </m:ctrlPr>
          </m:sSubSupPr>
          <m:e>
            <m:r>
              <w:rPr>
                <w:rFonts w:ascii="Cambria Math" w:hAnsi="Cambria Math"/>
              </w:rPr>
              <m:t>σ</m:t>
            </m:r>
          </m:e>
          <m:sub>
            <m:sSub>
              <m:sSubPr>
                <m:ctrlPr>
                  <w:rPr>
                    <w:rFonts w:ascii="Cambria Math" w:hAnsi="Cambria Math"/>
                    <w:i/>
                  </w:rPr>
                </m:ctrlPr>
              </m:sSubPr>
              <m:e>
                <m:r>
                  <w:rPr>
                    <w:rFonts w:ascii="Cambria Math" w:hAnsi="Cambria Math"/>
                  </w:rPr>
                  <m:t>ε</m:t>
                </m:r>
              </m:e>
              <m:sub>
                <m:r>
                  <w:rPr>
                    <w:rFonts w:ascii="Cambria Math" w:hAnsi="Cambria Math"/>
                  </w:rPr>
                  <m:t>i</m:t>
                </m:r>
              </m:sub>
            </m:sSub>
          </m:sub>
          <m:sup>
            <m:r>
              <w:rPr>
                <w:rFonts w:ascii="Cambria Math" w:hAnsi="Cambria Math"/>
              </w:rPr>
              <m:t>2</m:t>
            </m:r>
          </m:sup>
        </m:sSubSup>
      </m:oMath>
      <w:r w:rsidR="00345FF2">
        <w:t xml:space="preserve">  </w:t>
      </w:r>
      <w:r w:rsidR="00345FF2">
        <w:tab/>
      </w:r>
      <w:r w:rsidR="00345FF2">
        <w:tab/>
      </w:r>
      <w:r w:rsidR="00345FF2">
        <w:tab/>
      </w:r>
      <w:r w:rsidR="00345FF2">
        <w:tab/>
      </w:r>
      <w:r w:rsidR="00345FF2">
        <w:tab/>
        <w:t xml:space="preserve">          </w:t>
      </w:r>
      <w:r w:rsidR="00345FF2">
        <w:tab/>
        <w:t>Eq. (3</w:t>
      </w:r>
      <w:r w:rsidR="00930272">
        <w:t>)</w:t>
      </w:r>
    </w:p>
    <w:p w:rsidR="00345FF2" w:rsidRDefault="00345FF2" w:rsidP="00FA5866">
      <w:pPr>
        <w:spacing w:after="0" w:line="240" w:lineRule="auto"/>
      </w:pPr>
    </w:p>
    <w:p w:rsidR="00EA30F0" w:rsidRDefault="00EA30F0" w:rsidP="00FA5866">
      <w:pPr>
        <w:spacing w:after="0" w:line="240" w:lineRule="auto"/>
      </w:pPr>
      <w:r>
        <w:t xml:space="preserve">Este estimador de grandes amostras pode ser usado para valores razoáveis de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rsidR="00E13CF9">
        <w:t>. No entanto, para amostras pequenas</w:t>
      </w:r>
      <w:r w:rsidR="00282B8E">
        <w:t>,</w:t>
      </w:r>
      <w:r w:rsidR="00E13CF9">
        <w:t xml:space="preserve"> a variância dos retornos anormais acumulados deve ser ajustada para os efeitos do erro de e</w:t>
      </w:r>
      <w:r w:rsidR="000A2909">
        <w:t>stimação sobre os parâmetros do</w:t>
      </w:r>
      <w:r w:rsidR="00E13CF9">
        <w:t xml:space="preserve"> modelo normal. Sob a hipótese nula,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rsidR="00E13CF9">
        <w:t xml:space="preserve">, a distribuição da amostra dos retornos anormais acumulados </w:t>
      </w:r>
      <w:proofErr w:type="gramStart"/>
      <w:r w:rsidR="00E13CF9">
        <w:t>é</w:t>
      </w:r>
      <w:proofErr w:type="gramEnd"/>
    </w:p>
    <w:p w:rsidR="00345FF2" w:rsidRDefault="00345FF2" w:rsidP="00FA5866">
      <w:pPr>
        <w:spacing w:after="0" w:line="240" w:lineRule="auto"/>
      </w:pPr>
    </w:p>
    <w:p w:rsidR="00E13CF9" w:rsidRDefault="00E13CF9" w:rsidP="00FA5866">
      <w:pPr>
        <w:spacing w:after="0" w:line="240" w:lineRule="auto"/>
      </w:pPr>
      <m:oMath>
        <m:r>
          <w:rPr>
            <w:rFonts w:ascii="Cambria Math" w:hAnsi="Cambria Math"/>
          </w:rPr>
          <m:t>CA</m:t>
        </m:r>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2</m:t>
                </m:r>
              </m:sub>
            </m:sSub>
          </m:e>
        </m:d>
        <m:r>
          <w:rPr>
            <w:rFonts w:ascii="Cambria Math" w:hAnsi="Cambria Math"/>
          </w:rPr>
          <m:t>~N(0,</m:t>
        </m:r>
        <m:sSubSup>
          <m:sSubSupPr>
            <m:ctrlPr>
              <w:rPr>
                <w:rFonts w:ascii="Cambria Math" w:hAnsi="Cambria Math"/>
                <w:i/>
              </w:rPr>
            </m:ctrlPr>
          </m:sSubSupPr>
          <m:e>
            <m:r>
              <w:rPr>
                <w:rFonts w:ascii="Cambria Math" w:hAnsi="Cambria Math"/>
              </w:rPr>
              <m:t>σ</m:t>
            </m:r>
          </m:e>
          <m:sub>
            <m:r>
              <w:rPr>
                <w:rFonts w:ascii="Cambria Math" w:hAnsi="Cambria Math"/>
              </w:rPr>
              <m:t>i</m:t>
            </m:r>
          </m:sub>
          <m:sup>
            <m:r>
              <w:rPr>
                <w:rFonts w:ascii="Cambria Math" w:hAnsi="Cambria Math"/>
              </w:rPr>
              <m:t>2</m:t>
            </m:r>
          </m:sup>
        </m:sSub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2</m:t>
                </m:r>
              </m:sub>
            </m:sSub>
          </m:e>
        </m:d>
        <m:r>
          <w:rPr>
            <w:rFonts w:ascii="Cambria Math" w:hAnsi="Cambria Math"/>
          </w:rPr>
          <m:t>)</m:t>
        </m:r>
      </m:oMath>
      <w:r w:rsidR="00345FF2">
        <w:t xml:space="preserve"> </w:t>
      </w:r>
      <w:r w:rsidR="00345FF2">
        <w:tab/>
      </w:r>
      <w:r w:rsidR="00345FF2">
        <w:tab/>
      </w:r>
      <w:r w:rsidR="00345FF2">
        <w:tab/>
      </w:r>
      <w:r w:rsidR="00345FF2">
        <w:tab/>
      </w:r>
      <w:r w:rsidR="00345FF2">
        <w:tab/>
        <w:t xml:space="preserve">          Eq. (4</w:t>
      </w:r>
      <w:r w:rsidR="00930272">
        <w:t>)</w:t>
      </w:r>
    </w:p>
    <w:p w:rsidR="00345FF2" w:rsidRDefault="00345FF2" w:rsidP="00FA5866">
      <w:pPr>
        <w:spacing w:after="0" w:line="240" w:lineRule="auto"/>
      </w:pPr>
    </w:p>
    <w:p w:rsidR="00E13CF9" w:rsidRDefault="00E13CF9" w:rsidP="00FA5866">
      <w:pPr>
        <w:spacing w:after="0" w:line="240" w:lineRule="auto"/>
      </w:pPr>
      <w:r>
        <w:t xml:space="preserve">Dadas </w:t>
      </w:r>
      <w:proofErr w:type="gramStart"/>
      <w:r>
        <w:t>as</w:t>
      </w:r>
      <w:proofErr w:type="gramEnd"/>
      <w:r>
        <w:t xml:space="preserve"> distribuições dos retornos anormais e dos retornos anormais acumulados, testes sobre a hipótese nula </w:t>
      </w:r>
      <w:r w:rsidR="00F22F94">
        <w:t>podem ser conduzidos.</w:t>
      </w:r>
    </w:p>
    <w:p w:rsidR="001F30AC" w:rsidRDefault="00012A33" w:rsidP="00FA5866">
      <w:pPr>
        <w:spacing w:after="0" w:line="240" w:lineRule="auto"/>
      </w:pPr>
      <w:r>
        <w:t>No entanto, testes com observação de um evento provavelmente não serão úteis</w:t>
      </w:r>
      <w:r w:rsidR="00282B8E">
        <w:t>,</w:t>
      </w:r>
      <w:r>
        <w:t xml:space="preserve"> então é necessário que se agregue</w:t>
      </w:r>
      <w:r w:rsidR="000A2909">
        <w:t xml:space="preserve"> os eventos relacionados</w:t>
      </w:r>
      <w:r>
        <w:t xml:space="preserve">. As observações dos retornos anormais devem ser agregadas </w:t>
      </w:r>
      <w:r w:rsidR="000A2909">
        <w:t>não apenas na</w:t>
      </w:r>
      <w:r>
        <w:t xml:space="preserve"> janela do evento</w:t>
      </w:r>
      <w:r w:rsidR="000A2909">
        <w:t>, mas também</w:t>
      </w:r>
      <w:r>
        <w:t xml:space="preserve"> sobre as observações do evento. Para esta </w:t>
      </w:r>
      <w:r>
        <w:lastRenderedPageBreak/>
        <w:t>agregação,</w:t>
      </w:r>
      <w:r w:rsidR="00AF62DA">
        <w:t xml:space="preserve"> assume-se que não exista</w:t>
      </w:r>
      <w:r w:rsidR="00BD4548">
        <w:t xml:space="preserve"> nenhum </w:t>
      </w:r>
      <w:r w:rsidR="00BD4548" w:rsidRPr="00345CE4">
        <w:rPr>
          <w:i/>
        </w:rPr>
        <w:t>cluster</w:t>
      </w:r>
      <w:r w:rsidR="00BD4548" w:rsidRPr="00345CE4">
        <w:t>. Ou</w:t>
      </w:r>
      <w:r w:rsidR="00AF62DA">
        <w:t xml:space="preserve"> seja, não existe nenhuma</w:t>
      </w:r>
      <w:r w:rsidR="00BD4548">
        <w:t xml:space="preserve"> sobreposição nas janelas de eventos das ações observadas. A ausência de qualquer sobreposição e mantidas as hipóteses sobre a distribuição</w:t>
      </w:r>
      <w:r w:rsidR="000A2909">
        <w:t xml:space="preserve"> dos retornos</w:t>
      </w:r>
      <w:r w:rsidR="00BD4548">
        <w:t xml:space="preserve"> implicam que os retornos anormais serão independentes através das ações. </w:t>
      </w:r>
    </w:p>
    <w:p w:rsidR="001F30AC" w:rsidRDefault="001F30AC" w:rsidP="00FA5866">
      <w:pPr>
        <w:spacing w:after="0" w:line="240" w:lineRule="auto"/>
      </w:pPr>
      <w:r>
        <w:t xml:space="preserve">As ações individuais podem ser agregadas utilizando </w:t>
      </w:r>
      <m:oMath>
        <m:r>
          <w:rPr>
            <w:rFonts w:ascii="Cambria Math" w:hAnsi="Cambria Math"/>
          </w:rPr>
          <m:t>A</m:t>
        </m:r>
        <m:sSub>
          <m:sSubPr>
            <m:ctrlPr>
              <w:rPr>
                <w:rFonts w:ascii="Cambria Math" w:hAnsi="Cambria Math"/>
                <w:i/>
              </w:rPr>
            </m:ctrlPr>
          </m:sSubPr>
          <m:e>
            <m:r>
              <w:rPr>
                <w:rFonts w:ascii="Cambria Math" w:hAnsi="Cambria Math"/>
              </w:rPr>
              <m:t>R</m:t>
            </m:r>
          </m:e>
          <m:sub>
            <m:r>
              <w:rPr>
                <w:rFonts w:ascii="Cambria Math" w:hAnsi="Cambria Math"/>
              </w:rPr>
              <m:t>iτ</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iτ</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α</m:t>
                </m:r>
              </m:e>
            </m:acc>
          </m:e>
          <m:sub>
            <m:r>
              <w:rPr>
                <w:rFonts w:ascii="Cambria Math" w:hAnsi="Cambria Math"/>
              </w:rPr>
              <m:t>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i</m:t>
            </m:r>
          </m:sub>
        </m:sSub>
        <m:sSub>
          <m:sSubPr>
            <m:ctrlPr>
              <w:rPr>
                <w:rFonts w:ascii="Cambria Math" w:hAnsi="Cambria Math"/>
                <w:i/>
              </w:rPr>
            </m:ctrlPr>
          </m:sSubPr>
          <m:e>
            <m:r>
              <w:rPr>
                <w:rFonts w:ascii="Cambria Math" w:hAnsi="Cambria Math"/>
              </w:rPr>
              <m:t>R</m:t>
            </m:r>
          </m:e>
          <m:sub>
            <m:r>
              <w:rPr>
                <w:rFonts w:ascii="Cambria Math" w:hAnsi="Cambria Math"/>
              </w:rPr>
              <m:t>mτ</m:t>
            </m:r>
          </m:sub>
        </m:sSub>
      </m:oMath>
      <w:r>
        <w:t xml:space="preserve"> para cada período de evento, </w:t>
      </w:r>
      <m:oMath>
        <m:r>
          <w:rPr>
            <w:rFonts w:ascii="Cambria Math" w:hAnsi="Cambria Math"/>
          </w:rPr>
          <m:t>τ=</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T</m:t>
            </m:r>
          </m:e>
          <m:sub>
            <m:r>
              <w:rPr>
                <w:rFonts w:ascii="Cambria Math" w:hAnsi="Cambria Math"/>
              </w:rPr>
              <m:t>2</m:t>
            </m:r>
          </m:sub>
        </m:sSub>
      </m:oMath>
      <w:r>
        <w:t xml:space="preserve">. Dados os </w:t>
      </w:r>
      <m:oMath>
        <m:r>
          <w:rPr>
            <w:rFonts w:ascii="Cambria Math" w:hAnsi="Cambria Math"/>
          </w:rPr>
          <m:t>N</m:t>
        </m:r>
      </m:oMath>
      <w:r>
        <w:t xml:space="preserve"> eventos, a amostra de retornos anormais agregados para o período </w:t>
      </w:r>
      <m:oMath>
        <m:r>
          <w:rPr>
            <w:rFonts w:ascii="Cambria Math" w:hAnsi="Cambria Math"/>
          </w:rPr>
          <m:t xml:space="preserve">τ </m:t>
        </m:r>
      </m:oMath>
      <w:proofErr w:type="gramStart"/>
      <w:r>
        <w:t>é</w:t>
      </w:r>
      <w:proofErr w:type="gramEnd"/>
    </w:p>
    <w:p w:rsidR="00345FF2" w:rsidRDefault="00345FF2" w:rsidP="00FA5866">
      <w:pPr>
        <w:spacing w:after="0" w:line="240" w:lineRule="auto"/>
      </w:pPr>
    </w:p>
    <w:p w:rsidR="00F22F94" w:rsidRDefault="006E76EF" w:rsidP="00FA5866">
      <w:pPr>
        <w:spacing w:after="0" w:line="240" w:lineRule="auto"/>
      </w:pPr>
      <m:oMath>
        <m:acc>
          <m:accPr>
            <m:chr m:val="̅"/>
            <m:ctrlPr>
              <w:rPr>
                <w:rFonts w:ascii="Cambria Math" w:hAnsi="Cambria Math"/>
                <w:i/>
              </w:rPr>
            </m:ctrlPr>
          </m:accPr>
          <m:e>
            <m:r>
              <w:rPr>
                <w:rFonts w:ascii="Cambria Math" w:hAnsi="Cambria Math"/>
              </w:rPr>
              <m:t>A</m:t>
            </m:r>
            <m:sSub>
              <m:sSubPr>
                <m:ctrlPr>
                  <w:rPr>
                    <w:rFonts w:ascii="Cambria Math" w:hAnsi="Cambria Math"/>
                    <w:i/>
                  </w:rPr>
                </m:ctrlPr>
              </m:sSubPr>
              <m:e>
                <m:r>
                  <w:rPr>
                    <w:rFonts w:ascii="Cambria Math" w:hAnsi="Cambria Math"/>
                  </w:rPr>
                  <m:t>R</m:t>
                </m:r>
              </m:e>
              <m:sub>
                <m:r>
                  <w:rPr>
                    <w:rFonts w:ascii="Cambria Math" w:hAnsi="Cambria Math"/>
                  </w:rPr>
                  <m:t>τ</m:t>
                </m:r>
              </m:sub>
            </m:sSub>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A</m:t>
            </m:r>
            <m:sSub>
              <m:sSubPr>
                <m:ctrlPr>
                  <w:rPr>
                    <w:rFonts w:ascii="Cambria Math" w:hAnsi="Cambria Math"/>
                    <w:i/>
                  </w:rPr>
                </m:ctrlPr>
              </m:sSubPr>
              <m:e>
                <m:r>
                  <w:rPr>
                    <w:rFonts w:ascii="Cambria Math" w:hAnsi="Cambria Math"/>
                  </w:rPr>
                  <m:t>R</m:t>
                </m:r>
              </m:e>
              <m:sub>
                <m:r>
                  <w:rPr>
                    <w:rFonts w:ascii="Cambria Math" w:hAnsi="Cambria Math"/>
                  </w:rPr>
                  <m:t>iτ</m:t>
                </m:r>
              </m:sub>
            </m:sSub>
          </m:e>
        </m:nary>
      </m:oMath>
      <w:r w:rsidR="00345FF2">
        <w:t xml:space="preserve"> </w:t>
      </w:r>
      <w:r w:rsidR="00345FF2">
        <w:tab/>
      </w:r>
      <w:r w:rsidR="00345FF2">
        <w:tab/>
      </w:r>
      <w:r w:rsidR="00345FF2">
        <w:tab/>
      </w:r>
      <w:r w:rsidR="00345FF2">
        <w:tab/>
      </w:r>
      <w:r w:rsidR="00345FF2">
        <w:tab/>
      </w:r>
      <w:r w:rsidR="00345FF2">
        <w:tab/>
      </w:r>
      <w:r w:rsidR="00345FF2">
        <w:tab/>
        <w:t xml:space="preserve">          Eq. (5</w:t>
      </w:r>
      <w:r w:rsidR="00930272">
        <w:t>)</w:t>
      </w:r>
    </w:p>
    <w:p w:rsidR="00345FF2" w:rsidRDefault="00345FF2" w:rsidP="00FA5866">
      <w:pPr>
        <w:spacing w:after="0" w:line="240" w:lineRule="auto"/>
      </w:pPr>
    </w:p>
    <w:p w:rsidR="001F30AC" w:rsidRDefault="001F30AC" w:rsidP="00FA5866">
      <w:pPr>
        <w:spacing w:after="0" w:line="240" w:lineRule="auto"/>
      </w:pPr>
      <w:proofErr w:type="gramStart"/>
      <w:r>
        <w:t>e</w:t>
      </w:r>
      <w:proofErr w:type="gramEnd"/>
      <w:r w:rsidR="000A2909">
        <w:t>,</w:t>
      </w:r>
      <w:r>
        <w:t xml:space="preserve"> para grandes</w:t>
      </w:r>
      <w:r w:rsidR="004A7542">
        <w:t xml:space="preserve"> amostras, sua variância é</w:t>
      </w:r>
    </w:p>
    <w:p w:rsidR="004A7542" w:rsidRDefault="004A7542" w:rsidP="00FA5866">
      <w:pPr>
        <w:spacing w:after="0" w:line="240" w:lineRule="auto"/>
      </w:pPr>
      <m:oMath>
        <m:r>
          <w:rPr>
            <w:rFonts w:ascii="Cambria Math" w:hAnsi="Cambria Math"/>
          </w:rPr>
          <m:t>var(</m:t>
        </m:r>
        <m:acc>
          <m:accPr>
            <m:chr m:val="̅"/>
            <m:ctrlPr>
              <w:rPr>
                <w:rFonts w:ascii="Cambria Math" w:hAnsi="Cambria Math"/>
                <w:i/>
              </w:rPr>
            </m:ctrlPr>
          </m:accPr>
          <m:e>
            <m:r>
              <w:rPr>
                <w:rFonts w:ascii="Cambria Math" w:hAnsi="Cambria Math"/>
              </w:rPr>
              <m:t>A</m:t>
            </m:r>
            <m:sSub>
              <m:sSubPr>
                <m:ctrlPr>
                  <w:rPr>
                    <w:rFonts w:ascii="Cambria Math" w:hAnsi="Cambria Math"/>
                    <w:i/>
                  </w:rPr>
                </m:ctrlPr>
              </m:sSubPr>
              <m:e>
                <m:r>
                  <w:rPr>
                    <w:rFonts w:ascii="Cambria Math" w:hAnsi="Cambria Math"/>
                  </w:rPr>
                  <m:t>R</m:t>
                </m:r>
              </m:e>
              <m:sub>
                <m:r>
                  <w:rPr>
                    <w:rFonts w:ascii="Cambria Math" w:hAnsi="Cambria Math"/>
                  </w:rPr>
                  <m:t>iτ</m:t>
                </m:r>
              </m:sub>
            </m:sSub>
          </m:e>
        </m:acc>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N</m:t>
                </m:r>
              </m:e>
              <m:sup>
                <m:r>
                  <w:rPr>
                    <w:rFonts w:ascii="Cambria Math" w:hAnsi="Cambria Math"/>
                  </w:rPr>
                  <m:t>2</m:t>
                </m:r>
              </m:sup>
            </m:sSup>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σ</m:t>
                </m:r>
              </m:e>
              <m:sub>
                <m:r>
                  <w:rPr>
                    <w:rFonts w:ascii="Cambria Math" w:hAnsi="Cambria Math"/>
                  </w:rPr>
                  <m:t>ε</m:t>
                </m:r>
              </m:sub>
              <m:sup>
                <m:r>
                  <w:rPr>
                    <w:rFonts w:ascii="Cambria Math" w:hAnsi="Cambria Math"/>
                  </w:rPr>
                  <m:t>2</m:t>
                </m:r>
              </m:sup>
            </m:sSubSup>
          </m:e>
        </m:nary>
      </m:oMath>
      <w:r w:rsidR="00345FF2">
        <w:t xml:space="preserve"> </w:t>
      </w:r>
      <w:r w:rsidR="00345FF2">
        <w:tab/>
      </w:r>
      <w:r w:rsidR="00345FF2">
        <w:tab/>
      </w:r>
      <w:r w:rsidR="00345FF2">
        <w:tab/>
      </w:r>
      <w:r w:rsidR="00345FF2">
        <w:tab/>
      </w:r>
      <w:r w:rsidR="00345FF2">
        <w:tab/>
      </w:r>
      <w:r w:rsidR="00345FF2">
        <w:tab/>
        <w:t xml:space="preserve">          Eq. (6</w:t>
      </w:r>
      <w:r w:rsidR="00930272">
        <w:t>)</w:t>
      </w:r>
    </w:p>
    <w:p w:rsidR="00345FF2" w:rsidRDefault="00345FF2" w:rsidP="00FA5866">
      <w:pPr>
        <w:spacing w:after="0" w:line="240" w:lineRule="auto"/>
      </w:pPr>
    </w:p>
    <w:p w:rsidR="004A7542" w:rsidRDefault="004A7542" w:rsidP="00FA5866">
      <w:pPr>
        <w:spacing w:after="0" w:line="240" w:lineRule="auto"/>
      </w:pPr>
      <w:r>
        <w:t xml:space="preserve">Utilizando essas estimativas, </w:t>
      </w:r>
      <w:proofErr w:type="gramStart"/>
      <w:r>
        <w:t>pode-se</w:t>
      </w:r>
      <w:proofErr w:type="gramEnd"/>
      <w:r>
        <w:t xml:space="preserve"> analisar os retornos anormais para qualquer período de evento</w:t>
      </w:r>
      <w:r w:rsidR="000A2909">
        <w:t xml:space="preserve"> e para qualquer evento específico</w:t>
      </w:r>
      <w:r>
        <w:t>.</w:t>
      </w:r>
    </w:p>
    <w:p w:rsidR="004A7542" w:rsidRDefault="004A7542" w:rsidP="00FA5866">
      <w:pPr>
        <w:spacing w:after="0" w:line="240" w:lineRule="auto"/>
      </w:pPr>
      <w:r>
        <w:t xml:space="preserve">Assim, </w:t>
      </w:r>
      <w:proofErr w:type="gramStart"/>
      <w:r>
        <w:t>pode-se</w:t>
      </w:r>
      <w:proofErr w:type="gramEnd"/>
      <w:r>
        <w:t xml:space="preserve"> agregar os retornos anormais médios sobre a janela de evento utilizando a mesma abordagem usada para calcular os retornos anormais acumulados para cada ação </w:t>
      </w:r>
      <m:oMath>
        <m:r>
          <w:rPr>
            <w:rFonts w:ascii="Cambria Math" w:hAnsi="Cambria Math"/>
          </w:rPr>
          <m:t>i</m:t>
        </m:r>
      </m:oMath>
      <w:r>
        <w:t>. Para cada intervalo na janela de evento</w:t>
      </w:r>
    </w:p>
    <w:p w:rsidR="00345FF2" w:rsidRDefault="00345FF2" w:rsidP="00FA5866">
      <w:pPr>
        <w:spacing w:after="0" w:line="240" w:lineRule="auto"/>
      </w:pPr>
    </w:p>
    <w:p w:rsidR="004A7542" w:rsidRDefault="006E76EF" w:rsidP="00FA5866">
      <w:pPr>
        <w:spacing w:after="0" w:line="240" w:lineRule="auto"/>
      </w:pPr>
      <m:oMath>
        <m:acc>
          <m:accPr>
            <m:chr m:val="̅"/>
            <m:ctrlPr>
              <w:rPr>
                <w:rFonts w:ascii="Cambria Math" w:hAnsi="Cambria Math"/>
                <w:i/>
              </w:rPr>
            </m:ctrlPr>
          </m:accPr>
          <m:e>
            <m:r>
              <w:rPr>
                <w:rFonts w:ascii="Cambria Math" w:hAnsi="Cambria Math"/>
              </w:rPr>
              <m:t>CAR</m:t>
            </m:r>
          </m:e>
        </m:acc>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2</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τ=</m:t>
            </m:r>
            <m:sSub>
              <m:sSubPr>
                <m:ctrlPr>
                  <w:rPr>
                    <w:rFonts w:ascii="Cambria Math" w:hAnsi="Cambria Math"/>
                    <w:i/>
                  </w:rPr>
                </m:ctrlPr>
              </m:sSubPr>
              <m:e>
                <m:r>
                  <w:rPr>
                    <w:rFonts w:ascii="Cambria Math" w:hAnsi="Cambria Math"/>
                  </w:rPr>
                  <m:t>τ</m:t>
                </m:r>
              </m:e>
              <m:sub>
                <m:r>
                  <w:rPr>
                    <w:rFonts w:ascii="Cambria Math" w:hAnsi="Cambria Math"/>
                  </w:rPr>
                  <m:t>1</m:t>
                </m:r>
              </m:sub>
            </m:sSub>
          </m:sub>
          <m:sup>
            <m:sSub>
              <m:sSubPr>
                <m:ctrlPr>
                  <w:rPr>
                    <w:rFonts w:ascii="Cambria Math" w:hAnsi="Cambria Math"/>
                    <w:i/>
                  </w:rPr>
                </m:ctrlPr>
              </m:sSubPr>
              <m:e>
                <m:r>
                  <w:rPr>
                    <w:rFonts w:ascii="Cambria Math" w:hAnsi="Cambria Math"/>
                  </w:rPr>
                  <m:t>τ</m:t>
                </m:r>
              </m:e>
              <m:sub>
                <m:r>
                  <w:rPr>
                    <w:rFonts w:ascii="Cambria Math" w:hAnsi="Cambria Math"/>
                  </w:rPr>
                  <m:t>2</m:t>
                </m:r>
              </m:sub>
            </m:sSub>
          </m:sup>
          <m:e>
            <m:acc>
              <m:accPr>
                <m:chr m:val="̅"/>
                <m:ctrlPr>
                  <w:rPr>
                    <w:rFonts w:ascii="Cambria Math" w:hAnsi="Cambria Math"/>
                    <w:i/>
                  </w:rPr>
                </m:ctrlPr>
              </m:accPr>
              <m:e>
                <m:r>
                  <w:rPr>
                    <w:rFonts w:ascii="Cambria Math" w:hAnsi="Cambria Math"/>
                  </w:rPr>
                  <m:t>A</m:t>
                </m:r>
                <m:sSub>
                  <m:sSubPr>
                    <m:ctrlPr>
                      <w:rPr>
                        <w:rFonts w:ascii="Cambria Math" w:hAnsi="Cambria Math"/>
                        <w:i/>
                      </w:rPr>
                    </m:ctrlPr>
                  </m:sSubPr>
                  <m:e>
                    <m:r>
                      <w:rPr>
                        <w:rFonts w:ascii="Cambria Math" w:hAnsi="Cambria Math"/>
                      </w:rPr>
                      <m:t>R</m:t>
                    </m:r>
                  </m:e>
                  <m:sub>
                    <m:r>
                      <w:rPr>
                        <w:rFonts w:ascii="Cambria Math" w:hAnsi="Cambria Math"/>
                      </w:rPr>
                      <m:t>τ</m:t>
                    </m:r>
                  </m:sub>
                </m:sSub>
              </m:e>
            </m:acc>
          </m:e>
        </m:nary>
      </m:oMath>
      <w:r w:rsidR="00345FF2">
        <w:t xml:space="preserve"> </w:t>
      </w:r>
      <w:r w:rsidR="00345FF2">
        <w:tab/>
      </w:r>
      <w:r w:rsidR="00345FF2">
        <w:tab/>
      </w:r>
      <w:r w:rsidR="00345FF2">
        <w:tab/>
      </w:r>
      <w:r w:rsidR="00345FF2">
        <w:tab/>
      </w:r>
      <w:r w:rsidR="00345FF2">
        <w:tab/>
      </w:r>
      <w:r w:rsidR="00345FF2">
        <w:tab/>
        <w:t xml:space="preserve">          Eq. (7</w:t>
      </w:r>
      <w:r w:rsidR="00930272">
        <w:t>)</w:t>
      </w:r>
    </w:p>
    <w:p w:rsidR="000A2909" w:rsidRDefault="004A7542" w:rsidP="00FA5866">
      <w:pPr>
        <w:spacing w:after="0" w:line="240" w:lineRule="auto"/>
      </w:pPr>
      <m:oMath>
        <m:r>
          <w:rPr>
            <w:rFonts w:ascii="Cambria Math" w:hAnsi="Cambria Math"/>
          </w:rPr>
          <m:t>var(</m:t>
        </m:r>
        <m:acc>
          <m:accPr>
            <m:chr m:val="̅"/>
            <m:ctrlPr>
              <w:rPr>
                <w:rFonts w:ascii="Cambria Math" w:hAnsi="Cambria Math"/>
                <w:i/>
              </w:rPr>
            </m:ctrlPr>
          </m:accPr>
          <m:e>
            <m:r>
              <w:rPr>
                <w:rFonts w:ascii="Cambria Math" w:hAnsi="Cambria Math"/>
              </w:rPr>
              <m:t>CAR</m:t>
            </m:r>
          </m:e>
        </m:acc>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2</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τ=</m:t>
            </m:r>
            <m:sSub>
              <m:sSubPr>
                <m:ctrlPr>
                  <w:rPr>
                    <w:rFonts w:ascii="Cambria Math" w:hAnsi="Cambria Math"/>
                    <w:i/>
                  </w:rPr>
                </m:ctrlPr>
              </m:sSubPr>
              <m:e>
                <m:r>
                  <w:rPr>
                    <w:rFonts w:ascii="Cambria Math" w:hAnsi="Cambria Math"/>
                  </w:rPr>
                  <m:t>τ</m:t>
                </m:r>
              </m:e>
              <m:sub>
                <m:r>
                  <w:rPr>
                    <w:rFonts w:ascii="Cambria Math" w:hAnsi="Cambria Math"/>
                  </w:rPr>
                  <m:t>1</m:t>
                </m:r>
              </m:sub>
            </m:sSub>
          </m:sub>
          <m:sup>
            <m:sSub>
              <m:sSubPr>
                <m:ctrlPr>
                  <w:rPr>
                    <w:rFonts w:ascii="Cambria Math" w:hAnsi="Cambria Math"/>
                    <w:i/>
                  </w:rPr>
                </m:ctrlPr>
              </m:sSubPr>
              <m:e>
                <m:r>
                  <w:rPr>
                    <w:rFonts w:ascii="Cambria Math" w:hAnsi="Cambria Math"/>
                  </w:rPr>
                  <m:t>τ</m:t>
                </m:r>
              </m:e>
              <m:sub>
                <m:r>
                  <w:rPr>
                    <w:rFonts w:ascii="Cambria Math" w:hAnsi="Cambria Math"/>
                  </w:rPr>
                  <m:t>2</m:t>
                </m:r>
              </m:sub>
            </m:sSub>
          </m:sup>
          <m:e>
            <m:r>
              <w:rPr>
                <w:rFonts w:ascii="Cambria Math" w:hAnsi="Cambria Math"/>
              </w:rPr>
              <m:t>var(</m:t>
            </m:r>
            <m:acc>
              <m:accPr>
                <m:chr m:val="̅"/>
                <m:ctrlPr>
                  <w:rPr>
                    <w:rFonts w:ascii="Cambria Math" w:hAnsi="Cambria Math"/>
                    <w:i/>
                  </w:rPr>
                </m:ctrlPr>
              </m:accPr>
              <m:e>
                <m:r>
                  <w:rPr>
                    <w:rFonts w:ascii="Cambria Math" w:hAnsi="Cambria Math"/>
                  </w:rPr>
                  <m:t>A</m:t>
                </m:r>
                <m:sSub>
                  <m:sSubPr>
                    <m:ctrlPr>
                      <w:rPr>
                        <w:rFonts w:ascii="Cambria Math" w:hAnsi="Cambria Math"/>
                        <w:i/>
                      </w:rPr>
                    </m:ctrlPr>
                  </m:sSubPr>
                  <m:e>
                    <m:r>
                      <w:rPr>
                        <w:rFonts w:ascii="Cambria Math" w:hAnsi="Cambria Math"/>
                      </w:rPr>
                      <m:t>R</m:t>
                    </m:r>
                  </m:e>
                  <m:sub>
                    <m:r>
                      <w:rPr>
                        <w:rFonts w:ascii="Cambria Math" w:hAnsi="Cambria Math"/>
                      </w:rPr>
                      <m:t>τ</m:t>
                    </m:r>
                  </m:sub>
                </m:sSub>
              </m:e>
            </m:acc>
          </m:e>
        </m:nary>
        <m:r>
          <w:rPr>
            <w:rFonts w:ascii="Cambria Math" w:hAnsi="Cambria Math"/>
          </w:rPr>
          <m:t>)</m:t>
        </m:r>
      </m:oMath>
      <w:r w:rsidR="00642BD7">
        <w:t xml:space="preserve"> </w:t>
      </w:r>
      <w:r w:rsidR="00642BD7">
        <w:tab/>
      </w:r>
      <w:r w:rsidR="00642BD7">
        <w:tab/>
      </w:r>
      <w:r w:rsidR="00642BD7">
        <w:tab/>
      </w:r>
      <w:r w:rsidR="00642BD7">
        <w:tab/>
        <w:t xml:space="preserve">          Eq. (</w:t>
      </w:r>
      <w:r w:rsidR="00345FF2">
        <w:t>8</w:t>
      </w:r>
      <w:r w:rsidR="00930272">
        <w:t>)</w:t>
      </w:r>
    </w:p>
    <w:p w:rsidR="00F64287" w:rsidRDefault="00F64287" w:rsidP="00FA5866">
      <w:pPr>
        <w:pStyle w:val="Ttulo3"/>
        <w:spacing w:before="0" w:after="0" w:line="240" w:lineRule="auto"/>
      </w:pPr>
    </w:p>
    <w:p w:rsidR="00760E41" w:rsidRDefault="00A928CC" w:rsidP="00FA5866">
      <w:pPr>
        <w:spacing w:after="0" w:line="240" w:lineRule="auto"/>
      </w:pPr>
      <w:r w:rsidRPr="00A928CC">
        <w:rPr>
          <w:rStyle w:val="hps"/>
          <w:lang w:val="pt-PT"/>
        </w:rPr>
        <w:t>Inferências sobre</w:t>
      </w:r>
      <w:r w:rsidR="00930272">
        <w:rPr>
          <w:rStyle w:val="hps"/>
          <w:lang w:val="pt-PT"/>
        </w:rPr>
        <w:t xml:space="preserve"> </w:t>
      </w:r>
      <w:r w:rsidRPr="00A928CC">
        <w:rPr>
          <w:rStyle w:val="hps"/>
          <w:lang w:val="pt-PT"/>
        </w:rPr>
        <w:t>os retornos</w:t>
      </w:r>
      <w:r w:rsidR="00930272">
        <w:rPr>
          <w:rStyle w:val="hps"/>
          <w:lang w:val="pt-PT"/>
        </w:rPr>
        <w:t xml:space="preserve"> </w:t>
      </w:r>
      <w:r w:rsidRPr="00A928CC">
        <w:rPr>
          <w:rStyle w:val="hps"/>
          <w:lang w:val="pt-PT"/>
        </w:rPr>
        <w:t xml:space="preserve">anormais acumulados podem ser </w:t>
      </w:r>
      <w:r w:rsidR="00282B8E">
        <w:rPr>
          <w:rStyle w:val="hps"/>
          <w:lang w:val="pt-PT"/>
        </w:rPr>
        <w:t>realizadas</w:t>
      </w:r>
      <w:r w:rsidR="00930272">
        <w:rPr>
          <w:rStyle w:val="hps"/>
          <w:lang w:val="pt-PT"/>
        </w:rPr>
        <w:t xml:space="preserve"> </w:t>
      </w:r>
      <w:r w:rsidRPr="00A928CC">
        <w:rPr>
          <w:rStyle w:val="hps"/>
          <w:lang w:val="pt-PT"/>
        </w:rPr>
        <w:t>utilizando</w:t>
      </w:r>
      <m:oMath>
        <m:acc>
          <m:accPr>
            <m:chr m:val="̅"/>
            <m:ctrlPr>
              <w:rPr>
                <w:rFonts w:ascii="Cambria Math" w:hAnsi="Cambria Math"/>
                <w:i/>
              </w:rPr>
            </m:ctrlPr>
          </m:accPr>
          <m:e>
            <m:r>
              <w:rPr>
                <w:rFonts w:ascii="Cambria Math" w:hAnsi="Cambria Math"/>
              </w:rPr>
              <m:t xml:space="preserve"> CAR</m:t>
            </m:r>
          </m:e>
        </m:acc>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2</m:t>
                </m:r>
              </m:sub>
            </m:sSub>
          </m:e>
        </m:d>
        <m:r>
          <w:rPr>
            <w:rFonts w:ascii="Cambria Math" w:hAnsi="Cambria Math"/>
          </w:rPr>
          <m:t>~N</m:t>
        </m:r>
        <m:d>
          <m:dPr>
            <m:begChr m:val="["/>
            <m:endChr m:val="]"/>
            <m:ctrlPr>
              <w:rPr>
                <w:rFonts w:ascii="Cambria Math" w:hAnsi="Cambria Math"/>
                <w:i/>
              </w:rPr>
            </m:ctrlPr>
          </m:dPr>
          <m:e>
            <m:r>
              <w:rPr>
                <w:rFonts w:ascii="Cambria Math" w:hAnsi="Cambria Math"/>
              </w:rPr>
              <m:t>0,var(</m:t>
            </m:r>
            <m:acc>
              <m:accPr>
                <m:chr m:val="̅"/>
                <m:ctrlPr>
                  <w:rPr>
                    <w:rFonts w:ascii="Cambria Math" w:hAnsi="Cambria Math"/>
                    <w:i/>
                  </w:rPr>
                </m:ctrlPr>
              </m:accPr>
              <m:e>
                <m:r>
                  <w:rPr>
                    <w:rFonts w:ascii="Cambria Math" w:hAnsi="Cambria Math"/>
                  </w:rPr>
                  <m:t>CAR</m:t>
                </m:r>
              </m:e>
            </m:acc>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2</m:t>
                    </m:r>
                  </m:sub>
                </m:sSub>
              </m:e>
            </m:d>
            <m:r>
              <w:rPr>
                <w:rFonts w:ascii="Cambria Math" w:hAnsi="Cambria Math"/>
              </w:rPr>
              <m:t>)</m:t>
            </m:r>
          </m:e>
        </m:d>
      </m:oMath>
      <w:r>
        <w:t xml:space="preserve"> </w:t>
      </w:r>
      <w:proofErr w:type="gramStart"/>
      <w:r>
        <w:t>para</w:t>
      </w:r>
      <w:proofErr w:type="gramEnd"/>
      <w:r>
        <w:t xml:space="preserve"> testar a hipótese nula de que os retornos ano</w:t>
      </w:r>
      <w:proofErr w:type="spellStart"/>
      <w:r>
        <w:t>rmais</w:t>
      </w:r>
      <w:proofErr w:type="spellEnd"/>
      <w:r>
        <w:t xml:space="preserve"> são iguais a zero. Na prática</w:t>
      </w:r>
      <w:r w:rsidR="00282B8E">
        <w:t>,</w:t>
      </w:r>
      <w:r>
        <w:t xml:space="preserve"> como </w:t>
      </w:r>
      <m:oMath>
        <m:sSubSup>
          <m:sSubSupPr>
            <m:ctrlPr>
              <w:rPr>
                <w:rFonts w:ascii="Cambria Math" w:hAnsi="Cambria Math"/>
                <w:i/>
              </w:rPr>
            </m:ctrlPr>
          </m:sSubSupPr>
          <m:e>
            <m:r>
              <w:rPr>
                <w:rFonts w:ascii="Cambria Math" w:hAnsi="Cambria Math"/>
              </w:rPr>
              <m:t>σ</m:t>
            </m:r>
          </m:e>
          <m:sub>
            <m:r>
              <w:rPr>
                <w:rFonts w:ascii="Cambria Math" w:hAnsi="Cambria Math"/>
              </w:rPr>
              <m:t>ε</m:t>
            </m:r>
          </m:sub>
          <m:sup>
            <m:r>
              <w:rPr>
                <w:rFonts w:ascii="Cambria Math" w:hAnsi="Cambria Math"/>
              </w:rPr>
              <m:t>2</m:t>
            </m:r>
          </m:sup>
        </m:sSubSup>
      </m:oMath>
      <w:r>
        <w:t xml:space="preserve"> é desconhecido, utiliza-se um estimador para calcular a variância dos retornos anormais</w:t>
      </w:r>
      <w:r w:rsidR="00760E41">
        <w:t xml:space="preserve">. </w:t>
      </w:r>
      <w:r w:rsidR="00760E41" w:rsidRPr="00D306C5">
        <w:t xml:space="preserve">A medida usual da </w:t>
      </w:r>
      <w:r w:rsidR="0070457A" w:rsidRPr="00D306C5">
        <w:t>variância</w:t>
      </w:r>
      <w:r w:rsidR="00760E41" w:rsidRPr="00D306C5">
        <w:t xml:space="preserve"> amostral, </w:t>
      </w:r>
      <m:oMath>
        <m:sSubSup>
          <m:sSubSupPr>
            <m:ctrlPr>
              <w:rPr>
                <w:rFonts w:ascii="Cambria Math" w:hAnsi="Cambria Math"/>
                <w:i/>
              </w:rPr>
            </m:ctrlPr>
          </m:sSubSupPr>
          <m:e>
            <m:r>
              <w:rPr>
                <w:rFonts w:ascii="Cambria Math" w:hAnsi="Cambria Math"/>
              </w:rPr>
              <m:t>σ</m:t>
            </m:r>
          </m:e>
          <m:sub>
            <m:r>
              <w:rPr>
                <w:rFonts w:ascii="Cambria Math" w:hAnsi="Cambria Math"/>
              </w:rPr>
              <m:t>ε</m:t>
            </m:r>
          </m:sub>
          <m:sup>
            <m:r>
              <w:rPr>
                <w:rFonts w:ascii="Cambria Math" w:hAnsi="Cambria Math"/>
              </w:rPr>
              <m:t>2</m:t>
            </m:r>
          </m:sup>
        </m:sSubSup>
        <m:r>
          <w:rPr>
            <w:rFonts w:ascii="Cambria Math" w:hAnsi="Cambria Math"/>
          </w:rPr>
          <m:t>,</m:t>
        </m:r>
      </m:oMath>
      <w:r w:rsidR="00760E41" w:rsidRPr="00D306C5">
        <w:t xml:space="preserve"> da </w:t>
      </w:r>
      <w:r w:rsidR="002C647B" w:rsidRPr="00D306C5">
        <w:t>regressão</w:t>
      </w:r>
      <w:r w:rsidR="00760E41" w:rsidRPr="00D306C5">
        <w:t xml:space="preserve"> do modelo de mercado na janela de </w:t>
      </w:r>
      <w:r w:rsidR="0070457A" w:rsidRPr="00D306C5">
        <w:t>estimação</w:t>
      </w:r>
      <w:r w:rsidR="00282B8E">
        <w:t>,</w:t>
      </w:r>
      <w:r w:rsidR="00760E41" w:rsidRPr="00D306C5">
        <w:t xml:space="preserve"> é uma escolh</w:t>
      </w:r>
      <w:r w:rsidR="0070457A" w:rsidRPr="00D306C5">
        <w:t>a</w:t>
      </w:r>
      <w:r w:rsidR="00760E41" w:rsidRPr="00D306C5">
        <w:t xml:space="preserve"> apropriada.</w:t>
      </w:r>
      <w:r w:rsidR="0070457A">
        <w:t xml:space="preserve"> Usando </w:t>
      </w:r>
      <w:r w:rsidR="00F64287">
        <w:t>esta medida</w:t>
      </w:r>
      <w:r w:rsidR="0070457A">
        <w:t xml:space="preserve"> para calcular a </w:t>
      </w:r>
      <m:oMath>
        <m:r>
          <w:rPr>
            <w:rFonts w:ascii="Cambria Math" w:hAnsi="Cambria Math"/>
          </w:rPr>
          <m:t>var(</m:t>
        </m:r>
        <m:acc>
          <m:accPr>
            <m:chr m:val="̅"/>
            <m:ctrlPr>
              <w:rPr>
                <w:rFonts w:ascii="Cambria Math" w:hAnsi="Cambria Math"/>
                <w:i/>
              </w:rPr>
            </m:ctrlPr>
          </m:accPr>
          <m:e>
            <m:r>
              <w:rPr>
                <w:rFonts w:ascii="Cambria Math" w:hAnsi="Cambria Math"/>
              </w:rPr>
              <m:t>A</m:t>
            </m:r>
            <m:sSub>
              <m:sSubPr>
                <m:ctrlPr>
                  <w:rPr>
                    <w:rFonts w:ascii="Cambria Math" w:hAnsi="Cambria Math"/>
                    <w:i/>
                  </w:rPr>
                </m:ctrlPr>
              </m:sSubPr>
              <m:e>
                <m:r>
                  <w:rPr>
                    <w:rFonts w:ascii="Cambria Math" w:hAnsi="Cambria Math"/>
                  </w:rPr>
                  <m:t>R</m:t>
                </m:r>
              </m:e>
              <m:sub>
                <m:r>
                  <w:rPr>
                    <w:rFonts w:ascii="Cambria Math" w:hAnsi="Cambria Math"/>
                  </w:rPr>
                  <m:t>iτ</m:t>
                </m:r>
              </m:sub>
            </m:sSub>
          </m:e>
        </m:acc>
        <m:r>
          <w:rPr>
            <w:rFonts w:ascii="Cambria Math" w:hAnsi="Cambria Math"/>
          </w:rPr>
          <m:t>)</m:t>
        </m:r>
      </m:oMath>
      <w:r w:rsidR="0070457A">
        <w:t xml:space="preserve">,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rsidR="0070457A">
        <w:t xml:space="preserve"> pode ser testada </w:t>
      </w:r>
      <w:proofErr w:type="gramStart"/>
      <w:r w:rsidR="0070457A">
        <w:t>utilizando</w:t>
      </w:r>
      <w:proofErr w:type="gramEnd"/>
    </w:p>
    <w:p w:rsidR="00345FF2" w:rsidRDefault="00345FF2" w:rsidP="00FA5866">
      <w:pPr>
        <w:spacing w:after="0" w:line="240" w:lineRule="auto"/>
      </w:pPr>
    </w:p>
    <w:p w:rsidR="0070457A" w:rsidRDefault="006E76EF" w:rsidP="00FA5866">
      <w:pPr>
        <w:spacing w:after="0" w:line="240" w:lineRule="auto"/>
      </w:pPr>
      <m:oMath>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m:t>
        </m:r>
        <m:f>
          <m:fPr>
            <m:ctrlPr>
              <w:rPr>
                <w:rFonts w:ascii="Cambria Math" w:hAnsi="Cambria Math"/>
                <w:i/>
              </w:rPr>
            </m:ctrlPr>
          </m:fPr>
          <m:num>
            <m:acc>
              <m:accPr>
                <m:chr m:val="̅"/>
                <m:ctrlPr>
                  <w:rPr>
                    <w:rFonts w:ascii="Cambria Math" w:hAnsi="Cambria Math"/>
                    <w:i/>
                  </w:rPr>
                </m:ctrlPr>
              </m:accPr>
              <m:e>
                <m:r>
                  <w:rPr>
                    <w:rFonts w:ascii="Cambria Math" w:hAnsi="Cambria Math"/>
                  </w:rPr>
                  <m:t>CAR</m:t>
                </m:r>
              </m:e>
            </m:acc>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2</m:t>
                    </m:r>
                  </m:sub>
                </m:sSub>
              </m:e>
            </m:d>
          </m:num>
          <m:den>
            <m:r>
              <w:rPr>
                <w:rFonts w:ascii="Cambria Math" w:hAnsi="Cambria Math"/>
              </w:rPr>
              <m:t>var</m:t>
            </m:r>
            <m:sSup>
              <m:sSupPr>
                <m:ctrlPr>
                  <w:rPr>
                    <w:rFonts w:ascii="Cambria Math" w:hAnsi="Cambria Math"/>
                    <w:i/>
                  </w:rPr>
                </m:ctrlPr>
              </m:sSupPr>
              <m:e>
                <m:d>
                  <m:dPr>
                    <m:ctrlPr>
                      <w:rPr>
                        <w:rFonts w:ascii="Cambria Math" w:hAnsi="Cambria Math"/>
                        <w:i/>
                      </w:rPr>
                    </m:ctrlPr>
                  </m:dPr>
                  <m:e>
                    <m:acc>
                      <m:accPr>
                        <m:chr m:val="̅"/>
                        <m:ctrlPr>
                          <w:rPr>
                            <w:rFonts w:ascii="Cambria Math" w:hAnsi="Cambria Math"/>
                            <w:i/>
                          </w:rPr>
                        </m:ctrlPr>
                      </m:accPr>
                      <m:e>
                        <m:r>
                          <w:rPr>
                            <w:rFonts w:ascii="Cambria Math" w:hAnsi="Cambria Math"/>
                          </w:rPr>
                          <m:t>CAR</m:t>
                        </m:r>
                      </m:e>
                    </m:acc>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2</m:t>
                            </m:r>
                          </m:sub>
                        </m:sSub>
                      </m:e>
                    </m:d>
                  </m:e>
                </m:d>
              </m:e>
              <m:sup>
                <m:r>
                  <w:rPr>
                    <w:rFonts w:ascii="Cambria Math" w:hAnsi="Cambria Math"/>
                  </w:rPr>
                  <m:t>1/2</m:t>
                </m:r>
              </m:sup>
            </m:sSup>
          </m:den>
        </m:f>
        <m:r>
          <w:rPr>
            <w:rFonts w:ascii="Cambria Math" w:hAnsi="Cambria Math"/>
          </w:rPr>
          <m:t>~N(0,1)</m:t>
        </m:r>
      </m:oMath>
      <w:r w:rsidR="00345FF2">
        <w:t xml:space="preserve"> </w:t>
      </w:r>
      <w:r w:rsidR="00345FF2">
        <w:tab/>
      </w:r>
      <w:r w:rsidR="00345FF2">
        <w:tab/>
      </w:r>
      <w:r w:rsidR="00345FF2">
        <w:tab/>
      </w:r>
      <w:r w:rsidR="00345FF2">
        <w:tab/>
      </w:r>
      <w:r w:rsidR="00345FF2">
        <w:tab/>
        <w:t xml:space="preserve">          Eq. (9</w:t>
      </w:r>
      <w:r w:rsidR="00EA291D">
        <w:t>)</w:t>
      </w:r>
    </w:p>
    <w:p w:rsidR="00A928CC" w:rsidRDefault="0070457A" w:rsidP="00FA5866">
      <w:pPr>
        <w:spacing w:after="0" w:line="240" w:lineRule="auto"/>
      </w:pPr>
      <w:r>
        <w:t xml:space="preserve">Este resultado é assintótico em relação ao número de ações </w:t>
      </w:r>
      <m:oMath>
        <m:r>
          <w:rPr>
            <w:rFonts w:ascii="Cambria Math" w:hAnsi="Cambria Math"/>
          </w:rPr>
          <m:t>N</m:t>
        </m:r>
      </m:oMath>
      <w:r>
        <w:t xml:space="preserve"> e </w:t>
      </w:r>
      <w:r w:rsidR="00F64287">
        <w:t>em relação à</w:t>
      </w:r>
      <w:r w:rsidR="004B4BE9">
        <w:t xml:space="preserve"> extensão da janela de estimação </w:t>
      </w:r>
      <m:oMath>
        <m:sSub>
          <m:sSubPr>
            <m:ctrlPr>
              <w:rPr>
                <w:rFonts w:ascii="Cambria Math" w:hAnsi="Cambria Math"/>
                <w:i/>
              </w:rPr>
            </m:ctrlPr>
          </m:sSubPr>
          <m:e>
            <m:r>
              <w:rPr>
                <w:rFonts w:ascii="Cambria Math" w:hAnsi="Cambria Math"/>
              </w:rPr>
              <m:t>L</m:t>
            </m:r>
          </m:e>
          <m:sub>
            <m:r>
              <w:rPr>
                <w:rFonts w:ascii="Cambria Math" w:hAnsi="Cambria Math"/>
              </w:rPr>
              <m:t>1</m:t>
            </m:r>
          </m:sub>
        </m:sSub>
        <m:r>
          <w:rPr>
            <w:rStyle w:val="Refdenotaderodap"/>
            <w:rFonts w:ascii="Cambria Math" w:hAnsi="Cambria Math"/>
            <w:i/>
          </w:rPr>
          <w:footnoteReference w:id="11"/>
        </m:r>
      </m:oMath>
      <w:r w:rsidR="004B4BE9">
        <w:t>.</w:t>
      </w:r>
    </w:p>
    <w:p w:rsidR="003200EE" w:rsidRDefault="003200EE" w:rsidP="00FA5866">
      <w:pPr>
        <w:spacing w:after="0" w:line="240" w:lineRule="auto"/>
        <w:rPr>
          <w:rFonts w:eastAsia="Times New Roman"/>
        </w:rPr>
      </w:pPr>
      <w:r>
        <w:rPr>
          <w:rFonts w:eastAsia="Times New Roman"/>
        </w:rPr>
        <w:t xml:space="preserve">Segundo </w:t>
      </w:r>
      <w:proofErr w:type="spellStart"/>
      <w:r>
        <w:rPr>
          <w:rFonts w:eastAsia="Times New Roman"/>
        </w:rPr>
        <w:t>Beverley</w:t>
      </w:r>
      <w:proofErr w:type="spellEnd"/>
      <w:r>
        <w:rPr>
          <w:rFonts w:eastAsia="Times New Roman"/>
        </w:rPr>
        <w:t xml:space="preserve"> (2007), a análise de estudo de evento pode ser de grande interesse quando os movimentos das ações podem ser atribuídos a eventos particulares. No entanto, nem sempre isso é possível, uma vez que </w:t>
      </w:r>
      <w:proofErr w:type="gramStart"/>
      <w:r>
        <w:rPr>
          <w:rFonts w:eastAsia="Times New Roman"/>
        </w:rPr>
        <w:t>uma série de condições esp</w:t>
      </w:r>
      <w:r w:rsidR="00AF62DA">
        <w:rPr>
          <w:rFonts w:eastAsia="Times New Roman"/>
        </w:rPr>
        <w:t>ecíficas devem ser</w:t>
      </w:r>
      <w:proofErr w:type="gramEnd"/>
      <w:r w:rsidR="00AF62DA">
        <w:rPr>
          <w:rFonts w:eastAsia="Times New Roman"/>
        </w:rPr>
        <w:t xml:space="preserve"> satisfeitas.</w:t>
      </w:r>
      <w:r>
        <w:rPr>
          <w:rFonts w:eastAsia="Times New Roman"/>
        </w:rPr>
        <w:t xml:space="preserve"> As principais consideradas pela autora são:</w:t>
      </w:r>
    </w:p>
    <w:p w:rsidR="003200EE" w:rsidRPr="00267877" w:rsidRDefault="003200EE" w:rsidP="00FA5866">
      <w:pPr>
        <w:pStyle w:val="PargrafodaLista"/>
        <w:numPr>
          <w:ilvl w:val="0"/>
          <w:numId w:val="14"/>
        </w:numPr>
        <w:spacing w:after="0" w:line="240" w:lineRule="auto"/>
        <w:ind w:left="0" w:firstLine="709"/>
        <w:rPr>
          <w:rFonts w:eastAsia="Times New Roman"/>
        </w:rPr>
      </w:pPr>
      <w:proofErr w:type="gramStart"/>
      <w:r>
        <w:rPr>
          <w:rFonts w:eastAsia="Times New Roman"/>
        </w:rPr>
        <w:t>a</w:t>
      </w:r>
      <w:r w:rsidRPr="00267877">
        <w:rPr>
          <w:rFonts w:eastAsia="Times New Roman"/>
        </w:rPr>
        <w:t>s</w:t>
      </w:r>
      <w:proofErr w:type="gramEnd"/>
      <w:r w:rsidRPr="00267877">
        <w:rPr>
          <w:rFonts w:eastAsia="Times New Roman"/>
        </w:rPr>
        <w:t xml:space="preserve"> firmas rivais precisam possuir ações negociadas na mesma bolsa de valores que as firmas fusionadas. Sendo que</w:t>
      </w:r>
      <w:r>
        <w:rPr>
          <w:rFonts w:eastAsia="Times New Roman"/>
        </w:rPr>
        <w:t>,</w:t>
      </w:r>
      <w:r w:rsidR="00A148B7">
        <w:rPr>
          <w:rFonts w:eastAsia="Times New Roman"/>
        </w:rPr>
        <w:t xml:space="preserve"> quanto</w:t>
      </w:r>
      <w:r w:rsidRPr="00267877">
        <w:rPr>
          <w:rFonts w:eastAsia="Times New Roman"/>
        </w:rPr>
        <w:t xml:space="preserve"> maior o número de competidores listados</w:t>
      </w:r>
      <w:r>
        <w:rPr>
          <w:rFonts w:eastAsia="Times New Roman"/>
        </w:rPr>
        <w:t>,</w:t>
      </w:r>
      <w:r w:rsidRPr="00267877">
        <w:rPr>
          <w:rFonts w:eastAsia="Times New Roman"/>
        </w:rPr>
        <w:t xml:space="preserve"> melhor, na medida </w:t>
      </w:r>
      <w:r>
        <w:rPr>
          <w:rFonts w:eastAsia="Times New Roman"/>
        </w:rPr>
        <w:t xml:space="preserve">em </w:t>
      </w:r>
      <w:r w:rsidRPr="00267877">
        <w:rPr>
          <w:rFonts w:eastAsia="Times New Roman"/>
        </w:rPr>
        <w:t>que a carteira das ações das firmas rivais apresentará menor vari</w:t>
      </w:r>
      <w:r>
        <w:rPr>
          <w:rFonts w:eastAsia="Times New Roman"/>
        </w:rPr>
        <w:t>abilidade do que uma única ação</w:t>
      </w:r>
      <w:r w:rsidRPr="00267877">
        <w:rPr>
          <w:rFonts w:eastAsia="Times New Roman"/>
        </w:rPr>
        <w:t xml:space="preserve"> e</w:t>
      </w:r>
      <w:r>
        <w:rPr>
          <w:rFonts w:eastAsia="Times New Roman"/>
        </w:rPr>
        <w:t>,</w:t>
      </w:r>
      <w:r w:rsidRPr="00267877">
        <w:rPr>
          <w:rFonts w:eastAsia="Times New Roman"/>
        </w:rPr>
        <w:t xml:space="preserve"> assim</w:t>
      </w:r>
      <w:r>
        <w:rPr>
          <w:rFonts w:eastAsia="Times New Roman"/>
        </w:rPr>
        <w:t>,</w:t>
      </w:r>
      <w:r w:rsidRPr="00267877">
        <w:rPr>
          <w:rFonts w:eastAsia="Times New Roman"/>
        </w:rPr>
        <w:t xml:space="preserve"> o poder do estudo em atribuir os movimentos </w:t>
      </w:r>
      <w:r w:rsidR="00202F4B">
        <w:rPr>
          <w:rFonts w:eastAsia="Times New Roman"/>
        </w:rPr>
        <w:t xml:space="preserve">dos retornos </w:t>
      </w:r>
      <w:r w:rsidRPr="00267877">
        <w:rPr>
          <w:rFonts w:eastAsia="Times New Roman"/>
        </w:rPr>
        <w:t>ao evento em questão será aumentado;</w:t>
      </w:r>
    </w:p>
    <w:p w:rsidR="003200EE" w:rsidRPr="00267877" w:rsidRDefault="003200EE" w:rsidP="00FA5866">
      <w:pPr>
        <w:pStyle w:val="PargrafodaLista"/>
        <w:numPr>
          <w:ilvl w:val="0"/>
          <w:numId w:val="14"/>
        </w:numPr>
        <w:spacing w:after="0" w:line="240" w:lineRule="auto"/>
        <w:ind w:left="0" w:firstLine="709"/>
        <w:rPr>
          <w:rFonts w:ascii="Arial" w:hAnsi="Arial" w:cs="Arial"/>
          <w:color w:val="333333"/>
          <w:lang w:val="pt-PT"/>
        </w:rPr>
      </w:pPr>
      <w:proofErr w:type="gramStart"/>
      <w:r>
        <w:rPr>
          <w:rFonts w:eastAsia="Times New Roman"/>
        </w:rPr>
        <w:t>o</w:t>
      </w:r>
      <w:proofErr w:type="gramEnd"/>
      <w:r w:rsidRPr="00267877">
        <w:rPr>
          <w:rFonts w:eastAsia="Times New Roman"/>
        </w:rPr>
        <w:t xml:space="preserve"> evento em questão deverá impactar substancialmente no valor da firma. Como se está medindo as expectativas dos investidores sobre </w:t>
      </w:r>
      <w:r>
        <w:rPr>
          <w:rFonts w:eastAsia="Times New Roman"/>
        </w:rPr>
        <w:t xml:space="preserve">a variação </w:t>
      </w:r>
      <w:r w:rsidRPr="003D562F">
        <w:rPr>
          <w:rFonts w:eastAsia="Times New Roman"/>
        </w:rPr>
        <w:t>no valor da firma fusionada, não</w:t>
      </w:r>
      <w:r w:rsidRPr="00267877">
        <w:rPr>
          <w:rFonts w:eastAsia="Times New Roman"/>
        </w:rPr>
        <w:t xml:space="preserve"> somente o valor do impacto deve ser substancial, mas também a probabilidade dele acontecer deve ser razoavelmente alta. Se existir muita incerteza </w:t>
      </w:r>
      <w:r w:rsidR="00A148B7">
        <w:rPr>
          <w:rFonts w:eastAsia="Times New Roman"/>
        </w:rPr>
        <w:t xml:space="preserve">sobre </w:t>
      </w:r>
      <w:r w:rsidRPr="00267877">
        <w:rPr>
          <w:rFonts w:eastAsia="Times New Roman"/>
        </w:rPr>
        <w:t xml:space="preserve">se o valor da firma será de </w:t>
      </w:r>
      <w:proofErr w:type="gramStart"/>
      <w:r w:rsidRPr="00267877">
        <w:rPr>
          <w:rFonts w:eastAsia="Times New Roman"/>
        </w:rPr>
        <w:t>alguma forma afetado pela fusão</w:t>
      </w:r>
      <w:proofErr w:type="gramEnd"/>
      <w:r w:rsidRPr="00267877">
        <w:rPr>
          <w:rFonts w:eastAsia="Times New Roman"/>
        </w:rPr>
        <w:t>, o estudo de evento será provavelmente inconclusivo;</w:t>
      </w:r>
    </w:p>
    <w:p w:rsidR="003200EE" w:rsidRPr="00267877" w:rsidRDefault="003200EE" w:rsidP="00FA5866">
      <w:pPr>
        <w:pStyle w:val="PargrafodaLista"/>
        <w:numPr>
          <w:ilvl w:val="0"/>
          <w:numId w:val="14"/>
        </w:numPr>
        <w:spacing w:after="0" w:line="240" w:lineRule="auto"/>
        <w:ind w:left="0" w:firstLine="709"/>
        <w:rPr>
          <w:rStyle w:val="hps"/>
          <w:rFonts w:ascii="Arial" w:hAnsi="Arial" w:cs="Arial"/>
          <w:color w:val="333333"/>
          <w:lang w:val="pt-PT"/>
        </w:rPr>
      </w:pPr>
      <w:r>
        <w:rPr>
          <w:lang w:val="pt-PT"/>
        </w:rPr>
        <w:lastRenderedPageBreak/>
        <w:t>o</w:t>
      </w:r>
      <w:r w:rsidRPr="00267877">
        <w:rPr>
          <w:lang w:val="pt-PT"/>
        </w:rPr>
        <w:t>s</w:t>
      </w:r>
      <w:r w:rsidR="00361530">
        <w:rPr>
          <w:lang w:val="pt-PT"/>
        </w:rPr>
        <w:t xml:space="preserve"> </w:t>
      </w:r>
      <w:r w:rsidRPr="00267877">
        <w:rPr>
          <w:rStyle w:val="hps"/>
          <w:lang w:val="pt-PT"/>
        </w:rPr>
        <w:t>bens ou serviços de</w:t>
      </w:r>
      <w:r w:rsidRPr="00267877">
        <w:rPr>
          <w:lang w:val="pt-PT"/>
        </w:rPr>
        <w:t xml:space="preserve"> referência </w:t>
      </w:r>
      <w:r w:rsidRPr="00267877">
        <w:rPr>
          <w:rStyle w:val="hps"/>
          <w:lang w:val="pt-PT"/>
        </w:rPr>
        <w:t>devem formar uma</w:t>
      </w:r>
      <w:r w:rsidR="00361530">
        <w:rPr>
          <w:rStyle w:val="hps"/>
          <w:lang w:val="pt-PT"/>
        </w:rPr>
        <w:t xml:space="preserve"> </w:t>
      </w:r>
      <w:r w:rsidRPr="00267877">
        <w:rPr>
          <w:rStyle w:val="hps"/>
          <w:lang w:val="pt-PT"/>
        </w:rPr>
        <w:t>parte significativa</w:t>
      </w:r>
      <w:r w:rsidRPr="00267877">
        <w:rPr>
          <w:lang w:val="pt-PT"/>
        </w:rPr>
        <w:t xml:space="preserve"> dos negócios </w:t>
      </w:r>
      <w:r w:rsidRPr="00267877">
        <w:rPr>
          <w:rStyle w:val="hps"/>
          <w:lang w:val="pt-PT"/>
        </w:rPr>
        <w:t>das principais</w:t>
      </w:r>
      <w:r w:rsidR="00361530">
        <w:rPr>
          <w:rStyle w:val="hps"/>
          <w:lang w:val="pt-PT"/>
        </w:rPr>
        <w:t xml:space="preserve"> </w:t>
      </w:r>
      <w:r w:rsidRPr="00267877">
        <w:rPr>
          <w:rStyle w:val="hps"/>
          <w:lang w:val="pt-PT"/>
        </w:rPr>
        <w:t>empresas concorrentes</w:t>
      </w:r>
      <w:r w:rsidRPr="00267877">
        <w:rPr>
          <w:rStyle w:val="hps"/>
          <w:rFonts w:ascii="Arial" w:hAnsi="Arial" w:cs="Arial"/>
          <w:color w:val="333333"/>
          <w:lang w:val="pt-PT"/>
        </w:rPr>
        <w:t xml:space="preserve">. </w:t>
      </w:r>
    </w:p>
    <w:p w:rsidR="002C3276" w:rsidRPr="00345FF2" w:rsidRDefault="003200EE" w:rsidP="00345FF2">
      <w:pPr>
        <w:spacing w:after="0" w:line="240" w:lineRule="auto"/>
      </w:pPr>
      <w:r>
        <w:t xml:space="preserve">Mesmo satisfeitas </w:t>
      </w:r>
      <w:proofErr w:type="gramStart"/>
      <w:r>
        <w:t>as</w:t>
      </w:r>
      <w:proofErr w:type="gramEnd"/>
      <w:r>
        <w:t xml:space="preserve"> condições acima, ainda existem dificuldades no uso de estudo de eventos aplicados a casos de competição, que podem produzir resultados ambíguos e pas</w:t>
      </w:r>
      <w:r w:rsidR="007276D8">
        <w:t>siveis de questionamentos. Frequ</w:t>
      </w:r>
      <w:r>
        <w:t xml:space="preserve">entemente, é impossível apontar os efeitos com os níveis necessários de significância estatística na medida em que, conforme </w:t>
      </w:r>
      <w:proofErr w:type="spellStart"/>
      <w:r>
        <w:t>Beverley</w:t>
      </w:r>
      <w:proofErr w:type="spellEnd"/>
      <w:r>
        <w:t xml:space="preserve"> (2007), para que estudos de eventos sejam utilizados na avaliação dos efeitos anticompetitivos de fusões, os resultados devem ser analisados no processo como um todo e não como uma evidência isolada. Neste sentido, os resultados dos estudos de eventos devem ser vistos</w:t>
      </w:r>
      <w:r w:rsidR="00A148B7">
        <w:t xml:space="preserve"> como evidências complementares,</w:t>
      </w:r>
      <w:r>
        <w:t xml:space="preserve"> em vez de evidências conclu</w:t>
      </w:r>
      <w:r w:rsidR="00A148B7">
        <w:t>sivas de problemas competitivos, o que just</w:t>
      </w:r>
      <w:r w:rsidR="00202F4B">
        <w:t>ificaria a inclusão da</w:t>
      </w:r>
      <w:r w:rsidR="00A148B7">
        <w:t xml:space="preserve"> análise </w:t>
      </w:r>
      <w:r w:rsidR="00A148B7" w:rsidRPr="00A148B7">
        <w:rPr>
          <w:i/>
        </w:rPr>
        <w:t xml:space="preserve">ex </w:t>
      </w:r>
      <w:proofErr w:type="spellStart"/>
      <w:r w:rsidR="00A148B7" w:rsidRPr="00A148B7">
        <w:rPr>
          <w:i/>
        </w:rPr>
        <w:t>post</w:t>
      </w:r>
      <w:proofErr w:type="spellEnd"/>
      <w:r w:rsidR="00361530">
        <w:rPr>
          <w:i/>
        </w:rPr>
        <w:t xml:space="preserve"> </w:t>
      </w:r>
      <w:r w:rsidR="00A148B7">
        <w:t>n</w:t>
      </w:r>
      <w:r w:rsidR="00202F4B">
        <w:t>este experimento</w:t>
      </w:r>
      <w:r w:rsidR="00A148B7">
        <w:t>.</w:t>
      </w:r>
    </w:p>
    <w:p w:rsidR="002C3276" w:rsidRDefault="002C3276" w:rsidP="00FA5866">
      <w:pPr>
        <w:spacing w:after="0" w:line="240" w:lineRule="auto"/>
      </w:pPr>
      <w:r>
        <w:t xml:space="preserve">Para determinar se uma fusão levou a um aumento nos lucros das firmas unidas, </w:t>
      </w:r>
      <w:proofErr w:type="spellStart"/>
      <w:r>
        <w:t>Gugler</w:t>
      </w:r>
      <w:proofErr w:type="spellEnd"/>
      <w:r w:rsidR="00361530">
        <w:t xml:space="preserve"> </w:t>
      </w:r>
      <w:proofErr w:type="spellStart"/>
      <w:proofErr w:type="gramStart"/>
      <w:r w:rsidR="00282B8E" w:rsidRPr="00282B8E">
        <w:rPr>
          <w:i/>
        </w:rPr>
        <w:t>et</w:t>
      </w:r>
      <w:proofErr w:type="spellEnd"/>
      <w:proofErr w:type="gramEnd"/>
      <w:r w:rsidR="00282B8E" w:rsidRPr="00282B8E">
        <w:rPr>
          <w:i/>
        </w:rPr>
        <w:t xml:space="preserve"> al.</w:t>
      </w:r>
      <w:r w:rsidR="00282B8E">
        <w:t xml:space="preserve"> (2003) determinaram um contra</w:t>
      </w:r>
      <w:r>
        <w:t xml:space="preserve">factual de modo a prever qual seria o lucro das firmas unidas caso a fusão não tivesse ocorrido. Em trabalhos que utilizam a metodologia de estudo de eventos, o </w:t>
      </w:r>
      <w:r w:rsidRPr="001F7926">
        <w:t>grupo de controle</w:t>
      </w:r>
      <w:r w:rsidR="00361530">
        <w:t xml:space="preserve"> </w:t>
      </w:r>
      <w:r>
        <w:t xml:space="preserve">normalmente é composto pelas firmas na carteira de mercado. Já no estudo de </w:t>
      </w:r>
      <w:proofErr w:type="spellStart"/>
      <w:r>
        <w:t>Gugler</w:t>
      </w:r>
      <w:proofErr w:type="spellEnd"/>
      <w:r w:rsidR="00361530">
        <w:t xml:space="preserve"> </w:t>
      </w:r>
      <w:proofErr w:type="spellStart"/>
      <w:proofErr w:type="gramStart"/>
      <w:r w:rsidRPr="00D40C2C">
        <w:rPr>
          <w:i/>
        </w:rPr>
        <w:t>et</w:t>
      </w:r>
      <w:proofErr w:type="spellEnd"/>
      <w:proofErr w:type="gramEnd"/>
      <w:r w:rsidRPr="00D40C2C">
        <w:rPr>
          <w:i/>
        </w:rPr>
        <w:t xml:space="preserve"> al</w:t>
      </w:r>
      <w:r>
        <w:rPr>
          <w:i/>
        </w:rPr>
        <w:t>.</w:t>
      </w:r>
      <w:r>
        <w:t xml:space="preserve"> (2003)</w:t>
      </w:r>
      <w:r w:rsidR="00282B8E">
        <w:t>,</w:t>
      </w:r>
      <w:r>
        <w:t xml:space="preserve"> que utiliza dados contábeis,</w:t>
      </w:r>
      <w:r w:rsidR="00361530">
        <w:t xml:space="preserve"> </w:t>
      </w:r>
      <w:r>
        <w:t xml:space="preserve">o grupo de controle utilizado é composto pelas firmas </w:t>
      </w:r>
      <w:r w:rsidR="00202F4B">
        <w:t>atuantes n</w:t>
      </w:r>
      <w:r>
        <w:t>o mesmo mercado das firmas unidas e considera-se que o comportamento das vendas e do lucro das firmas unidas teria o mesmo comportamento da firma m</w:t>
      </w:r>
      <w:r w:rsidR="00202F4B">
        <w:t>ediana</w:t>
      </w:r>
      <w:r>
        <w:t xml:space="preserve"> do seu respectivo mercado.</w:t>
      </w:r>
    </w:p>
    <w:p w:rsidR="002C3276" w:rsidRDefault="002C3276" w:rsidP="00FA5866">
      <w:pPr>
        <w:spacing w:after="0" w:line="240" w:lineRule="auto"/>
      </w:pPr>
      <w:r>
        <w:t xml:space="preserve">Em </w:t>
      </w:r>
      <w:proofErr w:type="spellStart"/>
      <w:r>
        <w:t>Gugler</w:t>
      </w:r>
      <w:proofErr w:type="spellEnd"/>
      <w:r w:rsidR="00361530">
        <w:t xml:space="preserve"> </w:t>
      </w:r>
      <w:proofErr w:type="spellStart"/>
      <w:proofErr w:type="gramStart"/>
      <w:r w:rsidRPr="00D40C2C">
        <w:rPr>
          <w:i/>
        </w:rPr>
        <w:t>et</w:t>
      </w:r>
      <w:proofErr w:type="spellEnd"/>
      <w:proofErr w:type="gramEnd"/>
      <w:r w:rsidRPr="00D40C2C">
        <w:rPr>
          <w:i/>
        </w:rPr>
        <w:t xml:space="preserve"> al</w:t>
      </w:r>
      <w:r>
        <w:rPr>
          <w:i/>
        </w:rPr>
        <w:t>.</w:t>
      </w:r>
      <w:r>
        <w:t xml:space="preserve"> (2003)</w:t>
      </w:r>
      <w:r w:rsidR="00600732">
        <w:t>,</w:t>
      </w:r>
      <w:r>
        <w:t xml:space="preserve"> considera-se primeiro o problema da previsão das vendas</w:t>
      </w:r>
      <w:r w:rsidR="00600732">
        <w:t xml:space="preserve"> das firmas fusionadas. Define-</w:t>
      </w:r>
      <w:r>
        <w:t>se</w:t>
      </w:r>
      <m:oMath>
        <m:sSub>
          <m:sSubPr>
            <m:ctrlPr>
              <w:rPr>
                <w:rFonts w:ascii="Cambria Math" w:hAnsi="Cambria Math"/>
                <w:i/>
              </w:rPr>
            </m:ctrlPr>
          </m:sSubPr>
          <m:e>
            <m:r>
              <w:rPr>
                <w:rFonts w:ascii="Cambria Math" w:hAnsi="Cambria Math"/>
              </w:rPr>
              <m:t xml:space="preserve"> S</m:t>
            </m:r>
          </m:e>
          <m:sub>
            <m:r>
              <w:rPr>
                <w:rFonts w:ascii="Cambria Math" w:hAnsi="Cambria Math"/>
              </w:rPr>
              <m:t>Gt+n</m:t>
            </m:r>
          </m:sub>
        </m:sSub>
      </m:oMath>
      <w:r>
        <w:t xml:space="preserve"> como as vendas da firma adquirente no ano </w:t>
      </w:r>
      <m:oMath>
        <m:r>
          <w:rPr>
            <w:rFonts w:ascii="Cambria Math" w:hAnsi="Cambria Math"/>
          </w:rPr>
          <m:t>t+n</m:t>
        </m:r>
      </m:oMath>
      <w:r>
        <w:t xml:space="preserve">; </w:t>
      </w:r>
      <m:oMath>
        <m:sSub>
          <m:sSubPr>
            <m:ctrlPr>
              <w:rPr>
                <w:rFonts w:ascii="Cambria Math" w:hAnsi="Cambria Math"/>
                <w:i/>
              </w:rPr>
            </m:ctrlPr>
          </m:sSubPr>
          <m:e>
            <m:r>
              <w:rPr>
                <w:rFonts w:ascii="Cambria Math" w:hAnsi="Cambria Math"/>
              </w:rPr>
              <m:t>S</m:t>
            </m:r>
          </m:e>
          <m:sub>
            <m:r>
              <w:rPr>
                <w:rFonts w:ascii="Cambria Math" w:hAnsi="Cambria Math"/>
              </w:rPr>
              <m:t>Dt</m:t>
            </m:r>
          </m:sub>
        </m:sSub>
      </m:oMath>
      <w:r>
        <w:t xml:space="preserve"> como as vendas da firma adquirida no ano </w:t>
      </w:r>
      <m:oMath>
        <m:r>
          <w:rPr>
            <w:rFonts w:ascii="Cambria Math" w:hAnsi="Cambria Math"/>
          </w:rPr>
          <m:t>t</m:t>
        </m:r>
      </m:oMath>
      <w:r>
        <w:t>;</w:t>
      </w:r>
      <m:oMath>
        <m:sSub>
          <m:sSubPr>
            <m:ctrlPr>
              <w:rPr>
                <w:rFonts w:ascii="Cambria Math" w:hAnsi="Cambria Math"/>
                <w:i/>
              </w:rPr>
            </m:ctrlPr>
          </m:sSubPr>
          <m:e>
            <m:r>
              <w:rPr>
                <w:rFonts w:ascii="Cambria Math" w:hAnsi="Cambria Math"/>
              </w:rPr>
              <m:t xml:space="preserve"> S</m:t>
            </m:r>
          </m:e>
          <m:sub>
            <m:r>
              <w:rPr>
                <w:rFonts w:ascii="Cambria Math" w:hAnsi="Cambria Math"/>
              </w:rPr>
              <m:t>Ct+n</m:t>
            </m:r>
          </m:sub>
        </m:sSub>
      </m:oMath>
      <w:r w:rsidR="005D7BAC">
        <w:t xml:space="preserve"> como a previsão das vendas da firma combinada no ano </w:t>
      </w:r>
      <m:oMath>
        <m:r>
          <w:rPr>
            <w:rFonts w:ascii="Cambria Math" w:hAnsi="Cambria Math"/>
          </w:rPr>
          <m:t>t+n</m:t>
        </m:r>
      </m:oMath>
      <w:r w:rsidR="005D7BAC">
        <w:t>;</w:t>
      </w:r>
      <m:oMath>
        <m:sSub>
          <m:sSubPr>
            <m:ctrlPr>
              <w:rPr>
                <w:rFonts w:ascii="Cambria Math" w:hAnsi="Cambria Math"/>
                <w:i/>
              </w:rPr>
            </m:ctrlPr>
          </m:sSubPr>
          <m:e>
            <m:r>
              <w:rPr>
                <w:rFonts w:ascii="Cambria Math" w:hAnsi="Cambria Math"/>
              </w:rPr>
              <m:t xml:space="preserve"> S</m:t>
            </m:r>
          </m:e>
          <m:sub>
            <m:r>
              <w:rPr>
                <w:rFonts w:ascii="Cambria Math" w:hAnsi="Cambria Math"/>
              </w:rPr>
              <m:t>IGt+n</m:t>
            </m:r>
          </m:sub>
        </m:sSub>
      </m:oMath>
      <w:r>
        <w:t xml:space="preserve"> como as vendas da firma m</w:t>
      </w:r>
      <w:r w:rsidR="00202F4B">
        <w:t>ediana</w:t>
      </w:r>
      <w:r>
        <w:t xml:space="preserve"> na indústria da firma adquirente no ano </w:t>
      </w:r>
      <m:oMath>
        <m:r>
          <w:rPr>
            <w:rFonts w:ascii="Cambria Math" w:hAnsi="Cambria Math"/>
          </w:rPr>
          <m:t>t+n</m:t>
        </m:r>
      </m:oMath>
      <w:r>
        <w:t xml:space="preserve"> e </w:t>
      </w:r>
      <m:oMath>
        <m:sSub>
          <m:sSubPr>
            <m:ctrlPr>
              <w:rPr>
                <w:rFonts w:ascii="Cambria Math" w:hAnsi="Cambria Math"/>
                <w:i/>
              </w:rPr>
            </m:ctrlPr>
          </m:sSubPr>
          <m:e>
            <m:r>
              <w:rPr>
                <w:rFonts w:ascii="Cambria Math" w:hAnsi="Cambria Math"/>
              </w:rPr>
              <m:t>S</m:t>
            </m:r>
          </m:e>
          <m:sub>
            <m:r>
              <w:rPr>
                <w:rFonts w:ascii="Cambria Math" w:hAnsi="Cambria Math"/>
              </w:rPr>
              <m:t>IDt+n</m:t>
            </m:r>
          </m:sub>
        </m:sSub>
      </m:oMath>
      <w:r>
        <w:t xml:space="preserve"> como as vendas da firma m</w:t>
      </w:r>
      <w:proofErr w:type="spellStart"/>
      <w:r w:rsidR="00202F4B">
        <w:t>ediana</w:t>
      </w:r>
      <w:proofErr w:type="spellEnd"/>
      <w:r w:rsidR="00361530">
        <w:t xml:space="preserve"> </w:t>
      </w:r>
      <w:r w:rsidR="00600732">
        <w:t>n</w:t>
      </w:r>
      <w:r>
        <w:t xml:space="preserve">a indústria da firma adquirida no ano </w:t>
      </w:r>
      <m:oMath>
        <m:r>
          <w:rPr>
            <w:rFonts w:ascii="Cambria Math" w:hAnsi="Cambria Math"/>
          </w:rPr>
          <m:t>t+n</m:t>
        </m:r>
      </m:oMath>
      <w:r>
        <w:t>.</w:t>
      </w:r>
    </w:p>
    <w:p w:rsidR="002C3276" w:rsidRDefault="002C3276" w:rsidP="00FA5866">
      <w:pPr>
        <w:spacing w:after="0" w:line="240" w:lineRule="auto"/>
      </w:pPr>
      <w:r>
        <w:t xml:space="preserve">A equação de previsão das vendas para a firma combinada no ano </w:t>
      </w:r>
      <m:oMath>
        <m:r>
          <w:rPr>
            <w:rFonts w:ascii="Cambria Math" w:hAnsi="Cambria Math"/>
          </w:rPr>
          <m:t>t+n</m:t>
        </m:r>
      </m:oMath>
      <w:r>
        <w:t xml:space="preserve"> é estimada pela seguinte fórmula:</w:t>
      </w:r>
    </w:p>
    <w:p w:rsidR="00345FF2" w:rsidRDefault="00345FF2" w:rsidP="00FA5866">
      <w:pPr>
        <w:spacing w:after="0" w:line="240" w:lineRule="auto"/>
      </w:pPr>
    </w:p>
    <w:p w:rsidR="002C3276" w:rsidRDefault="006E76EF" w:rsidP="00FA5866">
      <w:pPr>
        <w:spacing w:after="0" w:line="240" w:lineRule="auto"/>
      </w:pPr>
      <m:oMath>
        <m:sSub>
          <m:sSubPr>
            <m:ctrlPr>
              <w:rPr>
                <w:rFonts w:ascii="Cambria Math" w:hAnsi="Cambria Math"/>
                <w:i/>
              </w:rPr>
            </m:ctrlPr>
          </m:sSubPr>
          <m:e>
            <m:r>
              <w:rPr>
                <w:rFonts w:ascii="Cambria Math" w:hAnsi="Cambria Math"/>
              </w:rPr>
              <m:t>S</m:t>
            </m:r>
          </m:e>
          <m:sub>
            <m:r>
              <w:rPr>
                <w:rFonts w:ascii="Cambria Math" w:hAnsi="Cambria Math"/>
              </w:rPr>
              <m:t>Ct+n</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Gt-1</m:t>
            </m:r>
          </m:sub>
        </m:sSub>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IGt+n</m:t>
                </m:r>
              </m:sub>
            </m:sSub>
          </m:num>
          <m:den>
            <m:sSub>
              <m:sSubPr>
                <m:ctrlPr>
                  <w:rPr>
                    <w:rFonts w:ascii="Cambria Math" w:hAnsi="Cambria Math"/>
                    <w:i/>
                  </w:rPr>
                </m:ctrlPr>
              </m:sSubPr>
              <m:e>
                <m:r>
                  <w:rPr>
                    <w:rFonts w:ascii="Cambria Math" w:hAnsi="Cambria Math"/>
                  </w:rPr>
                  <m:t>S</m:t>
                </m:r>
              </m:e>
              <m:sub>
                <m:r>
                  <w:rPr>
                    <w:rFonts w:ascii="Cambria Math" w:hAnsi="Cambria Math"/>
                  </w:rPr>
                  <m:t>IGt-1</m:t>
                </m:r>
              </m:sub>
            </m:sSub>
          </m:den>
        </m:f>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Dt</m:t>
            </m:r>
          </m:sub>
        </m:sSub>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IDt+n</m:t>
                </m:r>
              </m:sub>
            </m:sSub>
          </m:num>
          <m:den>
            <m:sSub>
              <m:sSubPr>
                <m:ctrlPr>
                  <w:rPr>
                    <w:rFonts w:ascii="Cambria Math" w:hAnsi="Cambria Math"/>
                    <w:i/>
                  </w:rPr>
                </m:ctrlPr>
              </m:sSubPr>
              <m:e>
                <m:r>
                  <w:rPr>
                    <w:rFonts w:ascii="Cambria Math" w:hAnsi="Cambria Math"/>
                  </w:rPr>
                  <m:t>S</m:t>
                </m:r>
              </m:e>
              <m:sub>
                <m:r>
                  <w:rPr>
                    <w:rFonts w:ascii="Cambria Math" w:hAnsi="Cambria Math"/>
                  </w:rPr>
                  <m:t>IDt</m:t>
                </m:r>
              </m:sub>
            </m:sSub>
          </m:den>
        </m:f>
      </m:oMath>
      <w:r w:rsidR="00345FF2">
        <w:t xml:space="preserve"> </w:t>
      </w:r>
      <w:r w:rsidR="00345FF2">
        <w:tab/>
      </w:r>
      <w:r w:rsidR="00345FF2">
        <w:tab/>
      </w:r>
      <w:r w:rsidR="00345FF2">
        <w:tab/>
      </w:r>
      <w:r w:rsidR="00345FF2">
        <w:tab/>
      </w:r>
      <w:r w:rsidR="00345FF2">
        <w:tab/>
        <w:t xml:space="preserve">          Eq. (10</w:t>
      </w:r>
      <w:r w:rsidR="00361530">
        <w:t>)</w:t>
      </w:r>
    </w:p>
    <w:p w:rsidR="00345FF2" w:rsidRDefault="00345FF2" w:rsidP="00FA5866">
      <w:pPr>
        <w:spacing w:after="0" w:line="240" w:lineRule="auto"/>
      </w:pPr>
    </w:p>
    <w:p w:rsidR="002C3276" w:rsidRDefault="002C3276" w:rsidP="00FA5866">
      <w:pPr>
        <w:spacing w:after="0" w:line="240" w:lineRule="auto"/>
      </w:pPr>
      <w:r>
        <w:t>As vendas da firma adquirente são projetadas em relação às suas vendas</w:t>
      </w:r>
      <w:r w:rsidR="00345FF2">
        <w:t xml:space="preserve"> do ano anterior à fusão. As ven</w:t>
      </w:r>
      <w:r>
        <w:t>das da firma adquirida são projetadas em relação às suas vendas no ano da fusão.</w:t>
      </w:r>
    </w:p>
    <w:p w:rsidR="002C3276" w:rsidRDefault="002C3276" w:rsidP="00FA5866">
      <w:pPr>
        <w:spacing w:after="0" w:line="240" w:lineRule="auto"/>
      </w:pPr>
      <w:r>
        <w:t xml:space="preserve">A metodologia para determinar os efeitos da fusão sobre as vendas trata de comparar os valores previstos das vendas da firma fusionada no ano </w:t>
      </w:r>
      <m:oMath>
        <m:r>
          <w:rPr>
            <w:rFonts w:ascii="Cambria Math" w:hAnsi="Cambria Math"/>
          </w:rPr>
          <m:t>t+n</m:t>
        </m:r>
      </m:oMath>
      <w:r>
        <w:t xml:space="preserve"> depois de se ajustar para todas as fusões </w:t>
      </w:r>
      <w:r w:rsidRPr="002A41E3">
        <w:t xml:space="preserve">e </w:t>
      </w:r>
      <w:proofErr w:type="spellStart"/>
      <w:r w:rsidRPr="002A41E3">
        <w:rPr>
          <w:i/>
        </w:rPr>
        <w:t>spin-offs</w:t>
      </w:r>
      <w:proofErr w:type="spellEnd"/>
      <w:r w:rsidRPr="002A41E3">
        <w:t xml:space="preserve"> utilizando</w:t>
      </w:r>
      <w:r>
        <w:t xml:space="preserve"> a </w:t>
      </w:r>
      <w:r w:rsidRPr="002A41E3">
        <w:t xml:space="preserve">equação </w:t>
      </w:r>
      <w:r w:rsidR="00600732">
        <w:t>de previsão com os níveis observados</w:t>
      </w:r>
      <w:r w:rsidRPr="002A41E3">
        <w:t xml:space="preserve"> de venda de cada firma.</w:t>
      </w:r>
    </w:p>
    <w:p w:rsidR="002C3276" w:rsidRDefault="002C3276" w:rsidP="00FA5866">
      <w:pPr>
        <w:spacing w:after="0" w:line="240" w:lineRule="auto"/>
      </w:pPr>
      <w:r>
        <w:t>Como os lucros podem assumir valores negativos e positivos, para projetá-los utiliza-se a variação nas taxas de lucros sobre os ativ</w:t>
      </w:r>
      <w:r w:rsidR="00600732">
        <w:t>os das firmas fusionadas. Define</w:t>
      </w:r>
      <w:r>
        <w:t>-se</w:t>
      </w:r>
      <m:oMath>
        <m:sSub>
          <m:sSubPr>
            <m:ctrlPr>
              <w:rPr>
                <w:rFonts w:ascii="Cambria Math" w:hAnsi="Cambria Math"/>
              </w:rPr>
            </m:ctrlPr>
          </m:sSubPr>
          <m:e>
            <m:r>
              <m:rPr>
                <m:sty m:val="p"/>
              </m:rPr>
              <w:rPr>
                <w:rFonts w:ascii="Cambria Math" w:hAnsi="Cambria Math"/>
              </w:rPr>
              <m:t xml:space="preserve"> Π</m:t>
            </m:r>
          </m:e>
          <m:sub>
            <m:r>
              <m:rPr>
                <m:sty m:val="p"/>
              </m:rPr>
              <w:rPr>
                <w:rFonts w:ascii="Cambria Math" w:hAnsi="Cambria Math"/>
              </w:rPr>
              <m:t>Gt+n</m:t>
            </m:r>
          </m:sub>
        </m:sSub>
      </m:oMath>
      <w:r>
        <w:t xml:space="preserve"> como os lucros da firma adquirente no ano </w:t>
      </w:r>
      <m:oMath>
        <m:r>
          <w:rPr>
            <w:rFonts w:ascii="Cambria Math" w:hAnsi="Cambria Math"/>
          </w:rPr>
          <m:t>t+n</m:t>
        </m:r>
      </m:oMath>
      <w:r>
        <w:t xml:space="preserve">; </w:t>
      </w:r>
      <m:oMath>
        <m:sSub>
          <m:sSubPr>
            <m:ctrlPr>
              <w:rPr>
                <w:rFonts w:ascii="Cambria Math" w:hAnsi="Cambria Math"/>
                <w:i/>
              </w:rPr>
            </m:ctrlPr>
          </m:sSubPr>
          <m:e>
            <m:r>
              <m:rPr>
                <m:sty m:val="p"/>
              </m:rPr>
              <w:rPr>
                <w:rFonts w:ascii="Cambria Math" w:hAnsi="Cambria Math"/>
              </w:rPr>
              <m:t>Π</m:t>
            </m:r>
            <m:ctrlPr>
              <w:rPr>
                <w:rFonts w:ascii="Cambria Math" w:hAnsi="Cambria Math"/>
              </w:rPr>
            </m:ctrlPr>
          </m:e>
          <m:sub>
            <m:r>
              <w:rPr>
                <w:rFonts w:ascii="Cambria Math" w:hAnsi="Cambria Math"/>
              </w:rPr>
              <m:t>Dt-1</m:t>
            </m:r>
          </m:sub>
        </m:sSub>
      </m:oMath>
      <w:r>
        <w:t xml:space="preserve"> como os lucros da firma adquirida no ano </w:t>
      </w:r>
      <m:oMath>
        <m:r>
          <w:rPr>
            <w:rFonts w:ascii="Cambria Math" w:hAnsi="Cambria Math"/>
          </w:rPr>
          <m:t>t-</m:t>
        </m:r>
        <w:proofErr w:type="gramStart"/>
        <m:r>
          <w:rPr>
            <w:rFonts w:ascii="Cambria Math" w:hAnsi="Cambria Math"/>
          </w:rPr>
          <m:t>1</m:t>
        </m:r>
      </m:oMath>
      <w:proofErr w:type="gramEnd"/>
      <w:r>
        <w:t xml:space="preserve">; </w:t>
      </w:r>
      <m:oMath>
        <m:sSub>
          <m:sSubPr>
            <m:ctrlPr>
              <w:rPr>
                <w:rFonts w:ascii="Cambria Math" w:hAnsi="Cambria Math"/>
                <w:i/>
              </w:rPr>
            </m:ctrlPr>
          </m:sSubPr>
          <m:e>
            <m:r>
              <m:rPr>
                <m:sty m:val="p"/>
              </m:rPr>
              <w:rPr>
                <w:rFonts w:ascii="Cambria Math" w:hAnsi="Cambria Math"/>
              </w:rPr>
              <m:t>Π</m:t>
            </m:r>
            <m:ctrlPr>
              <w:rPr>
                <w:rFonts w:ascii="Cambria Math" w:hAnsi="Cambria Math"/>
              </w:rPr>
            </m:ctrlPr>
          </m:e>
          <m:sub>
            <m:r>
              <w:rPr>
                <w:rFonts w:ascii="Cambria Math" w:hAnsi="Cambria Math"/>
              </w:rPr>
              <m:t>IGt+n</m:t>
            </m:r>
          </m:sub>
        </m:sSub>
      </m:oMath>
      <w:r>
        <w:t xml:space="preserve"> como os lucros da firma m</w:t>
      </w:r>
      <w:proofErr w:type="spellStart"/>
      <w:r w:rsidR="008752C2">
        <w:t>ediana</w:t>
      </w:r>
      <w:proofErr w:type="spellEnd"/>
      <w:r>
        <w:t xml:space="preserve"> na indústria da firma adquirente no ano </w:t>
      </w:r>
      <m:oMath>
        <m:r>
          <w:rPr>
            <w:rFonts w:ascii="Cambria Math" w:hAnsi="Cambria Math"/>
          </w:rPr>
          <m:t>t+n</m:t>
        </m:r>
      </m:oMath>
      <w:r>
        <w:t xml:space="preserve">; </w:t>
      </w:r>
      <m:oMath>
        <m:sSub>
          <m:sSubPr>
            <m:ctrlPr>
              <w:rPr>
                <w:rFonts w:ascii="Cambria Math" w:hAnsi="Cambria Math"/>
                <w:i/>
              </w:rPr>
            </m:ctrlPr>
          </m:sSubPr>
          <m:e>
            <m:r>
              <m:rPr>
                <m:sty m:val="p"/>
              </m:rPr>
              <w:rPr>
                <w:rFonts w:ascii="Cambria Math" w:hAnsi="Cambria Math"/>
              </w:rPr>
              <m:t>Π</m:t>
            </m:r>
            <m:ctrlPr>
              <w:rPr>
                <w:rFonts w:ascii="Cambria Math" w:hAnsi="Cambria Math"/>
              </w:rPr>
            </m:ctrlPr>
          </m:e>
          <m:sub>
            <m:r>
              <w:rPr>
                <w:rFonts w:ascii="Cambria Math" w:hAnsi="Cambria Math"/>
              </w:rPr>
              <m:t>IDt+n</m:t>
            </m:r>
          </m:sub>
        </m:sSub>
      </m:oMath>
      <w:r>
        <w:t xml:space="preserve"> como os lucros da firma m</w:t>
      </w:r>
      <w:proofErr w:type="spellStart"/>
      <w:r w:rsidR="008752C2">
        <w:t>ediana</w:t>
      </w:r>
      <w:proofErr w:type="spellEnd"/>
      <w:r>
        <w:t xml:space="preserve"> na indústria da firma adquirida no ano </w:t>
      </w:r>
      <m:oMath>
        <m:r>
          <w:rPr>
            <w:rFonts w:ascii="Cambria Math" w:hAnsi="Cambria Math"/>
          </w:rPr>
          <m:t>t+n</m:t>
        </m:r>
      </m:oMath>
      <w:r>
        <w:t xml:space="preserve">; </w:t>
      </w:r>
      <m:oMath>
        <m:sSub>
          <m:sSubPr>
            <m:ctrlPr>
              <w:rPr>
                <w:rFonts w:ascii="Cambria Math" w:hAnsi="Cambria Math"/>
              </w:rPr>
            </m:ctrlPr>
          </m:sSubPr>
          <m:e>
            <m:r>
              <m:rPr>
                <m:sty m:val="p"/>
              </m:rPr>
              <w:rPr>
                <w:rFonts w:ascii="Cambria Math" w:hAnsi="Cambria Math"/>
              </w:rPr>
              <m:t>K</m:t>
            </m:r>
          </m:e>
          <m:sub>
            <m:r>
              <m:rPr>
                <m:sty m:val="p"/>
              </m:rPr>
              <w:rPr>
                <w:rFonts w:ascii="Cambria Math" w:hAnsi="Cambria Math"/>
              </w:rPr>
              <m:t>Gt+n</m:t>
            </m:r>
          </m:sub>
        </m:sSub>
      </m:oMath>
      <w:r w:rsidR="00600732">
        <w:t xml:space="preserve"> como o at</w:t>
      </w:r>
      <w:proofErr w:type="spellStart"/>
      <w:r w:rsidR="00600732">
        <w:t>ivo</w:t>
      </w:r>
      <w:proofErr w:type="spellEnd"/>
      <w:r>
        <w:t xml:space="preserve"> da firma adquirente no ano </w:t>
      </w:r>
      <m:oMath>
        <m:r>
          <w:rPr>
            <w:rFonts w:ascii="Cambria Math" w:hAnsi="Cambria Math"/>
          </w:rPr>
          <m:t>t+n</m:t>
        </m:r>
      </m:oMath>
      <w:r>
        <w:t xml:space="preserve">; </w:t>
      </w:r>
      <m:oMath>
        <m:sSub>
          <m:sSubPr>
            <m:ctrlPr>
              <w:rPr>
                <w:rFonts w:ascii="Cambria Math" w:hAnsi="Cambria Math"/>
                <w:i/>
              </w:rPr>
            </m:ctrlPr>
          </m:sSubPr>
          <m:e>
            <m:r>
              <m:rPr>
                <m:sty m:val="p"/>
              </m:rPr>
              <w:rPr>
                <w:rFonts w:ascii="Cambria Math" w:hAnsi="Cambria Math"/>
              </w:rPr>
              <m:t>K</m:t>
            </m:r>
            <m:ctrlPr>
              <w:rPr>
                <w:rFonts w:ascii="Cambria Math" w:hAnsi="Cambria Math"/>
              </w:rPr>
            </m:ctrlPr>
          </m:e>
          <m:sub>
            <m:r>
              <w:rPr>
                <w:rFonts w:ascii="Cambria Math" w:hAnsi="Cambria Math"/>
              </w:rPr>
              <m:t>Dt-1</m:t>
            </m:r>
          </m:sub>
        </m:sSub>
      </m:oMath>
      <w:r>
        <w:t xml:space="preserve"> como o ativo da firma adquirida no ano </w:t>
      </w:r>
      <m:oMath>
        <m:r>
          <w:rPr>
            <w:rFonts w:ascii="Cambria Math" w:hAnsi="Cambria Math"/>
          </w:rPr>
          <m:t>t-1</m:t>
        </m:r>
      </m:oMath>
      <w:r>
        <w:t xml:space="preserve">; </w:t>
      </w:r>
      <m:oMath>
        <m:sSub>
          <m:sSubPr>
            <m:ctrlPr>
              <w:rPr>
                <w:rFonts w:ascii="Cambria Math" w:hAnsi="Cambria Math"/>
                <w:i/>
              </w:rPr>
            </m:ctrlPr>
          </m:sSubPr>
          <m:e>
            <m:r>
              <m:rPr>
                <m:sty m:val="p"/>
              </m:rPr>
              <w:rPr>
                <w:rFonts w:ascii="Cambria Math" w:hAnsi="Cambria Math"/>
              </w:rPr>
              <m:t>K</m:t>
            </m:r>
            <m:ctrlPr>
              <w:rPr>
                <w:rFonts w:ascii="Cambria Math" w:hAnsi="Cambria Math"/>
              </w:rPr>
            </m:ctrlPr>
          </m:e>
          <m:sub>
            <m:r>
              <w:rPr>
                <w:rFonts w:ascii="Cambria Math" w:hAnsi="Cambria Math"/>
              </w:rPr>
              <m:t>IGt+n</m:t>
            </m:r>
          </m:sub>
        </m:sSub>
      </m:oMath>
      <w:r w:rsidR="008752C2">
        <w:t xml:space="preserve"> como o ativo da firma mediana</w:t>
      </w:r>
      <w:r>
        <w:t xml:space="preserve"> na indústria da firma adquirente no ano </w:t>
      </w:r>
      <m:oMath>
        <m:r>
          <w:rPr>
            <w:rFonts w:ascii="Cambria Math" w:hAnsi="Cambria Math"/>
          </w:rPr>
          <m:t>t+n</m:t>
        </m:r>
      </m:oMath>
      <w:r>
        <w:t xml:space="preserve">; </w:t>
      </w:r>
      <m:oMath>
        <m:sSub>
          <m:sSubPr>
            <m:ctrlPr>
              <w:rPr>
                <w:rFonts w:ascii="Cambria Math" w:hAnsi="Cambria Math"/>
                <w:i/>
              </w:rPr>
            </m:ctrlPr>
          </m:sSubPr>
          <m:e>
            <m:r>
              <w:rPr>
                <w:rFonts w:ascii="Cambria Math" w:hAnsi="Cambria Math"/>
              </w:rPr>
              <m:t>K</m:t>
            </m:r>
            <m:ctrlPr>
              <w:rPr>
                <w:rFonts w:ascii="Cambria Math" w:hAnsi="Cambria Math"/>
              </w:rPr>
            </m:ctrlPr>
          </m:e>
          <m:sub>
            <m:r>
              <w:rPr>
                <w:rFonts w:ascii="Cambria Math" w:hAnsi="Cambria Math"/>
              </w:rPr>
              <m:t>IDt+n</m:t>
            </m:r>
          </m:sub>
        </m:sSub>
      </m:oMath>
      <w:r>
        <w:t xml:space="preserve"> como o ativo da firma m</w:t>
      </w:r>
      <w:proofErr w:type="spellStart"/>
      <w:r w:rsidR="008752C2">
        <w:t>ediana</w:t>
      </w:r>
      <w:proofErr w:type="spellEnd"/>
      <w:r>
        <w:t xml:space="preserve"> na indústria da firma adquirida no ano </w:t>
      </w:r>
      <m:oMath>
        <m:r>
          <w:rPr>
            <w:rFonts w:ascii="Cambria Math" w:hAnsi="Cambria Math"/>
          </w:rPr>
          <m:t>t+n</m:t>
        </m:r>
      </m:oMath>
      <w:r>
        <w:t>.</w:t>
      </w:r>
    </w:p>
    <w:p w:rsidR="002C3276" w:rsidRDefault="002C3276" w:rsidP="00FA5866">
      <w:pPr>
        <w:spacing w:after="0" w:line="240" w:lineRule="auto"/>
      </w:pPr>
      <w:r>
        <w:t xml:space="preserve">Assim, pode-se computar a variação projetada nos retornos sobre os ativos da firma adquirida do ano </w:t>
      </w:r>
      <m:oMath>
        <m:r>
          <w:rPr>
            <w:rFonts w:ascii="Cambria Math" w:hAnsi="Cambria Math"/>
          </w:rPr>
          <m:t>t-</m:t>
        </m:r>
        <w:proofErr w:type="gramStart"/>
        <m:r>
          <w:rPr>
            <w:rFonts w:ascii="Cambria Math" w:hAnsi="Cambria Math"/>
          </w:rPr>
          <m:t>1</m:t>
        </m:r>
      </m:oMath>
      <w:proofErr w:type="gramEnd"/>
      <w:r>
        <w:t xml:space="preserve"> ao ano </w:t>
      </w:r>
      <m:oMath>
        <m:r>
          <w:rPr>
            <w:rFonts w:ascii="Cambria Math" w:hAnsi="Cambria Math"/>
          </w:rPr>
          <m:t>t+n</m:t>
        </m:r>
      </m:oMath>
      <w:r>
        <w:t xml:space="preserve"> utilizando novamente as mudanças observadas para a firma m</w:t>
      </w:r>
      <w:proofErr w:type="spellStart"/>
      <w:r w:rsidR="008752C2">
        <w:t>ediana</w:t>
      </w:r>
      <w:proofErr w:type="spellEnd"/>
      <w:r>
        <w:t xml:space="preserve"> (em termos de lucratividade) em sua indústria. </w:t>
      </w:r>
      <w:r w:rsidRPr="008C6587">
        <w:t>Denomina-se</w:t>
      </w:r>
      <w:r>
        <w:t xml:space="preserve"> essa variação projetada </w:t>
      </w:r>
      <m:oMath>
        <m:sSub>
          <m:sSubPr>
            <m:ctrlPr>
              <w:rPr>
                <w:rFonts w:ascii="Cambria Math" w:hAnsi="Cambria Math"/>
                <w:i/>
              </w:rPr>
            </m:ctrlPr>
          </m:sSubPr>
          <m:e>
            <m:r>
              <m:rPr>
                <m:sty m:val="p"/>
              </m:rPr>
              <w:rPr>
                <w:rFonts w:ascii="Cambria Math" w:hAnsi="Cambria Math"/>
              </w:rPr>
              <m:t>Δ</m:t>
            </m:r>
            <m:ctrlPr>
              <w:rPr>
                <w:rFonts w:ascii="Cambria Math" w:hAnsi="Cambria Math"/>
              </w:rPr>
            </m:ctrlPr>
          </m:e>
          <m:sub>
            <m:r>
              <w:rPr>
                <w:rFonts w:ascii="Cambria Math" w:hAnsi="Cambria Math"/>
              </w:rPr>
              <m:t>IGt-</m:t>
            </m:r>
            <w:proofErr w:type="gramStart"/>
            <m:r>
              <w:rPr>
                <w:rFonts w:ascii="Cambria Math" w:hAnsi="Cambria Math"/>
              </w:rPr>
              <m:t>1</m:t>
            </m:r>
            <w:proofErr w:type="gramEnd"/>
            <m:r>
              <w:rPr>
                <w:rFonts w:ascii="Cambria Math" w:hAnsi="Cambria Math"/>
              </w:rPr>
              <m:t>,t+n</m:t>
            </m:r>
          </m:sub>
        </m:sSub>
      </m:oMath>
      <w:r>
        <w:t>.</w:t>
      </w:r>
    </w:p>
    <w:p w:rsidR="00345FF2" w:rsidRDefault="00345FF2" w:rsidP="00FA5866">
      <w:pPr>
        <w:spacing w:after="0" w:line="240" w:lineRule="auto"/>
      </w:pPr>
    </w:p>
    <w:p w:rsidR="002C3276" w:rsidRDefault="006E76EF" w:rsidP="00FA5866">
      <w:pPr>
        <w:spacing w:after="0" w:line="240" w:lineRule="auto"/>
      </w:pPr>
      <m:oMath>
        <m:sSub>
          <m:sSubPr>
            <m:ctrlPr>
              <w:rPr>
                <w:rFonts w:ascii="Cambria Math" w:hAnsi="Cambria Math"/>
                <w:i/>
              </w:rPr>
            </m:ctrlPr>
          </m:sSubPr>
          <m:e>
            <m:r>
              <m:rPr>
                <m:sty m:val="p"/>
              </m:rPr>
              <w:rPr>
                <w:rFonts w:ascii="Cambria Math" w:hAnsi="Cambria Math"/>
              </w:rPr>
              <m:t>Δ</m:t>
            </m:r>
            <m:ctrlPr>
              <w:rPr>
                <w:rFonts w:ascii="Cambria Math" w:hAnsi="Cambria Math"/>
              </w:rPr>
            </m:ctrlPr>
          </m:e>
          <m:sub>
            <m:r>
              <w:rPr>
                <w:rFonts w:ascii="Cambria Math" w:hAnsi="Cambria Math"/>
              </w:rPr>
              <m:t>IGt-1,t+n</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m:rPr>
                    <m:sty m:val="p"/>
                  </m:rPr>
                  <w:rPr>
                    <w:rFonts w:ascii="Cambria Math" w:hAnsi="Cambria Math"/>
                  </w:rPr>
                  <m:t>Π</m:t>
                </m:r>
                <m:ctrlPr>
                  <w:rPr>
                    <w:rFonts w:ascii="Cambria Math" w:hAnsi="Cambria Math"/>
                  </w:rPr>
                </m:ctrlPr>
              </m:e>
              <m:sub>
                <m:r>
                  <w:rPr>
                    <w:rFonts w:ascii="Cambria Math" w:hAnsi="Cambria Math"/>
                  </w:rPr>
                  <m:t>IGt+n</m:t>
                </m:r>
              </m:sub>
            </m:sSub>
          </m:num>
          <m:den>
            <m:sSub>
              <m:sSubPr>
                <m:ctrlPr>
                  <w:rPr>
                    <w:rFonts w:ascii="Cambria Math" w:hAnsi="Cambria Math"/>
                    <w:i/>
                  </w:rPr>
                </m:ctrlPr>
              </m:sSubPr>
              <m:e>
                <m:r>
                  <m:rPr>
                    <m:sty m:val="p"/>
                  </m:rPr>
                  <w:rPr>
                    <w:rFonts w:ascii="Cambria Math" w:hAnsi="Cambria Math"/>
                  </w:rPr>
                  <m:t>K</m:t>
                </m:r>
                <m:ctrlPr>
                  <w:rPr>
                    <w:rFonts w:ascii="Cambria Math" w:hAnsi="Cambria Math"/>
                  </w:rPr>
                </m:ctrlPr>
              </m:e>
              <m:sub>
                <m:r>
                  <w:rPr>
                    <w:rFonts w:ascii="Cambria Math" w:hAnsi="Cambria Math"/>
                  </w:rPr>
                  <m:t>IGt+n</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m:rPr>
                    <m:sty m:val="p"/>
                  </m:rPr>
                  <w:rPr>
                    <w:rFonts w:ascii="Cambria Math" w:hAnsi="Cambria Math"/>
                  </w:rPr>
                  <m:t>Π</m:t>
                </m:r>
                <m:ctrlPr>
                  <w:rPr>
                    <w:rFonts w:ascii="Cambria Math" w:hAnsi="Cambria Math"/>
                  </w:rPr>
                </m:ctrlPr>
              </m:e>
              <m:sub>
                <m:r>
                  <w:rPr>
                    <w:rFonts w:ascii="Cambria Math" w:hAnsi="Cambria Math"/>
                  </w:rPr>
                  <m:t>IGt-1</m:t>
                </m:r>
              </m:sub>
            </m:sSub>
          </m:num>
          <m:den>
            <m:sSub>
              <m:sSubPr>
                <m:ctrlPr>
                  <w:rPr>
                    <w:rFonts w:ascii="Cambria Math" w:hAnsi="Cambria Math"/>
                    <w:i/>
                  </w:rPr>
                </m:ctrlPr>
              </m:sSubPr>
              <m:e>
                <m:r>
                  <m:rPr>
                    <m:sty m:val="p"/>
                  </m:rPr>
                  <w:rPr>
                    <w:rFonts w:ascii="Cambria Math" w:hAnsi="Cambria Math"/>
                  </w:rPr>
                  <m:t>K</m:t>
                </m:r>
                <m:ctrlPr>
                  <w:rPr>
                    <w:rFonts w:ascii="Cambria Math" w:hAnsi="Cambria Math"/>
                  </w:rPr>
                </m:ctrlPr>
              </m:e>
              <m:sub>
                <m:r>
                  <w:rPr>
                    <w:rFonts w:ascii="Cambria Math" w:hAnsi="Cambria Math"/>
                  </w:rPr>
                  <m:t>IGt-1</m:t>
                </m:r>
              </m:sub>
            </m:sSub>
          </m:den>
        </m:f>
      </m:oMath>
      <w:r w:rsidR="00345FF2">
        <w:t xml:space="preserve"> </w:t>
      </w:r>
      <w:r w:rsidR="00345FF2">
        <w:tab/>
      </w:r>
      <w:r w:rsidR="00345FF2">
        <w:tab/>
      </w:r>
      <w:r w:rsidR="00345FF2">
        <w:tab/>
      </w:r>
      <w:r w:rsidR="00345FF2">
        <w:tab/>
      </w:r>
      <w:r w:rsidR="00345FF2">
        <w:tab/>
      </w:r>
      <w:r w:rsidR="00345FF2">
        <w:tab/>
        <w:t xml:space="preserve">          </w:t>
      </w:r>
      <w:r w:rsidR="00345FF2">
        <w:tab/>
      </w:r>
      <w:r w:rsidR="00345FF2">
        <w:tab/>
        <w:t>Eq. (11</w:t>
      </w:r>
      <w:r w:rsidR="00361530">
        <w:t>)</w:t>
      </w:r>
    </w:p>
    <w:p w:rsidR="00345FF2" w:rsidRDefault="00345FF2" w:rsidP="00FA5866">
      <w:pPr>
        <w:spacing w:after="0" w:line="240" w:lineRule="auto"/>
      </w:pPr>
    </w:p>
    <w:p w:rsidR="002C3276" w:rsidRDefault="002C3276" w:rsidP="00FA5866">
      <w:pPr>
        <w:spacing w:after="0" w:line="240" w:lineRule="auto"/>
      </w:pPr>
      <w:r>
        <w:t xml:space="preserve">Definindo </w:t>
      </w:r>
      <m:oMath>
        <m:sSub>
          <m:sSubPr>
            <m:ctrlPr>
              <w:rPr>
                <w:rFonts w:ascii="Cambria Math" w:hAnsi="Cambria Math"/>
                <w:i/>
              </w:rPr>
            </m:ctrlPr>
          </m:sSubPr>
          <m:e>
            <m:r>
              <m:rPr>
                <m:sty m:val="p"/>
              </m:rPr>
              <w:rPr>
                <w:rFonts w:ascii="Cambria Math" w:hAnsi="Cambria Math"/>
              </w:rPr>
              <m:t>Δ</m:t>
            </m:r>
            <m:ctrlPr>
              <w:rPr>
                <w:rFonts w:ascii="Cambria Math" w:hAnsi="Cambria Math"/>
              </w:rPr>
            </m:ctrlPr>
          </m:e>
          <m:sub>
            <m:r>
              <w:rPr>
                <w:rFonts w:ascii="Cambria Math" w:hAnsi="Cambria Math"/>
              </w:rPr>
              <m:t>IDt-</m:t>
            </m:r>
            <w:proofErr w:type="gramStart"/>
            <m:r>
              <w:rPr>
                <w:rFonts w:ascii="Cambria Math" w:hAnsi="Cambria Math"/>
              </w:rPr>
              <m:t>1</m:t>
            </m:r>
            <w:proofErr w:type="gramEnd"/>
            <m:r>
              <w:rPr>
                <w:rFonts w:ascii="Cambria Math" w:hAnsi="Cambria Math"/>
              </w:rPr>
              <m:t>,t+n</m:t>
            </m:r>
          </m:sub>
        </m:sSub>
      </m:oMath>
      <w:r>
        <w:t xml:space="preserve"> analogamente para a firma </w:t>
      </w:r>
      <w:r w:rsidRPr="008C6587">
        <w:t>adquirida</w:t>
      </w:r>
      <w:r>
        <w:t>,</w:t>
      </w:r>
      <w:r w:rsidRPr="008C6587">
        <w:t xml:space="preserve"> obt</w:t>
      </w:r>
      <w:r>
        <w:t>é</w:t>
      </w:r>
      <w:r w:rsidRPr="008C6587">
        <w:t>m-se a</w:t>
      </w:r>
      <w:r>
        <w:t xml:space="preserve"> seguinte fórmula para a previsão dos lucros da firma fusionada</w:t>
      </w:r>
      <w:r w:rsidR="00361530">
        <w:t xml:space="preserve"> </w:t>
      </w:r>
      <w:r>
        <w:t xml:space="preserve">no ano </w:t>
      </w:r>
      <m:oMath>
        <m:r>
          <w:rPr>
            <w:rFonts w:ascii="Cambria Math" w:hAnsi="Cambria Math"/>
          </w:rPr>
          <m:t>t+n</m:t>
        </m:r>
      </m:oMath>
      <w:r>
        <w:t>:</w:t>
      </w:r>
    </w:p>
    <w:p w:rsidR="00345FF2" w:rsidRDefault="00345FF2" w:rsidP="00FA5866">
      <w:pPr>
        <w:spacing w:after="0" w:line="240" w:lineRule="auto"/>
      </w:pPr>
    </w:p>
    <w:p w:rsidR="002C3276" w:rsidRDefault="006E76EF" w:rsidP="00FA5866">
      <w:pPr>
        <w:spacing w:after="0" w:line="240" w:lineRule="auto"/>
      </w:pPr>
      <m:oMath>
        <m:sSub>
          <m:sSubPr>
            <m:ctrlPr>
              <w:rPr>
                <w:rFonts w:ascii="Cambria Math" w:hAnsi="Cambria Math"/>
                <w:i/>
              </w:rPr>
            </m:ctrlPr>
          </m:sSubPr>
          <m:e>
            <m:r>
              <m:rPr>
                <m:sty m:val="p"/>
              </m:rPr>
              <w:rPr>
                <w:rFonts w:ascii="Cambria Math" w:hAnsi="Cambria Math"/>
              </w:rPr>
              <m:t>Π</m:t>
            </m:r>
            <m:ctrlPr>
              <w:rPr>
                <w:rFonts w:ascii="Cambria Math" w:hAnsi="Cambria Math"/>
              </w:rPr>
            </m:ctrlPr>
          </m:e>
          <m:sub>
            <m:r>
              <w:rPr>
                <w:rFonts w:ascii="Cambria Math" w:hAnsi="Cambria Math"/>
              </w:rPr>
              <m:t>Ct+n</m:t>
            </m:r>
          </m:sub>
        </m:sSub>
        <m:r>
          <w:rPr>
            <w:rFonts w:ascii="Cambria Math" w:hAnsi="Cambria Math"/>
          </w:rPr>
          <m:t>=</m:t>
        </m:r>
        <m:sSub>
          <m:sSubPr>
            <m:ctrlPr>
              <w:rPr>
                <w:rFonts w:ascii="Cambria Math" w:hAnsi="Cambria Math"/>
                <w:i/>
              </w:rPr>
            </m:ctrlPr>
          </m:sSubPr>
          <m:e>
            <m:r>
              <m:rPr>
                <m:sty m:val="p"/>
              </m:rPr>
              <w:rPr>
                <w:rFonts w:ascii="Cambria Math" w:hAnsi="Cambria Math"/>
              </w:rPr>
              <m:t>Π</m:t>
            </m:r>
            <m:ctrlPr>
              <w:rPr>
                <w:rFonts w:ascii="Cambria Math" w:hAnsi="Cambria Math"/>
              </w:rPr>
            </m:ctrlPr>
          </m:e>
          <m:sub>
            <m:r>
              <w:rPr>
                <w:rFonts w:ascii="Cambria Math" w:hAnsi="Cambria Math"/>
              </w:rPr>
              <m:t>Gt-1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m:rPr>
                    <m:sty m:val="p"/>
                  </m:rPr>
                  <w:rPr>
                    <w:rFonts w:ascii="Cambria Math" w:hAnsi="Cambria Math"/>
                  </w:rPr>
                  <m:t>K</m:t>
                </m:r>
                <m:ctrlPr>
                  <w:rPr>
                    <w:rFonts w:ascii="Cambria Math" w:hAnsi="Cambria Math"/>
                  </w:rPr>
                </m:ctrlPr>
              </m:e>
              <m:sub>
                <m:r>
                  <w:rPr>
                    <w:rFonts w:ascii="Cambria Math" w:hAnsi="Cambria Math"/>
                  </w:rPr>
                  <m:t>IGt+n</m:t>
                </m:r>
              </m:sub>
            </m:sSub>
          </m:num>
          <m:den>
            <m:sSub>
              <m:sSubPr>
                <m:ctrlPr>
                  <w:rPr>
                    <w:rFonts w:ascii="Cambria Math" w:hAnsi="Cambria Math"/>
                    <w:i/>
                  </w:rPr>
                </m:ctrlPr>
              </m:sSubPr>
              <m:e>
                <m:r>
                  <m:rPr>
                    <m:sty m:val="p"/>
                  </m:rPr>
                  <w:rPr>
                    <w:rFonts w:ascii="Cambria Math" w:hAnsi="Cambria Math"/>
                  </w:rPr>
                  <m:t>K</m:t>
                </m:r>
                <m:ctrlPr>
                  <w:rPr>
                    <w:rFonts w:ascii="Cambria Math" w:hAnsi="Cambria Math"/>
                  </w:rPr>
                </m:ctrlPr>
              </m:e>
              <m:sub>
                <m:r>
                  <w:rPr>
                    <w:rFonts w:ascii="Cambria Math" w:hAnsi="Cambria Math"/>
                  </w:rPr>
                  <m:t>IGt-1</m:t>
                </m:r>
              </m:sub>
            </m:sSub>
          </m:den>
        </m:f>
        <m:sSub>
          <m:sSubPr>
            <m:ctrlPr>
              <w:rPr>
                <w:rFonts w:ascii="Cambria Math" w:hAnsi="Cambria Math"/>
                <w:i/>
              </w:rPr>
            </m:ctrlPr>
          </m:sSubPr>
          <m:e>
            <m:r>
              <w:rPr>
                <w:rFonts w:ascii="Cambria Math" w:hAnsi="Cambria Math"/>
              </w:rPr>
              <m:t>K</m:t>
            </m:r>
          </m:e>
          <m:sub>
            <m:r>
              <w:rPr>
                <w:rFonts w:ascii="Cambria Math" w:hAnsi="Cambria Math"/>
              </w:rPr>
              <m:t>Gt-1</m:t>
            </m:r>
          </m:sub>
        </m:sSub>
        <m:sSub>
          <m:sSubPr>
            <m:ctrlPr>
              <w:rPr>
                <w:rFonts w:ascii="Cambria Math" w:hAnsi="Cambria Math"/>
                <w:i/>
              </w:rPr>
            </m:ctrlPr>
          </m:sSubPr>
          <m:e>
            <m:r>
              <m:rPr>
                <m:sty m:val="p"/>
              </m:rPr>
              <w:rPr>
                <w:rFonts w:ascii="Cambria Math" w:hAnsi="Cambria Math"/>
              </w:rPr>
              <m:t>Δ</m:t>
            </m:r>
            <m:ctrlPr>
              <w:rPr>
                <w:rFonts w:ascii="Cambria Math" w:hAnsi="Cambria Math"/>
              </w:rPr>
            </m:ctrlPr>
          </m:e>
          <m:sub>
            <m:r>
              <w:rPr>
                <w:rFonts w:ascii="Cambria Math" w:hAnsi="Cambria Math"/>
              </w:rPr>
              <m:t>IGt-1,t+n</m:t>
            </m:r>
          </m:sub>
        </m:sSub>
        <m:r>
          <w:rPr>
            <w:rFonts w:ascii="Cambria Math" w:hAnsi="Cambria Math"/>
          </w:rPr>
          <m:t>+</m:t>
        </m:r>
        <m:sSub>
          <m:sSubPr>
            <m:ctrlPr>
              <w:rPr>
                <w:rFonts w:ascii="Cambria Math" w:hAnsi="Cambria Math"/>
                <w:i/>
              </w:rPr>
            </m:ctrlPr>
          </m:sSubPr>
          <m:e>
            <m:r>
              <m:rPr>
                <m:sty m:val="p"/>
              </m:rPr>
              <w:rPr>
                <w:rFonts w:ascii="Cambria Math" w:hAnsi="Cambria Math"/>
              </w:rPr>
              <m:t>Π</m:t>
            </m:r>
            <m:ctrlPr>
              <w:rPr>
                <w:rFonts w:ascii="Cambria Math" w:hAnsi="Cambria Math"/>
              </w:rPr>
            </m:ctrlPr>
          </m:e>
          <m:sub>
            <m:r>
              <w:rPr>
                <w:rFonts w:ascii="Cambria Math" w:hAnsi="Cambria Math"/>
              </w:rPr>
              <m:t>Dt-1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m:rPr>
                    <m:sty m:val="p"/>
                  </m:rPr>
                  <w:rPr>
                    <w:rFonts w:ascii="Cambria Math" w:hAnsi="Cambria Math"/>
                  </w:rPr>
                  <m:t>K</m:t>
                </m:r>
                <m:ctrlPr>
                  <w:rPr>
                    <w:rFonts w:ascii="Cambria Math" w:hAnsi="Cambria Math"/>
                  </w:rPr>
                </m:ctrlPr>
              </m:e>
              <m:sub>
                <m:r>
                  <w:rPr>
                    <w:rFonts w:ascii="Cambria Math" w:hAnsi="Cambria Math"/>
                  </w:rPr>
                  <m:t>IDt+n</m:t>
                </m:r>
              </m:sub>
            </m:sSub>
          </m:num>
          <m:den>
            <m:sSub>
              <m:sSubPr>
                <m:ctrlPr>
                  <w:rPr>
                    <w:rFonts w:ascii="Cambria Math" w:hAnsi="Cambria Math"/>
                    <w:i/>
                  </w:rPr>
                </m:ctrlPr>
              </m:sSubPr>
              <m:e>
                <m:r>
                  <m:rPr>
                    <m:sty m:val="p"/>
                  </m:rPr>
                  <w:rPr>
                    <w:rFonts w:ascii="Cambria Math" w:hAnsi="Cambria Math"/>
                  </w:rPr>
                  <m:t>K</m:t>
                </m:r>
                <m:ctrlPr>
                  <w:rPr>
                    <w:rFonts w:ascii="Cambria Math" w:hAnsi="Cambria Math"/>
                  </w:rPr>
                </m:ctrlPr>
              </m:e>
              <m:sub>
                <m:r>
                  <w:rPr>
                    <w:rFonts w:ascii="Cambria Math" w:hAnsi="Cambria Math"/>
                  </w:rPr>
                  <m:t>IDt-1</m:t>
                </m:r>
              </m:sub>
            </m:sSub>
          </m:den>
        </m:f>
        <m:sSub>
          <m:sSubPr>
            <m:ctrlPr>
              <w:rPr>
                <w:rFonts w:ascii="Cambria Math" w:hAnsi="Cambria Math"/>
                <w:i/>
              </w:rPr>
            </m:ctrlPr>
          </m:sSubPr>
          <m:e>
            <m:r>
              <w:rPr>
                <w:rFonts w:ascii="Cambria Math" w:hAnsi="Cambria Math"/>
              </w:rPr>
              <m:t>K</m:t>
            </m:r>
          </m:e>
          <m:sub>
            <m:r>
              <w:rPr>
                <w:rFonts w:ascii="Cambria Math" w:hAnsi="Cambria Math"/>
              </w:rPr>
              <m:t>Dt-1</m:t>
            </m:r>
          </m:sub>
        </m:sSub>
        <m:sSub>
          <m:sSubPr>
            <m:ctrlPr>
              <w:rPr>
                <w:rFonts w:ascii="Cambria Math" w:hAnsi="Cambria Math"/>
                <w:i/>
              </w:rPr>
            </m:ctrlPr>
          </m:sSubPr>
          <m:e>
            <m:r>
              <m:rPr>
                <m:sty m:val="p"/>
              </m:rPr>
              <w:rPr>
                <w:rFonts w:ascii="Cambria Math" w:hAnsi="Cambria Math"/>
              </w:rPr>
              <m:t>Δ</m:t>
            </m:r>
            <m:ctrlPr>
              <w:rPr>
                <w:rFonts w:ascii="Cambria Math" w:hAnsi="Cambria Math"/>
              </w:rPr>
            </m:ctrlPr>
          </m:e>
          <m:sub>
            <m:r>
              <w:rPr>
                <w:rFonts w:ascii="Cambria Math" w:hAnsi="Cambria Math"/>
              </w:rPr>
              <m:t>IDt-1,t+n</m:t>
            </m:r>
          </m:sub>
        </m:sSub>
      </m:oMath>
      <w:r w:rsidR="00345FF2">
        <w:tab/>
        <w:t>Eq. (12</w:t>
      </w:r>
      <w:r w:rsidR="00361530">
        <w:t>)</w:t>
      </w:r>
    </w:p>
    <w:p w:rsidR="00345FF2" w:rsidRDefault="00345FF2" w:rsidP="00FA5866">
      <w:pPr>
        <w:spacing w:after="0" w:line="240" w:lineRule="auto"/>
      </w:pPr>
    </w:p>
    <w:p w:rsidR="00226A76" w:rsidRDefault="002C3276" w:rsidP="00FA5866">
      <w:pPr>
        <w:spacing w:after="0" w:line="240" w:lineRule="auto"/>
      </w:pPr>
      <w:r>
        <w:t xml:space="preserve">Os lucros das firmas combinadas no ano </w:t>
      </w:r>
      <m:oMath>
        <m:r>
          <w:rPr>
            <w:rFonts w:ascii="Cambria Math" w:hAnsi="Cambria Math"/>
          </w:rPr>
          <m:t>t+n</m:t>
        </m:r>
      </m:oMath>
      <w:r>
        <w:t xml:space="preserve"> são previstos para serem os lucros da adquirente em </w:t>
      </w:r>
      <m:oMath>
        <m:r>
          <w:rPr>
            <w:rFonts w:ascii="Cambria Math" w:hAnsi="Cambria Math"/>
          </w:rPr>
          <m:t>t-</m:t>
        </m:r>
        <w:proofErr w:type="gramStart"/>
        <m:r>
          <w:rPr>
            <w:rFonts w:ascii="Cambria Math" w:hAnsi="Cambria Math"/>
          </w:rPr>
          <m:t>1</m:t>
        </m:r>
      </m:oMath>
      <w:proofErr w:type="gramEnd"/>
      <w:r>
        <w:t xml:space="preserve">, mais o crescimento previsto em seus lucros de </w:t>
      </w:r>
      <m:oMath>
        <m:r>
          <w:rPr>
            <w:rFonts w:ascii="Cambria Math" w:hAnsi="Cambria Math"/>
          </w:rPr>
          <m:t>t-1</m:t>
        </m:r>
      </m:oMath>
      <w:r>
        <w:t xml:space="preserve"> a</w:t>
      </w:r>
      <m:oMath>
        <m:r>
          <w:rPr>
            <w:rFonts w:ascii="Cambria Math" w:hAnsi="Cambria Math"/>
          </w:rPr>
          <m:t xml:space="preserve"> t+n</m:t>
        </m:r>
      </m:oMath>
      <w:r>
        <w:t xml:space="preserve">, mais os lucros da firma adquirida em </w:t>
      </w:r>
      <m:oMath>
        <m:r>
          <w:rPr>
            <w:rFonts w:ascii="Cambria Math" w:hAnsi="Cambria Math"/>
          </w:rPr>
          <m:t>t-1</m:t>
        </m:r>
      </m:oMath>
      <w:r>
        <w:t xml:space="preserve">, mais o crescimento previsto em seus lucros entre </w:t>
      </w:r>
      <m:oMath>
        <m:r>
          <w:rPr>
            <w:rFonts w:ascii="Cambria Math" w:hAnsi="Cambria Math"/>
          </w:rPr>
          <m:t>t-1</m:t>
        </m:r>
      </m:oMath>
      <w:r>
        <w:t xml:space="preserve"> e </w:t>
      </w:r>
      <m:oMath>
        <m:r>
          <w:rPr>
            <w:rFonts w:ascii="Cambria Math" w:hAnsi="Cambria Math"/>
          </w:rPr>
          <m:t>t+n</m:t>
        </m:r>
      </m:oMath>
      <w:r>
        <w:t>.</w:t>
      </w:r>
      <w:bookmarkStart w:id="3" w:name="_Toc379492284"/>
    </w:p>
    <w:p w:rsidR="00345FF2" w:rsidRDefault="00345FF2" w:rsidP="00FA5866">
      <w:pPr>
        <w:spacing w:after="0" w:line="240" w:lineRule="auto"/>
        <w:jc w:val="left"/>
      </w:pPr>
    </w:p>
    <w:p w:rsidR="0034787A" w:rsidRPr="00226A76" w:rsidRDefault="00382534" w:rsidP="00FA5866">
      <w:pPr>
        <w:spacing w:after="0" w:line="240" w:lineRule="auto"/>
        <w:jc w:val="left"/>
        <w:rPr>
          <w:rFonts w:eastAsiaTheme="majorEastAsia" w:cstheme="majorBidi"/>
          <w:bCs/>
          <w:color w:val="000000" w:themeColor="text1"/>
        </w:rPr>
      </w:pPr>
      <w:proofErr w:type="gramStart"/>
      <w:r w:rsidRPr="00226A76">
        <w:t>4</w:t>
      </w:r>
      <w:r w:rsidR="0034787A" w:rsidRPr="00226A76">
        <w:t>.</w:t>
      </w:r>
      <w:r w:rsidR="00345FF2">
        <w:t>2</w:t>
      </w:r>
      <w:r w:rsidR="0034787A" w:rsidRPr="00226A76">
        <w:t xml:space="preserve"> </w:t>
      </w:r>
      <w:r w:rsidR="001D61CA" w:rsidRPr="00226A76">
        <w:t xml:space="preserve">– </w:t>
      </w:r>
      <w:r w:rsidR="00DC20EA" w:rsidRPr="00226A76">
        <w:t>Tratamento</w:t>
      </w:r>
      <w:proofErr w:type="gramEnd"/>
      <w:r w:rsidR="00DC20EA" w:rsidRPr="00226A76">
        <w:t xml:space="preserve"> dos</w:t>
      </w:r>
      <w:r w:rsidR="0034787A" w:rsidRPr="00226A76">
        <w:t xml:space="preserve"> dados</w:t>
      </w:r>
      <w:bookmarkEnd w:id="3"/>
    </w:p>
    <w:p w:rsidR="00B722B3" w:rsidRDefault="005C135C" w:rsidP="00FA5866">
      <w:pPr>
        <w:spacing w:after="0" w:line="240" w:lineRule="auto"/>
        <w:rPr>
          <w:color w:val="222222"/>
          <w:shd w:val="clear" w:color="auto" w:fill="FFFFFF"/>
        </w:rPr>
      </w:pPr>
      <w:r>
        <w:rPr>
          <w:color w:val="222222"/>
          <w:shd w:val="clear" w:color="auto" w:fill="FFFFFF"/>
        </w:rPr>
        <w:t>Apenas no Brasil, e</w:t>
      </w:r>
      <w:r w:rsidR="00485D7F">
        <w:rPr>
          <w:color w:val="222222"/>
          <w:shd w:val="clear" w:color="auto" w:fill="FFFFFF"/>
        </w:rPr>
        <w:t>ntre os anos de 2005 e</w:t>
      </w:r>
      <w:r w:rsidR="00CF1947">
        <w:rPr>
          <w:color w:val="222222"/>
          <w:shd w:val="clear" w:color="auto" w:fill="FFFFFF"/>
        </w:rPr>
        <w:t xml:space="preserve"> 2012</w:t>
      </w:r>
      <w:r w:rsidR="00A1436B">
        <w:rPr>
          <w:color w:val="222222"/>
          <w:shd w:val="clear" w:color="auto" w:fill="FFFFFF"/>
        </w:rPr>
        <w:t>,</w:t>
      </w:r>
      <w:r w:rsidR="00CF1947">
        <w:rPr>
          <w:color w:val="222222"/>
          <w:shd w:val="clear" w:color="auto" w:fill="FFFFFF"/>
        </w:rPr>
        <w:t xml:space="preserve"> o CADE analisou e julgou 4370 atos de concentração.</w:t>
      </w:r>
      <w:r w:rsidR="00413453">
        <w:rPr>
          <w:color w:val="222222"/>
          <w:shd w:val="clear" w:color="auto" w:fill="FFFFFF"/>
        </w:rPr>
        <w:t xml:space="preserve"> No entanto, devido </w:t>
      </w:r>
      <w:r w:rsidR="00485D7F">
        <w:rPr>
          <w:color w:val="222222"/>
          <w:shd w:val="clear" w:color="auto" w:fill="FFFFFF"/>
        </w:rPr>
        <w:t>à</w:t>
      </w:r>
      <w:r w:rsidR="00413453">
        <w:rPr>
          <w:color w:val="222222"/>
          <w:shd w:val="clear" w:color="auto" w:fill="FFFFFF"/>
        </w:rPr>
        <w:t xml:space="preserve"> dificuldade </w:t>
      </w:r>
      <w:r w:rsidR="00A1436B">
        <w:rPr>
          <w:color w:val="222222"/>
          <w:shd w:val="clear" w:color="auto" w:fill="FFFFFF"/>
        </w:rPr>
        <w:t xml:space="preserve">de se cruzar as informações entre </w:t>
      </w:r>
      <w:r w:rsidR="00413453">
        <w:rPr>
          <w:color w:val="222222"/>
          <w:shd w:val="clear" w:color="auto" w:fill="FFFFFF"/>
        </w:rPr>
        <w:t>a análise do CADE e as informações do mercado de ações das empresas</w:t>
      </w:r>
      <w:r>
        <w:rPr>
          <w:color w:val="222222"/>
          <w:shd w:val="clear" w:color="auto" w:fill="FFFFFF"/>
        </w:rPr>
        <w:t xml:space="preserve"> envolvidas</w:t>
      </w:r>
      <w:r w:rsidR="00413453">
        <w:rPr>
          <w:color w:val="222222"/>
          <w:shd w:val="clear" w:color="auto" w:fill="FFFFFF"/>
        </w:rPr>
        <w:t xml:space="preserve">, </w:t>
      </w:r>
      <w:r>
        <w:rPr>
          <w:color w:val="222222"/>
          <w:shd w:val="clear" w:color="auto" w:fill="FFFFFF"/>
        </w:rPr>
        <w:t xml:space="preserve">neste trabalho </w:t>
      </w:r>
      <w:r w:rsidR="00413453">
        <w:rPr>
          <w:color w:val="222222"/>
          <w:shd w:val="clear" w:color="auto" w:fill="FFFFFF"/>
        </w:rPr>
        <w:t>utilizou-</w:t>
      </w:r>
      <w:r w:rsidR="00413453" w:rsidRPr="00413453">
        <w:rPr>
          <w:color w:val="222222"/>
          <w:shd w:val="clear" w:color="auto" w:fill="FFFFFF"/>
        </w:rPr>
        <w:t xml:space="preserve">se </w:t>
      </w:r>
      <w:r w:rsidR="00CF1947" w:rsidRPr="00413453">
        <w:rPr>
          <w:color w:val="222222"/>
          <w:shd w:val="clear" w:color="auto" w:fill="FFFFFF"/>
        </w:rPr>
        <w:t xml:space="preserve">uma amostra das maiores fusões </w:t>
      </w:r>
      <w:r>
        <w:rPr>
          <w:color w:val="222222"/>
          <w:shd w:val="clear" w:color="auto" w:fill="FFFFFF"/>
        </w:rPr>
        <w:t xml:space="preserve">já ocorridas </w:t>
      </w:r>
      <w:r w:rsidR="00CF1947" w:rsidRPr="00413453">
        <w:rPr>
          <w:color w:val="222222"/>
          <w:shd w:val="clear" w:color="auto" w:fill="FFFFFF"/>
        </w:rPr>
        <w:t>no mercado brasileiro conforme relatórios divulgados por agências especializadas</w:t>
      </w:r>
      <w:r w:rsidR="00A1436B">
        <w:rPr>
          <w:color w:val="222222"/>
          <w:shd w:val="clear" w:color="auto" w:fill="FFFFFF"/>
        </w:rPr>
        <w:t>,</w:t>
      </w:r>
      <w:r w:rsidR="00CF1947" w:rsidRPr="00413453">
        <w:rPr>
          <w:color w:val="222222"/>
          <w:shd w:val="clear" w:color="auto" w:fill="FFFFFF"/>
        </w:rPr>
        <w:t xml:space="preserve"> como a KPMG e PWC</w:t>
      </w:r>
      <w:r w:rsidR="00A1436B">
        <w:rPr>
          <w:color w:val="222222"/>
          <w:shd w:val="clear" w:color="auto" w:fill="FFFFFF"/>
        </w:rPr>
        <w:t>,</w:t>
      </w:r>
      <w:r w:rsidR="00CF1947" w:rsidRPr="00413453">
        <w:rPr>
          <w:color w:val="222222"/>
          <w:shd w:val="clear" w:color="auto" w:fill="FFFFFF"/>
        </w:rPr>
        <w:t xml:space="preserve"> dentre as quais foram identificadas</w:t>
      </w:r>
      <w:r w:rsidR="00A1436B">
        <w:rPr>
          <w:color w:val="222222"/>
          <w:shd w:val="clear" w:color="auto" w:fill="FFFFFF"/>
        </w:rPr>
        <w:t xml:space="preserve"> e</w:t>
      </w:r>
      <w:r w:rsidR="00CF1947" w:rsidRPr="00413453">
        <w:rPr>
          <w:color w:val="222222"/>
          <w:shd w:val="clear" w:color="auto" w:fill="FFFFFF"/>
        </w:rPr>
        <w:t xml:space="preserve"> selecionadas as fusões horizontais</w:t>
      </w:r>
      <w:r w:rsidR="00860633">
        <w:rPr>
          <w:rStyle w:val="Refdenotaderodap"/>
          <w:color w:val="222222"/>
          <w:shd w:val="clear" w:color="auto" w:fill="FFFFFF"/>
        </w:rPr>
        <w:footnoteReference w:id="12"/>
      </w:r>
      <w:r w:rsidR="0090703F">
        <w:rPr>
          <w:color w:val="222222"/>
          <w:shd w:val="clear" w:color="auto" w:fill="FFFFFF"/>
        </w:rPr>
        <w:t xml:space="preserve"> </w:t>
      </w:r>
      <w:r w:rsidR="00CF1947" w:rsidRPr="00413453">
        <w:rPr>
          <w:color w:val="222222"/>
          <w:shd w:val="clear" w:color="auto" w:fill="FFFFFF"/>
        </w:rPr>
        <w:t xml:space="preserve">que sofreram análise </w:t>
      </w:r>
      <w:r w:rsidR="00A1436B">
        <w:rPr>
          <w:color w:val="222222"/>
          <w:shd w:val="clear" w:color="auto" w:fill="FFFFFF"/>
        </w:rPr>
        <w:t>pelo</w:t>
      </w:r>
      <w:r w:rsidR="00B90CCB">
        <w:rPr>
          <w:color w:val="222222"/>
          <w:shd w:val="clear" w:color="auto" w:fill="FFFFFF"/>
        </w:rPr>
        <w:t xml:space="preserve"> </w:t>
      </w:r>
      <w:r w:rsidR="00CF1947" w:rsidRPr="00413453">
        <w:rPr>
          <w:color w:val="222222"/>
          <w:shd w:val="clear" w:color="auto" w:fill="FFFFFF"/>
        </w:rPr>
        <w:t>CADE.</w:t>
      </w:r>
      <w:r w:rsidR="0090703F">
        <w:rPr>
          <w:color w:val="222222"/>
          <w:shd w:val="clear" w:color="auto" w:fill="FFFFFF"/>
        </w:rPr>
        <w:t xml:space="preserve"> Cabe ressaltar </w:t>
      </w:r>
      <w:r w:rsidR="0053603F" w:rsidRPr="00B90CCB">
        <w:rPr>
          <w:color w:val="222222"/>
          <w:shd w:val="clear" w:color="auto" w:fill="FFFFFF"/>
        </w:rPr>
        <w:t>que</w:t>
      </w:r>
      <w:r w:rsidR="0090703F">
        <w:rPr>
          <w:color w:val="222222"/>
          <w:shd w:val="clear" w:color="auto" w:fill="FFFFFF"/>
        </w:rPr>
        <w:t>, em</w:t>
      </w:r>
      <w:r w:rsidR="0053603F" w:rsidRPr="00B90CCB">
        <w:rPr>
          <w:color w:val="222222"/>
          <w:shd w:val="clear" w:color="auto" w:fill="FFFFFF"/>
        </w:rPr>
        <w:t xml:space="preserve"> algumas fusões</w:t>
      </w:r>
      <w:r w:rsidR="0090703F">
        <w:rPr>
          <w:color w:val="222222"/>
          <w:shd w:val="clear" w:color="auto" w:fill="FFFFFF"/>
        </w:rPr>
        <w:t>,</w:t>
      </w:r>
      <w:r w:rsidR="0053603F" w:rsidRPr="00B90CCB">
        <w:rPr>
          <w:color w:val="222222"/>
          <w:shd w:val="clear" w:color="auto" w:fill="FFFFFF"/>
        </w:rPr>
        <w:t xml:space="preserve"> a empresa adquirente também atuava em setor verticalmente integr</w:t>
      </w:r>
      <w:r w:rsidR="0090703F">
        <w:rPr>
          <w:color w:val="222222"/>
          <w:shd w:val="clear" w:color="auto" w:fill="FFFFFF"/>
        </w:rPr>
        <w:t xml:space="preserve">ado ao setor da firma adquirida; </w:t>
      </w:r>
      <w:proofErr w:type="gramStart"/>
      <w:r w:rsidR="0090703F">
        <w:rPr>
          <w:color w:val="222222"/>
          <w:shd w:val="clear" w:color="auto" w:fill="FFFFFF"/>
        </w:rPr>
        <w:t>nestes caso</w:t>
      </w:r>
      <w:proofErr w:type="gramEnd"/>
      <w:r w:rsidR="0090703F">
        <w:rPr>
          <w:color w:val="222222"/>
          <w:shd w:val="clear" w:color="auto" w:fill="FFFFFF"/>
        </w:rPr>
        <w:t>, foi considerado</w:t>
      </w:r>
      <w:r w:rsidR="0053603F" w:rsidRPr="00B90CCB">
        <w:rPr>
          <w:color w:val="222222"/>
          <w:shd w:val="clear" w:color="auto" w:fill="FFFFFF"/>
        </w:rPr>
        <w:t xml:space="preserve"> apenas o mercado horizontalmente afetado.</w:t>
      </w:r>
      <w:r w:rsidR="0090703F">
        <w:rPr>
          <w:color w:val="222222"/>
          <w:shd w:val="clear" w:color="auto" w:fill="FFFFFF"/>
        </w:rPr>
        <w:t xml:space="preserve"> </w:t>
      </w:r>
      <w:r w:rsidR="00A1436B">
        <w:rPr>
          <w:color w:val="222222"/>
          <w:shd w:val="clear" w:color="auto" w:fill="FFFFFF"/>
        </w:rPr>
        <w:t>Dessa forma, a</w:t>
      </w:r>
      <w:r w:rsidR="00271D53" w:rsidRPr="00845FC3">
        <w:rPr>
          <w:color w:val="222222"/>
          <w:shd w:val="clear" w:color="auto" w:fill="FFFFFF"/>
        </w:rPr>
        <w:t xml:space="preserve"> base dados </w:t>
      </w:r>
      <w:r w:rsidR="00226A76">
        <w:rPr>
          <w:color w:val="222222"/>
          <w:shd w:val="clear" w:color="auto" w:fill="FFFFFF"/>
        </w:rPr>
        <w:t>utilizada neste trabalho</w:t>
      </w:r>
      <w:r w:rsidR="00947B12">
        <w:rPr>
          <w:color w:val="222222"/>
          <w:shd w:val="clear" w:color="auto" w:fill="FFFFFF"/>
        </w:rPr>
        <w:t xml:space="preserve"> </w:t>
      </w:r>
      <w:r w:rsidR="00271D53" w:rsidRPr="00845FC3">
        <w:rPr>
          <w:color w:val="222222"/>
          <w:shd w:val="clear" w:color="auto" w:fill="FFFFFF"/>
        </w:rPr>
        <w:t xml:space="preserve">consiste </w:t>
      </w:r>
      <w:r>
        <w:rPr>
          <w:color w:val="222222"/>
          <w:shd w:val="clear" w:color="auto" w:fill="FFFFFF"/>
        </w:rPr>
        <w:t>de</w:t>
      </w:r>
      <w:r w:rsidR="00D72C0E">
        <w:rPr>
          <w:color w:val="222222"/>
          <w:shd w:val="clear" w:color="auto" w:fill="FFFFFF"/>
        </w:rPr>
        <w:t xml:space="preserve"> 42</w:t>
      </w:r>
      <w:r w:rsidR="00271D53" w:rsidRPr="00845FC3">
        <w:rPr>
          <w:color w:val="222222"/>
          <w:shd w:val="clear" w:color="auto" w:fill="FFFFFF"/>
        </w:rPr>
        <w:t xml:space="preserve"> grandes concentrações horizontais </w:t>
      </w:r>
      <w:r w:rsidR="00B722B3">
        <w:rPr>
          <w:color w:val="222222"/>
          <w:shd w:val="clear" w:color="auto" w:fill="FFFFFF"/>
        </w:rPr>
        <w:t>entre empresas de capital aberto que possu</w:t>
      </w:r>
      <w:r w:rsidR="00947B12">
        <w:rPr>
          <w:color w:val="222222"/>
          <w:shd w:val="clear" w:color="auto" w:fill="FFFFFF"/>
        </w:rPr>
        <w:t>íam</w:t>
      </w:r>
      <w:r w:rsidR="00B722B3">
        <w:rPr>
          <w:color w:val="222222"/>
          <w:shd w:val="clear" w:color="auto" w:fill="FFFFFF"/>
        </w:rPr>
        <w:t xml:space="preserve"> ações cotadas na </w:t>
      </w:r>
      <w:proofErr w:type="spellStart"/>
      <w:r w:rsidR="00B722B3">
        <w:rPr>
          <w:color w:val="222222"/>
          <w:shd w:val="clear" w:color="auto" w:fill="FFFFFF"/>
        </w:rPr>
        <w:t>BM&amp;FBOVESPA</w:t>
      </w:r>
      <w:proofErr w:type="spellEnd"/>
      <w:r w:rsidR="00B722B3">
        <w:rPr>
          <w:color w:val="222222"/>
          <w:shd w:val="clear" w:color="auto" w:fill="FFFFFF"/>
        </w:rPr>
        <w:t xml:space="preserve"> </w:t>
      </w:r>
      <w:r w:rsidR="00947B12">
        <w:rPr>
          <w:color w:val="222222"/>
          <w:shd w:val="clear" w:color="auto" w:fill="FFFFFF"/>
        </w:rPr>
        <w:t xml:space="preserve">e </w:t>
      </w:r>
      <w:r w:rsidR="00271D53" w:rsidRPr="00845FC3">
        <w:rPr>
          <w:color w:val="222222"/>
          <w:shd w:val="clear" w:color="auto" w:fill="FFFFFF"/>
        </w:rPr>
        <w:t>que sofreram análise do CADE no período de 1998 a 2012.</w:t>
      </w:r>
      <w:r w:rsidR="0090703F">
        <w:rPr>
          <w:color w:val="222222"/>
          <w:shd w:val="clear" w:color="auto" w:fill="FFFFFF"/>
        </w:rPr>
        <w:t xml:space="preserve"> </w:t>
      </w:r>
      <w:r w:rsidR="00D72C0E">
        <w:rPr>
          <w:color w:val="222222"/>
          <w:shd w:val="clear" w:color="auto" w:fill="FFFFFF"/>
        </w:rPr>
        <w:t>Foram identificadas 316</w:t>
      </w:r>
      <w:r w:rsidR="00B722B3">
        <w:rPr>
          <w:color w:val="222222"/>
          <w:shd w:val="clear" w:color="auto" w:fill="FFFFFF"/>
        </w:rPr>
        <w:t xml:space="preserve"> firmas rivais</w:t>
      </w:r>
      <w:r w:rsidR="0090703F">
        <w:rPr>
          <w:color w:val="222222"/>
          <w:shd w:val="clear" w:color="auto" w:fill="FFFFFF"/>
        </w:rPr>
        <w:t xml:space="preserve"> </w:t>
      </w:r>
      <w:r>
        <w:rPr>
          <w:color w:val="222222"/>
          <w:shd w:val="clear" w:color="auto" w:fill="FFFFFF"/>
        </w:rPr>
        <w:t>pertencentes a</w:t>
      </w:r>
      <w:r w:rsidR="00512789">
        <w:rPr>
          <w:color w:val="222222"/>
          <w:shd w:val="clear" w:color="auto" w:fill="FFFFFF"/>
        </w:rPr>
        <w:t>o mesmo mercado 313 NAICS</w:t>
      </w:r>
      <w:r w:rsidR="00512789">
        <w:rPr>
          <w:rStyle w:val="Refdenotaderodap"/>
          <w:color w:val="222222"/>
          <w:shd w:val="clear" w:color="auto" w:fill="FFFFFF"/>
        </w:rPr>
        <w:footnoteReference w:id="13"/>
      </w:r>
      <w:r>
        <w:rPr>
          <w:color w:val="222222"/>
          <w:shd w:val="clear" w:color="auto" w:fill="FFFFFF"/>
        </w:rPr>
        <w:t xml:space="preserve"> das empresas fusionadas</w:t>
      </w:r>
      <w:r w:rsidR="00B722B3">
        <w:rPr>
          <w:color w:val="222222"/>
          <w:shd w:val="clear" w:color="auto" w:fill="FFFFFF"/>
        </w:rPr>
        <w:t xml:space="preserve">, </w:t>
      </w:r>
      <w:r w:rsidR="00D72C0E">
        <w:rPr>
          <w:color w:val="222222"/>
          <w:shd w:val="clear" w:color="auto" w:fill="FFFFFF"/>
        </w:rPr>
        <w:t>41</w:t>
      </w:r>
      <w:r w:rsidR="00947B12">
        <w:rPr>
          <w:color w:val="222222"/>
          <w:shd w:val="clear" w:color="auto" w:fill="FFFFFF"/>
        </w:rPr>
        <w:t xml:space="preserve"> adquirentes e 22 adquiridas.</w:t>
      </w:r>
      <w:r w:rsidR="00B722B3">
        <w:rPr>
          <w:color w:val="222222"/>
          <w:shd w:val="clear" w:color="auto" w:fill="FFFFFF"/>
        </w:rPr>
        <w:t xml:space="preserve"> Além disso, também foram retiradas </w:t>
      </w:r>
      <w:r w:rsidR="00755045">
        <w:rPr>
          <w:color w:val="222222"/>
          <w:shd w:val="clear" w:color="auto" w:fill="FFFFFF"/>
        </w:rPr>
        <w:t xml:space="preserve">da amostra </w:t>
      </w:r>
      <w:r>
        <w:rPr>
          <w:color w:val="222222"/>
          <w:shd w:val="clear" w:color="auto" w:fill="FFFFFF"/>
        </w:rPr>
        <w:t>firmas que não</w:t>
      </w:r>
      <w:r w:rsidR="0090703F">
        <w:rPr>
          <w:color w:val="222222"/>
          <w:shd w:val="clear" w:color="auto" w:fill="FFFFFF"/>
        </w:rPr>
        <w:t xml:space="preserve"> </w:t>
      </w:r>
      <w:r>
        <w:rPr>
          <w:color w:val="222222"/>
          <w:shd w:val="clear" w:color="auto" w:fill="FFFFFF"/>
        </w:rPr>
        <w:t xml:space="preserve">apresentaram </w:t>
      </w:r>
      <w:r w:rsidR="00755045">
        <w:rPr>
          <w:color w:val="222222"/>
          <w:shd w:val="clear" w:color="auto" w:fill="FFFFFF"/>
        </w:rPr>
        <w:t>cotações ao redor da menor</w:t>
      </w:r>
      <w:r w:rsidR="00B722B3">
        <w:rPr>
          <w:color w:val="222222"/>
          <w:shd w:val="clear" w:color="auto" w:fill="FFFFFF"/>
        </w:rPr>
        <w:t xml:space="preserve"> janela de evento </w:t>
      </w:r>
      <w:r w:rsidR="00755045">
        <w:rPr>
          <w:color w:val="222222"/>
          <w:shd w:val="clear" w:color="auto" w:fill="FFFFFF"/>
        </w:rPr>
        <w:t xml:space="preserve">escolhida </w:t>
      </w:r>
      <w:r w:rsidR="00B722B3">
        <w:rPr>
          <w:color w:val="222222"/>
          <w:shd w:val="clear" w:color="auto" w:fill="FFFFFF"/>
        </w:rPr>
        <w:t xml:space="preserve">(2,2), </w:t>
      </w:r>
      <w:r w:rsidR="00755045">
        <w:rPr>
          <w:color w:val="222222"/>
          <w:shd w:val="clear" w:color="auto" w:fill="FFFFFF"/>
        </w:rPr>
        <w:t xml:space="preserve">ou seja, </w:t>
      </w:r>
      <w:r w:rsidR="00B722B3">
        <w:rPr>
          <w:color w:val="222222"/>
          <w:shd w:val="clear" w:color="auto" w:fill="FFFFFF"/>
        </w:rPr>
        <w:t>dois dias antes e dois depois d</w:t>
      </w:r>
      <w:r w:rsidR="001E7D08">
        <w:rPr>
          <w:color w:val="222222"/>
          <w:shd w:val="clear" w:color="auto" w:fill="FFFFFF"/>
        </w:rPr>
        <w:t>o anúncio d</w:t>
      </w:r>
      <w:r w:rsidR="00B722B3">
        <w:rPr>
          <w:color w:val="222222"/>
          <w:shd w:val="clear" w:color="auto" w:fill="FFFFFF"/>
        </w:rPr>
        <w:t xml:space="preserve">a fusão. </w:t>
      </w:r>
      <w:r w:rsidR="008F6927">
        <w:rPr>
          <w:color w:val="222222"/>
          <w:shd w:val="clear" w:color="auto" w:fill="FFFFFF"/>
        </w:rPr>
        <w:t>Também não foram consideradas as fusões em que</w:t>
      </w:r>
      <w:r w:rsidR="00755045">
        <w:rPr>
          <w:color w:val="222222"/>
          <w:shd w:val="clear" w:color="auto" w:fill="FFFFFF"/>
        </w:rPr>
        <w:t>,</w:t>
      </w:r>
      <w:r w:rsidR="008F6927">
        <w:rPr>
          <w:color w:val="222222"/>
          <w:shd w:val="clear" w:color="auto" w:fill="FFFFFF"/>
        </w:rPr>
        <w:t xml:space="preserve"> há época do evento</w:t>
      </w:r>
      <w:r w:rsidR="00755045">
        <w:rPr>
          <w:color w:val="222222"/>
          <w:shd w:val="clear" w:color="auto" w:fill="FFFFFF"/>
        </w:rPr>
        <w:t>,</w:t>
      </w:r>
      <w:r w:rsidR="008F6927">
        <w:rPr>
          <w:color w:val="222222"/>
          <w:shd w:val="clear" w:color="auto" w:fill="FFFFFF"/>
        </w:rPr>
        <w:t xml:space="preserve"> não </w:t>
      </w:r>
      <w:r>
        <w:rPr>
          <w:color w:val="222222"/>
          <w:shd w:val="clear" w:color="auto" w:fill="FFFFFF"/>
        </w:rPr>
        <w:t>possuíam</w:t>
      </w:r>
      <w:r w:rsidR="008F6927">
        <w:rPr>
          <w:color w:val="222222"/>
          <w:shd w:val="clear" w:color="auto" w:fill="FFFFFF"/>
        </w:rPr>
        <w:t xml:space="preserve"> rivais</w:t>
      </w:r>
      <w:r w:rsidR="0090703F">
        <w:rPr>
          <w:color w:val="222222"/>
          <w:shd w:val="clear" w:color="auto" w:fill="FFFFFF"/>
        </w:rPr>
        <w:t xml:space="preserve"> </w:t>
      </w:r>
      <w:r w:rsidR="008F6927">
        <w:rPr>
          <w:color w:val="222222"/>
          <w:shd w:val="clear" w:color="auto" w:fill="FFFFFF"/>
        </w:rPr>
        <w:t xml:space="preserve">com ações cotadas na </w:t>
      </w:r>
      <w:proofErr w:type="spellStart"/>
      <w:r w:rsidR="008F6927">
        <w:rPr>
          <w:color w:val="222222"/>
          <w:shd w:val="clear" w:color="auto" w:fill="FFFFFF"/>
        </w:rPr>
        <w:t>BM&amp;FBOVESPA</w:t>
      </w:r>
      <w:proofErr w:type="spellEnd"/>
      <w:r w:rsidR="008F6927">
        <w:rPr>
          <w:color w:val="222222"/>
          <w:shd w:val="clear" w:color="auto" w:fill="FFFFFF"/>
        </w:rPr>
        <w:t>.</w:t>
      </w:r>
    </w:p>
    <w:p w:rsidR="00121550" w:rsidRDefault="00845FC3" w:rsidP="00FA5866">
      <w:pPr>
        <w:spacing w:after="0" w:line="240" w:lineRule="auto"/>
        <w:rPr>
          <w:color w:val="222222"/>
          <w:shd w:val="clear" w:color="auto" w:fill="FFFFFF"/>
        </w:rPr>
      </w:pPr>
      <w:r>
        <w:rPr>
          <w:color w:val="222222"/>
          <w:shd w:val="clear" w:color="auto" w:fill="FFFFFF"/>
        </w:rPr>
        <w:t>Para a abordagem de estudo de eventos</w:t>
      </w:r>
      <w:r w:rsidR="00755045">
        <w:rPr>
          <w:color w:val="222222"/>
          <w:shd w:val="clear" w:color="auto" w:fill="FFFFFF"/>
        </w:rPr>
        <w:t>, utiliz</w:t>
      </w:r>
      <w:r w:rsidR="00BB53C6">
        <w:rPr>
          <w:color w:val="222222"/>
          <w:shd w:val="clear" w:color="auto" w:fill="FFFFFF"/>
        </w:rPr>
        <w:t>aram</w:t>
      </w:r>
      <w:r>
        <w:rPr>
          <w:color w:val="222222"/>
          <w:shd w:val="clear" w:color="auto" w:fill="FFFFFF"/>
        </w:rPr>
        <w:t>-se a</w:t>
      </w:r>
      <w:r w:rsidR="00271D53" w:rsidRPr="00845FC3">
        <w:rPr>
          <w:color w:val="222222"/>
          <w:shd w:val="clear" w:color="auto" w:fill="FFFFFF"/>
        </w:rPr>
        <w:t xml:space="preserve">s </w:t>
      </w:r>
      <w:r w:rsidRPr="00845FC3">
        <w:rPr>
          <w:color w:val="222222"/>
          <w:shd w:val="clear" w:color="auto" w:fill="FFFFFF"/>
        </w:rPr>
        <w:t>cotações</w:t>
      </w:r>
      <w:r w:rsidR="00121550">
        <w:rPr>
          <w:color w:val="222222"/>
          <w:shd w:val="clear" w:color="auto" w:fill="FFFFFF"/>
        </w:rPr>
        <w:t xml:space="preserve"> das empresas adquiridas, </w:t>
      </w:r>
      <w:r w:rsidR="00271D53" w:rsidRPr="00845FC3">
        <w:rPr>
          <w:color w:val="222222"/>
          <w:shd w:val="clear" w:color="auto" w:fill="FFFFFF"/>
        </w:rPr>
        <w:t xml:space="preserve">adquirentes </w:t>
      </w:r>
      <w:r w:rsidR="00512789">
        <w:rPr>
          <w:color w:val="222222"/>
          <w:shd w:val="clear" w:color="auto" w:fill="FFFFFF"/>
        </w:rPr>
        <w:t xml:space="preserve">e das firmas rivais </w:t>
      </w:r>
      <w:r w:rsidR="00271D53" w:rsidRPr="00845FC3">
        <w:rPr>
          <w:color w:val="222222"/>
          <w:shd w:val="clear" w:color="auto" w:fill="FFFFFF"/>
        </w:rPr>
        <w:t xml:space="preserve">ao </w:t>
      </w:r>
      <w:r w:rsidRPr="00845FC3">
        <w:rPr>
          <w:color w:val="222222"/>
          <w:shd w:val="clear" w:color="auto" w:fill="FFFFFF"/>
        </w:rPr>
        <w:t>redor</w:t>
      </w:r>
      <w:r>
        <w:rPr>
          <w:color w:val="222222"/>
          <w:shd w:val="clear" w:color="auto" w:fill="FFFFFF"/>
        </w:rPr>
        <w:t xml:space="preserve"> das datas dos anúncios</w:t>
      </w:r>
      <w:r w:rsidR="006373B0">
        <w:rPr>
          <w:rStyle w:val="Refdenotaderodap"/>
          <w:color w:val="222222"/>
          <w:shd w:val="clear" w:color="auto" w:fill="FFFFFF"/>
        </w:rPr>
        <w:footnoteReference w:id="14"/>
      </w:r>
      <w:r>
        <w:rPr>
          <w:color w:val="222222"/>
          <w:shd w:val="clear" w:color="auto" w:fill="FFFFFF"/>
        </w:rPr>
        <w:t xml:space="preserve"> das fusões </w:t>
      </w:r>
      <w:r w:rsidR="00271D53" w:rsidRPr="00845FC3">
        <w:rPr>
          <w:color w:val="222222"/>
          <w:shd w:val="clear" w:color="auto" w:fill="FFFFFF"/>
        </w:rPr>
        <w:t>(</w:t>
      </w:r>
      <w:r w:rsidR="005C2BC3">
        <w:rPr>
          <w:color w:val="222222"/>
          <w:shd w:val="clear" w:color="auto" w:fill="FFFFFF"/>
        </w:rPr>
        <w:t>utilizou-se</w:t>
      </w:r>
      <w:r>
        <w:rPr>
          <w:color w:val="222222"/>
          <w:shd w:val="clear" w:color="auto" w:fill="FFFFFF"/>
        </w:rPr>
        <w:t xml:space="preserve"> uma janela de </w:t>
      </w:r>
      <w:r w:rsidR="00032D48">
        <w:rPr>
          <w:color w:val="222222"/>
          <w:shd w:val="clear" w:color="auto" w:fill="FFFFFF"/>
        </w:rPr>
        <w:t>300</w:t>
      </w:r>
      <w:r w:rsidR="005C2BC3">
        <w:rPr>
          <w:color w:val="222222"/>
          <w:shd w:val="clear" w:color="auto" w:fill="FFFFFF"/>
        </w:rPr>
        <w:t xml:space="preserve"> pregõ</w:t>
      </w:r>
      <w:r w:rsidR="00271D53" w:rsidRPr="00845FC3">
        <w:rPr>
          <w:color w:val="222222"/>
          <w:shd w:val="clear" w:color="auto" w:fill="FFFFFF"/>
        </w:rPr>
        <w:t xml:space="preserve">es antes e </w:t>
      </w:r>
      <w:r>
        <w:rPr>
          <w:color w:val="222222"/>
          <w:shd w:val="clear" w:color="auto" w:fill="FFFFFF"/>
        </w:rPr>
        <w:t xml:space="preserve">100 pregões </w:t>
      </w:r>
      <w:r w:rsidR="00271D53" w:rsidRPr="00845FC3">
        <w:rPr>
          <w:color w:val="222222"/>
          <w:shd w:val="clear" w:color="auto" w:fill="FFFFFF"/>
        </w:rPr>
        <w:t>depois</w:t>
      </w:r>
      <w:r w:rsidR="00032D48">
        <w:rPr>
          <w:color w:val="222222"/>
          <w:shd w:val="clear" w:color="auto" w:fill="FFFFFF"/>
        </w:rPr>
        <w:t xml:space="preserve"> da data de anúncio de</w:t>
      </w:r>
      <w:r w:rsidR="005C2BC3">
        <w:rPr>
          <w:color w:val="222222"/>
          <w:shd w:val="clear" w:color="auto" w:fill="FFFFFF"/>
        </w:rPr>
        <w:t xml:space="preserve"> cada </w:t>
      </w:r>
      <w:r w:rsidR="00032D48">
        <w:rPr>
          <w:color w:val="222222"/>
          <w:shd w:val="clear" w:color="auto" w:fill="FFFFFF"/>
        </w:rPr>
        <w:t>fusão</w:t>
      </w:r>
      <w:r>
        <w:rPr>
          <w:color w:val="222222"/>
          <w:shd w:val="clear" w:color="auto" w:fill="FFFFFF"/>
        </w:rPr>
        <w:t>)</w:t>
      </w:r>
      <w:r w:rsidR="00121550">
        <w:rPr>
          <w:color w:val="222222"/>
          <w:shd w:val="clear" w:color="auto" w:fill="FFFFFF"/>
        </w:rPr>
        <w:t xml:space="preserve"> proveniente do banco de dados ECONOMÁTICA.</w:t>
      </w:r>
    </w:p>
    <w:p w:rsidR="006A3BA2" w:rsidRPr="00FA12FD" w:rsidRDefault="00121550" w:rsidP="00FA5866">
      <w:pPr>
        <w:spacing w:after="0" w:line="240" w:lineRule="auto"/>
        <w:rPr>
          <w:color w:val="222222"/>
          <w:shd w:val="clear" w:color="auto" w:fill="FFFFFF"/>
        </w:rPr>
      </w:pPr>
      <w:r>
        <w:rPr>
          <w:color w:val="222222"/>
          <w:shd w:val="clear" w:color="auto" w:fill="FFFFFF"/>
        </w:rPr>
        <w:t xml:space="preserve">Para a abordagem </w:t>
      </w:r>
      <w:r w:rsidR="00FD353C">
        <w:rPr>
          <w:i/>
          <w:color w:val="222222"/>
          <w:shd w:val="clear" w:color="auto" w:fill="FFFFFF"/>
        </w:rPr>
        <w:t>ex</w:t>
      </w:r>
      <w:r w:rsidR="0090703F">
        <w:rPr>
          <w:i/>
          <w:color w:val="222222"/>
          <w:shd w:val="clear" w:color="auto" w:fill="FFFFFF"/>
        </w:rPr>
        <w:t xml:space="preserve"> </w:t>
      </w:r>
      <w:proofErr w:type="spellStart"/>
      <w:r w:rsidRPr="00121550">
        <w:rPr>
          <w:i/>
          <w:color w:val="222222"/>
          <w:shd w:val="clear" w:color="auto" w:fill="FFFFFF"/>
        </w:rPr>
        <w:t>post</w:t>
      </w:r>
      <w:proofErr w:type="spellEnd"/>
      <w:r w:rsidR="0034787A">
        <w:rPr>
          <w:i/>
          <w:color w:val="222222"/>
          <w:shd w:val="clear" w:color="auto" w:fill="FFFFFF"/>
        </w:rPr>
        <w:t>,</w:t>
      </w:r>
      <w:r w:rsidR="0034787A">
        <w:rPr>
          <w:color w:val="222222"/>
          <w:shd w:val="clear" w:color="auto" w:fill="FFFFFF"/>
        </w:rPr>
        <w:t xml:space="preserve"> utilizaram-se</w:t>
      </w:r>
      <w:r>
        <w:rPr>
          <w:color w:val="222222"/>
          <w:shd w:val="clear" w:color="auto" w:fill="FFFFFF"/>
        </w:rPr>
        <w:t xml:space="preserve"> dados contábe</w:t>
      </w:r>
      <w:r w:rsidR="0034787A">
        <w:rPr>
          <w:color w:val="222222"/>
          <w:shd w:val="clear" w:color="auto" w:fill="FFFFFF"/>
        </w:rPr>
        <w:t xml:space="preserve">is da base de dados ECONOMÁTICA, na qual foram </w:t>
      </w:r>
      <w:r>
        <w:rPr>
          <w:color w:val="222222"/>
          <w:shd w:val="clear" w:color="auto" w:fill="FFFFFF"/>
        </w:rPr>
        <w:t xml:space="preserve">coletados o Ativo </w:t>
      </w:r>
      <w:r w:rsidR="0034787A">
        <w:rPr>
          <w:color w:val="222222"/>
          <w:shd w:val="clear" w:color="auto" w:fill="FFFFFF"/>
        </w:rPr>
        <w:t>T</w:t>
      </w:r>
      <w:r>
        <w:rPr>
          <w:color w:val="222222"/>
          <w:shd w:val="clear" w:color="auto" w:fill="FFFFFF"/>
        </w:rPr>
        <w:t>otal</w:t>
      </w:r>
      <w:r w:rsidR="006373B0">
        <w:rPr>
          <w:rStyle w:val="Refdenotaderodap"/>
          <w:color w:val="222222"/>
          <w:shd w:val="clear" w:color="auto" w:fill="FFFFFF"/>
        </w:rPr>
        <w:footnoteReference w:id="15"/>
      </w:r>
      <w:proofErr w:type="gramStart"/>
      <w:r>
        <w:rPr>
          <w:color w:val="222222"/>
          <w:shd w:val="clear" w:color="auto" w:fill="FFFFFF"/>
        </w:rPr>
        <w:t>,</w:t>
      </w:r>
      <w:proofErr w:type="gramEnd"/>
      <w:r w:rsidR="00222032">
        <w:rPr>
          <w:color w:val="222222"/>
          <w:shd w:val="clear" w:color="auto" w:fill="FFFFFF"/>
        </w:rPr>
        <w:t>o Lucro Líquido no exercício</w:t>
      </w:r>
      <w:r w:rsidR="00222032">
        <w:rPr>
          <w:rStyle w:val="Refdenotaderodap"/>
          <w:color w:val="222222"/>
          <w:shd w:val="clear" w:color="auto" w:fill="FFFFFF"/>
        </w:rPr>
        <w:footnoteReference w:id="16"/>
      </w:r>
      <w:r w:rsidR="00222032">
        <w:rPr>
          <w:color w:val="222222"/>
          <w:shd w:val="clear" w:color="auto" w:fill="FFFFFF"/>
        </w:rPr>
        <w:t xml:space="preserve"> e o </w:t>
      </w:r>
      <w:r w:rsidRPr="00845FC3">
        <w:rPr>
          <w:color w:val="222222"/>
          <w:shd w:val="clear" w:color="auto" w:fill="FFFFFF"/>
        </w:rPr>
        <w:t>V</w:t>
      </w:r>
      <w:r>
        <w:rPr>
          <w:color w:val="222222"/>
          <w:shd w:val="clear" w:color="auto" w:fill="FFFFFF"/>
        </w:rPr>
        <w:t>alor de Mercado</w:t>
      </w:r>
      <w:r w:rsidR="00FD62A4">
        <w:rPr>
          <w:rStyle w:val="Refdenotaderodap"/>
          <w:color w:val="222222"/>
          <w:shd w:val="clear" w:color="auto" w:fill="FFFFFF"/>
        </w:rPr>
        <w:footnoteReference w:id="17"/>
      </w:r>
      <w:r>
        <w:rPr>
          <w:color w:val="222222"/>
          <w:shd w:val="clear" w:color="auto" w:fill="FFFFFF"/>
        </w:rPr>
        <w:t xml:space="preserve"> para</w:t>
      </w:r>
      <w:r w:rsidR="0090703F">
        <w:rPr>
          <w:color w:val="222222"/>
          <w:shd w:val="clear" w:color="auto" w:fill="FFFFFF"/>
        </w:rPr>
        <w:t xml:space="preserve"> </w:t>
      </w:r>
      <w:r w:rsidR="00271D53" w:rsidRPr="00845FC3">
        <w:rPr>
          <w:color w:val="222222"/>
          <w:shd w:val="clear" w:color="auto" w:fill="FFFFFF"/>
        </w:rPr>
        <w:t xml:space="preserve">as </w:t>
      </w:r>
      <w:r>
        <w:rPr>
          <w:color w:val="222222"/>
          <w:shd w:val="clear" w:color="auto" w:fill="FFFFFF"/>
        </w:rPr>
        <w:t xml:space="preserve">firmas </w:t>
      </w:r>
      <w:r w:rsidR="00271D53" w:rsidRPr="00845FC3">
        <w:rPr>
          <w:color w:val="222222"/>
          <w:shd w:val="clear" w:color="auto" w:fill="FFFFFF"/>
        </w:rPr>
        <w:t>fusionadas e para as rivais</w:t>
      </w:r>
      <w:r>
        <w:rPr>
          <w:color w:val="222222"/>
          <w:shd w:val="clear" w:color="auto" w:fill="FFFFFF"/>
        </w:rPr>
        <w:t xml:space="preserve"> em uma janela de 4 trimestres antes e</w:t>
      </w:r>
      <w:r w:rsidR="00B722B3">
        <w:rPr>
          <w:color w:val="222222"/>
          <w:shd w:val="clear" w:color="auto" w:fill="FFFFFF"/>
        </w:rPr>
        <w:t xml:space="preserve"> até</w:t>
      </w:r>
      <w:r w:rsidR="0090703F">
        <w:rPr>
          <w:color w:val="222222"/>
          <w:shd w:val="clear" w:color="auto" w:fill="FFFFFF"/>
        </w:rPr>
        <w:t xml:space="preserve"> </w:t>
      </w:r>
      <w:r w:rsidR="00B722B3">
        <w:rPr>
          <w:color w:val="222222"/>
          <w:shd w:val="clear" w:color="auto" w:fill="FFFFFF"/>
        </w:rPr>
        <w:t>16</w:t>
      </w:r>
      <w:r>
        <w:rPr>
          <w:color w:val="222222"/>
          <w:shd w:val="clear" w:color="auto" w:fill="FFFFFF"/>
        </w:rPr>
        <w:t xml:space="preserve"> trimestres depois do anúncio da fusão.</w:t>
      </w:r>
      <w:r w:rsidR="0090703F">
        <w:rPr>
          <w:color w:val="222222"/>
          <w:shd w:val="clear" w:color="auto" w:fill="FFFFFF"/>
        </w:rPr>
        <w:t xml:space="preserve"> </w:t>
      </w:r>
      <w:r w:rsidR="008F6927">
        <w:rPr>
          <w:color w:val="222222"/>
          <w:shd w:val="clear" w:color="auto" w:fill="FFFFFF"/>
        </w:rPr>
        <w:t>De modo a possibilitar a comparação entre as metodologias</w:t>
      </w:r>
      <w:r w:rsidR="0090703F">
        <w:rPr>
          <w:color w:val="222222"/>
          <w:shd w:val="clear" w:color="auto" w:fill="FFFFFF"/>
        </w:rPr>
        <w:t xml:space="preserve"> </w:t>
      </w:r>
      <w:r w:rsidR="0034787A" w:rsidRPr="0034787A">
        <w:rPr>
          <w:i/>
          <w:color w:val="222222"/>
          <w:shd w:val="clear" w:color="auto" w:fill="FFFFFF"/>
        </w:rPr>
        <w:t>ex ante</w:t>
      </w:r>
      <w:r w:rsidR="0034787A">
        <w:rPr>
          <w:color w:val="222222"/>
          <w:shd w:val="clear" w:color="auto" w:fill="FFFFFF"/>
        </w:rPr>
        <w:t xml:space="preserve"> e </w:t>
      </w:r>
      <w:r w:rsidR="0034787A" w:rsidRPr="0034787A">
        <w:rPr>
          <w:i/>
          <w:color w:val="222222"/>
          <w:shd w:val="clear" w:color="auto" w:fill="FFFFFF"/>
        </w:rPr>
        <w:t xml:space="preserve">ex </w:t>
      </w:r>
      <w:proofErr w:type="spellStart"/>
      <w:r w:rsidR="0034787A" w:rsidRPr="0034787A">
        <w:rPr>
          <w:i/>
          <w:color w:val="222222"/>
          <w:shd w:val="clear" w:color="auto" w:fill="FFFFFF"/>
        </w:rPr>
        <w:t>post</w:t>
      </w:r>
      <w:proofErr w:type="spellEnd"/>
      <w:r w:rsidR="0034787A">
        <w:rPr>
          <w:i/>
          <w:color w:val="222222"/>
          <w:shd w:val="clear" w:color="auto" w:fill="FFFFFF"/>
        </w:rPr>
        <w:t>,</w:t>
      </w:r>
      <w:r w:rsidR="008F6927">
        <w:rPr>
          <w:color w:val="222222"/>
          <w:shd w:val="clear" w:color="auto" w:fill="FFFFFF"/>
        </w:rPr>
        <w:t xml:space="preserve"> foram retiradas </w:t>
      </w:r>
      <w:r w:rsidR="0034787A">
        <w:rPr>
          <w:color w:val="222222"/>
          <w:shd w:val="clear" w:color="auto" w:fill="FFFFFF"/>
        </w:rPr>
        <w:t xml:space="preserve">da amostra </w:t>
      </w:r>
      <w:r w:rsidR="008F6927">
        <w:rPr>
          <w:color w:val="222222"/>
          <w:shd w:val="clear" w:color="auto" w:fill="FFFFFF"/>
        </w:rPr>
        <w:t>as firmas que não possuí</w:t>
      </w:r>
      <w:r w:rsidR="0034787A">
        <w:rPr>
          <w:color w:val="222222"/>
          <w:shd w:val="clear" w:color="auto" w:fill="FFFFFF"/>
        </w:rPr>
        <w:t>a</w:t>
      </w:r>
      <w:r w:rsidR="008F6927">
        <w:rPr>
          <w:color w:val="222222"/>
          <w:shd w:val="clear" w:color="auto" w:fill="FFFFFF"/>
        </w:rPr>
        <w:t>m dados contábeis suficientes para a previsão de pelo menos dois trimestres após a fusão</w:t>
      </w:r>
      <w:r w:rsidR="0034787A">
        <w:rPr>
          <w:color w:val="222222"/>
          <w:shd w:val="clear" w:color="auto" w:fill="FFFFFF"/>
        </w:rPr>
        <w:t>.</w:t>
      </w:r>
    </w:p>
    <w:p w:rsidR="00DC173F" w:rsidRPr="00776F62" w:rsidRDefault="00DC173F" w:rsidP="00DF67CC">
      <w:pPr>
        <w:spacing w:after="0" w:line="240" w:lineRule="auto"/>
        <w:rPr>
          <w:rFonts w:eastAsiaTheme="minorEastAsia"/>
        </w:rPr>
      </w:pPr>
      <w:r w:rsidRPr="00776F62">
        <w:rPr>
          <w:rFonts w:eastAsiaTheme="minorEastAsia"/>
        </w:rPr>
        <w:t>Para estudar a reação dos preços das ações ao an</w:t>
      </w:r>
      <w:r w:rsidR="009B5797">
        <w:rPr>
          <w:rFonts w:eastAsiaTheme="minorEastAsia"/>
        </w:rPr>
        <w:t>ú</w:t>
      </w:r>
      <w:r w:rsidR="00226A76">
        <w:rPr>
          <w:rFonts w:eastAsiaTheme="minorEastAsia"/>
        </w:rPr>
        <w:t>ncio da fusão, foram</w:t>
      </w:r>
      <w:r w:rsidRPr="00776F62">
        <w:rPr>
          <w:rFonts w:eastAsiaTheme="minorEastAsia"/>
        </w:rPr>
        <w:t xml:space="preserve"> estimados os retornos “normais” para cada firma utilizando uma janela de 240 dias de negociações, começando 60 dias antes do anúncio da fusão e utilizando o método de Scholes e Williams (1977)</w:t>
      </w:r>
      <w:r>
        <w:rPr>
          <w:rFonts w:eastAsiaTheme="minorEastAsia"/>
        </w:rPr>
        <w:t xml:space="preserve"> e de Mínimos Quadrados Ordinários (MQO)</w:t>
      </w:r>
      <w:r w:rsidR="00F40332">
        <w:rPr>
          <w:rFonts w:eastAsiaTheme="minorEastAsia"/>
        </w:rPr>
        <w:t xml:space="preserve"> para obtenção dos parâmetros do modelo</w:t>
      </w:r>
      <w:r w:rsidR="00E5455D">
        <w:rPr>
          <w:rFonts w:eastAsiaTheme="minorEastAsia"/>
        </w:rPr>
        <w:t>.</w:t>
      </w:r>
      <w:r w:rsidR="00F40332">
        <w:rPr>
          <w:rFonts w:eastAsiaTheme="minorEastAsia"/>
        </w:rPr>
        <w:t xml:space="preserve"> Os</w:t>
      </w:r>
      <w:r w:rsidRPr="00776F62">
        <w:rPr>
          <w:rFonts w:eastAsiaTheme="minorEastAsia"/>
        </w:rPr>
        <w:t xml:space="preserve"> valores estimados para os parâmetros dos modelos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i</m:t>
            </m:r>
          </m:sub>
        </m:sSub>
        <m:r>
          <w:rPr>
            <w:rFonts w:ascii="Cambria Math" w:eastAsiaTheme="minorEastAsia" w:hAnsi="Cambria Math"/>
          </w:rPr>
          <m:t xml:space="preserve"> </m:t>
        </m:r>
      </m:oMath>
      <w:r w:rsidRPr="00776F62">
        <w:rPr>
          <w:rFonts w:eastAsiaTheme="minorEastAsia"/>
        </w:rPr>
        <w:t xml:space="preserve">e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i</m:t>
            </m:r>
          </m:sub>
        </m:sSub>
      </m:oMath>
      <w:r w:rsidRPr="00776F62">
        <w:rPr>
          <w:rFonts w:eastAsiaTheme="minorEastAsia"/>
        </w:rPr>
        <w:t xml:space="preserve"> são usados </w:t>
      </w:r>
      <w:r w:rsidR="00F40332">
        <w:rPr>
          <w:rFonts w:eastAsiaTheme="minorEastAsia"/>
        </w:rPr>
        <w:t>para gerar o contra</w:t>
      </w:r>
      <w:r w:rsidR="00E5455D">
        <w:rPr>
          <w:rFonts w:eastAsiaTheme="minorEastAsia"/>
        </w:rPr>
        <w:t>factual, ou seja,</w:t>
      </w:r>
      <w:r w:rsidRPr="00776F62">
        <w:rPr>
          <w:rFonts w:eastAsiaTheme="minorEastAsia"/>
        </w:rPr>
        <w:t xml:space="preserve"> para prever como os preços das ações teriam se comportado caso a fusão não tivesse </w:t>
      </w:r>
      <w:r w:rsidR="001E7D08">
        <w:rPr>
          <w:rFonts w:eastAsiaTheme="minorEastAsia"/>
        </w:rPr>
        <w:t xml:space="preserve">sido </w:t>
      </w:r>
      <w:proofErr w:type="gramStart"/>
      <w:r w:rsidR="001E7D08">
        <w:rPr>
          <w:rFonts w:eastAsiaTheme="minorEastAsia"/>
        </w:rPr>
        <w:t>anunciada</w:t>
      </w:r>
      <m:oMath>
        <m:r>
          <w:rPr>
            <w:rFonts w:ascii="Cambria Math" w:eastAsiaTheme="minorEastAsia"/>
          </w:rPr>
          <m:t>(</m:t>
        </m:r>
        <w:proofErr w:type="gramEnd"/>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it</m:t>
            </m:r>
          </m:sub>
        </m:sSub>
        <m:r>
          <w:rPr>
            <w:rFonts w:ascii="Cambria Math" w:eastAsiaTheme="minorEastAsia"/>
          </w:rPr>
          <m:t>)</m:t>
        </m:r>
      </m:oMath>
      <w:r w:rsidRPr="00776F62">
        <w:rPr>
          <w:rFonts w:eastAsiaTheme="minorEastAsia"/>
        </w:rPr>
        <w:t>.</w:t>
      </w:r>
      <w:r>
        <w:rPr>
          <w:rFonts w:eastAsiaTheme="minorEastAsia"/>
        </w:rPr>
        <w:t xml:space="preserve"> Assim, p</w:t>
      </w:r>
      <w:r w:rsidRPr="00776F62">
        <w:rPr>
          <w:rFonts w:eastAsiaTheme="minorEastAsia"/>
        </w:rPr>
        <w:t xml:space="preserve">ara cada firma </w:t>
      </w:r>
      <m:oMath>
        <m:r>
          <w:rPr>
            <w:rFonts w:ascii="Cambria Math" w:eastAsiaTheme="minorEastAsia" w:hAnsi="Cambria Math"/>
          </w:rPr>
          <m:t>i</m:t>
        </m:r>
      </m:oMath>
      <w:r w:rsidRPr="00776F62">
        <w:rPr>
          <w:rFonts w:eastAsiaTheme="minorEastAsia"/>
        </w:rPr>
        <w:t>, são ca</w:t>
      </w:r>
      <w:proofErr w:type="spellStart"/>
      <w:r w:rsidR="00E5455D">
        <w:rPr>
          <w:rFonts w:eastAsiaTheme="minorEastAsia"/>
        </w:rPr>
        <w:t>lculados</w:t>
      </w:r>
      <w:proofErr w:type="spellEnd"/>
      <w:r w:rsidR="00E5455D">
        <w:rPr>
          <w:rFonts w:eastAsiaTheme="minorEastAsia"/>
        </w:rPr>
        <w:t xml:space="preserve"> os retornos anormais em </w:t>
      </w:r>
      <w:r w:rsidRPr="00776F62">
        <w:rPr>
          <w:rFonts w:eastAsiaTheme="minorEastAsia"/>
        </w:rPr>
        <w:t xml:space="preserve">torno do dia do anúncio da </w:t>
      </w:r>
      <w:r w:rsidR="00C44CC6" w:rsidRPr="00776F62">
        <w:rPr>
          <w:rFonts w:eastAsiaTheme="minorEastAsia"/>
        </w:rPr>
        <w:t>fusão</w:t>
      </w:r>
      <m:oMath>
        <m:d>
          <m:dPr>
            <m:ctrlPr>
              <w:rPr>
                <w:rFonts w:ascii="Cambria Math" w:eastAsiaTheme="minorEastAsia" w:hAnsi="Cambria Math"/>
                <w:i/>
              </w:rPr>
            </m:ctrlPr>
          </m:dPr>
          <m:e>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it</m:t>
                </m:r>
              </m:sub>
            </m:sSub>
          </m:e>
        </m:d>
      </m:oMath>
      <w:r w:rsidRPr="00776F62">
        <w:rPr>
          <w:rFonts w:eastAsiaTheme="minorEastAsia"/>
        </w:rPr>
        <w:t xml:space="preserve"> como</w:t>
      </w:r>
      <w:r>
        <w:rPr>
          <w:rFonts w:eastAsiaTheme="minorEastAsia"/>
        </w:rPr>
        <w:t xml:space="preserve"> </w:t>
      </w:r>
      <w:r w:rsidR="00DF67CC">
        <w:rPr>
          <w:rFonts w:eastAsiaTheme="minorEastAsia"/>
        </w:rPr>
        <w:t>na Eq. (1).</w:t>
      </w:r>
    </w:p>
    <w:p w:rsidR="00DC173F" w:rsidRDefault="00DC173F" w:rsidP="00DF67CC">
      <w:pPr>
        <w:spacing w:after="0" w:line="240" w:lineRule="auto"/>
        <w:rPr>
          <w:rFonts w:eastAsiaTheme="minorEastAsia"/>
        </w:rPr>
      </w:pPr>
      <w:r w:rsidRPr="00776F62">
        <w:rPr>
          <w:rFonts w:eastAsiaTheme="minorEastAsia"/>
        </w:rPr>
        <w:lastRenderedPageBreak/>
        <w:t xml:space="preserve">Como podem </w:t>
      </w:r>
      <w:r>
        <w:rPr>
          <w:rFonts w:eastAsiaTheme="minorEastAsia"/>
        </w:rPr>
        <w:t xml:space="preserve">ocorrer </w:t>
      </w:r>
      <w:r w:rsidRPr="00776F62">
        <w:rPr>
          <w:rFonts w:eastAsiaTheme="minorEastAsia"/>
        </w:rPr>
        <w:t xml:space="preserve">vazamentos de informação, </w:t>
      </w:r>
      <w:r w:rsidR="00E5455D">
        <w:rPr>
          <w:rFonts w:eastAsiaTheme="minorEastAsia"/>
        </w:rPr>
        <w:t>capazes de influenciar</w:t>
      </w:r>
      <w:r w:rsidRPr="00776F62">
        <w:rPr>
          <w:rFonts w:eastAsiaTheme="minorEastAsia"/>
        </w:rPr>
        <w:t xml:space="preserve"> os retornos da firma </w:t>
      </w:r>
      <m:oMath>
        <m:r>
          <w:rPr>
            <w:rFonts w:ascii="Cambria Math" w:eastAsiaTheme="minorEastAsia" w:hAnsi="Cambria Math"/>
          </w:rPr>
          <m:t>i</m:t>
        </m:r>
      </m:oMath>
      <w:r w:rsidRPr="00776F62">
        <w:rPr>
          <w:rFonts w:eastAsiaTheme="minorEastAsia"/>
        </w:rPr>
        <w:t xml:space="preserve"> an</w:t>
      </w:r>
      <w:proofErr w:type="spellStart"/>
      <w:r w:rsidR="0002107F">
        <w:rPr>
          <w:rFonts w:eastAsiaTheme="minorEastAsia"/>
        </w:rPr>
        <w:t>tes</w:t>
      </w:r>
      <w:proofErr w:type="spellEnd"/>
      <w:r w:rsidR="00E5455D">
        <w:rPr>
          <w:rFonts w:eastAsiaTheme="minorEastAsia"/>
        </w:rPr>
        <w:t xml:space="preserve"> do anúncio, define</w:t>
      </w:r>
      <w:r w:rsidRPr="00776F62">
        <w:rPr>
          <w:rFonts w:eastAsiaTheme="minorEastAsia"/>
        </w:rPr>
        <w:t>-se o efeito total de avaliação da firma como a soma dos retornos anormais diários dentro da janela do evento</w:t>
      </w:r>
      <w:r w:rsidR="00E5455D">
        <w:rPr>
          <w:rFonts w:eastAsiaTheme="minorEastAsia"/>
        </w:rPr>
        <w:t>,</w:t>
      </w:r>
      <w:r w:rsidRPr="00776F62">
        <w:rPr>
          <w:rFonts w:eastAsiaTheme="minorEastAsia"/>
        </w:rPr>
        <w:t xml:space="preserve"> abrangendo de </w:t>
      </w:r>
      <m:oMath>
        <m:r>
          <w:rPr>
            <w:rFonts w:ascii="Cambria Math" w:eastAsiaTheme="minorEastAsia" w:hAnsi="Cambria Math"/>
          </w:rPr>
          <m:t>m</m:t>
        </m:r>
      </m:oMath>
      <w:r w:rsidRPr="00776F62">
        <w:rPr>
          <w:rFonts w:eastAsiaTheme="minorEastAsia"/>
        </w:rPr>
        <w:t xml:space="preserve"> dias antes do evento a </w:t>
      </w:r>
      <m:oMath>
        <m:r>
          <w:rPr>
            <w:rFonts w:ascii="Cambria Math" w:eastAsiaTheme="minorEastAsia" w:hAnsi="Cambria Math"/>
          </w:rPr>
          <m:t xml:space="preserve">n </m:t>
        </m:r>
      </m:oMath>
      <w:r w:rsidRPr="00776F62">
        <w:rPr>
          <w:rFonts w:eastAsiaTheme="minorEastAsia"/>
        </w:rPr>
        <w:t>dias depois</w:t>
      </w:r>
      <w:r w:rsidR="00DF67CC">
        <w:rPr>
          <w:rFonts w:eastAsiaTheme="minorEastAsia"/>
        </w:rPr>
        <w:t>, conforme Eq. (2).</w:t>
      </w:r>
    </w:p>
    <w:p w:rsidR="001B5842" w:rsidRPr="00776F62" w:rsidRDefault="001B5842" w:rsidP="00FA5866">
      <w:pPr>
        <w:spacing w:after="0" w:line="240" w:lineRule="auto"/>
        <w:rPr>
          <w:rFonts w:eastAsiaTheme="minorEastAsia"/>
        </w:rPr>
      </w:pPr>
      <w:r>
        <w:rPr>
          <w:rFonts w:eastAsiaTheme="minorEastAsia"/>
        </w:rPr>
        <w:t>Nas janelas de curto prazo, utiliz</w:t>
      </w:r>
      <w:r w:rsidR="0002107F">
        <w:rPr>
          <w:rFonts w:eastAsiaTheme="minorEastAsia"/>
        </w:rPr>
        <w:t>aram</w:t>
      </w:r>
      <w:r>
        <w:rPr>
          <w:rFonts w:eastAsiaTheme="minorEastAsia"/>
        </w:rPr>
        <w:t>-se quatro janelas distintas ao redor da data de anúncio do evento: (2,2</w:t>
      </w:r>
      <w:proofErr w:type="gramStart"/>
      <w:r>
        <w:rPr>
          <w:rFonts w:eastAsiaTheme="minorEastAsia"/>
        </w:rPr>
        <w:t>) ,</w:t>
      </w:r>
      <w:proofErr w:type="gramEnd"/>
      <w:r>
        <w:rPr>
          <w:rFonts w:eastAsiaTheme="minorEastAsia"/>
        </w:rPr>
        <w:t xml:space="preserve"> (5,5) , (25,5), (50,5). Em que o primeiro número representa</w:t>
      </w:r>
      <w:proofErr w:type="gramStart"/>
      <w:r>
        <w:rPr>
          <w:rFonts w:eastAsiaTheme="minorEastAsia"/>
        </w:rPr>
        <w:t xml:space="preserve">  </w:t>
      </w:r>
      <w:proofErr w:type="gramEnd"/>
      <w:r>
        <w:rPr>
          <w:rFonts w:eastAsiaTheme="minorEastAsia"/>
        </w:rPr>
        <w:t xml:space="preserve">os dias anteriores </w:t>
      </w:r>
      <w:r w:rsidR="0002107F">
        <w:rPr>
          <w:rFonts w:eastAsiaTheme="minorEastAsia"/>
        </w:rPr>
        <w:t>à</w:t>
      </w:r>
      <w:r>
        <w:rPr>
          <w:rFonts w:eastAsiaTheme="minorEastAsia"/>
        </w:rPr>
        <w:t xml:space="preserve"> data de anúncio e o segundo os dias posteriores.</w:t>
      </w:r>
      <w:r w:rsidR="00BD11B5">
        <w:rPr>
          <w:rFonts w:eastAsiaTheme="minorEastAsia"/>
        </w:rPr>
        <w:t xml:space="preserve"> </w:t>
      </w:r>
      <w:r w:rsidR="005B7F96" w:rsidRPr="0002107F">
        <w:rPr>
          <w:rFonts w:eastAsiaTheme="minorEastAsia"/>
        </w:rPr>
        <w:t>Assim</w:t>
      </w:r>
      <w:r w:rsidR="00BD11B5" w:rsidRPr="0002107F">
        <w:rPr>
          <w:rFonts w:eastAsiaTheme="minorEastAsia"/>
        </w:rPr>
        <w:t xml:space="preserve"> como</w:t>
      </w:r>
      <w:r w:rsidR="0002107F" w:rsidRPr="0002107F">
        <w:rPr>
          <w:rFonts w:eastAsiaTheme="minorEastAsia"/>
        </w:rPr>
        <w:t xml:space="preserve"> em</w:t>
      </w:r>
      <w:r w:rsidR="00BD11B5" w:rsidRPr="0002107F">
        <w:rPr>
          <w:rFonts w:eastAsiaTheme="minorEastAsia"/>
        </w:rPr>
        <w:t xml:space="preserve"> </w:t>
      </w:r>
      <w:proofErr w:type="spellStart"/>
      <w:r w:rsidR="00BD11B5" w:rsidRPr="0002107F">
        <w:rPr>
          <w:rFonts w:eastAsiaTheme="minorEastAsia"/>
        </w:rPr>
        <w:t>Minardi</w:t>
      </w:r>
      <w:proofErr w:type="spellEnd"/>
      <w:r w:rsidR="00BD11B5" w:rsidRPr="0002107F">
        <w:rPr>
          <w:rFonts w:eastAsiaTheme="minorEastAsia"/>
        </w:rPr>
        <w:t xml:space="preserve"> (2010)</w:t>
      </w:r>
      <w:r w:rsidR="0002107F" w:rsidRPr="0002107F">
        <w:rPr>
          <w:rFonts w:eastAsiaTheme="minorEastAsia"/>
        </w:rPr>
        <w:t>,</w:t>
      </w:r>
      <w:r w:rsidR="00BD11B5" w:rsidRPr="0002107F">
        <w:rPr>
          <w:rFonts w:eastAsiaTheme="minorEastAsia"/>
        </w:rPr>
        <w:t xml:space="preserve"> foram testados </w:t>
      </w:r>
      <w:r w:rsidR="0002107F" w:rsidRPr="0002107F">
        <w:rPr>
          <w:rFonts w:eastAsiaTheme="minorEastAsia"/>
        </w:rPr>
        <w:t xml:space="preserve">também </w:t>
      </w:r>
      <w:r w:rsidR="005B7F96" w:rsidRPr="0002107F">
        <w:rPr>
          <w:rFonts w:eastAsiaTheme="minorEastAsia"/>
        </w:rPr>
        <w:t xml:space="preserve">os efeitos de longo prazo das fusões. </w:t>
      </w:r>
      <w:r w:rsidRPr="0002107F">
        <w:rPr>
          <w:rFonts w:eastAsiaTheme="minorEastAsia"/>
        </w:rPr>
        <w:t>Para a análise de longo prazo, f</w:t>
      </w:r>
      <w:r w:rsidR="005B7F96" w:rsidRPr="0002107F">
        <w:rPr>
          <w:rFonts w:eastAsiaTheme="minorEastAsia"/>
        </w:rPr>
        <w:t>oram utilizadas três janelas de eventos de 244, 488 e 732</w:t>
      </w:r>
      <w:proofErr w:type="gramStart"/>
      <w:r w:rsidR="005B7F96" w:rsidRPr="0002107F">
        <w:rPr>
          <w:rFonts w:eastAsiaTheme="minorEastAsia"/>
        </w:rPr>
        <w:t xml:space="preserve">  </w:t>
      </w:r>
      <w:proofErr w:type="gramEnd"/>
      <w:r w:rsidR="005B7F96" w:rsidRPr="0002107F">
        <w:rPr>
          <w:rFonts w:eastAsiaTheme="minorEastAsia"/>
        </w:rPr>
        <w:t>pregões posteriores,  que  representam respectivamente 1, 2 e 3 anos após o anúncio da operação.</w:t>
      </w:r>
      <w:r w:rsidR="00BD11B5">
        <w:rPr>
          <w:rFonts w:eastAsiaTheme="minorEastAsia"/>
        </w:rPr>
        <w:t xml:space="preserve"> </w:t>
      </w:r>
    </w:p>
    <w:p w:rsidR="00DC173F" w:rsidRPr="00776F62" w:rsidRDefault="00DC173F" w:rsidP="00FA5866">
      <w:pPr>
        <w:spacing w:after="0" w:line="240" w:lineRule="auto"/>
        <w:rPr>
          <w:rFonts w:eastAsiaTheme="minorEastAsia"/>
        </w:rPr>
      </w:pPr>
      <w:r w:rsidRPr="00776F62">
        <w:rPr>
          <w:rFonts w:eastAsiaTheme="minorEastAsia"/>
        </w:rPr>
        <w:t xml:space="preserve">Como </w:t>
      </w:r>
      <w:r w:rsidR="00E5455D">
        <w:rPr>
          <w:rFonts w:eastAsiaTheme="minorEastAsia"/>
        </w:rPr>
        <w:t>se pretendeu</w:t>
      </w:r>
      <w:r w:rsidRPr="00776F62">
        <w:rPr>
          <w:rFonts w:eastAsiaTheme="minorEastAsia"/>
        </w:rPr>
        <w:t xml:space="preserve"> analisar o poder da metodologia de estudo de eventos em </w:t>
      </w:r>
      <w:r w:rsidR="00E5455D">
        <w:rPr>
          <w:rFonts w:eastAsiaTheme="minorEastAsia"/>
        </w:rPr>
        <w:t>antecipar</w:t>
      </w:r>
      <w:r w:rsidRPr="00776F62">
        <w:rPr>
          <w:rFonts w:eastAsiaTheme="minorEastAsia"/>
        </w:rPr>
        <w:t xml:space="preserve"> a lucratividade </w:t>
      </w:r>
      <w:r w:rsidR="00FD353C">
        <w:rPr>
          <w:rFonts w:eastAsiaTheme="minorEastAsia"/>
          <w:i/>
        </w:rPr>
        <w:t>ex</w:t>
      </w:r>
      <w:r w:rsidR="00BD11B5">
        <w:rPr>
          <w:rFonts w:eastAsiaTheme="minorEastAsia"/>
          <w:i/>
        </w:rPr>
        <w:t xml:space="preserve"> </w:t>
      </w:r>
      <w:proofErr w:type="spellStart"/>
      <w:r w:rsidRPr="00FD353C">
        <w:rPr>
          <w:rFonts w:eastAsiaTheme="minorEastAsia"/>
          <w:i/>
        </w:rPr>
        <w:t>post</w:t>
      </w:r>
      <w:proofErr w:type="spellEnd"/>
      <w:r w:rsidR="00BD11B5">
        <w:rPr>
          <w:rFonts w:eastAsiaTheme="minorEastAsia"/>
          <w:i/>
        </w:rPr>
        <w:t xml:space="preserve"> </w:t>
      </w:r>
      <w:r w:rsidR="00E5455D">
        <w:rPr>
          <w:rFonts w:eastAsiaTheme="minorEastAsia"/>
        </w:rPr>
        <w:t>da fusão</w:t>
      </w:r>
      <w:r w:rsidRPr="00776F62">
        <w:rPr>
          <w:rFonts w:eastAsiaTheme="minorEastAsia"/>
        </w:rPr>
        <w:t xml:space="preserve"> e porque os efeitos </w:t>
      </w:r>
      <w:r w:rsidR="00FD353C">
        <w:rPr>
          <w:rFonts w:eastAsiaTheme="minorEastAsia"/>
          <w:i/>
        </w:rPr>
        <w:t>ex</w:t>
      </w:r>
      <w:r w:rsidR="0002107F">
        <w:rPr>
          <w:rFonts w:eastAsiaTheme="minorEastAsia"/>
          <w:i/>
        </w:rPr>
        <w:t xml:space="preserve"> </w:t>
      </w:r>
      <w:proofErr w:type="spellStart"/>
      <w:r w:rsidRPr="00FD353C">
        <w:rPr>
          <w:rFonts w:eastAsiaTheme="minorEastAsia"/>
          <w:i/>
        </w:rPr>
        <w:t>post</w:t>
      </w:r>
      <w:proofErr w:type="spellEnd"/>
      <w:r w:rsidRPr="00776F62">
        <w:rPr>
          <w:rFonts w:eastAsiaTheme="minorEastAsia"/>
        </w:rPr>
        <w:t xml:space="preserve"> nos lucros geralmente são expressos na forma de </w:t>
      </w:r>
      <w:r w:rsidR="00E5455D">
        <w:rPr>
          <w:rFonts w:eastAsiaTheme="minorEastAsia"/>
        </w:rPr>
        <w:t>unidades monetárias</w:t>
      </w:r>
      <w:r w:rsidRPr="00776F62">
        <w:rPr>
          <w:rFonts w:eastAsiaTheme="minorEastAsia"/>
        </w:rPr>
        <w:t xml:space="preserve">, são gerados os retornos anormais acumulados em termos dos valores das firmas </w:t>
      </w:r>
      <m:oMath>
        <m:r>
          <w:rPr>
            <w:rFonts w:ascii="Cambria Math" w:eastAsiaTheme="minorEastAsia"/>
          </w:rPr>
          <m:t>[</m:t>
        </m:r>
        <m:r>
          <w:rPr>
            <w:rFonts w:ascii="Cambria Math" w:eastAsiaTheme="minorEastAsia" w:hAnsi="Cambria Math"/>
          </w:rPr>
          <m:t>MV</m:t>
        </m:r>
        <m:d>
          <m:dPr>
            <m:ctrlPr>
              <w:rPr>
                <w:rFonts w:ascii="Cambria Math" w:eastAsiaTheme="minorEastAsia" w:hAnsi="Cambria Math"/>
                <w:i/>
              </w:rPr>
            </m:ctrlPr>
          </m:dPr>
          <m:e>
            <m:r>
              <w:rPr>
                <w:rFonts w:ascii="Cambria Math" w:eastAsiaTheme="minorEastAsia" w:hAnsi="Cambria Math"/>
              </w:rPr>
              <m:t>CA</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w:proofErr w:type="gramStart"/>
                <m:r>
                  <w:rPr>
                    <w:rFonts w:ascii="Cambria Math" w:eastAsiaTheme="minorEastAsia"/>
                  </w:rPr>
                  <m:t>,</m:t>
                </m:r>
                <w:proofErr w:type="gramEnd"/>
                <m:r>
                  <w:rPr>
                    <w:rFonts w:ascii="Cambria Math" w:eastAsiaTheme="minorEastAsia" w:hAnsi="Cambria Math"/>
                  </w:rPr>
                  <m:t>m</m:t>
                </m:r>
                <m:r>
                  <w:rPr>
                    <w:rFonts w:ascii="Cambria Math" w:eastAsiaTheme="minorEastAsia"/>
                  </w:rPr>
                  <m:t>,</m:t>
                </m:r>
                <m:r>
                  <w:rPr>
                    <w:rFonts w:ascii="Cambria Math" w:eastAsiaTheme="minorEastAsia" w:hAnsi="Cambria Math"/>
                  </w:rPr>
                  <m:t>n</m:t>
                </m:r>
              </m:sub>
            </m:sSub>
          </m:e>
        </m:d>
        <m:r>
          <w:rPr>
            <w:rFonts w:ascii="Cambria Math" w:eastAsiaTheme="minorEastAsia"/>
          </w:rPr>
          <m:t>]</m:t>
        </m:r>
      </m:oMath>
      <w:r w:rsidRPr="00776F62">
        <w:rPr>
          <w:rFonts w:eastAsiaTheme="minorEastAsia"/>
        </w:rPr>
        <w:t xml:space="preserve"> multiplicando</w:t>
      </w:r>
      <w:r w:rsidR="00E5455D">
        <w:rPr>
          <w:rFonts w:eastAsiaTheme="minorEastAsia"/>
        </w:rPr>
        <w:t>-se</w:t>
      </w:r>
      <w:r w:rsidRPr="00776F62">
        <w:rPr>
          <w:rFonts w:eastAsiaTheme="minorEastAsia"/>
        </w:rPr>
        <w:t xml:space="preserve"> os </w:t>
      </w:r>
      <m:oMath>
        <m:r>
          <w:rPr>
            <w:rFonts w:ascii="Cambria Math" w:eastAsiaTheme="minorEastAsia" w:hAnsi="Cambria Math"/>
          </w:rPr>
          <m:t>CARs</m:t>
        </m:r>
      </m:oMath>
      <w:r w:rsidRPr="00776F62">
        <w:rPr>
          <w:rFonts w:eastAsiaTheme="minorEastAsia"/>
        </w:rPr>
        <w:t xml:space="preserve"> pelos valores de mercado das firmas:</w:t>
      </w:r>
    </w:p>
    <w:p w:rsidR="00DF67CC" w:rsidRPr="00DF67CC" w:rsidRDefault="00DF67CC" w:rsidP="00FA5866">
      <w:pPr>
        <w:spacing w:after="0" w:line="240" w:lineRule="auto"/>
        <w:rPr>
          <w:rFonts w:eastAsiaTheme="minorEastAsia"/>
        </w:rPr>
      </w:pPr>
    </w:p>
    <w:p w:rsidR="00DC173F" w:rsidRPr="00776F62" w:rsidRDefault="00DC173F" w:rsidP="00FA5866">
      <w:pPr>
        <w:spacing w:after="0" w:line="240" w:lineRule="auto"/>
        <w:rPr>
          <w:rFonts w:eastAsiaTheme="minorEastAsia"/>
        </w:rPr>
      </w:pPr>
      <m:oMath>
        <m:r>
          <w:rPr>
            <w:rFonts w:ascii="Cambria Math" w:eastAsiaTheme="minorEastAsia" w:hAnsi="Cambria Math"/>
          </w:rPr>
          <m:t>MV</m:t>
        </m:r>
        <m:d>
          <m:dPr>
            <m:ctrlPr>
              <w:rPr>
                <w:rFonts w:ascii="Cambria Math" w:eastAsiaTheme="minorEastAsia" w:hAnsi="Cambria Math"/>
                <w:i/>
              </w:rPr>
            </m:ctrlPr>
          </m:dPr>
          <m:e>
            <m:r>
              <w:rPr>
                <w:rFonts w:ascii="Cambria Math" w:eastAsiaTheme="minorEastAsia" w:hAnsi="Cambria Math"/>
              </w:rPr>
              <m:t>CA</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r>
                  <w:rPr>
                    <w:rFonts w:ascii="Cambria Math" w:eastAsiaTheme="minorEastAsia"/>
                  </w:rPr>
                  <m:t>,</m:t>
                </m:r>
                <m:r>
                  <w:rPr>
                    <w:rFonts w:ascii="Cambria Math" w:eastAsiaTheme="minorEastAsia" w:hAnsi="Cambria Math"/>
                  </w:rPr>
                  <m:t>m</m:t>
                </m:r>
                <m:r>
                  <w:rPr>
                    <w:rFonts w:ascii="Cambria Math" w:eastAsiaTheme="minorEastAsia"/>
                  </w:rPr>
                  <m:t>,</m:t>
                </m:r>
                <m:r>
                  <w:rPr>
                    <w:rFonts w:ascii="Cambria Math" w:eastAsiaTheme="minorEastAsia" w:hAnsi="Cambria Math"/>
                  </w:rPr>
                  <m:t>n</m:t>
                </m:r>
              </m:sub>
            </m:sSub>
          </m:e>
        </m:d>
        <m:r>
          <w:rPr>
            <w:rFonts w:ascii="Cambria Math" w:eastAsiaTheme="minorEastAsia"/>
          </w:rPr>
          <m:t>=</m:t>
        </m:r>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it</m:t>
            </m:r>
          </m:sub>
        </m:sSub>
        <m:r>
          <w:rPr>
            <w:rFonts w:ascii="Cambria Math" w:eastAsiaTheme="minorEastAsia"/>
          </w:rPr>
          <m:t>×</m:t>
        </m:r>
        <m:r>
          <w:rPr>
            <w:rFonts w:ascii="Cambria Math" w:eastAsiaTheme="minorEastAsia" w:hAnsi="Cambria Math"/>
          </w:rPr>
          <m:t>CA</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r>
              <w:rPr>
                <w:rFonts w:ascii="Cambria Math" w:eastAsiaTheme="minorEastAsia"/>
              </w:rPr>
              <m:t>,</m:t>
            </m:r>
            <m:r>
              <w:rPr>
                <w:rFonts w:ascii="Cambria Math" w:eastAsiaTheme="minorEastAsia" w:hAnsi="Cambria Math"/>
              </w:rPr>
              <m:t>m</m:t>
            </m:r>
            <m:r>
              <w:rPr>
                <w:rFonts w:ascii="Cambria Math" w:eastAsiaTheme="minorEastAsia"/>
              </w:rPr>
              <m:t>,</m:t>
            </m:r>
            <m:r>
              <w:rPr>
                <w:rFonts w:ascii="Cambria Math" w:eastAsiaTheme="minorEastAsia" w:hAnsi="Cambria Math"/>
              </w:rPr>
              <m:t>n</m:t>
            </m:r>
          </m:sub>
        </m:sSub>
      </m:oMath>
      <w:r w:rsidR="00DF67CC">
        <w:rPr>
          <w:rFonts w:eastAsiaTheme="minorEastAsia"/>
        </w:rPr>
        <w:t xml:space="preserve"> </w:t>
      </w:r>
      <w:r w:rsidR="00DF67CC">
        <w:rPr>
          <w:rFonts w:eastAsiaTheme="minorEastAsia"/>
        </w:rPr>
        <w:tab/>
      </w:r>
      <w:r w:rsidR="00DF67CC">
        <w:rPr>
          <w:rFonts w:eastAsiaTheme="minorEastAsia"/>
        </w:rPr>
        <w:tab/>
      </w:r>
      <w:r w:rsidR="00DF67CC">
        <w:rPr>
          <w:rFonts w:eastAsiaTheme="minorEastAsia"/>
        </w:rPr>
        <w:tab/>
      </w:r>
      <w:r w:rsidR="00DF67CC">
        <w:rPr>
          <w:rFonts w:eastAsiaTheme="minorEastAsia"/>
        </w:rPr>
        <w:tab/>
      </w:r>
      <w:r w:rsidR="00DF67CC">
        <w:rPr>
          <w:rFonts w:eastAsiaTheme="minorEastAsia"/>
        </w:rPr>
        <w:tab/>
        <w:t xml:space="preserve">          </w:t>
      </w:r>
      <w:r w:rsidR="00DF67CC">
        <w:rPr>
          <w:rFonts w:eastAsiaTheme="minorEastAsia"/>
        </w:rPr>
        <w:tab/>
      </w:r>
      <w:r w:rsidR="00DF67CC">
        <w:rPr>
          <w:rFonts w:eastAsiaTheme="minorEastAsia"/>
        </w:rPr>
        <w:tab/>
        <w:t>Eq. (13</w:t>
      </w:r>
      <w:r w:rsidR="0002107F">
        <w:rPr>
          <w:rFonts w:eastAsiaTheme="minorEastAsia"/>
        </w:rPr>
        <w:t>)</w:t>
      </w:r>
    </w:p>
    <w:p w:rsidR="00DF67CC" w:rsidRDefault="00DF67CC" w:rsidP="00FA5866">
      <w:pPr>
        <w:spacing w:after="0" w:line="240" w:lineRule="auto"/>
        <w:rPr>
          <w:rFonts w:eastAsiaTheme="minorEastAsia"/>
        </w:rPr>
      </w:pPr>
    </w:p>
    <w:p w:rsidR="00E5455D" w:rsidRDefault="00E5455D" w:rsidP="00FA5866">
      <w:pPr>
        <w:spacing w:after="0" w:line="240" w:lineRule="auto"/>
        <w:rPr>
          <w:rFonts w:eastAsiaTheme="minorEastAsia"/>
        </w:rPr>
      </w:pPr>
      <w:proofErr w:type="gramStart"/>
      <w:r>
        <w:rPr>
          <w:rFonts w:eastAsiaTheme="minorEastAsia"/>
        </w:rPr>
        <w:t>o</w:t>
      </w:r>
      <w:r w:rsidR="00DC173F" w:rsidRPr="00776F62">
        <w:rPr>
          <w:rFonts w:eastAsiaTheme="minorEastAsia"/>
        </w:rPr>
        <w:t>nde</w:t>
      </w:r>
      <m:oMath>
        <w:proofErr w:type="gramEnd"/>
        <m:r>
          <w:rPr>
            <w:rFonts w:ascii="Cambria Math" w:eastAsiaTheme="minorEastAsia" w:hAnsi="Cambria Math"/>
          </w:rPr>
          <m:t xml:space="preserve"> M</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it</m:t>
            </m:r>
          </m:sub>
        </m:sSub>
      </m:oMath>
      <w:r w:rsidR="00DC173F" w:rsidRPr="00776F62">
        <w:rPr>
          <w:rFonts w:eastAsiaTheme="minorEastAsia"/>
        </w:rPr>
        <w:t xml:space="preserve"> é o valor de mercado para </w:t>
      </w:r>
      <w:r w:rsidR="008D205A">
        <w:rPr>
          <w:rFonts w:eastAsiaTheme="minorEastAsia"/>
        </w:rPr>
        <w:t xml:space="preserve">a </w:t>
      </w:r>
      <w:r w:rsidR="00DC173F" w:rsidRPr="00776F62">
        <w:rPr>
          <w:rFonts w:eastAsiaTheme="minorEastAsia"/>
        </w:rPr>
        <w:t xml:space="preserve">firma </w:t>
      </w:r>
      <m:oMath>
        <m:r>
          <w:rPr>
            <w:rFonts w:ascii="Cambria Math" w:eastAsiaTheme="minorEastAsia" w:hAnsi="Cambria Math"/>
          </w:rPr>
          <m:t>i</m:t>
        </m:r>
      </m:oMath>
      <w:r w:rsidR="00DC173F" w:rsidRPr="00776F62">
        <w:rPr>
          <w:rFonts w:eastAsiaTheme="minorEastAsia"/>
        </w:rPr>
        <w:t xml:space="preserve"> no período </w:t>
      </w:r>
      <m:oMath>
        <m:r>
          <w:rPr>
            <w:rFonts w:ascii="Cambria Math" w:eastAsiaTheme="minorEastAsia" w:hAnsi="Cambria Math"/>
          </w:rPr>
          <m:t>t</m:t>
        </m:r>
      </m:oMath>
      <w:r w:rsidR="00DC173F" w:rsidRPr="00776F62">
        <w:rPr>
          <w:rFonts w:eastAsiaTheme="minorEastAsia"/>
        </w:rPr>
        <w:t xml:space="preserve"> e </w:t>
      </w:r>
      <m:oMath>
        <m:r>
          <w:rPr>
            <w:rFonts w:ascii="Cambria Math" w:eastAsiaTheme="minorEastAsia" w:hAnsi="Cambria Math"/>
          </w:rPr>
          <m:t>t∈</m:t>
        </m:r>
        <m:r>
          <w:rPr>
            <w:rFonts w:ascii="Cambria Math" w:eastAsiaTheme="minorEastAsia"/>
          </w:rPr>
          <m:t>(</m:t>
        </m:r>
        <m:r>
          <w:rPr>
            <w:rFonts w:ascii="Cambria Math" w:eastAsiaTheme="minorEastAsia" w:hAnsi="Cambria Math"/>
          </w:rPr>
          <m:t>m</m:t>
        </m:r>
        <m:r>
          <w:rPr>
            <w:rFonts w:ascii="Cambria Math" w:eastAsiaTheme="minorEastAsia"/>
          </w:rPr>
          <m:t>,</m:t>
        </m:r>
        <m:r>
          <w:rPr>
            <w:rFonts w:ascii="Cambria Math" w:eastAsiaTheme="minorEastAsia" w:hAnsi="Cambria Math"/>
          </w:rPr>
          <m:t>n</m:t>
        </m:r>
        <m:r>
          <w:rPr>
            <w:rFonts w:ascii="Cambria Math" w:eastAsiaTheme="minorEastAsia"/>
          </w:rPr>
          <m:t>)</m:t>
        </m:r>
      </m:oMath>
    </w:p>
    <w:p w:rsidR="00DC173F" w:rsidRDefault="00DC173F" w:rsidP="00FA5866">
      <w:pPr>
        <w:pStyle w:val="Textodenotaderodap"/>
        <w:rPr>
          <w:sz w:val="24"/>
          <w:szCs w:val="24"/>
        </w:rPr>
      </w:pPr>
      <w:r w:rsidRPr="00D35FA2">
        <w:rPr>
          <w:sz w:val="24"/>
          <w:szCs w:val="24"/>
        </w:rPr>
        <w:t>Scholes e Williams (1977) mostraram que</w:t>
      </w:r>
      <w:r w:rsidR="00E5455D">
        <w:rPr>
          <w:sz w:val="24"/>
          <w:szCs w:val="24"/>
        </w:rPr>
        <w:t>,</w:t>
      </w:r>
      <w:r w:rsidRPr="00D35FA2">
        <w:rPr>
          <w:sz w:val="24"/>
          <w:szCs w:val="24"/>
        </w:rPr>
        <w:t xml:space="preserve"> na presença de negociações </w:t>
      </w:r>
      <w:r w:rsidRPr="008153EF">
        <w:rPr>
          <w:sz w:val="24"/>
          <w:szCs w:val="24"/>
        </w:rPr>
        <w:t>não sincronizada</w:t>
      </w:r>
      <w:r w:rsidRPr="00D35FA2">
        <w:rPr>
          <w:sz w:val="24"/>
          <w:szCs w:val="24"/>
        </w:rPr>
        <w:t>s</w:t>
      </w:r>
      <w:r w:rsidR="00E5455D">
        <w:rPr>
          <w:sz w:val="24"/>
          <w:szCs w:val="24"/>
        </w:rPr>
        <w:t>,</w:t>
      </w:r>
      <w:r w:rsidR="0002107F">
        <w:rPr>
          <w:sz w:val="24"/>
          <w:szCs w:val="24"/>
        </w:rPr>
        <w:t xml:space="preserve"> </w:t>
      </w:r>
      <w:r w:rsidR="008153EF">
        <w:rPr>
          <w:sz w:val="24"/>
          <w:szCs w:val="24"/>
        </w:rPr>
        <w:t>os estimadores de MQO de beta da</w:t>
      </w:r>
      <w:r w:rsidRPr="00D35FA2">
        <w:rPr>
          <w:sz w:val="24"/>
          <w:szCs w:val="24"/>
        </w:rPr>
        <w:t xml:space="preserve">s </w:t>
      </w:r>
      <w:r w:rsidR="008153EF">
        <w:rPr>
          <w:sz w:val="24"/>
          <w:szCs w:val="24"/>
        </w:rPr>
        <w:t xml:space="preserve">ações </w:t>
      </w:r>
      <w:r w:rsidR="008153EF" w:rsidRPr="008153EF">
        <w:rPr>
          <w:sz w:val="24"/>
          <w:szCs w:val="24"/>
        </w:rPr>
        <w:t>negociada</w:t>
      </w:r>
      <w:r w:rsidRPr="008153EF">
        <w:rPr>
          <w:sz w:val="24"/>
          <w:szCs w:val="24"/>
        </w:rPr>
        <w:t xml:space="preserve">s são </w:t>
      </w:r>
      <w:proofErr w:type="spellStart"/>
      <w:r w:rsidRPr="008153EF">
        <w:rPr>
          <w:sz w:val="24"/>
          <w:szCs w:val="24"/>
        </w:rPr>
        <w:t>viesados</w:t>
      </w:r>
      <w:proofErr w:type="spellEnd"/>
      <w:r w:rsidRPr="008153EF">
        <w:rPr>
          <w:sz w:val="24"/>
          <w:szCs w:val="24"/>
        </w:rPr>
        <w:t xml:space="preserve"> e inconsistentes. Para corrigir esse viés</w:t>
      </w:r>
      <w:r w:rsidR="00E5455D">
        <w:rPr>
          <w:sz w:val="24"/>
          <w:szCs w:val="24"/>
        </w:rPr>
        <w:t>,</w:t>
      </w:r>
      <w:r w:rsidRPr="008153EF">
        <w:rPr>
          <w:sz w:val="24"/>
          <w:szCs w:val="24"/>
        </w:rPr>
        <w:t xml:space="preserve"> eles propuseram um estimador consistente</w:t>
      </w:r>
      <w:r w:rsidRPr="00D35FA2">
        <w:rPr>
          <w:sz w:val="24"/>
          <w:szCs w:val="24"/>
        </w:rPr>
        <w:t xml:space="preserve"> de beta dado pela seguinte equação:</w:t>
      </w:r>
    </w:p>
    <w:p w:rsidR="00DF67CC" w:rsidRDefault="00DF67CC" w:rsidP="00FA5866">
      <w:pPr>
        <w:pStyle w:val="Textodenotaderodap"/>
        <w:rPr>
          <w:sz w:val="24"/>
          <w:szCs w:val="24"/>
        </w:rPr>
      </w:pPr>
    </w:p>
    <w:p w:rsidR="00DC173F" w:rsidRDefault="006E76EF" w:rsidP="00FA5866">
      <w:pPr>
        <w:spacing w:after="0" w:line="240" w:lineRule="auto"/>
        <w:jc w:val="center"/>
        <w:rPr>
          <w:rFonts w:eastAsiaTheme="minorEastAsia"/>
        </w:rPr>
      </w:pPr>
      <m:oMath>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m:t>
            </m:r>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i</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i</m:t>
                    </m:r>
                  </m:sub>
                </m:sSub>
              </m:e>
              <m:sup>
                <m:r>
                  <w:rPr>
                    <w:rFonts w:ascii="Cambria Math" w:hAnsi="Cambria Math"/>
                  </w:rPr>
                  <m:t>0</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i</m:t>
                    </m:r>
                  </m:sub>
                </m:sSub>
              </m:e>
              <m:sup>
                <m:r>
                  <w:rPr>
                    <w:rFonts w:ascii="Cambria Math" w:hAnsi="Cambria Math"/>
                  </w:rPr>
                  <m:t>+1</m:t>
                </m:r>
              </m:sup>
            </m:sSup>
            <m:r>
              <w:rPr>
                <w:rFonts w:ascii="Cambria Math" w:hAnsi="Cambria Math"/>
              </w:rPr>
              <m:t>)</m:t>
            </m:r>
          </m:num>
          <m:den>
            <m:r>
              <w:rPr>
                <w:rFonts w:ascii="Cambria Math" w:hAnsi="Cambria Math"/>
              </w:rPr>
              <m:t>(1+2</m:t>
            </m:r>
            <m:sSub>
              <m:sSubPr>
                <m:ctrlPr>
                  <w:rPr>
                    <w:rFonts w:ascii="Cambria Math" w:hAnsi="Cambria Math"/>
                    <w:i/>
                  </w:rPr>
                </m:ctrlPr>
              </m:sSubPr>
              <m:e>
                <m:acc>
                  <m:accPr>
                    <m:ctrlPr>
                      <w:rPr>
                        <w:rFonts w:ascii="Cambria Math" w:hAnsi="Cambria Math"/>
                        <w:i/>
                      </w:rPr>
                    </m:ctrlPr>
                  </m:accPr>
                  <m:e>
                    <m:r>
                      <w:rPr>
                        <w:rFonts w:ascii="Cambria Math" w:hAnsi="Cambria Math"/>
                      </w:rPr>
                      <m:t>ρ</m:t>
                    </m:r>
                  </m:e>
                </m:acc>
              </m:e>
              <m:sub>
                <m:r>
                  <w:rPr>
                    <w:rFonts w:ascii="Cambria Math" w:hAnsi="Cambria Math"/>
                  </w:rPr>
                  <m:t>1m</m:t>
                </m:r>
              </m:sub>
            </m:sSub>
            <m:r>
              <w:rPr>
                <w:rFonts w:ascii="Cambria Math" w:hAnsi="Cambria Math"/>
              </w:rPr>
              <m:t>)</m:t>
            </m:r>
          </m:den>
        </m:f>
      </m:oMath>
      <w:r w:rsidR="00DF67CC">
        <w:rPr>
          <w:rFonts w:eastAsiaTheme="minorEastAsia"/>
        </w:rPr>
        <w:t xml:space="preserve"> </w:t>
      </w:r>
      <w:r w:rsidR="00DF67CC">
        <w:rPr>
          <w:rFonts w:eastAsiaTheme="minorEastAsia"/>
        </w:rPr>
        <w:tab/>
      </w:r>
      <w:r w:rsidR="00DF67CC">
        <w:rPr>
          <w:rFonts w:eastAsiaTheme="minorEastAsia"/>
        </w:rPr>
        <w:tab/>
      </w:r>
      <w:r w:rsidR="00DF67CC">
        <w:rPr>
          <w:rFonts w:eastAsiaTheme="minorEastAsia"/>
        </w:rPr>
        <w:tab/>
      </w:r>
      <w:r w:rsidR="00DF67CC">
        <w:rPr>
          <w:rFonts w:eastAsiaTheme="minorEastAsia"/>
        </w:rPr>
        <w:tab/>
      </w:r>
      <w:r w:rsidR="00DF67CC">
        <w:rPr>
          <w:rFonts w:eastAsiaTheme="minorEastAsia"/>
        </w:rPr>
        <w:tab/>
      </w:r>
      <w:r w:rsidR="00DF67CC">
        <w:rPr>
          <w:rFonts w:eastAsiaTheme="minorEastAsia"/>
        </w:rPr>
        <w:tab/>
      </w:r>
      <w:r w:rsidR="00DF67CC">
        <w:rPr>
          <w:rFonts w:eastAsiaTheme="minorEastAsia"/>
        </w:rPr>
        <w:tab/>
        <w:t xml:space="preserve">          Eq. (14</w:t>
      </w:r>
      <w:r w:rsidR="0002107F">
        <w:rPr>
          <w:rFonts w:eastAsiaTheme="minorEastAsia"/>
        </w:rPr>
        <w:t>)</w:t>
      </w:r>
    </w:p>
    <w:p w:rsidR="00DF67CC" w:rsidRDefault="00DF67CC" w:rsidP="00FA5866">
      <w:pPr>
        <w:spacing w:after="0" w:line="240" w:lineRule="auto"/>
        <w:rPr>
          <w:rFonts w:eastAsiaTheme="minorEastAsia"/>
        </w:rPr>
      </w:pPr>
    </w:p>
    <w:p w:rsidR="00DC173F" w:rsidRPr="00D35FA2" w:rsidRDefault="00E5455D" w:rsidP="00FA5866">
      <w:pPr>
        <w:spacing w:after="0" w:line="240" w:lineRule="auto"/>
        <w:rPr>
          <w:rFonts w:eastAsiaTheme="minorEastAsia"/>
        </w:rPr>
      </w:pPr>
      <w:proofErr w:type="gramStart"/>
      <w:r>
        <w:rPr>
          <w:rFonts w:eastAsiaTheme="minorEastAsia"/>
        </w:rPr>
        <w:t>e</w:t>
      </w:r>
      <w:r w:rsidR="00DC173F" w:rsidRPr="00D35FA2">
        <w:rPr>
          <w:rFonts w:eastAsiaTheme="minorEastAsia"/>
        </w:rPr>
        <w:t>m</w:t>
      </w:r>
      <w:proofErr w:type="gramEnd"/>
      <w:r w:rsidR="00DC173F" w:rsidRPr="00D35FA2">
        <w:rPr>
          <w:rFonts w:eastAsiaTheme="minorEastAsia"/>
        </w:rPr>
        <w:t xml:space="preserve"> que </w:t>
      </w:r>
      <m:oMath>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i</m:t>
                </m:r>
              </m:sub>
            </m:sSub>
          </m:e>
          <m:sup>
            <m:r>
              <w:rPr>
                <w:rFonts w:ascii="Cambria Math" w:hAnsi="Cambria Math"/>
              </w:rPr>
              <m:t>-1</m:t>
            </m:r>
          </m:sup>
        </m:sSup>
      </m:oMath>
      <w:r w:rsidR="00DC173F" w:rsidRPr="00D35FA2">
        <w:rPr>
          <w:rFonts w:eastAsiaTheme="minorEastAsia"/>
        </w:rPr>
        <w:t xml:space="preserve">é o estimador da regressão simples entre retorno do ativo com o retorno de mercado com uma defasagem, </w:t>
      </w:r>
      <m:oMath>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i</m:t>
                </m:r>
              </m:sub>
            </m:sSub>
          </m:e>
          <m:sup>
            <m:r>
              <w:rPr>
                <w:rFonts w:ascii="Cambria Math" w:hAnsi="Cambria Math"/>
              </w:rPr>
              <m:t>0</m:t>
            </m:r>
          </m:sup>
        </m:sSup>
      </m:oMath>
      <w:r w:rsidR="00DC173F" w:rsidRPr="00D35FA2">
        <w:rPr>
          <w:rFonts w:eastAsiaTheme="minorEastAsia"/>
        </w:rPr>
        <w:t xml:space="preserve">é o estimador da regressão simples entre retorno do ativo com o retorno de mercado, </w:t>
      </w:r>
      <m:oMath>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i</m:t>
                </m:r>
              </m:sub>
            </m:sSub>
          </m:e>
          <m:sup>
            <m:r>
              <w:rPr>
                <w:rFonts w:ascii="Cambria Math" w:hAnsi="Cambria Math"/>
              </w:rPr>
              <m:t>+1</m:t>
            </m:r>
          </m:sup>
        </m:sSup>
      </m:oMath>
      <w:r w:rsidR="00DC173F" w:rsidRPr="00D35FA2">
        <w:rPr>
          <w:rFonts w:eastAsiaTheme="minorEastAsia"/>
        </w:rPr>
        <w:t xml:space="preserve">é o estimador da regressão simples entre retorno do ativo com o retorno de mercado com uma </w:t>
      </w:r>
      <w:r w:rsidR="008153EF">
        <w:rPr>
          <w:rFonts w:eastAsiaTheme="minorEastAsia"/>
        </w:rPr>
        <w:t>derivação</w:t>
      </w:r>
      <w:r w:rsidR="00DC173F" w:rsidRPr="00D35FA2">
        <w:rPr>
          <w:rFonts w:eastAsiaTheme="minorEastAsia"/>
        </w:rPr>
        <w:t xml:space="preserve"> e </w:t>
      </w:r>
      <m:oMath>
        <m:sSub>
          <m:sSubPr>
            <m:ctrlPr>
              <w:rPr>
                <w:rFonts w:ascii="Cambria Math" w:hAnsi="Cambria Math"/>
                <w:i/>
              </w:rPr>
            </m:ctrlPr>
          </m:sSubPr>
          <m:e>
            <m:acc>
              <m:accPr>
                <m:ctrlPr>
                  <w:rPr>
                    <w:rFonts w:ascii="Cambria Math" w:hAnsi="Cambria Math"/>
                    <w:i/>
                  </w:rPr>
                </m:ctrlPr>
              </m:accPr>
              <m:e>
                <m:r>
                  <w:rPr>
                    <w:rFonts w:ascii="Cambria Math" w:hAnsi="Cambria Math"/>
                  </w:rPr>
                  <m:t>ρ</m:t>
                </m:r>
              </m:e>
            </m:acc>
          </m:e>
          <m:sub>
            <m:r>
              <w:rPr>
                <w:rFonts w:ascii="Cambria Math" w:hAnsi="Cambria Math"/>
              </w:rPr>
              <m:t>1m</m:t>
            </m:r>
          </m:sub>
        </m:sSub>
      </m:oMath>
      <w:r w:rsidR="00DC173F" w:rsidRPr="00D35FA2">
        <w:rPr>
          <w:rFonts w:eastAsiaTheme="minorEastAsia"/>
        </w:rPr>
        <w:t xml:space="preserve"> é coeficiente da correlação serial de primeira ordem dos retornos de mercado.</w:t>
      </w:r>
    </w:p>
    <w:p w:rsidR="006D033A" w:rsidRPr="00746F8A" w:rsidRDefault="00DC173F" w:rsidP="00FA5866">
      <w:pPr>
        <w:spacing w:after="0" w:line="240" w:lineRule="auto"/>
        <w:rPr>
          <w:rFonts w:eastAsiaTheme="minorEastAsia"/>
        </w:rPr>
      </w:pPr>
      <w:proofErr w:type="spellStart"/>
      <w:r>
        <w:rPr>
          <w:rFonts w:eastAsiaTheme="minorEastAsia"/>
        </w:rPr>
        <w:t>Makri</w:t>
      </w:r>
      <w:proofErr w:type="spellEnd"/>
      <w:r>
        <w:rPr>
          <w:rFonts w:eastAsiaTheme="minorEastAsia"/>
        </w:rPr>
        <w:t xml:space="preserve"> (2008)</w:t>
      </w:r>
      <w:r w:rsidR="00E5455D">
        <w:rPr>
          <w:rFonts w:eastAsiaTheme="minorEastAsia"/>
        </w:rPr>
        <w:t>, por sua vez,</w:t>
      </w:r>
      <w:r>
        <w:rPr>
          <w:rFonts w:eastAsiaTheme="minorEastAsia"/>
        </w:rPr>
        <w:t xml:space="preserve"> encontrou resultados que indicaram que não existem diferenças significativas estatisticamente entre o beta médio estimado utilizando o modelo </w:t>
      </w:r>
      <w:r w:rsidR="0002107F">
        <w:rPr>
          <w:rFonts w:eastAsiaTheme="minorEastAsia"/>
        </w:rPr>
        <w:t>ajustado ao risco e ao</w:t>
      </w:r>
      <w:r>
        <w:rPr>
          <w:rFonts w:eastAsiaTheme="minorEastAsia"/>
        </w:rPr>
        <w:t xml:space="preserve"> mercado com MQO e </w:t>
      </w:r>
      <w:r w:rsidR="00E5455D">
        <w:rPr>
          <w:rFonts w:eastAsiaTheme="minorEastAsia"/>
        </w:rPr>
        <w:t>via</w:t>
      </w:r>
      <w:r>
        <w:rPr>
          <w:rFonts w:eastAsiaTheme="minorEastAsia"/>
        </w:rPr>
        <w:t xml:space="preserve"> modelo de Scholes-Williams. De</w:t>
      </w:r>
      <w:r w:rsidR="00746F8A">
        <w:rPr>
          <w:rFonts w:eastAsiaTheme="minorEastAsia"/>
        </w:rPr>
        <w:t xml:space="preserve"> qualquer f</w:t>
      </w:r>
      <w:r w:rsidR="00E5455D">
        <w:rPr>
          <w:rFonts w:eastAsiaTheme="minorEastAsia"/>
        </w:rPr>
        <w:t>orma, nesta dissertação foram</w:t>
      </w:r>
      <w:r>
        <w:rPr>
          <w:rFonts w:eastAsiaTheme="minorEastAsia"/>
        </w:rPr>
        <w:t xml:space="preserve"> estimados </w:t>
      </w:r>
      <w:r w:rsidR="00E5455D">
        <w:rPr>
          <w:rFonts w:eastAsiaTheme="minorEastAsia"/>
        </w:rPr>
        <w:t>beta</w:t>
      </w:r>
      <w:r w:rsidR="0028162F">
        <w:rPr>
          <w:rFonts w:eastAsiaTheme="minorEastAsia"/>
        </w:rPr>
        <w:t>s</w:t>
      </w:r>
      <w:r w:rsidR="00E5455D">
        <w:rPr>
          <w:rFonts w:eastAsiaTheme="minorEastAsia"/>
        </w:rPr>
        <w:t xml:space="preserve"> via </w:t>
      </w:r>
      <w:r>
        <w:rPr>
          <w:rFonts w:eastAsiaTheme="minorEastAsia"/>
        </w:rPr>
        <w:t xml:space="preserve">ambos os modelos de estimação. </w:t>
      </w:r>
    </w:p>
    <w:p w:rsidR="00F31925" w:rsidRDefault="0002107F" w:rsidP="00FA5866">
      <w:pPr>
        <w:spacing w:after="0" w:line="240" w:lineRule="auto"/>
      </w:pPr>
      <w:proofErr w:type="gramStart"/>
      <w:r>
        <w:t>Após</w:t>
      </w:r>
      <w:proofErr w:type="gramEnd"/>
      <w:r>
        <w:t xml:space="preserve"> calculados os parâmetros do modelo de retorno normais</w:t>
      </w:r>
      <w:r w:rsidR="007163C3" w:rsidRPr="008D205A">
        <w:t>,</w:t>
      </w:r>
      <w:r>
        <w:t xml:space="preserve"> </w:t>
      </w:r>
      <w:r w:rsidR="00846791" w:rsidRPr="008D205A">
        <w:t>co</w:t>
      </w:r>
      <w:r w:rsidR="007163C3" w:rsidRPr="008D205A">
        <w:t>nforme</w:t>
      </w:r>
      <w:r w:rsidR="00BC0DFB">
        <w:t xml:space="preserve"> </w:t>
      </w:r>
      <w:proofErr w:type="spellStart"/>
      <w:r w:rsidR="00846791" w:rsidRPr="008D205A">
        <w:t>Mackinlay</w:t>
      </w:r>
      <w:proofErr w:type="spellEnd"/>
      <w:r w:rsidR="00846791" w:rsidRPr="008D205A">
        <w:t xml:space="preserve"> (1993)</w:t>
      </w:r>
      <w:r w:rsidR="007163C3" w:rsidRPr="008D205A">
        <w:t>,</w:t>
      </w:r>
      <w:r w:rsidR="00846791" w:rsidRPr="008D205A">
        <w:t xml:space="preserve"> f</w:t>
      </w:r>
      <w:r w:rsidR="00F31925" w:rsidRPr="008D205A">
        <w:t>oram c</w:t>
      </w:r>
      <w:r w:rsidR="007163C3" w:rsidRPr="008D205A">
        <w:t>alculados os Retornos Anormais Acumulados M</w:t>
      </w:r>
      <w:r w:rsidR="00F31925" w:rsidRPr="008D205A">
        <w:t xml:space="preserve">édios para cada </w:t>
      </w:r>
      <w:r w:rsidR="007163C3" w:rsidRPr="008D205A">
        <w:t>grupo de interesse (</w:t>
      </w:r>
      <w:r w:rsidR="00E06282" w:rsidRPr="008D205A">
        <w:t>fusionadas</w:t>
      </w:r>
      <w:r w:rsidR="007163C3" w:rsidRPr="008D205A">
        <w:t>, adquiridas e rivais)</w:t>
      </w:r>
      <w:r w:rsidR="00F31925" w:rsidRPr="008D205A">
        <w:t xml:space="preserve"> da seguinte maneira:</w:t>
      </w:r>
    </w:p>
    <w:p w:rsidR="00DF67CC" w:rsidRPr="008D205A" w:rsidRDefault="00DF67CC" w:rsidP="00FA5866">
      <w:pPr>
        <w:spacing w:after="0" w:line="240" w:lineRule="auto"/>
      </w:pPr>
    </w:p>
    <w:p w:rsidR="00F31925" w:rsidRPr="00F31925" w:rsidRDefault="006E76EF" w:rsidP="00FA5866">
      <w:pPr>
        <w:spacing w:after="0" w:line="240" w:lineRule="auto"/>
      </w:pPr>
      <m:oMath>
        <m:acc>
          <m:accPr>
            <m:chr m:val="̅"/>
            <m:ctrlPr>
              <w:rPr>
                <w:rFonts w:ascii="Cambria Math" w:hAnsi="Cambria Math"/>
                <w:i/>
              </w:rPr>
            </m:ctrlPr>
          </m:accPr>
          <m:e>
            <m:r>
              <w:rPr>
                <w:rFonts w:ascii="Cambria Math" w:hAnsi="Cambria Math"/>
              </w:rPr>
              <m:t>CAR</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CA</m:t>
            </m:r>
            <m:sSub>
              <m:sSubPr>
                <m:ctrlPr>
                  <w:rPr>
                    <w:rFonts w:ascii="Cambria Math" w:hAnsi="Cambria Math"/>
                    <w:i/>
                  </w:rPr>
                </m:ctrlPr>
              </m:sSubPr>
              <m:e>
                <m:r>
                  <w:rPr>
                    <w:rFonts w:ascii="Cambria Math" w:hAnsi="Cambria Math"/>
                  </w:rPr>
                  <m:t>R</m:t>
                </m:r>
              </m:e>
              <m:sub>
                <m:r>
                  <w:rPr>
                    <w:rFonts w:ascii="Cambria Math" w:hAnsi="Cambria Math"/>
                  </w:rPr>
                  <m:t>i</m:t>
                </m:r>
              </m:sub>
            </m:sSub>
          </m:e>
        </m:nary>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2</m:t>
                </m:r>
              </m:sub>
            </m:sSub>
          </m:e>
        </m:d>
      </m:oMath>
      <w:r w:rsidR="00DF67CC">
        <w:t xml:space="preserve"> </w:t>
      </w:r>
      <w:r w:rsidR="00DF67CC">
        <w:tab/>
      </w:r>
      <w:r w:rsidR="00DF67CC">
        <w:tab/>
      </w:r>
      <w:r w:rsidR="00DF67CC">
        <w:tab/>
      </w:r>
      <w:r w:rsidR="00DF67CC">
        <w:tab/>
      </w:r>
      <w:r w:rsidR="00DF67CC">
        <w:tab/>
      </w:r>
      <w:r w:rsidR="00DF67CC">
        <w:tab/>
        <w:t xml:space="preserve">          Eq. (15</w:t>
      </w:r>
      <w:r w:rsidR="0002107F">
        <w:t>)</w:t>
      </w:r>
    </w:p>
    <w:p w:rsidR="00DF67CC" w:rsidRDefault="00DF67CC" w:rsidP="00FA5866">
      <w:pPr>
        <w:spacing w:after="0" w:line="240" w:lineRule="auto"/>
        <w:rPr>
          <w:rFonts w:eastAsiaTheme="minorEastAsia"/>
        </w:rPr>
      </w:pPr>
    </w:p>
    <w:p w:rsidR="00DC173F" w:rsidRDefault="00DC173F" w:rsidP="00FA5866">
      <w:pPr>
        <w:spacing w:after="0" w:line="240" w:lineRule="auto"/>
        <w:rPr>
          <w:rFonts w:eastAsiaTheme="minorEastAsia"/>
        </w:rPr>
      </w:pPr>
      <w:r w:rsidRPr="009F0468">
        <w:rPr>
          <w:rFonts w:eastAsiaTheme="minorEastAsia"/>
        </w:rPr>
        <w:t xml:space="preserve">Conforme </w:t>
      </w:r>
      <w:proofErr w:type="spellStart"/>
      <w:r w:rsidRPr="009F0468">
        <w:rPr>
          <w:rFonts w:eastAsiaTheme="minorEastAsia"/>
        </w:rPr>
        <w:t>Heij</w:t>
      </w:r>
      <w:proofErr w:type="spellEnd"/>
      <w:r w:rsidR="0002107F">
        <w:rPr>
          <w:rFonts w:eastAsiaTheme="minorEastAsia"/>
        </w:rPr>
        <w:t xml:space="preserve"> </w:t>
      </w:r>
      <w:proofErr w:type="spellStart"/>
      <w:proofErr w:type="gramStart"/>
      <w:r w:rsidRPr="0028162F">
        <w:rPr>
          <w:rFonts w:eastAsiaTheme="minorEastAsia"/>
          <w:i/>
        </w:rPr>
        <w:t>et</w:t>
      </w:r>
      <w:proofErr w:type="spellEnd"/>
      <w:proofErr w:type="gramEnd"/>
      <w:r w:rsidR="0002107F">
        <w:rPr>
          <w:rFonts w:eastAsiaTheme="minorEastAsia"/>
          <w:i/>
        </w:rPr>
        <w:t xml:space="preserve"> </w:t>
      </w:r>
      <w:r w:rsidRPr="0028162F">
        <w:rPr>
          <w:rFonts w:eastAsiaTheme="minorEastAsia"/>
          <w:i/>
        </w:rPr>
        <w:t>al</w:t>
      </w:r>
      <w:r w:rsidR="0028162F" w:rsidRPr="0028162F">
        <w:rPr>
          <w:rFonts w:eastAsiaTheme="minorEastAsia"/>
          <w:i/>
        </w:rPr>
        <w:t>.</w:t>
      </w:r>
      <w:r w:rsidRPr="009F0468">
        <w:rPr>
          <w:rFonts w:eastAsiaTheme="minorEastAsia"/>
        </w:rPr>
        <w:t xml:space="preserve"> (2004)</w:t>
      </w:r>
      <w:r w:rsidR="00E5455D">
        <w:rPr>
          <w:rFonts w:eastAsiaTheme="minorEastAsia"/>
        </w:rPr>
        <w:t>,</w:t>
      </w:r>
      <w:r w:rsidR="0002107F">
        <w:rPr>
          <w:rFonts w:eastAsiaTheme="minorEastAsia"/>
        </w:rPr>
        <w:t xml:space="preserve"> </w:t>
      </w:r>
      <w:r w:rsidR="008E0B70" w:rsidRPr="008D205A">
        <w:rPr>
          <w:rFonts w:eastAsiaTheme="minorEastAsia"/>
        </w:rPr>
        <w:t>test</w:t>
      </w:r>
      <w:r w:rsidR="00E06282" w:rsidRPr="008D205A">
        <w:rPr>
          <w:rFonts w:eastAsiaTheme="minorEastAsia"/>
        </w:rPr>
        <w:t>ou-se</w:t>
      </w:r>
      <w:r w:rsidR="008E0B70">
        <w:rPr>
          <w:rFonts w:eastAsiaTheme="minorEastAsia"/>
        </w:rPr>
        <w:t xml:space="preserve"> se os retornos acumulados médios são estatisticamente diferentes de zero </w:t>
      </w:r>
      <w:r>
        <w:rPr>
          <w:rFonts w:eastAsiaTheme="minorEastAsia"/>
        </w:rPr>
        <w:t xml:space="preserve">por meio da estatística </w:t>
      </w:r>
      <m:oMath>
        <m:r>
          <w:rPr>
            <w:rFonts w:ascii="Cambria Math" w:eastAsiaTheme="minorEastAsia" w:hAnsi="Cambria Math"/>
          </w:rPr>
          <m:t>t</m:t>
        </m:r>
      </m:oMath>
      <w:r>
        <w:rPr>
          <w:rFonts w:eastAsiaTheme="minorEastAsia"/>
        </w:rPr>
        <w:t xml:space="preserve"> da seguinte forma:</w:t>
      </w:r>
    </w:p>
    <w:p w:rsidR="00DF67CC" w:rsidRPr="00DF67CC" w:rsidRDefault="00DF67CC" w:rsidP="00FA5866">
      <w:pPr>
        <w:spacing w:after="0" w:line="240" w:lineRule="auto"/>
        <w:rPr>
          <w:rFonts w:eastAsiaTheme="minorEastAsia"/>
        </w:rPr>
      </w:pPr>
    </w:p>
    <w:p w:rsidR="00DC173F" w:rsidRDefault="006E76EF" w:rsidP="00FA5866">
      <w:pPr>
        <w:spacing w:after="0" w:line="240" w:lineRule="auto"/>
        <w:rPr>
          <w:rFonts w:eastAsiaTheme="minorEastAsia"/>
        </w:rPr>
      </w:pP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j</m:t>
            </m:r>
          </m:sub>
        </m:sSub>
        <m:r>
          <w:rPr>
            <w:rFonts w:ascii="Cambria Math" w:eastAsiaTheme="minorEastAsia" w:hAnsi="Cambria Math"/>
          </w:rPr>
          <m:t>=</m:t>
        </m:r>
        <m:f>
          <m:fPr>
            <m:ctrlPr>
              <w:rPr>
                <w:rFonts w:ascii="Cambria Math" w:eastAsiaTheme="minorEastAsia" w:hAnsi="Cambria Math"/>
                <w:i/>
              </w:rPr>
            </m:ctrlPr>
          </m:fPr>
          <m:num>
            <m:acc>
              <m:accPr>
                <m:chr m:val="̅"/>
                <m:ctrlPr>
                  <w:rPr>
                    <w:rFonts w:ascii="Cambria Math" w:hAnsi="Cambria Math"/>
                    <w:i/>
                  </w:rPr>
                </m:ctrlPr>
              </m:accPr>
              <m:e>
                <m:r>
                  <w:rPr>
                    <w:rFonts w:ascii="Cambria Math" w:hAnsi="Cambria Math"/>
                  </w:rPr>
                  <m:t>CAR</m:t>
                </m:r>
              </m:e>
            </m:acc>
            <m:r>
              <w:rPr>
                <w:rFonts w:ascii="Cambria Math" w:eastAsiaTheme="minorEastAsia" w:hAnsi="Cambria Math"/>
              </w:rPr>
              <m:t>-0</m:t>
            </m:r>
          </m:num>
          <m:den>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j</m:t>
                </m:r>
              </m:sub>
            </m:sSub>
            <m:r>
              <w:rPr>
                <w:rFonts w:ascii="Cambria Math" w:eastAsiaTheme="minorEastAsia" w:hAnsi="Cambria Math"/>
              </w:rPr>
              <m:t>/</m:t>
            </m:r>
            <m:rad>
              <m:radPr>
                <m:degHide m:val="on"/>
                <m:ctrlPr>
                  <w:rPr>
                    <w:rFonts w:ascii="Cambria Math" w:eastAsiaTheme="minorEastAsia" w:hAnsi="Cambria Math"/>
                    <w:i/>
                  </w:rPr>
                </m:ctrlPr>
              </m:radPr>
              <m:deg/>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j</m:t>
                    </m:r>
                  </m:sub>
                </m:sSub>
              </m:e>
            </m:rad>
          </m:den>
        </m:f>
      </m:oMath>
      <w:r w:rsidR="00DF67CC">
        <w:rPr>
          <w:rFonts w:eastAsiaTheme="minorEastAsia"/>
        </w:rPr>
        <w:t xml:space="preserve"> </w:t>
      </w:r>
      <w:r w:rsidR="00DF67CC">
        <w:rPr>
          <w:rFonts w:eastAsiaTheme="minorEastAsia"/>
        </w:rPr>
        <w:tab/>
      </w:r>
      <w:r w:rsidR="00DF67CC">
        <w:rPr>
          <w:rFonts w:eastAsiaTheme="minorEastAsia"/>
        </w:rPr>
        <w:tab/>
      </w:r>
      <w:r w:rsidR="00DF67CC">
        <w:rPr>
          <w:rFonts w:eastAsiaTheme="minorEastAsia"/>
        </w:rPr>
        <w:tab/>
      </w:r>
      <w:r w:rsidR="00DF67CC">
        <w:rPr>
          <w:rFonts w:eastAsiaTheme="minorEastAsia"/>
        </w:rPr>
        <w:tab/>
      </w:r>
      <w:r w:rsidR="00DF67CC">
        <w:rPr>
          <w:rFonts w:eastAsiaTheme="minorEastAsia"/>
        </w:rPr>
        <w:tab/>
      </w:r>
      <w:r w:rsidR="00DF67CC">
        <w:rPr>
          <w:rFonts w:eastAsiaTheme="minorEastAsia"/>
        </w:rPr>
        <w:tab/>
      </w:r>
      <w:r w:rsidR="00DF67CC">
        <w:rPr>
          <w:rFonts w:eastAsiaTheme="minorEastAsia"/>
        </w:rPr>
        <w:tab/>
      </w:r>
      <w:r w:rsidR="00DF67CC">
        <w:rPr>
          <w:rFonts w:eastAsiaTheme="minorEastAsia"/>
        </w:rPr>
        <w:tab/>
        <w:t xml:space="preserve">          Eq. (16</w:t>
      </w:r>
      <w:r w:rsidR="0002107F">
        <w:rPr>
          <w:rFonts w:eastAsiaTheme="minorEastAsia"/>
        </w:rPr>
        <w:t>)</w:t>
      </w:r>
    </w:p>
    <w:p w:rsidR="00DF67CC" w:rsidRDefault="00DF67CC" w:rsidP="00FA5866">
      <w:pPr>
        <w:spacing w:after="0" w:line="240" w:lineRule="auto"/>
        <w:rPr>
          <w:rFonts w:eastAsiaTheme="minorEastAsia"/>
        </w:rPr>
      </w:pPr>
    </w:p>
    <w:p w:rsidR="00DC173F" w:rsidRDefault="00E5455D" w:rsidP="00FA5866">
      <w:pPr>
        <w:spacing w:after="0" w:line="240" w:lineRule="auto"/>
        <w:rPr>
          <w:rFonts w:eastAsiaTheme="minorEastAsia"/>
        </w:rPr>
      </w:pPr>
      <w:proofErr w:type="gramStart"/>
      <w:r>
        <w:rPr>
          <w:rFonts w:eastAsiaTheme="minorEastAsia"/>
        </w:rPr>
        <w:t>e</w:t>
      </w:r>
      <w:r w:rsidR="00DC173F">
        <w:rPr>
          <w:rFonts w:eastAsiaTheme="minorEastAsia"/>
        </w:rPr>
        <w:t>m</w:t>
      </w:r>
      <w:proofErr w:type="gramEnd"/>
      <w:r w:rsidR="00DC173F">
        <w:rPr>
          <w:rFonts w:eastAsiaTheme="minorEastAsia"/>
        </w:rPr>
        <w:t xml:space="preserve"> que </w:t>
      </w:r>
      <m:oMath>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j</m:t>
            </m:r>
          </m:sub>
          <m:sup>
            <m:r>
              <w:rPr>
                <w:rFonts w:ascii="Cambria Math" w:eastAsiaTheme="minorEastAsia" w:hAnsi="Cambria Math"/>
              </w:rPr>
              <m:t>2</m:t>
            </m:r>
          </m:sup>
        </m:sSubSup>
      </m:oMath>
      <w:r w:rsidR="00DC173F">
        <w:rPr>
          <w:rFonts w:eastAsiaTheme="minorEastAsia"/>
        </w:rPr>
        <w:t>é o estimador não viesado da variância amostral tal que:</w:t>
      </w:r>
    </w:p>
    <w:p w:rsidR="00DF67CC" w:rsidRPr="00DF67CC" w:rsidRDefault="00DF67CC" w:rsidP="00FA5866">
      <w:pPr>
        <w:spacing w:after="0" w:line="240" w:lineRule="auto"/>
        <w:rPr>
          <w:rFonts w:eastAsiaTheme="minorEastAsia"/>
        </w:rPr>
      </w:pPr>
    </w:p>
    <w:p w:rsidR="007C0719" w:rsidRPr="00B40EDF" w:rsidRDefault="006E76EF" w:rsidP="00FA5866">
      <w:pPr>
        <w:spacing w:after="0" w:line="240" w:lineRule="auto"/>
        <w:rPr>
          <w:rFonts w:eastAsiaTheme="minorEastAsia"/>
        </w:rPr>
      </w:pPr>
      <m:oMath>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j</m:t>
            </m:r>
          </m:sub>
          <m:sup>
            <m:r>
              <w:rPr>
                <w:rFonts w:ascii="Cambria Math" w:eastAsiaTheme="minorEastAsia" w:hAnsi="Cambria Math"/>
              </w:rPr>
              <m:t>2</m:t>
            </m:r>
          </m:sup>
        </m:sSub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j</m:t>
                </m:r>
              </m:sub>
            </m:sSub>
            <m:r>
              <w:rPr>
                <w:rFonts w:ascii="Cambria Math" w:eastAsiaTheme="minorEastAsia" w:hAnsi="Cambria Math"/>
              </w:rPr>
              <m:t>-1</m:t>
            </m:r>
          </m:den>
        </m:f>
        <m:nary>
          <m:naryPr>
            <m:chr m:val="∑"/>
            <m:limLoc m:val="undOvr"/>
            <m:ctrlPr>
              <w:rPr>
                <w:rFonts w:ascii="Cambria Math" w:eastAsiaTheme="minorEastAsia" w:hAnsi="Cambria Math"/>
                <w:i/>
              </w:rPr>
            </m:ctrlPr>
          </m:naryPr>
          <m:sub>
            <m:r>
              <w:rPr>
                <w:rFonts w:ascii="Cambria Math" w:eastAsiaTheme="minorEastAsia" w:hAnsi="Cambria Math"/>
              </w:rPr>
              <m:t>i=1</m:t>
            </m:r>
          </m:sub>
          <m:sup>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j</m:t>
                </m:r>
              </m:sub>
            </m:sSub>
          </m:sup>
          <m:e>
            <m:sSup>
              <m:sSupPr>
                <m:ctrlPr>
                  <w:rPr>
                    <w:rFonts w:ascii="Cambria Math" w:eastAsiaTheme="minorEastAsia" w:hAnsi="Cambria Math"/>
                    <w:i/>
                  </w:rPr>
                </m:ctrlPr>
              </m:sSupPr>
              <m:e>
                <m:r>
                  <w:rPr>
                    <w:rFonts w:ascii="Cambria Math" w:eastAsiaTheme="minorEastAsia" w:hAnsi="Cambria Math"/>
                  </w:rPr>
                  <m:t>(CAR-</m:t>
                </m:r>
                <m:acc>
                  <m:accPr>
                    <m:chr m:val="̅"/>
                    <m:ctrlPr>
                      <w:rPr>
                        <w:rFonts w:ascii="Cambria Math" w:eastAsiaTheme="minorEastAsia" w:hAnsi="Cambria Math"/>
                        <w:i/>
                      </w:rPr>
                    </m:ctrlPr>
                  </m:accPr>
                  <m:e>
                    <m:r>
                      <w:rPr>
                        <w:rFonts w:ascii="Cambria Math" w:eastAsiaTheme="minorEastAsia" w:hAnsi="Cambria Math"/>
                      </w:rPr>
                      <m:t>CAR</m:t>
                    </m:r>
                  </m:e>
                </m:acc>
                <m:r>
                  <w:rPr>
                    <w:rFonts w:ascii="Cambria Math" w:eastAsiaTheme="minorEastAsia" w:hAnsi="Cambria Math"/>
                  </w:rPr>
                  <m:t>)</m:t>
                </m:r>
              </m:e>
              <m:sup>
                <m:r>
                  <w:rPr>
                    <w:rFonts w:ascii="Cambria Math" w:eastAsiaTheme="minorEastAsia" w:hAnsi="Cambria Math"/>
                  </w:rPr>
                  <m:t>2</m:t>
                </m:r>
              </m:sup>
            </m:sSup>
          </m:e>
        </m:nary>
      </m:oMath>
      <w:r w:rsidR="007C0719">
        <w:rPr>
          <w:rFonts w:eastAsiaTheme="minorEastAsia"/>
        </w:rPr>
        <w:t xml:space="preserve"> </w:t>
      </w:r>
      <w:r w:rsidR="007C0719">
        <w:rPr>
          <w:rFonts w:eastAsiaTheme="minorEastAsia"/>
        </w:rPr>
        <w:tab/>
      </w:r>
      <w:r w:rsidR="007C0719">
        <w:rPr>
          <w:rFonts w:eastAsiaTheme="minorEastAsia"/>
        </w:rPr>
        <w:tab/>
      </w:r>
      <w:r w:rsidR="007C0719">
        <w:rPr>
          <w:rFonts w:eastAsiaTheme="minorEastAsia"/>
        </w:rPr>
        <w:tab/>
      </w:r>
      <w:r w:rsidR="007C0719">
        <w:rPr>
          <w:rFonts w:eastAsiaTheme="minorEastAsia"/>
        </w:rPr>
        <w:tab/>
      </w:r>
      <w:r w:rsidR="007C0719">
        <w:rPr>
          <w:rFonts w:eastAsiaTheme="minorEastAsia"/>
        </w:rPr>
        <w:tab/>
        <w:t xml:space="preserve">        </w:t>
      </w:r>
      <w:r w:rsidR="00DF67CC">
        <w:rPr>
          <w:rFonts w:eastAsiaTheme="minorEastAsia"/>
        </w:rPr>
        <w:t xml:space="preserve">  Eq. (17</w:t>
      </w:r>
      <w:r w:rsidR="007C0719">
        <w:rPr>
          <w:rFonts w:eastAsiaTheme="minorEastAsia"/>
        </w:rPr>
        <w:t>)</w:t>
      </w:r>
    </w:p>
    <w:p w:rsidR="00DF67CC" w:rsidRDefault="00DF67CC" w:rsidP="00FA5866">
      <w:pPr>
        <w:spacing w:after="0" w:line="240" w:lineRule="auto"/>
        <w:rPr>
          <w:rFonts w:eastAsiaTheme="minorEastAsia"/>
        </w:rPr>
      </w:pPr>
    </w:p>
    <w:p w:rsidR="008153EF" w:rsidRDefault="00DC173F" w:rsidP="00FA5866">
      <w:pPr>
        <w:spacing w:after="0" w:line="240" w:lineRule="auto"/>
        <w:rPr>
          <w:rFonts w:eastAsiaTheme="minorEastAsia"/>
        </w:rPr>
      </w:pPr>
      <w:r w:rsidRPr="00776F62">
        <w:rPr>
          <w:rFonts w:eastAsiaTheme="minorEastAsia"/>
        </w:rPr>
        <w:lastRenderedPageBreak/>
        <w:t xml:space="preserve">Para prever os efeitos nos lucros </w:t>
      </w:r>
      <w:r w:rsidR="00FD353C">
        <w:rPr>
          <w:rFonts w:eastAsiaTheme="minorEastAsia"/>
          <w:i/>
        </w:rPr>
        <w:t>ex</w:t>
      </w:r>
      <w:r w:rsidR="007C0719">
        <w:rPr>
          <w:rFonts w:eastAsiaTheme="minorEastAsia"/>
          <w:i/>
        </w:rPr>
        <w:t xml:space="preserve"> </w:t>
      </w:r>
      <w:proofErr w:type="spellStart"/>
      <w:r w:rsidRPr="006452BA">
        <w:rPr>
          <w:rFonts w:eastAsiaTheme="minorEastAsia"/>
          <w:i/>
        </w:rPr>
        <w:t>p</w:t>
      </w:r>
      <w:r w:rsidR="0028162F">
        <w:rPr>
          <w:rFonts w:eastAsiaTheme="minorEastAsia"/>
          <w:i/>
        </w:rPr>
        <w:t>o</w:t>
      </w:r>
      <w:r w:rsidRPr="006452BA">
        <w:rPr>
          <w:rFonts w:eastAsiaTheme="minorEastAsia"/>
          <w:i/>
        </w:rPr>
        <w:t>st</w:t>
      </w:r>
      <w:proofErr w:type="spellEnd"/>
      <w:r w:rsidR="007C0719">
        <w:rPr>
          <w:rFonts w:eastAsiaTheme="minorEastAsia"/>
          <w:i/>
        </w:rPr>
        <w:t xml:space="preserve"> </w:t>
      </w:r>
      <w:r w:rsidRPr="00776F62">
        <w:rPr>
          <w:rFonts w:eastAsiaTheme="minorEastAsia"/>
        </w:rPr>
        <w:t>de uma fusão</w:t>
      </w:r>
      <w:r w:rsidR="0028162F">
        <w:rPr>
          <w:rFonts w:eastAsiaTheme="minorEastAsia"/>
        </w:rPr>
        <w:t>,</w:t>
      </w:r>
      <w:r w:rsidR="00746F8A">
        <w:rPr>
          <w:rFonts w:eastAsiaTheme="minorEastAsia"/>
        </w:rPr>
        <w:t xml:space="preserve"> utilizou</w:t>
      </w:r>
      <w:r w:rsidRPr="00776F62">
        <w:rPr>
          <w:rFonts w:eastAsiaTheme="minorEastAsia"/>
        </w:rPr>
        <w:t xml:space="preserve">-se a metodologia proposta por </w:t>
      </w:r>
      <w:proofErr w:type="spellStart"/>
      <w:r w:rsidRPr="00776F62">
        <w:rPr>
          <w:rFonts w:eastAsiaTheme="minorEastAsia"/>
        </w:rPr>
        <w:t>Gugler</w:t>
      </w:r>
      <w:proofErr w:type="spellEnd"/>
      <w:r w:rsidR="00BC0DFB">
        <w:rPr>
          <w:rFonts w:eastAsiaTheme="minorEastAsia"/>
        </w:rPr>
        <w:t xml:space="preserve"> </w:t>
      </w:r>
      <w:proofErr w:type="spellStart"/>
      <w:proofErr w:type="gramStart"/>
      <w:r w:rsidRPr="00E5455D">
        <w:rPr>
          <w:rFonts w:eastAsiaTheme="minorEastAsia"/>
          <w:i/>
        </w:rPr>
        <w:t>et</w:t>
      </w:r>
      <w:proofErr w:type="spellEnd"/>
      <w:proofErr w:type="gramEnd"/>
      <w:r w:rsidRPr="00E5455D">
        <w:rPr>
          <w:rFonts w:eastAsiaTheme="minorEastAsia"/>
          <w:i/>
        </w:rPr>
        <w:t xml:space="preserve"> al</w:t>
      </w:r>
      <w:r w:rsidR="0028162F">
        <w:rPr>
          <w:rFonts w:eastAsiaTheme="minorEastAsia"/>
          <w:i/>
        </w:rPr>
        <w:t>.</w:t>
      </w:r>
      <w:r w:rsidRPr="00776F62">
        <w:rPr>
          <w:rFonts w:eastAsiaTheme="minorEastAsia"/>
        </w:rPr>
        <w:t xml:space="preserve"> (2003). O método compara os níveis de lucro reportados pós-fusão com os lucros previstos na ausência da fusão. Também neste caso, a questã</w:t>
      </w:r>
      <w:r w:rsidR="0028162F">
        <w:rPr>
          <w:rFonts w:eastAsiaTheme="minorEastAsia"/>
        </w:rPr>
        <w:t>o central é a criação do contra</w:t>
      </w:r>
      <w:r w:rsidRPr="00776F62">
        <w:rPr>
          <w:rFonts w:eastAsiaTheme="minorEastAsia"/>
        </w:rPr>
        <w:t>factual correto. O con</w:t>
      </w:r>
      <w:r w:rsidR="0028162F">
        <w:rPr>
          <w:rFonts w:eastAsiaTheme="minorEastAsia"/>
        </w:rPr>
        <w:t>tra</w:t>
      </w:r>
      <w:r w:rsidRPr="00776F62">
        <w:rPr>
          <w:rFonts w:eastAsiaTheme="minorEastAsia"/>
        </w:rPr>
        <w:t xml:space="preserve">factual escolhido é a evolução dos lucros e dos ativos totais da firma </w:t>
      </w:r>
      <w:r w:rsidR="00441A4E">
        <w:rPr>
          <w:rFonts w:eastAsiaTheme="minorEastAsia"/>
        </w:rPr>
        <w:t>mediana</w:t>
      </w:r>
      <w:r w:rsidRPr="00776F62">
        <w:rPr>
          <w:rFonts w:eastAsiaTheme="minorEastAsia"/>
        </w:rPr>
        <w:t xml:space="preserve"> na mesma indústria </w:t>
      </w:r>
      <w:r w:rsidR="00E5455D">
        <w:rPr>
          <w:rFonts w:eastAsiaTheme="minorEastAsia"/>
        </w:rPr>
        <w:t xml:space="preserve">em </w:t>
      </w:r>
      <w:r w:rsidRPr="00776F62">
        <w:rPr>
          <w:rFonts w:eastAsiaTheme="minorEastAsia"/>
        </w:rPr>
        <w:t>que as firmas fusionadas e as rivais operam</w:t>
      </w:r>
      <w:r w:rsidR="008153EF">
        <w:rPr>
          <w:rFonts w:eastAsiaTheme="minorEastAsia"/>
        </w:rPr>
        <w:t>.</w:t>
      </w:r>
    </w:p>
    <w:p w:rsidR="00DC173F" w:rsidRDefault="00DC173F" w:rsidP="00FA5866">
      <w:pPr>
        <w:spacing w:after="0" w:line="240" w:lineRule="auto"/>
        <w:rPr>
          <w:rFonts w:eastAsiaTheme="minorEastAsia"/>
        </w:rPr>
      </w:pPr>
      <w:r w:rsidRPr="00776F62">
        <w:rPr>
          <w:rFonts w:eastAsiaTheme="minorEastAsia"/>
        </w:rPr>
        <w:t xml:space="preserve">A mudança projetada nos retornos </w:t>
      </w:r>
      <w:r w:rsidR="007C0719">
        <w:rPr>
          <w:rFonts w:eastAsiaTheme="minorEastAsia"/>
        </w:rPr>
        <w:t xml:space="preserve">sobre </w:t>
      </w:r>
      <w:r w:rsidR="00E5455D">
        <w:rPr>
          <w:rFonts w:eastAsiaTheme="minorEastAsia"/>
        </w:rPr>
        <w:t>os ativos da firma adquirente d</w:t>
      </w:r>
      <w:r w:rsidRPr="00776F62">
        <w:rPr>
          <w:rFonts w:eastAsiaTheme="minorEastAsia"/>
        </w:rPr>
        <w:t xml:space="preserve">o ano </w:t>
      </w:r>
      <m:oMath>
        <m:r>
          <w:rPr>
            <w:rFonts w:ascii="Cambria Math" w:eastAsiaTheme="minorEastAsia" w:hAnsi="Cambria Math"/>
          </w:rPr>
          <m:t>t</m:t>
        </m:r>
        <m:r>
          <w:rPr>
            <w:rFonts w:eastAsiaTheme="minorEastAsia"/>
          </w:rPr>
          <m:t>-</m:t>
        </m:r>
        <w:proofErr w:type="gramStart"/>
        <m:r>
          <w:rPr>
            <w:rFonts w:ascii="Cambria Math" w:eastAsiaTheme="minorEastAsia"/>
          </w:rPr>
          <m:t>1</m:t>
        </m:r>
      </m:oMath>
      <w:proofErr w:type="gramEnd"/>
      <w:r w:rsidRPr="00776F62">
        <w:rPr>
          <w:rFonts w:eastAsiaTheme="minorEastAsia"/>
        </w:rPr>
        <w:t xml:space="preserve"> ao ano </w:t>
      </w:r>
      <m:oMath>
        <m:r>
          <w:rPr>
            <w:rFonts w:ascii="Cambria Math" w:eastAsiaTheme="minorEastAsia" w:hAnsi="Cambria Math"/>
          </w:rPr>
          <m:t>t</m:t>
        </m:r>
        <m:r>
          <w:rPr>
            <w:rFonts w:ascii="Cambria Math" w:eastAsiaTheme="minorEastAsia"/>
          </w:rPr>
          <m:t>+</m:t>
        </m:r>
        <m:r>
          <w:rPr>
            <w:rFonts w:ascii="Cambria Math" w:eastAsiaTheme="minorEastAsia" w:hAnsi="Cambria Math"/>
          </w:rPr>
          <m:t>n</m:t>
        </m:r>
      </m:oMath>
      <w:r w:rsidRPr="00776F62">
        <w:rPr>
          <w:rFonts w:eastAsiaTheme="minorEastAsia"/>
        </w:rPr>
        <w:t xml:space="preserve"> é definida como:</w:t>
      </w:r>
    </w:p>
    <w:p w:rsidR="00DF67CC" w:rsidRPr="00776F62" w:rsidRDefault="00DF67CC" w:rsidP="00FA5866">
      <w:pPr>
        <w:spacing w:after="0" w:line="240" w:lineRule="auto"/>
        <w:rPr>
          <w:rFonts w:eastAsiaTheme="minorEastAsia"/>
        </w:rPr>
      </w:pPr>
    </w:p>
    <w:p w:rsidR="00DC173F" w:rsidRPr="00776F62" w:rsidRDefault="006E76EF" w:rsidP="00FA5866">
      <w:pPr>
        <w:spacing w:after="0" w:line="240" w:lineRule="auto"/>
        <w:rPr>
          <w:rFonts w:eastAsiaTheme="minorEastAsia"/>
        </w:rPr>
      </w:pPr>
      <m:oMath>
        <m:sSub>
          <m:sSubPr>
            <m:ctrlPr>
              <w:rPr>
                <w:rFonts w:ascii="Cambria Math" w:eastAsiaTheme="minorEastAsia" w:hAnsi="Cambria Math"/>
                <w:i/>
              </w:rPr>
            </m:ctrlPr>
          </m:sSubPr>
          <m:e>
            <m:r>
              <w:rPr>
                <w:rFonts w:eastAsiaTheme="minorEastAsia"/>
              </w:rPr>
              <m:t>∆</m:t>
            </m:r>
          </m:e>
          <m:sub>
            <m:r>
              <w:rPr>
                <w:rFonts w:ascii="Cambria Math" w:eastAsiaTheme="minorEastAsia" w:hAnsi="Cambria Math"/>
              </w:rPr>
              <m:t>IG</m:t>
            </m:r>
            <m:r>
              <w:rPr>
                <w:rFonts w:ascii="Cambria Math" w:eastAsiaTheme="minorEastAsia"/>
              </w:rPr>
              <m:t>,</m:t>
            </m:r>
            <m:r>
              <w:rPr>
                <w:rFonts w:ascii="Cambria Math" w:eastAsiaTheme="minorEastAsia" w:hAnsi="Cambria Math"/>
              </w:rPr>
              <m:t>t</m:t>
            </m:r>
            <m:r>
              <w:rPr>
                <w:rFonts w:eastAsiaTheme="minorEastAsia"/>
              </w:rPr>
              <m:t>-</m:t>
            </m:r>
            <m:r>
              <w:rPr>
                <w:rFonts w:ascii="Cambria Math" w:eastAsiaTheme="minorEastAsia"/>
              </w:rPr>
              <m:t>1,</m:t>
            </m:r>
            <m:r>
              <w:rPr>
                <w:rFonts w:ascii="Cambria Math" w:eastAsiaTheme="minorEastAsia" w:hAnsi="Cambria Math"/>
              </w:rPr>
              <m:t>t</m:t>
            </m:r>
            <m:r>
              <w:rPr>
                <w:rFonts w:ascii="Cambria Math" w:eastAsiaTheme="minorEastAsia"/>
              </w:rPr>
              <m:t>+</m:t>
            </m:r>
            <m:r>
              <w:rPr>
                <w:rFonts w:ascii="Cambria Math" w:eastAsiaTheme="minorEastAsia" w:hAnsi="Cambria Math"/>
              </w:rPr>
              <m:t>n</m:t>
            </m:r>
          </m:sub>
        </m:sSub>
        <m:r>
          <w:rPr>
            <w:rFonts w:ascii="Cambria Math" w:eastAsiaTheme="minorEastAsia"/>
          </w:rPr>
          <m:t>=</m:t>
        </m:r>
        <m:f>
          <m:fPr>
            <m:ctrlPr>
              <w:rPr>
                <w:rFonts w:ascii="Cambria Math" w:eastAsiaTheme="minorEastAsia" w:hAnsi="Cambria Math"/>
                <w:i/>
              </w:rPr>
            </m:ctrlPr>
          </m:fPr>
          <m:num>
            <m:sSub>
              <m:sSubPr>
                <m:ctrlPr>
                  <w:rPr>
                    <w:rFonts w:ascii="Cambria Math" w:eastAsiaTheme="minorEastAsia" w:hAnsi="Cambria Math"/>
                    <w:i/>
                  </w:rPr>
                </m:ctrlPr>
              </m:sSubPr>
              <m:e>
                <m:r>
                  <m:rPr>
                    <m:sty m:val="p"/>
                  </m:rPr>
                  <w:rPr>
                    <w:rFonts w:ascii="Cambria Math" w:eastAsiaTheme="minorEastAsia"/>
                  </w:rPr>
                  <m:t>Π</m:t>
                </m:r>
                <m:ctrlPr>
                  <w:rPr>
                    <w:rFonts w:ascii="Cambria Math" w:eastAsiaTheme="minorEastAsia" w:hAnsi="Cambria Math"/>
                  </w:rPr>
                </m:ctrlPr>
              </m:e>
              <m:sub>
                <m:r>
                  <w:rPr>
                    <w:rFonts w:ascii="Cambria Math" w:eastAsiaTheme="minorEastAsia" w:hAnsi="Cambria Math"/>
                  </w:rPr>
                  <m:t>IGt</m:t>
                </m:r>
                <m:r>
                  <w:rPr>
                    <w:rFonts w:ascii="Cambria Math" w:eastAsiaTheme="minorEastAsia"/>
                  </w:rPr>
                  <m:t>+</m:t>
                </m:r>
                <m:r>
                  <w:rPr>
                    <w:rFonts w:ascii="Cambria Math" w:eastAsiaTheme="minorEastAsia" w:hAnsi="Cambria Math"/>
                  </w:rPr>
                  <m:t>n</m:t>
                </m:r>
              </m:sub>
            </m:sSub>
          </m:num>
          <m:den>
            <m:sSub>
              <m:sSubPr>
                <m:ctrlPr>
                  <w:rPr>
                    <w:rFonts w:ascii="Cambria Math" w:eastAsiaTheme="minorEastAsia" w:hAnsi="Cambria Math"/>
                    <w:i/>
                  </w:rPr>
                </m:ctrlPr>
              </m:sSubPr>
              <m:e>
                <m:r>
                  <m:rPr>
                    <m:sty m:val="p"/>
                  </m:rPr>
                  <w:rPr>
                    <w:rFonts w:ascii="Cambria Math" w:eastAsiaTheme="minorEastAsia"/>
                  </w:rPr>
                  <m:t>K</m:t>
                </m:r>
                <m:ctrlPr>
                  <w:rPr>
                    <w:rFonts w:ascii="Cambria Math" w:eastAsiaTheme="minorEastAsia" w:hAnsi="Cambria Math"/>
                  </w:rPr>
                </m:ctrlPr>
              </m:e>
              <m:sub>
                <m:r>
                  <w:rPr>
                    <w:rFonts w:ascii="Cambria Math" w:eastAsiaTheme="minorEastAsia" w:hAnsi="Cambria Math"/>
                  </w:rPr>
                  <m:t>IGt</m:t>
                </m:r>
                <m:r>
                  <w:rPr>
                    <w:rFonts w:ascii="Cambria Math" w:eastAsiaTheme="minorEastAsia"/>
                  </w:rPr>
                  <m:t>+</m:t>
                </m:r>
                <m:r>
                  <w:rPr>
                    <w:rFonts w:ascii="Cambria Math" w:eastAsiaTheme="minorEastAsia" w:hAnsi="Cambria Math"/>
                  </w:rPr>
                  <m:t>n</m:t>
                </m:r>
              </m:sub>
            </m:sSub>
          </m:den>
        </m:f>
        <m:r>
          <w:rPr>
            <w:rFonts w:eastAsiaTheme="minorEastAsia"/>
          </w:rPr>
          <m:t>-</m:t>
        </m:r>
        <m:f>
          <m:fPr>
            <m:ctrlPr>
              <w:rPr>
                <w:rFonts w:ascii="Cambria Math" w:eastAsiaTheme="minorEastAsia" w:hAnsi="Cambria Math"/>
                <w:i/>
              </w:rPr>
            </m:ctrlPr>
          </m:fPr>
          <m:num>
            <m:sSub>
              <m:sSubPr>
                <m:ctrlPr>
                  <w:rPr>
                    <w:rFonts w:ascii="Cambria Math" w:eastAsiaTheme="minorEastAsia" w:hAnsi="Cambria Math"/>
                    <w:i/>
                  </w:rPr>
                </m:ctrlPr>
              </m:sSubPr>
              <m:e>
                <m:r>
                  <m:rPr>
                    <m:sty m:val="p"/>
                  </m:rPr>
                  <w:rPr>
                    <w:rFonts w:ascii="Cambria Math" w:eastAsiaTheme="minorEastAsia"/>
                  </w:rPr>
                  <m:t>Π</m:t>
                </m:r>
                <m:ctrlPr>
                  <w:rPr>
                    <w:rFonts w:ascii="Cambria Math" w:eastAsiaTheme="minorEastAsia" w:hAnsi="Cambria Math"/>
                  </w:rPr>
                </m:ctrlPr>
              </m:e>
              <m:sub>
                <m:r>
                  <w:rPr>
                    <w:rFonts w:ascii="Cambria Math" w:eastAsiaTheme="minorEastAsia" w:hAnsi="Cambria Math"/>
                  </w:rPr>
                  <m:t>IGt</m:t>
                </m:r>
                <m:r>
                  <w:rPr>
                    <w:rFonts w:eastAsiaTheme="minorEastAsia"/>
                  </w:rPr>
                  <m:t>-</m:t>
                </m:r>
                <m:r>
                  <w:rPr>
                    <w:rFonts w:ascii="Cambria Math" w:eastAsiaTheme="minorEastAsia"/>
                  </w:rPr>
                  <m:t>1</m:t>
                </m:r>
              </m:sub>
            </m:sSub>
          </m:num>
          <m:den>
            <m:sSub>
              <m:sSubPr>
                <m:ctrlPr>
                  <w:rPr>
                    <w:rFonts w:ascii="Cambria Math" w:eastAsiaTheme="minorEastAsia" w:hAnsi="Cambria Math"/>
                    <w:i/>
                  </w:rPr>
                </m:ctrlPr>
              </m:sSubPr>
              <m:e>
                <m:r>
                  <m:rPr>
                    <m:sty m:val="p"/>
                  </m:rPr>
                  <w:rPr>
                    <w:rFonts w:ascii="Cambria Math" w:eastAsiaTheme="minorEastAsia"/>
                  </w:rPr>
                  <m:t>K</m:t>
                </m:r>
                <m:ctrlPr>
                  <w:rPr>
                    <w:rFonts w:ascii="Cambria Math" w:eastAsiaTheme="minorEastAsia" w:hAnsi="Cambria Math"/>
                  </w:rPr>
                </m:ctrlPr>
              </m:e>
              <m:sub>
                <m:r>
                  <w:rPr>
                    <w:rFonts w:ascii="Cambria Math" w:eastAsiaTheme="minorEastAsia" w:hAnsi="Cambria Math"/>
                  </w:rPr>
                  <m:t>IGt</m:t>
                </m:r>
                <m:r>
                  <w:rPr>
                    <w:rFonts w:eastAsiaTheme="minorEastAsia"/>
                  </w:rPr>
                  <m:t>-</m:t>
                </m:r>
                <m:r>
                  <w:rPr>
                    <w:rFonts w:ascii="Cambria Math" w:eastAsiaTheme="minorEastAsia"/>
                  </w:rPr>
                  <m:t>1</m:t>
                </m:r>
              </m:sub>
            </m:sSub>
          </m:den>
        </m:f>
      </m:oMath>
      <w:r w:rsidR="00DF67CC">
        <w:rPr>
          <w:rFonts w:eastAsiaTheme="minorEastAsia"/>
        </w:rPr>
        <w:t xml:space="preserve"> </w:t>
      </w:r>
      <w:r w:rsidR="00DF67CC">
        <w:rPr>
          <w:rFonts w:eastAsiaTheme="minorEastAsia"/>
        </w:rPr>
        <w:tab/>
      </w:r>
      <w:r w:rsidR="00DF67CC">
        <w:rPr>
          <w:rFonts w:eastAsiaTheme="minorEastAsia"/>
        </w:rPr>
        <w:tab/>
      </w:r>
      <w:r w:rsidR="00DF67CC">
        <w:rPr>
          <w:rFonts w:eastAsiaTheme="minorEastAsia"/>
        </w:rPr>
        <w:tab/>
      </w:r>
      <w:r w:rsidR="00DF67CC">
        <w:rPr>
          <w:rFonts w:eastAsiaTheme="minorEastAsia"/>
        </w:rPr>
        <w:tab/>
      </w:r>
      <w:r w:rsidR="00DF67CC">
        <w:rPr>
          <w:rFonts w:eastAsiaTheme="minorEastAsia"/>
        </w:rPr>
        <w:tab/>
      </w:r>
      <w:r w:rsidR="00DF67CC">
        <w:rPr>
          <w:rFonts w:eastAsiaTheme="minorEastAsia"/>
        </w:rPr>
        <w:tab/>
        <w:t xml:space="preserve">          Eq. (18</w:t>
      </w:r>
      <w:r w:rsidR="007C0719">
        <w:rPr>
          <w:rFonts w:eastAsiaTheme="minorEastAsia"/>
        </w:rPr>
        <w:t>)</w:t>
      </w:r>
    </w:p>
    <w:p w:rsidR="00DF67CC" w:rsidRDefault="00DF67CC" w:rsidP="00FA5866">
      <w:pPr>
        <w:spacing w:after="0" w:line="240" w:lineRule="auto"/>
        <w:rPr>
          <w:rFonts w:eastAsiaTheme="minorEastAsia"/>
        </w:rPr>
      </w:pPr>
    </w:p>
    <w:p w:rsidR="00DC173F" w:rsidRPr="00776F62" w:rsidRDefault="00E5455D" w:rsidP="00FA5866">
      <w:pPr>
        <w:spacing w:after="0" w:line="240" w:lineRule="auto"/>
        <w:rPr>
          <w:rFonts w:eastAsiaTheme="minorEastAsia"/>
        </w:rPr>
      </w:pPr>
      <w:proofErr w:type="gramStart"/>
      <w:r>
        <w:rPr>
          <w:rFonts w:eastAsiaTheme="minorEastAsia"/>
        </w:rPr>
        <w:t>em</w:t>
      </w:r>
      <w:proofErr w:type="gramEnd"/>
      <w:r>
        <w:rPr>
          <w:rFonts w:eastAsiaTheme="minorEastAsia"/>
        </w:rPr>
        <w:t xml:space="preserve"> que</w:t>
      </w:r>
      <m:oMath>
        <m:r>
          <w:rPr>
            <w:rFonts w:ascii="Cambria Math" w:eastAsiaTheme="minorEastAsia" w:hAnsi="Cambria Math"/>
          </w:rPr>
          <m:t xml:space="preserve"> </m:t>
        </m:r>
        <m:sSub>
          <m:sSubPr>
            <m:ctrlPr>
              <w:rPr>
                <w:rFonts w:ascii="Cambria Math" w:eastAsiaTheme="minorEastAsia" w:hAnsi="Cambria Math"/>
                <w:i/>
              </w:rPr>
            </m:ctrlPr>
          </m:sSubPr>
          <m:e>
            <m:r>
              <m:rPr>
                <m:sty m:val="p"/>
              </m:rPr>
              <w:rPr>
                <w:rFonts w:ascii="Cambria Math" w:eastAsiaTheme="minorEastAsia"/>
              </w:rPr>
              <m:t>Π</m:t>
            </m:r>
            <m:ctrlPr>
              <w:rPr>
                <w:rFonts w:ascii="Cambria Math" w:eastAsiaTheme="minorEastAsia" w:hAnsi="Cambria Math"/>
              </w:rPr>
            </m:ctrlPr>
          </m:e>
          <m:sub>
            <m:r>
              <w:rPr>
                <w:rFonts w:ascii="Cambria Math" w:eastAsiaTheme="minorEastAsia" w:hAnsi="Cambria Math"/>
              </w:rPr>
              <m:t>IGt</m:t>
            </m:r>
            <m:r>
              <w:rPr>
                <w:rFonts w:ascii="Cambria Math" w:eastAsiaTheme="minorEastAsia"/>
              </w:rPr>
              <m:t>+</m:t>
            </m:r>
            <m:r>
              <w:rPr>
                <w:rFonts w:ascii="Cambria Math" w:eastAsiaTheme="minorEastAsia" w:hAnsi="Cambria Math"/>
              </w:rPr>
              <m:t>n</m:t>
            </m:r>
          </m:sub>
        </m:sSub>
      </m:oMath>
      <w:r w:rsidR="00DC173F" w:rsidRPr="00776F62">
        <w:rPr>
          <w:rFonts w:eastAsiaTheme="minorEastAsia"/>
        </w:rPr>
        <w:t xml:space="preserve"> e </w:t>
      </w:r>
      <m:oMath>
        <m:sSub>
          <m:sSubPr>
            <m:ctrlPr>
              <w:rPr>
                <w:rFonts w:ascii="Cambria Math" w:eastAsiaTheme="minorEastAsia" w:hAnsi="Cambria Math"/>
                <w:i/>
              </w:rPr>
            </m:ctrlPr>
          </m:sSubPr>
          <m:e>
            <m:r>
              <m:rPr>
                <m:sty m:val="p"/>
              </m:rPr>
              <w:rPr>
                <w:rFonts w:ascii="Cambria Math" w:eastAsiaTheme="minorEastAsia"/>
              </w:rPr>
              <m:t>K</m:t>
            </m:r>
            <m:ctrlPr>
              <w:rPr>
                <w:rFonts w:ascii="Cambria Math" w:eastAsiaTheme="minorEastAsia" w:hAnsi="Cambria Math"/>
              </w:rPr>
            </m:ctrlPr>
          </m:e>
          <m:sub>
            <m:r>
              <w:rPr>
                <w:rFonts w:ascii="Cambria Math" w:eastAsiaTheme="minorEastAsia" w:hAnsi="Cambria Math"/>
              </w:rPr>
              <m:t>IGt</m:t>
            </m:r>
            <m:r>
              <w:rPr>
                <w:rFonts w:ascii="Cambria Math" w:eastAsiaTheme="minorEastAsia"/>
              </w:rPr>
              <m:t>+</m:t>
            </m:r>
            <m:r>
              <w:rPr>
                <w:rFonts w:ascii="Cambria Math" w:eastAsiaTheme="minorEastAsia" w:hAnsi="Cambria Math"/>
              </w:rPr>
              <m:t>n</m:t>
            </m:r>
          </m:sub>
        </m:sSub>
        <m:r>
          <w:rPr>
            <w:rFonts w:ascii="Cambria Math" w:eastAsiaTheme="minorEastAsia" w:hAnsi="Cambria Math"/>
          </w:rPr>
          <m:t xml:space="preserve"> </m:t>
        </m:r>
      </m:oMath>
      <w:r w:rsidR="009C3F84" w:rsidRPr="00776F62">
        <w:rPr>
          <w:rFonts w:eastAsiaTheme="minorEastAsia"/>
        </w:rPr>
        <w:t xml:space="preserve">são </w:t>
      </w:r>
      <w:r w:rsidR="009C3F84">
        <w:rPr>
          <w:rFonts w:eastAsiaTheme="minorEastAsia"/>
        </w:rPr>
        <w:t xml:space="preserve">respectivamente </w:t>
      </w:r>
      <w:r w:rsidR="009C3F84" w:rsidRPr="00776F62">
        <w:rPr>
          <w:rFonts w:eastAsiaTheme="minorEastAsia"/>
        </w:rPr>
        <w:t xml:space="preserve">os lucros </w:t>
      </w:r>
      <w:r w:rsidR="009C3F84">
        <w:rPr>
          <w:rFonts w:eastAsiaTheme="minorEastAsia"/>
        </w:rPr>
        <w:t>e os ativos da firma m</w:t>
      </w:r>
      <w:r w:rsidR="00746F8A">
        <w:rPr>
          <w:rFonts w:eastAsiaTheme="minorEastAsia"/>
        </w:rPr>
        <w:t>ediana</w:t>
      </w:r>
      <w:r w:rsidR="00DC173F" w:rsidRPr="00776F62">
        <w:rPr>
          <w:rFonts w:eastAsiaTheme="minorEastAsia"/>
        </w:rPr>
        <w:t xml:space="preserve"> na me</w:t>
      </w:r>
      <w:r w:rsidR="009C3F84">
        <w:rPr>
          <w:rFonts w:eastAsiaTheme="minorEastAsia"/>
        </w:rPr>
        <w:t>sma indústria da firma adquirente</w:t>
      </w:r>
      <w:r w:rsidR="00DC173F" w:rsidRPr="00776F62">
        <w:rPr>
          <w:rFonts w:eastAsiaTheme="minorEastAsia"/>
        </w:rPr>
        <w:t xml:space="preserve"> no ano </w:t>
      </w:r>
      <m:oMath>
        <m:r>
          <w:rPr>
            <w:rFonts w:ascii="Cambria Math" w:eastAsiaTheme="minorEastAsia" w:hAnsi="Cambria Math"/>
          </w:rPr>
          <m:t>t</m:t>
        </m:r>
        <m:r>
          <w:rPr>
            <w:rFonts w:ascii="Cambria Math" w:eastAsiaTheme="minorEastAsia"/>
          </w:rPr>
          <m:t>+</m:t>
        </m:r>
        <m:r>
          <w:rPr>
            <w:rFonts w:ascii="Cambria Math" w:eastAsiaTheme="minorEastAsia" w:hAnsi="Cambria Math"/>
          </w:rPr>
          <m:t>n</m:t>
        </m:r>
      </m:oMath>
      <w:r w:rsidR="00DC173F" w:rsidRPr="00776F62">
        <w:rPr>
          <w:rFonts w:eastAsiaTheme="minorEastAsia"/>
        </w:rPr>
        <w:t xml:space="preserve">. </w:t>
      </w:r>
      <w:r w:rsidR="009C3F84">
        <w:rPr>
          <w:rFonts w:eastAsiaTheme="minorEastAsia"/>
        </w:rPr>
        <w:t>Analogamente, d</w:t>
      </w:r>
      <w:r>
        <w:rPr>
          <w:rFonts w:eastAsiaTheme="minorEastAsia"/>
        </w:rPr>
        <w:t>efine</w:t>
      </w:r>
      <w:r w:rsidR="00DC173F" w:rsidRPr="00776F62">
        <w:rPr>
          <w:rFonts w:eastAsiaTheme="minorEastAsia"/>
        </w:rPr>
        <w:t xml:space="preserve">-se </w:t>
      </w:r>
      <m:oMath>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ID</m:t>
            </m:r>
            <w:proofErr w:type="gramStart"/>
            <m:r>
              <w:rPr>
                <w:rFonts w:ascii="Cambria Math" w:eastAsiaTheme="minorEastAsia"/>
              </w:rPr>
              <m:t>,</m:t>
            </m:r>
            <w:proofErr w:type="gramEnd"/>
            <m:r>
              <w:rPr>
                <w:rFonts w:ascii="Cambria Math" w:eastAsiaTheme="minorEastAsia" w:hAnsi="Cambria Math"/>
              </w:rPr>
              <m:t>t-</m:t>
            </m:r>
            <m:r>
              <w:rPr>
                <w:rFonts w:ascii="Cambria Math" w:eastAsiaTheme="minorEastAsia"/>
              </w:rPr>
              <m:t>1,</m:t>
            </m:r>
            <m:r>
              <w:rPr>
                <w:rFonts w:ascii="Cambria Math" w:eastAsiaTheme="minorEastAsia" w:hAnsi="Cambria Math"/>
              </w:rPr>
              <m:t>t</m:t>
            </m:r>
            <m:r>
              <w:rPr>
                <w:rFonts w:ascii="Cambria Math" w:eastAsiaTheme="minorEastAsia"/>
              </w:rPr>
              <m:t>+</m:t>
            </m:r>
            <m:r>
              <w:rPr>
                <w:rFonts w:ascii="Cambria Math" w:eastAsiaTheme="minorEastAsia" w:hAnsi="Cambria Math"/>
              </w:rPr>
              <m:t>n</m:t>
            </m:r>
          </m:sub>
        </m:sSub>
      </m:oMath>
      <w:r w:rsidR="00DC173F" w:rsidRPr="00776F62">
        <w:rPr>
          <w:rFonts w:eastAsiaTheme="minorEastAsia"/>
        </w:rPr>
        <w:t xml:space="preserve"> para a indústria da firma adquirida</w:t>
      </w:r>
      <w:r w:rsidR="009C3F84">
        <w:rPr>
          <w:rFonts w:eastAsiaTheme="minorEastAsia"/>
        </w:rPr>
        <w:t xml:space="preserve">. </w:t>
      </w:r>
      <w:r w:rsidR="00DC173F" w:rsidRPr="00776F62">
        <w:rPr>
          <w:rFonts w:eastAsiaTheme="minorEastAsia"/>
        </w:rPr>
        <w:t xml:space="preserve">Os lucros previstos da firma fusionada </w:t>
      </w:r>
      <m:oMath>
        <m:r>
          <w:rPr>
            <w:rFonts w:ascii="Cambria Math" w:eastAsiaTheme="minorEastAsia" w:hAnsi="Cambria Math"/>
          </w:rPr>
          <m:t>M</m:t>
        </m:r>
      </m:oMath>
      <w:r w:rsidR="00DC173F" w:rsidRPr="00776F62">
        <w:rPr>
          <w:rFonts w:eastAsiaTheme="minorEastAsia"/>
        </w:rPr>
        <w:t xml:space="preserve"> no ano </w:t>
      </w:r>
      <m:oMath>
        <m:r>
          <w:rPr>
            <w:rFonts w:ascii="Cambria Math" w:eastAsiaTheme="minorEastAsia" w:hAnsi="Cambria Math"/>
          </w:rPr>
          <m:t>t</m:t>
        </m:r>
        <m:r>
          <w:rPr>
            <w:rFonts w:ascii="Cambria Math" w:eastAsiaTheme="minorEastAsia"/>
          </w:rPr>
          <m:t>+</m:t>
        </m:r>
        <m:r>
          <w:rPr>
            <w:rFonts w:ascii="Cambria Math" w:eastAsiaTheme="minorEastAsia" w:hAnsi="Cambria Math"/>
          </w:rPr>
          <m:t>n</m:t>
        </m:r>
      </m:oMath>
      <w:r w:rsidR="0028162F">
        <w:rPr>
          <w:rFonts w:eastAsiaTheme="minorEastAsia"/>
        </w:rPr>
        <w:t xml:space="preserve"> são</w:t>
      </w:r>
      <w:r w:rsidR="00DC173F" w:rsidRPr="00776F62">
        <w:rPr>
          <w:rFonts w:eastAsiaTheme="minorEastAsia"/>
        </w:rPr>
        <w:t xml:space="preserve"> então:</w:t>
      </w:r>
    </w:p>
    <w:p w:rsidR="00DF67CC" w:rsidRPr="00DF67CC" w:rsidRDefault="00DF67CC" w:rsidP="00FA5866">
      <w:pPr>
        <w:spacing w:after="0" w:line="240" w:lineRule="auto"/>
        <w:rPr>
          <w:rFonts w:eastAsiaTheme="minorEastAsia"/>
        </w:rPr>
      </w:pPr>
    </w:p>
    <w:p w:rsidR="007C0719" w:rsidRDefault="006E76EF" w:rsidP="00FA5866">
      <w:pPr>
        <w:spacing w:after="0" w:line="240" w:lineRule="auto"/>
        <w:rPr>
          <w:rFonts w:eastAsiaTheme="minorEastAsia"/>
        </w:rPr>
      </w:pPr>
      <m:oMath>
        <m:sSubSup>
          <m:sSubSupPr>
            <m:ctrlPr>
              <w:rPr>
                <w:rFonts w:ascii="Cambria Math" w:eastAsiaTheme="minorEastAsia" w:hAnsi="Cambria Math"/>
              </w:rPr>
            </m:ctrlPr>
          </m:sSubSupPr>
          <m:e>
            <m:r>
              <m:rPr>
                <m:sty m:val="p"/>
              </m:rPr>
              <w:rPr>
                <w:rFonts w:ascii="Cambria Math" w:eastAsiaTheme="minorEastAsia"/>
              </w:rPr>
              <m:t>Π</m:t>
            </m:r>
          </m:e>
          <m:sub>
            <m:r>
              <m:rPr>
                <m:sty m:val="p"/>
              </m:rPr>
              <w:rPr>
                <w:rFonts w:ascii="Cambria Math" w:eastAsiaTheme="minorEastAsia"/>
              </w:rPr>
              <m:t>Mt+n</m:t>
            </m:r>
          </m:sub>
          <m:sup>
            <m:r>
              <m:rPr>
                <m:sty m:val="p"/>
              </m:rPr>
              <w:rPr>
                <w:rFonts w:ascii="Cambria Math" w:eastAsiaTheme="minorEastAsia"/>
              </w:rPr>
              <m:t>previsto</m:t>
            </m:r>
          </m:sup>
        </m:sSubSup>
        <m:r>
          <m:rPr>
            <m:sty m:val="p"/>
          </m:rPr>
          <w:rPr>
            <w:rFonts w:ascii="Cambria Math" w:eastAsiaTheme="minorEastAsia"/>
          </w:rPr>
          <m:t>=</m:t>
        </m:r>
        <m:sSub>
          <m:sSubPr>
            <m:ctrlPr>
              <w:rPr>
                <w:rFonts w:ascii="Cambria Math" w:eastAsiaTheme="minorEastAsia" w:hAnsi="Cambria Math"/>
                <w:i/>
              </w:rPr>
            </m:ctrlPr>
          </m:sSubPr>
          <m:e>
            <m:r>
              <m:rPr>
                <m:sty m:val="p"/>
              </m:rPr>
              <w:rPr>
                <w:rFonts w:ascii="Cambria Math" w:eastAsiaTheme="minorEastAsia"/>
              </w:rPr>
              <m:t>Π</m:t>
            </m:r>
            <m:ctrlPr>
              <w:rPr>
                <w:rFonts w:ascii="Cambria Math" w:eastAsiaTheme="minorEastAsia" w:hAnsi="Cambria Math"/>
              </w:rPr>
            </m:ctrlPr>
          </m:e>
          <m:sub>
            <m:r>
              <w:rPr>
                <w:rFonts w:ascii="Cambria Math" w:eastAsiaTheme="minorEastAsia" w:hAnsi="Cambria Math"/>
              </w:rPr>
              <m:t>Gt</m:t>
            </m:r>
            <m:r>
              <w:rPr>
                <w:rFonts w:ascii="Cambria Math" w:eastAsiaTheme="minorEastAsia"/>
              </w:rPr>
              <m:t>-</m:t>
            </m:r>
            <m:r>
              <w:rPr>
                <w:rFonts w:ascii="Cambria Math" w:eastAsiaTheme="minorEastAsia"/>
              </w:rPr>
              <m:t>1</m:t>
            </m:r>
          </m:sub>
        </m:sSub>
        <m:r>
          <w:rPr>
            <w:rFonts w:ascii="Cambria Math" w:eastAsiaTheme="minorEastAsia"/>
          </w:rPr>
          <m:t>+</m:t>
        </m:r>
        <m:f>
          <m:fPr>
            <m:ctrlPr>
              <w:rPr>
                <w:rFonts w:ascii="Cambria Math" w:eastAsiaTheme="minorEastAsia" w:hAnsi="Cambria Math"/>
                <w:i/>
              </w:rPr>
            </m:ctrlPr>
          </m:fPr>
          <m:num>
            <m:sSub>
              <m:sSubPr>
                <m:ctrlPr>
                  <w:rPr>
                    <w:rFonts w:ascii="Cambria Math" w:eastAsiaTheme="minorEastAsia" w:hAnsi="Cambria Math"/>
                    <w:i/>
                  </w:rPr>
                </m:ctrlPr>
              </m:sSubPr>
              <m:e>
                <m:r>
                  <m:rPr>
                    <m:sty m:val="p"/>
                  </m:rPr>
                  <w:rPr>
                    <w:rFonts w:ascii="Cambria Math" w:eastAsiaTheme="minorEastAsia"/>
                  </w:rPr>
                  <m:t>K</m:t>
                </m:r>
                <m:ctrlPr>
                  <w:rPr>
                    <w:rFonts w:ascii="Cambria Math" w:eastAsiaTheme="minorEastAsia" w:hAnsi="Cambria Math"/>
                  </w:rPr>
                </m:ctrlPr>
              </m:e>
              <m:sub>
                <m:r>
                  <w:rPr>
                    <w:rFonts w:ascii="Cambria Math" w:eastAsiaTheme="minorEastAsia" w:hAnsi="Cambria Math"/>
                  </w:rPr>
                  <m:t>IGt</m:t>
                </m:r>
                <m:r>
                  <w:rPr>
                    <w:rFonts w:ascii="Cambria Math" w:eastAsiaTheme="minorEastAsia"/>
                  </w:rPr>
                  <m:t>+</m:t>
                </m:r>
                <m:r>
                  <w:rPr>
                    <w:rFonts w:ascii="Cambria Math" w:eastAsiaTheme="minorEastAsia" w:hAnsi="Cambria Math"/>
                  </w:rPr>
                  <m:t>n</m:t>
                </m:r>
              </m:sub>
            </m:sSub>
          </m:num>
          <m:den>
            <m:sSub>
              <m:sSubPr>
                <m:ctrlPr>
                  <w:rPr>
                    <w:rFonts w:ascii="Cambria Math" w:eastAsiaTheme="minorEastAsia" w:hAnsi="Cambria Math"/>
                    <w:i/>
                  </w:rPr>
                </m:ctrlPr>
              </m:sSubPr>
              <m:e>
                <m:r>
                  <m:rPr>
                    <m:sty m:val="p"/>
                  </m:rPr>
                  <w:rPr>
                    <w:rFonts w:ascii="Cambria Math" w:eastAsiaTheme="minorEastAsia"/>
                  </w:rPr>
                  <m:t>K</m:t>
                </m:r>
                <m:ctrlPr>
                  <w:rPr>
                    <w:rFonts w:ascii="Cambria Math" w:eastAsiaTheme="minorEastAsia" w:hAnsi="Cambria Math"/>
                  </w:rPr>
                </m:ctrlPr>
              </m:e>
              <m:sub>
                <m:r>
                  <w:rPr>
                    <w:rFonts w:ascii="Cambria Math" w:eastAsiaTheme="minorEastAsia" w:hAnsi="Cambria Math"/>
                  </w:rPr>
                  <m:t>IGt</m:t>
                </m:r>
                <m:r>
                  <w:rPr>
                    <w:rFonts w:eastAsiaTheme="minorEastAsia"/>
                  </w:rPr>
                  <m:t>-</m:t>
                </m:r>
                <m:r>
                  <w:rPr>
                    <w:rFonts w:ascii="Cambria Math" w:eastAsiaTheme="minorEastAsia"/>
                  </w:rPr>
                  <m:t>1</m:t>
                </m:r>
              </m:sub>
            </m:sSub>
          </m:den>
        </m:f>
        <m:sSub>
          <m:sSubPr>
            <m:ctrlPr>
              <w:rPr>
                <w:rFonts w:ascii="Cambria Math" w:eastAsiaTheme="minorEastAsia" w:hAnsi="Cambria Math"/>
                <w:i/>
              </w:rPr>
            </m:ctrlPr>
          </m:sSubPr>
          <m:e>
            <m:r>
              <m:rPr>
                <m:sty m:val="p"/>
              </m:rPr>
              <w:rPr>
                <w:rFonts w:ascii="Cambria Math" w:eastAsiaTheme="minorEastAsia"/>
              </w:rPr>
              <m:t>K</m:t>
            </m:r>
            <m:ctrlPr>
              <w:rPr>
                <w:rFonts w:ascii="Cambria Math" w:eastAsiaTheme="minorEastAsia" w:hAnsi="Cambria Math"/>
              </w:rPr>
            </m:ctrlPr>
          </m:e>
          <m:sub>
            <m:r>
              <w:rPr>
                <w:rFonts w:ascii="Cambria Math" w:eastAsiaTheme="minorEastAsia" w:hAnsi="Cambria Math"/>
              </w:rPr>
              <m:t>Gt</m:t>
            </m:r>
            <m:r>
              <w:rPr>
                <w:rFonts w:eastAsiaTheme="minorEastAsia"/>
              </w:rPr>
              <m:t>-</m:t>
            </m:r>
            <m:r>
              <w:rPr>
                <w:rFonts w:ascii="Cambria Math" w:eastAsiaTheme="minorEastAsia"/>
              </w:rPr>
              <m:t>1</m:t>
            </m:r>
          </m:sub>
        </m:sSub>
        <m:sSub>
          <m:sSubPr>
            <m:ctrlPr>
              <w:rPr>
                <w:rFonts w:ascii="Cambria Math" w:eastAsiaTheme="minorEastAsia" w:hAnsi="Cambria Math"/>
                <w:i/>
              </w:rPr>
            </m:ctrlPr>
          </m:sSubPr>
          <m:e>
            <m:r>
              <w:rPr>
                <w:rFonts w:eastAsiaTheme="minorEastAsia"/>
              </w:rPr>
              <m:t>∆</m:t>
            </m:r>
          </m:e>
          <m:sub>
            <m:r>
              <w:rPr>
                <w:rFonts w:ascii="Cambria Math" w:eastAsiaTheme="minorEastAsia" w:hAnsi="Cambria Math"/>
              </w:rPr>
              <m:t>IG</m:t>
            </m:r>
            <m:r>
              <w:rPr>
                <w:rFonts w:ascii="Cambria Math" w:eastAsiaTheme="minorEastAsia"/>
              </w:rPr>
              <m:t>,</m:t>
            </m:r>
            <m:r>
              <w:rPr>
                <w:rFonts w:ascii="Cambria Math" w:eastAsiaTheme="minorEastAsia" w:hAnsi="Cambria Math"/>
              </w:rPr>
              <m:t>t</m:t>
            </m:r>
            <m:r>
              <w:rPr>
                <w:rFonts w:eastAsiaTheme="minorEastAsia"/>
              </w:rPr>
              <m:t>-</m:t>
            </m:r>
            <m:r>
              <w:rPr>
                <w:rFonts w:ascii="Cambria Math" w:eastAsiaTheme="minorEastAsia"/>
              </w:rPr>
              <m:t>1,</m:t>
            </m:r>
            <m:r>
              <w:rPr>
                <w:rFonts w:ascii="Cambria Math" w:eastAsiaTheme="minorEastAsia" w:hAnsi="Cambria Math"/>
              </w:rPr>
              <m:t>t</m:t>
            </m:r>
            <m:r>
              <w:rPr>
                <w:rFonts w:ascii="Cambria Math" w:eastAsiaTheme="minorEastAsia"/>
              </w:rPr>
              <m:t>+</m:t>
            </m:r>
            <m:r>
              <w:rPr>
                <w:rFonts w:ascii="Cambria Math" w:eastAsiaTheme="minorEastAsia" w:hAnsi="Cambria Math"/>
              </w:rPr>
              <m:t>n</m:t>
            </m:r>
          </m:sub>
        </m:sSub>
        <m:r>
          <w:rPr>
            <w:rFonts w:ascii="Cambria Math" w:eastAsiaTheme="minorEastAsia"/>
          </w:rPr>
          <m:t>+</m:t>
        </m:r>
        <m:sSub>
          <m:sSubPr>
            <m:ctrlPr>
              <w:rPr>
                <w:rFonts w:ascii="Cambria Math" w:eastAsiaTheme="minorEastAsia" w:hAnsi="Cambria Math"/>
                <w:i/>
              </w:rPr>
            </m:ctrlPr>
          </m:sSubPr>
          <m:e>
            <m:r>
              <m:rPr>
                <m:sty m:val="p"/>
              </m:rPr>
              <w:rPr>
                <w:rFonts w:ascii="Cambria Math" w:eastAsiaTheme="minorEastAsia"/>
              </w:rPr>
              <m:t>Π</m:t>
            </m:r>
            <m:ctrlPr>
              <w:rPr>
                <w:rFonts w:ascii="Cambria Math" w:eastAsiaTheme="minorEastAsia" w:hAnsi="Cambria Math"/>
              </w:rPr>
            </m:ctrlPr>
          </m:e>
          <m:sub>
            <m:r>
              <w:rPr>
                <w:rFonts w:ascii="Cambria Math" w:eastAsiaTheme="minorEastAsia" w:hAnsi="Cambria Math"/>
              </w:rPr>
              <m:t>Dt</m:t>
            </m:r>
            <m:r>
              <w:rPr>
                <w:rFonts w:ascii="Cambria Math" w:eastAsiaTheme="minorEastAsia"/>
              </w:rPr>
              <m:t>-</m:t>
            </m:r>
            <m:r>
              <w:rPr>
                <w:rFonts w:ascii="Cambria Math" w:eastAsiaTheme="minorEastAsia"/>
              </w:rPr>
              <m:t>1</m:t>
            </m:r>
          </m:sub>
        </m:sSub>
        <m:r>
          <w:rPr>
            <w:rFonts w:ascii="Cambria Math" w:eastAsiaTheme="minorEastAsia"/>
          </w:rPr>
          <m:t>+</m:t>
        </m:r>
        <m:f>
          <m:fPr>
            <m:ctrlPr>
              <w:rPr>
                <w:rFonts w:ascii="Cambria Math" w:eastAsiaTheme="minorEastAsia" w:hAnsi="Cambria Math"/>
                <w:i/>
              </w:rPr>
            </m:ctrlPr>
          </m:fPr>
          <m:num>
            <m:sSub>
              <m:sSubPr>
                <m:ctrlPr>
                  <w:rPr>
                    <w:rFonts w:ascii="Cambria Math" w:eastAsiaTheme="minorEastAsia" w:hAnsi="Cambria Math"/>
                    <w:i/>
                  </w:rPr>
                </m:ctrlPr>
              </m:sSubPr>
              <m:e>
                <m:r>
                  <m:rPr>
                    <m:sty m:val="p"/>
                  </m:rPr>
                  <w:rPr>
                    <w:rFonts w:ascii="Cambria Math" w:eastAsiaTheme="minorEastAsia"/>
                  </w:rPr>
                  <m:t>K</m:t>
                </m:r>
                <m:ctrlPr>
                  <w:rPr>
                    <w:rFonts w:ascii="Cambria Math" w:eastAsiaTheme="minorEastAsia" w:hAnsi="Cambria Math"/>
                  </w:rPr>
                </m:ctrlPr>
              </m:e>
              <m:sub>
                <m:r>
                  <w:rPr>
                    <w:rFonts w:ascii="Cambria Math" w:eastAsiaTheme="minorEastAsia" w:hAnsi="Cambria Math"/>
                  </w:rPr>
                  <m:t>IDt</m:t>
                </m:r>
                <m:r>
                  <w:rPr>
                    <w:rFonts w:ascii="Cambria Math" w:eastAsiaTheme="minorEastAsia"/>
                  </w:rPr>
                  <m:t>+</m:t>
                </m:r>
                <m:r>
                  <w:rPr>
                    <w:rFonts w:ascii="Cambria Math" w:eastAsiaTheme="minorEastAsia" w:hAnsi="Cambria Math"/>
                  </w:rPr>
                  <m:t>n</m:t>
                </m:r>
              </m:sub>
            </m:sSub>
          </m:num>
          <m:den>
            <m:sSub>
              <m:sSubPr>
                <m:ctrlPr>
                  <w:rPr>
                    <w:rFonts w:ascii="Cambria Math" w:eastAsiaTheme="minorEastAsia" w:hAnsi="Cambria Math"/>
                    <w:i/>
                  </w:rPr>
                </m:ctrlPr>
              </m:sSubPr>
              <m:e>
                <m:r>
                  <m:rPr>
                    <m:sty m:val="p"/>
                  </m:rPr>
                  <w:rPr>
                    <w:rFonts w:ascii="Cambria Math" w:eastAsiaTheme="minorEastAsia"/>
                  </w:rPr>
                  <m:t>K</m:t>
                </m:r>
                <m:ctrlPr>
                  <w:rPr>
                    <w:rFonts w:ascii="Cambria Math" w:eastAsiaTheme="minorEastAsia" w:hAnsi="Cambria Math"/>
                  </w:rPr>
                </m:ctrlPr>
              </m:e>
              <m:sub>
                <m:r>
                  <w:rPr>
                    <w:rFonts w:ascii="Cambria Math" w:eastAsiaTheme="minorEastAsia" w:hAnsi="Cambria Math"/>
                  </w:rPr>
                  <m:t>IDt</m:t>
                </m:r>
                <m:r>
                  <w:rPr>
                    <w:rFonts w:eastAsiaTheme="minorEastAsia"/>
                  </w:rPr>
                  <m:t>-</m:t>
                </m:r>
                <m:r>
                  <w:rPr>
                    <w:rFonts w:ascii="Cambria Math" w:eastAsiaTheme="minorEastAsia"/>
                  </w:rPr>
                  <m:t>1</m:t>
                </m:r>
              </m:sub>
            </m:sSub>
          </m:den>
        </m:f>
        <m:sSub>
          <m:sSubPr>
            <m:ctrlPr>
              <w:rPr>
                <w:rFonts w:ascii="Cambria Math" w:eastAsiaTheme="minorEastAsia" w:hAnsi="Cambria Math"/>
                <w:i/>
              </w:rPr>
            </m:ctrlPr>
          </m:sSubPr>
          <m:e>
            <m:r>
              <m:rPr>
                <m:sty m:val="p"/>
              </m:rPr>
              <w:rPr>
                <w:rFonts w:ascii="Cambria Math" w:eastAsiaTheme="minorEastAsia"/>
              </w:rPr>
              <m:t>K</m:t>
            </m:r>
            <m:ctrlPr>
              <w:rPr>
                <w:rFonts w:ascii="Cambria Math" w:eastAsiaTheme="minorEastAsia" w:hAnsi="Cambria Math"/>
              </w:rPr>
            </m:ctrlPr>
          </m:e>
          <m:sub>
            <m:r>
              <w:rPr>
                <w:rFonts w:ascii="Cambria Math" w:eastAsiaTheme="minorEastAsia" w:hAnsi="Cambria Math"/>
              </w:rPr>
              <m:t>Dt</m:t>
            </m:r>
            <m:r>
              <w:rPr>
                <w:rFonts w:eastAsiaTheme="minorEastAsia"/>
              </w:rPr>
              <m:t>-</m:t>
            </m:r>
            <m:r>
              <w:rPr>
                <w:rFonts w:ascii="Cambria Math" w:eastAsiaTheme="minorEastAsia"/>
              </w:rPr>
              <m:t>1</m:t>
            </m:r>
          </m:sub>
        </m:sSub>
        <m:sSub>
          <m:sSubPr>
            <m:ctrlPr>
              <w:rPr>
                <w:rFonts w:ascii="Cambria Math" w:eastAsiaTheme="minorEastAsia" w:hAnsi="Cambria Math"/>
                <w:i/>
              </w:rPr>
            </m:ctrlPr>
          </m:sSubPr>
          <m:e>
            <m:r>
              <w:rPr>
                <w:rFonts w:eastAsiaTheme="minorEastAsia"/>
              </w:rPr>
              <m:t>∆</m:t>
            </m:r>
          </m:e>
          <m:sub>
            <m:r>
              <w:rPr>
                <w:rFonts w:ascii="Cambria Math" w:eastAsiaTheme="minorEastAsia" w:hAnsi="Cambria Math"/>
              </w:rPr>
              <m:t>ID</m:t>
            </m:r>
            <m:r>
              <w:rPr>
                <w:rFonts w:ascii="Cambria Math" w:eastAsiaTheme="minorEastAsia"/>
              </w:rPr>
              <m:t>,</m:t>
            </m:r>
            <m:r>
              <w:rPr>
                <w:rFonts w:ascii="Cambria Math" w:eastAsiaTheme="minorEastAsia" w:hAnsi="Cambria Math"/>
              </w:rPr>
              <m:t>t</m:t>
            </m:r>
            <m:r>
              <w:rPr>
                <w:rFonts w:eastAsiaTheme="minorEastAsia"/>
              </w:rPr>
              <m:t>-</m:t>
            </m:r>
            <m:r>
              <w:rPr>
                <w:rFonts w:ascii="Cambria Math" w:eastAsiaTheme="minorEastAsia"/>
              </w:rPr>
              <m:t>1,</m:t>
            </m:r>
            <m:r>
              <w:rPr>
                <w:rFonts w:ascii="Cambria Math" w:eastAsiaTheme="minorEastAsia" w:hAnsi="Cambria Math"/>
              </w:rPr>
              <m:t>t</m:t>
            </m:r>
            <m:r>
              <w:rPr>
                <w:rFonts w:ascii="Cambria Math" w:eastAsiaTheme="minorEastAsia"/>
              </w:rPr>
              <m:t>+</m:t>
            </m:r>
            <m:r>
              <w:rPr>
                <w:rFonts w:ascii="Cambria Math" w:eastAsiaTheme="minorEastAsia" w:hAnsi="Cambria Math"/>
              </w:rPr>
              <m:t>n</m:t>
            </m:r>
          </m:sub>
        </m:sSub>
      </m:oMath>
      <w:r w:rsidR="007C0719">
        <w:rPr>
          <w:rFonts w:eastAsiaTheme="minorEastAsia"/>
        </w:rPr>
        <w:t xml:space="preserve">  </w:t>
      </w:r>
    </w:p>
    <w:p w:rsidR="00DF67CC" w:rsidRDefault="007C0719" w:rsidP="00FA5866">
      <w:pPr>
        <w:spacing w:after="0" w:line="240" w:lineRule="auto"/>
        <w:rPr>
          <w:rFonts w:eastAsiaTheme="minorEastAsia"/>
        </w:rPr>
      </w:pPr>
      <w:r>
        <w:rPr>
          <w:rFonts w:eastAsiaTheme="minorEastAsia"/>
        </w:rPr>
        <w:t xml:space="preserve">                                                                                                            </w:t>
      </w:r>
      <w:r w:rsidR="00226A76">
        <w:rPr>
          <w:rFonts w:eastAsiaTheme="minorEastAsia"/>
        </w:rPr>
        <w:t xml:space="preserve">       </w:t>
      </w:r>
    </w:p>
    <w:p w:rsidR="00DC173F" w:rsidRPr="007C0719" w:rsidRDefault="00DF67CC" w:rsidP="00FA5866">
      <w:pPr>
        <w:spacing w:after="0" w:line="240" w:lineRule="auto"/>
        <w:rPr>
          <w:rFonts w:eastAsiaTheme="minorEastAsia"/>
        </w:rPr>
      </w:pP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sidR="00226A76">
        <w:rPr>
          <w:rFonts w:eastAsiaTheme="minorEastAsia"/>
        </w:rPr>
        <w:t>Eq. (</w:t>
      </w:r>
      <w:r>
        <w:rPr>
          <w:rFonts w:eastAsiaTheme="minorEastAsia"/>
        </w:rPr>
        <w:t>19</w:t>
      </w:r>
      <w:r w:rsidR="007C0719">
        <w:rPr>
          <w:rFonts w:eastAsiaTheme="minorEastAsia"/>
        </w:rPr>
        <w:t>)</w:t>
      </w:r>
    </w:p>
    <w:p w:rsidR="00DF67CC" w:rsidRDefault="00DF67CC" w:rsidP="00FA5866">
      <w:pPr>
        <w:spacing w:after="0" w:line="240" w:lineRule="auto"/>
        <w:rPr>
          <w:rFonts w:eastAsiaTheme="minorEastAsia"/>
        </w:rPr>
      </w:pPr>
    </w:p>
    <w:p w:rsidR="00DC173F" w:rsidRPr="00776F62" w:rsidRDefault="00626211" w:rsidP="00FA5866">
      <w:pPr>
        <w:spacing w:after="0" w:line="240" w:lineRule="auto"/>
        <w:rPr>
          <w:rFonts w:eastAsiaTheme="minorEastAsia"/>
        </w:rPr>
      </w:pPr>
      <w:proofErr w:type="gramStart"/>
      <w:r>
        <w:rPr>
          <w:rFonts w:eastAsiaTheme="minorEastAsia"/>
        </w:rPr>
        <w:t>o</w:t>
      </w:r>
      <w:r w:rsidR="00DC173F" w:rsidRPr="00776F62">
        <w:rPr>
          <w:rFonts w:eastAsiaTheme="minorEastAsia"/>
        </w:rPr>
        <w:t>nde</w:t>
      </w:r>
      <m:oMath>
        <w:proofErr w:type="gramEnd"/>
        <m:sSub>
          <m:sSubPr>
            <m:ctrlPr>
              <w:rPr>
                <w:rFonts w:ascii="Cambria Math" w:eastAsiaTheme="minorEastAsia" w:hAnsi="Cambria Math"/>
                <w:i/>
              </w:rPr>
            </m:ctrlPr>
          </m:sSubPr>
          <m:e>
            <m:r>
              <m:rPr>
                <m:sty m:val="p"/>
              </m:rPr>
              <w:rPr>
                <w:rFonts w:ascii="Cambria Math" w:eastAsiaTheme="minorEastAsia"/>
              </w:rPr>
              <m:t xml:space="preserve"> </m:t>
            </m:r>
            <m:r>
              <m:rPr>
                <m:sty m:val="p"/>
              </m:rPr>
              <w:rPr>
                <w:rFonts w:ascii="Cambria Math" w:eastAsiaTheme="minorEastAsia"/>
              </w:rPr>
              <m:t>Π</m:t>
            </m:r>
            <m:ctrlPr>
              <w:rPr>
                <w:rFonts w:ascii="Cambria Math" w:eastAsiaTheme="minorEastAsia" w:hAnsi="Cambria Math"/>
              </w:rPr>
            </m:ctrlPr>
          </m:e>
          <m:sub>
            <m:r>
              <w:rPr>
                <w:rFonts w:ascii="Cambria Math" w:eastAsiaTheme="minorEastAsia" w:hAnsi="Cambria Math"/>
              </w:rPr>
              <m:t>Gt</m:t>
            </m:r>
            <m:r>
              <w:rPr>
                <w:rFonts w:ascii="Cambria Math" w:eastAsiaTheme="minorEastAsia"/>
              </w:rPr>
              <m:t>+</m:t>
            </m:r>
            <m:r>
              <w:rPr>
                <w:rFonts w:ascii="Cambria Math" w:eastAsiaTheme="minorEastAsia" w:hAnsi="Cambria Math"/>
              </w:rPr>
              <m:t>n</m:t>
            </m:r>
          </m:sub>
        </m:sSub>
      </m:oMath>
      <w:r w:rsidR="00DC173F" w:rsidRPr="00776F62">
        <w:rPr>
          <w:rFonts w:eastAsiaTheme="minorEastAsia"/>
        </w:rPr>
        <w:t xml:space="preserve"> (</w:t>
      </w:r>
      <m:oMath>
        <m:sSub>
          <m:sSubPr>
            <m:ctrlPr>
              <w:rPr>
                <w:rFonts w:ascii="Cambria Math" w:eastAsiaTheme="minorEastAsia" w:hAnsi="Cambria Math"/>
                <w:i/>
              </w:rPr>
            </m:ctrlPr>
          </m:sSubPr>
          <m:e>
            <m:r>
              <m:rPr>
                <m:sty m:val="p"/>
              </m:rPr>
              <w:rPr>
                <w:rFonts w:ascii="Cambria Math" w:eastAsiaTheme="minorEastAsia"/>
              </w:rPr>
              <m:t>Π</m:t>
            </m:r>
            <m:ctrlPr>
              <w:rPr>
                <w:rFonts w:ascii="Cambria Math" w:eastAsiaTheme="minorEastAsia" w:hAnsi="Cambria Math"/>
              </w:rPr>
            </m:ctrlPr>
          </m:e>
          <m:sub>
            <m:r>
              <w:rPr>
                <w:rFonts w:ascii="Cambria Math" w:eastAsiaTheme="minorEastAsia" w:hAnsi="Cambria Math"/>
              </w:rPr>
              <m:t>Dt-1</m:t>
            </m:r>
          </m:sub>
        </m:sSub>
      </m:oMath>
      <w:r w:rsidR="00DC173F" w:rsidRPr="00776F62">
        <w:rPr>
          <w:rFonts w:eastAsiaTheme="minorEastAsia"/>
        </w:rPr>
        <w:t xml:space="preserve">) são </w:t>
      </w:r>
      <w:r w:rsidR="008A334F">
        <w:rPr>
          <w:rFonts w:eastAsiaTheme="minorEastAsia"/>
        </w:rPr>
        <w:t xml:space="preserve">os </w:t>
      </w:r>
      <w:r w:rsidR="00DC173F" w:rsidRPr="00776F62">
        <w:rPr>
          <w:rFonts w:eastAsiaTheme="minorEastAsia"/>
        </w:rPr>
        <w:t xml:space="preserve">lucros e </w:t>
      </w:r>
      <m:oMath>
        <m:sSub>
          <m:sSubPr>
            <m:ctrlPr>
              <w:rPr>
                <w:rFonts w:ascii="Cambria Math" w:eastAsiaTheme="minorEastAsia" w:hAnsi="Cambria Math"/>
                <w:i/>
              </w:rPr>
            </m:ctrlPr>
          </m:sSubPr>
          <m:e>
            <m:r>
              <m:rPr>
                <m:sty m:val="p"/>
              </m:rPr>
              <w:rPr>
                <w:rFonts w:ascii="Cambria Math" w:eastAsiaTheme="minorEastAsia"/>
              </w:rPr>
              <m:t>K</m:t>
            </m:r>
            <m:ctrlPr>
              <w:rPr>
                <w:rFonts w:ascii="Cambria Math" w:eastAsiaTheme="minorEastAsia" w:hAnsi="Cambria Math"/>
              </w:rPr>
            </m:ctrlPr>
          </m:e>
          <m:sub>
            <m:r>
              <w:rPr>
                <w:rFonts w:ascii="Cambria Math" w:eastAsiaTheme="minorEastAsia" w:hAnsi="Cambria Math"/>
              </w:rPr>
              <m:t>Gt</m:t>
            </m:r>
            <m:r>
              <w:rPr>
                <w:rFonts w:ascii="Cambria Math" w:eastAsiaTheme="minorEastAsia"/>
              </w:rPr>
              <m:t>+</m:t>
            </m:r>
            <m:r>
              <w:rPr>
                <w:rFonts w:ascii="Cambria Math" w:eastAsiaTheme="minorEastAsia" w:hAnsi="Cambria Math"/>
              </w:rPr>
              <m:t>n</m:t>
            </m:r>
          </m:sub>
        </m:sSub>
      </m:oMath>
      <w:r w:rsidR="00DC173F" w:rsidRPr="00776F62">
        <w:rPr>
          <w:rFonts w:eastAsiaTheme="minorEastAsia"/>
        </w:rPr>
        <w:t xml:space="preserve"> (</w:t>
      </w:r>
      <m:oMath>
        <m:sSub>
          <m:sSubPr>
            <m:ctrlPr>
              <w:rPr>
                <w:rFonts w:ascii="Cambria Math" w:eastAsiaTheme="minorEastAsia" w:hAnsi="Cambria Math"/>
                <w:i/>
              </w:rPr>
            </m:ctrlPr>
          </m:sSubPr>
          <m:e>
            <m:r>
              <m:rPr>
                <m:sty m:val="p"/>
              </m:rPr>
              <w:rPr>
                <w:rFonts w:ascii="Cambria Math" w:eastAsiaTheme="minorEastAsia"/>
              </w:rPr>
              <m:t>K</m:t>
            </m:r>
            <m:ctrlPr>
              <w:rPr>
                <w:rFonts w:ascii="Cambria Math" w:eastAsiaTheme="minorEastAsia" w:hAnsi="Cambria Math"/>
              </w:rPr>
            </m:ctrlPr>
          </m:e>
          <m:sub>
            <m:r>
              <w:rPr>
                <w:rFonts w:ascii="Cambria Math" w:eastAsiaTheme="minorEastAsia" w:hAnsi="Cambria Math"/>
              </w:rPr>
              <m:t>Dt-1</m:t>
            </m:r>
          </m:sub>
        </m:sSub>
      </m:oMath>
      <w:r w:rsidR="008A334F">
        <w:rPr>
          <w:rFonts w:eastAsiaTheme="minorEastAsia"/>
        </w:rPr>
        <w:t xml:space="preserve">) </w:t>
      </w:r>
      <w:r w:rsidR="00DC173F" w:rsidRPr="00776F62">
        <w:rPr>
          <w:rFonts w:eastAsiaTheme="minorEastAsia"/>
        </w:rPr>
        <w:t xml:space="preserve">os ativos da firma adquirente (adquirida) no ano </w:t>
      </w:r>
      <m:oMath>
        <m:r>
          <w:rPr>
            <w:rFonts w:ascii="Cambria Math" w:eastAsiaTheme="minorEastAsia" w:hAnsi="Cambria Math"/>
          </w:rPr>
          <m:t>t</m:t>
        </m:r>
        <m:r>
          <w:rPr>
            <w:rFonts w:ascii="Cambria Math" w:eastAsiaTheme="minorEastAsia"/>
          </w:rPr>
          <m:t>+</m:t>
        </m:r>
        <m:r>
          <w:rPr>
            <w:rFonts w:ascii="Cambria Math" w:eastAsiaTheme="minorEastAsia" w:hAnsi="Cambria Math"/>
          </w:rPr>
          <m:t>n</m:t>
        </m:r>
      </m:oMath>
      <w:r w:rsidR="00DC173F" w:rsidRPr="00776F62">
        <w:rPr>
          <w:rFonts w:eastAsiaTheme="minorEastAsia"/>
        </w:rPr>
        <w:t xml:space="preserve"> (</w:t>
      </w:r>
      <m:oMath>
        <m:r>
          <w:rPr>
            <w:rFonts w:ascii="Cambria Math" w:eastAsiaTheme="minorEastAsia" w:hAnsi="Cambria Math"/>
          </w:rPr>
          <m:t>t</m:t>
        </m:r>
      </m:oMath>
      <w:r w:rsidR="0028162F">
        <w:rPr>
          <w:rFonts w:eastAsiaTheme="minorEastAsia"/>
        </w:rPr>
        <w:t>-1</w:t>
      </w:r>
      <w:r w:rsidR="00DC173F" w:rsidRPr="00776F62">
        <w:rPr>
          <w:rFonts w:eastAsiaTheme="minorEastAsia"/>
        </w:rPr>
        <w:t>).</w:t>
      </w:r>
    </w:p>
    <w:p w:rsidR="00DC173F" w:rsidRDefault="00DC173F" w:rsidP="00FA5866">
      <w:pPr>
        <w:spacing w:after="0" w:line="240" w:lineRule="auto"/>
        <w:rPr>
          <w:rFonts w:eastAsiaTheme="minorEastAsia"/>
        </w:rPr>
      </w:pPr>
      <w:r>
        <w:rPr>
          <w:rFonts w:eastAsiaTheme="minorEastAsia"/>
        </w:rPr>
        <w:t xml:space="preserve">O mesmo procedimento pode ser aplicado para </w:t>
      </w:r>
      <w:r w:rsidRPr="00776F62">
        <w:rPr>
          <w:rFonts w:eastAsiaTheme="minorEastAsia"/>
        </w:rPr>
        <w:t>as rivais</w:t>
      </w:r>
      <w:r>
        <w:rPr>
          <w:rFonts w:eastAsiaTheme="minorEastAsia"/>
        </w:rPr>
        <w:t xml:space="preserve">, em que a medida do efeito da fusão para a firma </w:t>
      </w:r>
      <m:oMath>
        <m:r>
          <w:rPr>
            <w:rFonts w:ascii="Cambria Math" w:eastAsiaTheme="minorEastAsia" w:hAnsi="Cambria Math"/>
          </w:rPr>
          <m:t>i</m:t>
        </m:r>
      </m:oMath>
      <w:r>
        <w:rPr>
          <w:rFonts w:eastAsiaTheme="minorEastAsia"/>
        </w:rPr>
        <w:t xml:space="preserve"> é a diferença entre os lucros atuais (observados) e os previstos:</w:t>
      </w:r>
    </w:p>
    <w:p w:rsidR="00DF67CC" w:rsidRPr="00DF67CC" w:rsidRDefault="00DF67CC" w:rsidP="00FA5866">
      <w:pPr>
        <w:spacing w:after="0" w:line="240" w:lineRule="auto"/>
        <w:rPr>
          <w:rFonts w:eastAsiaTheme="minorEastAsia"/>
        </w:rPr>
      </w:pPr>
    </w:p>
    <w:p w:rsidR="00DC173F" w:rsidRDefault="00DC173F" w:rsidP="00FA5866">
      <w:pPr>
        <w:spacing w:after="0" w:line="240" w:lineRule="auto"/>
        <w:rPr>
          <w:rFonts w:eastAsiaTheme="minorEastAsia"/>
        </w:rPr>
      </w:pPr>
      <m:oMath>
        <m:r>
          <w:rPr>
            <w:rFonts w:ascii="Cambria Math" w:eastAsiaTheme="minorEastAsia" w:hAnsi="Cambria Math"/>
          </w:rPr>
          <m:t>∆</m:t>
        </m:r>
        <m:sSubSup>
          <m:sSubSupPr>
            <m:ctrlPr>
              <w:rPr>
                <w:rFonts w:ascii="Cambria Math" w:eastAsiaTheme="minorEastAsia" w:hAnsi="Cambria Math"/>
                <w:i/>
              </w:rPr>
            </m:ctrlPr>
          </m:sSubSupPr>
          <m:e>
            <m:r>
              <m:rPr>
                <m:sty m:val="p"/>
              </m:rPr>
              <w:rPr>
                <w:rFonts w:ascii="Cambria Math" w:eastAsiaTheme="minorEastAsia" w:hAnsi="Cambria Math"/>
              </w:rPr>
              <m:t>Π</m:t>
            </m:r>
          </m:e>
          <m:sub>
            <m:r>
              <w:rPr>
                <w:rFonts w:ascii="Cambria Math" w:eastAsiaTheme="minorEastAsia" w:hAnsi="Cambria Math"/>
              </w:rPr>
              <m:t>it+n</m:t>
            </m:r>
          </m:sub>
          <m:sup>
            <m:r>
              <w:rPr>
                <w:rFonts w:ascii="Cambria Math" w:eastAsiaTheme="minorEastAsia" w:hAnsi="Cambria Math"/>
              </w:rPr>
              <m:t>efeito</m:t>
            </m:r>
          </m:sup>
        </m:sSubSup>
        <m:r>
          <w:rPr>
            <w:rFonts w:ascii="Cambria Math" w:eastAsiaTheme="minorEastAsia" w:hAnsi="Cambria Math"/>
          </w:rPr>
          <m:t>=</m:t>
        </m:r>
        <m:sSubSup>
          <m:sSubSupPr>
            <m:ctrlPr>
              <w:rPr>
                <w:rFonts w:ascii="Cambria Math" w:eastAsiaTheme="minorEastAsia" w:hAnsi="Cambria Math"/>
                <w:i/>
              </w:rPr>
            </m:ctrlPr>
          </m:sSubSupPr>
          <m:e>
            <m:r>
              <m:rPr>
                <m:sty m:val="p"/>
              </m:rPr>
              <w:rPr>
                <w:rFonts w:ascii="Cambria Math" w:eastAsiaTheme="minorEastAsia" w:hAnsi="Cambria Math"/>
              </w:rPr>
              <m:t>Π</m:t>
            </m:r>
          </m:e>
          <m:sub>
            <m:r>
              <w:rPr>
                <w:rFonts w:ascii="Cambria Math" w:eastAsiaTheme="minorEastAsia" w:hAnsi="Cambria Math"/>
              </w:rPr>
              <m:t>it+n</m:t>
            </m:r>
          </m:sub>
          <m:sup>
            <m:r>
              <w:rPr>
                <w:rFonts w:ascii="Cambria Math" w:eastAsiaTheme="minorEastAsia" w:hAnsi="Cambria Math"/>
              </w:rPr>
              <m:t>atual</m:t>
            </m:r>
          </m:sup>
        </m:sSubSup>
        <m:r>
          <w:rPr>
            <w:rFonts w:ascii="Cambria Math" w:eastAsiaTheme="minorEastAsia" w:hAnsi="Cambria Math"/>
          </w:rPr>
          <m:t>-</m:t>
        </m:r>
        <m:sSubSup>
          <m:sSubSupPr>
            <m:ctrlPr>
              <w:rPr>
                <w:rFonts w:ascii="Cambria Math" w:eastAsiaTheme="minorEastAsia" w:hAnsi="Cambria Math"/>
                <w:i/>
              </w:rPr>
            </m:ctrlPr>
          </m:sSubSupPr>
          <m:e>
            <m:r>
              <m:rPr>
                <m:sty m:val="p"/>
              </m:rPr>
              <w:rPr>
                <w:rFonts w:ascii="Cambria Math" w:eastAsiaTheme="minorEastAsia" w:hAnsi="Cambria Math"/>
              </w:rPr>
              <m:t>Π</m:t>
            </m:r>
          </m:e>
          <m:sub>
            <m:r>
              <w:rPr>
                <w:rFonts w:ascii="Cambria Math" w:eastAsiaTheme="minorEastAsia" w:hAnsi="Cambria Math"/>
              </w:rPr>
              <m:t>it+n</m:t>
            </m:r>
          </m:sub>
          <m:sup>
            <m:r>
              <w:rPr>
                <w:rFonts w:ascii="Cambria Math" w:eastAsiaTheme="minorEastAsia" w:hAnsi="Cambria Math"/>
              </w:rPr>
              <m:t>previsto</m:t>
            </m:r>
          </m:sup>
        </m:sSubSup>
      </m:oMath>
      <w:r w:rsidR="00DF67CC">
        <w:rPr>
          <w:rFonts w:eastAsiaTheme="minorEastAsia"/>
        </w:rPr>
        <w:t xml:space="preserve"> </w:t>
      </w:r>
      <w:r w:rsidR="00DF67CC">
        <w:rPr>
          <w:rFonts w:eastAsiaTheme="minorEastAsia"/>
        </w:rPr>
        <w:tab/>
      </w:r>
      <w:r w:rsidR="00DF67CC">
        <w:rPr>
          <w:rFonts w:eastAsiaTheme="minorEastAsia"/>
        </w:rPr>
        <w:tab/>
      </w:r>
      <w:r w:rsidR="00DF67CC">
        <w:rPr>
          <w:rFonts w:eastAsiaTheme="minorEastAsia"/>
        </w:rPr>
        <w:tab/>
      </w:r>
      <w:r w:rsidR="00DF67CC">
        <w:rPr>
          <w:rFonts w:eastAsiaTheme="minorEastAsia"/>
        </w:rPr>
        <w:tab/>
      </w:r>
      <w:r w:rsidR="00DF67CC">
        <w:rPr>
          <w:rFonts w:eastAsiaTheme="minorEastAsia"/>
        </w:rPr>
        <w:tab/>
        <w:t xml:space="preserve">          Eq. (20</w:t>
      </w:r>
      <w:r w:rsidR="007C0719">
        <w:rPr>
          <w:rFonts w:eastAsiaTheme="minorEastAsia"/>
        </w:rPr>
        <w:t>)</w:t>
      </w:r>
    </w:p>
    <w:p w:rsidR="00DF67CC" w:rsidRDefault="00DF67CC" w:rsidP="00FA5866">
      <w:pPr>
        <w:spacing w:after="0" w:line="240" w:lineRule="auto"/>
        <w:rPr>
          <w:rFonts w:eastAsiaTheme="minorEastAsia"/>
        </w:rPr>
      </w:pPr>
    </w:p>
    <w:p w:rsidR="008A334F" w:rsidRDefault="008A334F" w:rsidP="00FA5866">
      <w:pPr>
        <w:spacing w:after="0" w:line="240" w:lineRule="auto"/>
        <w:rPr>
          <w:rFonts w:eastAsiaTheme="minorEastAsia"/>
        </w:rPr>
      </w:pPr>
      <w:r>
        <w:rPr>
          <w:rFonts w:eastAsiaTheme="minorEastAsia"/>
        </w:rPr>
        <w:t>Em seguida</w:t>
      </w:r>
      <w:r w:rsidR="00502AE2">
        <w:rPr>
          <w:rFonts w:eastAsiaTheme="minorEastAsia"/>
        </w:rPr>
        <w:t>, com intuito de</w:t>
      </w:r>
      <w:r w:rsidR="00681A1E">
        <w:rPr>
          <w:rFonts w:eastAsiaTheme="minorEastAsia"/>
        </w:rPr>
        <w:t xml:space="preserve"> comparar, para cada firma, o quão próximos são os resultados de cada metodologia,</w:t>
      </w:r>
      <w:r w:rsidR="00746F8A">
        <w:rPr>
          <w:rFonts w:eastAsiaTheme="minorEastAsia"/>
        </w:rPr>
        <w:t xml:space="preserve"> calcul</w:t>
      </w:r>
      <w:r w:rsidR="00E909E1">
        <w:rPr>
          <w:rFonts w:eastAsiaTheme="minorEastAsia"/>
        </w:rPr>
        <w:t>ou</w:t>
      </w:r>
      <w:r w:rsidR="0028162F">
        <w:rPr>
          <w:rFonts w:eastAsiaTheme="minorEastAsia"/>
        </w:rPr>
        <w:t>-se</w:t>
      </w:r>
      <w:r w:rsidR="00502AE2">
        <w:rPr>
          <w:rFonts w:eastAsiaTheme="minorEastAsia"/>
        </w:rPr>
        <w:t xml:space="preserve"> a</w:t>
      </w:r>
      <w:r w:rsidR="00681A1E">
        <w:rPr>
          <w:rFonts w:eastAsiaTheme="minorEastAsia"/>
        </w:rPr>
        <w:t xml:space="preserve"> correlação</w:t>
      </w:r>
      <w:r w:rsidR="00E909E1">
        <w:rPr>
          <w:rFonts w:eastAsiaTheme="minorEastAsia"/>
        </w:rPr>
        <w:t xml:space="preserve"> </w:t>
      </w:r>
      <w:r w:rsidR="00502AE2">
        <w:rPr>
          <w:rFonts w:eastAsiaTheme="minorEastAsia"/>
        </w:rPr>
        <w:t>entre os retornos anormais acumulados</w:t>
      </w:r>
      <w:r w:rsidR="00D239C9">
        <w:rPr>
          <w:rFonts w:eastAsiaTheme="minorEastAsia"/>
        </w:rPr>
        <w:t xml:space="preserve"> ponderados pelos</w:t>
      </w:r>
      <w:r w:rsidR="00FE23C0">
        <w:rPr>
          <w:rFonts w:eastAsiaTheme="minorEastAsia"/>
        </w:rPr>
        <w:t xml:space="preserve"> valores de mercado</w:t>
      </w:r>
      <w:r w:rsidR="00502AE2">
        <w:rPr>
          <w:rFonts w:eastAsiaTheme="minorEastAsia"/>
        </w:rPr>
        <w:t xml:space="preserve"> (</w:t>
      </w:r>
      <m:oMath>
        <m:r>
          <w:rPr>
            <w:rFonts w:ascii="Cambria Math" w:eastAsiaTheme="minorEastAsia" w:hAnsi="Cambria Math"/>
          </w:rPr>
          <m:t>MVCA</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w:proofErr w:type="gramStart"/>
            <m:r>
              <w:rPr>
                <w:rFonts w:ascii="Cambria Math" w:eastAsiaTheme="minorEastAsia" w:hAnsi="Cambria Math"/>
              </w:rPr>
              <m:t>,</m:t>
            </m:r>
            <w:proofErr w:type="gramEnd"/>
            <m:r>
              <w:rPr>
                <w:rFonts w:ascii="Cambria Math" w:eastAsiaTheme="minorEastAsia" w:hAnsi="Cambria Math"/>
              </w:rPr>
              <m:t>m,n</m:t>
            </m:r>
          </m:sub>
        </m:sSub>
      </m:oMath>
      <w:r w:rsidR="00FE23C0">
        <w:rPr>
          <w:rFonts w:eastAsiaTheme="minorEastAsia"/>
        </w:rPr>
        <w:t xml:space="preserve">), calculados </w:t>
      </w:r>
      <w:r w:rsidR="00D239C9">
        <w:rPr>
          <w:rFonts w:eastAsiaTheme="minorEastAsia"/>
        </w:rPr>
        <w:t>via</w:t>
      </w:r>
      <w:r w:rsidR="00FE23C0">
        <w:rPr>
          <w:rFonts w:eastAsiaTheme="minorEastAsia"/>
        </w:rPr>
        <w:t xml:space="preserve"> metodologia de estudo de eventos</w:t>
      </w:r>
      <w:r w:rsidR="00D239C9">
        <w:rPr>
          <w:rFonts w:eastAsiaTheme="minorEastAsia"/>
        </w:rPr>
        <w:t>,</w:t>
      </w:r>
      <w:r w:rsidR="00FE23C0">
        <w:rPr>
          <w:rFonts w:eastAsiaTheme="minorEastAsia"/>
        </w:rPr>
        <w:t xml:space="preserve"> e a diferença entre o lucro real e o previsto</w:t>
      </w:r>
      <w:r w:rsidR="00D239C9">
        <w:rPr>
          <w:rFonts w:eastAsiaTheme="minorEastAsia"/>
        </w:rPr>
        <w:t>,</w:t>
      </w:r>
      <w:r w:rsidR="00FE23C0">
        <w:rPr>
          <w:rFonts w:eastAsiaTheme="minorEastAsia"/>
        </w:rPr>
        <w:t xml:space="preserve"> calculado </w:t>
      </w:r>
      <w:r w:rsidR="00D239C9">
        <w:rPr>
          <w:rFonts w:eastAsiaTheme="minorEastAsia"/>
        </w:rPr>
        <w:t>via</w:t>
      </w:r>
      <w:r w:rsidR="00FE23C0">
        <w:rPr>
          <w:rFonts w:eastAsiaTheme="minorEastAsia"/>
        </w:rPr>
        <w:t xml:space="preserve"> metodologia  de avaliação </w:t>
      </w:r>
      <w:r w:rsidR="00FD353C">
        <w:rPr>
          <w:rFonts w:eastAsiaTheme="minorEastAsia"/>
          <w:i/>
        </w:rPr>
        <w:t>ex</w:t>
      </w:r>
      <w:r w:rsidR="00E909E1">
        <w:rPr>
          <w:rFonts w:eastAsiaTheme="minorEastAsia"/>
          <w:i/>
        </w:rPr>
        <w:t xml:space="preserve"> </w:t>
      </w:r>
      <w:proofErr w:type="spellStart"/>
      <w:r w:rsidR="00FE23C0" w:rsidRPr="00FE23C0">
        <w:rPr>
          <w:rFonts w:eastAsiaTheme="minorEastAsia"/>
          <w:i/>
        </w:rPr>
        <w:t>post</w:t>
      </w:r>
      <w:proofErr w:type="spellEnd"/>
      <w:r w:rsidR="00E909E1">
        <w:rPr>
          <w:rFonts w:eastAsiaTheme="minorEastAsia"/>
          <w:i/>
        </w:rPr>
        <w:t xml:space="preserve"> </w:t>
      </w:r>
      <w:r w:rsidR="00FE23C0">
        <w:rPr>
          <w:rFonts w:eastAsiaTheme="minorEastAsia"/>
        </w:rPr>
        <w:t>(</w:t>
      </w:r>
      <m:oMath>
        <m:r>
          <w:rPr>
            <w:rFonts w:ascii="Cambria Math" w:eastAsiaTheme="minorEastAsia" w:hAnsi="Cambria Math"/>
          </w:rPr>
          <m:t>∆</m:t>
        </m:r>
        <m:sSubSup>
          <m:sSubSupPr>
            <m:ctrlPr>
              <w:rPr>
                <w:rFonts w:ascii="Cambria Math" w:eastAsiaTheme="minorEastAsia" w:hAnsi="Cambria Math"/>
                <w:i/>
              </w:rPr>
            </m:ctrlPr>
          </m:sSubSupPr>
          <m:e>
            <m:r>
              <m:rPr>
                <m:sty m:val="p"/>
              </m:rPr>
              <w:rPr>
                <w:rFonts w:ascii="Cambria Math" w:eastAsiaTheme="minorEastAsia" w:hAnsi="Cambria Math"/>
              </w:rPr>
              <m:t>Π</m:t>
            </m:r>
          </m:e>
          <m:sub>
            <m:r>
              <w:rPr>
                <w:rFonts w:ascii="Cambria Math" w:eastAsiaTheme="minorEastAsia" w:hAnsi="Cambria Math"/>
              </w:rPr>
              <m:t>it+n</m:t>
            </m:r>
          </m:sub>
          <m:sup>
            <m:r>
              <w:rPr>
                <w:rFonts w:ascii="Cambria Math" w:eastAsiaTheme="minorEastAsia" w:hAnsi="Cambria Math"/>
              </w:rPr>
              <m:t>efeito</m:t>
            </m:r>
          </m:sup>
        </m:sSubSup>
      </m:oMath>
      <w:r w:rsidR="00FE23C0">
        <w:rPr>
          <w:rFonts w:eastAsiaTheme="minorEastAsia"/>
        </w:rPr>
        <w:t>).</w:t>
      </w:r>
    </w:p>
    <w:p w:rsidR="008A334F" w:rsidRDefault="008A334F" w:rsidP="00FA5866">
      <w:pPr>
        <w:spacing w:after="0" w:line="240" w:lineRule="auto"/>
        <w:rPr>
          <w:rFonts w:eastAsiaTheme="minorEastAsia"/>
        </w:rPr>
      </w:pPr>
      <m:oMath>
        <m:r>
          <w:rPr>
            <w:rFonts w:ascii="Cambria Math" w:eastAsiaTheme="minorEastAsia" w:hAnsi="Cambria Math"/>
          </w:rPr>
          <m:t>ρ=</m:t>
        </m:r>
        <m:f>
          <m:fPr>
            <m:ctrlPr>
              <w:rPr>
                <w:rFonts w:ascii="Cambria Math" w:eastAsiaTheme="minorEastAsia" w:hAnsi="Cambria Math"/>
                <w:i/>
              </w:rPr>
            </m:ctrlPr>
          </m:fPr>
          <m:num>
            <m:r>
              <w:rPr>
                <w:rFonts w:ascii="Cambria Math" w:eastAsiaTheme="minorEastAsia" w:hAnsi="Cambria Math"/>
              </w:rPr>
              <m:t>cov(MVCA</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i,m,n</m:t>
                </m:r>
              </m:sub>
            </m:sSub>
            <m:r>
              <w:rPr>
                <w:rFonts w:ascii="Cambria Math" w:eastAsiaTheme="minorEastAsia" w:hAnsi="Cambria Math"/>
              </w:rPr>
              <m:t>,∆</m:t>
            </m:r>
            <m:sSubSup>
              <m:sSubSupPr>
                <m:ctrlPr>
                  <w:rPr>
                    <w:rFonts w:ascii="Cambria Math" w:eastAsiaTheme="minorEastAsia" w:hAnsi="Cambria Math"/>
                    <w:i/>
                  </w:rPr>
                </m:ctrlPr>
              </m:sSubSupPr>
              <m:e>
                <m:r>
                  <m:rPr>
                    <m:sty m:val="p"/>
                  </m:rPr>
                  <w:rPr>
                    <w:rFonts w:ascii="Cambria Math" w:eastAsiaTheme="minorEastAsia" w:hAnsi="Cambria Math"/>
                  </w:rPr>
                  <m:t>Π</m:t>
                </m:r>
              </m:e>
              <m:sub>
                <m:r>
                  <w:rPr>
                    <w:rFonts w:ascii="Cambria Math" w:eastAsiaTheme="minorEastAsia" w:hAnsi="Cambria Math"/>
                  </w:rPr>
                  <m:t>it+n</m:t>
                </m:r>
              </m:sub>
              <m:sup>
                <m:r>
                  <w:rPr>
                    <w:rFonts w:ascii="Cambria Math" w:eastAsiaTheme="minorEastAsia" w:hAnsi="Cambria Math"/>
                  </w:rPr>
                  <m:t>efeito</m:t>
                </m:r>
              </m:sup>
            </m:sSubSup>
            <m:r>
              <w:rPr>
                <w:rFonts w:ascii="Cambria Math" w:eastAsiaTheme="minorEastAsia" w:hAnsi="Cambria Math"/>
              </w:rPr>
              <m:t>)</m:t>
            </m:r>
          </m:num>
          <m:den>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MVCA</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i,m,n</m:t>
                    </m:r>
                  </m:sub>
                </m:sSub>
              </m:sub>
            </m:sSub>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m:t>
                </m:r>
                <m:sSubSup>
                  <m:sSubSupPr>
                    <m:ctrlPr>
                      <w:rPr>
                        <w:rFonts w:ascii="Cambria Math" w:eastAsiaTheme="minorEastAsia" w:hAnsi="Cambria Math"/>
                        <w:i/>
                      </w:rPr>
                    </m:ctrlPr>
                  </m:sSubSupPr>
                  <m:e>
                    <m:r>
                      <m:rPr>
                        <m:sty m:val="p"/>
                      </m:rPr>
                      <w:rPr>
                        <w:rFonts w:ascii="Cambria Math" w:eastAsiaTheme="minorEastAsia" w:hAnsi="Cambria Math"/>
                      </w:rPr>
                      <m:t>Π</m:t>
                    </m:r>
                  </m:e>
                  <m:sub>
                    <m:r>
                      <w:rPr>
                        <w:rFonts w:ascii="Cambria Math" w:eastAsiaTheme="minorEastAsia" w:hAnsi="Cambria Math"/>
                      </w:rPr>
                      <m:t>it+n</m:t>
                    </m:r>
                  </m:sub>
                  <m:sup>
                    <m:r>
                      <w:rPr>
                        <w:rFonts w:ascii="Cambria Math" w:eastAsiaTheme="minorEastAsia" w:hAnsi="Cambria Math"/>
                      </w:rPr>
                      <m:t>efeito</m:t>
                    </m:r>
                  </m:sup>
                </m:sSubSup>
              </m:sub>
            </m:sSub>
          </m:den>
        </m:f>
      </m:oMath>
      <w:r w:rsidR="00DF67CC">
        <w:rPr>
          <w:rFonts w:eastAsiaTheme="minorEastAsia"/>
        </w:rPr>
        <w:t xml:space="preserve"> </w:t>
      </w:r>
      <w:r w:rsidR="00DF67CC">
        <w:rPr>
          <w:rFonts w:eastAsiaTheme="minorEastAsia"/>
        </w:rPr>
        <w:tab/>
      </w:r>
      <w:r w:rsidR="00DF67CC">
        <w:rPr>
          <w:rFonts w:eastAsiaTheme="minorEastAsia"/>
        </w:rPr>
        <w:tab/>
      </w:r>
      <w:r w:rsidR="00DF67CC">
        <w:rPr>
          <w:rFonts w:eastAsiaTheme="minorEastAsia"/>
        </w:rPr>
        <w:tab/>
      </w:r>
      <w:r w:rsidR="00DF67CC">
        <w:rPr>
          <w:rFonts w:eastAsiaTheme="minorEastAsia"/>
        </w:rPr>
        <w:tab/>
      </w:r>
      <w:r w:rsidR="00DF67CC">
        <w:rPr>
          <w:rFonts w:eastAsiaTheme="minorEastAsia"/>
        </w:rPr>
        <w:tab/>
      </w:r>
      <w:r w:rsidR="00DF67CC">
        <w:rPr>
          <w:rFonts w:eastAsiaTheme="minorEastAsia"/>
        </w:rPr>
        <w:tab/>
        <w:t xml:space="preserve">          Eq. (21</w:t>
      </w:r>
      <w:r w:rsidR="00E909E1">
        <w:rPr>
          <w:rFonts w:eastAsiaTheme="minorEastAsia"/>
        </w:rPr>
        <w:t>)</w:t>
      </w:r>
    </w:p>
    <w:p w:rsidR="00DF67CC" w:rsidRDefault="00DF67CC" w:rsidP="00FA5866">
      <w:pPr>
        <w:spacing w:after="0" w:line="240" w:lineRule="auto"/>
        <w:rPr>
          <w:rFonts w:eastAsiaTheme="minorEastAsia"/>
        </w:rPr>
      </w:pPr>
    </w:p>
    <w:p w:rsidR="0074395C" w:rsidRDefault="00D239C9" w:rsidP="00FA5866">
      <w:pPr>
        <w:spacing w:after="0" w:line="240" w:lineRule="auto"/>
        <w:rPr>
          <w:rFonts w:eastAsiaTheme="minorEastAsia"/>
        </w:rPr>
      </w:pPr>
      <w:proofErr w:type="gramStart"/>
      <w:r>
        <w:rPr>
          <w:rFonts w:eastAsiaTheme="minorEastAsia"/>
        </w:rPr>
        <w:t>e</w:t>
      </w:r>
      <w:r w:rsidR="0074395C">
        <w:rPr>
          <w:rFonts w:eastAsiaTheme="minorEastAsia"/>
        </w:rPr>
        <w:t>m</w:t>
      </w:r>
      <w:proofErr w:type="gramEnd"/>
      <w:r w:rsidR="0074395C">
        <w:rPr>
          <w:rFonts w:eastAsiaTheme="minorEastAsia"/>
        </w:rPr>
        <w:t xml:space="preserve"> que</w:t>
      </w:r>
      <m:oMath>
        <m:r>
          <w:rPr>
            <w:rFonts w:ascii="Cambria Math" w:eastAsiaTheme="minorEastAsia" w:hAnsi="Cambria Math"/>
          </w:rPr>
          <m:t xml:space="preserve"> ρ</m:t>
        </m:r>
      </m:oMath>
      <w:r w:rsidR="00FE23C0">
        <w:rPr>
          <w:rFonts w:eastAsiaTheme="minorEastAsia"/>
        </w:rPr>
        <w:t xml:space="preserve"> é o coeficiente de correlação de Pearson e</w:t>
      </w:r>
      <m:oMath>
        <m:r>
          <w:rPr>
            <w:rFonts w:ascii="Cambria Math" w:eastAsiaTheme="minorEastAsia" w:hAnsi="Cambria Math"/>
          </w:rPr>
          <m:t xml:space="preserve"> cov(MVCA</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i,m,n</m:t>
            </m:r>
          </m:sub>
        </m:sSub>
        <m:r>
          <w:rPr>
            <w:rFonts w:ascii="Cambria Math" w:eastAsiaTheme="minorEastAsia" w:hAnsi="Cambria Math"/>
          </w:rPr>
          <m:t>,∆</m:t>
        </m:r>
        <m:sSubSup>
          <m:sSubSupPr>
            <m:ctrlPr>
              <w:rPr>
                <w:rFonts w:ascii="Cambria Math" w:eastAsiaTheme="minorEastAsia" w:hAnsi="Cambria Math"/>
                <w:i/>
              </w:rPr>
            </m:ctrlPr>
          </m:sSubSupPr>
          <m:e>
            <m:r>
              <m:rPr>
                <m:sty m:val="p"/>
              </m:rPr>
              <w:rPr>
                <w:rFonts w:ascii="Cambria Math" w:eastAsiaTheme="minorEastAsia" w:hAnsi="Cambria Math"/>
              </w:rPr>
              <m:t>Π</m:t>
            </m:r>
          </m:e>
          <m:sub>
            <m:r>
              <w:rPr>
                <w:rFonts w:ascii="Cambria Math" w:eastAsiaTheme="minorEastAsia" w:hAnsi="Cambria Math"/>
              </w:rPr>
              <m:t>it+n</m:t>
            </m:r>
          </m:sub>
          <m:sup>
            <m:r>
              <w:rPr>
                <w:rFonts w:ascii="Cambria Math" w:eastAsiaTheme="minorEastAsia" w:hAnsi="Cambria Math"/>
              </w:rPr>
              <m:t>efeito</m:t>
            </m:r>
          </m:sup>
        </m:sSubSup>
        <m:r>
          <w:rPr>
            <w:rFonts w:ascii="Cambria Math" w:eastAsiaTheme="minorEastAsia" w:hAnsi="Cambria Math"/>
          </w:rPr>
          <m:t>)</m:t>
        </m:r>
      </m:oMath>
      <w:r w:rsidR="0074395C">
        <w:rPr>
          <w:rFonts w:eastAsiaTheme="minorEastAsia"/>
        </w:rPr>
        <w:t xml:space="preserve"> é a covariância de </w:t>
      </w:r>
      <m:oMath>
        <m:r>
          <w:rPr>
            <w:rFonts w:ascii="Cambria Math" w:eastAsiaTheme="minorEastAsia" w:hAnsi="Cambria Math"/>
          </w:rPr>
          <m:t>MVCA</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i,m,n</m:t>
            </m:r>
          </m:sub>
        </m:sSub>
      </m:oMath>
      <w:r w:rsidR="0074395C">
        <w:rPr>
          <w:rFonts w:eastAsiaTheme="minorEastAsia"/>
        </w:rPr>
        <w:t xml:space="preserve"> e </w:t>
      </w:r>
      <m:oMath>
        <m:r>
          <w:rPr>
            <w:rFonts w:ascii="Cambria Math" w:eastAsiaTheme="minorEastAsia" w:hAnsi="Cambria Math"/>
          </w:rPr>
          <m:t>∆</m:t>
        </m:r>
        <m:sSubSup>
          <m:sSubSupPr>
            <m:ctrlPr>
              <w:rPr>
                <w:rFonts w:ascii="Cambria Math" w:eastAsiaTheme="minorEastAsia" w:hAnsi="Cambria Math"/>
                <w:i/>
              </w:rPr>
            </m:ctrlPr>
          </m:sSubSupPr>
          <m:e>
            <m:r>
              <m:rPr>
                <m:sty m:val="p"/>
              </m:rPr>
              <w:rPr>
                <w:rFonts w:ascii="Cambria Math" w:eastAsiaTheme="minorEastAsia" w:hAnsi="Cambria Math"/>
              </w:rPr>
              <m:t>Π</m:t>
            </m:r>
          </m:e>
          <m:sub>
            <m:r>
              <w:rPr>
                <w:rFonts w:ascii="Cambria Math" w:eastAsiaTheme="minorEastAsia" w:hAnsi="Cambria Math"/>
              </w:rPr>
              <m:t>it+n</m:t>
            </m:r>
          </m:sub>
          <m:sup>
            <m:r>
              <w:rPr>
                <w:rFonts w:ascii="Cambria Math" w:eastAsiaTheme="minorEastAsia" w:hAnsi="Cambria Math"/>
              </w:rPr>
              <m:t>efeito</m:t>
            </m:r>
          </m:sup>
        </m:sSubSup>
      </m:oMath>
      <w:r w:rsidR="0074395C">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MVCA</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i,m,n</m:t>
                </m:r>
              </m:sub>
            </m:sSub>
          </m:sub>
        </m:sSub>
      </m:oMath>
      <w:r w:rsidR="0074395C">
        <w:rPr>
          <w:rFonts w:eastAsiaTheme="minorEastAsia"/>
        </w:rPr>
        <w:t xml:space="preserve"> e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m:t>
            </m:r>
            <m:sSubSup>
              <m:sSubSupPr>
                <m:ctrlPr>
                  <w:rPr>
                    <w:rFonts w:ascii="Cambria Math" w:eastAsiaTheme="minorEastAsia" w:hAnsi="Cambria Math"/>
                    <w:i/>
                  </w:rPr>
                </m:ctrlPr>
              </m:sSubSupPr>
              <m:e>
                <m:r>
                  <m:rPr>
                    <m:sty m:val="p"/>
                  </m:rPr>
                  <w:rPr>
                    <w:rFonts w:ascii="Cambria Math" w:eastAsiaTheme="minorEastAsia" w:hAnsi="Cambria Math"/>
                  </w:rPr>
                  <m:t>Π</m:t>
                </m:r>
              </m:e>
              <m:sub>
                <m:r>
                  <w:rPr>
                    <w:rFonts w:ascii="Cambria Math" w:eastAsiaTheme="minorEastAsia" w:hAnsi="Cambria Math"/>
                  </w:rPr>
                  <m:t>it+n</m:t>
                </m:r>
              </m:sub>
              <m:sup>
                <m:r>
                  <w:rPr>
                    <w:rFonts w:ascii="Cambria Math" w:eastAsiaTheme="minorEastAsia" w:hAnsi="Cambria Math"/>
                  </w:rPr>
                  <m:t>efeito</m:t>
                </m:r>
              </m:sup>
            </m:sSubSup>
          </m:sub>
        </m:sSub>
      </m:oMath>
      <w:r>
        <w:rPr>
          <w:rFonts w:eastAsiaTheme="minorEastAsia"/>
        </w:rPr>
        <w:t xml:space="preserve"> são os respectivos desvi</w:t>
      </w:r>
      <w:proofErr w:type="spellStart"/>
      <w:r>
        <w:rPr>
          <w:rFonts w:eastAsiaTheme="minorEastAsia"/>
        </w:rPr>
        <w:t>os-</w:t>
      </w:r>
      <w:r w:rsidR="0074395C">
        <w:rPr>
          <w:rFonts w:eastAsiaTheme="minorEastAsia"/>
        </w:rPr>
        <w:t>padrões</w:t>
      </w:r>
      <w:proofErr w:type="spellEnd"/>
      <w:r w:rsidR="0028162F">
        <w:rPr>
          <w:rFonts w:eastAsiaTheme="minorEastAsia"/>
        </w:rPr>
        <w:t xml:space="preserve"> de cada medida</w:t>
      </w:r>
      <w:r w:rsidR="0074395C">
        <w:rPr>
          <w:rFonts w:eastAsiaTheme="minorEastAsia"/>
        </w:rPr>
        <w:t>.</w:t>
      </w:r>
    </w:p>
    <w:p w:rsidR="00BE65A3" w:rsidRDefault="00BE65A3" w:rsidP="00FA5866">
      <w:pPr>
        <w:spacing w:after="0" w:line="240" w:lineRule="auto"/>
        <w:rPr>
          <w:rFonts w:eastAsiaTheme="minorEastAsia"/>
        </w:rPr>
      </w:pPr>
      <w:r w:rsidRPr="008D6333">
        <w:rPr>
          <w:rFonts w:eastAsiaTheme="minorEastAsia"/>
        </w:rPr>
        <w:t>Finalmente, por meio de uma análise de regressão</w:t>
      </w:r>
      <w:r w:rsidR="009E75EE">
        <w:rPr>
          <w:rFonts w:eastAsiaTheme="minorEastAsia"/>
        </w:rPr>
        <w:t xml:space="preserve"> realizada conforme </w:t>
      </w:r>
      <w:proofErr w:type="spellStart"/>
      <w:r w:rsidR="009E75EE">
        <w:rPr>
          <w:rFonts w:eastAsiaTheme="minorEastAsia"/>
        </w:rPr>
        <w:t>Duso</w:t>
      </w:r>
      <w:proofErr w:type="spellEnd"/>
      <w:r w:rsidR="009E75EE">
        <w:rPr>
          <w:rFonts w:eastAsiaTheme="minorEastAsia"/>
        </w:rPr>
        <w:t xml:space="preserve"> </w:t>
      </w:r>
      <w:proofErr w:type="spellStart"/>
      <w:proofErr w:type="gramStart"/>
      <w:r w:rsidR="009E75EE" w:rsidRPr="009E75EE">
        <w:rPr>
          <w:rFonts w:eastAsiaTheme="minorEastAsia"/>
          <w:i/>
        </w:rPr>
        <w:t>et</w:t>
      </w:r>
      <w:proofErr w:type="spellEnd"/>
      <w:proofErr w:type="gramEnd"/>
      <w:r w:rsidR="009E75EE" w:rsidRPr="009E75EE">
        <w:rPr>
          <w:rFonts w:eastAsiaTheme="minorEastAsia"/>
          <w:i/>
        </w:rPr>
        <w:t xml:space="preserve"> al.</w:t>
      </w:r>
      <w:r w:rsidR="009E75EE">
        <w:rPr>
          <w:rFonts w:eastAsiaTheme="minorEastAsia"/>
        </w:rPr>
        <w:t xml:space="preserve"> (2010)</w:t>
      </w:r>
      <w:r w:rsidR="00D239C9" w:rsidRPr="008D6333">
        <w:rPr>
          <w:rFonts w:eastAsiaTheme="minorEastAsia"/>
        </w:rPr>
        <w:t>,</w:t>
      </w:r>
      <w:r w:rsidRPr="008D6333">
        <w:rPr>
          <w:rFonts w:eastAsiaTheme="minorEastAsia"/>
        </w:rPr>
        <w:t xml:space="preserve"> tentou-se capturar a capacidade do mercado em antecipar os efeitos de lucratividade posteriores tanto nas firmas fusionadas como nas firmas rivais. Em que o modelo de regressão foi:</w:t>
      </w:r>
    </w:p>
    <w:p w:rsidR="00DF67CC" w:rsidRPr="008D6333" w:rsidRDefault="00DF67CC" w:rsidP="00FA5866">
      <w:pPr>
        <w:spacing w:after="0" w:line="240" w:lineRule="auto"/>
        <w:rPr>
          <w:rFonts w:eastAsiaTheme="minorEastAsia"/>
        </w:rPr>
      </w:pPr>
    </w:p>
    <w:p w:rsidR="00BE65A3" w:rsidRPr="008D6333" w:rsidRDefault="00BE65A3" w:rsidP="00FA5866">
      <w:pPr>
        <w:spacing w:after="0" w:line="240" w:lineRule="auto"/>
        <w:rPr>
          <w:rFonts w:eastAsiaTheme="minorEastAsia"/>
        </w:rPr>
      </w:pPr>
      <m:oMath>
        <m:r>
          <w:rPr>
            <w:rFonts w:ascii="Cambria Math" w:eastAsiaTheme="minorEastAsia" w:hAnsi="Cambria Math"/>
          </w:rPr>
          <m:t>MVCA</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i,m,n</m:t>
            </m:r>
          </m:sub>
        </m:sSub>
        <m:r>
          <w:rPr>
            <w:rFonts w:ascii="Cambria Math" w:eastAsiaTheme="minorEastAsia" w:hAnsi="Cambria Math"/>
          </w:rPr>
          <m:t>=α+</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r>
          <w:rPr>
            <w:rFonts w:ascii="Cambria Math" w:eastAsiaTheme="minorEastAsia" w:hAnsi="Cambria Math"/>
          </w:rPr>
          <m:t>∆</m:t>
        </m:r>
        <m:sSubSup>
          <m:sSubSupPr>
            <m:ctrlPr>
              <w:rPr>
                <w:rFonts w:ascii="Cambria Math" w:eastAsiaTheme="minorEastAsia" w:hAnsi="Cambria Math"/>
                <w:i/>
              </w:rPr>
            </m:ctrlPr>
          </m:sSubSupPr>
          <m:e>
            <m:r>
              <m:rPr>
                <m:sty m:val="p"/>
              </m:rPr>
              <w:rPr>
                <w:rFonts w:ascii="Cambria Math" w:eastAsiaTheme="minorEastAsia" w:hAnsi="Cambria Math"/>
              </w:rPr>
              <m:t>Π</m:t>
            </m:r>
          </m:e>
          <m:sub>
            <m:r>
              <w:rPr>
                <w:rFonts w:ascii="Cambria Math" w:eastAsiaTheme="minorEastAsia" w:hAnsi="Cambria Math"/>
              </w:rPr>
              <m:t>it+n</m:t>
            </m:r>
          </m:sub>
          <m:sup>
            <m:r>
              <w:rPr>
                <w:rFonts w:ascii="Cambria Math" w:eastAsiaTheme="minorEastAsia" w:hAnsi="Cambria Math"/>
              </w:rPr>
              <m:t>efeito</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2</m:t>
            </m:r>
          </m:sub>
        </m:sSub>
        <m:sSub>
          <m:sSubPr>
            <m:ctrlPr>
              <w:rPr>
                <w:rFonts w:ascii="Cambria Math" w:eastAsiaTheme="minorEastAsia" w:hAnsi="Cambria Math"/>
                <w:i/>
              </w:rPr>
            </m:ctrlPr>
          </m:sSubPr>
          <m:e>
            <m:r>
              <m:rPr>
                <m:sty m:val="p"/>
              </m:rPr>
              <w:rPr>
                <w:rFonts w:ascii="Cambria Math" w:eastAsiaTheme="minorEastAsia" w:hAnsi="Cambria Math"/>
              </w:rPr>
              <m:t>Π</m:t>
            </m:r>
            <m:ctrlPr>
              <w:rPr>
                <w:rFonts w:ascii="Cambria Math" w:eastAsiaTheme="minorEastAsia" w:hAnsi="Cambria Math"/>
              </w:rPr>
            </m:ctrlPr>
          </m:e>
          <m:sub>
            <m:r>
              <w:rPr>
                <w:rFonts w:ascii="Cambria Math" w:eastAsiaTheme="minorEastAsia" w:hAnsi="Cambria Math"/>
              </w:rPr>
              <m:t>it-1</m:t>
            </m:r>
          </m:sub>
        </m:sSub>
        <m:r>
          <w:rPr>
            <w:rFonts w:ascii="Cambria Math" w:eastAsiaTheme="minorEastAsia" w:hAnsi="Cambria Math"/>
          </w:rPr>
          <m:t>+</m:t>
        </m:r>
        <m:sSub>
          <m:sSubPr>
            <m:ctrlPr>
              <w:rPr>
                <w:rFonts w:ascii="Cambria Math" w:hAnsi="Cambria Math"/>
                <w:i/>
              </w:rPr>
            </m:ctrlPr>
          </m:sSubPr>
          <m:e>
            <m:r>
              <w:rPr>
                <w:rFonts w:ascii="Cambria Math" w:hAnsi="Cambria Math"/>
              </w:rPr>
              <m:t>ε</m:t>
            </m:r>
          </m:e>
          <m:sub>
            <m:r>
              <w:rPr>
                <w:rFonts w:ascii="Cambria Math" w:hAnsi="Cambria Math"/>
              </w:rPr>
              <m:t>i</m:t>
            </m:r>
          </m:sub>
        </m:sSub>
      </m:oMath>
      <w:r w:rsidR="00DF67CC">
        <w:rPr>
          <w:rFonts w:eastAsiaTheme="minorEastAsia"/>
        </w:rPr>
        <w:tab/>
      </w:r>
      <w:r w:rsidR="00DF67CC">
        <w:rPr>
          <w:rFonts w:eastAsiaTheme="minorEastAsia"/>
        </w:rPr>
        <w:tab/>
      </w:r>
      <w:r w:rsidR="00DF67CC">
        <w:rPr>
          <w:rFonts w:eastAsiaTheme="minorEastAsia"/>
        </w:rPr>
        <w:tab/>
        <w:t xml:space="preserve">          (Eq. 22</w:t>
      </w:r>
      <w:r w:rsidR="00226A76">
        <w:rPr>
          <w:rFonts w:eastAsiaTheme="minorEastAsia"/>
        </w:rPr>
        <w:t>)</w:t>
      </w:r>
    </w:p>
    <w:p w:rsidR="00DF67CC" w:rsidRDefault="00DF67CC" w:rsidP="00FA5866">
      <w:pPr>
        <w:spacing w:after="0" w:line="240" w:lineRule="auto"/>
        <w:rPr>
          <w:rFonts w:eastAsia="Times New Roman"/>
        </w:rPr>
      </w:pPr>
    </w:p>
    <w:p w:rsidR="00F268CE" w:rsidRDefault="00D239C9" w:rsidP="00FA5866">
      <w:pPr>
        <w:spacing w:after="0" w:line="240" w:lineRule="auto"/>
        <w:rPr>
          <w:rFonts w:eastAsia="Times New Roman"/>
        </w:rPr>
      </w:pPr>
      <w:proofErr w:type="gramStart"/>
      <w:r w:rsidRPr="008D6333">
        <w:rPr>
          <w:rFonts w:eastAsia="Times New Roman"/>
        </w:rPr>
        <w:t>e</w:t>
      </w:r>
      <w:r w:rsidR="00597CB8" w:rsidRPr="008D6333">
        <w:rPr>
          <w:rFonts w:eastAsia="Times New Roman"/>
        </w:rPr>
        <w:t>m</w:t>
      </w:r>
      <w:proofErr w:type="gramEnd"/>
      <w:r w:rsidR="00597CB8" w:rsidRPr="008D6333">
        <w:rPr>
          <w:rFonts w:eastAsia="Times New Roman"/>
        </w:rPr>
        <w:t xml:space="preserve"> que </w:t>
      </w:r>
      <m:oMath>
        <m:r>
          <w:rPr>
            <w:rFonts w:ascii="Cambria Math" w:eastAsiaTheme="minorEastAsia" w:hAnsi="Cambria Math"/>
          </w:rPr>
          <m:t xml:space="preserve">α, </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oMath>
      <w:r w:rsidR="00597CB8" w:rsidRPr="008D6333">
        <w:rPr>
          <w:rFonts w:eastAsia="Times New Roman"/>
        </w:rPr>
        <w:t xml:space="preserve"> e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2</m:t>
            </m:r>
          </m:sub>
        </m:sSub>
      </m:oMath>
      <w:r w:rsidR="00597CB8" w:rsidRPr="008D6333">
        <w:rPr>
          <w:rFonts w:eastAsia="Times New Roman"/>
        </w:rPr>
        <w:t xml:space="preserve"> são estimad</w:t>
      </w:r>
      <w:r w:rsidR="00753789" w:rsidRPr="008D6333">
        <w:rPr>
          <w:rFonts w:eastAsia="Times New Roman"/>
        </w:rPr>
        <w:t>os por meio de um modelo de MQO</w:t>
      </w:r>
      <w:r w:rsidR="0078779E" w:rsidRPr="008D6333">
        <w:rPr>
          <w:rFonts w:eastAsia="Times New Roman"/>
        </w:rPr>
        <w:t>,</w:t>
      </w:r>
      <m:oMath>
        <m:sSub>
          <m:sSubPr>
            <m:ctrlPr>
              <w:rPr>
                <w:rFonts w:ascii="Cambria Math" w:eastAsiaTheme="minorEastAsia" w:hAnsi="Cambria Math"/>
                <w:i/>
              </w:rPr>
            </m:ctrlPr>
          </m:sSubPr>
          <m:e>
            <m:r>
              <m:rPr>
                <m:sty m:val="p"/>
              </m:rPr>
              <w:rPr>
                <w:rFonts w:ascii="Cambria Math" w:eastAsiaTheme="minorEastAsia" w:hAnsi="Cambria Math"/>
              </w:rPr>
              <m:t xml:space="preserve"> Π</m:t>
            </m:r>
            <m:ctrlPr>
              <w:rPr>
                <w:rFonts w:ascii="Cambria Math" w:eastAsiaTheme="minorEastAsia" w:hAnsi="Cambria Math"/>
              </w:rPr>
            </m:ctrlPr>
          </m:e>
          <m:sub>
            <m:r>
              <w:rPr>
                <w:rFonts w:ascii="Cambria Math" w:eastAsiaTheme="minorEastAsia" w:hAnsi="Cambria Math"/>
              </w:rPr>
              <m:t>it-1</m:t>
            </m:r>
          </m:sub>
        </m:sSub>
      </m:oMath>
      <w:r w:rsidR="00B722B3" w:rsidRPr="008D6333">
        <w:rPr>
          <w:rFonts w:eastAsia="Times New Roman"/>
        </w:rPr>
        <w:t xml:space="preserve"> é uma variável de controle para efeito de reversão </w:t>
      </w:r>
      <w:r w:rsidR="00753789" w:rsidRPr="008D6333">
        <w:rPr>
          <w:rFonts w:eastAsia="Times New Roman"/>
        </w:rPr>
        <w:t>à</w:t>
      </w:r>
      <w:r w:rsidR="00B722B3" w:rsidRPr="008D6333">
        <w:rPr>
          <w:rFonts w:eastAsia="Times New Roman"/>
        </w:rPr>
        <w:t xml:space="preserve"> média</w:t>
      </w:r>
      <w:r w:rsidR="0028162F" w:rsidRPr="008D6333">
        <w:rPr>
          <w:rFonts w:eastAsia="Times New Roman"/>
        </w:rPr>
        <w:t xml:space="preserve"> representada</w:t>
      </w:r>
      <w:r w:rsidR="00422C85" w:rsidRPr="008D6333">
        <w:rPr>
          <w:rFonts w:eastAsia="Times New Roman"/>
        </w:rPr>
        <w:t xml:space="preserve"> pelo </w:t>
      </w:r>
      <w:r w:rsidR="00514FAB" w:rsidRPr="008D6333">
        <w:rPr>
          <w:rFonts w:eastAsia="Times New Roman"/>
        </w:rPr>
        <w:t xml:space="preserve">lucro no trimestre anterior </w:t>
      </w:r>
      <w:r w:rsidR="00753789" w:rsidRPr="008D6333">
        <w:rPr>
          <w:rFonts w:eastAsia="Times New Roman"/>
        </w:rPr>
        <w:t>à</w:t>
      </w:r>
      <w:r w:rsidR="00514FAB" w:rsidRPr="008D6333">
        <w:rPr>
          <w:rFonts w:eastAsia="Times New Roman"/>
        </w:rPr>
        <w:t xml:space="preserve"> fusão </w:t>
      </w:r>
      <w:r w:rsidR="0078779E" w:rsidRPr="008D6333">
        <w:rPr>
          <w:rFonts w:eastAsia="Times New Roman"/>
        </w:rPr>
        <w:t xml:space="preserve">e </w:t>
      </w:r>
      <m:oMath>
        <m:sSub>
          <m:sSubPr>
            <m:ctrlPr>
              <w:rPr>
                <w:rFonts w:ascii="Cambria Math" w:hAnsi="Cambria Math"/>
                <w:i/>
              </w:rPr>
            </m:ctrlPr>
          </m:sSubPr>
          <m:e>
            <m:r>
              <w:rPr>
                <w:rFonts w:ascii="Cambria Math" w:hAnsi="Cambria Math"/>
              </w:rPr>
              <m:t>ε</m:t>
            </m:r>
          </m:e>
          <m:sub>
            <m:r>
              <w:rPr>
                <w:rFonts w:ascii="Cambria Math" w:hAnsi="Cambria Math"/>
              </w:rPr>
              <m:t>i</m:t>
            </m:r>
          </m:sub>
        </m:sSub>
      </m:oMath>
      <w:r w:rsidR="0078779E" w:rsidRPr="008D6333">
        <w:rPr>
          <w:rFonts w:eastAsia="Times New Roman"/>
        </w:rPr>
        <w:t xml:space="preserve"> é o termo de erro normalmente distribuído</w:t>
      </w:r>
      <w:r w:rsidR="00B722B3" w:rsidRPr="008D6333">
        <w:rPr>
          <w:rFonts w:eastAsia="Times New Roman"/>
        </w:rPr>
        <w:t xml:space="preserve">. Conforme </w:t>
      </w:r>
      <w:proofErr w:type="spellStart"/>
      <w:r w:rsidR="00B722B3" w:rsidRPr="008D6333">
        <w:rPr>
          <w:rFonts w:eastAsia="Times New Roman"/>
        </w:rPr>
        <w:t>Barber</w:t>
      </w:r>
      <w:proofErr w:type="spellEnd"/>
      <w:r w:rsidR="00B722B3" w:rsidRPr="008D6333">
        <w:rPr>
          <w:rFonts w:eastAsia="Times New Roman"/>
        </w:rPr>
        <w:t xml:space="preserve"> e Lyon (</w:t>
      </w:r>
      <w:r w:rsidR="0066681D" w:rsidRPr="008D6333">
        <w:rPr>
          <w:rFonts w:eastAsia="Times New Roman"/>
        </w:rPr>
        <w:t>1996</w:t>
      </w:r>
      <w:r w:rsidR="00B722B3" w:rsidRPr="008D6333">
        <w:rPr>
          <w:rFonts w:eastAsia="Times New Roman"/>
        </w:rPr>
        <w:t>)</w:t>
      </w:r>
      <w:r w:rsidRPr="008D6333">
        <w:rPr>
          <w:rFonts w:eastAsia="Times New Roman"/>
        </w:rPr>
        <w:t xml:space="preserve">, </w:t>
      </w:r>
      <w:r w:rsidR="00B722B3" w:rsidRPr="008D6333">
        <w:rPr>
          <w:rFonts w:eastAsia="Times New Roman"/>
        </w:rPr>
        <w:t>a presença de um componente temporário no retorno operacional de uma determinada firma</w:t>
      </w:r>
      <w:r w:rsidR="00D32EC4" w:rsidRPr="008D6333">
        <w:rPr>
          <w:rFonts w:eastAsia="Times New Roman"/>
        </w:rPr>
        <w:t xml:space="preserve"> pode levar a</w:t>
      </w:r>
      <w:r w:rsidR="00B722B3" w:rsidRPr="008D6333">
        <w:rPr>
          <w:rFonts w:eastAsia="Times New Roman"/>
        </w:rPr>
        <w:t xml:space="preserve"> uma queda no retorno após o evento</w:t>
      </w:r>
      <w:r w:rsidRPr="008D6333">
        <w:rPr>
          <w:rFonts w:eastAsia="Times New Roman"/>
        </w:rPr>
        <w:t>,</w:t>
      </w:r>
      <w:r w:rsidR="00B61376" w:rsidRPr="008D6333">
        <w:rPr>
          <w:rFonts w:eastAsia="Times New Roman"/>
        </w:rPr>
        <w:t xml:space="preserve"> </w:t>
      </w:r>
      <w:r w:rsidR="00D32EC4" w:rsidRPr="008D6333">
        <w:rPr>
          <w:rFonts w:eastAsia="Times New Roman"/>
        </w:rPr>
        <w:t>indicando</w:t>
      </w:r>
      <w:r w:rsidR="00B722B3" w:rsidRPr="008D6333">
        <w:rPr>
          <w:rFonts w:eastAsia="Times New Roman"/>
        </w:rPr>
        <w:t xml:space="preserve"> uma tendência de retorno ao patamar anterior </w:t>
      </w:r>
      <w:proofErr w:type="gramStart"/>
      <w:r w:rsidR="00B722B3" w:rsidRPr="008D6333">
        <w:rPr>
          <w:rFonts w:eastAsia="Times New Roman"/>
        </w:rPr>
        <w:t>a</w:t>
      </w:r>
      <w:proofErr w:type="gramEnd"/>
      <w:r w:rsidR="00B722B3" w:rsidRPr="008D6333">
        <w:rPr>
          <w:rFonts w:eastAsia="Times New Roman"/>
        </w:rPr>
        <w:t xml:space="preserve"> fusão.</w:t>
      </w:r>
    </w:p>
    <w:p w:rsidR="00455DEE" w:rsidRDefault="00455DEE" w:rsidP="00FA5866">
      <w:pPr>
        <w:pStyle w:val="Ttulo1"/>
        <w:spacing w:before="0" w:after="0" w:line="240" w:lineRule="auto"/>
        <w:rPr>
          <w:sz w:val="24"/>
          <w:szCs w:val="24"/>
        </w:rPr>
      </w:pPr>
      <w:bookmarkStart w:id="4" w:name="_Toc379492291"/>
    </w:p>
    <w:p w:rsidR="00455DEE" w:rsidRPr="00455DEE" w:rsidRDefault="00E909E1" w:rsidP="00FA5866">
      <w:pPr>
        <w:pStyle w:val="Ttulo1"/>
        <w:spacing w:before="0" w:after="0" w:line="240" w:lineRule="auto"/>
        <w:rPr>
          <w:sz w:val="24"/>
          <w:szCs w:val="24"/>
        </w:rPr>
      </w:pPr>
      <w:r w:rsidRPr="00226A76">
        <w:rPr>
          <w:sz w:val="24"/>
          <w:szCs w:val="24"/>
        </w:rPr>
        <w:t xml:space="preserve">5 </w:t>
      </w:r>
      <w:r w:rsidR="0098468A" w:rsidRPr="00226A76">
        <w:rPr>
          <w:sz w:val="24"/>
          <w:szCs w:val="24"/>
        </w:rPr>
        <w:t xml:space="preserve">– </w:t>
      </w:r>
      <w:r w:rsidR="00A042AF" w:rsidRPr="00226A76">
        <w:rPr>
          <w:sz w:val="24"/>
          <w:szCs w:val="24"/>
        </w:rPr>
        <w:t>Resultados</w:t>
      </w:r>
      <w:bookmarkStart w:id="5" w:name="_Toc379458531"/>
      <w:bookmarkEnd w:id="4"/>
    </w:p>
    <w:p w:rsidR="00455DEE" w:rsidRDefault="00455DEE" w:rsidP="00FA5866">
      <w:pPr>
        <w:spacing w:after="0" w:line="240" w:lineRule="auto"/>
        <w:ind w:firstLine="720"/>
      </w:pPr>
      <w:r>
        <w:t xml:space="preserve">Para geração dos resultados foi utilizado o </w:t>
      </w:r>
      <w:r w:rsidRPr="00521C7B">
        <w:rPr>
          <w:i/>
        </w:rPr>
        <w:t>software</w:t>
      </w:r>
      <w:r>
        <w:t xml:space="preserve"> estatístico STATA11. Primeiramente, foram computadas as estatísticas descritivas das duas metodologias considerando-se todas as janelas de evento e os trimestres posteriores à fusão. </w:t>
      </w:r>
      <w:r w:rsidRPr="003D3CB5">
        <w:t xml:space="preserve">A Tabela 1 reporta </w:t>
      </w:r>
      <w:proofErr w:type="gramStart"/>
      <w:r w:rsidRPr="003D3CB5">
        <w:t>a</w:t>
      </w:r>
      <w:proofErr w:type="gramEnd"/>
      <w:r w:rsidRPr="003D3CB5">
        <w:t xml:space="preserve"> média e o desvio padrão dos retornos acumulados médios para as firmas rivais</w:t>
      </w:r>
      <w:r>
        <w:t xml:space="preserve">, fusionada se adquiridas </w:t>
      </w:r>
      <w:r w:rsidRPr="003D3CB5">
        <w:t>nas diferentes janelas</w:t>
      </w:r>
      <w:r>
        <w:t xml:space="preserve"> </w:t>
      </w:r>
      <w:r w:rsidRPr="003D3CB5">
        <w:t>de evento</w:t>
      </w:r>
      <w:r>
        <w:t xml:space="preserve"> de acordo com os estimadores de </w:t>
      </w:r>
      <w:proofErr w:type="spellStart"/>
      <w:r>
        <w:t>Scholes-Wiliams</w:t>
      </w:r>
      <w:proofErr w:type="spellEnd"/>
      <w:r>
        <w:t xml:space="preserve"> e de Mínimos Quadrados Ordinários (</w:t>
      </w:r>
      <w:proofErr w:type="spellStart"/>
      <w:r w:rsidRPr="003545C5">
        <w:rPr>
          <w:i/>
        </w:rPr>
        <w:t>Ordinary</w:t>
      </w:r>
      <w:proofErr w:type="spellEnd"/>
      <w:r>
        <w:rPr>
          <w:i/>
        </w:rPr>
        <w:t xml:space="preserve"> </w:t>
      </w:r>
      <w:proofErr w:type="spellStart"/>
      <w:r w:rsidRPr="003545C5">
        <w:rPr>
          <w:i/>
        </w:rPr>
        <w:t>Least</w:t>
      </w:r>
      <w:proofErr w:type="spellEnd"/>
      <w:r>
        <w:rPr>
          <w:i/>
        </w:rPr>
        <w:t xml:space="preserve"> </w:t>
      </w:r>
      <w:proofErr w:type="spellStart"/>
      <w:r w:rsidRPr="003545C5">
        <w:rPr>
          <w:i/>
        </w:rPr>
        <w:t>Squares</w:t>
      </w:r>
      <w:proofErr w:type="spellEnd"/>
      <w:r>
        <w:t xml:space="preserve"> ou OLS). Nos dois estimadores </w:t>
      </w:r>
      <w:proofErr w:type="gramStart"/>
      <w:r>
        <w:t>foram</w:t>
      </w:r>
      <w:proofErr w:type="gramEnd"/>
      <w:r>
        <w:t xml:space="preserve"> controladas a </w:t>
      </w:r>
      <w:proofErr w:type="spellStart"/>
      <w:r>
        <w:t>heterocedasticidade</w:t>
      </w:r>
      <w:proofErr w:type="spellEnd"/>
      <w:r>
        <w:t xml:space="preserve"> e a autocorrelação nos erros utilizando a matriz </w:t>
      </w:r>
      <w:proofErr w:type="spellStart"/>
      <w:r>
        <w:t>Newey-West</w:t>
      </w:r>
      <w:proofErr w:type="spellEnd"/>
      <w:r>
        <w:t>. A T</w:t>
      </w:r>
      <w:r w:rsidRPr="003D3CB5">
        <w:t>abela 2 apresenta as mesmas estatís</w:t>
      </w:r>
      <w:r>
        <w:t>ticas para as janelas de longo prazo</w:t>
      </w:r>
      <w:r w:rsidRPr="003D3CB5">
        <w:t xml:space="preserve">. </w:t>
      </w:r>
      <w:r>
        <w:t>As Tabelas 3 e 4 apresentam</w:t>
      </w:r>
      <w:r w:rsidRPr="003D3CB5">
        <w:t xml:space="preserve"> os efeitos de lucratividade </w:t>
      </w:r>
      <w:r w:rsidRPr="00C2384D">
        <w:rPr>
          <w:i/>
        </w:rPr>
        <w:t>ex</w:t>
      </w:r>
      <w:r>
        <w:rPr>
          <w:i/>
        </w:rPr>
        <w:t xml:space="preserve"> </w:t>
      </w:r>
      <w:proofErr w:type="spellStart"/>
      <w:r w:rsidRPr="00C2384D">
        <w:rPr>
          <w:i/>
        </w:rPr>
        <w:t>post</w:t>
      </w:r>
      <w:proofErr w:type="spellEnd"/>
      <w:r>
        <w:rPr>
          <w:i/>
        </w:rPr>
        <w:t xml:space="preserve"> </w:t>
      </w:r>
      <w:r w:rsidRPr="003D3CB5">
        <w:t xml:space="preserve">até 16 trimestres após a fusão respectivamente </w:t>
      </w:r>
      <w:r>
        <w:t xml:space="preserve">para </w:t>
      </w:r>
      <w:r w:rsidRPr="003D3CB5">
        <w:t xml:space="preserve">as firmas rivais e </w:t>
      </w:r>
      <w:r>
        <w:t xml:space="preserve">para </w:t>
      </w:r>
      <w:r w:rsidRPr="003D3CB5">
        <w:t xml:space="preserve">as fusionadas. </w:t>
      </w:r>
      <w:r>
        <w:t xml:space="preserve">Foram feitos teste de diferença de média para testar se os retornos acumulados e os efeitos de lucratividades eram estatisticamente diferentes de zero. </w:t>
      </w:r>
    </w:p>
    <w:p w:rsidR="00455DEE" w:rsidRDefault="00455DEE" w:rsidP="00FA5866">
      <w:pPr>
        <w:spacing w:after="0" w:line="240" w:lineRule="auto"/>
        <w:ind w:firstLine="720"/>
      </w:pPr>
      <w:r w:rsidRPr="001B7858">
        <w:t>Algumas diferenças</w:t>
      </w:r>
      <w:r w:rsidRPr="003D3CB5">
        <w:t xml:space="preserve"> entre as duas met</w:t>
      </w:r>
      <w:r w:rsidRPr="00F67485">
        <w:t>odologias já aparecem nessas primeiras estatísticas. Para as firmas rivais, os retornos acumulados positivos nas janelas de evento com um período pré</w:t>
      </w:r>
      <w:r>
        <w:t>-</w:t>
      </w:r>
      <w:r w:rsidRPr="00F67485">
        <w:t xml:space="preserve">evento mais longo, </w:t>
      </w:r>
      <w:proofErr w:type="gramStart"/>
      <w:r w:rsidRPr="00F67485">
        <w:t>CAR(</w:t>
      </w:r>
      <w:proofErr w:type="gramEnd"/>
      <w:r w:rsidRPr="00F67485">
        <w:t>25,5) e CAR(50,5),sugerem um aumento do poder de mercado decorrente das fusões;</w:t>
      </w:r>
      <w:r>
        <w:t xml:space="preserve"> </w:t>
      </w:r>
      <w:r w:rsidRPr="00F67485">
        <w:t>já a inversão de sinais nas janelas mais curtas,</w:t>
      </w:r>
      <w:r>
        <w:t xml:space="preserve"> </w:t>
      </w:r>
      <w:r w:rsidRPr="00F67485">
        <w:t>CAR(2,2) e CAR(5,5),pode significar novas informações chegando ao mercado (sobre ganhos de eficiência ou simplesmente uma</w:t>
      </w:r>
      <w:r>
        <w:t xml:space="preserve"> reversão da sobre </w:t>
      </w:r>
      <w:r w:rsidRPr="00F67485">
        <w:t xml:space="preserve">reação do benefício em poder de mercado a ser absorvido pelas rivais). Os efeitos de lucratividade </w:t>
      </w:r>
      <w:proofErr w:type="gramStart"/>
      <w:r w:rsidRPr="00F67485">
        <w:rPr>
          <w:i/>
        </w:rPr>
        <w:t>ex post</w:t>
      </w:r>
      <w:r w:rsidRPr="00F67485">
        <w:t>e</w:t>
      </w:r>
      <w:proofErr w:type="gramEnd"/>
      <w:r>
        <w:t xml:space="preserve"> e</w:t>
      </w:r>
      <w:r w:rsidRPr="00F67485">
        <w:t>videnciam</w:t>
      </w:r>
      <w:r>
        <w:t xml:space="preserve"> </w:t>
      </w:r>
      <w:r w:rsidRPr="00F67485">
        <w:t xml:space="preserve">o benefício auferido pelas firmas rivais. </w:t>
      </w:r>
      <w:r>
        <w:t>A consideração de</w:t>
      </w:r>
      <w:r w:rsidRPr="00394BC7">
        <w:t xml:space="preserve"> janelas de longo prazo pós-evento (1, 2 e 3 anos após a fusão ter sido anunciada) corroboram o aumento de poder de mercado sugerido pelas janelas longas pré-evento e pela lucratividade esperada </w:t>
      </w:r>
      <w:r w:rsidRPr="00394BC7">
        <w:rPr>
          <w:i/>
        </w:rPr>
        <w:t xml:space="preserve">ex </w:t>
      </w:r>
      <w:proofErr w:type="spellStart"/>
      <w:r w:rsidRPr="00394BC7">
        <w:rPr>
          <w:i/>
        </w:rPr>
        <w:t>post</w:t>
      </w:r>
      <w:proofErr w:type="spellEnd"/>
      <w:r w:rsidRPr="00394BC7">
        <w:t>.</w:t>
      </w:r>
    </w:p>
    <w:p w:rsidR="00455DEE" w:rsidRDefault="00455DEE" w:rsidP="00FA5866">
      <w:pPr>
        <w:spacing w:after="0" w:line="240" w:lineRule="auto"/>
        <w:ind w:firstLine="720"/>
      </w:pPr>
      <w:r w:rsidRPr="00F67485">
        <w:t>Por sua vez,</w:t>
      </w:r>
      <w:r>
        <w:t xml:space="preserve"> </w:t>
      </w:r>
      <w:r w:rsidRPr="00F67485">
        <w:t>as firmas fusionadas</w:t>
      </w:r>
      <w:r>
        <w:t xml:space="preserve"> </w:t>
      </w:r>
      <w:r w:rsidRPr="00F67485">
        <w:t>apresentaram padrão inverso: retornos acumulados positivos para as janelas curtas e negativos para as janelas longas</w:t>
      </w:r>
      <w:r>
        <w:t xml:space="preserve"> pré-evento</w:t>
      </w:r>
      <w:r w:rsidRPr="00F67485">
        <w:t xml:space="preserve">, corroborando os resultados obtidos nas rivais. Os coeficientes positivos para a lucratividade </w:t>
      </w:r>
      <w:r w:rsidRPr="00F67485">
        <w:rPr>
          <w:i/>
        </w:rPr>
        <w:t xml:space="preserve">ex </w:t>
      </w:r>
      <w:proofErr w:type="spellStart"/>
      <w:r w:rsidRPr="00F67485">
        <w:rPr>
          <w:i/>
        </w:rPr>
        <w:t>post</w:t>
      </w:r>
      <w:proofErr w:type="spellEnd"/>
      <w:r>
        <w:t>, entretanto,</w:t>
      </w:r>
      <w:r w:rsidRPr="00F67485">
        <w:t xml:space="preserve"> indicam a boa capacidade do mercado em antecipar, em janelas curtas </w:t>
      </w:r>
      <w:r>
        <w:t>pré-anúncio</w:t>
      </w:r>
      <w:r w:rsidRPr="00F67485">
        <w:t xml:space="preserve">, os efeitos positivos da fusão para as firmas fusionadas. O efeito que prevalece, portanto é de redução da competição, preços </w:t>
      </w:r>
      <w:proofErr w:type="gramStart"/>
      <w:r w:rsidRPr="00F67485">
        <w:t>maiores e menor excedente do consumidor antecipado</w:t>
      </w:r>
      <w:proofErr w:type="gramEnd"/>
      <w:r w:rsidRPr="00F67485">
        <w:t xml:space="preserve"> pelo mercado em janelas longas </w:t>
      </w:r>
      <w:r>
        <w:t xml:space="preserve">pré-evento e pós-evento </w:t>
      </w:r>
      <w:r w:rsidRPr="00F67485">
        <w:t>para as firmas rivais e nos dias ao redor do anúncio para as fusionadas.</w:t>
      </w:r>
    </w:p>
    <w:p w:rsidR="00455DEE" w:rsidRDefault="00455DEE" w:rsidP="00FA5866">
      <w:pPr>
        <w:spacing w:after="0" w:line="240" w:lineRule="auto"/>
        <w:ind w:firstLine="0"/>
      </w:pPr>
    </w:p>
    <w:p w:rsidR="00A83548" w:rsidRDefault="00A83548" w:rsidP="00FA5866">
      <w:pPr>
        <w:spacing w:after="0" w:line="240" w:lineRule="auto"/>
        <w:ind w:firstLine="0"/>
      </w:pPr>
    </w:p>
    <w:p w:rsidR="00A83548" w:rsidRDefault="00A83548" w:rsidP="00FA5866">
      <w:pPr>
        <w:spacing w:after="0" w:line="240" w:lineRule="auto"/>
        <w:ind w:firstLine="0"/>
      </w:pPr>
    </w:p>
    <w:p w:rsidR="00A83548" w:rsidRDefault="00A83548" w:rsidP="00FA5866">
      <w:pPr>
        <w:spacing w:after="0" w:line="240" w:lineRule="auto"/>
        <w:ind w:firstLine="0"/>
      </w:pPr>
    </w:p>
    <w:p w:rsidR="00A83548" w:rsidRDefault="00A83548" w:rsidP="00FA5866">
      <w:pPr>
        <w:spacing w:after="0" w:line="240" w:lineRule="auto"/>
        <w:ind w:firstLine="0"/>
      </w:pPr>
    </w:p>
    <w:p w:rsidR="00A83548" w:rsidRDefault="00A83548" w:rsidP="00FA5866">
      <w:pPr>
        <w:spacing w:after="0" w:line="240" w:lineRule="auto"/>
        <w:ind w:firstLine="0"/>
      </w:pPr>
    </w:p>
    <w:p w:rsidR="00455DEE" w:rsidRPr="00E03585" w:rsidRDefault="00E03585" w:rsidP="00FA5866">
      <w:pPr>
        <w:spacing w:after="0" w:line="240" w:lineRule="auto"/>
        <w:ind w:firstLine="0"/>
      </w:pPr>
      <w:r w:rsidRPr="00E03585">
        <w:t xml:space="preserve">Tabela </w:t>
      </w:r>
      <w:r w:rsidR="006E76EF">
        <w:fldChar w:fldCharType="begin"/>
      </w:r>
      <w:r w:rsidR="00984767">
        <w:instrText xml:space="preserve"> SEQ Tabela \* ARABIC </w:instrText>
      </w:r>
      <w:r w:rsidR="006E76EF">
        <w:fldChar w:fldCharType="separate"/>
      </w:r>
      <w:r w:rsidR="003867FF">
        <w:rPr>
          <w:noProof/>
        </w:rPr>
        <w:t>1</w:t>
      </w:r>
      <w:r w:rsidR="006E76EF">
        <w:rPr>
          <w:noProof/>
        </w:rPr>
        <w:fldChar w:fldCharType="end"/>
      </w:r>
      <w:proofErr w:type="gramStart"/>
      <w:r w:rsidRPr="00E03585">
        <w:t>:</w:t>
      </w:r>
      <w:proofErr w:type="gramEnd"/>
      <w:r w:rsidRPr="00E03585">
        <w:t>Estatísticas descritivas - Retornos Acumulados (em milhões de reais)</w:t>
      </w:r>
      <w:bookmarkEnd w:id="5"/>
    </w:p>
    <w:tbl>
      <w:tblPr>
        <w:tblW w:w="5000" w:type="pct"/>
        <w:tblLook w:val="04A0"/>
      </w:tblPr>
      <w:tblGrid>
        <w:gridCol w:w="2157"/>
        <w:gridCol w:w="1876"/>
        <w:gridCol w:w="2019"/>
        <w:gridCol w:w="2430"/>
        <w:gridCol w:w="1938"/>
      </w:tblGrid>
      <w:tr w:rsidR="00455DEE" w:rsidRPr="002D28ED" w:rsidTr="00455DEE">
        <w:trPr>
          <w:trHeight w:val="315"/>
        </w:trPr>
        <w:tc>
          <w:tcPr>
            <w:tcW w:w="1035" w:type="pct"/>
            <w:tcBorders>
              <w:top w:val="single" w:sz="4" w:space="0" w:color="auto"/>
              <w:left w:val="nil"/>
              <w:bottom w:val="single" w:sz="4" w:space="0" w:color="auto"/>
              <w:right w:val="nil"/>
            </w:tcBorders>
            <w:shd w:val="clear" w:color="auto" w:fill="auto"/>
            <w:noWrap/>
            <w:vAlign w:val="center"/>
            <w:hideMark/>
          </w:tcPr>
          <w:p w:rsidR="00455DEE" w:rsidRPr="005B0127" w:rsidRDefault="00455DEE" w:rsidP="00FA5866">
            <w:pPr>
              <w:spacing w:after="0" w:line="240" w:lineRule="auto"/>
              <w:ind w:firstLine="0"/>
              <w:rPr>
                <w:rFonts w:eastAsia="Times New Roman"/>
                <w:color w:val="000000"/>
                <w:sz w:val="20"/>
                <w:szCs w:val="20"/>
              </w:rPr>
            </w:pPr>
            <w:r w:rsidRPr="005B0127">
              <w:rPr>
                <w:rFonts w:eastAsia="Times New Roman"/>
                <w:color w:val="000000"/>
                <w:sz w:val="20"/>
                <w:szCs w:val="20"/>
              </w:rPr>
              <w:t> </w:t>
            </w:r>
          </w:p>
        </w:tc>
        <w:tc>
          <w:tcPr>
            <w:tcW w:w="900" w:type="pct"/>
            <w:tcBorders>
              <w:top w:val="single" w:sz="4" w:space="0" w:color="auto"/>
              <w:left w:val="nil"/>
              <w:bottom w:val="single" w:sz="4" w:space="0" w:color="auto"/>
              <w:right w:val="nil"/>
            </w:tcBorders>
            <w:shd w:val="clear" w:color="auto" w:fill="auto"/>
            <w:noWrap/>
            <w:vAlign w:val="center"/>
            <w:hideMark/>
          </w:tcPr>
          <w:p w:rsidR="00455DEE" w:rsidRPr="002D28ED" w:rsidRDefault="00455DEE" w:rsidP="00FA5866">
            <w:pPr>
              <w:spacing w:after="0" w:line="240" w:lineRule="auto"/>
              <w:ind w:firstLine="0"/>
              <w:jc w:val="left"/>
              <w:rPr>
                <w:rFonts w:eastAsia="Times New Roman"/>
                <w:color w:val="000000"/>
                <w:sz w:val="20"/>
                <w:szCs w:val="20"/>
                <w:lang w:val="en-US"/>
              </w:rPr>
            </w:pPr>
            <w:r w:rsidRPr="002D28ED">
              <w:rPr>
                <w:rFonts w:eastAsia="Times New Roman"/>
                <w:color w:val="000000"/>
                <w:sz w:val="20"/>
                <w:szCs w:val="20"/>
                <w:lang w:val="en-US"/>
              </w:rPr>
              <w:t>CAR (2,2)</w:t>
            </w:r>
          </w:p>
        </w:tc>
        <w:tc>
          <w:tcPr>
            <w:tcW w:w="969" w:type="pct"/>
            <w:tcBorders>
              <w:top w:val="single" w:sz="4" w:space="0" w:color="auto"/>
              <w:left w:val="nil"/>
              <w:bottom w:val="single" w:sz="4" w:space="0" w:color="auto"/>
              <w:right w:val="nil"/>
            </w:tcBorders>
            <w:shd w:val="clear" w:color="auto" w:fill="auto"/>
            <w:noWrap/>
            <w:vAlign w:val="center"/>
            <w:hideMark/>
          </w:tcPr>
          <w:p w:rsidR="00455DEE" w:rsidRPr="002D28ED" w:rsidRDefault="00455DEE" w:rsidP="00FA5866">
            <w:pPr>
              <w:spacing w:after="0" w:line="240" w:lineRule="auto"/>
              <w:ind w:firstLine="0"/>
              <w:jc w:val="left"/>
              <w:rPr>
                <w:rFonts w:eastAsia="Times New Roman"/>
                <w:color w:val="000000"/>
                <w:sz w:val="20"/>
                <w:szCs w:val="20"/>
                <w:lang w:val="en-US"/>
              </w:rPr>
            </w:pPr>
            <w:r w:rsidRPr="002D28ED">
              <w:rPr>
                <w:rFonts w:eastAsia="Times New Roman"/>
                <w:color w:val="000000"/>
                <w:sz w:val="20"/>
                <w:szCs w:val="20"/>
                <w:lang w:val="en-US"/>
              </w:rPr>
              <w:t>CAR (5,5)</w:t>
            </w:r>
          </w:p>
        </w:tc>
        <w:tc>
          <w:tcPr>
            <w:tcW w:w="1166" w:type="pct"/>
            <w:tcBorders>
              <w:top w:val="single" w:sz="4" w:space="0" w:color="auto"/>
              <w:left w:val="nil"/>
              <w:bottom w:val="single" w:sz="4" w:space="0" w:color="auto"/>
              <w:right w:val="nil"/>
            </w:tcBorders>
            <w:shd w:val="clear" w:color="auto" w:fill="auto"/>
            <w:noWrap/>
            <w:vAlign w:val="center"/>
            <w:hideMark/>
          </w:tcPr>
          <w:p w:rsidR="00455DEE" w:rsidRPr="002D28ED" w:rsidRDefault="00455DEE" w:rsidP="00FA5866">
            <w:pPr>
              <w:spacing w:after="0" w:line="240" w:lineRule="auto"/>
              <w:ind w:firstLine="0"/>
              <w:jc w:val="left"/>
              <w:rPr>
                <w:rFonts w:eastAsia="Times New Roman"/>
                <w:b/>
                <w:bCs/>
                <w:color w:val="000000"/>
                <w:sz w:val="20"/>
                <w:szCs w:val="20"/>
                <w:lang w:val="en-US"/>
              </w:rPr>
            </w:pPr>
            <w:r w:rsidRPr="002D28ED">
              <w:rPr>
                <w:rFonts w:eastAsia="Times New Roman"/>
                <w:b/>
                <w:bCs/>
                <w:color w:val="000000"/>
                <w:sz w:val="20"/>
                <w:szCs w:val="20"/>
                <w:lang w:val="en-US"/>
              </w:rPr>
              <w:t>CAR (25,5)</w:t>
            </w:r>
          </w:p>
        </w:tc>
        <w:tc>
          <w:tcPr>
            <w:tcW w:w="930" w:type="pct"/>
            <w:tcBorders>
              <w:top w:val="single" w:sz="4" w:space="0" w:color="auto"/>
              <w:left w:val="nil"/>
              <w:bottom w:val="single" w:sz="4" w:space="0" w:color="auto"/>
              <w:right w:val="nil"/>
            </w:tcBorders>
            <w:shd w:val="clear" w:color="auto" w:fill="auto"/>
            <w:noWrap/>
            <w:vAlign w:val="center"/>
            <w:hideMark/>
          </w:tcPr>
          <w:p w:rsidR="00455DEE" w:rsidRPr="002D28ED" w:rsidRDefault="00455DEE" w:rsidP="00FA5866">
            <w:pPr>
              <w:spacing w:after="0" w:line="240" w:lineRule="auto"/>
              <w:ind w:firstLine="0"/>
              <w:jc w:val="left"/>
              <w:rPr>
                <w:rFonts w:eastAsia="Times New Roman"/>
                <w:b/>
                <w:bCs/>
                <w:color w:val="000000"/>
                <w:sz w:val="20"/>
                <w:szCs w:val="20"/>
                <w:lang w:val="en-US"/>
              </w:rPr>
            </w:pPr>
            <w:r w:rsidRPr="002D28ED">
              <w:rPr>
                <w:rFonts w:eastAsia="Times New Roman"/>
                <w:b/>
                <w:bCs/>
                <w:color w:val="000000"/>
                <w:sz w:val="20"/>
                <w:szCs w:val="20"/>
                <w:lang w:val="en-US"/>
              </w:rPr>
              <w:t>CAR(50,5)</w:t>
            </w:r>
          </w:p>
        </w:tc>
      </w:tr>
      <w:tr w:rsidR="00455DEE" w:rsidRPr="002D28ED" w:rsidTr="00455DEE">
        <w:trPr>
          <w:trHeight w:val="300"/>
        </w:trPr>
        <w:tc>
          <w:tcPr>
            <w:tcW w:w="1035" w:type="pct"/>
            <w:tcBorders>
              <w:top w:val="nil"/>
              <w:left w:val="nil"/>
              <w:bottom w:val="nil"/>
              <w:right w:val="nil"/>
            </w:tcBorders>
            <w:shd w:val="clear" w:color="auto" w:fill="auto"/>
            <w:noWrap/>
            <w:vAlign w:val="center"/>
            <w:hideMark/>
          </w:tcPr>
          <w:p w:rsidR="00455DEE" w:rsidRPr="00C8719C" w:rsidRDefault="00455DEE" w:rsidP="00FA5866">
            <w:pPr>
              <w:spacing w:after="0" w:line="240" w:lineRule="auto"/>
              <w:ind w:firstLine="0"/>
              <w:jc w:val="left"/>
              <w:rPr>
                <w:rFonts w:eastAsia="Times New Roman"/>
                <w:b/>
                <w:color w:val="000000"/>
                <w:sz w:val="20"/>
                <w:szCs w:val="20"/>
                <w:lang w:val="en-US"/>
              </w:rPr>
            </w:pPr>
            <w:proofErr w:type="spellStart"/>
            <w:r w:rsidRPr="00C8719C">
              <w:rPr>
                <w:rFonts w:eastAsia="Times New Roman"/>
                <w:b/>
                <w:color w:val="000000"/>
                <w:sz w:val="20"/>
                <w:szCs w:val="20"/>
                <w:lang w:val="en-US"/>
              </w:rPr>
              <w:t>Rivais</w:t>
            </w:r>
            <w:proofErr w:type="spellEnd"/>
          </w:p>
        </w:tc>
        <w:tc>
          <w:tcPr>
            <w:tcW w:w="900" w:type="pct"/>
            <w:tcBorders>
              <w:top w:val="nil"/>
              <w:left w:val="nil"/>
              <w:bottom w:val="nil"/>
              <w:right w:val="nil"/>
            </w:tcBorders>
            <w:shd w:val="clear" w:color="auto" w:fill="auto"/>
            <w:noWrap/>
            <w:vAlign w:val="center"/>
            <w:hideMark/>
          </w:tcPr>
          <w:p w:rsidR="00455DEE" w:rsidRPr="002D28ED" w:rsidRDefault="00455DEE" w:rsidP="00FA5866">
            <w:pPr>
              <w:spacing w:after="0" w:line="240" w:lineRule="auto"/>
              <w:ind w:firstLine="0"/>
              <w:jc w:val="left"/>
              <w:rPr>
                <w:rFonts w:eastAsia="Times New Roman"/>
                <w:color w:val="000000"/>
                <w:sz w:val="20"/>
                <w:szCs w:val="20"/>
                <w:lang w:val="en-US"/>
              </w:rPr>
            </w:pPr>
          </w:p>
        </w:tc>
        <w:tc>
          <w:tcPr>
            <w:tcW w:w="969" w:type="pct"/>
            <w:tcBorders>
              <w:top w:val="nil"/>
              <w:left w:val="nil"/>
              <w:bottom w:val="nil"/>
              <w:right w:val="nil"/>
            </w:tcBorders>
            <w:shd w:val="clear" w:color="auto" w:fill="auto"/>
            <w:noWrap/>
            <w:vAlign w:val="center"/>
            <w:hideMark/>
          </w:tcPr>
          <w:p w:rsidR="00455DEE" w:rsidRPr="002D28ED" w:rsidRDefault="00455DEE" w:rsidP="00FA5866">
            <w:pPr>
              <w:spacing w:after="0" w:line="240" w:lineRule="auto"/>
              <w:ind w:firstLine="0"/>
              <w:jc w:val="left"/>
              <w:rPr>
                <w:rFonts w:eastAsia="Times New Roman"/>
                <w:color w:val="000000"/>
                <w:sz w:val="20"/>
                <w:szCs w:val="20"/>
                <w:lang w:val="en-US"/>
              </w:rPr>
            </w:pPr>
          </w:p>
        </w:tc>
        <w:tc>
          <w:tcPr>
            <w:tcW w:w="1166" w:type="pct"/>
            <w:tcBorders>
              <w:top w:val="nil"/>
              <w:left w:val="nil"/>
              <w:bottom w:val="nil"/>
              <w:right w:val="nil"/>
            </w:tcBorders>
            <w:shd w:val="clear" w:color="auto" w:fill="auto"/>
            <w:noWrap/>
            <w:vAlign w:val="center"/>
            <w:hideMark/>
          </w:tcPr>
          <w:p w:rsidR="00455DEE" w:rsidRPr="002D28ED" w:rsidRDefault="00455DEE" w:rsidP="00FA5866">
            <w:pPr>
              <w:spacing w:after="0" w:line="240" w:lineRule="auto"/>
              <w:ind w:firstLine="0"/>
              <w:jc w:val="left"/>
              <w:rPr>
                <w:rFonts w:eastAsia="Times New Roman"/>
                <w:b/>
                <w:bCs/>
                <w:color w:val="000000"/>
                <w:sz w:val="20"/>
                <w:szCs w:val="20"/>
                <w:lang w:val="en-US"/>
              </w:rPr>
            </w:pPr>
          </w:p>
        </w:tc>
        <w:tc>
          <w:tcPr>
            <w:tcW w:w="930" w:type="pct"/>
            <w:tcBorders>
              <w:top w:val="nil"/>
              <w:left w:val="nil"/>
              <w:bottom w:val="nil"/>
              <w:right w:val="nil"/>
            </w:tcBorders>
            <w:shd w:val="clear" w:color="auto" w:fill="auto"/>
            <w:noWrap/>
            <w:vAlign w:val="center"/>
            <w:hideMark/>
          </w:tcPr>
          <w:p w:rsidR="00455DEE" w:rsidRPr="002D28ED" w:rsidRDefault="00455DEE" w:rsidP="00FA5866">
            <w:pPr>
              <w:spacing w:after="0" w:line="240" w:lineRule="auto"/>
              <w:ind w:firstLine="0"/>
              <w:jc w:val="left"/>
              <w:rPr>
                <w:rFonts w:eastAsia="Times New Roman"/>
                <w:b/>
                <w:bCs/>
                <w:color w:val="000000"/>
                <w:sz w:val="20"/>
                <w:szCs w:val="20"/>
                <w:lang w:val="en-US"/>
              </w:rPr>
            </w:pPr>
          </w:p>
        </w:tc>
      </w:tr>
      <w:tr w:rsidR="00455DEE" w:rsidRPr="002D28ED" w:rsidTr="00455DEE">
        <w:trPr>
          <w:trHeight w:val="300"/>
        </w:trPr>
        <w:tc>
          <w:tcPr>
            <w:tcW w:w="1035" w:type="pct"/>
            <w:tcBorders>
              <w:top w:val="nil"/>
              <w:left w:val="nil"/>
              <w:right w:val="nil"/>
            </w:tcBorders>
            <w:shd w:val="clear" w:color="auto" w:fill="auto"/>
            <w:noWrap/>
            <w:vAlign w:val="center"/>
            <w:hideMark/>
          </w:tcPr>
          <w:p w:rsidR="00455DEE" w:rsidRPr="002D28ED" w:rsidRDefault="00455DEE" w:rsidP="00FA5866">
            <w:pPr>
              <w:spacing w:after="0" w:line="240" w:lineRule="auto"/>
              <w:ind w:firstLine="0"/>
              <w:jc w:val="left"/>
              <w:rPr>
                <w:rFonts w:eastAsia="Times New Roman"/>
                <w:color w:val="000000"/>
                <w:sz w:val="20"/>
                <w:szCs w:val="20"/>
                <w:lang w:val="en-US"/>
              </w:rPr>
            </w:pPr>
            <w:proofErr w:type="spellStart"/>
            <w:r w:rsidRPr="002D28ED">
              <w:rPr>
                <w:rFonts w:eastAsia="Times New Roman"/>
                <w:color w:val="000000"/>
                <w:sz w:val="20"/>
                <w:szCs w:val="20"/>
                <w:lang w:val="en-US"/>
              </w:rPr>
              <w:t>Obs</w:t>
            </w:r>
            <w:proofErr w:type="spellEnd"/>
          </w:p>
        </w:tc>
        <w:tc>
          <w:tcPr>
            <w:tcW w:w="900" w:type="pct"/>
            <w:tcBorders>
              <w:top w:val="nil"/>
              <w:left w:val="nil"/>
              <w:right w:val="nil"/>
            </w:tcBorders>
            <w:shd w:val="clear" w:color="auto" w:fill="auto"/>
            <w:noWrap/>
            <w:vAlign w:val="center"/>
            <w:hideMark/>
          </w:tcPr>
          <w:p w:rsidR="00455DEE" w:rsidRPr="002D28ED" w:rsidRDefault="00455DEE" w:rsidP="00FA5866">
            <w:pPr>
              <w:spacing w:after="0" w:line="240" w:lineRule="auto"/>
              <w:ind w:firstLine="0"/>
              <w:jc w:val="center"/>
              <w:rPr>
                <w:rFonts w:eastAsia="Times New Roman"/>
                <w:color w:val="000000"/>
                <w:sz w:val="20"/>
                <w:szCs w:val="20"/>
                <w:lang w:val="en-US"/>
              </w:rPr>
            </w:pPr>
            <w:r w:rsidRPr="002D28ED">
              <w:rPr>
                <w:rFonts w:eastAsia="Times New Roman"/>
                <w:color w:val="000000"/>
                <w:sz w:val="20"/>
                <w:szCs w:val="20"/>
                <w:lang w:val="en-US"/>
              </w:rPr>
              <w:t>315</w:t>
            </w:r>
          </w:p>
        </w:tc>
        <w:tc>
          <w:tcPr>
            <w:tcW w:w="969" w:type="pct"/>
            <w:tcBorders>
              <w:top w:val="nil"/>
              <w:left w:val="nil"/>
              <w:right w:val="nil"/>
            </w:tcBorders>
            <w:shd w:val="clear" w:color="auto" w:fill="auto"/>
            <w:noWrap/>
            <w:vAlign w:val="center"/>
            <w:hideMark/>
          </w:tcPr>
          <w:p w:rsidR="00455DEE" w:rsidRPr="002D28ED" w:rsidRDefault="00455DEE" w:rsidP="00FA5866">
            <w:pPr>
              <w:spacing w:after="0" w:line="240" w:lineRule="auto"/>
              <w:ind w:firstLine="0"/>
              <w:jc w:val="center"/>
              <w:rPr>
                <w:rFonts w:eastAsia="Times New Roman"/>
                <w:color w:val="000000"/>
                <w:sz w:val="20"/>
                <w:szCs w:val="20"/>
                <w:lang w:val="en-US"/>
              </w:rPr>
            </w:pPr>
            <w:r w:rsidRPr="002D28ED">
              <w:rPr>
                <w:rFonts w:eastAsia="Times New Roman"/>
                <w:color w:val="000000"/>
                <w:sz w:val="20"/>
                <w:szCs w:val="20"/>
                <w:lang w:val="en-US"/>
              </w:rPr>
              <w:t>315</w:t>
            </w:r>
          </w:p>
        </w:tc>
        <w:tc>
          <w:tcPr>
            <w:tcW w:w="1166" w:type="pct"/>
            <w:tcBorders>
              <w:top w:val="nil"/>
              <w:left w:val="nil"/>
              <w:right w:val="nil"/>
            </w:tcBorders>
            <w:shd w:val="clear" w:color="auto" w:fill="auto"/>
            <w:noWrap/>
            <w:vAlign w:val="center"/>
            <w:hideMark/>
          </w:tcPr>
          <w:p w:rsidR="00455DEE" w:rsidRPr="002D28ED" w:rsidRDefault="00455DEE" w:rsidP="00FA5866">
            <w:pPr>
              <w:spacing w:after="0" w:line="240" w:lineRule="auto"/>
              <w:ind w:firstLine="0"/>
              <w:jc w:val="center"/>
              <w:rPr>
                <w:rFonts w:eastAsia="Times New Roman"/>
                <w:b/>
                <w:bCs/>
                <w:color w:val="000000"/>
                <w:sz w:val="20"/>
                <w:szCs w:val="20"/>
                <w:lang w:val="en-US"/>
              </w:rPr>
            </w:pPr>
            <w:r w:rsidRPr="002D28ED">
              <w:rPr>
                <w:rFonts w:eastAsia="Times New Roman"/>
                <w:b/>
                <w:bCs/>
                <w:color w:val="000000"/>
                <w:sz w:val="20"/>
                <w:szCs w:val="20"/>
                <w:lang w:val="en-US"/>
              </w:rPr>
              <w:t>316</w:t>
            </w:r>
          </w:p>
        </w:tc>
        <w:tc>
          <w:tcPr>
            <w:tcW w:w="930" w:type="pct"/>
            <w:tcBorders>
              <w:top w:val="nil"/>
              <w:left w:val="nil"/>
              <w:right w:val="nil"/>
            </w:tcBorders>
            <w:shd w:val="clear" w:color="auto" w:fill="auto"/>
            <w:noWrap/>
            <w:vAlign w:val="center"/>
            <w:hideMark/>
          </w:tcPr>
          <w:p w:rsidR="00455DEE" w:rsidRPr="002D28ED" w:rsidRDefault="00455DEE" w:rsidP="00FA5866">
            <w:pPr>
              <w:spacing w:after="0" w:line="240" w:lineRule="auto"/>
              <w:ind w:firstLine="0"/>
              <w:jc w:val="center"/>
              <w:rPr>
                <w:rFonts w:eastAsia="Times New Roman"/>
                <w:b/>
                <w:bCs/>
                <w:color w:val="000000"/>
                <w:sz w:val="20"/>
                <w:szCs w:val="20"/>
                <w:lang w:val="en-US"/>
              </w:rPr>
            </w:pPr>
            <w:r w:rsidRPr="002D28ED">
              <w:rPr>
                <w:rFonts w:eastAsia="Times New Roman"/>
                <w:b/>
                <w:bCs/>
                <w:color w:val="000000"/>
                <w:sz w:val="20"/>
                <w:szCs w:val="20"/>
                <w:lang w:val="en-US"/>
              </w:rPr>
              <w:t>316</w:t>
            </w:r>
          </w:p>
        </w:tc>
      </w:tr>
      <w:tr w:rsidR="00455DEE" w:rsidRPr="002D28ED" w:rsidTr="00455DEE">
        <w:trPr>
          <w:trHeight w:val="300"/>
        </w:trPr>
        <w:tc>
          <w:tcPr>
            <w:tcW w:w="1035" w:type="pct"/>
            <w:tcBorders>
              <w:top w:val="nil"/>
              <w:left w:val="nil"/>
              <w:bottom w:val="nil"/>
              <w:right w:val="nil"/>
            </w:tcBorders>
            <w:shd w:val="clear" w:color="auto" w:fill="auto"/>
            <w:noWrap/>
            <w:vAlign w:val="center"/>
            <w:hideMark/>
          </w:tcPr>
          <w:p w:rsidR="00455DEE" w:rsidRPr="002D28ED" w:rsidRDefault="00455DEE" w:rsidP="00FA5866">
            <w:pPr>
              <w:spacing w:after="0" w:line="240" w:lineRule="auto"/>
              <w:ind w:firstLine="0"/>
              <w:jc w:val="left"/>
              <w:rPr>
                <w:rFonts w:eastAsia="Times New Roman"/>
                <w:color w:val="000000"/>
                <w:sz w:val="20"/>
                <w:szCs w:val="20"/>
                <w:lang w:val="en-US"/>
              </w:rPr>
            </w:pPr>
            <w:proofErr w:type="spellStart"/>
            <w:r w:rsidRPr="002D28ED">
              <w:rPr>
                <w:rFonts w:eastAsia="Times New Roman"/>
                <w:color w:val="000000"/>
                <w:sz w:val="20"/>
                <w:szCs w:val="20"/>
                <w:lang w:val="en-US"/>
              </w:rPr>
              <w:t>Média</w:t>
            </w:r>
            <w:proofErr w:type="spellEnd"/>
          </w:p>
        </w:tc>
        <w:tc>
          <w:tcPr>
            <w:tcW w:w="900" w:type="pct"/>
            <w:tcBorders>
              <w:top w:val="nil"/>
              <w:left w:val="nil"/>
              <w:bottom w:val="nil"/>
              <w:right w:val="nil"/>
            </w:tcBorders>
            <w:shd w:val="clear" w:color="auto" w:fill="auto"/>
            <w:noWrap/>
            <w:vAlign w:val="center"/>
            <w:hideMark/>
          </w:tcPr>
          <w:p w:rsidR="00455DEE" w:rsidRPr="002D28ED" w:rsidRDefault="00455DEE" w:rsidP="00FA5866">
            <w:pPr>
              <w:spacing w:after="0" w:line="240" w:lineRule="auto"/>
              <w:ind w:firstLine="0"/>
              <w:jc w:val="center"/>
              <w:rPr>
                <w:rFonts w:eastAsia="Times New Roman"/>
                <w:color w:val="000000"/>
                <w:sz w:val="20"/>
                <w:szCs w:val="20"/>
                <w:lang w:val="en-US"/>
              </w:rPr>
            </w:pPr>
            <w:r w:rsidRPr="002D28ED">
              <w:rPr>
                <w:rFonts w:eastAsia="Times New Roman"/>
                <w:color w:val="000000"/>
                <w:sz w:val="20"/>
                <w:szCs w:val="20"/>
                <w:lang w:val="en-US"/>
              </w:rPr>
              <w:t>-145,786</w:t>
            </w:r>
          </w:p>
        </w:tc>
        <w:tc>
          <w:tcPr>
            <w:tcW w:w="969" w:type="pct"/>
            <w:tcBorders>
              <w:top w:val="nil"/>
              <w:left w:val="nil"/>
              <w:bottom w:val="nil"/>
              <w:right w:val="nil"/>
            </w:tcBorders>
            <w:shd w:val="clear" w:color="auto" w:fill="auto"/>
            <w:noWrap/>
            <w:vAlign w:val="center"/>
            <w:hideMark/>
          </w:tcPr>
          <w:p w:rsidR="00455DEE" w:rsidRPr="002D28ED" w:rsidRDefault="00455DEE" w:rsidP="00FA5866">
            <w:pPr>
              <w:spacing w:after="0" w:line="240" w:lineRule="auto"/>
              <w:ind w:firstLine="0"/>
              <w:jc w:val="center"/>
              <w:rPr>
                <w:rFonts w:eastAsia="Times New Roman"/>
                <w:color w:val="000000"/>
                <w:sz w:val="20"/>
                <w:szCs w:val="20"/>
                <w:lang w:val="en-US"/>
              </w:rPr>
            </w:pPr>
            <w:r w:rsidRPr="002D28ED">
              <w:rPr>
                <w:rFonts w:eastAsia="Times New Roman"/>
                <w:color w:val="000000"/>
                <w:sz w:val="20"/>
                <w:szCs w:val="20"/>
                <w:lang w:val="en-US"/>
              </w:rPr>
              <w:t>-117,250</w:t>
            </w:r>
          </w:p>
        </w:tc>
        <w:tc>
          <w:tcPr>
            <w:tcW w:w="1166" w:type="pct"/>
            <w:tcBorders>
              <w:top w:val="nil"/>
              <w:left w:val="nil"/>
              <w:bottom w:val="nil"/>
              <w:right w:val="nil"/>
            </w:tcBorders>
            <w:shd w:val="clear" w:color="auto" w:fill="auto"/>
            <w:noWrap/>
            <w:vAlign w:val="center"/>
            <w:hideMark/>
          </w:tcPr>
          <w:p w:rsidR="00455DEE" w:rsidRPr="002D28ED" w:rsidRDefault="00455DEE" w:rsidP="00FA5866">
            <w:pPr>
              <w:spacing w:after="0" w:line="240" w:lineRule="auto"/>
              <w:ind w:firstLine="0"/>
              <w:jc w:val="center"/>
              <w:rPr>
                <w:rFonts w:eastAsia="Times New Roman"/>
                <w:b/>
                <w:bCs/>
                <w:color w:val="000000"/>
                <w:sz w:val="20"/>
                <w:szCs w:val="20"/>
                <w:lang w:val="en-US"/>
              </w:rPr>
            </w:pPr>
            <w:r w:rsidRPr="002D28ED">
              <w:rPr>
                <w:rFonts w:eastAsia="Times New Roman"/>
                <w:b/>
                <w:bCs/>
                <w:color w:val="000000"/>
                <w:sz w:val="20"/>
                <w:szCs w:val="20"/>
                <w:lang w:val="en-US"/>
              </w:rPr>
              <w:t>494.027***</w:t>
            </w:r>
          </w:p>
        </w:tc>
        <w:tc>
          <w:tcPr>
            <w:tcW w:w="930" w:type="pct"/>
            <w:tcBorders>
              <w:top w:val="nil"/>
              <w:left w:val="nil"/>
              <w:bottom w:val="nil"/>
              <w:right w:val="nil"/>
            </w:tcBorders>
            <w:shd w:val="clear" w:color="auto" w:fill="auto"/>
            <w:noWrap/>
            <w:vAlign w:val="center"/>
            <w:hideMark/>
          </w:tcPr>
          <w:p w:rsidR="00455DEE" w:rsidRPr="002D28ED" w:rsidRDefault="00455DEE" w:rsidP="00FA5866">
            <w:pPr>
              <w:spacing w:after="0" w:line="240" w:lineRule="auto"/>
              <w:ind w:firstLine="0"/>
              <w:jc w:val="center"/>
              <w:rPr>
                <w:rFonts w:eastAsia="Times New Roman"/>
                <w:b/>
                <w:bCs/>
                <w:color w:val="000000"/>
                <w:sz w:val="20"/>
                <w:szCs w:val="20"/>
                <w:lang w:val="en-US"/>
              </w:rPr>
            </w:pPr>
            <w:r w:rsidRPr="002D28ED">
              <w:rPr>
                <w:rFonts w:eastAsia="Times New Roman"/>
                <w:b/>
                <w:bCs/>
                <w:color w:val="000000"/>
                <w:sz w:val="20"/>
                <w:szCs w:val="20"/>
                <w:lang w:val="en-US"/>
              </w:rPr>
              <w:t>496.456**</w:t>
            </w:r>
          </w:p>
        </w:tc>
      </w:tr>
      <w:tr w:rsidR="00455DEE" w:rsidRPr="002D28ED" w:rsidTr="00455DEE">
        <w:trPr>
          <w:trHeight w:val="300"/>
        </w:trPr>
        <w:tc>
          <w:tcPr>
            <w:tcW w:w="1035" w:type="pct"/>
            <w:tcBorders>
              <w:top w:val="nil"/>
              <w:left w:val="nil"/>
              <w:bottom w:val="single" w:sz="4" w:space="0" w:color="auto"/>
              <w:right w:val="nil"/>
            </w:tcBorders>
            <w:shd w:val="clear" w:color="auto" w:fill="auto"/>
            <w:noWrap/>
            <w:vAlign w:val="center"/>
            <w:hideMark/>
          </w:tcPr>
          <w:p w:rsidR="00455DEE" w:rsidRPr="002D28ED" w:rsidRDefault="00455DEE" w:rsidP="00FA5866">
            <w:pPr>
              <w:spacing w:after="0" w:line="240" w:lineRule="auto"/>
              <w:ind w:firstLine="0"/>
              <w:jc w:val="left"/>
              <w:rPr>
                <w:rFonts w:eastAsia="Times New Roman"/>
                <w:color w:val="000000"/>
                <w:sz w:val="20"/>
                <w:szCs w:val="20"/>
                <w:lang w:val="en-US"/>
              </w:rPr>
            </w:pPr>
            <w:proofErr w:type="spellStart"/>
            <w:r>
              <w:rPr>
                <w:rFonts w:eastAsia="Times New Roman"/>
                <w:color w:val="000000"/>
                <w:sz w:val="20"/>
                <w:szCs w:val="20"/>
                <w:lang w:val="en-US"/>
              </w:rPr>
              <w:t>Desv</w:t>
            </w:r>
            <w:proofErr w:type="spellEnd"/>
            <w:r w:rsidRPr="002D28ED">
              <w:rPr>
                <w:rFonts w:eastAsia="Times New Roman"/>
                <w:color w:val="000000"/>
                <w:sz w:val="20"/>
                <w:szCs w:val="20"/>
                <w:lang w:val="en-US"/>
              </w:rPr>
              <w:t xml:space="preserve"> Pad</w:t>
            </w:r>
            <w:r>
              <w:rPr>
                <w:rFonts w:eastAsia="Times New Roman"/>
                <w:color w:val="000000"/>
                <w:sz w:val="20"/>
                <w:szCs w:val="20"/>
                <w:lang w:val="en-US"/>
              </w:rPr>
              <w:t>.</w:t>
            </w:r>
          </w:p>
        </w:tc>
        <w:tc>
          <w:tcPr>
            <w:tcW w:w="900" w:type="pct"/>
            <w:tcBorders>
              <w:top w:val="nil"/>
              <w:left w:val="nil"/>
              <w:bottom w:val="single" w:sz="4" w:space="0" w:color="auto"/>
              <w:right w:val="nil"/>
            </w:tcBorders>
            <w:shd w:val="clear" w:color="auto" w:fill="auto"/>
            <w:noWrap/>
            <w:vAlign w:val="center"/>
            <w:hideMark/>
          </w:tcPr>
          <w:p w:rsidR="00455DEE" w:rsidRPr="002D28ED" w:rsidRDefault="00455DEE" w:rsidP="00FA5866">
            <w:pPr>
              <w:spacing w:after="0" w:line="240" w:lineRule="auto"/>
              <w:ind w:firstLine="0"/>
              <w:jc w:val="center"/>
              <w:rPr>
                <w:rFonts w:eastAsia="Times New Roman"/>
                <w:color w:val="000000"/>
                <w:sz w:val="20"/>
                <w:szCs w:val="20"/>
                <w:lang w:val="en-US"/>
              </w:rPr>
            </w:pPr>
            <w:r w:rsidRPr="002D28ED">
              <w:rPr>
                <w:rFonts w:eastAsia="Times New Roman"/>
                <w:color w:val="000000"/>
                <w:sz w:val="20"/>
                <w:szCs w:val="20"/>
                <w:lang w:val="en-US"/>
              </w:rPr>
              <w:t>1,667,164</w:t>
            </w:r>
          </w:p>
        </w:tc>
        <w:tc>
          <w:tcPr>
            <w:tcW w:w="969" w:type="pct"/>
            <w:tcBorders>
              <w:top w:val="nil"/>
              <w:left w:val="nil"/>
              <w:bottom w:val="single" w:sz="4" w:space="0" w:color="auto"/>
              <w:right w:val="nil"/>
            </w:tcBorders>
            <w:shd w:val="clear" w:color="auto" w:fill="auto"/>
            <w:noWrap/>
            <w:vAlign w:val="center"/>
            <w:hideMark/>
          </w:tcPr>
          <w:p w:rsidR="00455DEE" w:rsidRPr="002D28ED" w:rsidRDefault="00455DEE" w:rsidP="00FA5866">
            <w:pPr>
              <w:spacing w:after="0" w:line="240" w:lineRule="auto"/>
              <w:ind w:firstLine="0"/>
              <w:jc w:val="center"/>
              <w:rPr>
                <w:rFonts w:eastAsia="Times New Roman"/>
                <w:color w:val="000000"/>
                <w:sz w:val="20"/>
                <w:szCs w:val="20"/>
                <w:lang w:val="en-US"/>
              </w:rPr>
            </w:pPr>
            <w:r w:rsidRPr="002D28ED">
              <w:rPr>
                <w:rFonts w:eastAsia="Times New Roman"/>
                <w:color w:val="000000"/>
                <w:sz w:val="20"/>
                <w:szCs w:val="20"/>
                <w:lang w:val="en-US"/>
              </w:rPr>
              <w:t>2,200,825</w:t>
            </w:r>
          </w:p>
        </w:tc>
        <w:tc>
          <w:tcPr>
            <w:tcW w:w="1166" w:type="pct"/>
            <w:tcBorders>
              <w:top w:val="nil"/>
              <w:left w:val="nil"/>
              <w:bottom w:val="single" w:sz="4" w:space="0" w:color="auto"/>
              <w:right w:val="nil"/>
            </w:tcBorders>
            <w:shd w:val="clear" w:color="auto" w:fill="auto"/>
            <w:noWrap/>
            <w:vAlign w:val="center"/>
            <w:hideMark/>
          </w:tcPr>
          <w:p w:rsidR="00455DEE" w:rsidRPr="002D28ED" w:rsidRDefault="00455DEE" w:rsidP="00FA5866">
            <w:pPr>
              <w:spacing w:after="0" w:line="240" w:lineRule="auto"/>
              <w:ind w:firstLine="0"/>
              <w:jc w:val="center"/>
              <w:rPr>
                <w:rFonts w:eastAsia="Times New Roman"/>
                <w:b/>
                <w:bCs/>
                <w:color w:val="000000"/>
                <w:sz w:val="20"/>
                <w:szCs w:val="20"/>
                <w:lang w:val="en-US"/>
              </w:rPr>
            </w:pPr>
            <w:r w:rsidRPr="002D28ED">
              <w:rPr>
                <w:rFonts w:eastAsia="Times New Roman"/>
                <w:b/>
                <w:bCs/>
                <w:color w:val="000000"/>
                <w:sz w:val="20"/>
                <w:szCs w:val="20"/>
                <w:lang w:val="en-US"/>
              </w:rPr>
              <w:t>2,985,340</w:t>
            </w:r>
          </w:p>
        </w:tc>
        <w:tc>
          <w:tcPr>
            <w:tcW w:w="930" w:type="pct"/>
            <w:tcBorders>
              <w:top w:val="nil"/>
              <w:left w:val="nil"/>
              <w:bottom w:val="single" w:sz="4" w:space="0" w:color="auto"/>
              <w:right w:val="nil"/>
            </w:tcBorders>
            <w:shd w:val="clear" w:color="auto" w:fill="auto"/>
            <w:noWrap/>
            <w:vAlign w:val="center"/>
            <w:hideMark/>
          </w:tcPr>
          <w:p w:rsidR="00455DEE" w:rsidRPr="002D28ED" w:rsidRDefault="00455DEE" w:rsidP="00FA5866">
            <w:pPr>
              <w:spacing w:after="0" w:line="240" w:lineRule="auto"/>
              <w:ind w:firstLine="0"/>
              <w:jc w:val="center"/>
              <w:rPr>
                <w:rFonts w:eastAsia="Times New Roman"/>
                <w:b/>
                <w:bCs/>
                <w:color w:val="000000"/>
                <w:sz w:val="20"/>
                <w:szCs w:val="20"/>
                <w:lang w:val="en-US"/>
              </w:rPr>
            </w:pPr>
            <w:r w:rsidRPr="002D28ED">
              <w:rPr>
                <w:rFonts w:eastAsia="Times New Roman"/>
                <w:b/>
                <w:bCs/>
                <w:color w:val="000000"/>
                <w:sz w:val="20"/>
                <w:szCs w:val="20"/>
                <w:lang w:val="en-US"/>
              </w:rPr>
              <w:t>4,386,461</w:t>
            </w:r>
          </w:p>
        </w:tc>
      </w:tr>
      <w:tr w:rsidR="00455DEE" w:rsidRPr="002D28ED" w:rsidTr="00455DEE">
        <w:trPr>
          <w:trHeight w:val="300"/>
        </w:trPr>
        <w:tc>
          <w:tcPr>
            <w:tcW w:w="1035" w:type="pct"/>
            <w:tcBorders>
              <w:top w:val="single" w:sz="4" w:space="0" w:color="auto"/>
              <w:left w:val="nil"/>
              <w:bottom w:val="nil"/>
              <w:right w:val="nil"/>
            </w:tcBorders>
            <w:shd w:val="clear" w:color="auto" w:fill="auto"/>
            <w:noWrap/>
            <w:vAlign w:val="center"/>
            <w:hideMark/>
          </w:tcPr>
          <w:p w:rsidR="00455DEE" w:rsidRPr="00C8719C" w:rsidRDefault="00455DEE" w:rsidP="00FA5866">
            <w:pPr>
              <w:spacing w:after="0" w:line="240" w:lineRule="auto"/>
              <w:ind w:firstLine="0"/>
              <w:jc w:val="left"/>
              <w:rPr>
                <w:rFonts w:eastAsia="Times New Roman"/>
                <w:b/>
                <w:color w:val="000000"/>
                <w:sz w:val="20"/>
                <w:szCs w:val="20"/>
                <w:lang w:val="en-US"/>
              </w:rPr>
            </w:pPr>
            <w:proofErr w:type="spellStart"/>
            <w:r w:rsidRPr="00C8719C">
              <w:rPr>
                <w:rFonts w:eastAsia="Times New Roman"/>
                <w:b/>
                <w:color w:val="000000"/>
                <w:sz w:val="20"/>
                <w:szCs w:val="20"/>
                <w:lang w:val="en-US"/>
              </w:rPr>
              <w:t>Fusionadas</w:t>
            </w:r>
            <w:proofErr w:type="spellEnd"/>
          </w:p>
        </w:tc>
        <w:tc>
          <w:tcPr>
            <w:tcW w:w="900" w:type="pct"/>
            <w:tcBorders>
              <w:top w:val="single" w:sz="4" w:space="0" w:color="auto"/>
              <w:left w:val="nil"/>
              <w:bottom w:val="nil"/>
              <w:right w:val="nil"/>
            </w:tcBorders>
            <w:shd w:val="clear" w:color="auto" w:fill="auto"/>
            <w:noWrap/>
            <w:vAlign w:val="bottom"/>
            <w:hideMark/>
          </w:tcPr>
          <w:p w:rsidR="00455DEE" w:rsidRPr="002D28ED" w:rsidRDefault="00455DEE" w:rsidP="00FA5866">
            <w:pPr>
              <w:spacing w:after="0" w:line="240" w:lineRule="auto"/>
              <w:ind w:firstLine="0"/>
              <w:jc w:val="center"/>
              <w:rPr>
                <w:rFonts w:ascii="Calibri" w:eastAsia="Times New Roman" w:hAnsi="Calibri"/>
                <w:color w:val="000000"/>
                <w:sz w:val="22"/>
                <w:szCs w:val="22"/>
                <w:lang w:val="en-US"/>
              </w:rPr>
            </w:pPr>
          </w:p>
        </w:tc>
        <w:tc>
          <w:tcPr>
            <w:tcW w:w="969" w:type="pct"/>
            <w:tcBorders>
              <w:top w:val="single" w:sz="4" w:space="0" w:color="auto"/>
              <w:left w:val="nil"/>
              <w:bottom w:val="nil"/>
              <w:right w:val="nil"/>
            </w:tcBorders>
            <w:shd w:val="clear" w:color="auto" w:fill="auto"/>
            <w:noWrap/>
            <w:vAlign w:val="bottom"/>
            <w:hideMark/>
          </w:tcPr>
          <w:p w:rsidR="00455DEE" w:rsidRPr="002D28ED" w:rsidRDefault="00455DEE" w:rsidP="00FA5866">
            <w:pPr>
              <w:spacing w:after="0" w:line="240" w:lineRule="auto"/>
              <w:ind w:firstLine="0"/>
              <w:jc w:val="center"/>
              <w:rPr>
                <w:rFonts w:ascii="Calibri" w:eastAsia="Times New Roman" w:hAnsi="Calibri"/>
                <w:color w:val="000000"/>
                <w:sz w:val="22"/>
                <w:szCs w:val="22"/>
                <w:lang w:val="en-US"/>
              </w:rPr>
            </w:pPr>
          </w:p>
        </w:tc>
        <w:tc>
          <w:tcPr>
            <w:tcW w:w="1166" w:type="pct"/>
            <w:tcBorders>
              <w:top w:val="single" w:sz="4" w:space="0" w:color="auto"/>
              <w:left w:val="nil"/>
              <w:bottom w:val="nil"/>
              <w:right w:val="nil"/>
            </w:tcBorders>
            <w:shd w:val="clear" w:color="auto" w:fill="auto"/>
            <w:noWrap/>
            <w:vAlign w:val="bottom"/>
            <w:hideMark/>
          </w:tcPr>
          <w:p w:rsidR="00455DEE" w:rsidRPr="002D28ED" w:rsidRDefault="00455DEE" w:rsidP="00FA5866">
            <w:pPr>
              <w:spacing w:after="0" w:line="240" w:lineRule="auto"/>
              <w:ind w:firstLine="0"/>
              <w:jc w:val="center"/>
              <w:rPr>
                <w:rFonts w:ascii="Calibri" w:eastAsia="Times New Roman" w:hAnsi="Calibri"/>
                <w:color w:val="000000"/>
                <w:sz w:val="22"/>
                <w:szCs w:val="22"/>
                <w:lang w:val="en-US"/>
              </w:rPr>
            </w:pPr>
          </w:p>
        </w:tc>
        <w:tc>
          <w:tcPr>
            <w:tcW w:w="930" w:type="pct"/>
            <w:tcBorders>
              <w:top w:val="single" w:sz="4" w:space="0" w:color="auto"/>
              <w:left w:val="nil"/>
              <w:bottom w:val="nil"/>
              <w:right w:val="nil"/>
            </w:tcBorders>
            <w:shd w:val="clear" w:color="auto" w:fill="auto"/>
            <w:noWrap/>
            <w:vAlign w:val="bottom"/>
            <w:hideMark/>
          </w:tcPr>
          <w:p w:rsidR="00455DEE" w:rsidRPr="002D28ED" w:rsidRDefault="00455DEE" w:rsidP="00FA5866">
            <w:pPr>
              <w:spacing w:after="0" w:line="240" w:lineRule="auto"/>
              <w:ind w:firstLine="0"/>
              <w:jc w:val="center"/>
              <w:rPr>
                <w:rFonts w:ascii="Calibri" w:eastAsia="Times New Roman" w:hAnsi="Calibri"/>
                <w:color w:val="000000"/>
                <w:sz w:val="22"/>
                <w:szCs w:val="22"/>
                <w:lang w:val="en-US"/>
              </w:rPr>
            </w:pPr>
          </w:p>
        </w:tc>
      </w:tr>
      <w:tr w:rsidR="00455DEE" w:rsidRPr="002D28ED" w:rsidTr="00455DEE">
        <w:trPr>
          <w:trHeight w:val="300"/>
        </w:trPr>
        <w:tc>
          <w:tcPr>
            <w:tcW w:w="1035" w:type="pct"/>
            <w:tcBorders>
              <w:top w:val="nil"/>
              <w:left w:val="nil"/>
              <w:bottom w:val="nil"/>
              <w:right w:val="nil"/>
            </w:tcBorders>
            <w:shd w:val="clear" w:color="auto" w:fill="auto"/>
            <w:noWrap/>
            <w:vAlign w:val="center"/>
            <w:hideMark/>
          </w:tcPr>
          <w:p w:rsidR="00455DEE" w:rsidRPr="002D28ED" w:rsidRDefault="00455DEE" w:rsidP="00FA5866">
            <w:pPr>
              <w:spacing w:after="0" w:line="240" w:lineRule="auto"/>
              <w:ind w:firstLine="0"/>
              <w:jc w:val="left"/>
              <w:rPr>
                <w:rFonts w:eastAsia="Times New Roman"/>
                <w:color w:val="000000"/>
                <w:sz w:val="20"/>
                <w:szCs w:val="20"/>
                <w:lang w:val="en-US"/>
              </w:rPr>
            </w:pPr>
            <w:proofErr w:type="spellStart"/>
            <w:r w:rsidRPr="002D28ED">
              <w:rPr>
                <w:rFonts w:eastAsia="Times New Roman"/>
                <w:color w:val="000000"/>
                <w:sz w:val="20"/>
                <w:szCs w:val="20"/>
                <w:lang w:val="en-US"/>
              </w:rPr>
              <w:t>Obs</w:t>
            </w:r>
            <w:proofErr w:type="spellEnd"/>
          </w:p>
        </w:tc>
        <w:tc>
          <w:tcPr>
            <w:tcW w:w="900" w:type="pct"/>
            <w:tcBorders>
              <w:top w:val="nil"/>
              <w:left w:val="nil"/>
              <w:bottom w:val="nil"/>
              <w:right w:val="nil"/>
            </w:tcBorders>
            <w:shd w:val="clear" w:color="auto" w:fill="auto"/>
            <w:noWrap/>
            <w:vAlign w:val="center"/>
            <w:hideMark/>
          </w:tcPr>
          <w:p w:rsidR="00455DEE" w:rsidRPr="002D28ED" w:rsidRDefault="00455DEE" w:rsidP="00FA5866">
            <w:pPr>
              <w:spacing w:after="0" w:line="240" w:lineRule="auto"/>
              <w:ind w:firstLine="0"/>
              <w:jc w:val="center"/>
              <w:rPr>
                <w:rFonts w:eastAsia="Times New Roman"/>
                <w:b/>
                <w:bCs/>
                <w:color w:val="000000"/>
                <w:sz w:val="20"/>
                <w:szCs w:val="20"/>
                <w:lang w:val="en-US"/>
              </w:rPr>
            </w:pPr>
            <w:r w:rsidRPr="002D28ED">
              <w:rPr>
                <w:rFonts w:eastAsia="Times New Roman"/>
                <w:b/>
                <w:bCs/>
                <w:color w:val="000000"/>
                <w:sz w:val="20"/>
                <w:szCs w:val="20"/>
                <w:lang w:val="en-US"/>
              </w:rPr>
              <w:t>38</w:t>
            </w:r>
          </w:p>
        </w:tc>
        <w:tc>
          <w:tcPr>
            <w:tcW w:w="969" w:type="pct"/>
            <w:tcBorders>
              <w:top w:val="nil"/>
              <w:left w:val="nil"/>
              <w:bottom w:val="nil"/>
              <w:right w:val="nil"/>
            </w:tcBorders>
            <w:shd w:val="clear" w:color="auto" w:fill="auto"/>
            <w:noWrap/>
            <w:vAlign w:val="center"/>
            <w:hideMark/>
          </w:tcPr>
          <w:p w:rsidR="00455DEE" w:rsidRPr="002D28ED" w:rsidRDefault="00455DEE" w:rsidP="00FA5866">
            <w:pPr>
              <w:spacing w:after="0" w:line="240" w:lineRule="auto"/>
              <w:ind w:firstLine="0"/>
              <w:jc w:val="center"/>
              <w:rPr>
                <w:rFonts w:eastAsia="Times New Roman"/>
                <w:color w:val="000000"/>
                <w:sz w:val="20"/>
                <w:szCs w:val="20"/>
                <w:lang w:val="en-US"/>
              </w:rPr>
            </w:pPr>
            <w:r w:rsidRPr="002D28ED">
              <w:rPr>
                <w:rFonts w:eastAsia="Times New Roman"/>
                <w:color w:val="000000"/>
                <w:sz w:val="20"/>
                <w:szCs w:val="20"/>
                <w:lang w:val="en-US"/>
              </w:rPr>
              <w:t>38</w:t>
            </w:r>
          </w:p>
        </w:tc>
        <w:tc>
          <w:tcPr>
            <w:tcW w:w="1166" w:type="pct"/>
            <w:tcBorders>
              <w:top w:val="nil"/>
              <w:left w:val="nil"/>
              <w:bottom w:val="nil"/>
              <w:right w:val="nil"/>
            </w:tcBorders>
            <w:shd w:val="clear" w:color="auto" w:fill="auto"/>
            <w:noWrap/>
            <w:vAlign w:val="center"/>
            <w:hideMark/>
          </w:tcPr>
          <w:p w:rsidR="00455DEE" w:rsidRPr="002D28ED" w:rsidRDefault="00455DEE" w:rsidP="00FA5866">
            <w:pPr>
              <w:spacing w:after="0" w:line="240" w:lineRule="auto"/>
              <w:ind w:firstLine="0"/>
              <w:jc w:val="center"/>
              <w:rPr>
                <w:rFonts w:eastAsia="Times New Roman"/>
                <w:color w:val="000000"/>
                <w:sz w:val="20"/>
                <w:szCs w:val="20"/>
                <w:lang w:val="en-US"/>
              </w:rPr>
            </w:pPr>
            <w:r w:rsidRPr="002D28ED">
              <w:rPr>
                <w:rFonts w:eastAsia="Times New Roman"/>
                <w:color w:val="000000"/>
                <w:sz w:val="20"/>
                <w:szCs w:val="20"/>
                <w:lang w:val="en-US"/>
              </w:rPr>
              <w:t>38</w:t>
            </w:r>
          </w:p>
        </w:tc>
        <w:tc>
          <w:tcPr>
            <w:tcW w:w="930" w:type="pct"/>
            <w:tcBorders>
              <w:top w:val="nil"/>
              <w:left w:val="nil"/>
              <w:bottom w:val="nil"/>
              <w:right w:val="nil"/>
            </w:tcBorders>
            <w:shd w:val="clear" w:color="auto" w:fill="auto"/>
            <w:noWrap/>
            <w:vAlign w:val="center"/>
            <w:hideMark/>
          </w:tcPr>
          <w:p w:rsidR="00455DEE" w:rsidRPr="002D28ED" w:rsidRDefault="00455DEE" w:rsidP="00FA5866">
            <w:pPr>
              <w:spacing w:after="0" w:line="240" w:lineRule="auto"/>
              <w:ind w:firstLine="0"/>
              <w:jc w:val="center"/>
              <w:rPr>
                <w:rFonts w:eastAsia="Times New Roman"/>
                <w:color w:val="000000"/>
                <w:sz w:val="20"/>
                <w:szCs w:val="20"/>
                <w:lang w:val="en-US"/>
              </w:rPr>
            </w:pPr>
            <w:r w:rsidRPr="002D28ED">
              <w:rPr>
                <w:rFonts w:eastAsia="Times New Roman"/>
                <w:color w:val="000000"/>
                <w:sz w:val="20"/>
                <w:szCs w:val="20"/>
                <w:lang w:val="en-US"/>
              </w:rPr>
              <w:t>38</w:t>
            </w:r>
          </w:p>
        </w:tc>
      </w:tr>
      <w:tr w:rsidR="00455DEE" w:rsidRPr="002D28ED" w:rsidTr="00455DEE">
        <w:trPr>
          <w:trHeight w:val="300"/>
        </w:trPr>
        <w:tc>
          <w:tcPr>
            <w:tcW w:w="1035" w:type="pct"/>
            <w:tcBorders>
              <w:top w:val="nil"/>
              <w:left w:val="nil"/>
              <w:right w:val="nil"/>
            </w:tcBorders>
            <w:shd w:val="clear" w:color="auto" w:fill="auto"/>
            <w:noWrap/>
            <w:vAlign w:val="center"/>
            <w:hideMark/>
          </w:tcPr>
          <w:p w:rsidR="00455DEE" w:rsidRPr="002D28ED" w:rsidRDefault="00455DEE" w:rsidP="00FA5866">
            <w:pPr>
              <w:spacing w:after="0" w:line="240" w:lineRule="auto"/>
              <w:ind w:firstLine="0"/>
              <w:jc w:val="left"/>
              <w:rPr>
                <w:rFonts w:eastAsia="Times New Roman"/>
                <w:color w:val="000000"/>
                <w:sz w:val="20"/>
                <w:szCs w:val="20"/>
                <w:lang w:val="en-US"/>
              </w:rPr>
            </w:pPr>
            <w:proofErr w:type="spellStart"/>
            <w:r w:rsidRPr="002D28ED">
              <w:rPr>
                <w:rFonts w:eastAsia="Times New Roman"/>
                <w:color w:val="000000"/>
                <w:sz w:val="20"/>
                <w:szCs w:val="20"/>
                <w:lang w:val="en-US"/>
              </w:rPr>
              <w:t>Média</w:t>
            </w:r>
            <w:proofErr w:type="spellEnd"/>
          </w:p>
        </w:tc>
        <w:tc>
          <w:tcPr>
            <w:tcW w:w="900" w:type="pct"/>
            <w:tcBorders>
              <w:top w:val="nil"/>
              <w:left w:val="nil"/>
              <w:right w:val="nil"/>
            </w:tcBorders>
            <w:shd w:val="clear" w:color="auto" w:fill="auto"/>
            <w:noWrap/>
            <w:vAlign w:val="center"/>
            <w:hideMark/>
          </w:tcPr>
          <w:p w:rsidR="00455DEE" w:rsidRPr="002D28ED" w:rsidRDefault="00455DEE" w:rsidP="00FA5866">
            <w:pPr>
              <w:spacing w:after="0" w:line="240" w:lineRule="auto"/>
              <w:ind w:firstLine="0"/>
              <w:jc w:val="center"/>
              <w:rPr>
                <w:rFonts w:eastAsia="Times New Roman"/>
                <w:b/>
                <w:bCs/>
                <w:color w:val="000000"/>
                <w:sz w:val="20"/>
                <w:szCs w:val="20"/>
                <w:lang w:val="en-US"/>
              </w:rPr>
            </w:pPr>
            <w:r w:rsidRPr="002D28ED">
              <w:rPr>
                <w:rFonts w:eastAsia="Times New Roman"/>
                <w:b/>
                <w:bCs/>
                <w:color w:val="000000"/>
                <w:sz w:val="20"/>
                <w:szCs w:val="20"/>
                <w:lang w:val="en-US"/>
              </w:rPr>
              <w:t>552.966*</w:t>
            </w:r>
          </w:p>
        </w:tc>
        <w:tc>
          <w:tcPr>
            <w:tcW w:w="969" w:type="pct"/>
            <w:tcBorders>
              <w:top w:val="nil"/>
              <w:left w:val="nil"/>
              <w:right w:val="nil"/>
            </w:tcBorders>
            <w:shd w:val="clear" w:color="auto" w:fill="auto"/>
            <w:noWrap/>
            <w:vAlign w:val="center"/>
            <w:hideMark/>
          </w:tcPr>
          <w:p w:rsidR="00455DEE" w:rsidRPr="002D28ED" w:rsidRDefault="00455DEE" w:rsidP="00FA5866">
            <w:pPr>
              <w:spacing w:after="0" w:line="240" w:lineRule="auto"/>
              <w:ind w:firstLine="0"/>
              <w:jc w:val="center"/>
              <w:rPr>
                <w:rFonts w:eastAsia="Times New Roman"/>
                <w:color w:val="000000"/>
                <w:sz w:val="20"/>
                <w:szCs w:val="20"/>
                <w:lang w:val="en-US"/>
              </w:rPr>
            </w:pPr>
            <w:r w:rsidRPr="002D28ED">
              <w:rPr>
                <w:rFonts w:eastAsia="Times New Roman"/>
                <w:color w:val="000000"/>
                <w:sz w:val="20"/>
                <w:szCs w:val="20"/>
                <w:lang w:val="en-US"/>
              </w:rPr>
              <w:t>171,336</w:t>
            </w:r>
          </w:p>
        </w:tc>
        <w:tc>
          <w:tcPr>
            <w:tcW w:w="1166" w:type="pct"/>
            <w:tcBorders>
              <w:top w:val="nil"/>
              <w:left w:val="nil"/>
              <w:right w:val="nil"/>
            </w:tcBorders>
            <w:shd w:val="clear" w:color="auto" w:fill="auto"/>
            <w:noWrap/>
            <w:vAlign w:val="center"/>
            <w:hideMark/>
          </w:tcPr>
          <w:p w:rsidR="00455DEE" w:rsidRPr="002D28ED" w:rsidRDefault="00455DEE" w:rsidP="00FA5866">
            <w:pPr>
              <w:spacing w:after="0" w:line="240" w:lineRule="auto"/>
              <w:ind w:firstLine="0"/>
              <w:jc w:val="center"/>
              <w:rPr>
                <w:rFonts w:eastAsia="Times New Roman"/>
                <w:color w:val="000000"/>
                <w:sz w:val="20"/>
                <w:szCs w:val="20"/>
                <w:lang w:val="en-US"/>
              </w:rPr>
            </w:pPr>
            <w:r w:rsidRPr="002D28ED">
              <w:rPr>
                <w:rFonts w:eastAsia="Times New Roman"/>
                <w:color w:val="000000"/>
                <w:sz w:val="20"/>
                <w:szCs w:val="20"/>
                <w:lang w:val="en-US"/>
              </w:rPr>
              <w:t>-552,326</w:t>
            </w:r>
          </w:p>
        </w:tc>
        <w:tc>
          <w:tcPr>
            <w:tcW w:w="930" w:type="pct"/>
            <w:tcBorders>
              <w:top w:val="nil"/>
              <w:left w:val="nil"/>
              <w:right w:val="nil"/>
            </w:tcBorders>
            <w:shd w:val="clear" w:color="auto" w:fill="auto"/>
            <w:noWrap/>
            <w:vAlign w:val="center"/>
            <w:hideMark/>
          </w:tcPr>
          <w:p w:rsidR="00455DEE" w:rsidRPr="002D28ED" w:rsidRDefault="00455DEE" w:rsidP="00FA5866">
            <w:pPr>
              <w:spacing w:after="0" w:line="240" w:lineRule="auto"/>
              <w:ind w:firstLine="0"/>
              <w:jc w:val="center"/>
              <w:rPr>
                <w:rFonts w:eastAsia="Times New Roman"/>
                <w:color w:val="000000"/>
                <w:sz w:val="20"/>
                <w:szCs w:val="20"/>
                <w:lang w:val="en-US"/>
              </w:rPr>
            </w:pPr>
            <w:r w:rsidRPr="002D28ED">
              <w:rPr>
                <w:rFonts w:eastAsia="Times New Roman"/>
                <w:color w:val="000000"/>
                <w:sz w:val="20"/>
                <w:szCs w:val="20"/>
                <w:lang w:val="en-US"/>
              </w:rPr>
              <w:t>-2,361,887</w:t>
            </w:r>
          </w:p>
        </w:tc>
      </w:tr>
      <w:tr w:rsidR="00455DEE" w:rsidRPr="002D28ED" w:rsidTr="00455DEE">
        <w:trPr>
          <w:trHeight w:val="300"/>
        </w:trPr>
        <w:tc>
          <w:tcPr>
            <w:tcW w:w="1035" w:type="pct"/>
            <w:tcBorders>
              <w:top w:val="nil"/>
              <w:left w:val="nil"/>
              <w:bottom w:val="single" w:sz="4" w:space="0" w:color="auto"/>
              <w:right w:val="nil"/>
            </w:tcBorders>
            <w:shd w:val="clear" w:color="auto" w:fill="auto"/>
            <w:noWrap/>
            <w:vAlign w:val="center"/>
            <w:hideMark/>
          </w:tcPr>
          <w:p w:rsidR="00455DEE" w:rsidRPr="002D28ED" w:rsidRDefault="00455DEE" w:rsidP="00FA5866">
            <w:pPr>
              <w:spacing w:after="0" w:line="240" w:lineRule="auto"/>
              <w:ind w:firstLine="0"/>
              <w:jc w:val="left"/>
              <w:rPr>
                <w:rFonts w:eastAsia="Times New Roman"/>
                <w:color w:val="000000"/>
                <w:sz w:val="20"/>
                <w:szCs w:val="20"/>
                <w:lang w:val="en-US"/>
              </w:rPr>
            </w:pPr>
            <w:proofErr w:type="spellStart"/>
            <w:r>
              <w:rPr>
                <w:rFonts w:eastAsia="Times New Roman"/>
                <w:color w:val="000000"/>
                <w:sz w:val="20"/>
                <w:szCs w:val="20"/>
                <w:lang w:val="en-US"/>
              </w:rPr>
              <w:t>Desv</w:t>
            </w:r>
            <w:proofErr w:type="spellEnd"/>
            <w:r w:rsidRPr="002D28ED">
              <w:rPr>
                <w:rFonts w:eastAsia="Times New Roman"/>
                <w:color w:val="000000"/>
                <w:sz w:val="20"/>
                <w:szCs w:val="20"/>
                <w:lang w:val="en-US"/>
              </w:rPr>
              <w:t xml:space="preserve"> Pad</w:t>
            </w:r>
            <w:r>
              <w:rPr>
                <w:rFonts w:eastAsia="Times New Roman"/>
                <w:color w:val="000000"/>
                <w:sz w:val="20"/>
                <w:szCs w:val="20"/>
                <w:lang w:val="en-US"/>
              </w:rPr>
              <w:t>.</w:t>
            </w:r>
          </w:p>
        </w:tc>
        <w:tc>
          <w:tcPr>
            <w:tcW w:w="900" w:type="pct"/>
            <w:tcBorders>
              <w:top w:val="nil"/>
              <w:left w:val="nil"/>
              <w:bottom w:val="single" w:sz="4" w:space="0" w:color="auto"/>
              <w:right w:val="nil"/>
            </w:tcBorders>
            <w:shd w:val="clear" w:color="auto" w:fill="auto"/>
            <w:noWrap/>
            <w:vAlign w:val="center"/>
            <w:hideMark/>
          </w:tcPr>
          <w:p w:rsidR="00455DEE" w:rsidRPr="002D28ED" w:rsidRDefault="00455DEE" w:rsidP="00FA5866">
            <w:pPr>
              <w:spacing w:after="0" w:line="240" w:lineRule="auto"/>
              <w:ind w:firstLine="0"/>
              <w:jc w:val="center"/>
              <w:rPr>
                <w:rFonts w:eastAsia="Times New Roman"/>
                <w:b/>
                <w:bCs/>
                <w:color w:val="000000"/>
                <w:sz w:val="20"/>
                <w:szCs w:val="20"/>
                <w:lang w:val="en-US"/>
              </w:rPr>
            </w:pPr>
            <w:r w:rsidRPr="002D28ED">
              <w:rPr>
                <w:rFonts w:eastAsia="Times New Roman"/>
                <w:b/>
                <w:bCs/>
                <w:color w:val="000000"/>
                <w:sz w:val="20"/>
                <w:szCs w:val="20"/>
                <w:lang w:val="en-US"/>
              </w:rPr>
              <w:t>1,962,404</w:t>
            </w:r>
          </w:p>
        </w:tc>
        <w:tc>
          <w:tcPr>
            <w:tcW w:w="969" w:type="pct"/>
            <w:tcBorders>
              <w:top w:val="nil"/>
              <w:left w:val="nil"/>
              <w:bottom w:val="single" w:sz="4" w:space="0" w:color="auto"/>
              <w:right w:val="nil"/>
            </w:tcBorders>
            <w:shd w:val="clear" w:color="auto" w:fill="auto"/>
            <w:noWrap/>
            <w:vAlign w:val="center"/>
            <w:hideMark/>
          </w:tcPr>
          <w:p w:rsidR="00455DEE" w:rsidRPr="002D28ED" w:rsidRDefault="00455DEE" w:rsidP="00FA5866">
            <w:pPr>
              <w:spacing w:after="0" w:line="240" w:lineRule="auto"/>
              <w:ind w:firstLine="0"/>
              <w:jc w:val="center"/>
              <w:rPr>
                <w:rFonts w:eastAsia="Times New Roman"/>
                <w:color w:val="000000"/>
                <w:sz w:val="20"/>
                <w:szCs w:val="20"/>
                <w:lang w:val="en-US"/>
              </w:rPr>
            </w:pPr>
            <w:r w:rsidRPr="002D28ED">
              <w:rPr>
                <w:rFonts w:eastAsia="Times New Roman"/>
                <w:color w:val="000000"/>
                <w:sz w:val="20"/>
                <w:szCs w:val="20"/>
                <w:lang w:val="en-US"/>
              </w:rPr>
              <w:t>1,692,339</w:t>
            </w:r>
          </w:p>
        </w:tc>
        <w:tc>
          <w:tcPr>
            <w:tcW w:w="1166" w:type="pct"/>
            <w:tcBorders>
              <w:top w:val="nil"/>
              <w:left w:val="nil"/>
              <w:bottom w:val="single" w:sz="4" w:space="0" w:color="auto"/>
              <w:right w:val="nil"/>
            </w:tcBorders>
            <w:shd w:val="clear" w:color="auto" w:fill="auto"/>
            <w:noWrap/>
            <w:vAlign w:val="center"/>
            <w:hideMark/>
          </w:tcPr>
          <w:p w:rsidR="00455DEE" w:rsidRPr="002D28ED" w:rsidRDefault="00455DEE" w:rsidP="00FA5866">
            <w:pPr>
              <w:spacing w:after="0" w:line="240" w:lineRule="auto"/>
              <w:ind w:firstLine="0"/>
              <w:jc w:val="center"/>
              <w:rPr>
                <w:rFonts w:eastAsia="Times New Roman"/>
                <w:color w:val="000000"/>
                <w:sz w:val="20"/>
                <w:szCs w:val="20"/>
                <w:lang w:val="en-US"/>
              </w:rPr>
            </w:pPr>
            <w:r w:rsidRPr="002D28ED">
              <w:rPr>
                <w:rFonts w:eastAsia="Times New Roman"/>
                <w:color w:val="000000"/>
                <w:sz w:val="20"/>
                <w:szCs w:val="20"/>
                <w:lang w:val="en-US"/>
              </w:rPr>
              <w:t>4,174,697</w:t>
            </w:r>
          </w:p>
        </w:tc>
        <w:tc>
          <w:tcPr>
            <w:tcW w:w="930" w:type="pct"/>
            <w:tcBorders>
              <w:top w:val="nil"/>
              <w:left w:val="nil"/>
              <w:bottom w:val="single" w:sz="4" w:space="0" w:color="auto"/>
              <w:right w:val="nil"/>
            </w:tcBorders>
            <w:shd w:val="clear" w:color="auto" w:fill="auto"/>
            <w:noWrap/>
            <w:vAlign w:val="center"/>
            <w:hideMark/>
          </w:tcPr>
          <w:p w:rsidR="00455DEE" w:rsidRPr="002D28ED" w:rsidRDefault="00455DEE" w:rsidP="00FA5866">
            <w:pPr>
              <w:spacing w:after="0" w:line="240" w:lineRule="auto"/>
              <w:ind w:firstLine="0"/>
              <w:jc w:val="center"/>
              <w:rPr>
                <w:rFonts w:eastAsia="Times New Roman"/>
                <w:color w:val="000000"/>
                <w:sz w:val="20"/>
                <w:szCs w:val="20"/>
                <w:lang w:val="en-US"/>
              </w:rPr>
            </w:pPr>
            <w:r w:rsidRPr="002D28ED">
              <w:rPr>
                <w:rFonts w:eastAsia="Times New Roman"/>
                <w:color w:val="000000"/>
                <w:sz w:val="20"/>
                <w:szCs w:val="20"/>
                <w:lang w:val="en-US"/>
              </w:rPr>
              <w:t>1.21E+07</w:t>
            </w:r>
          </w:p>
        </w:tc>
      </w:tr>
      <w:tr w:rsidR="00455DEE" w:rsidRPr="002D28ED" w:rsidTr="00455DEE">
        <w:trPr>
          <w:trHeight w:val="300"/>
        </w:trPr>
        <w:tc>
          <w:tcPr>
            <w:tcW w:w="1035" w:type="pct"/>
            <w:tcBorders>
              <w:top w:val="single" w:sz="4" w:space="0" w:color="auto"/>
              <w:left w:val="nil"/>
              <w:bottom w:val="nil"/>
              <w:right w:val="nil"/>
            </w:tcBorders>
            <w:shd w:val="clear" w:color="auto" w:fill="auto"/>
            <w:noWrap/>
            <w:vAlign w:val="center"/>
            <w:hideMark/>
          </w:tcPr>
          <w:p w:rsidR="00455DEE" w:rsidRPr="00C8719C" w:rsidRDefault="00455DEE" w:rsidP="00FA5866">
            <w:pPr>
              <w:spacing w:after="0" w:line="240" w:lineRule="auto"/>
              <w:ind w:firstLine="0"/>
              <w:jc w:val="left"/>
              <w:rPr>
                <w:rFonts w:eastAsia="Times New Roman"/>
                <w:b/>
                <w:color w:val="000000"/>
                <w:sz w:val="20"/>
                <w:szCs w:val="20"/>
                <w:lang w:val="en-US"/>
              </w:rPr>
            </w:pPr>
            <w:proofErr w:type="spellStart"/>
            <w:r w:rsidRPr="00C8719C">
              <w:rPr>
                <w:rFonts w:eastAsia="Times New Roman"/>
                <w:b/>
                <w:color w:val="000000"/>
                <w:sz w:val="20"/>
                <w:szCs w:val="20"/>
                <w:lang w:val="en-US"/>
              </w:rPr>
              <w:t>Adquiridas</w:t>
            </w:r>
            <w:proofErr w:type="spellEnd"/>
          </w:p>
        </w:tc>
        <w:tc>
          <w:tcPr>
            <w:tcW w:w="900" w:type="pct"/>
            <w:tcBorders>
              <w:top w:val="single" w:sz="4" w:space="0" w:color="auto"/>
              <w:left w:val="nil"/>
              <w:bottom w:val="nil"/>
              <w:right w:val="nil"/>
            </w:tcBorders>
            <w:shd w:val="clear" w:color="auto" w:fill="auto"/>
            <w:noWrap/>
            <w:vAlign w:val="bottom"/>
            <w:hideMark/>
          </w:tcPr>
          <w:p w:rsidR="00455DEE" w:rsidRPr="002D28ED" w:rsidRDefault="00455DEE" w:rsidP="00FA5866">
            <w:pPr>
              <w:spacing w:after="0" w:line="240" w:lineRule="auto"/>
              <w:ind w:firstLine="0"/>
              <w:jc w:val="center"/>
              <w:rPr>
                <w:rFonts w:ascii="Calibri" w:eastAsia="Times New Roman" w:hAnsi="Calibri"/>
                <w:color w:val="000000"/>
                <w:sz w:val="22"/>
                <w:szCs w:val="22"/>
                <w:lang w:val="en-US"/>
              </w:rPr>
            </w:pPr>
          </w:p>
        </w:tc>
        <w:tc>
          <w:tcPr>
            <w:tcW w:w="969" w:type="pct"/>
            <w:tcBorders>
              <w:top w:val="single" w:sz="4" w:space="0" w:color="auto"/>
              <w:left w:val="nil"/>
              <w:bottom w:val="nil"/>
              <w:right w:val="nil"/>
            </w:tcBorders>
            <w:shd w:val="clear" w:color="auto" w:fill="auto"/>
            <w:noWrap/>
            <w:vAlign w:val="bottom"/>
            <w:hideMark/>
          </w:tcPr>
          <w:p w:rsidR="00455DEE" w:rsidRPr="002D28ED" w:rsidRDefault="00455DEE" w:rsidP="00FA5866">
            <w:pPr>
              <w:spacing w:after="0" w:line="240" w:lineRule="auto"/>
              <w:ind w:firstLine="0"/>
              <w:jc w:val="center"/>
              <w:rPr>
                <w:rFonts w:ascii="Calibri" w:eastAsia="Times New Roman" w:hAnsi="Calibri"/>
                <w:color w:val="000000"/>
                <w:sz w:val="22"/>
                <w:szCs w:val="22"/>
                <w:lang w:val="en-US"/>
              </w:rPr>
            </w:pPr>
          </w:p>
        </w:tc>
        <w:tc>
          <w:tcPr>
            <w:tcW w:w="1166" w:type="pct"/>
            <w:tcBorders>
              <w:top w:val="single" w:sz="4" w:space="0" w:color="auto"/>
              <w:left w:val="nil"/>
              <w:bottom w:val="nil"/>
              <w:right w:val="nil"/>
            </w:tcBorders>
            <w:shd w:val="clear" w:color="auto" w:fill="auto"/>
            <w:noWrap/>
            <w:vAlign w:val="bottom"/>
            <w:hideMark/>
          </w:tcPr>
          <w:p w:rsidR="00455DEE" w:rsidRPr="002D28ED" w:rsidRDefault="00455DEE" w:rsidP="00FA5866">
            <w:pPr>
              <w:spacing w:after="0" w:line="240" w:lineRule="auto"/>
              <w:ind w:firstLine="0"/>
              <w:jc w:val="center"/>
              <w:rPr>
                <w:rFonts w:ascii="Calibri" w:eastAsia="Times New Roman" w:hAnsi="Calibri"/>
                <w:color w:val="000000"/>
                <w:sz w:val="22"/>
                <w:szCs w:val="22"/>
                <w:lang w:val="en-US"/>
              </w:rPr>
            </w:pPr>
          </w:p>
        </w:tc>
        <w:tc>
          <w:tcPr>
            <w:tcW w:w="930" w:type="pct"/>
            <w:tcBorders>
              <w:top w:val="single" w:sz="4" w:space="0" w:color="auto"/>
              <w:left w:val="nil"/>
              <w:bottom w:val="nil"/>
              <w:right w:val="nil"/>
            </w:tcBorders>
            <w:shd w:val="clear" w:color="auto" w:fill="auto"/>
            <w:noWrap/>
            <w:vAlign w:val="bottom"/>
            <w:hideMark/>
          </w:tcPr>
          <w:p w:rsidR="00455DEE" w:rsidRPr="002D28ED" w:rsidRDefault="00455DEE" w:rsidP="00FA5866">
            <w:pPr>
              <w:spacing w:after="0" w:line="240" w:lineRule="auto"/>
              <w:ind w:firstLine="0"/>
              <w:jc w:val="center"/>
              <w:rPr>
                <w:rFonts w:ascii="Calibri" w:eastAsia="Times New Roman" w:hAnsi="Calibri"/>
                <w:color w:val="000000"/>
                <w:sz w:val="22"/>
                <w:szCs w:val="22"/>
                <w:lang w:val="en-US"/>
              </w:rPr>
            </w:pPr>
          </w:p>
        </w:tc>
      </w:tr>
      <w:tr w:rsidR="00455DEE" w:rsidRPr="002D28ED" w:rsidTr="00455DEE">
        <w:trPr>
          <w:trHeight w:val="300"/>
        </w:trPr>
        <w:tc>
          <w:tcPr>
            <w:tcW w:w="1035" w:type="pct"/>
            <w:tcBorders>
              <w:top w:val="nil"/>
              <w:left w:val="nil"/>
              <w:bottom w:val="nil"/>
              <w:right w:val="nil"/>
            </w:tcBorders>
            <w:shd w:val="clear" w:color="auto" w:fill="auto"/>
            <w:noWrap/>
            <w:vAlign w:val="center"/>
            <w:hideMark/>
          </w:tcPr>
          <w:p w:rsidR="00455DEE" w:rsidRPr="002D28ED" w:rsidRDefault="00455DEE" w:rsidP="00FA5866">
            <w:pPr>
              <w:spacing w:after="0" w:line="240" w:lineRule="auto"/>
              <w:ind w:firstLine="0"/>
              <w:jc w:val="left"/>
              <w:rPr>
                <w:rFonts w:eastAsia="Times New Roman"/>
                <w:color w:val="000000"/>
                <w:sz w:val="22"/>
                <w:szCs w:val="22"/>
                <w:lang w:val="en-US"/>
              </w:rPr>
            </w:pPr>
            <w:proofErr w:type="spellStart"/>
            <w:r w:rsidRPr="002D28ED">
              <w:rPr>
                <w:rFonts w:eastAsia="Times New Roman"/>
                <w:color w:val="000000"/>
                <w:sz w:val="22"/>
                <w:szCs w:val="22"/>
                <w:lang w:val="en-US"/>
              </w:rPr>
              <w:t>Obs</w:t>
            </w:r>
            <w:proofErr w:type="spellEnd"/>
          </w:p>
        </w:tc>
        <w:tc>
          <w:tcPr>
            <w:tcW w:w="900" w:type="pct"/>
            <w:tcBorders>
              <w:top w:val="nil"/>
              <w:left w:val="nil"/>
              <w:bottom w:val="nil"/>
              <w:right w:val="nil"/>
            </w:tcBorders>
            <w:shd w:val="clear" w:color="auto" w:fill="auto"/>
            <w:noWrap/>
            <w:vAlign w:val="center"/>
            <w:hideMark/>
          </w:tcPr>
          <w:p w:rsidR="00455DEE" w:rsidRPr="002D28ED" w:rsidRDefault="00455DEE" w:rsidP="00FA5866">
            <w:pPr>
              <w:spacing w:after="0" w:line="240" w:lineRule="auto"/>
              <w:ind w:firstLine="0"/>
              <w:jc w:val="center"/>
              <w:rPr>
                <w:rFonts w:eastAsia="Times New Roman"/>
                <w:color w:val="000000"/>
                <w:sz w:val="22"/>
                <w:szCs w:val="22"/>
                <w:lang w:val="en-US"/>
              </w:rPr>
            </w:pPr>
            <w:r w:rsidRPr="002D28ED">
              <w:rPr>
                <w:rFonts w:eastAsia="Times New Roman"/>
                <w:color w:val="000000"/>
                <w:sz w:val="22"/>
                <w:szCs w:val="22"/>
                <w:lang w:val="en-US"/>
              </w:rPr>
              <w:t>22</w:t>
            </w:r>
          </w:p>
        </w:tc>
        <w:tc>
          <w:tcPr>
            <w:tcW w:w="969" w:type="pct"/>
            <w:tcBorders>
              <w:top w:val="nil"/>
              <w:left w:val="nil"/>
              <w:bottom w:val="nil"/>
              <w:right w:val="nil"/>
            </w:tcBorders>
            <w:shd w:val="clear" w:color="auto" w:fill="auto"/>
            <w:noWrap/>
            <w:vAlign w:val="center"/>
            <w:hideMark/>
          </w:tcPr>
          <w:p w:rsidR="00455DEE" w:rsidRPr="002D28ED" w:rsidRDefault="00455DEE" w:rsidP="00FA5866">
            <w:pPr>
              <w:spacing w:after="0" w:line="240" w:lineRule="auto"/>
              <w:ind w:firstLine="0"/>
              <w:jc w:val="center"/>
              <w:rPr>
                <w:rFonts w:eastAsia="Times New Roman"/>
                <w:color w:val="000000"/>
                <w:sz w:val="22"/>
                <w:szCs w:val="22"/>
                <w:lang w:val="en-US"/>
              </w:rPr>
            </w:pPr>
            <w:r w:rsidRPr="002D28ED">
              <w:rPr>
                <w:rFonts w:eastAsia="Times New Roman"/>
                <w:color w:val="000000"/>
                <w:sz w:val="22"/>
                <w:szCs w:val="22"/>
                <w:lang w:val="en-US"/>
              </w:rPr>
              <w:t>22</w:t>
            </w:r>
          </w:p>
        </w:tc>
        <w:tc>
          <w:tcPr>
            <w:tcW w:w="1166" w:type="pct"/>
            <w:tcBorders>
              <w:top w:val="nil"/>
              <w:left w:val="nil"/>
              <w:bottom w:val="nil"/>
              <w:right w:val="nil"/>
            </w:tcBorders>
            <w:shd w:val="clear" w:color="auto" w:fill="auto"/>
            <w:noWrap/>
            <w:vAlign w:val="center"/>
            <w:hideMark/>
          </w:tcPr>
          <w:p w:rsidR="00455DEE" w:rsidRPr="002D28ED" w:rsidRDefault="00455DEE" w:rsidP="00FA5866">
            <w:pPr>
              <w:spacing w:after="0" w:line="240" w:lineRule="auto"/>
              <w:ind w:firstLine="0"/>
              <w:jc w:val="center"/>
              <w:rPr>
                <w:rFonts w:eastAsia="Times New Roman"/>
                <w:color w:val="000000"/>
                <w:sz w:val="22"/>
                <w:szCs w:val="22"/>
                <w:lang w:val="en-US"/>
              </w:rPr>
            </w:pPr>
            <w:r w:rsidRPr="002D28ED">
              <w:rPr>
                <w:rFonts w:eastAsia="Times New Roman"/>
                <w:color w:val="000000"/>
                <w:sz w:val="22"/>
                <w:szCs w:val="22"/>
                <w:lang w:val="en-US"/>
              </w:rPr>
              <w:t>22</w:t>
            </w:r>
          </w:p>
        </w:tc>
        <w:tc>
          <w:tcPr>
            <w:tcW w:w="930" w:type="pct"/>
            <w:tcBorders>
              <w:top w:val="nil"/>
              <w:left w:val="nil"/>
              <w:bottom w:val="nil"/>
              <w:right w:val="nil"/>
            </w:tcBorders>
            <w:shd w:val="clear" w:color="auto" w:fill="auto"/>
            <w:noWrap/>
            <w:vAlign w:val="center"/>
            <w:hideMark/>
          </w:tcPr>
          <w:p w:rsidR="00455DEE" w:rsidRPr="002D28ED" w:rsidRDefault="00455DEE" w:rsidP="00FA5866">
            <w:pPr>
              <w:spacing w:after="0" w:line="240" w:lineRule="auto"/>
              <w:ind w:firstLine="0"/>
              <w:jc w:val="center"/>
              <w:rPr>
                <w:rFonts w:eastAsia="Times New Roman"/>
                <w:color w:val="000000"/>
                <w:sz w:val="22"/>
                <w:szCs w:val="22"/>
                <w:lang w:val="en-US"/>
              </w:rPr>
            </w:pPr>
            <w:r w:rsidRPr="002D28ED">
              <w:rPr>
                <w:rFonts w:eastAsia="Times New Roman"/>
                <w:color w:val="000000"/>
                <w:sz w:val="22"/>
                <w:szCs w:val="22"/>
                <w:lang w:val="en-US"/>
              </w:rPr>
              <w:t>22</w:t>
            </w:r>
          </w:p>
        </w:tc>
      </w:tr>
      <w:tr w:rsidR="00455DEE" w:rsidRPr="002D28ED" w:rsidTr="00455DEE">
        <w:trPr>
          <w:trHeight w:val="300"/>
        </w:trPr>
        <w:tc>
          <w:tcPr>
            <w:tcW w:w="1035" w:type="pct"/>
            <w:tcBorders>
              <w:top w:val="nil"/>
              <w:left w:val="nil"/>
              <w:bottom w:val="nil"/>
              <w:right w:val="nil"/>
            </w:tcBorders>
            <w:shd w:val="clear" w:color="auto" w:fill="auto"/>
            <w:noWrap/>
            <w:vAlign w:val="center"/>
            <w:hideMark/>
          </w:tcPr>
          <w:p w:rsidR="00455DEE" w:rsidRPr="002D28ED" w:rsidRDefault="00455DEE" w:rsidP="00FA5866">
            <w:pPr>
              <w:spacing w:after="0" w:line="240" w:lineRule="auto"/>
              <w:ind w:firstLine="0"/>
              <w:jc w:val="left"/>
              <w:rPr>
                <w:rFonts w:eastAsia="Times New Roman"/>
                <w:color w:val="000000"/>
                <w:sz w:val="22"/>
                <w:szCs w:val="22"/>
                <w:lang w:val="en-US"/>
              </w:rPr>
            </w:pPr>
            <w:proofErr w:type="spellStart"/>
            <w:r w:rsidRPr="002D28ED">
              <w:rPr>
                <w:rFonts w:eastAsia="Times New Roman"/>
                <w:color w:val="000000"/>
                <w:sz w:val="22"/>
                <w:szCs w:val="22"/>
                <w:lang w:val="en-US"/>
              </w:rPr>
              <w:t>Média</w:t>
            </w:r>
            <w:proofErr w:type="spellEnd"/>
          </w:p>
        </w:tc>
        <w:tc>
          <w:tcPr>
            <w:tcW w:w="900" w:type="pct"/>
            <w:tcBorders>
              <w:top w:val="nil"/>
              <w:left w:val="nil"/>
              <w:bottom w:val="nil"/>
              <w:right w:val="nil"/>
            </w:tcBorders>
            <w:shd w:val="clear" w:color="auto" w:fill="auto"/>
            <w:noWrap/>
            <w:vAlign w:val="center"/>
            <w:hideMark/>
          </w:tcPr>
          <w:p w:rsidR="00455DEE" w:rsidRPr="002D28ED" w:rsidRDefault="00455DEE" w:rsidP="00FA5866">
            <w:pPr>
              <w:spacing w:after="0" w:line="240" w:lineRule="auto"/>
              <w:ind w:firstLine="0"/>
              <w:jc w:val="center"/>
              <w:rPr>
                <w:rFonts w:eastAsia="Times New Roman"/>
                <w:color w:val="000000"/>
                <w:sz w:val="22"/>
                <w:szCs w:val="22"/>
                <w:lang w:val="en-US"/>
              </w:rPr>
            </w:pPr>
            <w:r w:rsidRPr="002D28ED">
              <w:rPr>
                <w:rFonts w:eastAsia="Times New Roman"/>
                <w:color w:val="000000"/>
                <w:sz w:val="22"/>
                <w:szCs w:val="22"/>
                <w:lang w:val="en-US"/>
              </w:rPr>
              <w:t>-1,023,255</w:t>
            </w:r>
          </w:p>
        </w:tc>
        <w:tc>
          <w:tcPr>
            <w:tcW w:w="969" w:type="pct"/>
            <w:tcBorders>
              <w:top w:val="nil"/>
              <w:left w:val="nil"/>
              <w:bottom w:val="nil"/>
              <w:right w:val="nil"/>
            </w:tcBorders>
            <w:shd w:val="clear" w:color="auto" w:fill="auto"/>
            <w:noWrap/>
            <w:vAlign w:val="center"/>
            <w:hideMark/>
          </w:tcPr>
          <w:p w:rsidR="00455DEE" w:rsidRPr="002D28ED" w:rsidRDefault="00455DEE" w:rsidP="00FA5866">
            <w:pPr>
              <w:spacing w:after="0" w:line="240" w:lineRule="auto"/>
              <w:ind w:firstLine="0"/>
              <w:jc w:val="center"/>
              <w:rPr>
                <w:rFonts w:eastAsia="Times New Roman"/>
                <w:color w:val="000000"/>
                <w:sz w:val="22"/>
                <w:szCs w:val="22"/>
                <w:lang w:val="en-US"/>
              </w:rPr>
            </w:pPr>
            <w:r w:rsidRPr="002D28ED">
              <w:rPr>
                <w:rFonts w:eastAsia="Times New Roman"/>
                <w:color w:val="000000"/>
                <w:sz w:val="22"/>
                <w:szCs w:val="22"/>
                <w:lang w:val="en-US"/>
              </w:rPr>
              <w:t>-1,000,440</w:t>
            </w:r>
          </w:p>
        </w:tc>
        <w:tc>
          <w:tcPr>
            <w:tcW w:w="1166" w:type="pct"/>
            <w:tcBorders>
              <w:top w:val="nil"/>
              <w:left w:val="nil"/>
              <w:bottom w:val="nil"/>
              <w:right w:val="nil"/>
            </w:tcBorders>
            <w:shd w:val="clear" w:color="auto" w:fill="auto"/>
            <w:noWrap/>
            <w:vAlign w:val="center"/>
            <w:hideMark/>
          </w:tcPr>
          <w:p w:rsidR="00455DEE" w:rsidRPr="002D28ED" w:rsidRDefault="00455DEE" w:rsidP="00FA5866">
            <w:pPr>
              <w:spacing w:after="0" w:line="240" w:lineRule="auto"/>
              <w:ind w:firstLine="0"/>
              <w:jc w:val="center"/>
              <w:rPr>
                <w:rFonts w:eastAsia="Times New Roman"/>
                <w:color w:val="000000"/>
                <w:sz w:val="22"/>
                <w:szCs w:val="22"/>
                <w:lang w:val="en-US"/>
              </w:rPr>
            </w:pPr>
            <w:r w:rsidRPr="002D28ED">
              <w:rPr>
                <w:rFonts w:eastAsia="Times New Roman"/>
                <w:color w:val="000000"/>
                <w:sz w:val="22"/>
                <w:szCs w:val="22"/>
                <w:lang w:val="en-US"/>
              </w:rPr>
              <w:t>103,623</w:t>
            </w:r>
          </w:p>
        </w:tc>
        <w:tc>
          <w:tcPr>
            <w:tcW w:w="930" w:type="pct"/>
            <w:tcBorders>
              <w:top w:val="nil"/>
              <w:left w:val="nil"/>
              <w:bottom w:val="nil"/>
              <w:right w:val="nil"/>
            </w:tcBorders>
            <w:shd w:val="clear" w:color="auto" w:fill="auto"/>
            <w:noWrap/>
            <w:vAlign w:val="center"/>
            <w:hideMark/>
          </w:tcPr>
          <w:p w:rsidR="00455DEE" w:rsidRPr="002D28ED" w:rsidRDefault="00455DEE" w:rsidP="00FA5866">
            <w:pPr>
              <w:spacing w:after="0" w:line="240" w:lineRule="auto"/>
              <w:ind w:firstLine="0"/>
              <w:jc w:val="center"/>
              <w:rPr>
                <w:rFonts w:eastAsia="Times New Roman"/>
                <w:color w:val="000000"/>
                <w:sz w:val="22"/>
                <w:szCs w:val="22"/>
                <w:lang w:val="en-US"/>
              </w:rPr>
            </w:pPr>
            <w:r w:rsidRPr="002D28ED">
              <w:rPr>
                <w:rFonts w:eastAsia="Times New Roman"/>
                <w:color w:val="000000"/>
                <w:sz w:val="22"/>
                <w:szCs w:val="22"/>
                <w:lang w:val="en-US"/>
              </w:rPr>
              <w:t>309,910</w:t>
            </w:r>
          </w:p>
        </w:tc>
      </w:tr>
      <w:tr w:rsidR="00455DEE" w:rsidRPr="002D28ED" w:rsidTr="00455DEE">
        <w:trPr>
          <w:trHeight w:val="300"/>
        </w:trPr>
        <w:tc>
          <w:tcPr>
            <w:tcW w:w="1035" w:type="pct"/>
            <w:tcBorders>
              <w:top w:val="nil"/>
              <w:left w:val="nil"/>
              <w:bottom w:val="single" w:sz="4" w:space="0" w:color="auto"/>
              <w:right w:val="nil"/>
            </w:tcBorders>
            <w:shd w:val="clear" w:color="auto" w:fill="auto"/>
            <w:noWrap/>
            <w:vAlign w:val="center"/>
            <w:hideMark/>
          </w:tcPr>
          <w:p w:rsidR="00455DEE" w:rsidRPr="002D28ED" w:rsidRDefault="00455DEE" w:rsidP="00FA5866">
            <w:pPr>
              <w:spacing w:after="0" w:line="240" w:lineRule="auto"/>
              <w:ind w:firstLine="0"/>
              <w:jc w:val="left"/>
              <w:rPr>
                <w:rFonts w:eastAsia="Times New Roman"/>
                <w:color w:val="000000"/>
                <w:sz w:val="22"/>
                <w:szCs w:val="22"/>
                <w:lang w:val="en-US"/>
              </w:rPr>
            </w:pPr>
            <w:proofErr w:type="spellStart"/>
            <w:r w:rsidRPr="002D28ED">
              <w:rPr>
                <w:rFonts w:eastAsia="Times New Roman"/>
                <w:color w:val="000000"/>
                <w:sz w:val="22"/>
                <w:szCs w:val="22"/>
                <w:lang w:val="en-US"/>
              </w:rPr>
              <w:t>Desv</w:t>
            </w:r>
            <w:proofErr w:type="spellEnd"/>
            <w:r w:rsidRPr="002D28ED">
              <w:rPr>
                <w:rFonts w:eastAsia="Times New Roman"/>
                <w:color w:val="000000"/>
                <w:sz w:val="22"/>
                <w:szCs w:val="22"/>
                <w:lang w:val="en-US"/>
              </w:rPr>
              <w:t>. Pad</w:t>
            </w:r>
            <w:r>
              <w:rPr>
                <w:rFonts w:eastAsia="Times New Roman"/>
                <w:color w:val="000000"/>
                <w:sz w:val="22"/>
                <w:szCs w:val="22"/>
                <w:lang w:val="en-US"/>
              </w:rPr>
              <w:t>.</w:t>
            </w:r>
          </w:p>
        </w:tc>
        <w:tc>
          <w:tcPr>
            <w:tcW w:w="900" w:type="pct"/>
            <w:tcBorders>
              <w:top w:val="nil"/>
              <w:left w:val="nil"/>
              <w:bottom w:val="single" w:sz="4" w:space="0" w:color="auto"/>
              <w:right w:val="nil"/>
            </w:tcBorders>
            <w:shd w:val="clear" w:color="auto" w:fill="auto"/>
            <w:noWrap/>
            <w:vAlign w:val="center"/>
            <w:hideMark/>
          </w:tcPr>
          <w:p w:rsidR="00455DEE" w:rsidRPr="002D28ED" w:rsidRDefault="00455DEE" w:rsidP="00FA5866">
            <w:pPr>
              <w:spacing w:after="0" w:line="240" w:lineRule="auto"/>
              <w:ind w:firstLine="0"/>
              <w:jc w:val="center"/>
              <w:rPr>
                <w:rFonts w:eastAsia="Times New Roman"/>
                <w:color w:val="000000"/>
                <w:sz w:val="22"/>
                <w:szCs w:val="22"/>
                <w:lang w:val="en-US"/>
              </w:rPr>
            </w:pPr>
            <w:r w:rsidRPr="002D28ED">
              <w:rPr>
                <w:rFonts w:eastAsia="Times New Roman"/>
                <w:color w:val="000000"/>
                <w:sz w:val="22"/>
                <w:szCs w:val="22"/>
                <w:lang w:val="en-US"/>
              </w:rPr>
              <w:t>4,602,941</w:t>
            </w:r>
          </w:p>
        </w:tc>
        <w:tc>
          <w:tcPr>
            <w:tcW w:w="969" w:type="pct"/>
            <w:tcBorders>
              <w:top w:val="nil"/>
              <w:left w:val="nil"/>
              <w:bottom w:val="single" w:sz="4" w:space="0" w:color="auto"/>
              <w:right w:val="nil"/>
            </w:tcBorders>
            <w:shd w:val="clear" w:color="auto" w:fill="auto"/>
            <w:noWrap/>
            <w:vAlign w:val="center"/>
            <w:hideMark/>
          </w:tcPr>
          <w:p w:rsidR="00455DEE" w:rsidRPr="002D28ED" w:rsidRDefault="00455DEE" w:rsidP="00FA5866">
            <w:pPr>
              <w:spacing w:after="0" w:line="240" w:lineRule="auto"/>
              <w:ind w:firstLine="0"/>
              <w:jc w:val="center"/>
              <w:rPr>
                <w:rFonts w:eastAsia="Times New Roman"/>
                <w:color w:val="000000"/>
                <w:sz w:val="22"/>
                <w:szCs w:val="22"/>
                <w:lang w:val="en-US"/>
              </w:rPr>
            </w:pPr>
            <w:r w:rsidRPr="002D28ED">
              <w:rPr>
                <w:rFonts w:eastAsia="Times New Roman"/>
                <w:color w:val="000000"/>
                <w:sz w:val="22"/>
                <w:szCs w:val="22"/>
                <w:lang w:val="en-US"/>
              </w:rPr>
              <w:t>4,228,131</w:t>
            </w:r>
          </w:p>
        </w:tc>
        <w:tc>
          <w:tcPr>
            <w:tcW w:w="1166" w:type="pct"/>
            <w:tcBorders>
              <w:top w:val="nil"/>
              <w:left w:val="nil"/>
              <w:bottom w:val="single" w:sz="4" w:space="0" w:color="auto"/>
              <w:right w:val="nil"/>
            </w:tcBorders>
            <w:shd w:val="clear" w:color="auto" w:fill="auto"/>
            <w:noWrap/>
            <w:vAlign w:val="center"/>
            <w:hideMark/>
          </w:tcPr>
          <w:p w:rsidR="00455DEE" w:rsidRPr="002D28ED" w:rsidRDefault="00455DEE" w:rsidP="00FA5866">
            <w:pPr>
              <w:spacing w:after="0" w:line="240" w:lineRule="auto"/>
              <w:ind w:firstLine="0"/>
              <w:jc w:val="center"/>
              <w:rPr>
                <w:rFonts w:eastAsia="Times New Roman"/>
                <w:color w:val="000000"/>
                <w:sz w:val="22"/>
                <w:szCs w:val="22"/>
                <w:lang w:val="en-US"/>
              </w:rPr>
            </w:pPr>
            <w:r w:rsidRPr="002D28ED">
              <w:rPr>
                <w:rFonts w:eastAsia="Times New Roman"/>
                <w:color w:val="000000"/>
                <w:sz w:val="22"/>
                <w:szCs w:val="22"/>
                <w:lang w:val="en-US"/>
              </w:rPr>
              <w:t>877,585</w:t>
            </w:r>
          </w:p>
        </w:tc>
        <w:tc>
          <w:tcPr>
            <w:tcW w:w="930" w:type="pct"/>
            <w:tcBorders>
              <w:top w:val="nil"/>
              <w:left w:val="nil"/>
              <w:bottom w:val="single" w:sz="4" w:space="0" w:color="auto"/>
              <w:right w:val="nil"/>
            </w:tcBorders>
            <w:shd w:val="clear" w:color="auto" w:fill="auto"/>
            <w:noWrap/>
            <w:vAlign w:val="center"/>
            <w:hideMark/>
          </w:tcPr>
          <w:p w:rsidR="00455DEE" w:rsidRPr="002D28ED" w:rsidRDefault="00455DEE" w:rsidP="00FA5866">
            <w:pPr>
              <w:spacing w:after="0" w:line="240" w:lineRule="auto"/>
              <w:ind w:firstLine="0"/>
              <w:jc w:val="center"/>
              <w:rPr>
                <w:rFonts w:eastAsia="Times New Roman"/>
                <w:color w:val="000000"/>
                <w:sz w:val="22"/>
                <w:szCs w:val="22"/>
                <w:lang w:val="en-US"/>
              </w:rPr>
            </w:pPr>
            <w:r w:rsidRPr="002D28ED">
              <w:rPr>
                <w:rFonts w:eastAsia="Times New Roman"/>
                <w:color w:val="000000"/>
                <w:sz w:val="22"/>
                <w:szCs w:val="22"/>
                <w:lang w:val="en-US"/>
              </w:rPr>
              <w:t>1,156,468</w:t>
            </w:r>
          </w:p>
        </w:tc>
      </w:tr>
    </w:tbl>
    <w:p w:rsidR="008D1075" w:rsidRPr="008D1075" w:rsidRDefault="004D5D9D" w:rsidP="00FA5866">
      <w:pPr>
        <w:spacing w:after="0" w:line="240" w:lineRule="auto"/>
        <w:ind w:firstLine="0"/>
        <w:jc w:val="left"/>
        <w:rPr>
          <w:sz w:val="20"/>
          <w:szCs w:val="20"/>
        </w:rPr>
      </w:pPr>
      <w:r w:rsidRPr="00AA282F">
        <w:rPr>
          <w:sz w:val="20"/>
          <w:szCs w:val="20"/>
        </w:rPr>
        <w:t>Fonte: Elaboração Própria</w:t>
      </w:r>
    </w:p>
    <w:p w:rsidR="00A83548" w:rsidRDefault="00A83548" w:rsidP="00FA5866">
      <w:pPr>
        <w:pStyle w:val="Legenda"/>
        <w:keepNext/>
        <w:spacing w:after="0"/>
        <w:ind w:firstLine="0"/>
        <w:jc w:val="left"/>
        <w:rPr>
          <w:b w:val="0"/>
          <w:color w:val="auto"/>
          <w:sz w:val="24"/>
          <w:szCs w:val="24"/>
        </w:rPr>
      </w:pPr>
      <w:bookmarkStart w:id="6" w:name="_Toc379458532"/>
    </w:p>
    <w:p w:rsidR="00455DEE" w:rsidRDefault="00455DEE" w:rsidP="00FA5866">
      <w:pPr>
        <w:pStyle w:val="Legenda"/>
        <w:keepNext/>
        <w:spacing w:after="0"/>
        <w:ind w:firstLine="0"/>
        <w:jc w:val="left"/>
        <w:rPr>
          <w:b w:val="0"/>
          <w:color w:val="auto"/>
          <w:sz w:val="24"/>
          <w:szCs w:val="24"/>
        </w:rPr>
      </w:pPr>
      <w:r w:rsidRPr="00E03585">
        <w:rPr>
          <w:b w:val="0"/>
          <w:color w:val="auto"/>
          <w:sz w:val="24"/>
          <w:szCs w:val="24"/>
        </w:rPr>
        <w:t xml:space="preserve">Tabela </w:t>
      </w:r>
      <w:r w:rsidR="006E76EF" w:rsidRPr="00E03585">
        <w:rPr>
          <w:b w:val="0"/>
          <w:color w:val="auto"/>
          <w:sz w:val="24"/>
          <w:szCs w:val="24"/>
        </w:rPr>
        <w:fldChar w:fldCharType="begin"/>
      </w:r>
      <w:r w:rsidRPr="00E03585">
        <w:rPr>
          <w:b w:val="0"/>
          <w:color w:val="auto"/>
          <w:sz w:val="24"/>
          <w:szCs w:val="24"/>
        </w:rPr>
        <w:instrText xml:space="preserve"> SEQ Tabela \* ARABIC </w:instrText>
      </w:r>
      <w:r w:rsidR="006E76EF" w:rsidRPr="00E03585">
        <w:rPr>
          <w:b w:val="0"/>
          <w:color w:val="auto"/>
          <w:sz w:val="24"/>
          <w:szCs w:val="24"/>
        </w:rPr>
        <w:fldChar w:fldCharType="separate"/>
      </w:r>
      <w:r>
        <w:rPr>
          <w:b w:val="0"/>
          <w:noProof/>
          <w:color w:val="auto"/>
          <w:sz w:val="24"/>
          <w:szCs w:val="24"/>
        </w:rPr>
        <w:t>2</w:t>
      </w:r>
      <w:r w:rsidR="006E76EF" w:rsidRPr="00E03585">
        <w:rPr>
          <w:b w:val="0"/>
          <w:color w:val="auto"/>
          <w:sz w:val="24"/>
          <w:szCs w:val="24"/>
        </w:rPr>
        <w:fldChar w:fldCharType="end"/>
      </w:r>
      <w:r w:rsidRPr="00E03585">
        <w:rPr>
          <w:b w:val="0"/>
          <w:color w:val="auto"/>
          <w:sz w:val="24"/>
          <w:szCs w:val="24"/>
        </w:rPr>
        <w:t xml:space="preserve">: Estatísticas descritivas - Retornos Acumulados </w:t>
      </w:r>
      <w:r>
        <w:rPr>
          <w:b w:val="0"/>
          <w:color w:val="auto"/>
          <w:sz w:val="24"/>
          <w:szCs w:val="24"/>
        </w:rPr>
        <w:t>Janelas de Longo Prazo</w:t>
      </w:r>
      <w:r w:rsidRPr="00E03585">
        <w:rPr>
          <w:b w:val="0"/>
          <w:color w:val="auto"/>
          <w:sz w:val="24"/>
          <w:szCs w:val="24"/>
        </w:rPr>
        <w:t xml:space="preserve"> (em milhões de reais)</w:t>
      </w:r>
      <w:bookmarkEnd w:id="6"/>
    </w:p>
    <w:tbl>
      <w:tblPr>
        <w:tblW w:w="5000" w:type="pct"/>
        <w:tblLook w:val="04A0"/>
      </w:tblPr>
      <w:tblGrid>
        <w:gridCol w:w="3031"/>
        <w:gridCol w:w="2463"/>
        <w:gridCol w:w="2463"/>
        <w:gridCol w:w="2463"/>
      </w:tblGrid>
      <w:tr w:rsidR="00455DEE" w:rsidRPr="002D28ED" w:rsidTr="00455DEE">
        <w:trPr>
          <w:trHeight w:val="315"/>
        </w:trPr>
        <w:tc>
          <w:tcPr>
            <w:tcW w:w="1454" w:type="pct"/>
            <w:tcBorders>
              <w:top w:val="single" w:sz="4" w:space="0" w:color="auto"/>
              <w:left w:val="nil"/>
              <w:bottom w:val="single" w:sz="4" w:space="0" w:color="auto"/>
              <w:right w:val="nil"/>
            </w:tcBorders>
            <w:shd w:val="clear" w:color="auto" w:fill="auto"/>
            <w:noWrap/>
            <w:vAlign w:val="center"/>
            <w:hideMark/>
          </w:tcPr>
          <w:p w:rsidR="00455DEE" w:rsidRPr="002D28ED" w:rsidRDefault="00455DEE" w:rsidP="00FA5866">
            <w:pPr>
              <w:spacing w:after="0" w:line="240" w:lineRule="auto"/>
              <w:ind w:firstLine="0"/>
              <w:rPr>
                <w:rFonts w:eastAsia="Times New Roman"/>
                <w:color w:val="000000"/>
                <w:sz w:val="20"/>
                <w:szCs w:val="20"/>
              </w:rPr>
            </w:pPr>
            <w:r w:rsidRPr="002D28ED">
              <w:rPr>
                <w:rFonts w:eastAsia="Times New Roman"/>
                <w:color w:val="000000"/>
                <w:sz w:val="20"/>
                <w:szCs w:val="20"/>
              </w:rPr>
              <w:t> </w:t>
            </w:r>
          </w:p>
        </w:tc>
        <w:tc>
          <w:tcPr>
            <w:tcW w:w="1182" w:type="pct"/>
            <w:tcBorders>
              <w:top w:val="single" w:sz="4" w:space="0" w:color="auto"/>
              <w:left w:val="nil"/>
              <w:bottom w:val="single" w:sz="4" w:space="0" w:color="auto"/>
              <w:right w:val="nil"/>
            </w:tcBorders>
            <w:shd w:val="clear" w:color="auto" w:fill="auto"/>
            <w:noWrap/>
            <w:vAlign w:val="center"/>
            <w:hideMark/>
          </w:tcPr>
          <w:p w:rsidR="00455DEE" w:rsidRPr="002D28ED" w:rsidRDefault="00455DEE" w:rsidP="00FA5866">
            <w:pPr>
              <w:spacing w:after="0" w:line="240" w:lineRule="auto"/>
              <w:ind w:firstLine="0"/>
              <w:rPr>
                <w:rFonts w:eastAsia="Times New Roman"/>
                <w:color w:val="000000"/>
                <w:sz w:val="20"/>
                <w:szCs w:val="20"/>
                <w:lang w:val="en-US"/>
              </w:rPr>
            </w:pPr>
            <w:r w:rsidRPr="002D28ED">
              <w:rPr>
                <w:rFonts w:eastAsia="Times New Roman"/>
                <w:color w:val="000000"/>
                <w:sz w:val="20"/>
                <w:szCs w:val="20"/>
                <w:lang w:val="en-US"/>
              </w:rPr>
              <w:t>CAR (244)</w:t>
            </w:r>
          </w:p>
        </w:tc>
        <w:tc>
          <w:tcPr>
            <w:tcW w:w="1182" w:type="pct"/>
            <w:tcBorders>
              <w:top w:val="single" w:sz="4" w:space="0" w:color="auto"/>
              <w:left w:val="nil"/>
              <w:bottom w:val="single" w:sz="4" w:space="0" w:color="auto"/>
              <w:right w:val="nil"/>
            </w:tcBorders>
            <w:shd w:val="clear" w:color="auto" w:fill="auto"/>
            <w:noWrap/>
            <w:vAlign w:val="center"/>
            <w:hideMark/>
          </w:tcPr>
          <w:p w:rsidR="00455DEE" w:rsidRPr="002D28ED" w:rsidRDefault="00455DEE" w:rsidP="00FA5866">
            <w:pPr>
              <w:spacing w:after="0" w:line="240" w:lineRule="auto"/>
              <w:ind w:firstLine="0"/>
              <w:rPr>
                <w:rFonts w:eastAsia="Times New Roman"/>
                <w:color w:val="000000"/>
                <w:sz w:val="20"/>
                <w:szCs w:val="20"/>
                <w:lang w:val="en-US"/>
              </w:rPr>
            </w:pPr>
            <w:r w:rsidRPr="002D28ED">
              <w:rPr>
                <w:rFonts w:eastAsia="Times New Roman"/>
                <w:color w:val="000000"/>
                <w:sz w:val="20"/>
                <w:szCs w:val="20"/>
                <w:lang w:val="en-US"/>
              </w:rPr>
              <w:t>CAR (488)</w:t>
            </w:r>
          </w:p>
        </w:tc>
        <w:tc>
          <w:tcPr>
            <w:tcW w:w="1182" w:type="pct"/>
            <w:tcBorders>
              <w:top w:val="single" w:sz="4" w:space="0" w:color="auto"/>
              <w:left w:val="nil"/>
              <w:bottom w:val="single" w:sz="4" w:space="0" w:color="auto"/>
              <w:right w:val="nil"/>
            </w:tcBorders>
            <w:shd w:val="clear" w:color="auto" w:fill="auto"/>
            <w:noWrap/>
            <w:vAlign w:val="center"/>
            <w:hideMark/>
          </w:tcPr>
          <w:p w:rsidR="00455DEE" w:rsidRPr="002D28ED" w:rsidRDefault="00455DEE" w:rsidP="00FA5866">
            <w:pPr>
              <w:spacing w:after="0" w:line="240" w:lineRule="auto"/>
              <w:ind w:firstLine="0"/>
              <w:rPr>
                <w:rFonts w:eastAsia="Times New Roman"/>
                <w:color w:val="000000"/>
                <w:sz w:val="20"/>
                <w:szCs w:val="20"/>
                <w:lang w:val="en-US"/>
              </w:rPr>
            </w:pPr>
            <w:r w:rsidRPr="002D28ED">
              <w:rPr>
                <w:rFonts w:eastAsia="Times New Roman"/>
                <w:color w:val="000000"/>
                <w:sz w:val="20"/>
                <w:szCs w:val="20"/>
                <w:lang w:val="en-US"/>
              </w:rPr>
              <w:t>CAR (732)</w:t>
            </w:r>
          </w:p>
        </w:tc>
      </w:tr>
      <w:tr w:rsidR="00455DEE" w:rsidRPr="002D28ED" w:rsidTr="00455DEE">
        <w:trPr>
          <w:trHeight w:val="300"/>
        </w:trPr>
        <w:tc>
          <w:tcPr>
            <w:tcW w:w="1454" w:type="pct"/>
            <w:tcBorders>
              <w:top w:val="single" w:sz="4" w:space="0" w:color="auto"/>
              <w:left w:val="nil"/>
              <w:bottom w:val="nil"/>
              <w:right w:val="nil"/>
            </w:tcBorders>
            <w:shd w:val="clear" w:color="auto" w:fill="auto"/>
            <w:noWrap/>
            <w:vAlign w:val="center"/>
            <w:hideMark/>
          </w:tcPr>
          <w:p w:rsidR="00455DEE" w:rsidRPr="00C8719C" w:rsidRDefault="00455DEE" w:rsidP="00FA5866">
            <w:pPr>
              <w:spacing w:after="0" w:line="240" w:lineRule="auto"/>
              <w:ind w:firstLine="0"/>
              <w:rPr>
                <w:rFonts w:eastAsia="Times New Roman"/>
                <w:b/>
                <w:color w:val="000000"/>
                <w:sz w:val="20"/>
                <w:szCs w:val="20"/>
                <w:lang w:val="en-US"/>
              </w:rPr>
            </w:pPr>
            <w:proofErr w:type="spellStart"/>
            <w:r w:rsidRPr="00C8719C">
              <w:rPr>
                <w:rFonts w:eastAsia="Times New Roman"/>
                <w:b/>
                <w:color w:val="000000"/>
                <w:sz w:val="20"/>
                <w:szCs w:val="20"/>
                <w:lang w:val="en-US"/>
              </w:rPr>
              <w:t>Rivais</w:t>
            </w:r>
            <w:proofErr w:type="spellEnd"/>
          </w:p>
        </w:tc>
        <w:tc>
          <w:tcPr>
            <w:tcW w:w="1182" w:type="pct"/>
            <w:tcBorders>
              <w:top w:val="single" w:sz="4" w:space="0" w:color="auto"/>
              <w:left w:val="nil"/>
              <w:bottom w:val="nil"/>
              <w:right w:val="nil"/>
            </w:tcBorders>
            <w:shd w:val="clear" w:color="auto" w:fill="auto"/>
            <w:noWrap/>
            <w:vAlign w:val="bottom"/>
            <w:hideMark/>
          </w:tcPr>
          <w:p w:rsidR="00455DEE" w:rsidRPr="002D28ED" w:rsidRDefault="00455DEE" w:rsidP="00FA5866">
            <w:pPr>
              <w:spacing w:after="0" w:line="240" w:lineRule="auto"/>
              <w:ind w:firstLine="0"/>
              <w:jc w:val="left"/>
              <w:rPr>
                <w:rFonts w:ascii="Calibri" w:eastAsia="Times New Roman" w:hAnsi="Calibri"/>
                <w:color w:val="000000"/>
                <w:sz w:val="22"/>
                <w:szCs w:val="22"/>
                <w:lang w:val="en-US"/>
              </w:rPr>
            </w:pPr>
          </w:p>
        </w:tc>
        <w:tc>
          <w:tcPr>
            <w:tcW w:w="1182" w:type="pct"/>
            <w:tcBorders>
              <w:top w:val="single" w:sz="4" w:space="0" w:color="auto"/>
              <w:left w:val="nil"/>
              <w:bottom w:val="nil"/>
              <w:right w:val="nil"/>
            </w:tcBorders>
            <w:shd w:val="clear" w:color="auto" w:fill="auto"/>
            <w:noWrap/>
            <w:vAlign w:val="bottom"/>
            <w:hideMark/>
          </w:tcPr>
          <w:p w:rsidR="00455DEE" w:rsidRPr="002D28ED" w:rsidRDefault="00455DEE" w:rsidP="00FA5866">
            <w:pPr>
              <w:spacing w:after="0" w:line="240" w:lineRule="auto"/>
              <w:ind w:firstLine="0"/>
              <w:jc w:val="left"/>
              <w:rPr>
                <w:rFonts w:ascii="Calibri" w:eastAsia="Times New Roman" w:hAnsi="Calibri"/>
                <w:color w:val="000000"/>
                <w:sz w:val="22"/>
                <w:szCs w:val="22"/>
                <w:lang w:val="en-US"/>
              </w:rPr>
            </w:pPr>
          </w:p>
        </w:tc>
        <w:tc>
          <w:tcPr>
            <w:tcW w:w="1182" w:type="pct"/>
            <w:tcBorders>
              <w:top w:val="single" w:sz="4" w:space="0" w:color="auto"/>
              <w:left w:val="nil"/>
              <w:bottom w:val="nil"/>
              <w:right w:val="nil"/>
            </w:tcBorders>
            <w:shd w:val="clear" w:color="auto" w:fill="auto"/>
            <w:noWrap/>
            <w:vAlign w:val="bottom"/>
            <w:hideMark/>
          </w:tcPr>
          <w:p w:rsidR="00455DEE" w:rsidRPr="002D28ED" w:rsidRDefault="00455DEE" w:rsidP="00FA5866">
            <w:pPr>
              <w:spacing w:after="0" w:line="240" w:lineRule="auto"/>
              <w:ind w:firstLine="0"/>
              <w:jc w:val="left"/>
              <w:rPr>
                <w:rFonts w:ascii="Calibri" w:eastAsia="Times New Roman" w:hAnsi="Calibri"/>
                <w:color w:val="000000"/>
                <w:sz w:val="22"/>
                <w:szCs w:val="22"/>
                <w:lang w:val="en-US"/>
              </w:rPr>
            </w:pPr>
          </w:p>
        </w:tc>
      </w:tr>
      <w:tr w:rsidR="00455DEE" w:rsidRPr="002D28ED" w:rsidTr="00455DEE">
        <w:trPr>
          <w:trHeight w:val="300"/>
        </w:trPr>
        <w:tc>
          <w:tcPr>
            <w:tcW w:w="1454" w:type="pct"/>
            <w:tcBorders>
              <w:top w:val="nil"/>
              <w:left w:val="nil"/>
              <w:bottom w:val="nil"/>
              <w:right w:val="nil"/>
            </w:tcBorders>
            <w:shd w:val="clear" w:color="auto" w:fill="auto"/>
            <w:noWrap/>
            <w:vAlign w:val="center"/>
            <w:hideMark/>
          </w:tcPr>
          <w:p w:rsidR="00455DEE" w:rsidRPr="002D28ED" w:rsidRDefault="00455DEE" w:rsidP="00FA5866">
            <w:pPr>
              <w:spacing w:after="0" w:line="240" w:lineRule="auto"/>
              <w:ind w:firstLine="0"/>
              <w:jc w:val="left"/>
              <w:rPr>
                <w:rFonts w:eastAsia="Times New Roman"/>
                <w:color w:val="000000"/>
                <w:sz w:val="20"/>
                <w:szCs w:val="20"/>
                <w:lang w:val="en-US"/>
              </w:rPr>
            </w:pPr>
            <w:proofErr w:type="spellStart"/>
            <w:r w:rsidRPr="002D28ED">
              <w:rPr>
                <w:rFonts w:eastAsia="Times New Roman"/>
                <w:color w:val="000000"/>
                <w:sz w:val="20"/>
                <w:szCs w:val="20"/>
                <w:lang w:val="en-US"/>
              </w:rPr>
              <w:t>Obs</w:t>
            </w:r>
            <w:proofErr w:type="spellEnd"/>
          </w:p>
        </w:tc>
        <w:tc>
          <w:tcPr>
            <w:tcW w:w="1182" w:type="pct"/>
            <w:tcBorders>
              <w:top w:val="nil"/>
              <w:left w:val="nil"/>
              <w:bottom w:val="nil"/>
              <w:right w:val="nil"/>
            </w:tcBorders>
            <w:shd w:val="clear" w:color="auto" w:fill="auto"/>
            <w:noWrap/>
            <w:vAlign w:val="center"/>
            <w:hideMark/>
          </w:tcPr>
          <w:p w:rsidR="00455DEE" w:rsidRPr="002D28ED" w:rsidRDefault="00455DEE" w:rsidP="00FA5866">
            <w:pPr>
              <w:spacing w:after="0" w:line="240" w:lineRule="auto"/>
              <w:ind w:firstLine="0"/>
              <w:jc w:val="center"/>
              <w:rPr>
                <w:rFonts w:eastAsia="Times New Roman"/>
                <w:color w:val="000000"/>
                <w:sz w:val="20"/>
                <w:szCs w:val="20"/>
                <w:lang w:val="en-US"/>
              </w:rPr>
            </w:pPr>
            <w:r w:rsidRPr="002D28ED">
              <w:rPr>
                <w:rFonts w:eastAsia="Times New Roman"/>
                <w:color w:val="000000"/>
                <w:sz w:val="20"/>
                <w:szCs w:val="20"/>
                <w:lang w:val="en-US"/>
              </w:rPr>
              <w:t>307</w:t>
            </w:r>
          </w:p>
        </w:tc>
        <w:tc>
          <w:tcPr>
            <w:tcW w:w="1182" w:type="pct"/>
            <w:tcBorders>
              <w:top w:val="nil"/>
              <w:left w:val="nil"/>
              <w:bottom w:val="nil"/>
              <w:right w:val="nil"/>
            </w:tcBorders>
            <w:shd w:val="clear" w:color="auto" w:fill="auto"/>
            <w:noWrap/>
            <w:vAlign w:val="center"/>
            <w:hideMark/>
          </w:tcPr>
          <w:p w:rsidR="00455DEE" w:rsidRPr="002D28ED" w:rsidRDefault="00455DEE" w:rsidP="00FA5866">
            <w:pPr>
              <w:spacing w:after="0" w:line="240" w:lineRule="auto"/>
              <w:ind w:firstLine="0"/>
              <w:jc w:val="center"/>
              <w:rPr>
                <w:rFonts w:eastAsia="Times New Roman"/>
                <w:color w:val="000000"/>
                <w:sz w:val="20"/>
                <w:szCs w:val="20"/>
                <w:lang w:val="en-US"/>
              </w:rPr>
            </w:pPr>
            <w:r w:rsidRPr="002D28ED">
              <w:rPr>
                <w:rFonts w:eastAsia="Times New Roman"/>
                <w:color w:val="000000"/>
                <w:sz w:val="20"/>
                <w:szCs w:val="20"/>
                <w:lang w:val="en-US"/>
              </w:rPr>
              <w:t>255</w:t>
            </w:r>
          </w:p>
        </w:tc>
        <w:tc>
          <w:tcPr>
            <w:tcW w:w="1182" w:type="pct"/>
            <w:tcBorders>
              <w:top w:val="nil"/>
              <w:left w:val="nil"/>
              <w:bottom w:val="nil"/>
              <w:right w:val="nil"/>
            </w:tcBorders>
            <w:shd w:val="clear" w:color="auto" w:fill="auto"/>
            <w:noWrap/>
            <w:vAlign w:val="center"/>
            <w:hideMark/>
          </w:tcPr>
          <w:p w:rsidR="00455DEE" w:rsidRPr="002D28ED" w:rsidRDefault="00455DEE" w:rsidP="00FA5866">
            <w:pPr>
              <w:spacing w:after="0" w:line="240" w:lineRule="auto"/>
              <w:ind w:firstLine="0"/>
              <w:jc w:val="center"/>
              <w:rPr>
                <w:rFonts w:eastAsia="Times New Roman"/>
                <w:color w:val="000000"/>
                <w:sz w:val="20"/>
                <w:szCs w:val="20"/>
                <w:lang w:val="en-US"/>
              </w:rPr>
            </w:pPr>
            <w:r w:rsidRPr="002D28ED">
              <w:rPr>
                <w:rFonts w:eastAsia="Times New Roman"/>
                <w:color w:val="000000"/>
                <w:sz w:val="20"/>
                <w:szCs w:val="20"/>
                <w:lang w:val="en-US"/>
              </w:rPr>
              <w:t>212</w:t>
            </w:r>
          </w:p>
        </w:tc>
      </w:tr>
      <w:tr w:rsidR="00455DEE" w:rsidRPr="002D28ED" w:rsidTr="00455DEE">
        <w:trPr>
          <w:trHeight w:val="300"/>
        </w:trPr>
        <w:tc>
          <w:tcPr>
            <w:tcW w:w="1454" w:type="pct"/>
            <w:tcBorders>
              <w:top w:val="nil"/>
              <w:left w:val="nil"/>
              <w:bottom w:val="nil"/>
              <w:right w:val="nil"/>
            </w:tcBorders>
            <w:shd w:val="clear" w:color="auto" w:fill="auto"/>
            <w:noWrap/>
            <w:vAlign w:val="center"/>
            <w:hideMark/>
          </w:tcPr>
          <w:p w:rsidR="00455DEE" w:rsidRPr="002D28ED" w:rsidRDefault="00455DEE" w:rsidP="00FA5866">
            <w:pPr>
              <w:spacing w:after="0" w:line="240" w:lineRule="auto"/>
              <w:ind w:firstLine="0"/>
              <w:jc w:val="left"/>
              <w:rPr>
                <w:rFonts w:eastAsia="Times New Roman"/>
                <w:color w:val="000000"/>
                <w:sz w:val="20"/>
                <w:szCs w:val="20"/>
                <w:lang w:val="en-US"/>
              </w:rPr>
            </w:pPr>
            <w:proofErr w:type="spellStart"/>
            <w:r w:rsidRPr="002D28ED">
              <w:rPr>
                <w:rFonts w:eastAsia="Times New Roman"/>
                <w:color w:val="000000"/>
                <w:sz w:val="20"/>
                <w:szCs w:val="20"/>
                <w:lang w:val="en-US"/>
              </w:rPr>
              <w:t>Média</w:t>
            </w:r>
            <w:proofErr w:type="spellEnd"/>
          </w:p>
        </w:tc>
        <w:tc>
          <w:tcPr>
            <w:tcW w:w="1182" w:type="pct"/>
            <w:tcBorders>
              <w:top w:val="nil"/>
              <w:left w:val="nil"/>
              <w:bottom w:val="nil"/>
              <w:right w:val="nil"/>
            </w:tcBorders>
            <w:shd w:val="clear" w:color="auto" w:fill="auto"/>
            <w:noWrap/>
            <w:vAlign w:val="center"/>
            <w:hideMark/>
          </w:tcPr>
          <w:p w:rsidR="00455DEE" w:rsidRPr="002D28ED" w:rsidRDefault="00455DEE" w:rsidP="00FA5866">
            <w:pPr>
              <w:spacing w:after="0" w:line="240" w:lineRule="auto"/>
              <w:ind w:firstLine="0"/>
              <w:jc w:val="center"/>
              <w:rPr>
                <w:rFonts w:eastAsia="Times New Roman"/>
                <w:color w:val="000000"/>
                <w:sz w:val="20"/>
                <w:szCs w:val="20"/>
                <w:lang w:val="en-US"/>
              </w:rPr>
            </w:pPr>
            <w:r w:rsidRPr="002D28ED">
              <w:rPr>
                <w:rFonts w:eastAsia="Times New Roman"/>
                <w:color w:val="000000"/>
                <w:sz w:val="20"/>
                <w:szCs w:val="20"/>
                <w:lang w:val="en-US"/>
              </w:rPr>
              <w:t>1680984</w:t>
            </w:r>
          </w:p>
        </w:tc>
        <w:tc>
          <w:tcPr>
            <w:tcW w:w="1182" w:type="pct"/>
            <w:tcBorders>
              <w:top w:val="nil"/>
              <w:left w:val="nil"/>
              <w:bottom w:val="nil"/>
              <w:right w:val="nil"/>
            </w:tcBorders>
            <w:shd w:val="clear" w:color="auto" w:fill="auto"/>
            <w:noWrap/>
            <w:vAlign w:val="center"/>
            <w:hideMark/>
          </w:tcPr>
          <w:p w:rsidR="00455DEE" w:rsidRPr="002D28ED" w:rsidRDefault="00455DEE" w:rsidP="00FA5866">
            <w:pPr>
              <w:spacing w:after="0" w:line="240" w:lineRule="auto"/>
              <w:ind w:firstLine="0"/>
              <w:jc w:val="center"/>
              <w:rPr>
                <w:rFonts w:eastAsia="Times New Roman"/>
                <w:color w:val="000000"/>
                <w:sz w:val="20"/>
                <w:szCs w:val="20"/>
                <w:lang w:val="en-US"/>
              </w:rPr>
            </w:pPr>
            <w:r w:rsidRPr="002D28ED">
              <w:rPr>
                <w:rFonts w:eastAsia="Times New Roman"/>
                <w:color w:val="000000"/>
                <w:sz w:val="20"/>
                <w:szCs w:val="20"/>
                <w:lang w:val="en-US"/>
              </w:rPr>
              <w:t>3652034</w:t>
            </w:r>
          </w:p>
        </w:tc>
        <w:tc>
          <w:tcPr>
            <w:tcW w:w="1182" w:type="pct"/>
            <w:tcBorders>
              <w:top w:val="nil"/>
              <w:left w:val="nil"/>
              <w:bottom w:val="nil"/>
              <w:right w:val="nil"/>
            </w:tcBorders>
            <w:shd w:val="clear" w:color="auto" w:fill="auto"/>
            <w:noWrap/>
            <w:vAlign w:val="center"/>
            <w:hideMark/>
          </w:tcPr>
          <w:p w:rsidR="00455DEE" w:rsidRPr="002D28ED" w:rsidRDefault="00455DEE" w:rsidP="00FA5866">
            <w:pPr>
              <w:spacing w:after="0" w:line="240" w:lineRule="auto"/>
              <w:ind w:firstLine="0"/>
              <w:jc w:val="center"/>
              <w:rPr>
                <w:rFonts w:eastAsia="Times New Roman"/>
                <w:color w:val="000000"/>
                <w:sz w:val="20"/>
                <w:szCs w:val="20"/>
                <w:lang w:val="en-US"/>
              </w:rPr>
            </w:pPr>
            <w:r w:rsidRPr="002D28ED">
              <w:rPr>
                <w:rFonts w:eastAsia="Times New Roman"/>
                <w:color w:val="000000"/>
                <w:sz w:val="20"/>
                <w:szCs w:val="20"/>
                <w:lang w:val="en-US"/>
              </w:rPr>
              <w:t>7448511</w:t>
            </w:r>
          </w:p>
        </w:tc>
      </w:tr>
      <w:tr w:rsidR="00455DEE" w:rsidRPr="002D28ED" w:rsidTr="00455DEE">
        <w:trPr>
          <w:trHeight w:val="300"/>
        </w:trPr>
        <w:tc>
          <w:tcPr>
            <w:tcW w:w="1454" w:type="pct"/>
            <w:tcBorders>
              <w:top w:val="nil"/>
              <w:left w:val="nil"/>
              <w:bottom w:val="single" w:sz="4" w:space="0" w:color="auto"/>
              <w:right w:val="nil"/>
            </w:tcBorders>
            <w:shd w:val="clear" w:color="auto" w:fill="auto"/>
            <w:noWrap/>
            <w:vAlign w:val="center"/>
            <w:hideMark/>
          </w:tcPr>
          <w:p w:rsidR="00455DEE" w:rsidRPr="002D28ED" w:rsidRDefault="00455DEE" w:rsidP="00FA5866">
            <w:pPr>
              <w:spacing w:after="0" w:line="240" w:lineRule="auto"/>
              <w:ind w:firstLine="0"/>
              <w:jc w:val="left"/>
              <w:rPr>
                <w:rFonts w:eastAsia="Times New Roman"/>
                <w:color w:val="000000"/>
                <w:sz w:val="20"/>
                <w:szCs w:val="20"/>
                <w:lang w:val="en-US"/>
              </w:rPr>
            </w:pPr>
            <w:proofErr w:type="spellStart"/>
            <w:r w:rsidRPr="002D28ED">
              <w:rPr>
                <w:rFonts w:eastAsia="Times New Roman"/>
                <w:color w:val="000000"/>
                <w:sz w:val="20"/>
                <w:szCs w:val="20"/>
                <w:lang w:val="en-US"/>
              </w:rPr>
              <w:t>DesvioPadrão</w:t>
            </w:r>
            <w:proofErr w:type="spellEnd"/>
          </w:p>
        </w:tc>
        <w:tc>
          <w:tcPr>
            <w:tcW w:w="1182" w:type="pct"/>
            <w:tcBorders>
              <w:top w:val="nil"/>
              <w:left w:val="nil"/>
              <w:bottom w:val="single" w:sz="4" w:space="0" w:color="auto"/>
              <w:right w:val="nil"/>
            </w:tcBorders>
            <w:shd w:val="clear" w:color="auto" w:fill="auto"/>
            <w:noWrap/>
            <w:vAlign w:val="center"/>
            <w:hideMark/>
          </w:tcPr>
          <w:p w:rsidR="00455DEE" w:rsidRPr="002D28ED" w:rsidRDefault="00455DEE" w:rsidP="00FA5866">
            <w:pPr>
              <w:spacing w:after="0" w:line="240" w:lineRule="auto"/>
              <w:ind w:firstLine="0"/>
              <w:jc w:val="center"/>
              <w:rPr>
                <w:rFonts w:eastAsia="Times New Roman"/>
                <w:color w:val="000000"/>
                <w:sz w:val="20"/>
                <w:szCs w:val="20"/>
                <w:lang w:val="en-US"/>
              </w:rPr>
            </w:pPr>
            <w:r w:rsidRPr="002D28ED">
              <w:rPr>
                <w:rFonts w:eastAsia="Times New Roman"/>
                <w:color w:val="000000"/>
                <w:sz w:val="20"/>
                <w:szCs w:val="20"/>
                <w:lang w:val="en-US"/>
              </w:rPr>
              <w:t>1.97E+07</w:t>
            </w:r>
          </w:p>
        </w:tc>
        <w:tc>
          <w:tcPr>
            <w:tcW w:w="1182" w:type="pct"/>
            <w:tcBorders>
              <w:top w:val="nil"/>
              <w:left w:val="nil"/>
              <w:bottom w:val="single" w:sz="4" w:space="0" w:color="auto"/>
              <w:right w:val="nil"/>
            </w:tcBorders>
            <w:shd w:val="clear" w:color="auto" w:fill="auto"/>
            <w:noWrap/>
            <w:vAlign w:val="center"/>
            <w:hideMark/>
          </w:tcPr>
          <w:p w:rsidR="00455DEE" w:rsidRPr="002D28ED" w:rsidRDefault="00455DEE" w:rsidP="00FA5866">
            <w:pPr>
              <w:spacing w:after="0" w:line="240" w:lineRule="auto"/>
              <w:ind w:firstLine="0"/>
              <w:jc w:val="center"/>
              <w:rPr>
                <w:rFonts w:eastAsia="Times New Roman"/>
                <w:color w:val="000000"/>
                <w:sz w:val="20"/>
                <w:szCs w:val="20"/>
                <w:lang w:val="en-US"/>
              </w:rPr>
            </w:pPr>
            <w:r w:rsidRPr="002D28ED">
              <w:rPr>
                <w:rFonts w:eastAsia="Times New Roman"/>
                <w:color w:val="000000"/>
                <w:sz w:val="20"/>
                <w:szCs w:val="20"/>
                <w:lang w:val="en-US"/>
              </w:rPr>
              <w:t>3.83E+07</w:t>
            </w:r>
          </w:p>
        </w:tc>
        <w:tc>
          <w:tcPr>
            <w:tcW w:w="1182" w:type="pct"/>
            <w:tcBorders>
              <w:top w:val="nil"/>
              <w:left w:val="nil"/>
              <w:bottom w:val="single" w:sz="4" w:space="0" w:color="auto"/>
              <w:right w:val="nil"/>
            </w:tcBorders>
            <w:shd w:val="clear" w:color="auto" w:fill="auto"/>
            <w:noWrap/>
            <w:vAlign w:val="center"/>
            <w:hideMark/>
          </w:tcPr>
          <w:p w:rsidR="00455DEE" w:rsidRPr="002D28ED" w:rsidRDefault="00455DEE" w:rsidP="00FA5866">
            <w:pPr>
              <w:spacing w:after="0" w:line="240" w:lineRule="auto"/>
              <w:ind w:firstLine="0"/>
              <w:jc w:val="center"/>
              <w:rPr>
                <w:rFonts w:eastAsia="Times New Roman"/>
                <w:color w:val="000000"/>
                <w:sz w:val="20"/>
                <w:szCs w:val="20"/>
                <w:lang w:val="en-US"/>
              </w:rPr>
            </w:pPr>
            <w:r w:rsidRPr="002D28ED">
              <w:rPr>
                <w:rFonts w:eastAsia="Times New Roman"/>
                <w:color w:val="000000"/>
                <w:sz w:val="20"/>
                <w:szCs w:val="20"/>
                <w:lang w:val="en-US"/>
              </w:rPr>
              <w:t>8.16E+07</w:t>
            </w:r>
          </w:p>
        </w:tc>
      </w:tr>
      <w:tr w:rsidR="00455DEE" w:rsidRPr="002D28ED" w:rsidTr="00455DEE">
        <w:trPr>
          <w:trHeight w:val="300"/>
        </w:trPr>
        <w:tc>
          <w:tcPr>
            <w:tcW w:w="1454" w:type="pct"/>
            <w:tcBorders>
              <w:top w:val="single" w:sz="4" w:space="0" w:color="auto"/>
              <w:left w:val="nil"/>
              <w:bottom w:val="nil"/>
              <w:right w:val="nil"/>
            </w:tcBorders>
            <w:shd w:val="clear" w:color="auto" w:fill="auto"/>
            <w:noWrap/>
            <w:vAlign w:val="center"/>
            <w:hideMark/>
          </w:tcPr>
          <w:p w:rsidR="00455DEE" w:rsidRPr="00C8719C" w:rsidRDefault="00455DEE" w:rsidP="00FA5866">
            <w:pPr>
              <w:spacing w:after="0" w:line="240" w:lineRule="auto"/>
              <w:ind w:firstLine="0"/>
              <w:jc w:val="left"/>
              <w:rPr>
                <w:rFonts w:eastAsia="Times New Roman"/>
                <w:b/>
                <w:color w:val="000000"/>
                <w:sz w:val="20"/>
                <w:szCs w:val="20"/>
                <w:lang w:val="en-US"/>
              </w:rPr>
            </w:pPr>
            <w:proofErr w:type="spellStart"/>
            <w:r w:rsidRPr="00C8719C">
              <w:rPr>
                <w:rFonts w:eastAsia="Times New Roman"/>
                <w:b/>
                <w:color w:val="000000"/>
                <w:sz w:val="20"/>
                <w:szCs w:val="20"/>
                <w:lang w:val="en-US"/>
              </w:rPr>
              <w:t>Fusionadas</w:t>
            </w:r>
            <w:proofErr w:type="spellEnd"/>
          </w:p>
        </w:tc>
        <w:tc>
          <w:tcPr>
            <w:tcW w:w="1182" w:type="pct"/>
            <w:tcBorders>
              <w:top w:val="single" w:sz="4" w:space="0" w:color="auto"/>
              <w:left w:val="nil"/>
              <w:bottom w:val="nil"/>
              <w:right w:val="nil"/>
            </w:tcBorders>
            <w:shd w:val="clear" w:color="auto" w:fill="auto"/>
            <w:noWrap/>
            <w:vAlign w:val="bottom"/>
            <w:hideMark/>
          </w:tcPr>
          <w:p w:rsidR="00455DEE" w:rsidRPr="002D28ED" w:rsidRDefault="00455DEE" w:rsidP="00FA5866">
            <w:pPr>
              <w:spacing w:after="0" w:line="240" w:lineRule="auto"/>
              <w:ind w:firstLine="0"/>
              <w:jc w:val="center"/>
              <w:rPr>
                <w:rFonts w:ascii="Calibri" w:eastAsia="Times New Roman" w:hAnsi="Calibri"/>
                <w:color w:val="000000"/>
                <w:sz w:val="22"/>
                <w:szCs w:val="22"/>
                <w:lang w:val="en-US"/>
              </w:rPr>
            </w:pPr>
          </w:p>
        </w:tc>
        <w:tc>
          <w:tcPr>
            <w:tcW w:w="1182" w:type="pct"/>
            <w:tcBorders>
              <w:top w:val="single" w:sz="4" w:space="0" w:color="auto"/>
              <w:left w:val="nil"/>
              <w:bottom w:val="nil"/>
              <w:right w:val="nil"/>
            </w:tcBorders>
            <w:shd w:val="clear" w:color="auto" w:fill="auto"/>
            <w:noWrap/>
            <w:vAlign w:val="bottom"/>
            <w:hideMark/>
          </w:tcPr>
          <w:p w:rsidR="00455DEE" w:rsidRPr="002D28ED" w:rsidRDefault="00455DEE" w:rsidP="00FA5866">
            <w:pPr>
              <w:spacing w:after="0" w:line="240" w:lineRule="auto"/>
              <w:ind w:firstLine="0"/>
              <w:jc w:val="center"/>
              <w:rPr>
                <w:rFonts w:ascii="Calibri" w:eastAsia="Times New Roman" w:hAnsi="Calibri"/>
                <w:color w:val="000000"/>
                <w:sz w:val="22"/>
                <w:szCs w:val="22"/>
                <w:lang w:val="en-US"/>
              </w:rPr>
            </w:pPr>
          </w:p>
        </w:tc>
        <w:tc>
          <w:tcPr>
            <w:tcW w:w="1182" w:type="pct"/>
            <w:tcBorders>
              <w:top w:val="single" w:sz="4" w:space="0" w:color="auto"/>
              <w:left w:val="nil"/>
              <w:bottom w:val="nil"/>
              <w:right w:val="nil"/>
            </w:tcBorders>
            <w:shd w:val="clear" w:color="auto" w:fill="auto"/>
            <w:noWrap/>
            <w:vAlign w:val="bottom"/>
            <w:hideMark/>
          </w:tcPr>
          <w:p w:rsidR="00455DEE" w:rsidRPr="002D28ED" w:rsidRDefault="00455DEE" w:rsidP="00FA5866">
            <w:pPr>
              <w:spacing w:after="0" w:line="240" w:lineRule="auto"/>
              <w:ind w:firstLine="0"/>
              <w:jc w:val="center"/>
              <w:rPr>
                <w:rFonts w:ascii="Calibri" w:eastAsia="Times New Roman" w:hAnsi="Calibri"/>
                <w:color w:val="000000"/>
                <w:sz w:val="22"/>
                <w:szCs w:val="22"/>
                <w:lang w:val="en-US"/>
              </w:rPr>
            </w:pPr>
          </w:p>
        </w:tc>
      </w:tr>
      <w:tr w:rsidR="00455DEE" w:rsidRPr="002D28ED" w:rsidTr="00455DEE">
        <w:trPr>
          <w:trHeight w:val="300"/>
        </w:trPr>
        <w:tc>
          <w:tcPr>
            <w:tcW w:w="1454" w:type="pct"/>
            <w:tcBorders>
              <w:top w:val="nil"/>
              <w:left w:val="nil"/>
              <w:bottom w:val="nil"/>
              <w:right w:val="nil"/>
            </w:tcBorders>
            <w:shd w:val="clear" w:color="auto" w:fill="auto"/>
            <w:noWrap/>
            <w:vAlign w:val="center"/>
            <w:hideMark/>
          </w:tcPr>
          <w:p w:rsidR="00455DEE" w:rsidRPr="002D28ED" w:rsidRDefault="00455DEE" w:rsidP="00FA5866">
            <w:pPr>
              <w:spacing w:after="0" w:line="240" w:lineRule="auto"/>
              <w:ind w:firstLine="0"/>
              <w:jc w:val="left"/>
              <w:rPr>
                <w:rFonts w:eastAsia="Times New Roman"/>
                <w:color w:val="000000"/>
                <w:sz w:val="20"/>
                <w:szCs w:val="20"/>
                <w:lang w:val="en-US"/>
              </w:rPr>
            </w:pPr>
            <w:proofErr w:type="spellStart"/>
            <w:r w:rsidRPr="002D28ED">
              <w:rPr>
                <w:rFonts w:eastAsia="Times New Roman"/>
                <w:color w:val="000000"/>
                <w:sz w:val="20"/>
                <w:szCs w:val="20"/>
                <w:lang w:val="en-US"/>
              </w:rPr>
              <w:t>Obs</w:t>
            </w:r>
            <w:proofErr w:type="spellEnd"/>
          </w:p>
        </w:tc>
        <w:tc>
          <w:tcPr>
            <w:tcW w:w="1182" w:type="pct"/>
            <w:tcBorders>
              <w:top w:val="nil"/>
              <w:left w:val="nil"/>
              <w:bottom w:val="nil"/>
              <w:right w:val="nil"/>
            </w:tcBorders>
            <w:shd w:val="clear" w:color="auto" w:fill="auto"/>
            <w:noWrap/>
            <w:vAlign w:val="center"/>
            <w:hideMark/>
          </w:tcPr>
          <w:p w:rsidR="00455DEE" w:rsidRPr="002D28ED" w:rsidRDefault="00455DEE" w:rsidP="00FA5866">
            <w:pPr>
              <w:spacing w:after="0" w:line="240" w:lineRule="auto"/>
              <w:ind w:firstLine="0"/>
              <w:jc w:val="center"/>
              <w:rPr>
                <w:rFonts w:eastAsia="Times New Roman"/>
                <w:color w:val="000000"/>
                <w:sz w:val="20"/>
                <w:szCs w:val="20"/>
                <w:lang w:val="en-US"/>
              </w:rPr>
            </w:pPr>
            <w:r w:rsidRPr="002D28ED">
              <w:rPr>
                <w:rFonts w:eastAsia="Times New Roman"/>
                <w:color w:val="000000"/>
                <w:sz w:val="20"/>
                <w:szCs w:val="20"/>
                <w:lang w:val="en-US"/>
              </w:rPr>
              <w:t>36</w:t>
            </w:r>
          </w:p>
        </w:tc>
        <w:tc>
          <w:tcPr>
            <w:tcW w:w="1182" w:type="pct"/>
            <w:tcBorders>
              <w:top w:val="nil"/>
              <w:left w:val="nil"/>
              <w:bottom w:val="nil"/>
              <w:right w:val="nil"/>
            </w:tcBorders>
            <w:shd w:val="clear" w:color="auto" w:fill="auto"/>
            <w:noWrap/>
            <w:vAlign w:val="center"/>
            <w:hideMark/>
          </w:tcPr>
          <w:p w:rsidR="00455DEE" w:rsidRPr="002D28ED" w:rsidRDefault="00455DEE" w:rsidP="00FA5866">
            <w:pPr>
              <w:spacing w:after="0" w:line="240" w:lineRule="auto"/>
              <w:ind w:firstLine="0"/>
              <w:jc w:val="center"/>
              <w:rPr>
                <w:rFonts w:eastAsia="Times New Roman"/>
                <w:color w:val="000000"/>
                <w:sz w:val="20"/>
                <w:szCs w:val="20"/>
                <w:lang w:val="en-US"/>
              </w:rPr>
            </w:pPr>
            <w:r w:rsidRPr="002D28ED">
              <w:rPr>
                <w:rFonts w:eastAsia="Times New Roman"/>
                <w:color w:val="000000"/>
                <w:sz w:val="20"/>
                <w:szCs w:val="20"/>
                <w:lang w:val="en-US"/>
              </w:rPr>
              <w:t>31</w:t>
            </w:r>
          </w:p>
        </w:tc>
        <w:tc>
          <w:tcPr>
            <w:tcW w:w="1182" w:type="pct"/>
            <w:tcBorders>
              <w:top w:val="nil"/>
              <w:left w:val="nil"/>
              <w:bottom w:val="nil"/>
              <w:right w:val="nil"/>
            </w:tcBorders>
            <w:shd w:val="clear" w:color="auto" w:fill="auto"/>
            <w:noWrap/>
            <w:vAlign w:val="center"/>
            <w:hideMark/>
          </w:tcPr>
          <w:p w:rsidR="00455DEE" w:rsidRPr="002D28ED" w:rsidRDefault="00455DEE" w:rsidP="00FA5866">
            <w:pPr>
              <w:spacing w:after="0" w:line="240" w:lineRule="auto"/>
              <w:ind w:firstLine="0"/>
              <w:jc w:val="center"/>
              <w:rPr>
                <w:rFonts w:eastAsia="Times New Roman"/>
                <w:color w:val="000000"/>
                <w:sz w:val="20"/>
                <w:szCs w:val="20"/>
                <w:lang w:val="en-US"/>
              </w:rPr>
            </w:pPr>
            <w:r w:rsidRPr="002D28ED">
              <w:rPr>
                <w:rFonts w:eastAsia="Times New Roman"/>
                <w:color w:val="000000"/>
                <w:sz w:val="20"/>
                <w:szCs w:val="20"/>
                <w:lang w:val="en-US"/>
              </w:rPr>
              <w:t>27</w:t>
            </w:r>
          </w:p>
        </w:tc>
      </w:tr>
      <w:tr w:rsidR="00455DEE" w:rsidRPr="002D28ED" w:rsidTr="00455DEE">
        <w:trPr>
          <w:trHeight w:val="300"/>
        </w:trPr>
        <w:tc>
          <w:tcPr>
            <w:tcW w:w="1454" w:type="pct"/>
            <w:tcBorders>
              <w:top w:val="nil"/>
              <w:left w:val="nil"/>
              <w:bottom w:val="nil"/>
              <w:right w:val="nil"/>
            </w:tcBorders>
            <w:shd w:val="clear" w:color="auto" w:fill="auto"/>
            <w:noWrap/>
            <w:vAlign w:val="center"/>
            <w:hideMark/>
          </w:tcPr>
          <w:p w:rsidR="00455DEE" w:rsidRPr="002D28ED" w:rsidRDefault="00455DEE" w:rsidP="00FA5866">
            <w:pPr>
              <w:spacing w:after="0" w:line="240" w:lineRule="auto"/>
              <w:ind w:firstLine="0"/>
              <w:jc w:val="left"/>
              <w:rPr>
                <w:rFonts w:eastAsia="Times New Roman"/>
                <w:color w:val="000000"/>
                <w:sz w:val="20"/>
                <w:szCs w:val="20"/>
                <w:lang w:val="en-US"/>
              </w:rPr>
            </w:pPr>
            <w:proofErr w:type="spellStart"/>
            <w:r w:rsidRPr="002D28ED">
              <w:rPr>
                <w:rFonts w:eastAsia="Times New Roman"/>
                <w:color w:val="000000"/>
                <w:sz w:val="20"/>
                <w:szCs w:val="20"/>
                <w:lang w:val="en-US"/>
              </w:rPr>
              <w:t>Média</w:t>
            </w:r>
            <w:proofErr w:type="spellEnd"/>
          </w:p>
        </w:tc>
        <w:tc>
          <w:tcPr>
            <w:tcW w:w="1182" w:type="pct"/>
            <w:tcBorders>
              <w:top w:val="nil"/>
              <w:left w:val="nil"/>
              <w:bottom w:val="nil"/>
              <w:right w:val="nil"/>
            </w:tcBorders>
            <w:shd w:val="clear" w:color="auto" w:fill="auto"/>
            <w:noWrap/>
            <w:vAlign w:val="center"/>
            <w:hideMark/>
          </w:tcPr>
          <w:p w:rsidR="00455DEE" w:rsidRPr="002D28ED" w:rsidRDefault="00455DEE" w:rsidP="00FA5866">
            <w:pPr>
              <w:spacing w:after="0" w:line="240" w:lineRule="auto"/>
              <w:ind w:firstLine="0"/>
              <w:jc w:val="center"/>
              <w:rPr>
                <w:rFonts w:eastAsia="Times New Roman"/>
                <w:color w:val="000000"/>
                <w:sz w:val="20"/>
                <w:szCs w:val="20"/>
                <w:lang w:val="en-US"/>
              </w:rPr>
            </w:pPr>
            <w:r w:rsidRPr="002D28ED">
              <w:rPr>
                <w:rFonts w:eastAsia="Times New Roman"/>
                <w:color w:val="000000"/>
                <w:sz w:val="20"/>
                <w:szCs w:val="20"/>
                <w:lang w:val="en-US"/>
              </w:rPr>
              <w:t>-7.52E+08</w:t>
            </w:r>
          </w:p>
        </w:tc>
        <w:tc>
          <w:tcPr>
            <w:tcW w:w="1182" w:type="pct"/>
            <w:tcBorders>
              <w:top w:val="nil"/>
              <w:left w:val="nil"/>
              <w:bottom w:val="nil"/>
              <w:right w:val="nil"/>
            </w:tcBorders>
            <w:shd w:val="clear" w:color="auto" w:fill="auto"/>
            <w:noWrap/>
            <w:vAlign w:val="center"/>
            <w:hideMark/>
          </w:tcPr>
          <w:p w:rsidR="00455DEE" w:rsidRPr="002D28ED" w:rsidRDefault="00455DEE" w:rsidP="00FA5866">
            <w:pPr>
              <w:spacing w:after="0" w:line="240" w:lineRule="auto"/>
              <w:ind w:firstLine="0"/>
              <w:jc w:val="center"/>
              <w:rPr>
                <w:rFonts w:eastAsia="Times New Roman"/>
                <w:color w:val="000000"/>
                <w:sz w:val="20"/>
                <w:szCs w:val="20"/>
                <w:lang w:val="en-US"/>
              </w:rPr>
            </w:pPr>
            <w:r w:rsidRPr="002D28ED">
              <w:rPr>
                <w:rFonts w:eastAsia="Times New Roman"/>
                <w:color w:val="000000"/>
                <w:sz w:val="20"/>
                <w:szCs w:val="20"/>
                <w:lang w:val="en-US"/>
              </w:rPr>
              <w:t>-1.40E+09</w:t>
            </w:r>
          </w:p>
        </w:tc>
        <w:tc>
          <w:tcPr>
            <w:tcW w:w="1182" w:type="pct"/>
            <w:tcBorders>
              <w:top w:val="nil"/>
              <w:left w:val="nil"/>
              <w:bottom w:val="nil"/>
              <w:right w:val="nil"/>
            </w:tcBorders>
            <w:shd w:val="clear" w:color="auto" w:fill="auto"/>
            <w:noWrap/>
            <w:vAlign w:val="center"/>
            <w:hideMark/>
          </w:tcPr>
          <w:p w:rsidR="00455DEE" w:rsidRPr="002D28ED" w:rsidRDefault="00455DEE" w:rsidP="00FA5866">
            <w:pPr>
              <w:spacing w:after="0" w:line="240" w:lineRule="auto"/>
              <w:ind w:firstLine="0"/>
              <w:jc w:val="center"/>
              <w:rPr>
                <w:rFonts w:eastAsia="Times New Roman"/>
                <w:color w:val="000000"/>
                <w:sz w:val="20"/>
                <w:szCs w:val="20"/>
                <w:lang w:val="en-US"/>
              </w:rPr>
            </w:pPr>
            <w:r w:rsidRPr="002D28ED">
              <w:rPr>
                <w:rFonts w:eastAsia="Times New Roman"/>
                <w:color w:val="000000"/>
                <w:sz w:val="20"/>
                <w:szCs w:val="20"/>
                <w:lang w:val="en-US"/>
              </w:rPr>
              <w:t>-1.80E+09</w:t>
            </w:r>
          </w:p>
        </w:tc>
      </w:tr>
      <w:tr w:rsidR="00455DEE" w:rsidRPr="002D28ED" w:rsidTr="00455DEE">
        <w:trPr>
          <w:trHeight w:val="300"/>
        </w:trPr>
        <w:tc>
          <w:tcPr>
            <w:tcW w:w="1454" w:type="pct"/>
            <w:tcBorders>
              <w:top w:val="nil"/>
              <w:left w:val="nil"/>
              <w:bottom w:val="single" w:sz="4" w:space="0" w:color="auto"/>
              <w:right w:val="nil"/>
            </w:tcBorders>
            <w:shd w:val="clear" w:color="auto" w:fill="auto"/>
            <w:noWrap/>
            <w:vAlign w:val="center"/>
            <w:hideMark/>
          </w:tcPr>
          <w:p w:rsidR="00455DEE" w:rsidRPr="002D28ED" w:rsidRDefault="00455DEE" w:rsidP="00FA5866">
            <w:pPr>
              <w:spacing w:after="0" w:line="240" w:lineRule="auto"/>
              <w:ind w:firstLine="0"/>
              <w:jc w:val="left"/>
              <w:rPr>
                <w:rFonts w:eastAsia="Times New Roman"/>
                <w:color w:val="000000"/>
                <w:sz w:val="20"/>
                <w:szCs w:val="20"/>
                <w:lang w:val="en-US"/>
              </w:rPr>
            </w:pPr>
            <w:proofErr w:type="spellStart"/>
            <w:r w:rsidRPr="002D28ED">
              <w:rPr>
                <w:rFonts w:eastAsia="Times New Roman"/>
                <w:color w:val="000000"/>
                <w:sz w:val="20"/>
                <w:szCs w:val="20"/>
                <w:lang w:val="en-US"/>
              </w:rPr>
              <w:t>DesvioPadrão</w:t>
            </w:r>
            <w:proofErr w:type="spellEnd"/>
          </w:p>
        </w:tc>
        <w:tc>
          <w:tcPr>
            <w:tcW w:w="1182" w:type="pct"/>
            <w:tcBorders>
              <w:top w:val="nil"/>
              <w:left w:val="nil"/>
              <w:bottom w:val="single" w:sz="4" w:space="0" w:color="auto"/>
              <w:right w:val="nil"/>
            </w:tcBorders>
            <w:shd w:val="clear" w:color="auto" w:fill="auto"/>
            <w:noWrap/>
            <w:vAlign w:val="center"/>
            <w:hideMark/>
          </w:tcPr>
          <w:p w:rsidR="00455DEE" w:rsidRPr="002D28ED" w:rsidRDefault="00455DEE" w:rsidP="00FA5866">
            <w:pPr>
              <w:spacing w:after="0" w:line="240" w:lineRule="auto"/>
              <w:ind w:firstLine="0"/>
              <w:jc w:val="center"/>
              <w:rPr>
                <w:rFonts w:eastAsia="Times New Roman"/>
                <w:color w:val="000000"/>
                <w:sz w:val="20"/>
                <w:szCs w:val="20"/>
                <w:lang w:val="en-US"/>
              </w:rPr>
            </w:pPr>
            <w:r w:rsidRPr="002D28ED">
              <w:rPr>
                <w:rFonts w:eastAsia="Times New Roman"/>
                <w:color w:val="000000"/>
                <w:sz w:val="20"/>
                <w:szCs w:val="20"/>
                <w:lang w:val="en-US"/>
              </w:rPr>
              <w:t>4.47E+09</w:t>
            </w:r>
          </w:p>
        </w:tc>
        <w:tc>
          <w:tcPr>
            <w:tcW w:w="1182" w:type="pct"/>
            <w:tcBorders>
              <w:top w:val="nil"/>
              <w:left w:val="nil"/>
              <w:bottom w:val="single" w:sz="4" w:space="0" w:color="auto"/>
              <w:right w:val="nil"/>
            </w:tcBorders>
            <w:shd w:val="clear" w:color="auto" w:fill="auto"/>
            <w:noWrap/>
            <w:vAlign w:val="center"/>
            <w:hideMark/>
          </w:tcPr>
          <w:p w:rsidR="00455DEE" w:rsidRPr="002D28ED" w:rsidRDefault="00455DEE" w:rsidP="00FA5866">
            <w:pPr>
              <w:spacing w:after="0" w:line="240" w:lineRule="auto"/>
              <w:ind w:firstLine="0"/>
              <w:jc w:val="center"/>
              <w:rPr>
                <w:rFonts w:eastAsia="Times New Roman"/>
                <w:color w:val="000000"/>
                <w:sz w:val="20"/>
                <w:szCs w:val="20"/>
                <w:lang w:val="en-US"/>
              </w:rPr>
            </w:pPr>
            <w:r w:rsidRPr="002D28ED">
              <w:rPr>
                <w:rFonts w:eastAsia="Times New Roman"/>
                <w:color w:val="000000"/>
                <w:sz w:val="20"/>
                <w:szCs w:val="20"/>
                <w:lang w:val="en-US"/>
              </w:rPr>
              <w:t>7.74E+09</w:t>
            </w:r>
          </w:p>
        </w:tc>
        <w:tc>
          <w:tcPr>
            <w:tcW w:w="1182" w:type="pct"/>
            <w:tcBorders>
              <w:top w:val="nil"/>
              <w:left w:val="nil"/>
              <w:bottom w:val="single" w:sz="4" w:space="0" w:color="auto"/>
              <w:right w:val="nil"/>
            </w:tcBorders>
            <w:shd w:val="clear" w:color="auto" w:fill="auto"/>
            <w:noWrap/>
            <w:vAlign w:val="center"/>
            <w:hideMark/>
          </w:tcPr>
          <w:p w:rsidR="00455DEE" w:rsidRPr="002D28ED" w:rsidRDefault="00455DEE" w:rsidP="00FA5866">
            <w:pPr>
              <w:spacing w:after="0" w:line="240" w:lineRule="auto"/>
              <w:ind w:firstLine="0"/>
              <w:jc w:val="center"/>
              <w:rPr>
                <w:rFonts w:eastAsia="Times New Roman"/>
                <w:color w:val="000000"/>
                <w:sz w:val="20"/>
                <w:szCs w:val="20"/>
                <w:lang w:val="en-US"/>
              </w:rPr>
            </w:pPr>
            <w:r w:rsidRPr="002D28ED">
              <w:rPr>
                <w:rFonts w:eastAsia="Times New Roman"/>
                <w:color w:val="000000"/>
                <w:sz w:val="20"/>
                <w:szCs w:val="20"/>
                <w:lang w:val="en-US"/>
              </w:rPr>
              <w:t>9.35E+09</w:t>
            </w:r>
          </w:p>
        </w:tc>
      </w:tr>
      <w:tr w:rsidR="00455DEE" w:rsidRPr="002D28ED" w:rsidTr="00455DEE">
        <w:trPr>
          <w:trHeight w:val="300"/>
        </w:trPr>
        <w:tc>
          <w:tcPr>
            <w:tcW w:w="1454" w:type="pct"/>
            <w:tcBorders>
              <w:top w:val="single" w:sz="4" w:space="0" w:color="auto"/>
              <w:left w:val="nil"/>
              <w:bottom w:val="nil"/>
              <w:right w:val="nil"/>
            </w:tcBorders>
            <w:shd w:val="clear" w:color="auto" w:fill="auto"/>
            <w:noWrap/>
            <w:vAlign w:val="center"/>
            <w:hideMark/>
          </w:tcPr>
          <w:p w:rsidR="00455DEE" w:rsidRPr="00C8719C" w:rsidRDefault="00455DEE" w:rsidP="00FA5866">
            <w:pPr>
              <w:spacing w:after="0" w:line="240" w:lineRule="auto"/>
              <w:ind w:firstLine="0"/>
              <w:jc w:val="left"/>
              <w:rPr>
                <w:rFonts w:eastAsia="Times New Roman"/>
                <w:b/>
                <w:color w:val="000000"/>
                <w:sz w:val="20"/>
                <w:szCs w:val="20"/>
                <w:lang w:val="en-US"/>
              </w:rPr>
            </w:pPr>
            <w:proofErr w:type="spellStart"/>
            <w:r w:rsidRPr="00C8719C">
              <w:rPr>
                <w:rFonts w:eastAsia="Times New Roman"/>
                <w:b/>
                <w:color w:val="000000"/>
                <w:sz w:val="20"/>
                <w:szCs w:val="20"/>
                <w:lang w:val="en-US"/>
              </w:rPr>
              <w:t>Adquiridas</w:t>
            </w:r>
            <w:proofErr w:type="spellEnd"/>
          </w:p>
        </w:tc>
        <w:tc>
          <w:tcPr>
            <w:tcW w:w="1182" w:type="pct"/>
            <w:tcBorders>
              <w:top w:val="single" w:sz="4" w:space="0" w:color="auto"/>
              <w:left w:val="nil"/>
              <w:bottom w:val="nil"/>
              <w:right w:val="nil"/>
            </w:tcBorders>
            <w:shd w:val="clear" w:color="auto" w:fill="auto"/>
            <w:noWrap/>
            <w:vAlign w:val="bottom"/>
            <w:hideMark/>
          </w:tcPr>
          <w:p w:rsidR="00455DEE" w:rsidRPr="002D28ED" w:rsidRDefault="00455DEE" w:rsidP="00FA5866">
            <w:pPr>
              <w:spacing w:after="0" w:line="240" w:lineRule="auto"/>
              <w:ind w:firstLine="0"/>
              <w:jc w:val="center"/>
              <w:rPr>
                <w:rFonts w:ascii="Calibri" w:eastAsia="Times New Roman" w:hAnsi="Calibri"/>
                <w:color w:val="000000"/>
                <w:sz w:val="22"/>
                <w:szCs w:val="22"/>
                <w:lang w:val="en-US"/>
              </w:rPr>
            </w:pPr>
          </w:p>
        </w:tc>
        <w:tc>
          <w:tcPr>
            <w:tcW w:w="1182" w:type="pct"/>
            <w:tcBorders>
              <w:top w:val="single" w:sz="4" w:space="0" w:color="auto"/>
              <w:left w:val="nil"/>
              <w:bottom w:val="nil"/>
              <w:right w:val="nil"/>
            </w:tcBorders>
            <w:shd w:val="clear" w:color="auto" w:fill="auto"/>
            <w:noWrap/>
            <w:vAlign w:val="bottom"/>
            <w:hideMark/>
          </w:tcPr>
          <w:p w:rsidR="00455DEE" w:rsidRPr="002D28ED" w:rsidRDefault="00455DEE" w:rsidP="00FA5866">
            <w:pPr>
              <w:spacing w:after="0" w:line="240" w:lineRule="auto"/>
              <w:ind w:firstLine="0"/>
              <w:jc w:val="center"/>
              <w:rPr>
                <w:rFonts w:ascii="Calibri" w:eastAsia="Times New Roman" w:hAnsi="Calibri"/>
                <w:color w:val="000000"/>
                <w:sz w:val="22"/>
                <w:szCs w:val="22"/>
                <w:lang w:val="en-US"/>
              </w:rPr>
            </w:pPr>
          </w:p>
        </w:tc>
        <w:tc>
          <w:tcPr>
            <w:tcW w:w="1182" w:type="pct"/>
            <w:tcBorders>
              <w:top w:val="single" w:sz="4" w:space="0" w:color="auto"/>
              <w:left w:val="nil"/>
              <w:bottom w:val="nil"/>
              <w:right w:val="nil"/>
            </w:tcBorders>
            <w:shd w:val="clear" w:color="auto" w:fill="auto"/>
            <w:noWrap/>
            <w:vAlign w:val="bottom"/>
            <w:hideMark/>
          </w:tcPr>
          <w:p w:rsidR="00455DEE" w:rsidRPr="002D28ED" w:rsidRDefault="00455DEE" w:rsidP="00FA5866">
            <w:pPr>
              <w:spacing w:after="0" w:line="240" w:lineRule="auto"/>
              <w:ind w:firstLine="0"/>
              <w:jc w:val="center"/>
              <w:rPr>
                <w:rFonts w:ascii="Calibri" w:eastAsia="Times New Roman" w:hAnsi="Calibri"/>
                <w:color w:val="000000"/>
                <w:sz w:val="22"/>
                <w:szCs w:val="22"/>
                <w:lang w:val="en-US"/>
              </w:rPr>
            </w:pPr>
          </w:p>
        </w:tc>
      </w:tr>
      <w:tr w:rsidR="00455DEE" w:rsidRPr="002D28ED" w:rsidTr="00455DEE">
        <w:trPr>
          <w:trHeight w:val="300"/>
        </w:trPr>
        <w:tc>
          <w:tcPr>
            <w:tcW w:w="1454" w:type="pct"/>
            <w:tcBorders>
              <w:top w:val="nil"/>
              <w:left w:val="nil"/>
              <w:bottom w:val="nil"/>
              <w:right w:val="nil"/>
            </w:tcBorders>
            <w:shd w:val="clear" w:color="auto" w:fill="auto"/>
            <w:noWrap/>
            <w:vAlign w:val="center"/>
            <w:hideMark/>
          </w:tcPr>
          <w:p w:rsidR="00455DEE" w:rsidRPr="002D28ED" w:rsidRDefault="00455DEE" w:rsidP="00FA5866">
            <w:pPr>
              <w:spacing w:after="0" w:line="240" w:lineRule="auto"/>
              <w:ind w:firstLine="0"/>
              <w:jc w:val="left"/>
              <w:rPr>
                <w:rFonts w:eastAsia="Times New Roman"/>
                <w:color w:val="000000"/>
                <w:sz w:val="22"/>
                <w:szCs w:val="22"/>
                <w:lang w:val="en-US"/>
              </w:rPr>
            </w:pPr>
            <w:proofErr w:type="spellStart"/>
            <w:r w:rsidRPr="002D28ED">
              <w:rPr>
                <w:rFonts w:eastAsia="Times New Roman"/>
                <w:color w:val="000000"/>
                <w:sz w:val="22"/>
                <w:szCs w:val="22"/>
                <w:lang w:val="en-US"/>
              </w:rPr>
              <w:t>Obs</w:t>
            </w:r>
            <w:proofErr w:type="spellEnd"/>
          </w:p>
        </w:tc>
        <w:tc>
          <w:tcPr>
            <w:tcW w:w="1182" w:type="pct"/>
            <w:tcBorders>
              <w:top w:val="nil"/>
              <w:left w:val="nil"/>
              <w:bottom w:val="nil"/>
              <w:right w:val="nil"/>
            </w:tcBorders>
            <w:shd w:val="clear" w:color="auto" w:fill="auto"/>
            <w:noWrap/>
            <w:vAlign w:val="center"/>
            <w:hideMark/>
          </w:tcPr>
          <w:p w:rsidR="00455DEE" w:rsidRPr="002D28ED" w:rsidRDefault="00455DEE" w:rsidP="00FA5866">
            <w:pPr>
              <w:spacing w:after="0" w:line="240" w:lineRule="auto"/>
              <w:ind w:firstLine="0"/>
              <w:jc w:val="center"/>
              <w:rPr>
                <w:rFonts w:eastAsia="Times New Roman"/>
                <w:color w:val="000000"/>
                <w:sz w:val="22"/>
                <w:szCs w:val="22"/>
                <w:lang w:val="en-US"/>
              </w:rPr>
            </w:pPr>
            <w:r w:rsidRPr="002D28ED">
              <w:rPr>
                <w:rFonts w:eastAsia="Times New Roman"/>
                <w:color w:val="000000"/>
                <w:sz w:val="22"/>
                <w:szCs w:val="22"/>
                <w:lang w:val="en-US"/>
              </w:rPr>
              <w:t>24</w:t>
            </w:r>
          </w:p>
        </w:tc>
        <w:tc>
          <w:tcPr>
            <w:tcW w:w="1182" w:type="pct"/>
            <w:tcBorders>
              <w:top w:val="nil"/>
              <w:left w:val="nil"/>
              <w:bottom w:val="nil"/>
              <w:right w:val="nil"/>
            </w:tcBorders>
            <w:shd w:val="clear" w:color="auto" w:fill="auto"/>
            <w:noWrap/>
            <w:vAlign w:val="center"/>
            <w:hideMark/>
          </w:tcPr>
          <w:p w:rsidR="00455DEE" w:rsidRPr="002D28ED" w:rsidRDefault="00455DEE" w:rsidP="00FA5866">
            <w:pPr>
              <w:spacing w:after="0" w:line="240" w:lineRule="auto"/>
              <w:ind w:firstLine="0"/>
              <w:jc w:val="center"/>
              <w:rPr>
                <w:rFonts w:eastAsia="Times New Roman"/>
                <w:color w:val="000000"/>
                <w:sz w:val="22"/>
                <w:szCs w:val="22"/>
                <w:lang w:val="en-US"/>
              </w:rPr>
            </w:pPr>
            <w:r w:rsidRPr="002D28ED">
              <w:rPr>
                <w:rFonts w:eastAsia="Times New Roman"/>
                <w:color w:val="000000"/>
                <w:sz w:val="22"/>
                <w:szCs w:val="22"/>
                <w:lang w:val="en-US"/>
              </w:rPr>
              <w:t>21</w:t>
            </w:r>
          </w:p>
        </w:tc>
        <w:tc>
          <w:tcPr>
            <w:tcW w:w="1182" w:type="pct"/>
            <w:tcBorders>
              <w:top w:val="nil"/>
              <w:left w:val="nil"/>
              <w:bottom w:val="nil"/>
              <w:right w:val="nil"/>
            </w:tcBorders>
            <w:shd w:val="clear" w:color="auto" w:fill="auto"/>
            <w:noWrap/>
            <w:vAlign w:val="center"/>
            <w:hideMark/>
          </w:tcPr>
          <w:p w:rsidR="00455DEE" w:rsidRPr="002D28ED" w:rsidRDefault="00455DEE" w:rsidP="00FA5866">
            <w:pPr>
              <w:spacing w:after="0" w:line="240" w:lineRule="auto"/>
              <w:ind w:firstLine="0"/>
              <w:jc w:val="center"/>
              <w:rPr>
                <w:rFonts w:eastAsia="Times New Roman"/>
                <w:color w:val="000000"/>
                <w:sz w:val="22"/>
                <w:szCs w:val="22"/>
                <w:lang w:val="en-US"/>
              </w:rPr>
            </w:pPr>
            <w:r w:rsidRPr="002D28ED">
              <w:rPr>
                <w:rFonts w:eastAsia="Times New Roman"/>
                <w:color w:val="000000"/>
                <w:sz w:val="22"/>
                <w:szCs w:val="22"/>
                <w:lang w:val="en-US"/>
              </w:rPr>
              <w:t>19</w:t>
            </w:r>
          </w:p>
        </w:tc>
      </w:tr>
      <w:tr w:rsidR="00455DEE" w:rsidRPr="002D28ED" w:rsidTr="00455DEE">
        <w:trPr>
          <w:trHeight w:val="300"/>
        </w:trPr>
        <w:tc>
          <w:tcPr>
            <w:tcW w:w="1454" w:type="pct"/>
            <w:tcBorders>
              <w:top w:val="nil"/>
              <w:left w:val="nil"/>
              <w:bottom w:val="nil"/>
              <w:right w:val="nil"/>
            </w:tcBorders>
            <w:shd w:val="clear" w:color="auto" w:fill="auto"/>
            <w:noWrap/>
            <w:vAlign w:val="center"/>
            <w:hideMark/>
          </w:tcPr>
          <w:p w:rsidR="00455DEE" w:rsidRPr="002D28ED" w:rsidRDefault="00455DEE" w:rsidP="00FA5866">
            <w:pPr>
              <w:spacing w:after="0" w:line="240" w:lineRule="auto"/>
              <w:ind w:firstLine="0"/>
              <w:jc w:val="left"/>
              <w:rPr>
                <w:rFonts w:eastAsia="Times New Roman"/>
                <w:color w:val="000000"/>
                <w:sz w:val="22"/>
                <w:szCs w:val="22"/>
                <w:lang w:val="en-US"/>
              </w:rPr>
            </w:pPr>
            <w:proofErr w:type="spellStart"/>
            <w:r w:rsidRPr="002D28ED">
              <w:rPr>
                <w:rFonts w:eastAsia="Times New Roman"/>
                <w:color w:val="000000"/>
                <w:sz w:val="22"/>
                <w:szCs w:val="22"/>
                <w:lang w:val="en-US"/>
              </w:rPr>
              <w:t>Média</w:t>
            </w:r>
            <w:proofErr w:type="spellEnd"/>
          </w:p>
        </w:tc>
        <w:tc>
          <w:tcPr>
            <w:tcW w:w="1182" w:type="pct"/>
            <w:tcBorders>
              <w:top w:val="nil"/>
              <w:left w:val="nil"/>
              <w:bottom w:val="nil"/>
              <w:right w:val="nil"/>
            </w:tcBorders>
            <w:shd w:val="clear" w:color="auto" w:fill="auto"/>
            <w:noWrap/>
            <w:vAlign w:val="center"/>
            <w:hideMark/>
          </w:tcPr>
          <w:p w:rsidR="00455DEE" w:rsidRPr="002D28ED" w:rsidRDefault="00455DEE" w:rsidP="00FA5866">
            <w:pPr>
              <w:spacing w:after="0" w:line="240" w:lineRule="auto"/>
              <w:ind w:firstLine="0"/>
              <w:jc w:val="center"/>
              <w:rPr>
                <w:rFonts w:eastAsia="Times New Roman"/>
                <w:color w:val="000000"/>
                <w:sz w:val="22"/>
                <w:szCs w:val="22"/>
                <w:lang w:val="en-US"/>
              </w:rPr>
            </w:pPr>
            <w:r w:rsidRPr="002D28ED">
              <w:rPr>
                <w:rFonts w:eastAsia="Times New Roman"/>
                <w:color w:val="000000"/>
                <w:sz w:val="22"/>
                <w:szCs w:val="22"/>
                <w:lang w:val="en-US"/>
              </w:rPr>
              <w:t>-236918.8</w:t>
            </w:r>
          </w:p>
        </w:tc>
        <w:tc>
          <w:tcPr>
            <w:tcW w:w="1182" w:type="pct"/>
            <w:tcBorders>
              <w:top w:val="nil"/>
              <w:left w:val="nil"/>
              <w:bottom w:val="nil"/>
              <w:right w:val="nil"/>
            </w:tcBorders>
            <w:shd w:val="clear" w:color="auto" w:fill="auto"/>
            <w:noWrap/>
            <w:vAlign w:val="center"/>
            <w:hideMark/>
          </w:tcPr>
          <w:p w:rsidR="00455DEE" w:rsidRPr="002D28ED" w:rsidRDefault="00455DEE" w:rsidP="00FA5866">
            <w:pPr>
              <w:spacing w:after="0" w:line="240" w:lineRule="auto"/>
              <w:ind w:firstLine="0"/>
              <w:jc w:val="center"/>
              <w:rPr>
                <w:rFonts w:eastAsia="Times New Roman"/>
                <w:color w:val="000000"/>
                <w:sz w:val="22"/>
                <w:szCs w:val="22"/>
                <w:lang w:val="en-US"/>
              </w:rPr>
            </w:pPr>
            <w:r w:rsidRPr="002D28ED">
              <w:rPr>
                <w:rFonts w:eastAsia="Times New Roman"/>
                <w:color w:val="000000"/>
                <w:sz w:val="22"/>
                <w:szCs w:val="22"/>
                <w:lang w:val="en-US"/>
              </w:rPr>
              <w:t>-547309.6</w:t>
            </w:r>
          </w:p>
        </w:tc>
        <w:tc>
          <w:tcPr>
            <w:tcW w:w="1182" w:type="pct"/>
            <w:tcBorders>
              <w:top w:val="nil"/>
              <w:left w:val="nil"/>
              <w:bottom w:val="nil"/>
              <w:right w:val="nil"/>
            </w:tcBorders>
            <w:shd w:val="clear" w:color="auto" w:fill="auto"/>
            <w:noWrap/>
            <w:vAlign w:val="center"/>
            <w:hideMark/>
          </w:tcPr>
          <w:p w:rsidR="00455DEE" w:rsidRPr="002D28ED" w:rsidRDefault="00455DEE" w:rsidP="00FA5866">
            <w:pPr>
              <w:spacing w:after="0" w:line="240" w:lineRule="auto"/>
              <w:ind w:firstLine="0"/>
              <w:jc w:val="center"/>
              <w:rPr>
                <w:rFonts w:eastAsia="Times New Roman"/>
                <w:color w:val="000000"/>
                <w:sz w:val="22"/>
                <w:szCs w:val="22"/>
                <w:lang w:val="en-US"/>
              </w:rPr>
            </w:pPr>
            <w:r w:rsidRPr="002D28ED">
              <w:rPr>
                <w:rFonts w:eastAsia="Times New Roman"/>
                <w:color w:val="000000"/>
                <w:sz w:val="22"/>
                <w:szCs w:val="22"/>
                <w:lang w:val="en-US"/>
              </w:rPr>
              <w:t>-712615.8</w:t>
            </w:r>
          </w:p>
        </w:tc>
      </w:tr>
      <w:tr w:rsidR="00455DEE" w:rsidRPr="002D28ED" w:rsidTr="00455DEE">
        <w:trPr>
          <w:trHeight w:val="300"/>
        </w:trPr>
        <w:tc>
          <w:tcPr>
            <w:tcW w:w="1454" w:type="pct"/>
            <w:tcBorders>
              <w:top w:val="nil"/>
              <w:left w:val="nil"/>
              <w:bottom w:val="single" w:sz="4" w:space="0" w:color="auto"/>
              <w:right w:val="nil"/>
            </w:tcBorders>
            <w:shd w:val="clear" w:color="auto" w:fill="auto"/>
            <w:noWrap/>
            <w:vAlign w:val="center"/>
            <w:hideMark/>
          </w:tcPr>
          <w:p w:rsidR="00455DEE" w:rsidRPr="002D28ED" w:rsidRDefault="00455DEE" w:rsidP="00FA5866">
            <w:pPr>
              <w:spacing w:after="0" w:line="240" w:lineRule="auto"/>
              <w:ind w:firstLine="0"/>
              <w:jc w:val="left"/>
              <w:rPr>
                <w:rFonts w:eastAsia="Times New Roman"/>
                <w:color w:val="000000"/>
                <w:sz w:val="22"/>
                <w:szCs w:val="22"/>
                <w:lang w:val="en-US"/>
              </w:rPr>
            </w:pPr>
            <w:proofErr w:type="spellStart"/>
            <w:r w:rsidRPr="002D28ED">
              <w:rPr>
                <w:rFonts w:eastAsia="Times New Roman"/>
                <w:color w:val="000000"/>
                <w:sz w:val="22"/>
                <w:szCs w:val="22"/>
                <w:lang w:val="en-US"/>
              </w:rPr>
              <w:t>Desv</w:t>
            </w:r>
            <w:proofErr w:type="spellEnd"/>
            <w:r w:rsidRPr="002D28ED">
              <w:rPr>
                <w:rFonts w:eastAsia="Times New Roman"/>
                <w:color w:val="000000"/>
                <w:sz w:val="22"/>
                <w:szCs w:val="22"/>
                <w:lang w:val="en-US"/>
              </w:rPr>
              <w:t xml:space="preserve">. </w:t>
            </w:r>
            <w:proofErr w:type="spellStart"/>
            <w:r w:rsidRPr="002D28ED">
              <w:rPr>
                <w:rFonts w:eastAsia="Times New Roman"/>
                <w:color w:val="000000"/>
                <w:sz w:val="22"/>
                <w:szCs w:val="22"/>
                <w:lang w:val="en-US"/>
              </w:rPr>
              <w:t>Padrão</w:t>
            </w:r>
            <w:proofErr w:type="spellEnd"/>
          </w:p>
        </w:tc>
        <w:tc>
          <w:tcPr>
            <w:tcW w:w="1182" w:type="pct"/>
            <w:tcBorders>
              <w:top w:val="nil"/>
              <w:left w:val="nil"/>
              <w:bottom w:val="single" w:sz="4" w:space="0" w:color="auto"/>
              <w:right w:val="nil"/>
            </w:tcBorders>
            <w:shd w:val="clear" w:color="auto" w:fill="auto"/>
            <w:noWrap/>
            <w:vAlign w:val="center"/>
            <w:hideMark/>
          </w:tcPr>
          <w:p w:rsidR="00455DEE" w:rsidRPr="002D28ED" w:rsidRDefault="00455DEE" w:rsidP="00FA5866">
            <w:pPr>
              <w:spacing w:after="0" w:line="240" w:lineRule="auto"/>
              <w:ind w:firstLine="0"/>
              <w:jc w:val="center"/>
              <w:rPr>
                <w:rFonts w:eastAsia="Times New Roman"/>
                <w:color w:val="000000"/>
                <w:sz w:val="22"/>
                <w:szCs w:val="22"/>
                <w:lang w:val="en-US"/>
              </w:rPr>
            </w:pPr>
            <w:r w:rsidRPr="002D28ED">
              <w:rPr>
                <w:rFonts w:eastAsia="Times New Roman"/>
                <w:color w:val="000000"/>
                <w:sz w:val="22"/>
                <w:szCs w:val="22"/>
                <w:lang w:val="en-US"/>
              </w:rPr>
              <w:t>2264489</w:t>
            </w:r>
          </w:p>
        </w:tc>
        <w:tc>
          <w:tcPr>
            <w:tcW w:w="1182" w:type="pct"/>
            <w:tcBorders>
              <w:top w:val="nil"/>
              <w:left w:val="nil"/>
              <w:bottom w:val="single" w:sz="4" w:space="0" w:color="auto"/>
              <w:right w:val="nil"/>
            </w:tcBorders>
            <w:shd w:val="clear" w:color="auto" w:fill="auto"/>
            <w:noWrap/>
            <w:vAlign w:val="center"/>
            <w:hideMark/>
          </w:tcPr>
          <w:p w:rsidR="00455DEE" w:rsidRPr="002D28ED" w:rsidRDefault="00455DEE" w:rsidP="00FA5866">
            <w:pPr>
              <w:spacing w:after="0" w:line="240" w:lineRule="auto"/>
              <w:ind w:firstLine="0"/>
              <w:jc w:val="center"/>
              <w:rPr>
                <w:rFonts w:eastAsia="Times New Roman"/>
                <w:color w:val="000000"/>
                <w:sz w:val="22"/>
                <w:szCs w:val="22"/>
                <w:lang w:val="en-US"/>
              </w:rPr>
            </w:pPr>
            <w:r w:rsidRPr="002D28ED">
              <w:rPr>
                <w:rFonts w:eastAsia="Times New Roman"/>
                <w:color w:val="000000"/>
                <w:sz w:val="22"/>
                <w:szCs w:val="22"/>
                <w:lang w:val="en-US"/>
              </w:rPr>
              <w:t>3402496</w:t>
            </w:r>
          </w:p>
        </w:tc>
        <w:tc>
          <w:tcPr>
            <w:tcW w:w="1182" w:type="pct"/>
            <w:tcBorders>
              <w:top w:val="nil"/>
              <w:left w:val="nil"/>
              <w:bottom w:val="single" w:sz="4" w:space="0" w:color="auto"/>
              <w:right w:val="nil"/>
            </w:tcBorders>
            <w:shd w:val="clear" w:color="auto" w:fill="auto"/>
            <w:noWrap/>
            <w:vAlign w:val="center"/>
            <w:hideMark/>
          </w:tcPr>
          <w:p w:rsidR="00455DEE" w:rsidRPr="002D28ED" w:rsidRDefault="00455DEE" w:rsidP="00FA5866">
            <w:pPr>
              <w:spacing w:after="0" w:line="240" w:lineRule="auto"/>
              <w:ind w:firstLine="0"/>
              <w:jc w:val="center"/>
              <w:rPr>
                <w:rFonts w:eastAsia="Times New Roman"/>
                <w:color w:val="000000"/>
                <w:sz w:val="22"/>
                <w:szCs w:val="22"/>
                <w:lang w:val="en-US"/>
              </w:rPr>
            </w:pPr>
            <w:r w:rsidRPr="002D28ED">
              <w:rPr>
                <w:rFonts w:eastAsia="Times New Roman"/>
                <w:color w:val="000000"/>
                <w:sz w:val="22"/>
                <w:szCs w:val="22"/>
                <w:lang w:val="en-US"/>
              </w:rPr>
              <w:t>4380406</w:t>
            </w:r>
          </w:p>
        </w:tc>
      </w:tr>
    </w:tbl>
    <w:p w:rsidR="00455DEE" w:rsidRPr="00522B4B" w:rsidRDefault="00455DEE" w:rsidP="00FA5866">
      <w:pPr>
        <w:spacing w:after="0" w:line="240" w:lineRule="auto"/>
        <w:ind w:firstLine="0"/>
        <w:jc w:val="left"/>
        <w:rPr>
          <w:sz w:val="20"/>
          <w:szCs w:val="20"/>
        </w:rPr>
      </w:pPr>
      <w:r w:rsidRPr="00AA282F">
        <w:rPr>
          <w:sz w:val="20"/>
          <w:szCs w:val="20"/>
        </w:rPr>
        <w:t>Fonte: Elaboração Própria</w:t>
      </w:r>
    </w:p>
    <w:p w:rsidR="00455DEE" w:rsidRDefault="00455DEE" w:rsidP="00FA5866">
      <w:pPr>
        <w:pStyle w:val="Legenda"/>
        <w:keepNext/>
        <w:spacing w:after="0"/>
        <w:ind w:firstLine="0"/>
        <w:rPr>
          <w:b w:val="0"/>
          <w:color w:val="auto"/>
          <w:sz w:val="24"/>
          <w:szCs w:val="24"/>
        </w:rPr>
      </w:pPr>
      <w:bookmarkStart w:id="7" w:name="_Toc379458534"/>
    </w:p>
    <w:p w:rsidR="00455DEE" w:rsidRPr="00455DEE" w:rsidRDefault="00455DEE" w:rsidP="00FA5866">
      <w:pPr>
        <w:spacing w:after="0" w:line="240" w:lineRule="auto"/>
      </w:pPr>
    </w:p>
    <w:p w:rsidR="00455DEE" w:rsidRPr="00E03585" w:rsidRDefault="00455DEE" w:rsidP="00FA5866">
      <w:pPr>
        <w:pStyle w:val="Legenda"/>
        <w:keepNext/>
        <w:spacing w:after="0"/>
        <w:ind w:firstLine="0"/>
        <w:rPr>
          <w:b w:val="0"/>
          <w:color w:val="auto"/>
          <w:sz w:val="24"/>
          <w:szCs w:val="24"/>
        </w:rPr>
      </w:pPr>
      <w:r w:rsidRPr="00E03585">
        <w:rPr>
          <w:b w:val="0"/>
          <w:color w:val="auto"/>
          <w:sz w:val="24"/>
          <w:szCs w:val="24"/>
        </w:rPr>
        <w:t xml:space="preserve">Tabela </w:t>
      </w:r>
      <w:r>
        <w:rPr>
          <w:b w:val="0"/>
          <w:color w:val="auto"/>
          <w:sz w:val="24"/>
          <w:szCs w:val="24"/>
        </w:rPr>
        <w:t>3</w:t>
      </w:r>
      <w:r w:rsidRPr="00E03585">
        <w:rPr>
          <w:b w:val="0"/>
          <w:color w:val="auto"/>
          <w:sz w:val="24"/>
          <w:szCs w:val="24"/>
        </w:rPr>
        <w:t>: Estatí</w:t>
      </w:r>
      <w:r>
        <w:rPr>
          <w:b w:val="0"/>
          <w:color w:val="auto"/>
          <w:sz w:val="24"/>
          <w:szCs w:val="24"/>
        </w:rPr>
        <w:t xml:space="preserve">sticas descritivas - Efeito </w:t>
      </w:r>
      <w:r>
        <w:rPr>
          <w:b w:val="0"/>
          <w:i/>
          <w:color w:val="auto"/>
          <w:sz w:val="24"/>
          <w:szCs w:val="24"/>
        </w:rPr>
        <w:t xml:space="preserve">Ex </w:t>
      </w:r>
      <w:proofErr w:type="spellStart"/>
      <w:r>
        <w:rPr>
          <w:b w:val="0"/>
          <w:i/>
          <w:color w:val="auto"/>
          <w:sz w:val="24"/>
          <w:szCs w:val="24"/>
        </w:rPr>
        <w:t>p</w:t>
      </w:r>
      <w:r w:rsidRPr="00D61F9D">
        <w:rPr>
          <w:b w:val="0"/>
          <w:i/>
          <w:color w:val="auto"/>
          <w:sz w:val="24"/>
          <w:szCs w:val="24"/>
        </w:rPr>
        <w:t>ost</w:t>
      </w:r>
      <w:proofErr w:type="spellEnd"/>
      <w:r w:rsidRPr="00E03585">
        <w:rPr>
          <w:b w:val="0"/>
          <w:color w:val="auto"/>
          <w:sz w:val="24"/>
          <w:szCs w:val="24"/>
        </w:rPr>
        <w:t xml:space="preserve"> no Lucro das Rivais (em milhões de reais)</w:t>
      </w:r>
      <w:bookmarkEnd w:id="7"/>
    </w:p>
    <w:tbl>
      <w:tblPr>
        <w:tblW w:w="5000" w:type="pct"/>
        <w:jc w:val="center"/>
        <w:tblLook w:val="04A0"/>
      </w:tblPr>
      <w:tblGrid>
        <w:gridCol w:w="3030"/>
        <w:gridCol w:w="2113"/>
        <w:gridCol w:w="2745"/>
        <w:gridCol w:w="2532"/>
      </w:tblGrid>
      <w:tr w:rsidR="00455DEE" w:rsidRPr="0068411E" w:rsidTr="00455DEE">
        <w:trPr>
          <w:trHeight w:val="384"/>
          <w:jc w:val="center"/>
        </w:trPr>
        <w:tc>
          <w:tcPr>
            <w:tcW w:w="1454" w:type="pct"/>
            <w:tcBorders>
              <w:top w:val="single" w:sz="4" w:space="0" w:color="auto"/>
              <w:bottom w:val="single" w:sz="4" w:space="0" w:color="auto"/>
              <w:right w:val="single" w:sz="4" w:space="0" w:color="auto"/>
            </w:tcBorders>
            <w:shd w:val="clear" w:color="auto" w:fill="auto"/>
            <w:noWrap/>
            <w:vAlign w:val="center"/>
            <w:hideMark/>
          </w:tcPr>
          <w:p w:rsidR="00455DEE" w:rsidRPr="00522B4B" w:rsidRDefault="00455DEE" w:rsidP="00FA5866">
            <w:pPr>
              <w:spacing w:after="0" w:line="240" w:lineRule="auto"/>
              <w:ind w:firstLine="0"/>
              <w:jc w:val="center"/>
              <w:rPr>
                <w:rFonts w:eastAsia="Times New Roman"/>
                <w:color w:val="000000"/>
                <w:sz w:val="20"/>
                <w:szCs w:val="20"/>
              </w:rPr>
            </w:pPr>
            <w:r w:rsidRPr="00522B4B">
              <w:rPr>
                <w:rFonts w:eastAsia="Times New Roman"/>
                <w:color w:val="000000"/>
                <w:sz w:val="20"/>
                <w:szCs w:val="20"/>
              </w:rPr>
              <w:t>Variável</w:t>
            </w:r>
          </w:p>
        </w:tc>
        <w:tc>
          <w:tcPr>
            <w:tcW w:w="101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55DEE" w:rsidRPr="00522B4B" w:rsidRDefault="00455DEE" w:rsidP="00FA5866">
            <w:pPr>
              <w:spacing w:after="0" w:line="240" w:lineRule="auto"/>
              <w:ind w:firstLine="0"/>
              <w:jc w:val="center"/>
              <w:rPr>
                <w:rFonts w:eastAsia="Times New Roman"/>
                <w:color w:val="000000"/>
                <w:sz w:val="20"/>
                <w:szCs w:val="20"/>
              </w:rPr>
            </w:pPr>
            <w:proofErr w:type="spellStart"/>
            <w:r w:rsidRPr="00522B4B">
              <w:rPr>
                <w:rFonts w:eastAsia="Times New Roman"/>
                <w:color w:val="000000"/>
                <w:sz w:val="20"/>
                <w:szCs w:val="20"/>
              </w:rPr>
              <w:t>Obs</w:t>
            </w:r>
            <w:proofErr w:type="spellEnd"/>
          </w:p>
        </w:tc>
        <w:tc>
          <w:tcPr>
            <w:tcW w:w="131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55DEE" w:rsidRPr="00522B4B" w:rsidRDefault="00455DEE" w:rsidP="00FA5866">
            <w:pPr>
              <w:spacing w:after="0" w:line="240" w:lineRule="auto"/>
              <w:ind w:firstLine="0"/>
              <w:jc w:val="center"/>
              <w:rPr>
                <w:rFonts w:eastAsia="Times New Roman"/>
                <w:color w:val="000000"/>
                <w:sz w:val="20"/>
                <w:szCs w:val="20"/>
              </w:rPr>
            </w:pPr>
            <w:r w:rsidRPr="00522B4B">
              <w:rPr>
                <w:rFonts w:eastAsia="Times New Roman"/>
                <w:color w:val="000000"/>
                <w:sz w:val="20"/>
                <w:szCs w:val="20"/>
              </w:rPr>
              <w:t>Média</w:t>
            </w:r>
          </w:p>
        </w:tc>
        <w:tc>
          <w:tcPr>
            <w:tcW w:w="1215" w:type="pct"/>
            <w:tcBorders>
              <w:top w:val="single" w:sz="4" w:space="0" w:color="auto"/>
              <w:left w:val="single" w:sz="4" w:space="0" w:color="auto"/>
              <w:bottom w:val="single" w:sz="4" w:space="0" w:color="auto"/>
            </w:tcBorders>
            <w:shd w:val="clear" w:color="auto" w:fill="auto"/>
            <w:noWrap/>
            <w:vAlign w:val="center"/>
            <w:hideMark/>
          </w:tcPr>
          <w:p w:rsidR="00455DEE" w:rsidRPr="00522B4B" w:rsidRDefault="00455DEE" w:rsidP="00FA5866">
            <w:pPr>
              <w:spacing w:after="0" w:line="240" w:lineRule="auto"/>
              <w:ind w:firstLine="0"/>
              <w:jc w:val="center"/>
              <w:rPr>
                <w:rFonts w:eastAsia="Times New Roman"/>
                <w:color w:val="000000"/>
                <w:sz w:val="20"/>
                <w:szCs w:val="20"/>
              </w:rPr>
            </w:pPr>
            <w:r w:rsidRPr="00522B4B">
              <w:rPr>
                <w:rFonts w:eastAsia="Times New Roman"/>
                <w:color w:val="000000"/>
                <w:sz w:val="20"/>
                <w:szCs w:val="20"/>
              </w:rPr>
              <w:t>Desvio Padrão</w:t>
            </w:r>
          </w:p>
        </w:tc>
      </w:tr>
      <w:tr w:rsidR="00455DEE" w:rsidRPr="0068411E" w:rsidTr="00455DEE">
        <w:trPr>
          <w:trHeight w:val="384"/>
          <w:jc w:val="center"/>
        </w:trPr>
        <w:tc>
          <w:tcPr>
            <w:tcW w:w="1454" w:type="pct"/>
            <w:tcBorders>
              <w:top w:val="single" w:sz="4" w:space="0" w:color="auto"/>
              <w:right w:val="single" w:sz="4" w:space="0" w:color="auto"/>
            </w:tcBorders>
            <w:shd w:val="clear" w:color="auto" w:fill="auto"/>
            <w:noWrap/>
            <w:vAlign w:val="center"/>
            <w:hideMark/>
          </w:tcPr>
          <w:p w:rsidR="00455DEE" w:rsidRPr="00522B4B" w:rsidRDefault="00455DEE" w:rsidP="00FA5866">
            <w:pPr>
              <w:spacing w:after="0" w:line="240" w:lineRule="auto"/>
              <w:ind w:firstLine="0"/>
              <w:jc w:val="center"/>
              <w:rPr>
                <w:rFonts w:eastAsia="Times New Roman"/>
                <w:color w:val="000000"/>
                <w:sz w:val="20"/>
                <w:szCs w:val="20"/>
              </w:rPr>
            </w:pPr>
            <m:oMathPara>
              <m:oMath>
                <m:r>
                  <w:rPr>
                    <w:rFonts w:ascii="Cambria Math" w:eastAsia="Times New Roman" w:hAnsi="Cambria Math"/>
                    <w:color w:val="000000"/>
                    <w:sz w:val="20"/>
                    <w:szCs w:val="20"/>
                  </w:rPr>
                  <m:t>∆</m:t>
                </m:r>
                <m:sSub>
                  <m:sSubPr>
                    <m:ctrlPr>
                      <w:rPr>
                        <w:rFonts w:ascii="Cambria Math" w:eastAsia="Times New Roman" w:hAnsi="Cambria Math"/>
                        <w:color w:val="000000"/>
                        <w:sz w:val="20"/>
                        <w:szCs w:val="20"/>
                      </w:rPr>
                    </m:ctrlPr>
                  </m:sSubPr>
                  <m:e>
                    <m:r>
                      <m:rPr>
                        <m:sty m:val="p"/>
                      </m:rPr>
                      <w:rPr>
                        <w:rFonts w:ascii="Cambria Math" w:eastAsia="Times New Roman"/>
                        <w:color w:val="000000"/>
                        <w:sz w:val="20"/>
                        <w:szCs w:val="20"/>
                      </w:rPr>
                      <m:t>Π</m:t>
                    </m:r>
                    <m:ctrlPr>
                      <w:rPr>
                        <w:rFonts w:ascii="Cambria Math" w:eastAsia="Times New Roman" w:hAnsi="Cambria Math"/>
                        <w:i/>
                        <w:color w:val="000000"/>
                        <w:sz w:val="20"/>
                        <w:szCs w:val="20"/>
                      </w:rPr>
                    </m:ctrlPr>
                  </m:e>
                  <m:sub>
                    <m:r>
                      <w:rPr>
                        <w:rFonts w:ascii="Cambria Math" w:eastAsia="Times New Roman" w:hAnsi="Cambria Math"/>
                        <w:color w:val="000000"/>
                        <w:sz w:val="20"/>
                        <w:szCs w:val="20"/>
                      </w:rPr>
                      <m:t>t</m:t>
                    </m:r>
                    <m:r>
                      <w:rPr>
                        <w:rFonts w:ascii="Cambria Math" w:eastAsia="Times New Roman"/>
                        <w:color w:val="000000"/>
                        <w:sz w:val="20"/>
                        <w:szCs w:val="20"/>
                      </w:rPr>
                      <m:t>+1</m:t>
                    </m:r>
                    <m:ctrlPr>
                      <w:rPr>
                        <w:rFonts w:ascii="Cambria Math" w:eastAsia="Times New Roman" w:hAnsi="Cambria Math"/>
                        <w:i/>
                        <w:color w:val="000000"/>
                        <w:sz w:val="20"/>
                        <w:szCs w:val="20"/>
                      </w:rPr>
                    </m:ctrlPr>
                  </m:sub>
                </m:sSub>
              </m:oMath>
            </m:oMathPara>
          </w:p>
        </w:tc>
        <w:tc>
          <w:tcPr>
            <w:tcW w:w="1014" w:type="pct"/>
            <w:tcBorders>
              <w:top w:val="single" w:sz="4" w:space="0" w:color="auto"/>
              <w:left w:val="single" w:sz="4" w:space="0" w:color="auto"/>
              <w:right w:val="single" w:sz="4" w:space="0" w:color="auto"/>
            </w:tcBorders>
            <w:shd w:val="clear" w:color="auto" w:fill="auto"/>
            <w:noWrap/>
            <w:vAlign w:val="bottom"/>
            <w:hideMark/>
          </w:tcPr>
          <w:p w:rsidR="00455DEE" w:rsidRPr="00522B4B" w:rsidRDefault="00455DEE" w:rsidP="00FA5866">
            <w:pPr>
              <w:spacing w:after="0" w:line="240" w:lineRule="auto"/>
              <w:jc w:val="right"/>
              <w:rPr>
                <w:color w:val="000000"/>
                <w:sz w:val="20"/>
                <w:szCs w:val="20"/>
              </w:rPr>
            </w:pPr>
            <w:r w:rsidRPr="00522B4B">
              <w:rPr>
                <w:color w:val="000000"/>
                <w:sz w:val="20"/>
                <w:szCs w:val="20"/>
              </w:rPr>
              <w:t>307</w:t>
            </w:r>
          </w:p>
        </w:tc>
        <w:tc>
          <w:tcPr>
            <w:tcW w:w="1317" w:type="pct"/>
            <w:tcBorders>
              <w:top w:val="single" w:sz="4" w:space="0" w:color="auto"/>
              <w:left w:val="single" w:sz="4" w:space="0" w:color="auto"/>
              <w:right w:val="single" w:sz="4" w:space="0" w:color="auto"/>
            </w:tcBorders>
            <w:shd w:val="clear" w:color="auto" w:fill="auto"/>
            <w:noWrap/>
            <w:vAlign w:val="bottom"/>
            <w:hideMark/>
          </w:tcPr>
          <w:p w:rsidR="00455DEE" w:rsidRPr="00522B4B" w:rsidRDefault="00455DEE" w:rsidP="00FA5866">
            <w:pPr>
              <w:spacing w:after="0" w:line="240" w:lineRule="auto"/>
              <w:jc w:val="right"/>
              <w:rPr>
                <w:color w:val="000000"/>
                <w:sz w:val="20"/>
                <w:szCs w:val="20"/>
              </w:rPr>
            </w:pPr>
            <w:r w:rsidRPr="00522B4B">
              <w:rPr>
                <w:color w:val="000000"/>
                <w:sz w:val="20"/>
                <w:szCs w:val="20"/>
              </w:rPr>
              <w:t>18.352</w:t>
            </w:r>
          </w:p>
        </w:tc>
        <w:tc>
          <w:tcPr>
            <w:tcW w:w="1215" w:type="pct"/>
            <w:tcBorders>
              <w:top w:val="single" w:sz="4" w:space="0" w:color="auto"/>
              <w:left w:val="single" w:sz="4" w:space="0" w:color="auto"/>
            </w:tcBorders>
            <w:shd w:val="clear" w:color="auto" w:fill="auto"/>
            <w:noWrap/>
            <w:vAlign w:val="bottom"/>
            <w:hideMark/>
          </w:tcPr>
          <w:p w:rsidR="00455DEE" w:rsidRPr="00522B4B" w:rsidRDefault="00455DEE" w:rsidP="00FA5866">
            <w:pPr>
              <w:spacing w:after="0" w:line="240" w:lineRule="auto"/>
              <w:jc w:val="right"/>
              <w:rPr>
                <w:color w:val="000000"/>
                <w:sz w:val="20"/>
                <w:szCs w:val="20"/>
              </w:rPr>
            </w:pPr>
            <w:r w:rsidRPr="00522B4B">
              <w:rPr>
                <w:color w:val="000000"/>
                <w:sz w:val="20"/>
                <w:szCs w:val="20"/>
              </w:rPr>
              <w:t>286.098</w:t>
            </w:r>
          </w:p>
        </w:tc>
      </w:tr>
      <w:tr w:rsidR="00455DEE" w:rsidRPr="0068411E" w:rsidTr="00455DEE">
        <w:trPr>
          <w:trHeight w:val="384"/>
          <w:jc w:val="center"/>
        </w:trPr>
        <w:tc>
          <w:tcPr>
            <w:tcW w:w="1454" w:type="pct"/>
            <w:tcBorders>
              <w:right w:val="single" w:sz="4" w:space="0" w:color="auto"/>
            </w:tcBorders>
            <w:shd w:val="clear" w:color="auto" w:fill="auto"/>
            <w:noWrap/>
            <w:vAlign w:val="center"/>
            <w:hideMark/>
          </w:tcPr>
          <w:p w:rsidR="00455DEE" w:rsidRPr="00522B4B" w:rsidRDefault="00455DEE" w:rsidP="00FA5866">
            <w:pPr>
              <w:spacing w:after="0" w:line="240" w:lineRule="auto"/>
              <w:ind w:firstLine="0"/>
              <w:jc w:val="center"/>
              <w:rPr>
                <w:rFonts w:eastAsia="Times New Roman"/>
                <w:color w:val="000000"/>
                <w:sz w:val="20"/>
                <w:szCs w:val="20"/>
              </w:rPr>
            </w:pPr>
            <m:oMathPara>
              <m:oMath>
                <m:r>
                  <w:rPr>
                    <w:rFonts w:ascii="Cambria Math" w:eastAsia="Times New Roman" w:hAnsi="Cambria Math"/>
                    <w:color w:val="000000"/>
                    <w:sz w:val="20"/>
                    <w:szCs w:val="20"/>
                  </w:rPr>
                  <m:t>∆</m:t>
                </m:r>
                <m:sSub>
                  <m:sSubPr>
                    <m:ctrlPr>
                      <w:rPr>
                        <w:rFonts w:ascii="Cambria Math" w:eastAsia="Times New Roman" w:hAnsi="Cambria Math"/>
                        <w:color w:val="000000"/>
                        <w:sz w:val="20"/>
                        <w:szCs w:val="20"/>
                      </w:rPr>
                    </m:ctrlPr>
                  </m:sSubPr>
                  <m:e>
                    <m:r>
                      <m:rPr>
                        <m:sty m:val="p"/>
                      </m:rPr>
                      <w:rPr>
                        <w:rFonts w:ascii="Cambria Math" w:eastAsia="Times New Roman"/>
                        <w:color w:val="000000"/>
                        <w:sz w:val="20"/>
                        <w:szCs w:val="20"/>
                      </w:rPr>
                      <m:t>Π</m:t>
                    </m:r>
                    <m:ctrlPr>
                      <w:rPr>
                        <w:rFonts w:ascii="Cambria Math" w:eastAsia="Times New Roman" w:hAnsi="Cambria Math"/>
                        <w:i/>
                        <w:color w:val="000000"/>
                        <w:sz w:val="20"/>
                        <w:szCs w:val="20"/>
                      </w:rPr>
                    </m:ctrlPr>
                  </m:e>
                  <m:sub>
                    <m:r>
                      <w:rPr>
                        <w:rFonts w:ascii="Cambria Math" w:eastAsia="Times New Roman" w:hAnsi="Cambria Math"/>
                        <w:color w:val="000000"/>
                        <w:sz w:val="20"/>
                        <w:szCs w:val="20"/>
                      </w:rPr>
                      <m:t>t</m:t>
                    </m:r>
                    <m:r>
                      <w:rPr>
                        <w:rFonts w:ascii="Cambria Math" w:eastAsia="Times New Roman"/>
                        <w:color w:val="000000"/>
                        <w:sz w:val="20"/>
                        <w:szCs w:val="20"/>
                      </w:rPr>
                      <m:t>+2</m:t>
                    </m:r>
                    <m:ctrlPr>
                      <w:rPr>
                        <w:rFonts w:ascii="Cambria Math" w:eastAsia="Times New Roman" w:hAnsi="Cambria Math"/>
                        <w:i/>
                        <w:color w:val="000000"/>
                        <w:sz w:val="20"/>
                        <w:szCs w:val="20"/>
                      </w:rPr>
                    </m:ctrlPr>
                  </m:sub>
                </m:sSub>
              </m:oMath>
            </m:oMathPara>
          </w:p>
        </w:tc>
        <w:tc>
          <w:tcPr>
            <w:tcW w:w="1014" w:type="pct"/>
            <w:tcBorders>
              <w:left w:val="single" w:sz="4" w:space="0" w:color="auto"/>
              <w:right w:val="single" w:sz="4" w:space="0" w:color="auto"/>
            </w:tcBorders>
            <w:shd w:val="clear" w:color="auto" w:fill="auto"/>
            <w:noWrap/>
            <w:vAlign w:val="bottom"/>
            <w:hideMark/>
          </w:tcPr>
          <w:p w:rsidR="00455DEE" w:rsidRPr="00522B4B" w:rsidRDefault="00455DEE" w:rsidP="00FA5866">
            <w:pPr>
              <w:spacing w:after="0" w:line="240" w:lineRule="auto"/>
              <w:jc w:val="right"/>
              <w:rPr>
                <w:color w:val="000000"/>
                <w:sz w:val="20"/>
                <w:szCs w:val="20"/>
              </w:rPr>
            </w:pPr>
            <w:r w:rsidRPr="00522B4B">
              <w:rPr>
                <w:color w:val="000000"/>
                <w:sz w:val="20"/>
                <w:szCs w:val="20"/>
              </w:rPr>
              <w:t>304</w:t>
            </w:r>
          </w:p>
        </w:tc>
        <w:tc>
          <w:tcPr>
            <w:tcW w:w="1317" w:type="pct"/>
            <w:tcBorders>
              <w:left w:val="single" w:sz="4" w:space="0" w:color="auto"/>
              <w:right w:val="single" w:sz="4" w:space="0" w:color="auto"/>
            </w:tcBorders>
            <w:shd w:val="clear" w:color="auto" w:fill="auto"/>
            <w:noWrap/>
            <w:vAlign w:val="bottom"/>
            <w:hideMark/>
          </w:tcPr>
          <w:p w:rsidR="00455DEE" w:rsidRPr="00522B4B" w:rsidRDefault="00455DEE" w:rsidP="00FA5866">
            <w:pPr>
              <w:spacing w:after="0" w:line="240" w:lineRule="auto"/>
              <w:jc w:val="right"/>
              <w:rPr>
                <w:color w:val="000000"/>
                <w:sz w:val="20"/>
                <w:szCs w:val="20"/>
              </w:rPr>
            </w:pPr>
            <w:r w:rsidRPr="00522B4B">
              <w:rPr>
                <w:color w:val="000000"/>
                <w:sz w:val="20"/>
                <w:szCs w:val="20"/>
              </w:rPr>
              <w:t>24.551</w:t>
            </w:r>
          </w:p>
        </w:tc>
        <w:tc>
          <w:tcPr>
            <w:tcW w:w="1215" w:type="pct"/>
            <w:tcBorders>
              <w:left w:val="single" w:sz="4" w:space="0" w:color="auto"/>
            </w:tcBorders>
            <w:shd w:val="clear" w:color="auto" w:fill="auto"/>
            <w:noWrap/>
            <w:vAlign w:val="bottom"/>
            <w:hideMark/>
          </w:tcPr>
          <w:p w:rsidR="00455DEE" w:rsidRPr="00522B4B" w:rsidRDefault="00455DEE" w:rsidP="00FA5866">
            <w:pPr>
              <w:spacing w:after="0" w:line="240" w:lineRule="auto"/>
              <w:jc w:val="right"/>
              <w:rPr>
                <w:color w:val="000000"/>
                <w:sz w:val="20"/>
                <w:szCs w:val="20"/>
              </w:rPr>
            </w:pPr>
            <w:r w:rsidRPr="00522B4B">
              <w:rPr>
                <w:color w:val="000000"/>
                <w:sz w:val="20"/>
                <w:szCs w:val="20"/>
              </w:rPr>
              <w:t>306.864</w:t>
            </w:r>
          </w:p>
        </w:tc>
      </w:tr>
      <w:tr w:rsidR="00455DEE" w:rsidRPr="0068411E" w:rsidTr="00455DEE">
        <w:trPr>
          <w:trHeight w:val="384"/>
          <w:jc w:val="center"/>
        </w:trPr>
        <w:tc>
          <w:tcPr>
            <w:tcW w:w="1454" w:type="pct"/>
            <w:tcBorders>
              <w:right w:val="single" w:sz="4" w:space="0" w:color="auto"/>
            </w:tcBorders>
            <w:shd w:val="clear" w:color="auto" w:fill="auto"/>
            <w:noWrap/>
            <w:vAlign w:val="center"/>
            <w:hideMark/>
          </w:tcPr>
          <w:p w:rsidR="00455DEE" w:rsidRPr="00522B4B" w:rsidRDefault="00455DEE" w:rsidP="00FA5866">
            <w:pPr>
              <w:spacing w:after="0" w:line="240" w:lineRule="auto"/>
              <w:ind w:firstLine="0"/>
              <w:jc w:val="center"/>
              <w:rPr>
                <w:rFonts w:eastAsia="Times New Roman"/>
                <w:color w:val="000000"/>
                <w:sz w:val="20"/>
                <w:szCs w:val="20"/>
              </w:rPr>
            </w:pPr>
            <m:oMathPara>
              <m:oMath>
                <m:r>
                  <w:rPr>
                    <w:rFonts w:ascii="Cambria Math" w:eastAsia="Times New Roman" w:hAnsi="Cambria Math"/>
                    <w:color w:val="000000"/>
                    <w:sz w:val="20"/>
                    <w:szCs w:val="20"/>
                  </w:rPr>
                  <m:t>∆</m:t>
                </m:r>
                <m:sSub>
                  <m:sSubPr>
                    <m:ctrlPr>
                      <w:rPr>
                        <w:rFonts w:ascii="Cambria Math" w:eastAsia="Times New Roman" w:hAnsi="Cambria Math"/>
                        <w:color w:val="000000"/>
                        <w:sz w:val="20"/>
                        <w:szCs w:val="20"/>
                      </w:rPr>
                    </m:ctrlPr>
                  </m:sSubPr>
                  <m:e>
                    <m:r>
                      <m:rPr>
                        <m:sty m:val="p"/>
                      </m:rPr>
                      <w:rPr>
                        <w:rFonts w:ascii="Cambria Math" w:eastAsia="Times New Roman"/>
                        <w:color w:val="000000"/>
                        <w:sz w:val="20"/>
                        <w:szCs w:val="20"/>
                      </w:rPr>
                      <m:t>Π</m:t>
                    </m:r>
                    <m:ctrlPr>
                      <w:rPr>
                        <w:rFonts w:ascii="Cambria Math" w:eastAsia="Times New Roman" w:hAnsi="Cambria Math"/>
                        <w:i/>
                        <w:color w:val="000000"/>
                        <w:sz w:val="20"/>
                        <w:szCs w:val="20"/>
                      </w:rPr>
                    </m:ctrlPr>
                  </m:e>
                  <m:sub>
                    <m:r>
                      <w:rPr>
                        <w:rFonts w:ascii="Cambria Math" w:eastAsia="Times New Roman" w:hAnsi="Cambria Math"/>
                        <w:color w:val="000000"/>
                        <w:sz w:val="20"/>
                        <w:szCs w:val="20"/>
                      </w:rPr>
                      <m:t>t</m:t>
                    </m:r>
                    <m:r>
                      <w:rPr>
                        <w:rFonts w:ascii="Cambria Math" w:eastAsia="Times New Roman"/>
                        <w:color w:val="000000"/>
                        <w:sz w:val="20"/>
                        <w:szCs w:val="20"/>
                      </w:rPr>
                      <m:t>+3</m:t>
                    </m:r>
                    <m:ctrlPr>
                      <w:rPr>
                        <w:rFonts w:ascii="Cambria Math" w:eastAsia="Times New Roman" w:hAnsi="Cambria Math"/>
                        <w:i/>
                        <w:color w:val="000000"/>
                        <w:sz w:val="20"/>
                        <w:szCs w:val="20"/>
                      </w:rPr>
                    </m:ctrlPr>
                  </m:sub>
                </m:sSub>
              </m:oMath>
            </m:oMathPara>
          </w:p>
        </w:tc>
        <w:tc>
          <w:tcPr>
            <w:tcW w:w="1014" w:type="pct"/>
            <w:tcBorders>
              <w:left w:val="single" w:sz="4" w:space="0" w:color="auto"/>
              <w:right w:val="single" w:sz="4" w:space="0" w:color="auto"/>
            </w:tcBorders>
            <w:shd w:val="clear" w:color="auto" w:fill="auto"/>
            <w:noWrap/>
            <w:vAlign w:val="bottom"/>
            <w:hideMark/>
          </w:tcPr>
          <w:p w:rsidR="00455DEE" w:rsidRPr="00522B4B" w:rsidRDefault="00455DEE" w:rsidP="00FA5866">
            <w:pPr>
              <w:spacing w:after="0" w:line="240" w:lineRule="auto"/>
              <w:jc w:val="right"/>
              <w:rPr>
                <w:color w:val="000000"/>
                <w:sz w:val="20"/>
                <w:szCs w:val="20"/>
              </w:rPr>
            </w:pPr>
            <w:r w:rsidRPr="00522B4B">
              <w:rPr>
                <w:color w:val="000000"/>
                <w:sz w:val="20"/>
                <w:szCs w:val="20"/>
              </w:rPr>
              <w:t>301</w:t>
            </w:r>
          </w:p>
        </w:tc>
        <w:tc>
          <w:tcPr>
            <w:tcW w:w="1317" w:type="pct"/>
            <w:tcBorders>
              <w:left w:val="single" w:sz="4" w:space="0" w:color="auto"/>
              <w:right w:val="single" w:sz="4" w:space="0" w:color="auto"/>
            </w:tcBorders>
            <w:shd w:val="clear" w:color="auto" w:fill="auto"/>
            <w:noWrap/>
            <w:vAlign w:val="bottom"/>
            <w:hideMark/>
          </w:tcPr>
          <w:p w:rsidR="00455DEE" w:rsidRPr="00522B4B" w:rsidRDefault="00455DEE" w:rsidP="00FA5866">
            <w:pPr>
              <w:spacing w:after="0" w:line="240" w:lineRule="auto"/>
              <w:jc w:val="right"/>
              <w:rPr>
                <w:color w:val="000000"/>
                <w:sz w:val="20"/>
                <w:szCs w:val="20"/>
              </w:rPr>
            </w:pPr>
            <w:r w:rsidRPr="00522B4B">
              <w:rPr>
                <w:color w:val="000000"/>
                <w:sz w:val="20"/>
                <w:szCs w:val="20"/>
              </w:rPr>
              <w:t>-5.185</w:t>
            </w:r>
          </w:p>
        </w:tc>
        <w:tc>
          <w:tcPr>
            <w:tcW w:w="1215" w:type="pct"/>
            <w:tcBorders>
              <w:left w:val="single" w:sz="4" w:space="0" w:color="auto"/>
            </w:tcBorders>
            <w:shd w:val="clear" w:color="auto" w:fill="auto"/>
            <w:noWrap/>
            <w:vAlign w:val="bottom"/>
            <w:hideMark/>
          </w:tcPr>
          <w:p w:rsidR="00455DEE" w:rsidRPr="00522B4B" w:rsidRDefault="00455DEE" w:rsidP="00FA5866">
            <w:pPr>
              <w:spacing w:after="0" w:line="240" w:lineRule="auto"/>
              <w:jc w:val="right"/>
              <w:rPr>
                <w:color w:val="000000"/>
                <w:sz w:val="20"/>
                <w:szCs w:val="20"/>
              </w:rPr>
            </w:pPr>
            <w:r w:rsidRPr="00522B4B">
              <w:rPr>
                <w:color w:val="000000"/>
                <w:sz w:val="20"/>
                <w:szCs w:val="20"/>
              </w:rPr>
              <w:t>285.586</w:t>
            </w:r>
          </w:p>
        </w:tc>
      </w:tr>
      <w:tr w:rsidR="00455DEE" w:rsidRPr="0068411E" w:rsidTr="00455DEE">
        <w:trPr>
          <w:trHeight w:val="384"/>
          <w:jc w:val="center"/>
        </w:trPr>
        <w:tc>
          <w:tcPr>
            <w:tcW w:w="1454" w:type="pct"/>
            <w:tcBorders>
              <w:right w:val="single" w:sz="4" w:space="0" w:color="auto"/>
            </w:tcBorders>
            <w:shd w:val="clear" w:color="auto" w:fill="auto"/>
            <w:noWrap/>
            <w:vAlign w:val="center"/>
            <w:hideMark/>
          </w:tcPr>
          <w:p w:rsidR="00455DEE" w:rsidRPr="00522B4B" w:rsidRDefault="00455DEE" w:rsidP="00FA5866">
            <w:pPr>
              <w:spacing w:after="0" w:line="240" w:lineRule="auto"/>
              <w:ind w:firstLine="0"/>
              <w:jc w:val="center"/>
              <w:rPr>
                <w:rFonts w:eastAsia="Times New Roman"/>
                <w:b/>
                <w:color w:val="000000"/>
                <w:sz w:val="20"/>
                <w:szCs w:val="20"/>
              </w:rPr>
            </w:pPr>
            <m:oMathPara>
              <m:oMath>
                <m:r>
                  <m:rPr>
                    <m:sty m:val="bi"/>
                  </m:rPr>
                  <w:rPr>
                    <w:rFonts w:ascii="Cambria Math" w:eastAsia="Times New Roman" w:hAnsi="Cambria Math"/>
                    <w:color w:val="000000"/>
                    <w:sz w:val="20"/>
                    <w:szCs w:val="20"/>
                  </w:rPr>
                  <m:t>∆</m:t>
                </m:r>
                <m:sSub>
                  <m:sSubPr>
                    <m:ctrlPr>
                      <w:rPr>
                        <w:rFonts w:ascii="Cambria Math" w:eastAsia="Times New Roman" w:hAnsi="Cambria Math"/>
                        <w:b/>
                        <w:color w:val="000000"/>
                        <w:sz w:val="20"/>
                        <w:szCs w:val="20"/>
                      </w:rPr>
                    </m:ctrlPr>
                  </m:sSubPr>
                  <m:e>
                    <m:r>
                      <m:rPr>
                        <m:sty m:val="b"/>
                      </m:rPr>
                      <w:rPr>
                        <w:rFonts w:ascii="Cambria Math" w:eastAsia="Times New Roman"/>
                        <w:color w:val="000000"/>
                        <w:sz w:val="20"/>
                        <w:szCs w:val="20"/>
                      </w:rPr>
                      <m:t>Π</m:t>
                    </m:r>
                    <m:ctrlPr>
                      <w:rPr>
                        <w:rFonts w:ascii="Cambria Math" w:eastAsia="Times New Roman" w:hAnsi="Cambria Math"/>
                        <w:b/>
                        <w:i/>
                        <w:color w:val="000000"/>
                        <w:sz w:val="20"/>
                        <w:szCs w:val="20"/>
                      </w:rPr>
                    </m:ctrlPr>
                  </m:e>
                  <m:sub>
                    <m:r>
                      <m:rPr>
                        <m:sty m:val="bi"/>
                      </m:rPr>
                      <w:rPr>
                        <w:rFonts w:ascii="Cambria Math" w:eastAsia="Times New Roman" w:hAnsi="Cambria Math"/>
                        <w:color w:val="000000"/>
                        <w:sz w:val="20"/>
                        <w:szCs w:val="20"/>
                      </w:rPr>
                      <m:t>t</m:t>
                    </m:r>
                    <m:r>
                      <m:rPr>
                        <m:sty m:val="bi"/>
                      </m:rPr>
                      <w:rPr>
                        <w:rFonts w:ascii="Cambria Math" w:eastAsia="Times New Roman"/>
                        <w:color w:val="000000"/>
                        <w:sz w:val="20"/>
                        <w:szCs w:val="20"/>
                      </w:rPr>
                      <m:t>+4</m:t>
                    </m:r>
                    <m:ctrlPr>
                      <w:rPr>
                        <w:rFonts w:ascii="Cambria Math" w:eastAsia="Times New Roman" w:hAnsi="Cambria Math"/>
                        <w:b/>
                        <w:i/>
                        <w:color w:val="000000"/>
                        <w:sz w:val="20"/>
                        <w:szCs w:val="20"/>
                      </w:rPr>
                    </m:ctrlPr>
                  </m:sub>
                </m:sSub>
              </m:oMath>
            </m:oMathPara>
          </w:p>
        </w:tc>
        <w:tc>
          <w:tcPr>
            <w:tcW w:w="1014" w:type="pct"/>
            <w:tcBorders>
              <w:left w:val="single" w:sz="4" w:space="0" w:color="auto"/>
              <w:right w:val="single" w:sz="4" w:space="0" w:color="auto"/>
            </w:tcBorders>
            <w:shd w:val="clear" w:color="auto" w:fill="auto"/>
            <w:noWrap/>
            <w:vAlign w:val="bottom"/>
            <w:hideMark/>
          </w:tcPr>
          <w:p w:rsidR="00455DEE" w:rsidRPr="00522B4B" w:rsidRDefault="00455DEE" w:rsidP="00FA5866">
            <w:pPr>
              <w:spacing w:after="0" w:line="240" w:lineRule="auto"/>
              <w:jc w:val="right"/>
              <w:rPr>
                <w:b/>
                <w:color w:val="000000"/>
                <w:sz w:val="20"/>
                <w:szCs w:val="20"/>
              </w:rPr>
            </w:pPr>
            <w:r w:rsidRPr="00522B4B">
              <w:rPr>
                <w:b/>
                <w:color w:val="000000"/>
                <w:sz w:val="20"/>
                <w:szCs w:val="20"/>
              </w:rPr>
              <w:t>278</w:t>
            </w:r>
          </w:p>
        </w:tc>
        <w:tc>
          <w:tcPr>
            <w:tcW w:w="1317" w:type="pct"/>
            <w:tcBorders>
              <w:left w:val="single" w:sz="4" w:space="0" w:color="auto"/>
              <w:right w:val="single" w:sz="4" w:space="0" w:color="auto"/>
            </w:tcBorders>
            <w:shd w:val="clear" w:color="auto" w:fill="auto"/>
            <w:noWrap/>
            <w:vAlign w:val="bottom"/>
            <w:hideMark/>
          </w:tcPr>
          <w:p w:rsidR="00455DEE" w:rsidRPr="00522B4B" w:rsidRDefault="00455DEE" w:rsidP="00FA5866">
            <w:pPr>
              <w:spacing w:after="0" w:line="240" w:lineRule="auto"/>
              <w:jc w:val="right"/>
              <w:rPr>
                <w:b/>
                <w:color w:val="000000"/>
                <w:sz w:val="20"/>
                <w:szCs w:val="20"/>
              </w:rPr>
            </w:pPr>
            <w:r w:rsidRPr="00522B4B">
              <w:rPr>
                <w:b/>
                <w:color w:val="000000"/>
                <w:sz w:val="20"/>
                <w:szCs w:val="20"/>
              </w:rPr>
              <w:t>34.419*</w:t>
            </w:r>
          </w:p>
        </w:tc>
        <w:tc>
          <w:tcPr>
            <w:tcW w:w="1215" w:type="pct"/>
            <w:tcBorders>
              <w:left w:val="single" w:sz="4" w:space="0" w:color="auto"/>
            </w:tcBorders>
            <w:shd w:val="clear" w:color="auto" w:fill="auto"/>
            <w:noWrap/>
            <w:vAlign w:val="bottom"/>
            <w:hideMark/>
          </w:tcPr>
          <w:p w:rsidR="00455DEE" w:rsidRPr="00522B4B" w:rsidRDefault="00455DEE" w:rsidP="00FA5866">
            <w:pPr>
              <w:spacing w:after="0" w:line="240" w:lineRule="auto"/>
              <w:jc w:val="right"/>
              <w:rPr>
                <w:b/>
                <w:color w:val="000000"/>
                <w:sz w:val="20"/>
                <w:szCs w:val="20"/>
              </w:rPr>
            </w:pPr>
            <w:r w:rsidRPr="00522B4B">
              <w:rPr>
                <w:b/>
                <w:color w:val="000000"/>
                <w:sz w:val="20"/>
                <w:szCs w:val="20"/>
              </w:rPr>
              <w:t>313.355</w:t>
            </w:r>
          </w:p>
        </w:tc>
      </w:tr>
      <w:tr w:rsidR="00455DEE" w:rsidRPr="0068411E" w:rsidTr="00455DEE">
        <w:trPr>
          <w:trHeight w:val="384"/>
          <w:jc w:val="center"/>
        </w:trPr>
        <w:tc>
          <w:tcPr>
            <w:tcW w:w="1454" w:type="pct"/>
            <w:tcBorders>
              <w:right w:val="single" w:sz="4" w:space="0" w:color="auto"/>
            </w:tcBorders>
            <w:shd w:val="clear" w:color="auto" w:fill="auto"/>
            <w:noWrap/>
            <w:vAlign w:val="center"/>
            <w:hideMark/>
          </w:tcPr>
          <w:p w:rsidR="00455DEE" w:rsidRPr="00522B4B" w:rsidRDefault="00455DEE" w:rsidP="00FA5866">
            <w:pPr>
              <w:spacing w:after="0" w:line="240" w:lineRule="auto"/>
              <w:ind w:firstLine="0"/>
              <w:jc w:val="center"/>
              <w:rPr>
                <w:rFonts w:eastAsia="Times New Roman"/>
                <w:color w:val="000000"/>
                <w:sz w:val="20"/>
                <w:szCs w:val="20"/>
              </w:rPr>
            </w:pPr>
            <m:oMathPara>
              <m:oMath>
                <m:r>
                  <w:rPr>
                    <w:rFonts w:ascii="Cambria Math" w:eastAsia="Times New Roman" w:hAnsi="Cambria Math"/>
                    <w:color w:val="000000"/>
                    <w:sz w:val="20"/>
                    <w:szCs w:val="20"/>
                  </w:rPr>
                  <m:t>∆</m:t>
                </m:r>
                <m:sSub>
                  <m:sSubPr>
                    <m:ctrlPr>
                      <w:rPr>
                        <w:rFonts w:ascii="Cambria Math" w:eastAsia="Times New Roman" w:hAnsi="Cambria Math"/>
                        <w:color w:val="000000"/>
                        <w:sz w:val="20"/>
                        <w:szCs w:val="20"/>
                      </w:rPr>
                    </m:ctrlPr>
                  </m:sSubPr>
                  <m:e>
                    <m:r>
                      <m:rPr>
                        <m:sty m:val="p"/>
                      </m:rPr>
                      <w:rPr>
                        <w:rFonts w:ascii="Cambria Math" w:eastAsia="Times New Roman"/>
                        <w:color w:val="000000"/>
                        <w:sz w:val="20"/>
                        <w:szCs w:val="20"/>
                      </w:rPr>
                      <m:t>Π</m:t>
                    </m:r>
                    <m:ctrlPr>
                      <w:rPr>
                        <w:rFonts w:ascii="Cambria Math" w:eastAsia="Times New Roman" w:hAnsi="Cambria Math"/>
                        <w:i/>
                        <w:color w:val="000000"/>
                        <w:sz w:val="20"/>
                        <w:szCs w:val="20"/>
                      </w:rPr>
                    </m:ctrlPr>
                  </m:e>
                  <m:sub>
                    <m:r>
                      <w:rPr>
                        <w:rFonts w:ascii="Cambria Math" w:eastAsia="Times New Roman" w:hAnsi="Cambria Math"/>
                        <w:color w:val="000000"/>
                        <w:sz w:val="20"/>
                        <w:szCs w:val="20"/>
                      </w:rPr>
                      <m:t>t</m:t>
                    </m:r>
                    <m:r>
                      <w:rPr>
                        <w:rFonts w:ascii="Cambria Math" w:eastAsia="Times New Roman"/>
                        <w:color w:val="000000"/>
                        <w:sz w:val="20"/>
                        <w:szCs w:val="20"/>
                      </w:rPr>
                      <m:t>+5</m:t>
                    </m:r>
                    <m:ctrlPr>
                      <w:rPr>
                        <w:rFonts w:ascii="Cambria Math" w:eastAsia="Times New Roman" w:hAnsi="Cambria Math"/>
                        <w:i/>
                        <w:color w:val="000000"/>
                        <w:sz w:val="20"/>
                        <w:szCs w:val="20"/>
                      </w:rPr>
                    </m:ctrlPr>
                  </m:sub>
                </m:sSub>
              </m:oMath>
            </m:oMathPara>
          </w:p>
        </w:tc>
        <w:tc>
          <w:tcPr>
            <w:tcW w:w="1014" w:type="pct"/>
            <w:tcBorders>
              <w:left w:val="single" w:sz="4" w:space="0" w:color="auto"/>
              <w:right w:val="single" w:sz="4" w:space="0" w:color="auto"/>
            </w:tcBorders>
            <w:shd w:val="clear" w:color="auto" w:fill="auto"/>
            <w:noWrap/>
            <w:vAlign w:val="bottom"/>
            <w:hideMark/>
          </w:tcPr>
          <w:p w:rsidR="00455DEE" w:rsidRPr="00522B4B" w:rsidRDefault="00455DEE" w:rsidP="00FA5866">
            <w:pPr>
              <w:spacing w:after="0" w:line="240" w:lineRule="auto"/>
              <w:jc w:val="right"/>
              <w:rPr>
                <w:color w:val="000000"/>
                <w:sz w:val="20"/>
                <w:szCs w:val="20"/>
              </w:rPr>
            </w:pPr>
            <w:r w:rsidRPr="00522B4B">
              <w:rPr>
                <w:color w:val="000000"/>
                <w:sz w:val="20"/>
                <w:szCs w:val="20"/>
              </w:rPr>
              <w:t>235</w:t>
            </w:r>
          </w:p>
        </w:tc>
        <w:tc>
          <w:tcPr>
            <w:tcW w:w="1317" w:type="pct"/>
            <w:tcBorders>
              <w:left w:val="single" w:sz="4" w:space="0" w:color="auto"/>
              <w:right w:val="single" w:sz="4" w:space="0" w:color="auto"/>
            </w:tcBorders>
            <w:shd w:val="clear" w:color="auto" w:fill="auto"/>
            <w:noWrap/>
            <w:vAlign w:val="bottom"/>
            <w:hideMark/>
          </w:tcPr>
          <w:p w:rsidR="00455DEE" w:rsidRPr="00522B4B" w:rsidRDefault="00455DEE" w:rsidP="00FA5866">
            <w:pPr>
              <w:spacing w:after="0" w:line="240" w:lineRule="auto"/>
              <w:jc w:val="right"/>
              <w:rPr>
                <w:color w:val="000000"/>
                <w:sz w:val="20"/>
                <w:szCs w:val="20"/>
              </w:rPr>
            </w:pPr>
            <w:r w:rsidRPr="00522B4B">
              <w:rPr>
                <w:color w:val="000000"/>
                <w:sz w:val="20"/>
                <w:szCs w:val="20"/>
              </w:rPr>
              <w:t>44.027</w:t>
            </w:r>
          </w:p>
        </w:tc>
        <w:tc>
          <w:tcPr>
            <w:tcW w:w="1215" w:type="pct"/>
            <w:tcBorders>
              <w:left w:val="single" w:sz="4" w:space="0" w:color="auto"/>
            </w:tcBorders>
            <w:shd w:val="clear" w:color="auto" w:fill="auto"/>
            <w:noWrap/>
            <w:vAlign w:val="bottom"/>
            <w:hideMark/>
          </w:tcPr>
          <w:p w:rsidR="00455DEE" w:rsidRPr="00522B4B" w:rsidRDefault="00455DEE" w:rsidP="00FA5866">
            <w:pPr>
              <w:spacing w:after="0" w:line="240" w:lineRule="auto"/>
              <w:jc w:val="right"/>
              <w:rPr>
                <w:color w:val="000000"/>
                <w:sz w:val="20"/>
                <w:szCs w:val="20"/>
              </w:rPr>
            </w:pPr>
            <w:r w:rsidRPr="00522B4B">
              <w:rPr>
                <w:color w:val="000000"/>
                <w:sz w:val="20"/>
                <w:szCs w:val="20"/>
              </w:rPr>
              <w:t>501.917</w:t>
            </w:r>
          </w:p>
        </w:tc>
      </w:tr>
      <w:tr w:rsidR="00455DEE" w:rsidRPr="0068411E" w:rsidTr="00455DEE">
        <w:trPr>
          <w:trHeight w:val="384"/>
          <w:jc w:val="center"/>
        </w:trPr>
        <w:tc>
          <w:tcPr>
            <w:tcW w:w="1454" w:type="pct"/>
            <w:tcBorders>
              <w:right w:val="single" w:sz="4" w:space="0" w:color="auto"/>
            </w:tcBorders>
            <w:shd w:val="clear" w:color="auto" w:fill="auto"/>
            <w:noWrap/>
            <w:vAlign w:val="center"/>
            <w:hideMark/>
          </w:tcPr>
          <w:p w:rsidR="00455DEE" w:rsidRPr="00522B4B" w:rsidRDefault="00455DEE" w:rsidP="00FA5866">
            <w:pPr>
              <w:spacing w:after="0" w:line="240" w:lineRule="auto"/>
              <w:ind w:firstLine="0"/>
              <w:jc w:val="center"/>
              <w:rPr>
                <w:rFonts w:eastAsia="Times New Roman"/>
                <w:color w:val="000000"/>
                <w:sz w:val="20"/>
                <w:szCs w:val="20"/>
              </w:rPr>
            </w:pPr>
            <m:oMathPara>
              <m:oMath>
                <m:r>
                  <w:rPr>
                    <w:rFonts w:ascii="Cambria Math" w:eastAsia="Times New Roman" w:hAnsi="Cambria Math"/>
                    <w:color w:val="000000"/>
                    <w:sz w:val="20"/>
                    <w:szCs w:val="20"/>
                  </w:rPr>
                  <m:t>∆</m:t>
                </m:r>
                <m:sSub>
                  <m:sSubPr>
                    <m:ctrlPr>
                      <w:rPr>
                        <w:rFonts w:ascii="Cambria Math" w:eastAsia="Times New Roman" w:hAnsi="Cambria Math"/>
                        <w:color w:val="000000"/>
                        <w:sz w:val="20"/>
                        <w:szCs w:val="20"/>
                      </w:rPr>
                    </m:ctrlPr>
                  </m:sSubPr>
                  <m:e>
                    <m:r>
                      <m:rPr>
                        <m:sty m:val="p"/>
                      </m:rPr>
                      <w:rPr>
                        <w:rFonts w:ascii="Cambria Math" w:eastAsia="Times New Roman"/>
                        <w:color w:val="000000"/>
                        <w:sz w:val="20"/>
                        <w:szCs w:val="20"/>
                      </w:rPr>
                      <m:t>Π</m:t>
                    </m:r>
                    <m:ctrlPr>
                      <w:rPr>
                        <w:rFonts w:ascii="Cambria Math" w:eastAsia="Times New Roman" w:hAnsi="Cambria Math"/>
                        <w:i/>
                        <w:color w:val="000000"/>
                        <w:sz w:val="20"/>
                        <w:szCs w:val="20"/>
                      </w:rPr>
                    </m:ctrlPr>
                  </m:e>
                  <m:sub>
                    <m:r>
                      <w:rPr>
                        <w:rFonts w:ascii="Cambria Math" w:eastAsia="Times New Roman" w:hAnsi="Cambria Math"/>
                        <w:color w:val="000000"/>
                        <w:sz w:val="20"/>
                        <w:szCs w:val="20"/>
                      </w:rPr>
                      <m:t>t</m:t>
                    </m:r>
                    <m:r>
                      <w:rPr>
                        <w:rFonts w:ascii="Cambria Math" w:eastAsia="Times New Roman"/>
                        <w:color w:val="000000"/>
                        <w:sz w:val="20"/>
                        <w:szCs w:val="20"/>
                      </w:rPr>
                      <m:t>+6</m:t>
                    </m:r>
                    <m:ctrlPr>
                      <w:rPr>
                        <w:rFonts w:ascii="Cambria Math" w:eastAsia="Times New Roman" w:hAnsi="Cambria Math"/>
                        <w:i/>
                        <w:color w:val="000000"/>
                        <w:sz w:val="20"/>
                        <w:szCs w:val="20"/>
                      </w:rPr>
                    </m:ctrlPr>
                  </m:sub>
                </m:sSub>
              </m:oMath>
            </m:oMathPara>
          </w:p>
        </w:tc>
        <w:tc>
          <w:tcPr>
            <w:tcW w:w="1014" w:type="pct"/>
            <w:tcBorders>
              <w:left w:val="single" w:sz="4" w:space="0" w:color="auto"/>
              <w:right w:val="single" w:sz="4" w:space="0" w:color="auto"/>
            </w:tcBorders>
            <w:shd w:val="clear" w:color="auto" w:fill="auto"/>
            <w:noWrap/>
            <w:vAlign w:val="bottom"/>
            <w:hideMark/>
          </w:tcPr>
          <w:p w:rsidR="00455DEE" w:rsidRPr="00522B4B" w:rsidRDefault="00455DEE" w:rsidP="00FA5866">
            <w:pPr>
              <w:spacing w:after="0" w:line="240" w:lineRule="auto"/>
              <w:jc w:val="right"/>
              <w:rPr>
                <w:color w:val="000000"/>
                <w:sz w:val="20"/>
                <w:szCs w:val="20"/>
              </w:rPr>
            </w:pPr>
            <w:r w:rsidRPr="00522B4B">
              <w:rPr>
                <w:color w:val="000000"/>
                <w:sz w:val="20"/>
                <w:szCs w:val="20"/>
              </w:rPr>
              <w:t>235</w:t>
            </w:r>
          </w:p>
        </w:tc>
        <w:tc>
          <w:tcPr>
            <w:tcW w:w="1317" w:type="pct"/>
            <w:tcBorders>
              <w:left w:val="single" w:sz="4" w:space="0" w:color="auto"/>
              <w:right w:val="single" w:sz="4" w:space="0" w:color="auto"/>
            </w:tcBorders>
            <w:shd w:val="clear" w:color="auto" w:fill="auto"/>
            <w:noWrap/>
            <w:vAlign w:val="bottom"/>
            <w:hideMark/>
          </w:tcPr>
          <w:p w:rsidR="00455DEE" w:rsidRPr="00522B4B" w:rsidRDefault="00455DEE" w:rsidP="00FA5866">
            <w:pPr>
              <w:spacing w:after="0" w:line="240" w:lineRule="auto"/>
              <w:jc w:val="right"/>
              <w:rPr>
                <w:color w:val="000000"/>
                <w:sz w:val="20"/>
                <w:szCs w:val="20"/>
              </w:rPr>
            </w:pPr>
            <w:r w:rsidRPr="00522B4B">
              <w:rPr>
                <w:color w:val="000000"/>
                <w:sz w:val="20"/>
                <w:szCs w:val="20"/>
              </w:rPr>
              <w:t>12.473</w:t>
            </w:r>
          </w:p>
        </w:tc>
        <w:tc>
          <w:tcPr>
            <w:tcW w:w="1215" w:type="pct"/>
            <w:tcBorders>
              <w:left w:val="single" w:sz="4" w:space="0" w:color="auto"/>
            </w:tcBorders>
            <w:shd w:val="clear" w:color="auto" w:fill="auto"/>
            <w:noWrap/>
            <w:vAlign w:val="bottom"/>
            <w:hideMark/>
          </w:tcPr>
          <w:p w:rsidR="00455DEE" w:rsidRPr="00522B4B" w:rsidRDefault="00455DEE" w:rsidP="00FA5866">
            <w:pPr>
              <w:spacing w:after="0" w:line="240" w:lineRule="auto"/>
              <w:jc w:val="right"/>
              <w:rPr>
                <w:color w:val="000000"/>
                <w:sz w:val="20"/>
                <w:szCs w:val="20"/>
              </w:rPr>
            </w:pPr>
            <w:r w:rsidRPr="00522B4B">
              <w:rPr>
                <w:color w:val="000000"/>
                <w:sz w:val="20"/>
                <w:szCs w:val="20"/>
              </w:rPr>
              <w:t>252.565</w:t>
            </w:r>
          </w:p>
        </w:tc>
      </w:tr>
      <w:tr w:rsidR="00455DEE" w:rsidRPr="0068411E" w:rsidTr="00455DEE">
        <w:trPr>
          <w:trHeight w:val="384"/>
          <w:jc w:val="center"/>
        </w:trPr>
        <w:tc>
          <w:tcPr>
            <w:tcW w:w="1454" w:type="pct"/>
            <w:tcBorders>
              <w:right w:val="single" w:sz="4" w:space="0" w:color="auto"/>
            </w:tcBorders>
            <w:shd w:val="clear" w:color="auto" w:fill="auto"/>
            <w:noWrap/>
            <w:vAlign w:val="center"/>
            <w:hideMark/>
          </w:tcPr>
          <w:p w:rsidR="00455DEE" w:rsidRPr="00522B4B" w:rsidRDefault="00455DEE" w:rsidP="00FA5866">
            <w:pPr>
              <w:spacing w:after="0" w:line="240" w:lineRule="auto"/>
              <w:ind w:firstLine="0"/>
              <w:jc w:val="center"/>
              <w:rPr>
                <w:rFonts w:eastAsia="Times New Roman"/>
                <w:color w:val="000000"/>
                <w:sz w:val="20"/>
                <w:szCs w:val="20"/>
              </w:rPr>
            </w:pPr>
            <m:oMathPara>
              <m:oMath>
                <m:r>
                  <w:rPr>
                    <w:rFonts w:ascii="Cambria Math" w:eastAsia="Times New Roman" w:hAnsi="Cambria Math"/>
                    <w:color w:val="000000"/>
                    <w:sz w:val="20"/>
                    <w:szCs w:val="20"/>
                  </w:rPr>
                  <m:t>∆</m:t>
                </m:r>
                <m:sSub>
                  <m:sSubPr>
                    <m:ctrlPr>
                      <w:rPr>
                        <w:rFonts w:ascii="Cambria Math" w:eastAsia="Times New Roman" w:hAnsi="Cambria Math"/>
                        <w:color w:val="000000"/>
                        <w:sz w:val="20"/>
                        <w:szCs w:val="20"/>
                      </w:rPr>
                    </m:ctrlPr>
                  </m:sSubPr>
                  <m:e>
                    <m:r>
                      <m:rPr>
                        <m:sty m:val="p"/>
                      </m:rPr>
                      <w:rPr>
                        <w:rFonts w:ascii="Cambria Math" w:eastAsia="Times New Roman"/>
                        <w:color w:val="000000"/>
                        <w:sz w:val="20"/>
                        <w:szCs w:val="20"/>
                      </w:rPr>
                      <m:t>Π</m:t>
                    </m:r>
                    <m:ctrlPr>
                      <w:rPr>
                        <w:rFonts w:ascii="Cambria Math" w:eastAsia="Times New Roman" w:hAnsi="Cambria Math"/>
                        <w:i/>
                        <w:color w:val="000000"/>
                        <w:sz w:val="20"/>
                        <w:szCs w:val="20"/>
                      </w:rPr>
                    </m:ctrlPr>
                  </m:e>
                  <m:sub>
                    <m:r>
                      <w:rPr>
                        <w:rFonts w:ascii="Cambria Math" w:eastAsia="Times New Roman" w:hAnsi="Cambria Math"/>
                        <w:color w:val="000000"/>
                        <w:sz w:val="20"/>
                        <w:szCs w:val="20"/>
                      </w:rPr>
                      <m:t>t</m:t>
                    </m:r>
                    <m:r>
                      <w:rPr>
                        <w:rFonts w:ascii="Cambria Math" w:eastAsia="Times New Roman"/>
                        <w:color w:val="000000"/>
                        <w:sz w:val="20"/>
                        <w:szCs w:val="20"/>
                      </w:rPr>
                      <m:t>+7</m:t>
                    </m:r>
                    <m:ctrlPr>
                      <w:rPr>
                        <w:rFonts w:ascii="Cambria Math" w:eastAsia="Times New Roman" w:hAnsi="Cambria Math"/>
                        <w:i/>
                        <w:color w:val="000000"/>
                        <w:sz w:val="20"/>
                        <w:szCs w:val="20"/>
                      </w:rPr>
                    </m:ctrlPr>
                  </m:sub>
                </m:sSub>
              </m:oMath>
            </m:oMathPara>
          </w:p>
        </w:tc>
        <w:tc>
          <w:tcPr>
            <w:tcW w:w="1014" w:type="pct"/>
            <w:tcBorders>
              <w:left w:val="single" w:sz="4" w:space="0" w:color="auto"/>
              <w:right w:val="single" w:sz="4" w:space="0" w:color="auto"/>
            </w:tcBorders>
            <w:shd w:val="clear" w:color="auto" w:fill="auto"/>
            <w:noWrap/>
            <w:vAlign w:val="bottom"/>
            <w:hideMark/>
          </w:tcPr>
          <w:p w:rsidR="00455DEE" w:rsidRPr="00522B4B" w:rsidRDefault="00455DEE" w:rsidP="00FA5866">
            <w:pPr>
              <w:spacing w:after="0" w:line="240" w:lineRule="auto"/>
              <w:jc w:val="right"/>
              <w:rPr>
                <w:color w:val="000000"/>
                <w:sz w:val="20"/>
                <w:szCs w:val="20"/>
              </w:rPr>
            </w:pPr>
            <w:r w:rsidRPr="00522B4B">
              <w:rPr>
                <w:color w:val="000000"/>
                <w:sz w:val="20"/>
                <w:szCs w:val="20"/>
              </w:rPr>
              <w:t>220</w:t>
            </w:r>
          </w:p>
        </w:tc>
        <w:tc>
          <w:tcPr>
            <w:tcW w:w="1317" w:type="pct"/>
            <w:tcBorders>
              <w:left w:val="single" w:sz="4" w:space="0" w:color="auto"/>
              <w:right w:val="single" w:sz="4" w:space="0" w:color="auto"/>
            </w:tcBorders>
            <w:shd w:val="clear" w:color="auto" w:fill="auto"/>
            <w:noWrap/>
            <w:vAlign w:val="bottom"/>
            <w:hideMark/>
          </w:tcPr>
          <w:p w:rsidR="00455DEE" w:rsidRPr="00522B4B" w:rsidRDefault="00455DEE" w:rsidP="00FA5866">
            <w:pPr>
              <w:spacing w:after="0" w:line="240" w:lineRule="auto"/>
              <w:jc w:val="right"/>
              <w:rPr>
                <w:color w:val="000000"/>
                <w:sz w:val="20"/>
                <w:szCs w:val="20"/>
              </w:rPr>
            </w:pPr>
            <w:r w:rsidRPr="00522B4B">
              <w:rPr>
                <w:color w:val="000000"/>
                <w:sz w:val="20"/>
                <w:szCs w:val="20"/>
              </w:rPr>
              <w:t>33.355</w:t>
            </w:r>
          </w:p>
        </w:tc>
        <w:tc>
          <w:tcPr>
            <w:tcW w:w="1215" w:type="pct"/>
            <w:tcBorders>
              <w:left w:val="single" w:sz="4" w:space="0" w:color="auto"/>
            </w:tcBorders>
            <w:shd w:val="clear" w:color="auto" w:fill="auto"/>
            <w:noWrap/>
            <w:vAlign w:val="bottom"/>
            <w:hideMark/>
          </w:tcPr>
          <w:p w:rsidR="00455DEE" w:rsidRPr="00522B4B" w:rsidRDefault="00455DEE" w:rsidP="00FA5866">
            <w:pPr>
              <w:spacing w:after="0" w:line="240" w:lineRule="auto"/>
              <w:jc w:val="right"/>
              <w:rPr>
                <w:color w:val="000000"/>
                <w:sz w:val="20"/>
                <w:szCs w:val="20"/>
              </w:rPr>
            </w:pPr>
            <w:r w:rsidRPr="00522B4B">
              <w:rPr>
                <w:color w:val="000000"/>
                <w:sz w:val="20"/>
                <w:szCs w:val="20"/>
              </w:rPr>
              <w:t>353.658</w:t>
            </w:r>
          </w:p>
        </w:tc>
      </w:tr>
      <w:tr w:rsidR="00455DEE" w:rsidRPr="0068411E" w:rsidTr="00455DEE">
        <w:trPr>
          <w:trHeight w:val="384"/>
          <w:jc w:val="center"/>
        </w:trPr>
        <w:tc>
          <w:tcPr>
            <w:tcW w:w="1454" w:type="pct"/>
            <w:tcBorders>
              <w:right w:val="single" w:sz="4" w:space="0" w:color="auto"/>
            </w:tcBorders>
            <w:shd w:val="clear" w:color="auto" w:fill="auto"/>
            <w:noWrap/>
            <w:vAlign w:val="center"/>
            <w:hideMark/>
          </w:tcPr>
          <w:p w:rsidR="00455DEE" w:rsidRPr="00522B4B" w:rsidRDefault="00455DEE" w:rsidP="00FA5866">
            <w:pPr>
              <w:spacing w:after="0" w:line="240" w:lineRule="auto"/>
              <w:ind w:firstLine="0"/>
              <w:jc w:val="center"/>
              <w:rPr>
                <w:rFonts w:eastAsia="Times New Roman"/>
                <w:color w:val="000000"/>
                <w:sz w:val="20"/>
                <w:szCs w:val="20"/>
              </w:rPr>
            </w:pPr>
            <m:oMathPara>
              <m:oMath>
                <m:r>
                  <w:rPr>
                    <w:rFonts w:ascii="Cambria Math" w:eastAsia="Times New Roman" w:hAnsi="Cambria Math"/>
                    <w:color w:val="000000"/>
                    <w:sz w:val="20"/>
                    <w:szCs w:val="20"/>
                  </w:rPr>
                  <m:t>∆</m:t>
                </m:r>
                <m:sSub>
                  <m:sSubPr>
                    <m:ctrlPr>
                      <w:rPr>
                        <w:rFonts w:ascii="Cambria Math" w:eastAsia="Times New Roman" w:hAnsi="Cambria Math"/>
                        <w:color w:val="000000"/>
                        <w:sz w:val="20"/>
                        <w:szCs w:val="20"/>
                      </w:rPr>
                    </m:ctrlPr>
                  </m:sSubPr>
                  <m:e>
                    <m:r>
                      <m:rPr>
                        <m:sty m:val="p"/>
                      </m:rPr>
                      <w:rPr>
                        <w:rFonts w:ascii="Cambria Math" w:eastAsia="Times New Roman"/>
                        <w:color w:val="000000"/>
                        <w:sz w:val="20"/>
                        <w:szCs w:val="20"/>
                      </w:rPr>
                      <m:t>Π</m:t>
                    </m:r>
                    <m:ctrlPr>
                      <w:rPr>
                        <w:rFonts w:ascii="Cambria Math" w:eastAsia="Times New Roman" w:hAnsi="Cambria Math"/>
                        <w:i/>
                        <w:color w:val="000000"/>
                        <w:sz w:val="20"/>
                        <w:szCs w:val="20"/>
                      </w:rPr>
                    </m:ctrlPr>
                  </m:e>
                  <m:sub>
                    <m:r>
                      <w:rPr>
                        <w:rFonts w:ascii="Cambria Math" w:eastAsia="Times New Roman" w:hAnsi="Cambria Math"/>
                        <w:color w:val="000000"/>
                        <w:sz w:val="20"/>
                        <w:szCs w:val="20"/>
                      </w:rPr>
                      <m:t>t</m:t>
                    </m:r>
                    <m:r>
                      <w:rPr>
                        <w:rFonts w:ascii="Cambria Math" w:eastAsia="Times New Roman"/>
                        <w:color w:val="000000"/>
                        <w:sz w:val="20"/>
                        <w:szCs w:val="20"/>
                      </w:rPr>
                      <m:t>+8</m:t>
                    </m:r>
                    <m:ctrlPr>
                      <w:rPr>
                        <w:rFonts w:ascii="Cambria Math" w:eastAsia="Times New Roman" w:hAnsi="Cambria Math"/>
                        <w:i/>
                        <w:color w:val="000000"/>
                        <w:sz w:val="20"/>
                        <w:szCs w:val="20"/>
                      </w:rPr>
                    </m:ctrlPr>
                  </m:sub>
                </m:sSub>
              </m:oMath>
            </m:oMathPara>
          </w:p>
        </w:tc>
        <w:tc>
          <w:tcPr>
            <w:tcW w:w="1014" w:type="pct"/>
            <w:tcBorders>
              <w:left w:val="single" w:sz="4" w:space="0" w:color="auto"/>
              <w:right w:val="single" w:sz="4" w:space="0" w:color="auto"/>
            </w:tcBorders>
            <w:shd w:val="clear" w:color="auto" w:fill="auto"/>
            <w:noWrap/>
            <w:vAlign w:val="bottom"/>
            <w:hideMark/>
          </w:tcPr>
          <w:p w:rsidR="00455DEE" w:rsidRPr="00522B4B" w:rsidRDefault="00455DEE" w:rsidP="00FA5866">
            <w:pPr>
              <w:spacing w:after="0" w:line="240" w:lineRule="auto"/>
              <w:jc w:val="right"/>
              <w:rPr>
                <w:color w:val="000000"/>
                <w:sz w:val="20"/>
                <w:szCs w:val="20"/>
              </w:rPr>
            </w:pPr>
            <w:r w:rsidRPr="00522B4B">
              <w:rPr>
                <w:color w:val="000000"/>
                <w:sz w:val="20"/>
                <w:szCs w:val="20"/>
              </w:rPr>
              <w:t>213</w:t>
            </w:r>
          </w:p>
        </w:tc>
        <w:tc>
          <w:tcPr>
            <w:tcW w:w="1317" w:type="pct"/>
            <w:tcBorders>
              <w:left w:val="single" w:sz="4" w:space="0" w:color="auto"/>
              <w:right w:val="single" w:sz="4" w:space="0" w:color="auto"/>
            </w:tcBorders>
            <w:shd w:val="clear" w:color="auto" w:fill="auto"/>
            <w:noWrap/>
            <w:vAlign w:val="bottom"/>
            <w:hideMark/>
          </w:tcPr>
          <w:p w:rsidR="00455DEE" w:rsidRPr="00522B4B" w:rsidRDefault="00455DEE" w:rsidP="00FA5866">
            <w:pPr>
              <w:spacing w:after="0" w:line="240" w:lineRule="auto"/>
              <w:jc w:val="right"/>
              <w:rPr>
                <w:color w:val="000000"/>
                <w:sz w:val="20"/>
                <w:szCs w:val="20"/>
              </w:rPr>
            </w:pPr>
            <w:r w:rsidRPr="00522B4B">
              <w:rPr>
                <w:color w:val="000000"/>
                <w:sz w:val="20"/>
                <w:szCs w:val="20"/>
              </w:rPr>
              <w:t>11.706</w:t>
            </w:r>
          </w:p>
        </w:tc>
        <w:tc>
          <w:tcPr>
            <w:tcW w:w="1215" w:type="pct"/>
            <w:tcBorders>
              <w:left w:val="single" w:sz="4" w:space="0" w:color="auto"/>
            </w:tcBorders>
            <w:shd w:val="clear" w:color="auto" w:fill="auto"/>
            <w:noWrap/>
            <w:vAlign w:val="bottom"/>
            <w:hideMark/>
          </w:tcPr>
          <w:p w:rsidR="00455DEE" w:rsidRPr="00522B4B" w:rsidRDefault="00455DEE" w:rsidP="00FA5866">
            <w:pPr>
              <w:spacing w:after="0" w:line="240" w:lineRule="auto"/>
              <w:jc w:val="right"/>
              <w:rPr>
                <w:color w:val="000000"/>
                <w:sz w:val="20"/>
                <w:szCs w:val="20"/>
              </w:rPr>
            </w:pPr>
            <w:r w:rsidRPr="00522B4B">
              <w:rPr>
                <w:color w:val="000000"/>
                <w:sz w:val="20"/>
                <w:szCs w:val="20"/>
              </w:rPr>
              <w:t>368.251</w:t>
            </w:r>
          </w:p>
        </w:tc>
      </w:tr>
      <w:tr w:rsidR="00455DEE" w:rsidRPr="0068411E" w:rsidTr="00455DEE">
        <w:trPr>
          <w:trHeight w:val="384"/>
          <w:jc w:val="center"/>
        </w:trPr>
        <w:tc>
          <w:tcPr>
            <w:tcW w:w="1454" w:type="pct"/>
            <w:tcBorders>
              <w:right w:val="single" w:sz="4" w:space="0" w:color="auto"/>
            </w:tcBorders>
            <w:shd w:val="clear" w:color="auto" w:fill="auto"/>
            <w:noWrap/>
            <w:vAlign w:val="center"/>
            <w:hideMark/>
          </w:tcPr>
          <w:p w:rsidR="00455DEE" w:rsidRPr="00522B4B" w:rsidRDefault="00455DEE" w:rsidP="00FA5866">
            <w:pPr>
              <w:spacing w:after="0" w:line="240" w:lineRule="auto"/>
              <w:ind w:firstLine="0"/>
              <w:jc w:val="center"/>
              <w:rPr>
                <w:rFonts w:eastAsia="Times New Roman"/>
                <w:color w:val="000000"/>
                <w:sz w:val="20"/>
                <w:szCs w:val="20"/>
              </w:rPr>
            </w:pPr>
            <m:oMathPara>
              <m:oMath>
                <m:r>
                  <w:rPr>
                    <w:rFonts w:ascii="Cambria Math" w:eastAsia="Times New Roman" w:hAnsi="Cambria Math"/>
                    <w:color w:val="000000"/>
                    <w:sz w:val="20"/>
                    <w:szCs w:val="20"/>
                  </w:rPr>
                  <m:t>∆</m:t>
                </m:r>
                <m:sSub>
                  <m:sSubPr>
                    <m:ctrlPr>
                      <w:rPr>
                        <w:rFonts w:ascii="Cambria Math" w:eastAsia="Times New Roman" w:hAnsi="Cambria Math"/>
                        <w:color w:val="000000"/>
                        <w:sz w:val="20"/>
                        <w:szCs w:val="20"/>
                      </w:rPr>
                    </m:ctrlPr>
                  </m:sSubPr>
                  <m:e>
                    <m:r>
                      <m:rPr>
                        <m:sty m:val="p"/>
                      </m:rPr>
                      <w:rPr>
                        <w:rFonts w:ascii="Cambria Math" w:eastAsia="Times New Roman"/>
                        <w:color w:val="000000"/>
                        <w:sz w:val="20"/>
                        <w:szCs w:val="20"/>
                      </w:rPr>
                      <m:t>Π</m:t>
                    </m:r>
                    <m:ctrlPr>
                      <w:rPr>
                        <w:rFonts w:ascii="Cambria Math" w:eastAsia="Times New Roman" w:hAnsi="Cambria Math"/>
                        <w:i/>
                        <w:color w:val="000000"/>
                        <w:sz w:val="20"/>
                        <w:szCs w:val="20"/>
                      </w:rPr>
                    </m:ctrlPr>
                  </m:e>
                  <m:sub>
                    <m:r>
                      <w:rPr>
                        <w:rFonts w:ascii="Cambria Math" w:eastAsia="Times New Roman" w:hAnsi="Cambria Math"/>
                        <w:color w:val="000000"/>
                        <w:sz w:val="20"/>
                        <w:szCs w:val="20"/>
                      </w:rPr>
                      <m:t>t</m:t>
                    </m:r>
                    <m:r>
                      <w:rPr>
                        <w:rFonts w:ascii="Cambria Math" w:eastAsia="Times New Roman"/>
                        <w:color w:val="000000"/>
                        <w:sz w:val="20"/>
                        <w:szCs w:val="20"/>
                      </w:rPr>
                      <m:t>+9</m:t>
                    </m:r>
                    <m:ctrlPr>
                      <w:rPr>
                        <w:rFonts w:ascii="Cambria Math" w:eastAsia="Times New Roman" w:hAnsi="Cambria Math"/>
                        <w:i/>
                        <w:color w:val="000000"/>
                        <w:sz w:val="20"/>
                        <w:szCs w:val="20"/>
                      </w:rPr>
                    </m:ctrlPr>
                  </m:sub>
                </m:sSub>
              </m:oMath>
            </m:oMathPara>
          </w:p>
        </w:tc>
        <w:tc>
          <w:tcPr>
            <w:tcW w:w="1014" w:type="pct"/>
            <w:tcBorders>
              <w:left w:val="single" w:sz="4" w:space="0" w:color="auto"/>
              <w:right w:val="single" w:sz="4" w:space="0" w:color="auto"/>
            </w:tcBorders>
            <w:shd w:val="clear" w:color="auto" w:fill="auto"/>
            <w:noWrap/>
            <w:vAlign w:val="bottom"/>
            <w:hideMark/>
          </w:tcPr>
          <w:p w:rsidR="00455DEE" w:rsidRPr="00522B4B" w:rsidRDefault="00455DEE" w:rsidP="00FA5866">
            <w:pPr>
              <w:spacing w:after="0" w:line="240" w:lineRule="auto"/>
              <w:jc w:val="right"/>
              <w:rPr>
                <w:color w:val="000000"/>
                <w:sz w:val="20"/>
                <w:szCs w:val="20"/>
              </w:rPr>
            </w:pPr>
            <w:r w:rsidRPr="00522B4B">
              <w:rPr>
                <w:color w:val="000000"/>
                <w:sz w:val="20"/>
                <w:szCs w:val="20"/>
              </w:rPr>
              <w:t>196</w:t>
            </w:r>
          </w:p>
        </w:tc>
        <w:tc>
          <w:tcPr>
            <w:tcW w:w="1317" w:type="pct"/>
            <w:tcBorders>
              <w:left w:val="single" w:sz="4" w:space="0" w:color="auto"/>
              <w:right w:val="single" w:sz="4" w:space="0" w:color="auto"/>
            </w:tcBorders>
            <w:shd w:val="clear" w:color="auto" w:fill="auto"/>
            <w:noWrap/>
            <w:vAlign w:val="bottom"/>
            <w:hideMark/>
          </w:tcPr>
          <w:p w:rsidR="00455DEE" w:rsidRPr="00522B4B" w:rsidRDefault="00455DEE" w:rsidP="00FA5866">
            <w:pPr>
              <w:spacing w:after="0" w:line="240" w:lineRule="auto"/>
              <w:jc w:val="right"/>
              <w:rPr>
                <w:color w:val="000000"/>
                <w:sz w:val="20"/>
                <w:szCs w:val="20"/>
              </w:rPr>
            </w:pPr>
            <w:r w:rsidRPr="00522B4B">
              <w:rPr>
                <w:color w:val="000000"/>
                <w:sz w:val="20"/>
                <w:szCs w:val="20"/>
              </w:rPr>
              <w:t>23.282</w:t>
            </w:r>
          </w:p>
        </w:tc>
        <w:tc>
          <w:tcPr>
            <w:tcW w:w="1215" w:type="pct"/>
            <w:tcBorders>
              <w:left w:val="single" w:sz="4" w:space="0" w:color="auto"/>
            </w:tcBorders>
            <w:shd w:val="clear" w:color="auto" w:fill="auto"/>
            <w:noWrap/>
            <w:vAlign w:val="bottom"/>
            <w:hideMark/>
          </w:tcPr>
          <w:p w:rsidR="00455DEE" w:rsidRPr="00522B4B" w:rsidRDefault="00455DEE" w:rsidP="00FA5866">
            <w:pPr>
              <w:spacing w:after="0" w:line="240" w:lineRule="auto"/>
              <w:jc w:val="right"/>
              <w:rPr>
                <w:color w:val="000000"/>
                <w:sz w:val="20"/>
                <w:szCs w:val="20"/>
              </w:rPr>
            </w:pPr>
            <w:r w:rsidRPr="00522B4B">
              <w:rPr>
                <w:color w:val="000000"/>
                <w:sz w:val="20"/>
                <w:szCs w:val="20"/>
              </w:rPr>
              <w:t>386.986</w:t>
            </w:r>
          </w:p>
        </w:tc>
      </w:tr>
      <w:tr w:rsidR="00455DEE" w:rsidRPr="0068411E" w:rsidTr="00455DEE">
        <w:trPr>
          <w:trHeight w:val="384"/>
          <w:jc w:val="center"/>
        </w:trPr>
        <w:tc>
          <w:tcPr>
            <w:tcW w:w="1454" w:type="pct"/>
            <w:tcBorders>
              <w:right w:val="single" w:sz="4" w:space="0" w:color="auto"/>
            </w:tcBorders>
            <w:shd w:val="clear" w:color="auto" w:fill="auto"/>
            <w:noWrap/>
            <w:vAlign w:val="center"/>
            <w:hideMark/>
          </w:tcPr>
          <w:p w:rsidR="00455DEE" w:rsidRPr="00522B4B" w:rsidRDefault="00455DEE" w:rsidP="00FA5866">
            <w:pPr>
              <w:spacing w:after="0" w:line="240" w:lineRule="auto"/>
              <w:ind w:firstLine="0"/>
              <w:jc w:val="center"/>
              <w:rPr>
                <w:rFonts w:eastAsia="Times New Roman"/>
                <w:color w:val="000000"/>
                <w:sz w:val="20"/>
                <w:szCs w:val="20"/>
              </w:rPr>
            </w:pPr>
            <m:oMathPara>
              <m:oMath>
                <m:r>
                  <w:rPr>
                    <w:rFonts w:ascii="Cambria Math" w:eastAsia="Times New Roman" w:hAnsi="Cambria Math"/>
                    <w:color w:val="000000"/>
                    <w:sz w:val="20"/>
                    <w:szCs w:val="20"/>
                  </w:rPr>
                  <m:t>∆</m:t>
                </m:r>
                <m:sSub>
                  <m:sSubPr>
                    <m:ctrlPr>
                      <w:rPr>
                        <w:rFonts w:ascii="Cambria Math" w:eastAsia="Times New Roman" w:hAnsi="Cambria Math"/>
                        <w:color w:val="000000"/>
                        <w:sz w:val="20"/>
                        <w:szCs w:val="20"/>
                      </w:rPr>
                    </m:ctrlPr>
                  </m:sSubPr>
                  <m:e>
                    <m:r>
                      <m:rPr>
                        <m:sty m:val="p"/>
                      </m:rPr>
                      <w:rPr>
                        <w:rFonts w:ascii="Cambria Math" w:eastAsia="Times New Roman"/>
                        <w:color w:val="000000"/>
                        <w:sz w:val="20"/>
                        <w:szCs w:val="20"/>
                      </w:rPr>
                      <m:t>Π</m:t>
                    </m:r>
                    <m:ctrlPr>
                      <w:rPr>
                        <w:rFonts w:ascii="Cambria Math" w:eastAsia="Times New Roman" w:hAnsi="Cambria Math"/>
                        <w:i/>
                        <w:color w:val="000000"/>
                        <w:sz w:val="20"/>
                        <w:szCs w:val="20"/>
                      </w:rPr>
                    </m:ctrlPr>
                  </m:e>
                  <m:sub>
                    <m:r>
                      <w:rPr>
                        <w:rFonts w:ascii="Cambria Math" w:eastAsia="Times New Roman" w:hAnsi="Cambria Math"/>
                        <w:color w:val="000000"/>
                        <w:sz w:val="20"/>
                        <w:szCs w:val="20"/>
                      </w:rPr>
                      <m:t>t</m:t>
                    </m:r>
                    <m:r>
                      <w:rPr>
                        <w:rFonts w:ascii="Cambria Math" w:eastAsia="Times New Roman"/>
                        <w:color w:val="000000"/>
                        <w:sz w:val="20"/>
                        <w:szCs w:val="20"/>
                      </w:rPr>
                      <m:t>+10</m:t>
                    </m:r>
                    <m:ctrlPr>
                      <w:rPr>
                        <w:rFonts w:ascii="Cambria Math" w:eastAsia="Times New Roman" w:hAnsi="Cambria Math"/>
                        <w:i/>
                        <w:color w:val="000000"/>
                        <w:sz w:val="20"/>
                        <w:szCs w:val="20"/>
                      </w:rPr>
                    </m:ctrlPr>
                  </m:sub>
                </m:sSub>
              </m:oMath>
            </m:oMathPara>
          </w:p>
        </w:tc>
        <w:tc>
          <w:tcPr>
            <w:tcW w:w="1014" w:type="pct"/>
            <w:tcBorders>
              <w:left w:val="single" w:sz="4" w:space="0" w:color="auto"/>
              <w:right w:val="single" w:sz="4" w:space="0" w:color="auto"/>
            </w:tcBorders>
            <w:shd w:val="clear" w:color="auto" w:fill="auto"/>
            <w:noWrap/>
            <w:vAlign w:val="bottom"/>
            <w:hideMark/>
          </w:tcPr>
          <w:p w:rsidR="00455DEE" w:rsidRPr="00522B4B" w:rsidRDefault="00455DEE" w:rsidP="00FA5866">
            <w:pPr>
              <w:spacing w:after="0" w:line="240" w:lineRule="auto"/>
              <w:jc w:val="right"/>
              <w:rPr>
                <w:color w:val="000000"/>
                <w:sz w:val="20"/>
                <w:szCs w:val="20"/>
              </w:rPr>
            </w:pPr>
            <w:r w:rsidRPr="00522B4B">
              <w:rPr>
                <w:color w:val="000000"/>
                <w:sz w:val="20"/>
                <w:szCs w:val="20"/>
              </w:rPr>
              <w:t>194</w:t>
            </w:r>
          </w:p>
        </w:tc>
        <w:tc>
          <w:tcPr>
            <w:tcW w:w="1317" w:type="pct"/>
            <w:tcBorders>
              <w:left w:val="single" w:sz="4" w:space="0" w:color="auto"/>
              <w:right w:val="single" w:sz="4" w:space="0" w:color="auto"/>
            </w:tcBorders>
            <w:shd w:val="clear" w:color="auto" w:fill="auto"/>
            <w:noWrap/>
            <w:vAlign w:val="bottom"/>
            <w:hideMark/>
          </w:tcPr>
          <w:p w:rsidR="00455DEE" w:rsidRPr="00522B4B" w:rsidRDefault="00455DEE" w:rsidP="00FA5866">
            <w:pPr>
              <w:spacing w:after="0" w:line="240" w:lineRule="auto"/>
              <w:jc w:val="right"/>
              <w:rPr>
                <w:color w:val="000000"/>
                <w:sz w:val="20"/>
                <w:szCs w:val="20"/>
              </w:rPr>
            </w:pPr>
            <w:r w:rsidRPr="00522B4B">
              <w:rPr>
                <w:color w:val="000000"/>
                <w:sz w:val="20"/>
                <w:szCs w:val="20"/>
              </w:rPr>
              <w:t>-11.254</w:t>
            </w:r>
          </w:p>
        </w:tc>
        <w:tc>
          <w:tcPr>
            <w:tcW w:w="1215" w:type="pct"/>
            <w:tcBorders>
              <w:left w:val="single" w:sz="4" w:space="0" w:color="auto"/>
            </w:tcBorders>
            <w:shd w:val="clear" w:color="auto" w:fill="auto"/>
            <w:noWrap/>
            <w:vAlign w:val="bottom"/>
            <w:hideMark/>
          </w:tcPr>
          <w:p w:rsidR="00455DEE" w:rsidRPr="00522B4B" w:rsidRDefault="00455DEE" w:rsidP="00FA5866">
            <w:pPr>
              <w:spacing w:after="0" w:line="240" w:lineRule="auto"/>
              <w:jc w:val="right"/>
              <w:rPr>
                <w:color w:val="000000"/>
                <w:sz w:val="20"/>
                <w:szCs w:val="20"/>
              </w:rPr>
            </w:pPr>
            <w:r w:rsidRPr="00522B4B">
              <w:rPr>
                <w:color w:val="000000"/>
                <w:sz w:val="20"/>
                <w:szCs w:val="20"/>
              </w:rPr>
              <w:t>358.724</w:t>
            </w:r>
          </w:p>
        </w:tc>
      </w:tr>
      <w:tr w:rsidR="00455DEE" w:rsidRPr="0068411E" w:rsidTr="00455DEE">
        <w:trPr>
          <w:trHeight w:val="384"/>
          <w:jc w:val="center"/>
        </w:trPr>
        <w:tc>
          <w:tcPr>
            <w:tcW w:w="1454" w:type="pct"/>
            <w:tcBorders>
              <w:right w:val="single" w:sz="4" w:space="0" w:color="auto"/>
            </w:tcBorders>
            <w:shd w:val="clear" w:color="auto" w:fill="auto"/>
            <w:noWrap/>
            <w:vAlign w:val="center"/>
            <w:hideMark/>
          </w:tcPr>
          <w:p w:rsidR="00455DEE" w:rsidRPr="00522B4B" w:rsidRDefault="00455DEE" w:rsidP="00FA5866">
            <w:pPr>
              <w:spacing w:after="0" w:line="240" w:lineRule="auto"/>
              <w:ind w:firstLine="0"/>
              <w:jc w:val="center"/>
              <w:rPr>
                <w:rFonts w:eastAsia="Times New Roman"/>
                <w:color w:val="000000"/>
                <w:sz w:val="20"/>
                <w:szCs w:val="20"/>
              </w:rPr>
            </w:pPr>
            <m:oMathPara>
              <m:oMath>
                <m:r>
                  <w:rPr>
                    <w:rFonts w:ascii="Cambria Math" w:eastAsia="Times New Roman" w:hAnsi="Cambria Math"/>
                    <w:color w:val="000000"/>
                    <w:sz w:val="20"/>
                    <w:szCs w:val="20"/>
                  </w:rPr>
                  <m:t>∆</m:t>
                </m:r>
                <m:sSub>
                  <m:sSubPr>
                    <m:ctrlPr>
                      <w:rPr>
                        <w:rFonts w:ascii="Cambria Math" w:eastAsia="Times New Roman" w:hAnsi="Cambria Math"/>
                        <w:color w:val="000000"/>
                        <w:sz w:val="20"/>
                        <w:szCs w:val="20"/>
                      </w:rPr>
                    </m:ctrlPr>
                  </m:sSubPr>
                  <m:e>
                    <m:r>
                      <m:rPr>
                        <m:sty m:val="p"/>
                      </m:rPr>
                      <w:rPr>
                        <w:rFonts w:ascii="Cambria Math" w:eastAsia="Times New Roman"/>
                        <w:color w:val="000000"/>
                        <w:sz w:val="20"/>
                        <w:szCs w:val="20"/>
                      </w:rPr>
                      <m:t>Π</m:t>
                    </m:r>
                    <m:ctrlPr>
                      <w:rPr>
                        <w:rFonts w:ascii="Cambria Math" w:eastAsia="Times New Roman" w:hAnsi="Cambria Math"/>
                        <w:i/>
                        <w:color w:val="000000"/>
                        <w:sz w:val="20"/>
                        <w:szCs w:val="20"/>
                      </w:rPr>
                    </m:ctrlPr>
                  </m:e>
                  <m:sub>
                    <m:r>
                      <w:rPr>
                        <w:rFonts w:ascii="Cambria Math" w:eastAsia="Times New Roman" w:hAnsi="Cambria Math"/>
                        <w:color w:val="000000"/>
                        <w:sz w:val="20"/>
                        <w:szCs w:val="20"/>
                      </w:rPr>
                      <m:t>t</m:t>
                    </m:r>
                    <m:r>
                      <w:rPr>
                        <w:rFonts w:ascii="Cambria Math" w:eastAsia="Times New Roman"/>
                        <w:color w:val="000000"/>
                        <w:sz w:val="20"/>
                        <w:szCs w:val="20"/>
                      </w:rPr>
                      <m:t>+11</m:t>
                    </m:r>
                    <m:ctrlPr>
                      <w:rPr>
                        <w:rFonts w:ascii="Cambria Math" w:eastAsia="Times New Roman" w:hAnsi="Cambria Math"/>
                        <w:i/>
                        <w:color w:val="000000"/>
                        <w:sz w:val="20"/>
                        <w:szCs w:val="20"/>
                      </w:rPr>
                    </m:ctrlPr>
                  </m:sub>
                </m:sSub>
              </m:oMath>
            </m:oMathPara>
          </w:p>
        </w:tc>
        <w:tc>
          <w:tcPr>
            <w:tcW w:w="1014" w:type="pct"/>
            <w:tcBorders>
              <w:left w:val="single" w:sz="4" w:space="0" w:color="auto"/>
              <w:right w:val="single" w:sz="4" w:space="0" w:color="auto"/>
            </w:tcBorders>
            <w:shd w:val="clear" w:color="auto" w:fill="auto"/>
            <w:noWrap/>
            <w:vAlign w:val="bottom"/>
            <w:hideMark/>
          </w:tcPr>
          <w:p w:rsidR="00455DEE" w:rsidRPr="00522B4B" w:rsidRDefault="00455DEE" w:rsidP="00FA5866">
            <w:pPr>
              <w:spacing w:after="0" w:line="240" w:lineRule="auto"/>
              <w:jc w:val="right"/>
              <w:rPr>
                <w:color w:val="000000"/>
                <w:sz w:val="20"/>
                <w:szCs w:val="20"/>
              </w:rPr>
            </w:pPr>
            <w:r w:rsidRPr="00522B4B">
              <w:rPr>
                <w:color w:val="000000"/>
                <w:sz w:val="20"/>
                <w:szCs w:val="20"/>
              </w:rPr>
              <w:t>189</w:t>
            </w:r>
          </w:p>
        </w:tc>
        <w:tc>
          <w:tcPr>
            <w:tcW w:w="1317" w:type="pct"/>
            <w:tcBorders>
              <w:left w:val="single" w:sz="4" w:space="0" w:color="auto"/>
              <w:right w:val="single" w:sz="4" w:space="0" w:color="auto"/>
            </w:tcBorders>
            <w:shd w:val="clear" w:color="auto" w:fill="auto"/>
            <w:noWrap/>
            <w:vAlign w:val="bottom"/>
            <w:hideMark/>
          </w:tcPr>
          <w:p w:rsidR="00455DEE" w:rsidRPr="00522B4B" w:rsidRDefault="00455DEE" w:rsidP="00FA5866">
            <w:pPr>
              <w:spacing w:after="0" w:line="240" w:lineRule="auto"/>
              <w:jc w:val="right"/>
              <w:rPr>
                <w:color w:val="000000"/>
                <w:sz w:val="20"/>
                <w:szCs w:val="20"/>
              </w:rPr>
            </w:pPr>
            <w:r w:rsidRPr="00522B4B">
              <w:rPr>
                <w:color w:val="000000"/>
                <w:sz w:val="20"/>
                <w:szCs w:val="20"/>
              </w:rPr>
              <w:t>19.278</w:t>
            </w:r>
          </w:p>
        </w:tc>
        <w:tc>
          <w:tcPr>
            <w:tcW w:w="1215" w:type="pct"/>
            <w:tcBorders>
              <w:left w:val="single" w:sz="4" w:space="0" w:color="auto"/>
            </w:tcBorders>
            <w:shd w:val="clear" w:color="auto" w:fill="auto"/>
            <w:noWrap/>
            <w:vAlign w:val="bottom"/>
            <w:hideMark/>
          </w:tcPr>
          <w:p w:rsidR="00455DEE" w:rsidRPr="00522B4B" w:rsidRDefault="00455DEE" w:rsidP="00FA5866">
            <w:pPr>
              <w:spacing w:after="0" w:line="240" w:lineRule="auto"/>
              <w:jc w:val="right"/>
              <w:rPr>
                <w:color w:val="000000"/>
                <w:sz w:val="20"/>
                <w:szCs w:val="20"/>
              </w:rPr>
            </w:pPr>
            <w:r w:rsidRPr="00522B4B">
              <w:rPr>
                <w:color w:val="000000"/>
                <w:sz w:val="20"/>
                <w:szCs w:val="20"/>
              </w:rPr>
              <w:t>377.992</w:t>
            </w:r>
          </w:p>
        </w:tc>
      </w:tr>
      <w:tr w:rsidR="00455DEE" w:rsidRPr="0068411E" w:rsidTr="00455DEE">
        <w:trPr>
          <w:trHeight w:val="384"/>
          <w:jc w:val="center"/>
        </w:trPr>
        <w:tc>
          <w:tcPr>
            <w:tcW w:w="1454" w:type="pct"/>
            <w:tcBorders>
              <w:right w:val="single" w:sz="4" w:space="0" w:color="auto"/>
            </w:tcBorders>
            <w:shd w:val="clear" w:color="auto" w:fill="auto"/>
            <w:noWrap/>
            <w:vAlign w:val="center"/>
            <w:hideMark/>
          </w:tcPr>
          <w:p w:rsidR="00455DEE" w:rsidRPr="00522B4B" w:rsidRDefault="00455DEE" w:rsidP="00FA5866">
            <w:pPr>
              <w:spacing w:after="0" w:line="240" w:lineRule="auto"/>
              <w:ind w:firstLine="0"/>
              <w:jc w:val="center"/>
              <w:rPr>
                <w:rFonts w:eastAsia="Times New Roman"/>
                <w:color w:val="000000"/>
                <w:sz w:val="20"/>
                <w:szCs w:val="20"/>
              </w:rPr>
            </w:pPr>
            <m:oMathPara>
              <m:oMath>
                <m:r>
                  <w:rPr>
                    <w:rFonts w:ascii="Cambria Math" w:eastAsia="Times New Roman" w:hAnsi="Cambria Math"/>
                    <w:color w:val="000000"/>
                    <w:sz w:val="20"/>
                    <w:szCs w:val="20"/>
                  </w:rPr>
                  <m:t>∆</m:t>
                </m:r>
                <m:sSub>
                  <m:sSubPr>
                    <m:ctrlPr>
                      <w:rPr>
                        <w:rFonts w:ascii="Cambria Math" w:eastAsia="Times New Roman" w:hAnsi="Cambria Math"/>
                        <w:color w:val="000000"/>
                        <w:sz w:val="20"/>
                        <w:szCs w:val="20"/>
                      </w:rPr>
                    </m:ctrlPr>
                  </m:sSubPr>
                  <m:e>
                    <m:r>
                      <m:rPr>
                        <m:sty m:val="p"/>
                      </m:rPr>
                      <w:rPr>
                        <w:rFonts w:ascii="Cambria Math" w:eastAsia="Times New Roman"/>
                        <w:color w:val="000000"/>
                        <w:sz w:val="20"/>
                        <w:szCs w:val="20"/>
                      </w:rPr>
                      <m:t>Π</m:t>
                    </m:r>
                    <m:ctrlPr>
                      <w:rPr>
                        <w:rFonts w:ascii="Cambria Math" w:eastAsia="Times New Roman" w:hAnsi="Cambria Math"/>
                        <w:i/>
                        <w:color w:val="000000"/>
                        <w:sz w:val="20"/>
                        <w:szCs w:val="20"/>
                      </w:rPr>
                    </m:ctrlPr>
                  </m:e>
                  <m:sub>
                    <m:r>
                      <w:rPr>
                        <w:rFonts w:ascii="Cambria Math" w:eastAsia="Times New Roman" w:hAnsi="Cambria Math"/>
                        <w:color w:val="000000"/>
                        <w:sz w:val="20"/>
                        <w:szCs w:val="20"/>
                      </w:rPr>
                      <m:t>t</m:t>
                    </m:r>
                    <m:r>
                      <w:rPr>
                        <w:rFonts w:ascii="Cambria Math" w:eastAsia="Times New Roman"/>
                        <w:color w:val="000000"/>
                        <w:sz w:val="20"/>
                        <w:szCs w:val="20"/>
                      </w:rPr>
                      <m:t>+12</m:t>
                    </m:r>
                    <m:ctrlPr>
                      <w:rPr>
                        <w:rFonts w:ascii="Cambria Math" w:eastAsia="Times New Roman" w:hAnsi="Cambria Math"/>
                        <w:i/>
                        <w:color w:val="000000"/>
                        <w:sz w:val="20"/>
                        <w:szCs w:val="20"/>
                      </w:rPr>
                    </m:ctrlPr>
                  </m:sub>
                </m:sSub>
              </m:oMath>
            </m:oMathPara>
          </w:p>
        </w:tc>
        <w:tc>
          <w:tcPr>
            <w:tcW w:w="1014" w:type="pct"/>
            <w:tcBorders>
              <w:left w:val="single" w:sz="4" w:space="0" w:color="auto"/>
              <w:right w:val="single" w:sz="4" w:space="0" w:color="auto"/>
            </w:tcBorders>
            <w:shd w:val="clear" w:color="auto" w:fill="auto"/>
            <w:noWrap/>
            <w:vAlign w:val="bottom"/>
            <w:hideMark/>
          </w:tcPr>
          <w:p w:rsidR="00455DEE" w:rsidRPr="00522B4B" w:rsidRDefault="00455DEE" w:rsidP="00FA5866">
            <w:pPr>
              <w:spacing w:after="0" w:line="240" w:lineRule="auto"/>
              <w:jc w:val="right"/>
              <w:rPr>
                <w:color w:val="000000"/>
                <w:sz w:val="20"/>
                <w:szCs w:val="20"/>
              </w:rPr>
            </w:pPr>
            <w:r w:rsidRPr="00522B4B">
              <w:rPr>
                <w:color w:val="000000"/>
                <w:sz w:val="20"/>
                <w:szCs w:val="20"/>
              </w:rPr>
              <w:t>128</w:t>
            </w:r>
          </w:p>
        </w:tc>
        <w:tc>
          <w:tcPr>
            <w:tcW w:w="1317" w:type="pct"/>
            <w:tcBorders>
              <w:left w:val="single" w:sz="4" w:space="0" w:color="auto"/>
              <w:right w:val="single" w:sz="4" w:space="0" w:color="auto"/>
            </w:tcBorders>
            <w:shd w:val="clear" w:color="auto" w:fill="auto"/>
            <w:noWrap/>
            <w:vAlign w:val="bottom"/>
            <w:hideMark/>
          </w:tcPr>
          <w:p w:rsidR="00455DEE" w:rsidRPr="00522B4B" w:rsidRDefault="00455DEE" w:rsidP="00FA5866">
            <w:pPr>
              <w:spacing w:after="0" w:line="240" w:lineRule="auto"/>
              <w:jc w:val="right"/>
              <w:rPr>
                <w:color w:val="000000"/>
                <w:sz w:val="20"/>
                <w:szCs w:val="20"/>
              </w:rPr>
            </w:pPr>
            <w:r w:rsidRPr="00522B4B">
              <w:rPr>
                <w:color w:val="000000"/>
                <w:sz w:val="20"/>
                <w:szCs w:val="20"/>
              </w:rPr>
              <w:t>6.141</w:t>
            </w:r>
          </w:p>
        </w:tc>
        <w:tc>
          <w:tcPr>
            <w:tcW w:w="1215" w:type="pct"/>
            <w:tcBorders>
              <w:left w:val="single" w:sz="4" w:space="0" w:color="auto"/>
            </w:tcBorders>
            <w:shd w:val="clear" w:color="auto" w:fill="auto"/>
            <w:noWrap/>
            <w:vAlign w:val="bottom"/>
            <w:hideMark/>
          </w:tcPr>
          <w:p w:rsidR="00455DEE" w:rsidRPr="00522B4B" w:rsidRDefault="00455DEE" w:rsidP="00FA5866">
            <w:pPr>
              <w:spacing w:after="0" w:line="240" w:lineRule="auto"/>
              <w:jc w:val="right"/>
              <w:rPr>
                <w:color w:val="000000"/>
                <w:sz w:val="20"/>
                <w:szCs w:val="20"/>
              </w:rPr>
            </w:pPr>
            <w:r w:rsidRPr="00522B4B">
              <w:rPr>
                <w:color w:val="000000"/>
                <w:sz w:val="20"/>
                <w:szCs w:val="20"/>
              </w:rPr>
              <w:t>498.159</w:t>
            </w:r>
          </w:p>
        </w:tc>
      </w:tr>
      <w:tr w:rsidR="00455DEE" w:rsidRPr="0068411E" w:rsidTr="00455DEE">
        <w:trPr>
          <w:trHeight w:val="384"/>
          <w:jc w:val="center"/>
        </w:trPr>
        <w:tc>
          <w:tcPr>
            <w:tcW w:w="1454" w:type="pct"/>
            <w:tcBorders>
              <w:right w:val="single" w:sz="4" w:space="0" w:color="auto"/>
            </w:tcBorders>
            <w:shd w:val="clear" w:color="auto" w:fill="auto"/>
            <w:noWrap/>
            <w:vAlign w:val="center"/>
            <w:hideMark/>
          </w:tcPr>
          <w:p w:rsidR="00455DEE" w:rsidRPr="00522B4B" w:rsidRDefault="00455DEE" w:rsidP="00FA5866">
            <w:pPr>
              <w:spacing w:after="0" w:line="240" w:lineRule="auto"/>
              <w:ind w:firstLine="0"/>
              <w:jc w:val="center"/>
              <w:rPr>
                <w:rFonts w:eastAsia="Times New Roman"/>
                <w:b/>
                <w:color w:val="000000"/>
                <w:sz w:val="20"/>
                <w:szCs w:val="20"/>
              </w:rPr>
            </w:pPr>
            <m:oMathPara>
              <m:oMath>
                <m:r>
                  <m:rPr>
                    <m:sty m:val="bi"/>
                  </m:rPr>
                  <w:rPr>
                    <w:rFonts w:ascii="Cambria Math" w:eastAsia="Times New Roman" w:hAnsi="Cambria Math"/>
                    <w:color w:val="000000"/>
                    <w:sz w:val="20"/>
                    <w:szCs w:val="20"/>
                  </w:rPr>
                  <m:t>∆</m:t>
                </m:r>
                <m:sSub>
                  <m:sSubPr>
                    <m:ctrlPr>
                      <w:rPr>
                        <w:rFonts w:ascii="Cambria Math" w:eastAsia="Times New Roman" w:hAnsi="Cambria Math"/>
                        <w:b/>
                        <w:color w:val="000000"/>
                        <w:sz w:val="20"/>
                        <w:szCs w:val="20"/>
                      </w:rPr>
                    </m:ctrlPr>
                  </m:sSubPr>
                  <m:e>
                    <m:r>
                      <m:rPr>
                        <m:sty m:val="b"/>
                      </m:rPr>
                      <w:rPr>
                        <w:rFonts w:ascii="Cambria Math" w:eastAsia="Times New Roman"/>
                        <w:color w:val="000000"/>
                        <w:sz w:val="20"/>
                        <w:szCs w:val="20"/>
                      </w:rPr>
                      <m:t>Π</m:t>
                    </m:r>
                    <m:ctrlPr>
                      <w:rPr>
                        <w:rFonts w:ascii="Cambria Math" w:eastAsia="Times New Roman" w:hAnsi="Cambria Math"/>
                        <w:b/>
                        <w:i/>
                        <w:color w:val="000000"/>
                        <w:sz w:val="20"/>
                        <w:szCs w:val="20"/>
                      </w:rPr>
                    </m:ctrlPr>
                  </m:e>
                  <m:sub>
                    <m:r>
                      <m:rPr>
                        <m:sty m:val="bi"/>
                      </m:rPr>
                      <w:rPr>
                        <w:rFonts w:ascii="Cambria Math" w:eastAsia="Times New Roman" w:hAnsi="Cambria Math"/>
                        <w:color w:val="000000"/>
                        <w:sz w:val="20"/>
                        <w:szCs w:val="20"/>
                      </w:rPr>
                      <m:t>t</m:t>
                    </m:r>
                    <m:r>
                      <m:rPr>
                        <m:sty m:val="bi"/>
                      </m:rPr>
                      <w:rPr>
                        <w:rFonts w:ascii="Cambria Math" w:eastAsia="Times New Roman"/>
                        <w:color w:val="000000"/>
                        <w:sz w:val="20"/>
                        <w:szCs w:val="20"/>
                      </w:rPr>
                      <m:t>+13</m:t>
                    </m:r>
                    <m:ctrlPr>
                      <w:rPr>
                        <w:rFonts w:ascii="Cambria Math" w:eastAsia="Times New Roman" w:hAnsi="Cambria Math"/>
                        <w:b/>
                        <w:i/>
                        <w:color w:val="000000"/>
                        <w:sz w:val="20"/>
                        <w:szCs w:val="20"/>
                      </w:rPr>
                    </m:ctrlPr>
                  </m:sub>
                </m:sSub>
              </m:oMath>
            </m:oMathPara>
          </w:p>
        </w:tc>
        <w:tc>
          <w:tcPr>
            <w:tcW w:w="1014" w:type="pct"/>
            <w:tcBorders>
              <w:left w:val="single" w:sz="4" w:space="0" w:color="auto"/>
              <w:right w:val="single" w:sz="4" w:space="0" w:color="auto"/>
            </w:tcBorders>
            <w:shd w:val="clear" w:color="auto" w:fill="auto"/>
            <w:noWrap/>
            <w:vAlign w:val="bottom"/>
            <w:hideMark/>
          </w:tcPr>
          <w:p w:rsidR="00455DEE" w:rsidRPr="00522B4B" w:rsidRDefault="00455DEE" w:rsidP="00FA5866">
            <w:pPr>
              <w:spacing w:after="0" w:line="240" w:lineRule="auto"/>
              <w:jc w:val="right"/>
              <w:rPr>
                <w:b/>
                <w:color w:val="000000"/>
                <w:sz w:val="20"/>
                <w:szCs w:val="20"/>
              </w:rPr>
            </w:pPr>
            <w:r w:rsidRPr="00522B4B">
              <w:rPr>
                <w:b/>
                <w:color w:val="000000"/>
                <w:sz w:val="20"/>
                <w:szCs w:val="20"/>
              </w:rPr>
              <w:t>124</w:t>
            </w:r>
          </w:p>
        </w:tc>
        <w:tc>
          <w:tcPr>
            <w:tcW w:w="1317" w:type="pct"/>
            <w:tcBorders>
              <w:left w:val="single" w:sz="4" w:space="0" w:color="auto"/>
              <w:right w:val="single" w:sz="4" w:space="0" w:color="auto"/>
            </w:tcBorders>
            <w:shd w:val="clear" w:color="auto" w:fill="auto"/>
            <w:noWrap/>
            <w:vAlign w:val="bottom"/>
            <w:hideMark/>
          </w:tcPr>
          <w:p w:rsidR="00455DEE" w:rsidRPr="00522B4B" w:rsidRDefault="00455DEE" w:rsidP="00FA5866">
            <w:pPr>
              <w:spacing w:after="0" w:line="240" w:lineRule="auto"/>
              <w:jc w:val="right"/>
              <w:rPr>
                <w:b/>
                <w:color w:val="000000"/>
                <w:sz w:val="20"/>
                <w:szCs w:val="20"/>
              </w:rPr>
            </w:pPr>
            <w:r w:rsidRPr="00522B4B">
              <w:rPr>
                <w:b/>
                <w:color w:val="000000"/>
                <w:sz w:val="20"/>
                <w:szCs w:val="20"/>
              </w:rPr>
              <w:t>103.697**</w:t>
            </w:r>
          </w:p>
        </w:tc>
        <w:tc>
          <w:tcPr>
            <w:tcW w:w="1215" w:type="pct"/>
            <w:tcBorders>
              <w:left w:val="single" w:sz="4" w:space="0" w:color="auto"/>
            </w:tcBorders>
            <w:shd w:val="clear" w:color="auto" w:fill="auto"/>
            <w:noWrap/>
            <w:vAlign w:val="bottom"/>
            <w:hideMark/>
          </w:tcPr>
          <w:p w:rsidR="00455DEE" w:rsidRPr="00522B4B" w:rsidRDefault="00455DEE" w:rsidP="00FA5866">
            <w:pPr>
              <w:spacing w:after="0" w:line="240" w:lineRule="auto"/>
              <w:jc w:val="right"/>
              <w:rPr>
                <w:b/>
                <w:color w:val="000000"/>
                <w:sz w:val="20"/>
                <w:szCs w:val="20"/>
              </w:rPr>
            </w:pPr>
            <w:r w:rsidRPr="00522B4B">
              <w:rPr>
                <w:b/>
                <w:color w:val="000000"/>
                <w:sz w:val="20"/>
                <w:szCs w:val="20"/>
              </w:rPr>
              <w:t>478.301</w:t>
            </w:r>
          </w:p>
        </w:tc>
      </w:tr>
      <w:tr w:rsidR="00455DEE" w:rsidRPr="0068411E" w:rsidTr="00455DEE">
        <w:trPr>
          <w:trHeight w:val="384"/>
          <w:jc w:val="center"/>
        </w:trPr>
        <w:tc>
          <w:tcPr>
            <w:tcW w:w="1454" w:type="pct"/>
            <w:tcBorders>
              <w:right w:val="single" w:sz="4" w:space="0" w:color="auto"/>
            </w:tcBorders>
            <w:shd w:val="clear" w:color="auto" w:fill="auto"/>
            <w:noWrap/>
            <w:vAlign w:val="center"/>
            <w:hideMark/>
          </w:tcPr>
          <w:p w:rsidR="00455DEE" w:rsidRPr="00522B4B" w:rsidRDefault="00455DEE" w:rsidP="00FA5866">
            <w:pPr>
              <w:spacing w:after="0" w:line="240" w:lineRule="auto"/>
              <w:ind w:firstLine="0"/>
              <w:jc w:val="center"/>
              <w:rPr>
                <w:rFonts w:eastAsia="Times New Roman"/>
                <w:b/>
                <w:color w:val="000000"/>
                <w:sz w:val="20"/>
                <w:szCs w:val="20"/>
              </w:rPr>
            </w:pPr>
            <m:oMathPara>
              <m:oMath>
                <m:r>
                  <m:rPr>
                    <m:sty m:val="bi"/>
                  </m:rPr>
                  <w:rPr>
                    <w:rFonts w:ascii="Cambria Math" w:eastAsia="Times New Roman" w:hAnsi="Cambria Math"/>
                    <w:color w:val="000000"/>
                    <w:sz w:val="20"/>
                    <w:szCs w:val="20"/>
                  </w:rPr>
                  <m:t>∆</m:t>
                </m:r>
                <m:sSub>
                  <m:sSubPr>
                    <m:ctrlPr>
                      <w:rPr>
                        <w:rFonts w:ascii="Cambria Math" w:eastAsia="Times New Roman" w:hAnsi="Cambria Math"/>
                        <w:b/>
                        <w:color w:val="000000"/>
                        <w:sz w:val="20"/>
                        <w:szCs w:val="20"/>
                      </w:rPr>
                    </m:ctrlPr>
                  </m:sSubPr>
                  <m:e>
                    <m:r>
                      <m:rPr>
                        <m:sty m:val="b"/>
                      </m:rPr>
                      <w:rPr>
                        <w:rFonts w:ascii="Cambria Math" w:eastAsia="Times New Roman"/>
                        <w:color w:val="000000"/>
                        <w:sz w:val="20"/>
                        <w:szCs w:val="20"/>
                      </w:rPr>
                      <m:t>Π</m:t>
                    </m:r>
                    <m:ctrlPr>
                      <w:rPr>
                        <w:rFonts w:ascii="Cambria Math" w:eastAsia="Times New Roman" w:hAnsi="Cambria Math"/>
                        <w:b/>
                        <w:i/>
                        <w:color w:val="000000"/>
                        <w:sz w:val="20"/>
                        <w:szCs w:val="20"/>
                      </w:rPr>
                    </m:ctrlPr>
                  </m:e>
                  <m:sub>
                    <m:r>
                      <m:rPr>
                        <m:sty m:val="bi"/>
                      </m:rPr>
                      <w:rPr>
                        <w:rFonts w:ascii="Cambria Math" w:eastAsia="Times New Roman" w:hAnsi="Cambria Math"/>
                        <w:color w:val="000000"/>
                        <w:sz w:val="20"/>
                        <w:szCs w:val="20"/>
                      </w:rPr>
                      <m:t>t</m:t>
                    </m:r>
                    <m:r>
                      <m:rPr>
                        <m:sty m:val="bi"/>
                      </m:rPr>
                      <w:rPr>
                        <w:rFonts w:ascii="Cambria Math" w:eastAsia="Times New Roman"/>
                        <w:color w:val="000000"/>
                        <w:sz w:val="20"/>
                        <w:szCs w:val="20"/>
                      </w:rPr>
                      <m:t>+14</m:t>
                    </m:r>
                    <m:ctrlPr>
                      <w:rPr>
                        <w:rFonts w:ascii="Cambria Math" w:eastAsia="Times New Roman" w:hAnsi="Cambria Math"/>
                        <w:b/>
                        <w:i/>
                        <w:color w:val="000000"/>
                        <w:sz w:val="20"/>
                        <w:szCs w:val="20"/>
                      </w:rPr>
                    </m:ctrlPr>
                  </m:sub>
                </m:sSub>
              </m:oMath>
            </m:oMathPara>
          </w:p>
        </w:tc>
        <w:tc>
          <w:tcPr>
            <w:tcW w:w="1014" w:type="pct"/>
            <w:tcBorders>
              <w:left w:val="single" w:sz="4" w:space="0" w:color="auto"/>
              <w:right w:val="single" w:sz="4" w:space="0" w:color="auto"/>
            </w:tcBorders>
            <w:shd w:val="clear" w:color="auto" w:fill="auto"/>
            <w:noWrap/>
            <w:vAlign w:val="bottom"/>
            <w:hideMark/>
          </w:tcPr>
          <w:p w:rsidR="00455DEE" w:rsidRPr="00522B4B" w:rsidRDefault="00455DEE" w:rsidP="00FA5866">
            <w:pPr>
              <w:spacing w:after="0" w:line="240" w:lineRule="auto"/>
              <w:jc w:val="right"/>
              <w:rPr>
                <w:b/>
                <w:color w:val="000000"/>
                <w:sz w:val="20"/>
                <w:szCs w:val="20"/>
              </w:rPr>
            </w:pPr>
            <w:r w:rsidRPr="00522B4B">
              <w:rPr>
                <w:b/>
                <w:color w:val="000000"/>
                <w:sz w:val="20"/>
                <w:szCs w:val="20"/>
              </w:rPr>
              <w:t>121</w:t>
            </w:r>
          </w:p>
        </w:tc>
        <w:tc>
          <w:tcPr>
            <w:tcW w:w="1317" w:type="pct"/>
            <w:tcBorders>
              <w:left w:val="single" w:sz="4" w:space="0" w:color="auto"/>
              <w:right w:val="single" w:sz="4" w:space="0" w:color="auto"/>
            </w:tcBorders>
            <w:shd w:val="clear" w:color="auto" w:fill="auto"/>
            <w:noWrap/>
            <w:vAlign w:val="bottom"/>
            <w:hideMark/>
          </w:tcPr>
          <w:p w:rsidR="00455DEE" w:rsidRPr="00522B4B" w:rsidRDefault="00455DEE" w:rsidP="00FA5866">
            <w:pPr>
              <w:spacing w:after="0" w:line="240" w:lineRule="auto"/>
              <w:jc w:val="right"/>
              <w:rPr>
                <w:b/>
                <w:color w:val="000000"/>
                <w:sz w:val="20"/>
                <w:szCs w:val="20"/>
              </w:rPr>
            </w:pPr>
            <w:r w:rsidRPr="00522B4B">
              <w:rPr>
                <w:b/>
                <w:color w:val="000000"/>
                <w:sz w:val="20"/>
                <w:szCs w:val="20"/>
              </w:rPr>
              <w:t>109.103*</w:t>
            </w:r>
          </w:p>
        </w:tc>
        <w:tc>
          <w:tcPr>
            <w:tcW w:w="1215" w:type="pct"/>
            <w:tcBorders>
              <w:left w:val="single" w:sz="4" w:space="0" w:color="auto"/>
            </w:tcBorders>
            <w:shd w:val="clear" w:color="auto" w:fill="auto"/>
            <w:noWrap/>
            <w:vAlign w:val="bottom"/>
            <w:hideMark/>
          </w:tcPr>
          <w:p w:rsidR="00455DEE" w:rsidRPr="00522B4B" w:rsidRDefault="00455DEE" w:rsidP="00FA5866">
            <w:pPr>
              <w:spacing w:after="0" w:line="240" w:lineRule="auto"/>
              <w:jc w:val="right"/>
              <w:rPr>
                <w:b/>
                <w:color w:val="000000"/>
                <w:sz w:val="20"/>
                <w:szCs w:val="20"/>
              </w:rPr>
            </w:pPr>
            <w:r w:rsidRPr="00522B4B">
              <w:rPr>
                <w:b/>
                <w:color w:val="000000"/>
                <w:sz w:val="20"/>
                <w:szCs w:val="20"/>
              </w:rPr>
              <w:t>649.776</w:t>
            </w:r>
          </w:p>
        </w:tc>
      </w:tr>
      <w:tr w:rsidR="00455DEE" w:rsidRPr="0068411E" w:rsidTr="00455DEE">
        <w:trPr>
          <w:trHeight w:val="384"/>
          <w:jc w:val="center"/>
        </w:trPr>
        <w:tc>
          <w:tcPr>
            <w:tcW w:w="1454" w:type="pct"/>
            <w:tcBorders>
              <w:right w:val="single" w:sz="4" w:space="0" w:color="auto"/>
            </w:tcBorders>
            <w:shd w:val="clear" w:color="auto" w:fill="auto"/>
            <w:noWrap/>
            <w:vAlign w:val="center"/>
            <w:hideMark/>
          </w:tcPr>
          <w:p w:rsidR="00455DEE" w:rsidRPr="00522B4B" w:rsidRDefault="00455DEE" w:rsidP="00FA5866">
            <w:pPr>
              <w:spacing w:after="0" w:line="240" w:lineRule="auto"/>
              <w:ind w:firstLine="0"/>
              <w:jc w:val="center"/>
              <w:rPr>
                <w:rFonts w:eastAsia="Times New Roman"/>
                <w:color w:val="000000"/>
                <w:sz w:val="20"/>
                <w:szCs w:val="20"/>
              </w:rPr>
            </w:pPr>
            <m:oMathPara>
              <m:oMath>
                <m:r>
                  <w:rPr>
                    <w:rFonts w:ascii="Cambria Math" w:eastAsia="Times New Roman" w:hAnsi="Cambria Math"/>
                    <w:color w:val="000000"/>
                    <w:sz w:val="20"/>
                    <w:szCs w:val="20"/>
                  </w:rPr>
                  <m:t>∆</m:t>
                </m:r>
                <m:sSub>
                  <m:sSubPr>
                    <m:ctrlPr>
                      <w:rPr>
                        <w:rFonts w:ascii="Cambria Math" w:eastAsia="Times New Roman" w:hAnsi="Cambria Math"/>
                        <w:color w:val="000000"/>
                        <w:sz w:val="20"/>
                        <w:szCs w:val="20"/>
                      </w:rPr>
                    </m:ctrlPr>
                  </m:sSubPr>
                  <m:e>
                    <m:r>
                      <m:rPr>
                        <m:sty m:val="p"/>
                      </m:rPr>
                      <w:rPr>
                        <w:rFonts w:ascii="Cambria Math" w:eastAsia="Times New Roman"/>
                        <w:color w:val="000000"/>
                        <w:sz w:val="20"/>
                        <w:szCs w:val="20"/>
                      </w:rPr>
                      <m:t>Π</m:t>
                    </m:r>
                    <m:ctrlPr>
                      <w:rPr>
                        <w:rFonts w:ascii="Cambria Math" w:eastAsia="Times New Roman" w:hAnsi="Cambria Math"/>
                        <w:i/>
                        <w:color w:val="000000"/>
                        <w:sz w:val="20"/>
                        <w:szCs w:val="20"/>
                      </w:rPr>
                    </m:ctrlPr>
                  </m:e>
                  <m:sub>
                    <m:r>
                      <w:rPr>
                        <w:rFonts w:ascii="Cambria Math" w:eastAsia="Times New Roman" w:hAnsi="Cambria Math"/>
                        <w:color w:val="000000"/>
                        <w:sz w:val="20"/>
                        <w:szCs w:val="20"/>
                      </w:rPr>
                      <m:t>t</m:t>
                    </m:r>
                    <m:r>
                      <w:rPr>
                        <w:rFonts w:ascii="Cambria Math" w:eastAsia="Times New Roman"/>
                        <w:color w:val="000000"/>
                        <w:sz w:val="20"/>
                        <w:szCs w:val="20"/>
                      </w:rPr>
                      <m:t>+15</m:t>
                    </m:r>
                    <m:ctrlPr>
                      <w:rPr>
                        <w:rFonts w:ascii="Cambria Math" w:eastAsia="Times New Roman" w:hAnsi="Cambria Math"/>
                        <w:i/>
                        <w:color w:val="000000"/>
                        <w:sz w:val="20"/>
                        <w:szCs w:val="20"/>
                      </w:rPr>
                    </m:ctrlPr>
                  </m:sub>
                </m:sSub>
              </m:oMath>
            </m:oMathPara>
          </w:p>
        </w:tc>
        <w:tc>
          <w:tcPr>
            <w:tcW w:w="1014" w:type="pct"/>
            <w:tcBorders>
              <w:left w:val="single" w:sz="4" w:space="0" w:color="auto"/>
              <w:right w:val="single" w:sz="4" w:space="0" w:color="auto"/>
            </w:tcBorders>
            <w:shd w:val="clear" w:color="auto" w:fill="auto"/>
            <w:noWrap/>
            <w:vAlign w:val="bottom"/>
            <w:hideMark/>
          </w:tcPr>
          <w:p w:rsidR="00455DEE" w:rsidRPr="00522B4B" w:rsidRDefault="00455DEE" w:rsidP="00FA5866">
            <w:pPr>
              <w:spacing w:after="0" w:line="240" w:lineRule="auto"/>
              <w:jc w:val="right"/>
              <w:rPr>
                <w:color w:val="000000"/>
                <w:sz w:val="20"/>
                <w:szCs w:val="20"/>
              </w:rPr>
            </w:pPr>
            <w:r w:rsidRPr="00522B4B">
              <w:rPr>
                <w:color w:val="000000"/>
                <w:sz w:val="20"/>
                <w:szCs w:val="20"/>
              </w:rPr>
              <w:t>109</w:t>
            </w:r>
          </w:p>
        </w:tc>
        <w:tc>
          <w:tcPr>
            <w:tcW w:w="1317" w:type="pct"/>
            <w:tcBorders>
              <w:left w:val="single" w:sz="4" w:space="0" w:color="auto"/>
              <w:right w:val="single" w:sz="4" w:space="0" w:color="auto"/>
            </w:tcBorders>
            <w:shd w:val="clear" w:color="auto" w:fill="auto"/>
            <w:noWrap/>
            <w:vAlign w:val="bottom"/>
            <w:hideMark/>
          </w:tcPr>
          <w:p w:rsidR="00455DEE" w:rsidRPr="00522B4B" w:rsidRDefault="00455DEE" w:rsidP="00FA5866">
            <w:pPr>
              <w:spacing w:after="0" w:line="240" w:lineRule="auto"/>
              <w:jc w:val="right"/>
              <w:rPr>
                <w:color w:val="000000"/>
                <w:sz w:val="20"/>
                <w:szCs w:val="20"/>
              </w:rPr>
            </w:pPr>
            <w:r w:rsidRPr="00522B4B">
              <w:rPr>
                <w:color w:val="000000"/>
                <w:sz w:val="20"/>
                <w:szCs w:val="20"/>
              </w:rPr>
              <w:t>-22.063</w:t>
            </w:r>
          </w:p>
        </w:tc>
        <w:tc>
          <w:tcPr>
            <w:tcW w:w="1215" w:type="pct"/>
            <w:tcBorders>
              <w:left w:val="single" w:sz="4" w:space="0" w:color="auto"/>
            </w:tcBorders>
            <w:shd w:val="clear" w:color="auto" w:fill="auto"/>
            <w:noWrap/>
            <w:vAlign w:val="bottom"/>
            <w:hideMark/>
          </w:tcPr>
          <w:p w:rsidR="00455DEE" w:rsidRPr="00522B4B" w:rsidRDefault="00455DEE" w:rsidP="00FA5866">
            <w:pPr>
              <w:spacing w:after="0" w:line="240" w:lineRule="auto"/>
              <w:jc w:val="right"/>
              <w:rPr>
                <w:color w:val="000000"/>
                <w:sz w:val="20"/>
                <w:szCs w:val="20"/>
              </w:rPr>
            </w:pPr>
            <w:r w:rsidRPr="00522B4B">
              <w:rPr>
                <w:color w:val="000000"/>
                <w:sz w:val="20"/>
                <w:szCs w:val="20"/>
              </w:rPr>
              <w:t>1.928.923</w:t>
            </w:r>
          </w:p>
        </w:tc>
      </w:tr>
      <w:tr w:rsidR="00455DEE" w:rsidRPr="0068411E" w:rsidTr="00455DEE">
        <w:trPr>
          <w:trHeight w:val="384"/>
          <w:jc w:val="center"/>
        </w:trPr>
        <w:tc>
          <w:tcPr>
            <w:tcW w:w="1454" w:type="pct"/>
            <w:tcBorders>
              <w:bottom w:val="single" w:sz="4" w:space="0" w:color="auto"/>
              <w:right w:val="single" w:sz="4" w:space="0" w:color="auto"/>
            </w:tcBorders>
            <w:shd w:val="clear" w:color="auto" w:fill="auto"/>
            <w:noWrap/>
            <w:vAlign w:val="center"/>
            <w:hideMark/>
          </w:tcPr>
          <w:p w:rsidR="00455DEE" w:rsidRPr="00522B4B" w:rsidRDefault="00455DEE" w:rsidP="00FA5866">
            <w:pPr>
              <w:spacing w:after="0" w:line="240" w:lineRule="auto"/>
              <w:ind w:firstLine="0"/>
              <w:jc w:val="center"/>
              <w:rPr>
                <w:rFonts w:eastAsia="Times New Roman"/>
                <w:color w:val="000000"/>
                <w:sz w:val="20"/>
                <w:szCs w:val="20"/>
              </w:rPr>
            </w:pPr>
            <m:oMathPara>
              <m:oMath>
                <m:r>
                  <w:rPr>
                    <w:rFonts w:ascii="Cambria Math" w:eastAsia="Times New Roman" w:hAnsi="Cambria Math"/>
                    <w:color w:val="000000"/>
                    <w:sz w:val="20"/>
                    <w:szCs w:val="20"/>
                  </w:rPr>
                  <m:t>∆</m:t>
                </m:r>
                <m:sSub>
                  <m:sSubPr>
                    <m:ctrlPr>
                      <w:rPr>
                        <w:rFonts w:ascii="Cambria Math" w:eastAsia="Times New Roman" w:hAnsi="Cambria Math"/>
                        <w:color w:val="000000"/>
                        <w:sz w:val="20"/>
                        <w:szCs w:val="20"/>
                      </w:rPr>
                    </m:ctrlPr>
                  </m:sSubPr>
                  <m:e>
                    <m:r>
                      <m:rPr>
                        <m:sty m:val="p"/>
                      </m:rPr>
                      <w:rPr>
                        <w:rFonts w:ascii="Cambria Math" w:eastAsia="Times New Roman"/>
                        <w:color w:val="000000"/>
                        <w:sz w:val="20"/>
                        <w:szCs w:val="20"/>
                      </w:rPr>
                      <m:t>Π</m:t>
                    </m:r>
                    <m:ctrlPr>
                      <w:rPr>
                        <w:rFonts w:ascii="Cambria Math" w:eastAsia="Times New Roman" w:hAnsi="Cambria Math"/>
                        <w:i/>
                        <w:color w:val="000000"/>
                        <w:sz w:val="20"/>
                        <w:szCs w:val="20"/>
                      </w:rPr>
                    </m:ctrlPr>
                  </m:e>
                  <m:sub>
                    <m:r>
                      <w:rPr>
                        <w:rFonts w:ascii="Cambria Math" w:eastAsia="Times New Roman" w:hAnsi="Cambria Math"/>
                        <w:color w:val="000000"/>
                        <w:sz w:val="20"/>
                        <w:szCs w:val="20"/>
                      </w:rPr>
                      <m:t>t</m:t>
                    </m:r>
                    <m:r>
                      <w:rPr>
                        <w:rFonts w:ascii="Cambria Math" w:eastAsia="Times New Roman"/>
                        <w:color w:val="000000"/>
                        <w:sz w:val="20"/>
                        <w:szCs w:val="20"/>
                      </w:rPr>
                      <m:t>+16</m:t>
                    </m:r>
                    <m:ctrlPr>
                      <w:rPr>
                        <w:rFonts w:ascii="Cambria Math" w:eastAsia="Times New Roman" w:hAnsi="Cambria Math"/>
                        <w:i/>
                        <w:color w:val="000000"/>
                        <w:sz w:val="20"/>
                        <w:szCs w:val="20"/>
                      </w:rPr>
                    </m:ctrlPr>
                  </m:sub>
                </m:sSub>
              </m:oMath>
            </m:oMathPara>
          </w:p>
        </w:tc>
        <w:tc>
          <w:tcPr>
            <w:tcW w:w="1014" w:type="pct"/>
            <w:tcBorders>
              <w:left w:val="single" w:sz="4" w:space="0" w:color="auto"/>
              <w:bottom w:val="single" w:sz="4" w:space="0" w:color="auto"/>
              <w:right w:val="single" w:sz="4" w:space="0" w:color="auto"/>
            </w:tcBorders>
            <w:shd w:val="clear" w:color="auto" w:fill="auto"/>
            <w:noWrap/>
            <w:vAlign w:val="bottom"/>
            <w:hideMark/>
          </w:tcPr>
          <w:p w:rsidR="00455DEE" w:rsidRPr="00522B4B" w:rsidRDefault="00455DEE" w:rsidP="00FA5866">
            <w:pPr>
              <w:spacing w:after="0" w:line="240" w:lineRule="auto"/>
              <w:jc w:val="right"/>
              <w:rPr>
                <w:color w:val="000000"/>
                <w:sz w:val="20"/>
                <w:szCs w:val="20"/>
              </w:rPr>
            </w:pPr>
            <w:r w:rsidRPr="00522B4B">
              <w:rPr>
                <w:color w:val="000000"/>
                <w:sz w:val="20"/>
                <w:szCs w:val="20"/>
              </w:rPr>
              <w:t>106</w:t>
            </w:r>
          </w:p>
        </w:tc>
        <w:tc>
          <w:tcPr>
            <w:tcW w:w="1317" w:type="pct"/>
            <w:tcBorders>
              <w:left w:val="single" w:sz="4" w:space="0" w:color="auto"/>
              <w:bottom w:val="single" w:sz="4" w:space="0" w:color="auto"/>
              <w:right w:val="single" w:sz="4" w:space="0" w:color="auto"/>
            </w:tcBorders>
            <w:shd w:val="clear" w:color="auto" w:fill="auto"/>
            <w:noWrap/>
            <w:vAlign w:val="bottom"/>
            <w:hideMark/>
          </w:tcPr>
          <w:p w:rsidR="00455DEE" w:rsidRPr="00522B4B" w:rsidRDefault="00455DEE" w:rsidP="00FA5866">
            <w:pPr>
              <w:spacing w:after="0" w:line="240" w:lineRule="auto"/>
              <w:jc w:val="right"/>
              <w:rPr>
                <w:color w:val="000000"/>
                <w:sz w:val="20"/>
                <w:szCs w:val="20"/>
              </w:rPr>
            </w:pPr>
            <w:r w:rsidRPr="00522B4B">
              <w:rPr>
                <w:color w:val="000000"/>
                <w:sz w:val="20"/>
                <w:szCs w:val="20"/>
              </w:rPr>
              <w:t>208.536</w:t>
            </w:r>
          </w:p>
        </w:tc>
        <w:tc>
          <w:tcPr>
            <w:tcW w:w="1215" w:type="pct"/>
            <w:tcBorders>
              <w:left w:val="single" w:sz="4" w:space="0" w:color="auto"/>
              <w:bottom w:val="single" w:sz="4" w:space="0" w:color="auto"/>
            </w:tcBorders>
            <w:shd w:val="clear" w:color="auto" w:fill="auto"/>
            <w:noWrap/>
            <w:vAlign w:val="bottom"/>
            <w:hideMark/>
          </w:tcPr>
          <w:p w:rsidR="00455DEE" w:rsidRPr="00522B4B" w:rsidRDefault="00455DEE" w:rsidP="00FA5866">
            <w:pPr>
              <w:spacing w:after="0" w:line="240" w:lineRule="auto"/>
              <w:jc w:val="right"/>
              <w:rPr>
                <w:color w:val="000000"/>
                <w:sz w:val="20"/>
                <w:szCs w:val="20"/>
              </w:rPr>
            </w:pPr>
            <w:r w:rsidRPr="00522B4B">
              <w:rPr>
                <w:color w:val="000000"/>
                <w:sz w:val="20"/>
                <w:szCs w:val="20"/>
              </w:rPr>
              <w:t>1.778.388</w:t>
            </w:r>
          </w:p>
        </w:tc>
      </w:tr>
    </w:tbl>
    <w:p w:rsidR="00455DEE" w:rsidRPr="00522B4B" w:rsidRDefault="00455DEE" w:rsidP="00FA5866">
      <w:pPr>
        <w:spacing w:after="0" w:line="240" w:lineRule="auto"/>
        <w:ind w:firstLine="0"/>
        <w:jc w:val="left"/>
        <w:rPr>
          <w:sz w:val="20"/>
          <w:szCs w:val="20"/>
        </w:rPr>
      </w:pPr>
      <w:r>
        <w:rPr>
          <w:sz w:val="20"/>
          <w:szCs w:val="20"/>
        </w:rPr>
        <w:t>L</w:t>
      </w:r>
      <w:r w:rsidRPr="00AA282F">
        <w:rPr>
          <w:sz w:val="20"/>
          <w:szCs w:val="20"/>
        </w:rPr>
        <w:t>egenda: * p&lt;0.1, ** p &lt; 0.05, ***p &lt; 0.01</w:t>
      </w:r>
      <w:r>
        <w:rPr>
          <w:sz w:val="20"/>
          <w:szCs w:val="20"/>
        </w:rPr>
        <w:t xml:space="preserve">. </w:t>
      </w:r>
      <w:r w:rsidRPr="00AA282F">
        <w:rPr>
          <w:sz w:val="20"/>
          <w:szCs w:val="20"/>
        </w:rPr>
        <w:t>Fonte: Elaboração Própria</w:t>
      </w:r>
    </w:p>
    <w:p w:rsidR="00455DEE" w:rsidRDefault="00455DEE" w:rsidP="00FA5866">
      <w:pPr>
        <w:pStyle w:val="Legenda"/>
        <w:keepNext/>
        <w:spacing w:after="0"/>
        <w:ind w:firstLine="0"/>
        <w:rPr>
          <w:b w:val="0"/>
          <w:color w:val="auto"/>
          <w:sz w:val="24"/>
          <w:szCs w:val="24"/>
        </w:rPr>
      </w:pPr>
      <w:bookmarkStart w:id="8" w:name="_Toc379458535"/>
    </w:p>
    <w:p w:rsidR="00455DEE" w:rsidRPr="00E03585" w:rsidRDefault="00455DEE" w:rsidP="00FA5866">
      <w:pPr>
        <w:pStyle w:val="Legenda"/>
        <w:keepNext/>
        <w:spacing w:after="0"/>
        <w:ind w:firstLine="0"/>
        <w:rPr>
          <w:b w:val="0"/>
          <w:color w:val="auto"/>
          <w:sz w:val="24"/>
          <w:szCs w:val="24"/>
        </w:rPr>
      </w:pPr>
      <w:r w:rsidRPr="00E03585">
        <w:rPr>
          <w:b w:val="0"/>
          <w:color w:val="auto"/>
          <w:sz w:val="24"/>
          <w:szCs w:val="24"/>
        </w:rPr>
        <w:t xml:space="preserve">Tabela </w:t>
      </w:r>
      <w:r>
        <w:rPr>
          <w:b w:val="0"/>
          <w:color w:val="auto"/>
          <w:sz w:val="24"/>
          <w:szCs w:val="24"/>
        </w:rPr>
        <w:t>4</w:t>
      </w:r>
      <w:r w:rsidRPr="00E03585">
        <w:rPr>
          <w:b w:val="0"/>
          <w:color w:val="auto"/>
          <w:sz w:val="24"/>
          <w:szCs w:val="24"/>
        </w:rPr>
        <w:t xml:space="preserve">: Estatísticas descritivas - Efeito </w:t>
      </w:r>
      <w:r w:rsidRPr="00D61F9D">
        <w:rPr>
          <w:b w:val="0"/>
          <w:i/>
          <w:color w:val="auto"/>
          <w:sz w:val="24"/>
          <w:szCs w:val="24"/>
        </w:rPr>
        <w:t xml:space="preserve">Ex </w:t>
      </w:r>
      <w:proofErr w:type="spellStart"/>
      <w:r w:rsidRPr="00D61F9D">
        <w:rPr>
          <w:b w:val="0"/>
          <w:i/>
          <w:color w:val="auto"/>
          <w:sz w:val="24"/>
          <w:szCs w:val="24"/>
        </w:rPr>
        <w:t>post</w:t>
      </w:r>
      <w:proofErr w:type="spellEnd"/>
      <w:r w:rsidRPr="00E03585">
        <w:rPr>
          <w:b w:val="0"/>
          <w:color w:val="auto"/>
          <w:sz w:val="24"/>
          <w:szCs w:val="24"/>
        </w:rPr>
        <w:t xml:space="preserve"> no Lucro das Firmas Fusionadas (em milhões de reais)</w:t>
      </w:r>
      <w:bookmarkEnd w:id="8"/>
    </w:p>
    <w:tbl>
      <w:tblPr>
        <w:tblW w:w="5000" w:type="pct"/>
        <w:jc w:val="center"/>
        <w:tblLook w:val="04A0"/>
      </w:tblPr>
      <w:tblGrid>
        <w:gridCol w:w="1660"/>
        <w:gridCol w:w="2279"/>
        <w:gridCol w:w="3378"/>
        <w:gridCol w:w="3103"/>
      </w:tblGrid>
      <w:tr w:rsidR="00455DEE" w:rsidRPr="00522B4B" w:rsidTr="00455DEE">
        <w:trPr>
          <w:trHeight w:val="328"/>
          <w:jc w:val="center"/>
        </w:trPr>
        <w:tc>
          <w:tcPr>
            <w:tcW w:w="796" w:type="pct"/>
            <w:tcBorders>
              <w:top w:val="single" w:sz="4" w:space="0" w:color="auto"/>
              <w:bottom w:val="single" w:sz="4" w:space="0" w:color="auto"/>
              <w:right w:val="single" w:sz="4" w:space="0" w:color="auto"/>
            </w:tcBorders>
            <w:shd w:val="clear" w:color="auto" w:fill="auto"/>
            <w:noWrap/>
            <w:vAlign w:val="bottom"/>
            <w:hideMark/>
          </w:tcPr>
          <w:p w:rsidR="00455DEE" w:rsidRPr="00522B4B" w:rsidRDefault="00455DEE" w:rsidP="00FA5866">
            <w:pPr>
              <w:spacing w:after="0" w:line="240" w:lineRule="auto"/>
              <w:ind w:firstLine="0"/>
              <w:rPr>
                <w:rFonts w:eastAsia="Times New Roman"/>
                <w:color w:val="000000"/>
                <w:sz w:val="20"/>
                <w:szCs w:val="20"/>
              </w:rPr>
            </w:pPr>
            <w:r w:rsidRPr="00522B4B">
              <w:rPr>
                <w:rFonts w:eastAsia="Times New Roman"/>
                <w:color w:val="000000"/>
                <w:sz w:val="20"/>
                <w:szCs w:val="20"/>
              </w:rPr>
              <w:t>Variável</w:t>
            </w:r>
          </w:p>
        </w:tc>
        <w:tc>
          <w:tcPr>
            <w:tcW w:w="109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55DEE" w:rsidRPr="00522B4B" w:rsidRDefault="00455DEE" w:rsidP="00FA5866">
            <w:pPr>
              <w:spacing w:after="0" w:line="240" w:lineRule="auto"/>
              <w:ind w:firstLine="0"/>
              <w:rPr>
                <w:rFonts w:eastAsia="Times New Roman"/>
                <w:color w:val="000000"/>
                <w:sz w:val="20"/>
                <w:szCs w:val="20"/>
              </w:rPr>
            </w:pPr>
            <w:proofErr w:type="spellStart"/>
            <w:r w:rsidRPr="00522B4B">
              <w:rPr>
                <w:rFonts w:eastAsia="Times New Roman"/>
                <w:color w:val="000000"/>
                <w:sz w:val="20"/>
                <w:szCs w:val="20"/>
              </w:rPr>
              <w:t>Obs</w:t>
            </w:r>
            <w:proofErr w:type="spellEnd"/>
          </w:p>
        </w:tc>
        <w:tc>
          <w:tcPr>
            <w:tcW w:w="162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55DEE" w:rsidRPr="00522B4B" w:rsidRDefault="00455DEE" w:rsidP="00FA5866">
            <w:pPr>
              <w:spacing w:after="0" w:line="240" w:lineRule="auto"/>
              <w:ind w:firstLine="0"/>
              <w:rPr>
                <w:rFonts w:eastAsia="Times New Roman"/>
                <w:color w:val="000000"/>
                <w:sz w:val="20"/>
                <w:szCs w:val="20"/>
              </w:rPr>
            </w:pPr>
            <w:r w:rsidRPr="00522B4B">
              <w:rPr>
                <w:rFonts w:eastAsia="Times New Roman"/>
                <w:color w:val="000000"/>
                <w:sz w:val="20"/>
                <w:szCs w:val="20"/>
              </w:rPr>
              <w:t>Média</w:t>
            </w:r>
          </w:p>
        </w:tc>
        <w:tc>
          <w:tcPr>
            <w:tcW w:w="1489" w:type="pct"/>
            <w:tcBorders>
              <w:top w:val="single" w:sz="4" w:space="0" w:color="auto"/>
              <w:left w:val="single" w:sz="4" w:space="0" w:color="auto"/>
              <w:bottom w:val="single" w:sz="4" w:space="0" w:color="auto"/>
            </w:tcBorders>
            <w:shd w:val="clear" w:color="auto" w:fill="auto"/>
            <w:noWrap/>
            <w:vAlign w:val="bottom"/>
            <w:hideMark/>
          </w:tcPr>
          <w:p w:rsidR="00455DEE" w:rsidRPr="00522B4B" w:rsidRDefault="00455DEE" w:rsidP="00FA5866">
            <w:pPr>
              <w:spacing w:after="0" w:line="240" w:lineRule="auto"/>
              <w:ind w:firstLine="0"/>
              <w:rPr>
                <w:rFonts w:eastAsia="Times New Roman"/>
                <w:color w:val="000000"/>
                <w:sz w:val="20"/>
                <w:szCs w:val="20"/>
              </w:rPr>
            </w:pPr>
            <w:r w:rsidRPr="00522B4B">
              <w:rPr>
                <w:rFonts w:eastAsia="Times New Roman"/>
                <w:color w:val="000000"/>
                <w:sz w:val="20"/>
                <w:szCs w:val="20"/>
              </w:rPr>
              <w:t>Desvio Padrão</w:t>
            </w:r>
          </w:p>
        </w:tc>
      </w:tr>
      <w:tr w:rsidR="00455DEE" w:rsidRPr="00522B4B" w:rsidTr="00455DEE">
        <w:trPr>
          <w:trHeight w:val="328"/>
          <w:jc w:val="center"/>
        </w:trPr>
        <w:tc>
          <w:tcPr>
            <w:tcW w:w="796" w:type="pct"/>
            <w:tcBorders>
              <w:top w:val="nil"/>
              <w:bottom w:val="nil"/>
              <w:right w:val="single" w:sz="4" w:space="0" w:color="auto"/>
            </w:tcBorders>
            <w:shd w:val="clear" w:color="auto" w:fill="auto"/>
            <w:noWrap/>
            <w:vAlign w:val="bottom"/>
            <w:hideMark/>
          </w:tcPr>
          <w:p w:rsidR="00455DEE" w:rsidRPr="00522B4B" w:rsidRDefault="00455DEE" w:rsidP="00FA5866">
            <w:pPr>
              <w:spacing w:after="0" w:line="240" w:lineRule="auto"/>
              <w:ind w:firstLine="0"/>
              <w:jc w:val="center"/>
              <w:rPr>
                <w:rFonts w:eastAsia="Times New Roman"/>
                <w:b/>
                <w:color w:val="000000"/>
                <w:sz w:val="20"/>
                <w:szCs w:val="20"/>
              </w:rPr>
            </w:pPr>
            <m:oMathPara>
              <m:oMath>
                <m:r>
                  <m:rPr>
                    <m:sty m:val="bi"/>
                  </m:rPr>
                  <w:rPr>
                    <w:rFonts w:ascii="Cambria Math" w:eastAsia="Times New Roman" w:hAnsi="Cambria Math"/>
                    <w:color w:val="000000"/>
                    <w:sz w:val="20"/>
                    <w:szCs w:val="20"/>
                  </w:rPr>
                  <m:t>∆</m:t>
                </m:r>
                <m:sSub>
                  <m:sSubPr>
                    <m:ctrlPr>
                      <w:rPr>
                        <w:rFonts w:ascii="Cambria Math" w:eastAsia="Times New Roman" w:hAnsi="Cambria Math"/>
                        <w:b/>
                        <w:color w:val="000000"/>
                        <w:sz w:val="20"/>
                        <w:szCs w:val="20"/>
                      </w:rPr>
                    </m:ctrlPr>
                  </m:sSubPr>
                  <m:e>
                    <m:r>
                      <m:rPr>
                        <m:sty m:val="b"/>
                      </m:rPr>
                      <w:rPr>
                        <w:rFonts w:ascii="Cambria Math" w:eastAsia="Times New Roman" w:hAnsi="Cambria Math"/>
                        <w:color w:val="000000"/>
                        <w:sz w:val="20"/>
                        <w:szCs w:val="20"/>
                      </w:rPr>
                      <m:t>Π</m:t>
                    </m:r>
                    <m:ctrlPr>
                      <w:rPr>
                        <w:rFonts w:ascii="Cambria Math" w:eastAsia="Times New Roman" w:hAnsi="Cambria Math"/>
                        <w:b/>
                        <w:i/>
                        <w:color w:val="000000"/>
                        <w:sz w:val="20"/>
                        <w:szCs w:val="20"/>
                      </w:rPr>
                    </m:ctrlPr>
                  </m:e>
                  <m:sub>
                    <m:r>
                      <m:rPr>
                        <m:sty m:val="bi"/>
                      </m:rPr>
                      <w:rPr>
                        <w:rFonts w:ascii="Cambria Math" w:eastAsia="Times New Roman" w:hAnsi="Cambria Math"/>
                        <w:color w:val="000000"/>
                        <w:sz w:val="20"/>
                        <w:szCs w:val="20"/>
                      </w:rPr>
                      <m:t>t</m:t>
                    </m:r>
                    <m:r>
                      <m:rPr>
                        <m:sty m:val="bi"/>
                      </m:rPr>
                      <w:rPr>
                        <w:rFonts w:ascii="Cambria Math" w:eastAsia="Times New Roman"/>
                        <w:color w:val="000000"/>
                        <w:sz w:val="20"/>
                        <w:szCs w:val="20"/>
                      </w:rPr>
                      <m:t>+1</m:t>
                    </m:r>
                    <m:ctrlPr>
                      <w:rPr>
                        <w:rFonts w:ascii="Cambria Math" w:eastAsia="Times New Roman" w:hAnsi="Cambria Math"/>
                        <w:b/>
                        <w:i/>
                        <w:color w:val="000000"/>
                        <w:sz w:val="20"/>
                        <w:szCs w:val="20"/>
                      </w:rPr>
                    </m:ctrlPr>
                  </m:sub>
                </m:sSub>
              </m:oMath>
            </m:oMathPara>
          </w:p>
        </w:tc>
        <w:tc>
          <w:tcPr>
            <w:tcW w:w="1093" w:type="pct"/>
            <w:tcBorders>
              <w:top w:val="nil"/>
              <w:left w:val="single" w:sz="4" w:space="0" w:color="auto"/>
              <w:bottom w:val="nil"/>
              <w:right w:val="single" w:sz="4" w:space="0" w:color="auto"/>
            </w:tcBorders>
            <w:shd w:val="clear" w:color="auto" w:fill="auto"/>
            <w:noWrap/>
            <w:vAlign w:val="bottom"/>
            <w:hideMark/>
          </w:tcPr>
          <w:p w:rsidR="00455DEE" w:rsidRPr="00522B4B" w:rsidRDefault="00455DEE" w:rsidP="00FA5866">
            <w:pPr>
              <w:spacing w:after="0" w:line="240" w:lineRule="auto"/>
              <w:jc w:val="right"/>
              <w:rPr>
                <w:b/>
                <w:color w:val="000000"/>
                <w:sz w:val="20"/>
                <w:szCs w:val="20"/>
              </w:rPr>
            </w:pPr>
            <w:r w:rsidRPr="00522B4B">
              <w:rPr>
                <w:b/>
                <w:color w:val="000000"/>
                <w:sz w:val="20"/>
                <w:szCs w:val="20"/>
              </w:rPr>
              <w:t>34</w:t>
            </w:r>
          </w:p>
        </w:tc>
        <w:tc>
          <w:tcPr>
            <w:tcW w:w="1621" w:type="pct"/>
            <w:tcBorders>
              <w:top w:val="nil"/>
              <w:left w:val="single" w:sz="4" w:space="0" w:color="auto"/>
              <w:bottom w:val="nil"/>
              <w:right w:val="single" w:sz="4" w:space="0" w:color="auto"/>
            </w:tcBorders>
            <w:shd w:val="clear" w:color="auto" w:fill="auto"/>
            <w:noWrap/>
            <w:vAlign w:val="bottom"/>
            <w:hideMark/>
          </w:tcPr>
          <w:p w:rsidR="00455DEE" w:rsidRPr="00522B4B" w:rsidRDefault="00455DEE" w:rsidP="00FA5866">
            <w:pPr>
              <w:spacing w:after="0" w:line="240" w:lineRule="auto"/>
              <w:jc w:val="right"/>
              <w:rPr>
                <w:b/>
                <w:color w:val="000000"/>
                <w:sz w:val="20"/>
                <w:szCs w:val="20"/>
              </w:rPr>
            </w:pPr>
            <w:r w:rsidRPr="00522B4B">
              <w:rPr>
                <w:b/>
                <w:color w:val="000000"/>
                <w:sz w:val="20"/>
                <w:szCs w:val="20"/>
              </w:rPr>
              <w:t>1.208.457*</w:t>
            </w:r>
          </w:p>
        </w:tc>
        <w:tc>
          <w:tcPr>
            <w:tcW w:w="1489" w:type="pct"/>
            <w:tcBorders>
              <w:top w:val="nil"/>
              <w:left w:val="single" w:sz="4" w:space="0" w:color="auto"/>
              <w:bottom w:val="nil"/>
            </w:tcBorders>
            <w:shd w:val="clear" w:color="auto" w:fill="auto"/>
            <w:noWrap/>
            <w:vAlign w:val="bottom"/>
            <w:hideMark/>
          </w:tcPr>
          <w:p w:rsidR="00455DEE" w:rsidRPr="00522B4B" w:rsidRDefault="00455DEE" w:rsidP="00FA5866">
            <w:pPr>
              <w:spacing w:after="0" w:line="240" w:lineRule="auto"/>
              <w:jc w:val="right"/>
              <w:rPr>
                <w:b/>
                <w:color w:val="000000"/>
                <w:sz w:val="20"/>
                <w:szCs w:val="20"/>
              </w:rPr>
            </w:pPr>
            <w:r w:rsidRPr="00522B4B">
              <w:rPr>
                <w:b/>
                <w:color w:val="000000"/>
                <w:sz w:val="20"/>
                <w:szCs w:val="20"/>
              </w:rPr>
              <w:t>4.173.910</w:t>
            </w:r>
          </w:p>
        </w:tc>
      </w:tr>
      <w:tr w:rsidR="00455DEE" w:rsidRPr="00522B4B" w:rsidTr="00455DEE">
        <w:trPr>
          <w:trHeight w:val="328"/>
          <w:jc w:val="center"/>
        </w:trPr>
        <w:tc>
          <w:tcPr>
            <w:tcW w:w="796" w:type="pct"/>
            <w:tcBorders>
              <w:top w:val="nil"/>
              <w:bottom w:val="nil"/>
              <w:right w:val="single" w:sz="4" w:space="0" w:color="auto"/>
            </w:tcBorders>
            <w:shd w:val="clear" w:color="auto" w:fill="auto"/>
            <w:noWrap/>
            <w:vAlign w:val="bottom"/>
            <w:hideMark/>
          </w:tcPr>
          <w:p w:rsidR="00455DEE" w:rsidRPr="00522B4B" w:rsidRDefault="00455DEE" w:rsidP="00FA5866">
            <w:pPr>
              <w:spacing w:after="0" w:line="240" w:lineRule="auto"/>
              <w:ind w:firstLine="0"/>
              <w:jc w:val="center"/>
              <w:rPr>
                <w:rFonts w:eastAsia="Times New Roman"/>
                <w:b/>
                <w:color w:val="000000"/>
                <w:sz w:val="20"/>
                <w:szCs w:val="20"/>
              </w:rPr>
            </w:pPr>
            <m:oMathPara>
              <m:oMath>
                <m:r>
                  <m:rPr>
                    <m:sty m:val="bi"/>
                  </m:rPr>
                  <w:rPr>
                    <w:rFonts w:ascii="Cambria Math" w:eastAsia="Times New Roman" w:hAnsi="Cambria Math"/>
                    <w:color w:val="000000"/>
                    <w:sz w:val="20"/>
                    <w:szCs w:val="20"/>
                  </w:rPr>
                  <m:t>∆</m:t>
                </m:r>
                <m:sSub>
                  <m:sSubPr>
                    <m:ctrlPr>
                      <w:rPr>
                        <w:rFonts w:ascii="Cambria Math" w:eastAsia="Times New Roman" w:hAnsi="Cambria Math"/>
                        <w:b/>
                        <w:color w:val="000000"/>
                        <w:sz w:val="20"/>
                        <w:szCs w:val="20"/>
                      </w:rPr>
                    </m:ctrlPr>
                  </m:sSubPr>
                  <m:e>
                    <m:r>
                      <m:rPr>
                        <m:sty m:val="b"/>
                      </m:rPr>
                      <w:rPr>
                        <w:rFonts w:ascii="Cambria Math" w:eastAsia="Times New Roman" w:hAnsi="Cambria Math"/>
                        <w:color w:val="000000"/>
                        <w:sz w:val="20"/>
                        <w:szCs w:val="20"/>
                      </w:rPr>
                      <m:t>Π</m:t>
                    </m:r>
                    <m:ctrlPr>
                      <w:rPr>
                        <w:rFonts w:ascii="Cambria Math" w:eastAsia="Times New Roman" w:hAnsi="Cambria Math"/>
                        <w:b/>
                        <w:i/>
                        <w:color w:val="000000"/>
                        <w:sz w:val="20"/>
                        <w:szCs w:val="20"/>
                      </w:rPr>
                    </m:ctrlPr>
                  </m:e>
                  <m:sub>
                    <m:r>
                      <m:rPr>
                        <m:sty m:val="bi"/>
                      </m:rPr>
                      <w:rPr>
                        <w:rFonts w:ascii="Cambria Math" w:eastAsia="Times New Roman" w:hAnsi="Cambria Math"/>
                        <w:color w:val="000000"/>
                        <w:sz w:val="20"/>
                        <w:szCs w:val="20"/>
                      </w:rPr>
                      <m:t>t</m:t>
                    </m:r>
                    <m:r>
                      <m:rPr>
                        <m:sty m:val="bi"/>
                      </m:rPr>
                      <w:rPr>
                        <w:rFonts w:ascii="Cambria Math" w:eastAsia="Times New Roman"/>
                        <w:color w:val="000000"/>
                        <w:sz w:val="20"/>
                        <w:szCs w:val="20"/>
                      </w:rPr>
                      <m:t>+2</m:t>
                    </m:r>
                    <m:ctrlPr>
                      <w:rPr>
                        <w:rFonts w:ascii="Cambria Math" w:eastAsia="Times New Roman" w:hAnsi="Cambria Math"/>
                        <w:b/>
                        <w:i/>
                        <w:color w:val="000000"/>
                        <w:sz w:val="20"/>
                        <w:szCs w:val="20"/>
                      </w:rPr>
                    </m:ctrlPr>
                  </m:sub>
                </m:sSub>
              </m:oMath>
            </m:oMathPara>
          </w:p>
        </w:tc>
        <w:tc>
          <w:tcPr>
            <w:tcW w:w="1093" w:type="pct"/>
            <w:tcBorders>
              <w:top w:val="nil"/>
              <w:left w:val="single" w:sz="4" w:space="0" w:color="auto"/>
              <w:bottom w:val="nil"/>
              <w:right w:val="single" w:sz="4" w:space="0" w:color="auto"/>
            </w:tcBorders>
            <w:shd w:val="clear" w:color="auto" w:fill="auto"/>
            <w:noWrap/>
            <w:vAlign w:val="bottom"/>
            <w:hideMark/>
          </w:tcPr>
          <w:p w:rsidR="00455DEE" w:rsidRPr="00522B4B" w:rsidRDefault="00455DEE" w:rsidP="00FA5866">
            <w:pPr>
              <w:spacing w:after="0" w:line="240" w:lineRule="auto"/>
              <w:jc w:val="right"/>
              <w:rPr>
                <w:b/>
                <w:color w:val="000000"/>
                <w:sz w:val="20"/>
                <w:szCs w:val="20"/>
              </w:rPr>
            </w:pPr>
            <w:r w:rsidRPr="00522B4B">
              <w:rPr>
                <w:b/>
                <w:color w:val="000000"/>
                <w:sz w:val="20"/>
                <w:szCs w:val="20"/>
              </w:rPr>
              <w:t>34</w:t>
            </w:r>
          </w:p>
        </w:tc>
        <w:tc>
          <w:tcPr>
            <w:tcW w:w="1621" w:type="pct"/>
            <w:tcBorders>
              <w:top w:val="nil"/>
              <w:left w:val="single" w:sz="4" w:space="0" w:color="auto"/>
              <w:bottom w:val="nil"/>
              <w:right w:val="single" w:sz="4" w:space="0" w:color="auto"/>
            </w:tcBorders>
            <w:shd w:val="clear" w:color="auto" w:fill="auto"/>
            <w:noWrap/>
            <w:vAlign w:val="bottom"/>
            <w:hideMark/>
          </w:tcPr>
          <w:p w:rsidR="00455DEE" w:rsidRPr="00522B4B" w:rsidRDefault="00455DEE" w:rsidP="00FA5866">
            <w:pPr>
              <w:spacing w:after="0" w:line="240" w:lineRule="auto"/>
              <w:jc w:val="right"/>
              <w:rPr>
                <w:b/>
                <w:color w:val="000000"/>
                <w:sz w:val="20"/>
                <w:szCs w:val="20"/>
              </w:rPr>
            </w:pPr>
            <w:r w:rsidRPr="00522B4B">
              <w:rPr>
                <w:b/>
                <w:color w:val="000000"/>
                <w:sz w:val="20"/>
                <w:szCs w:val="20"/>
              </w:rPr>
              <w:t>1.263.105**</w:t>
            </w:r>
          </w:p>
        </w:tc>
        <w:tc>
          <w:tcPr>
            <w:tcW w:w="1489" w:type="pct"/>
            <w:tcBorders>
              <w:top w:val="nil"/>
              <w:left w:val="single" w:sz="4" w:space="0" w:color="auto"/>
              <w:bottom w:val="nil"/>
            </w:tcBorders>
            <w:shd w:val="clear" w:color="auto" w:fill="auto"/>
            <w:noWrap/>
            <w:vAlign w:val="bottom"/>
            <w:hideMark/>
          </w:tcPr>
          <w:p w:rsidR="00455DEE" w:rsidRPr="00522B4B" w:rsidRDefault="00455DEE" w:rsidP="00FA5866">
            <w:pPr>
              <w:spacing w:after="0" w:line="240" w:lineRule="auto"/>
              <w:jc w:val="right"/>
              <w:rPr>
                <w:b/>
                <w:color w:val="000000"/>
                <w:sz w:val="20"/>
                <w:szCs w:val="20"/>
              </w:rPr>
            </w:pPr>
            <w:r w:rsidRPr="00522B4B">
              <w:rPr>
                <w:b/>
                <w:color w:val="000000"/>
                <w:sz w:val="20"/>
                <w:szCs w:val="20"/>
              </w:rPr>
              <w:t>2.971.146</w:t>
            </w:r>
          </w:p>
        </w:tc>
      </w:tr>
      <w:tr w:rsidR="00455DEE" w:rsidRPr="00522B4B" w:rsidTr="00455DEE">
        <w:trPr>
          <w:trHeight w:val="328"/>
          <w:jc w:val="center"/>
        </w:trPr>
        <w:tc>
          <w:tcPr>
            <w:tcW w:w="796" w:type="pct"/>
            <w:tcBorders>
              <w:top w:val="nil"/>
              <w:bottom w:val="nil"/>
              <w:right w:val="single" w:sz="4" w:space="0" w:color="auto"/>
            </w:tcBorders>
            <w:shd w:val="clear" w:color="auto" w:fill="auto"/>
            <w:noWrap/>
            <w:vAlign w:val="bottom"/>
            <w:hideMark/>
          </w:tcPr>
          <w:p w:rsidR="00455DEE" w:rsidRPr="00522B4B" w:rsidRDefault="00455DEE" w:rsidP="00FA5866">
            <w:pPr>
              <w:spacing w:after="0" w:line="240" w:lineRule="auto"/>
              <w:ind w:firstLine="0"/>
              <w:jc w:val="center"/>
              <w:rPr>
                <w:rFonts w:eastAsia="Times New Roman"/>
                <w:b/>
                <w:color w:val="000000"/>
                <w:sz w:val="20"/>
                <w:szCs w:val="20"/>
              </w:rPr>
            </w:pPr>
            <m:oMathPara>
              <m:oMath>
                <m:r>
                  <m:rPr>
                    <m:sty m:val="bi"/>
                  </m:rPr>
                  <w:rPr>
                    <w:rFonts w:ascii="Cambria Math" w:eastAsia="Times New Roman" w:hAnsi="Cambria Math"/>
                    <w:color w:val="000000"/>
                    <w:sz w:val="20"/>
                    <w:szCs w:val="20"/>
                  </w:rPr>
                  <m:t>∆</m:t>
                </m:r>
                <m:sSub>
                  <m:sSubPr>
                    <m:ctrlPr>
                      <w:rPr>
                        <w:rFonts w:ascii="Cambria Math" w:eastAsia="Times New Roman" w:hAnsi="Cambria Math"/>
                        <w:b/>
                        <w:color w:val="000000"/>
                        <w:sz w:val="20"/>
                        <w:szCs w:val="20"/>
                      </w:rPr>
                    </m:ctrlPr>
                  </m:sSubPr>
                  <m:e>
                    <m:r>
                      <m:rPr>
                        <m:sty m:val="b"/>
                      </m:rPr>
                      <w:rPr>
                        <w:rFonts w:ascii="Cambria Math" w:eastAsia="Times New Roman" w:hAnsi="Cambria Math"/>
                        <w:color w:val="000000"/>
                        <w:sz w:val="20"/>
                        <w:szCs w:val="20"/>
                      </w:rPr>
                      <m:t>Π</m:t>
                    </m:r>
                    <m:ctrlPr>
                      <w:rPr>
                        <w:rFonts w:ascii="Cambria Math" w:eastAsia="Times New Roman" w:hAnsi="Cambria Math"/>
                        <w:b/>
                        <w:i/>
                        <w:color w:val="000000"/>
                        <w:sz w:val="20"/>
                        <w:szCs w:val="20"/>
                      </w:rPr>
                    </m:ctrlPr>
                  </m:e>
                  <m:sub>
                    <m:r>
                      <m:rPr>
                        <m:sty m:val="bi"/>
                      </m:rPr>
                      <w:rPr>
                        <w:rFonts w:ascii="Cambria Math" w:eastAsia="Times New Roman" w:hAnsi="Cambria Math"/>
                        <w:color w:val="000000"/>
                        <w:sz w:val="20"/>
                        <w:szCs w:val="20"/>
                      </w:rPr>
                      <m:t>t</m:t>
                    </m:r>
                    <m:r>
                      <m:rPr>
                        <m:sty m:val="bi"/>
                      </m:rPr>
                      <w:rPr>
                        <w:rFonts w:ascii="Cambria Math" w:eastAsia="Times New Roman"/>
                        <w:color w:val="000000"/>
                        <w:sz w:val="20"/>
                        <w:szCs w:val="20"/>
                      </w:rPr>
                      <m:t>+3</m:t>
                    </m:r>
                    <m:ctrlPr>
                      <w:rPr>
                        <w:rFonts w:ascii="Cambria Math" w:eastAsia="Times New Roman" w:hAnsi="Cambria Math"/>
                        <w:b/>
                        <w:i/>
                        <w:color w:val="000000"/>
                        <w:sz w:val="20"/>
                        <w:szCs w:val="20"/>
                      </w:rPr>
                    </m:ctrlPr>
                  </m:sub>
                </m:sSub>
              </m:oMath>
            </m:oMathPara>
          </w:p>
        </w:tc>
        <w:tc>
          <w:tcPr>
            <w:tcW w:w="1093" w:type="pct"/>
            <w:tcBorders>
              <w:top w:val="nil"/>
              <w:left w:val="single" w:sz="4" w:space="0" w:color="auto"/>
              <w:bottom w:val="nil"/>
              <w:right w:val="single" w:sz="4" w:space="0" w:color="auto"/>
            </w:tcBorders>
            <w:shd w:val="clear" w:color="auto" w:fill="auto"/>
            <w:noWrap/>
            <w:vAlign w:val="bottom"/>
            <w:hideMark/>
          </w:tcPr>
          <w:p w:rsidR="00455DEE" w:rsidRPr="00522B4B" w:rsidRDefault="00455DEE" w:rsidP="00FA5866">
            <w:pPr>
              <w:spacing w:after="0" w:line="240" w:lineRule="auto"/>
              <w:jc w:val="right"/>
              <w:rPr>
                <w:b/>
                <w:color w:val="000000"/>
                <w:sz w:val="20"/>
                <w:szCs w:val="20"/>
              </w:rPr>
            </w:pPr>
            <w:r w:rsidRPr="00522B4B">
              <w:rPr>
                <w:b/>
                <w:color w:val="000000"/>
                <w:sz w:val="20"/>
                <w:szCs w:val="20"/>
              </w:rPr>
              <w:t>34</w:t>
            </w:r>
          </w:p>
        </w:tc>
        <w:tc>
          <w:tcPr>
            <w:tcW w:w="1621" w:type="pct"/>
            <w:tcBorders>
              <w:top w:val="nil"/>
              <w:left w:val="single" w:sz="4" w:space="0" w:color="auto"/>
              <w:bottom w:val="nil"/>
              <w:right w:val="single" w:sz="4" w:space="0" w:color="auto"/>
            </w:tcBorders>
            <w:shd w:val="clear" w:color="auto" w:fill="auto"/>
            <w:noWrap/>
            <w:vAlign w:val="bottom"/>
            <w:hideMark/>
          </w:tcPr>
          <w:p w:rsidR="00455DEE" w:rsidRPr="00522B4B" w:rsidRDefault="00455DEE" w:rsidP="00FA5866">
            <w:pPr>
              <w:spacing w:after="0" w:line="240" w:lineRule="auto"/>
              <w:jc w:val="right"/>
              <w:rPr>
                <w:b/>
                <w:color w:val="000000"/>
                <w:sz w:val="20"/>
                <w:szCs w:val="20"/>
              </w:rPr>
            </w:pPr>
            <w:r w:rsidRPr="00522B4B">
              <w:rPr>
                <w:b/>
                <w:color w:val="000000"/>
                <w:sz w:val="20"/>
                <w:szCs w:val="20"/>
              </w:rPr>
              <w:t>1.188.497**</w:t>
            </w:r>
          </w:p>
        </w:tc>
        <w:tc>
          <w:tcPr>
            <w:tcW w:w="1489" w:type="pct"/>
            <w:tcBorders>
              <w:top w:val="nil"/>
              <w:left w:val="single" w:sz="4" w:space="0" w:color="auto"/>
              <w:bottom w:val="nil"/>
            </w:tcBorders>
            <w:shd w:val="clear" w:color="auto" w:fill="auto"/>
            <w:noWrap/>
            <w:vAlign w:val="bottom"/>
            <w:hideMark/>
          </w:tcPr>
          <w:p w:rsidR="00455DEE" w:rsidRPr="00522B4B" w:rsidRDefault="00455DEE" w:rsidP="00FA5866">
            <w:pPr>
              <w:spacing w:after="0" w:line="240" w:lineRule="auto"/>
              <w:jc w:val="right"/>
              <w:rPr>
                <w:b/>
                <w:color w:val="000000"/>
                <w:sz w:val="20"/>
                <w:szCs w:val="20"/>
              </w:rPr>
            </w:pPr>
            <w:r w:rsidRPr="00522B4B">
              <w:rPr>
                <w:b/>
                <w:color w:val="000000"/>
                <w:sz w:val="20"/>
                <w:szCs w:val="20"/>
              </w:rPr>
              <w:t>3.177.587</w:t>
            </w:r>
          </w:p>
        </w:tc>
      </w:tr>
      <w:tr w:rsidR="00455DEE" w:rsidRPr="00522B4B" w:rsidTr="00455DEE">
        <w:trPr>
          <w:trHeight w:val="328"/>
          <w:jc w:val="center"/>
        </w:trPr>
        <w:tc>
          <w:tcPr>
            <w:tcW w:w="796" w:type="pct"/>
            <w:tcBorders>
              <w:top w:val="nil"/>
              <w:bottom w:val="nil"/>
              <w:right w:val="single" w:sz="4" w:space="0" w:color="auto"/>
            </w:tcBorders>
            <w:shd w:val="clear" w:color="auto" w:fill="auto"/>
            <w:noWrap/>
            <w:vAlign w:val="bottom"/>
            <w:hideMark/>
          </w:tcPr>
          <w:p w:rsidR="00455DEE" w:rsidRPr="00522B4B" w:rsidRDefault="00455DEE" w:rsidP="00FA5866">
            <w:pPr>
              <w:spacing w:after="0" w:line="240" w:lineRule="auto"/>
              <w:ind w:firstLine="0"/>
              <w:jc w:val="center"/>
              <w:rPr>
                <w:rFonts w:eastAsia="Times New Roman"/>
                <w:b/>
                <w:color w:val="000000"/>
                <w:sz w:val="20"/>
                <w:szCs w:val="20"/>
              </w:rPr>
            </w:pPr>
            <m:oMathPara>
              <m:oMath>
                <m:r>
                  <m:rPr>
                    <m:sty m:val="bi"/>
                  </m:rPr>
                  <w:rPr>
                    <w:rFonts w:ascii="Cambria Math" w:eastAsia="Times New Roman" w:hAnsi="Cambria Math"/>
                    <w:color w:val="000000"/>
                    <w:sz w:val="20"/>
                    <w:szCs w:val="20"/>
                  </w:rPr>
                  <w:lastRenderedPageBreak/>
                  <m:t>∆</m:t>
                </m:r>
                <m:sSub>
                  <m:sSubPr>
                    <m:ctrlPr>
                      <w:rPr>
                        <w:rFonts w:ascii="Cambria Math" w:eastAsia="Times New Roman" w:hAnsi="Cambria Math"/>
                        <w:b/>
                        <w:color w:val="000000"/>
                        <w:sz w:val="20"/>
                        <w:szCs w:val="20"/>
                      </w:rPr>
                    </m:ctrlPr>
                  </m:sSubPr>
                  <m:e>
                    <m:r>
                      <m:rPr>
                        <m:sty m:val="b"/>
                      </m:rPr>
                      <w:rPr>
                        <w:rFonts w:ascii="Cambria Math" w:eastAsia="Times New Roman" w:hAnsi="Cambria Math"/>
                        <w:color w:val="000000"/>
                        <w:sz w:val="20"/>
                        <w:szCs w:val="20"/>
                      </w:rPr>
                      <m:t>Π</m:t>
                    </m:r>
                    <m:ctrlPr>
                      <w:rPr>
                        <w:rFonts w:ascii="Cambria Math" w:eastAsia="Times New Roman" w:hAnsi="Cambria Math"/>
                        <w:b/>
                        <w:i/>
                        <w:color w:val="000000"/>
                        <w:sz w:val="20"/>
                        <w:szCs w:val="20"/>
                      </w:rPr>
                    </m:ctrlPr>
                  </m:e>
                  <m:sub>
                    <m:r>
                      <m:rPr>
                        <m:sty m:val="bi"/>
                      </m:rPr>
                      <w:rPr>
                        <w:rFonts w:ascii="Cambria Math" w:eastAsia="Times New Roman" w:hAnsi="Cambria Math"/>
                        <w:color w:val="000000"/>
                        <w:sz w:val="20"/>
                        <w:szCs w:val="20"/>
                      </w:rPr>
                      <m:t>t</m:t>
                    </m:r>
                    <m:r>
                      <m:rPr>
                        <m:sty m:val="bi"/>
                      </m:rPr>
                      <w:rPr>
                        <w:rFonts w:ascii="Cambria Math" w:eastAsia="Times New Roman"/>
                        <w:color w:val="000000"/>
                        <w:sz w:val="20"/>
                        <w:szCs w:val="20"/>
                      </w:rPr>
                      <m:t>+4</m:t>
                    </m:r>
                    <m:ctrlPr>
                      <w:rPr>
                        <w:rFonts w:ascii="Cambria Math" w:eastAsia="Times New Roman" w:hAnsi="Cambria Math"/>
                        <w:b/>
                        <w:i/>
                        <w:color w:val="000000"/>
                        <w:sz w:val="20"/>
                        <w:szCs w:val="20"/>
                      </w:rPr>
                    </m:ctrlPr>
                  </m:sub>
                </m:sSub>
              </m:oMath>
            </m:oMathPara>
          </w:p>
        </w:tc>
        <w:tc>
          <w:tcPr>
            <w:tcW w:w="1093" w:type="pct"/>
            <w:tcBorders>
              <w:top w:val="nil"/>
              <w:left w:val="single" w:sz="4" w:space="0" w:color="auto"/>
              <w:bottom w:val="nil"/>
              <w:right w:val="single" w:sz="4" w:space="0" w:color="auto"/>
            </w:tcBorders>
            <w:shd w:val="clear" w:color="auto" w:fill="auto"/>
            <w:noWrap/>
            <w:vAlign w:val="bottom"/>
            <w:hideMark/>
          </w:tcPr>
          <w:p w:rsidR="00455DEE" w:rsidRPr="00522B4B" w:rsidRDefault="00455DEE" w:rsidP="00FA5866">
            <w:pPr>
              <w:spacing w:after="0" w:line="240" w:lineRule="auto"/>
              <w:jc w:val="right"/>
              <w:rPr>
                <w:b/>
                <w:color w:val="000000"/>
                <w:sz w:val="20"/>
                <w:szCs w:val="20"/>
              </w:rPr>
            </w:pPr>
            <w:r w:rsidRPr="00522B4B">
              <w:rPr>
                <w:b/>
                <w:color w:val="000000"/>
                <w:sz w:val="20"/>
                <w:szCs w:val="20"/>
              </w:rPr>
              <w:t>31</w:t>
            </w:r>
          </w:p>
        </w:tc>
        <w:tc>
          <w:tcPr>
            <w:tcW w:w="1621" w:type="pct"/>
            <w:tcBorders>
              <w:top w:val="nil"/>
              <w:left w:val="single" w:sz="4" w:space="0" w:color="auto"/>
              <w:bottom w:val="nil"/>
              <w:right w:val="single" w:sz="4" w:space="0" w:color="auto"/>
            </w:tcBorders>
            <w:shd w:val="clear" w:color="auto" w:fill="auto"/>
            <w:noWrap/>
            <w:vAlign w:val="bottom"/>
            <w:hideMark/>
          </w:tcPr>
          <w:p w:rsidR="00455DEE" w:rsidRPr="00522B4B" w:rsidRDefault="00455DEE" w:rsidP="00FA5866">
            <w:pPr>
              <w:spacing w:after="0" w:line="240" w:lineRule="auto"/>
              <w:jc w:val="right"/>
              <w:rPr>
                <w:b/>
                <w:color w:val="000000"/>
                <w:sz w:val="20"/>
                <w:szCs w:val="20"/>
              </w:rPr>
            </w:pPr>
            <w:r w:rsidRPr="00522B4B">
              <w:rPr>
                <w:b/>
                <w:color w:val="000000"/>
                <w:sz w:val="20"/>
                <w:szCs w:val="20"/>
              </w:rPr>
              <w:t>2.402.392**</w:t>
            </w:r>
          </w:p>
        </w:tc>
        <w:tc>
          <w:tcPr>
            <w:tcW w:w="1489" w:type="pct"/>
            <w:tcBorders>
              <w:top w:val="nil"/>
              <w:left w:val="single" w:sz="4" w:space="0" w:color="auto"/>
              <w:bottom w:val="nil"/>
            </w:tcBorders>
            <w:shd w:val="clear" w:color="auto" w:fill="auto"/>
            <w:noWrap/>
            <w:vAlign w:val="bottom"/>
            <w:hideMark/>
          </w:tcPr>
          <w:p w:rsidR="00455DEE" w:rsidRPr="00522B4B" w:rsidRDefault="00455DEE" w:rsidP="00FA5866">
            <w:pPr>
              <w:spacing w:after="0" w:line="240" w:lineRule="auto"/>
              <w:jc w:val="right"/>
              <w:rPr>
                <w:b/>
                <w:color w:val="000000"/>
                <w:sz w:val="20"/>
                <w:szCs w:val="20"/>
              </w:rPr>
            </w:pPr>
            <w:r w:rsidRPr="00522B4B">
              <w:rPr>
                <w:b/>
                <w:color w:val="000000"/>
                <w:sz w:val="20"/>
                <w:szCs w:val="20"/>
              </w:rPr>
              <w:t>5.576.229</w:t>
            </w:r>
          </w:p>
        </w:tc>
      </w:tr>
      <w:tr w:rsidR="00455DEE" w:rsidRPr="00522B4B" w:rsidTr="00455DEE">
        <w:trPr>
          <w:trHeight w:val="328"/>
          <w:jc w:val="center"/>
        </w:trPr>
        <w:tc>
          <w:tcPr>
            <w:tcW w:w="796" w:type="pct"/>
            <w:tcBorders>
              <w:top w:val="nil"/>
              <w:bottom w:val="nil"/>
              <w:right w:val="single" w:sz="4" w:space="0" w:color="auto"/>
            </w:tcBorders>
            <w:shd w:val="clear" w:color="auto" w:fill="auto"/>
            <w:noWrap/>
            <w:vAlign w:val="bottom"/>
            <w:hideMark/>
          </w:tcPr>
          <w:p w:rsidR="00455DEE" w:rsidRPr="00522B4B" w:rsidRDefault="00455DEE" w:rsidP="00FA5866">
            <w:pPr>
              <w:spacing w:after="0" w:line="240" w:lineRule="auto"/>
              <w:ind w:firstLine="0"/>
              <w:jc w:val="center"/>
              <w:rPr>
                <w:rFonts w:eastAsia="Times New Roman"/>
                <w:b/>
                <w:color w:val="000000"/>
                <w:sz w:val="20"/>
                <w:szCs w:val="20"/>
              </w:rPr>
            </w:pPr>
            <m:oMathPara>
              <m:oMath>
                <m:r>
                  <m:rPr>
                    <m:sty m:val="bi"/>
                  </m:rPr>
                  <w:rPr>
                    <w:rFonts w:ascii="Cambria Math" w:eastAsia="Times New Roman" w:hAnsi="Cambria Math"/>
                    <w:color w:val="000000"/>
                    <w:sz w:val="20"/>
                    <w:szCs w:val="20"/>
                  </w:rPr>
                  <m:t>∆</m:t>
                </m:r>
                <m:sSub>
                  <m:sSubPr>
                    <m:ctrlPr>
                      <w:rPr>
                        <w:rFonts w:ascii="Cambria Math" w:eastAsia="Times New Roman" w:hAnsi="Cambria Math"/>
                        <w:b/>
                        <w:color w:val="000000"/>
                        <w:sz w:val="20"/>
                        <w:szCs w:val="20"/>
                      </w:rPr>
                    </m:ctrlPr>
                  </m:sSubPr>
                  <m:e>
                    <m:r>
                      <m:rPr>
                        <m:sty m:val="b"/>
                      </m:rPr>
                      <w:rPr>
                        <w:rFonts w:ascii="Cambria Math" w:eastAsia="Times New Roman" w:hAnsi="Cambria Math"/>
                        <w:color w:val="000000"/>
                        <w:sz w:val="20"/>
                        <w:szCs w:val="20"/>
                      </w:rPr>
                      <m:t>Π</m:t>
                    </m:r>
                    <m:ctrlPr>
                      <w:rPr>
                        <w:rFonts w:ascii="Cambria Math" w:eastAsia="Times New Roman" w:hAnsi="Cambria Math"/>
                        <w:b/>
                        <w:i/>
                        <w:color w:val="000000"/>
                        <w:sz w:val="20"/>
                        <w:szCs w:val="20"/>
                      </w:rPr>
                    </m:ctrlPr>
                  </m:e>
                  <m:sub>
                    <m:r>
                      <m:rPr>
                        <m:sty m:val="bi"/>
                      </m:rPr>
                      <w:rPr>
                        <w:rFonts w:ascii="Cambria Math" w:eastAsia="Times New Roman" w:hAnsi="Cambria Math"/>
                        <w:color w:val="000000"/>
                        <w:sz w:val="20"/>
                        <w:szCs w:val="20"/>
                      </w:rPr>
                      <m:t>t</m:t>
                    </m:r>
                    <m:r>
                      <m:rPr>
                        <m:sty m:val="bi"/>
                      </m:rPr>
                      <w:rPr>
                        <w:rFonts w:ascii="Cambria Math" w:eastAsia="Times New Roman"/>
                        <w:color w:val="000000"/>
                        <w:sz w:val="20"/>
                        <w:szCs w:val="20"/>
                      </w:rPr>
                      <m:t>+5</m:t>
                    </m:r>
                    <m:ctrlPr>
                      <w:rPr>
                        <w:rFonts w:ascii="Cambria Math" w:eastAsia="Times New Roman" w:hAnsi="Cambria Math"/>
                        <w:b/>
                        <w:i/>
                        <w:color w:val="000000"/>
                        <w:sz w:val="20"/>
                        <w:szCs w:val="20"/>
                      </w:rPr>
                    </m:ctrlPr>
                  </m:sub>
                </m:sSub>
              </m:oMath>
            </m:oMathPara>
          </w:p>
        </w:tc>
        <w:tc>
          <w:tcPr>
            <w:tcW w:w="1093" w:type="pct"/>
            <w:tcBorders>
              <w:top w:val="nil"/>
              <w:left w:val="single" w:sz="4" w:space="0" w:color="auto"/>
              <w:bottom w:val="nil"/>
              <w:right w:val="single" w:sz="4" w:space="0" w:color="auto"/>
            </w:tcBorders>
            <w:shd w:val="clear" w:color="auto" w:fill="auto"/>
            <w:noWrap/>
            <w:vAlign w:val="bottom"/>
            <w:hideMark/>
          </w:tcPr>
          <w:p w:rsidR="00455DEE" w:rsidRPr="00522B4B" w:rsidRDefault="00455DEE" w:rsidP="00FA5866">
            <w:pPr>
              <w:spacing w:after="0" w:line="240" w:lineRule="auto"/>
              <w:jc w:val="right"/>
              <w:rPr>
                <w:b/>
                <w:color w:val="000000"/>
                <w:sz w:val="20"/>
                <w:szCs w:val="20"/>
              </w:rPr>
            </w:pPr>
            <w:r w:rsidRPr="00522B4B">
              <w:rPr>
                <w:b/>
                <w:color w:val="000000"/>
                <w:sz w:val="20"/>
                <w:szCs w:val="20"/>
              </w:rPr>
              <w:t>28</w:t>
            </w:r>
          </w:p>
        </w:tc>
        <w:tc>
          <w:tcPr>
            <w:tcW w:w="1621" w:type="pct"/>
            <w:tcBorders>
              <w:top w:val="nil"/>
              <w:left w:val="single" w:sz="4" w:space="0" w:color="auto"/>
              <w:bottom w:val="nil"/>
              <w:right w:val="single" w:sz="4" w:space="0" w:color="auto"/>
            </w:tcBorders>
            <w:shd w:val="clear" w:color="auto" w:fill="auto"/>
            <w:noWrap/>
            <w:vAlign w:val="bottom"/>
            <w:hideMark/>
          </w:tcPr>
          <w:p w:rsidR="00455DEE" w:rsidRPr="00522B4B" w:rsidRDefault="00455DEE" w:rsidP="00FA5866">
            <w:pPr>
              <w:spacing w:after="0" w:line="240" w:lineRule="auto"/>
              <w:jc w:val="right"/>
              <w:rPr>
                <w:b/>
                <w:color w:val="000000"/>
                <w:sz w:val="20"/>
                <w:szCs w:val="20"/>
              </w:rPr>
            </w:pPr>
            <w:r w:rsidRPr="00522B4B">
              <w:rPr>
                <w:b/>
                <w:color w:val="000000"/>
                <w:sz w:val="20"/>
                <w:szCs w:val="20"/>
              </w:rPr>
              <w:t>2.100.145**</w:t>
            </w:r>
          </w:p>
        </w:tc>
        <w:tc>
          <w:tcPr>
            <w:tcW w:w="1489" w:type="pct"/>
            <w:tcBorders>
              <w:top w:val="nil"/>
              <w:left w:val="single" w:sz="4" w:space="0" w:color="auto"/>
              <w:bottom w:val="nil"/>
            </w:tcBorders>
            <w:shd w:val="clear" w:color="auto" w:fill="auto"/>
            <w:noWrap/>
            <w:vAlign w:val="bottom"/>
            <w:hideMark/>
          </w:tcPr>
          <w:p w:rsidR="00455DEE" w:rsidRPr="00522B4B" w:rsidRDefault="00455DEE" w:rsidP="00FA5866">
            <w:pPr>
              <w:spacing w:after="0" w:line="240" w:lineRule="auto"/>
              <w:jc w:val="right"/>
              <w:rPr>
                <w:b/>
                <w:color w:val="000000"/>
                <w:sz w:val="20"/>
                <w:szCs w:val="20"/>
              </w:rPr>
            </w:pPr>
            <w:r w:rsidRPr="00522B4B">
              <w:rPr>
                <w:b/>
                <w:color w:val="000000"/>
                <w:sz w:val="20"/>
                <w:szCs w:val="20"/>
              </w:rPr>
              <w:t>5.148.536</w:t>
            </w:r>
          </w:p>
        </w:tc>
      </w:tr>
      <w:tr w:rsidR="00455DEE" w:rsidRPr="00522B4B" w:rsidTr="00455DEE">
        <w:trPr>
          <w:trHeight w:val="328"/>
          <w:jc w:val="center"/>
        </w:trPr>
        <w:tc>
          <w:tcPr>
            <w:tcW w:w="796" w:type="pct"/>
            <w:tcBorders>
              <w:top w:val="nil"/>
              <w:bottom w:val="nil"/>
              <w:right w:val="single" w:sz="4" w:space="0" w:color="auto"/>
            </w:tcBorders>
            <w:shd w:val="clear" w:color="auto" w:fill="auto"/>
            <w:noWrap/>
            <w:vAlign w:val="bottom"/>
            <w:hideMark/>
          </w:tcPr>
          <w:p w:rsidR="00455DEE" w:rsidRPr="00522B4B" w:rsidRDefault="00455DEE" w:rsidP="00FA5866">
            <w:pPr>
              <w:spacing w:after="0" w:line="240" w:lineRule="auto"/>
              <w:ind w:firstLine="0"/>
              <w:jc w:val="center"/>
              <w:rPr>
                <w:rFonts w:eastAsia="Times New Roman"/>
                <w:color w:val="000000"/>
                <w:sz w:val="20"/>
                <w:szCs w:val="20"/>
              </w:rPr>
            </w:pPr>
            <m:oMathPara>
              <m:oMath>
                <m:r>
                  <w:rPr>
                    <w:rFonts w:ascii="Cambria Math" w:eastAsia="Times New Roman" w:hAnsi="Cambria Math"/>
                    <w:color w:val="000000"/>
                    <w:sz w:val="20"/>
                    <w:szCs w:val="20"/>
                  </w:rPr>
                  <m:t>∆</m:t>
                </m:r>
                <m:sSub>
                  <m:sSubPr>
                    <m:ctrlPr>
                      <w:rPr>
                        <w:rFonts w:ascii="Cambria Math" w:eastAsia="Times New Roman" w:hAnsi="Cambria Math"/>
                        <w:color w:val="000000"/>
                        <w:sz w:val="20"/>
                        <w:szCs w:val="20"/>
                      </w:rPr>
                    </m:ctrlPr>
                  </m:sSubPr>
                  <m:e>
                    <m:r>
                      <m:rPr>
                        <m:sty m:val="p"/>
                      </m:rPr>
                      <w:rPr>
                        <w:rFonts w:ascii="Cambria Math" w:eastAsia="Times New Roman" w:hAnsi="Cambria Math"/>
                        <w:color w:val="000000"/>
                        <w:sz w:val="20"/>
                        <w:szCs w:val="20"/>
                      </w:rPr>
                      <m:t>Π</m:t>
                    </m:r>
                    <m:ctrlPr>
                      <w:rPr>
                        <w:rFonts w:ascii="Cambria Math" w:eastAsia="Times New Roman" w:hAnsi="Cambria Math"/>
                        <w:i/>
                        <w:color w:val="000000"/>
                        <w:sz w:val="20"/>
                        <w:szCs w:val="20"/>
                      </w:rPr>
                    </m:ctrlPr>
                  </m:e>
                  <m:sub>
                    <m:r>
                      <w:rPr>
                        <w:rFonts w:ascii="Cambria Math" w:eastAsia="Times New Roman" w:hAnsi="Cambria Math"/>
                        <w:color w:val="000000"/>
                        <w:sz w:val="20"/>
                        <w:szCs w:val="20"/>
                      </w:rPr>
                      <m:t>t</m:t>
                    </m:r>
                    <m:r>
                      <w:rPr>
                        <w:rFonts w:ascii="Cambria Math" w:eastAsia="Times New Roman"/>
                        <w:color w:val="000000"/>
                        <w:sz w:val="20"/>
                        <w:szCs w:val="20"/>
                      </w:rPr>
                      <m:t>+6</m:t>
                    </m:r>
                    <m:ctrlPr>
                      <w:rPr>
                        <w:rFonts w:ascii="Cambria Math" w:eastAsia="Times New Roman" w:hAnsi="Cambria Math"/>
                        <w:i/>
                        <w:color w:val="000000"/>
                        <w:sz w:val="20"/>
                        <w:szCs w:val="20"/>
                      </w:rPr>
                    </m:ctrlPr>
                  </m:sub>
                </m:sSub>
              </m:oMath>
            </m:oMathPara>
          </w:p>
        </w:tc>
        <w:tc>
          <w:tcPr>
            <w:tcW w:w="1093" w:type="pct"/>
            <w:tcBorders>
              <w:top w:val="nil"/>
              <w:left w:val="single" w:sz="4" w:space="0" w:color="auto"/>
              <w:bottom w:val="nil"/>
              <w:right w:val="single" w:sz="4" w:space="0" w:color="auto"/>
            </w:tcBorders>
            <w:shd w:val="clear" w:color="auto" w:fill="auto"/>
            <w:noWrap/>
            <w:vAlign w:val="bottom"/>
            <w:hideMark/>
          </w:tcPr>
          <w:p w:rsidR="00455DEE" w:rsidRPr="00522B4B" w:rsidRDefault="00455DEE" w:rsidP="00FA5866">
            <w:pPr>
              <w:spacing w:after="0" w:line="240" w:lineRule="auto"/>
              <w:jc w:val="right"/>
              <w:rPr>
                <w:color w:val="000000"/>
                <w:sz w:val="20"/>
                <w:szCs w:val="20"/>
              </w:rPr>
            </w:pPr>
            <w:r w:rsidRPr="00522B4B">
              <w:rPr>
                <w:color w:val="000000"/>
                <w:sz w:val="20"/>
                <w:szCs w:val="20"/>
              </w:rPr>
              <w:t>28</w:t>
            </w:r>
          </w:p>
        </w:tc>
        <w:tc>
          <w:tcPr>
            <w:tcW w:w="1621" w:type="pct"/>
            <w:tcBorders>
              <w:top w:val="nil"/>
              <w:left w:val="single" w:sz="4" w:space="0" w:color="auto"/>
              <w:bottom w:val="nil"/>
              <w:right w:val="single" w:sz="4" w:space="0" w:color="auto"/>
            </w:tcBorders>
            <w:shd w:val="clear" w:color="auto" w:fill="auto"/>
            <w:noWrap/>
            <w:vAlign w:val="bottom"/>
            <w:hideMark/>
          </w:tcPr>
          <w:p w:rsidR="00455DEE" w:rsidRPr="00522B4B" w:rsidRDefault="00455DEE" w:rsidP="00FA5866">
            <w:pPr>
              <w:spacing w:after="0" w:line="240" w:lineRule="auto"/>
              <w:jc w:val="right"/>
              <w:rPr>
                <w:color w:val="000000"/>
                <w:sz w:val="20"/>
                <w:szCs w:val="20"/>
              </w:rPr>
            </w:pPr>
            <w:r w:rsidRPr="00522B4B">
              <w:rPr>
                <w:color w:val="000000"/>
                <w:sz w:val="20"/>
                <w:szCs w:val="20"/>
              </w:rPr>
              <w:t>1.268.574</w:t>
            </w:r>
          </w:p>
        </w:tc>
        <w:tc>
          <w:tcPr>
            <w:tcW w:w="1489" w:type="pct"/>
            <w:tcBorders>
              <w:top w:val="nil"/>
              <w:left w:val="single" w:sz="4" w:space="0" w:color="auto"/>
              <w:bottom w:val="nil"/>
            </w:tcBorders>
            <w:shd w:val="clear" w:color="auto" w:fill="auto"/>
            <w:noWrap/>
            <w:vAlign w:val="bottom"/>
            <w:hideMark/>
          </w:tcPr>
          <w:p w:rsidR="00455DEE" w:rsidRPr="00522B4B" w:rsidRDefault="00455DEE" w:rsidP="00FA5866">
            <w:pPr>
              <w:spacing w:after="0" w:line="240" w:lineRule="auto"/>
              <w:jc w:val="right"/>
              <w:rPr>
                <w:color w:val="000000"/>
                <w:sz w:val="20"/>
                <w:szCs w:val="20"/>
              </w:rPr>
            </w:pPr>
            <w:r w:rsidRPr="00522B4B">
              <w:rPr>
                <w:color w:val="000000"/>
                <w:sz w:val="20"/>
                <w:szCs w:val="20"/>
              </w:rPr>
              <w:t>4.204.558</w:t>
            </w:r>
          </w:p>
        </w:tc>
      </w:tr>
      <w:tr w:rsidR="00455DEE" w:rsidRPr="00522B4B" w:rsidTr="00455DEE">
        <w:trPr>
          <w:trHeight w:val="328"/>
          <w:jc w:val="center"/>
        </w:trPr>
        <w:tc>
          <w:tcPr>
            <w:tcW w:w="796" w:type="pct"/>
            <w:tcBorders>
              <w:top w:val="nil"/>
              <w:bottom w:val="nil"/>
              <w:right w:val="single" w:sz="4" w:space="0" w:color="auto"/>
            </w:tcBorders>
            <w:shd w:val="clear" w:color="auto" w:fill="auto"/>
            <w:noWrap/>
            <w:vAlign w:val="bottom"/>
            <w:hideMark/>
          </w:tcPr>
          <w:p w:rsidR="00455DEE" w:rsidRPr="00522B4B" w:rsidRDefault="00455DEE" w:rsidP="00FA5866">
            <w:pPr>
              <w:spacing w:after="0" w:line="240" w:lineRule="auto"/>
              <w:ind w:firstLine="0"/>
              <w:jc w:val="center"/>
              <w:rPr>
                <w:rFonts w:eastAsia="Times New Roman"/>
                <w:b/>
                <w:color w:val="000000"/>
                <w:sz w:val="20"/>
                <w:szCs w:val="20"/>
              </w:rPr>
            </w:pPr>
            <m:oMathPara>
              <m:oMath>
                <m:r>
                  <m:rPr>
                    <m:sty m:val="bi"/>
                  </m:rPr>
                  <w:rPr>
                    <w:rFonts w:ascii="Cambria Math" w:eastAsia="Times New Roman" w:hAnsi="Cambria Math"/>
                    <w:color w:val="000000"/>
                    <w:sz w:val="20"/>
                    <w:szCs w:val="20"/>
                  </w:rPr>
                  <m:t>∆</m:t>
                </m:r>
                <m:sSub>
                  <m:sSubPr>
                    <m:ctrlPr>
                      <w:rPr>
                        <w:rFonts w:ascii="Cambria Math" w:eastAsia="Times New Roman" w:hAnsi="Cambria Math"/>
                        <w:b/>
                        <w:color w:val="000000"/>
                        <w:sz w:val="20"/>
                        <w:szCs w:val="20"/>
                      </w:rPr>
                    </m:ctrlPr>
                  </m:sSubPr>
                  <m:e>
                    <m:r>
                      <m:rPr>
                        <m:sty m:val="b"/>
                      </m:rPr>
                      <w:rPr>
                        <w:rFonts w:ascii="Cambria Math" w:eastAsia="Times New Roman" w:hAnsi="Cambria Math"/>
                        <w:color w:val="000000"/>
                        <w:sz w:val="20"/>
                        <w:szCs w:val="20"/>
                      </w:rPr>
                      <m:t>Π</m:t>
                    </m:r>
                    <m:ctrlPr>
                      <w:rPr>
                        <w:rFonts w:ascii="Cambria Math" w:eastAsia="Times New Roman" w:hAnsi="Cambria Math"/>
                        <w:b/>
                        <w:i/>
                        <w:color w:val="000000"/>
                        <w:sz w:val="20"/>
                        <w:szCs w:val="20"/>
                      </w:rPr>
                    </m:ctrlPr>
                  </m:e>
                  <m:sub>
                    <m:r>
                      <m:rPr>
                        <m:sty m:val="bi"/>
                      </m:rPr>
                      <w:rPr>
                        <w:rFonts w:ascii="Cambria Math" w:eastAsia="Times New Roman" w:hAnsi="Cambria Math"/>
                        <w:color w:val="000000"/>
                        <w:sz w:val="20"/>
                        <w:szCs w:val="20"/>
                      </w:rPr>
                      <m:t>t</m:t>
                    </m:r>
                    <m:r>
                      <m:rPr>
                        <m:sty m:val="bi"/>
                      </m:rPr>
                      <w:rPr>
                        <w:rFonts w:ascii="Cambria Math" w:eastAsia="Times New Roman"/>
                        <w:color w:val="000000"/>
                        <w:sz w:val="20"/>
                        <w:szCs w:val="20"/>
                      </w:rPr>
                      <m:t>+7</m:t>
                    </m:r>
                    <m:ctrlPr>
                      <w:rPr>
                        <w:rFonts w:ascii="Cambria Math" w:eastAsia="Times New Roman" w:hAnsi="Cambria Math"/>
                        <w:b/>
                        <w:i/>
                        <w:color w:val="000000"/>
                        <w:sz w:val="20"/>
                        <w:szCs w:val="20"/>
                      </w:rPr>
                    </m:ctrlPr>
                  </m:sub>
                </m:sSub>
              </m:oMath>
            </m:oMathPara>
          </w:p>
        </w:tc>
        <w:tc>
          <w:tcPr>
            <w:tcW w:w="1093" w:type="pct"/>
            <w:tcBorders>
              <w:top w:val="nil"/>
              <w:left w:val="single" w:sz="4" w:space="0" w:color="auto"/>
              <w:bottom w:val="nil"/>
              <w:right w:val="single" w:sz="4" w:space="0" w:color="auto"/>
            </w:tcBorders>
            <w:shd w:val="clear" w:color="auto" w:fill="auto"/>
            <w:noWrap/>
            <w:vAlign w:val="bottom"/>
            <w:hideMark/>
          </w:tcPr>
          <w:p w:rsidR="00455DEE" w:rsidRPr="00522B4B" w:rsidRDefault="00455DEE" w:rsidP="00FA5866">
            <w:pPr>
              <w:spacing w:after="0" w:line="240" w:lineRule="auto"/>
              <w:jc w:val="right"/>
              <w:rPr>
                <w:b/>
                <w:color w:val="000000"/>
                <w:sz w:val="20"/>
                <w:szCs w:val="20"/>
              </w:rPr>
            </w:pPr>
            <w:r w:rsidRPr="00522B4B">
              <w:rPr>
                <w:b/>
                <w:color w:val="000000"/>
                <w:sz w:val="20"/>
                <w:szCs w:val="20"/>
              </w:rPr>
              <w:t>26</w:t>
            </w:r>
          </w:p>
        </w:tc>
        <w:tc>
          <w:tcPr>
            <w:tcW w:w="1621" w:type="pct"/>
            <w:tcBorders>
              <w:top w:val="nil"/>
              <w:left w:val="single" w:sz="4" w:space="0" w:color="auto"/>
              <w:bottom w:val="nil"/>
              <w:right w:val="single" w:sz="4" w:space="0" w:color="auto"/>
            </w:tcBorders>
            <w:shd w:val="clear" w:color="auto" w:fill="auto"/>
            <w:noWrap/>
            <w:vAlign w:val="bottom"/>
            <w:hideMark/>
          </w:tcPr>
          <w:p w:rsidR="00455DEE" w:rsidRPr="00522B4B" w:rsidRDefault="00455DEE" w:rsidP="00FA5866">
            <w:pPr>
              <w:spacing w:after="0" w:line="240" w:lineRule="auto"/>
              <w:jc w:val="right"/>
              <w:rPr>
                <w:b/>
                <w:color w:val="000000"/>
                <w:sz w:val="20"/>
                <w:szCs w:val="20"/>
              </w:rPr>
            </w:pPr>
            <w:r w:rsidRPr="00522B4B">
              <w:rPr>
                <w:b/>
                <w:color w:val="000000"/>
                <w:sz w:val="20"/>
                <w:szCs w:val="20"/>
              </w:rPr>
              <w:t>1.585.237*</w:t>
            </w:r>
          </w:p>
        </w:tc>
        <w:tc>
          <w:tcPr>
            <w:tcW w:w="1489" w:type="pct"/>
            <w:tcBorders>
              <w:top w:val="nil"/>
              <w:left w:val="single" w:sz="4" w:space="0" w:color="auto"/>
              <w:bottom w:val="nil"/>
            </w:tcBorders>
            <w:shd w:val="clear" w:color="auto" w:fill="auto"/>
            <w:noWrap/>
            <w:vAlign w:val="bottom"/>
            <w:hideMark/>
          </w:tcPr>
          <w:p w:rsidR="00455DEE" w:rsidRPr="00522B4B" w:rsidRDefault="00455DEE" w:rsidP="00FA5866">
            <w:pPr>
              <w:spacing w:after="0" w:line="240" w:lineRule="auto"/>
              <w:jc w:val="right"/>
              <w:rPr>
                <w:b/>
                <w:color w:val="000000"/>
                <w:sz w:val="20"/>
                <w:szCs w:val="20"/>
              </w:rPr>
            </w:pPr>
            <w:r w:rsidRPr="00522B4B">
              <w:rPr>
                <w:b/>
                <w:color w:val="000000"/>
                <w:sz w:val="20"/>
                <w:szCs w:val="20"/>
              </w:rPr>
              <w:t>4.330.729</w:t>
            </w:r>
          </w:p>
        </w:tc>
      </w:tr>
      <w:tr w:rsidR="00455DEE" w:rsidRPr="00522B4B" w:rsidTr="00455DEE">
        <w:trPr>
          <w:trHeight w:val="328"/>
          <w:jc w:val="center"/>
        </w:trPr>
        <w:tc>
          <w:tcPr>
            <w:tcW w:w="796" w:type="pct"/>
            <w:tcBorders>
              <w:top w:val="nil"/>
              <w:bottom w:val="nil"/>
              <w:right w:val="single" w:sz="4" w:space="0" w:color="auto"/>
            </w:tcBorders>
            <w:shd w:val="clear" w:color="auto" w:fill="auto"/>
            <w:noWrap/>
            <w:vAlign w:val="bottom"/>
            <w:hideMark/>
          </w:tcPr>
          <w:p w:rsidR="00455DEE" w:rsidRPr="00522B4B" w:rsidRDefault="00455DEE" w:rsidP="00FA5866">
            <w:pPr>
              <w:spacing w:after="0" w:line="240" w:lineRule="auto"/>
              <w:ind w:firstLine="0"/>
              <w:jc w:val="center"/>
              <w:rPr>
                <w:rFonts w:eastAsia="Times New Roman"/>
                <w:color w:val="000000"/>
                <w:sz w:val="20"/>
                <w:szCs w:val="20"/>
              </w:rPr>
            </w:pPr>
            <m:oMathPara>
              <m:oMath>
                <m:r>
                  <w:rPr>
                    <w:rFonts w:ascii="Cambria Math" w:eastAsia="Times New Roman" w:hAnsi="Cambria Math"/>
                    <w:color w:val="000000"/>
                    <w:sz w:val="20"/>
                    <w:szCs w:val="20"/>
                  </w:rPr>
                  <m:t>∆</m:t>
                </m:r>
                <m:sSub>
                  <m:sSubPr>
                    <m:ctrlPr>
                      <w:rPr>
                        <w:rFonts w:ascii="Cambria Math" w:eastAsia="Times New Roman" w:hAnsi="Cambria Math"/>
                        <w:color w:val="000000"/>
                        <w:sz w:val="20"/>
                        <w:szCs w:val="20"/>
                      </w:rPr>
                    </m:ctrlPr>
                  </m:sSubPr>
                  <m:e>
                    <m:r>
                      <m:rPr>
                        <m:sty m:val="p"/>
                      </m:rPr>
                      <w:rPr>
                        <w:rFonts w:ascii="Cambria Math" w:eastAsia="Times New Roman" w:hAnsi="Cambria Math"/>
                        <w:color w:val="000000"/>
                        <w:sz w:val="20"/>
                        <w:szCs w:val="20"/>
                      </w:rPr>
                      <m:t>Π</m:t>
                    </m:r>
                    <m:ctrlPr>
                      <w:rPr>
                        <w:rFonts w:ascii="Cambria Math" w:eastAsia="Times New Roman" w:hAnsi="Cambria Math"/>
                        <w:i/>
                        <w:color w:val="000000"/>
                        <w:sz w:val="20"/>
                        <w:szCs w:val="20"/>
                      </w:rPr>
                    </m:ctrlPr>
                  </m:e>
                  <m:sub>
                    <m:r>
                      <w:rPr>
                        <w:rFonts w:ascii="Cambria Math" w:eastAsia="Times New Roman" w:hAnsi="Cambria Math"/>
                        <w:color w:val="000000"/>
                        <w:sz w:val="20"/>
                        <w:szCs w:val="20"/>
                      </w:rPr>
                      <m:t>t</m:t>
                    </m:r>
                    <m:r>
                      <w:rPr>
                        <w:rFonts w:ascii="Cambria Math" w:eastAsia="Times New Roman"/>
                        <w:color w:val="000000"/>
                        <w:sz w:val="20"/>
                        <w:szCs w:val="20"/>
                      </w:rPr>
                      <m:t>+8</m:t>
                    </m:r>
                    <m:ctrlPr>
                      <w:rPr>
                        <w:rFonts w:ascii="Cambria Math" w:eastAsia="Times New Roman" w:hAnsi="Cambria Math"/>
                        <w:i/>
                        <w:color w:val="000000"/>
                        <w:sz w:val="20"/>
                        <w:szCs w:val="20"/>
                      </w:rPr>
                    </m:ctrlPr>
                  </m:sub>
                </m:sSub>
              </m:oMath>
            </m:oMathPara>
          </w:p>
        </w:tc>
        <w:tc>
          <w:tcPr>
            <w:tcW w:w="1093" w:type="pct"/>
            <w:tcBorders>
              <w:top w:val="nil"/>
              <w:left w:val="single" w:sz="4" w:space="0" w:color="auto"/>
              <w:bottom w:val="nil"/>
              <w:right w:val="single" w:sz="4" w:space="0" w:color="auto"/>
            </w:tcBorders>
            <w:shd w:val="clear" w:color="auto" w:fill="auto"/>
            <w:noWrap/>
            <w:vAlign w:val="bottom"/>
            <w:hideMark/>
          </w:tcPr>
          <w:p w:rsidR="00455DEE" w:rsidRPr="00522B4B" w:rsidRDefault="00455DEE" w:rsidP="00FA5866">
            <w:pPr>
              <w:spacing w:after="0" w:line="240" w:lineRule="auto"/>
              <w:jc w:val="right"/>
              <w:rPr>
                <w:color w:val="000000"/>
                <w:sz w:val="20"/>
                <w:szCs w:val="20"/>
              </w:rPr>
            </w:pPr>
            <w:r w:rsidRPr="00522B4B">
              <w:rPr>
                <w:color w:val="000000"/>
                <w:sz w:val="20"/>
                <w:szCs w:val="20"/>
              </w:rPr>
              <w:t>26</w:t>
            </w:r>
          </w:p>
        </w:tc>
        <w:tc>
          <w:tcPr>
            <w:tcW w:w="1621" w:type="pct"/>
            <w:tcBorders>
              <w:top w:val="nil"/>
              <w:left w:val="single" w:sz="4" w:space="0" w:color="auto"/>
              <w:bottom w:val="nil"/>
              <w:right w:val="single" w:sz="4" w:space="0" w:color="auto"/>
            </w:tcBorders>
            <w:shd w:val="clear" w:color="auto" w:fill="auto"/>
            <w:noWrap/>
            <w:vAlign w:val="bottom"/>
            <w:hideMark/>
          </w:tcPr>
          <w:p w:rsidR="00455DEE" w:rsidRPr="00522B4B" w:rsidRDefault="00455DEE" w:rsidP="00FA5866">
            <w:pPr>
              <w:spacing w:after="0" w:line="240" w:lineRule="auto"/>
              <w:jc w:val="right"/>
              <w:rPr>
                <w:color w:val="000000"/>
                <w:sz w:val="20"/>
                <w:szCs w:val="20"/>
              </w:rPr>
            </w:pPr>
            <w:r w:rsidRPr="00522B4B">
              <w:rPr>
                <w:color w:val="000000"/>
                <w:sz w:val="20"/>
                <w:szCs w:val="20"/>
              </w:rPr>
              <w:t>1.207.466</w:t>
            </w:r>
          </w:p>
        </w:tc>
        <w:tc>
          <w:tcPr>
            <w:tcW w:w="1489" w:type="pct"/>
            <w:tcBorders>
              <w:top w:val="nil"/>
              <w:left w:val="single" w:sz="4" w:space="0" w:color="auto"/>
              <w:bottom w:val="nil"/>
            </w:tcBorders>
            <w:shd w:val="clear" w:color="auto" w:fill="auto"/>
            <w:noWrap/>
            <w:vAlign w:val="bottom"/>
            <w:hideMark/>
          </w:tcPr>
          <w:p w:rsidR="00455DEE" w:rsidRPr="00522B4B" w:rsidRDefault="00455DEE" w:rsidP="00FA5866">
            <w:pPr>
              <w:spacing w:after="0" w:line="240" w:lineRule="auto"/>
              <w:jc w:val="right"/>
              <w:rPr>
                <w:color w:val="000000"/>
                <w:sz w:val="20"/>
                <w:szCs w:val="20"/>
              </w:rPr>
            </w:pPr>
            <w:r w:rsidRPr="00522B4B">
              <w:rPr>
                <w:color w:val="000000"/>
                <w:sz w:val="20"/>
                <w:szCs w:val="20"/>
              </w:rPr>
              <w:t>4.721.988</w:t>
            </w:r>
          </w:p>
        </w:tc>
      </w:tr>
      <w:tr w:rsidR="00455DEE" w:rsidRPr="00522B4B" w:rsidTr="00455DEE">
        <w:trPr>
          <w:trHeight w:val="328"/>
          <w:jc w:val="center"/>
        </w:trPr>
        <w:tc>
          <w:tcPr>
            <w:tcW w:w="796" w:type="pct"/>
            <w:tcBorders>
              <w:top w:val="nil"/>
              <w:bottom w:val="nil"/>
              <w:right w:val="single" w:sz="4" w:space="0" w:color="auto"/>
            </w:tcBorders>
            <w:shd w:val="clear" w:color="auto" w:fill="auto"/>
            <w:noWrap/>
            <w:vAlign w:val="bottom"/>
            <w:hideMark/>
          </w:tcPr>
          <w:p w:rsidR="00455DEE" w:rsidRPr="00522B4B" w:rsidRDefault="00455DEE" w:rsidP="00FA5866">
            <w:pPr>
              <w:spacing w:after="0" w:line="240" w:lineRule="auto"/>
              <w:ind w:firstLine="0"/>
              <w:jc w:val="center"/>
              <w:rPr>
                <w:rFonts w:eastAsia="Times New Roman"/>
                <w:b/>
                <w:color w:val="000000"/>
                <w:sz w:val="20"/>
                <w:szCs w:val="20"/>
              </w:rPr>
            </w:pPr>
            <m:oMathPara>
              <m:oMath>
                <m:r>
                  <m:rPr>
                    <m:sty m:val="bi"/>
                  </m:rPr>
                  <w:rPr>
                    <w:rFonts w:ascii="Cambria Math" w:eastAsia="Times New Roman" w:hAnsi="Cambria Math"/>
                    <w:color w:val="000000"/>
                    <w:sz w:val="20"/>
                    <w:szCs w:val="20"/>
                  </w:rPr>
                  <m:t>∆</m:t>
                </m:r>
                <m:sSub>
                  <m:sSubPr>
                    <m:ctrlPr>
                      <w:rPr>
                        <w:rFonts w:ascii="Cambria Math" w:eastAsia="Times New Roman" w:hAnsi="Cambria Math"/>
                        <w:b/>
                        <w:color w:val="000000"/>
                        <w:sz w:val="20"/>
                        <w:szCs w:val="20"/>
                      </w:rPr>
                    </m:ctrlPr>
                  </m:sSubPr>
                  <m:e>
                    <m:r>
                      <m:rPr>
                        <m:sty m:val="b"/>
                      </m:rPr>
                      <w:rPr>
                        <w:rFonts w:ascii="Cambria Math" w:eastAsia="Times New Roman" w:hAnsi="Cambria Math"/>
                        <w:color w:val="000000"/>
                        <w:sz w:val="20"/>
                        <w:szCs w:val="20"/>
                      </w:rPr>
                      <m:t>Π</m:t>
                    </m:r>
                    <m:ctrlPr>
                      <w:rPr>
                        <w:rFonts w:ascii="Cambria Math" w:eastAsia="Times New Roman" w:hAnsi="Cambria Math"/>
                        <w:b/>
                        <w:i/>
                        <w:color w:val="000000"/>
                        <w:sz w:val="20"/>
                        <w:szCs w:val="20"/>
                      </w:rPr>
                    </m:ctrlPr>
                  </m:e>
                  <m:sub>
                    <m:r>
                      <m:rPr>
                        <m:sty m:val="bi"/>
                      </m:rPr>
                      <w:rPr>
                        <w:rFonts w:ascii="Cambria Math" w:eastAsia="Times New Roman" w:hAnsi="Cambria Math"/>
                        <w:color w:val="000000"/>
                        <w:sz w:val="20"/>
                        <w:szCs w:val="20"/>
                      </w:rPr>
                      <m:t>t</m:t>
                    </m:r>
                    <m:r>
                      <m:rPr>
                        <m:sty m:val="bi"/>
                      </m:rPr>
                      <w:rPr>
                        <w:rFonts w:ascii="Cambria Math" w:eastAsia="Times New Roman"/>
                        <w:color w:val="000000"/>
                        <w:sz w:val="20"/>
                        <w:szCs w:val="20"/>
                      </w:rPr>
                      <m:t>+9</m:t>
                    </m:r>
                    <m:ctrlPr>
                      <w:rPr>
                        <w:rFonts w:ascii="Cambria Math" w:eastAsia="Times New Roman" w:hAnsi="Cambria Math"/>
                        <w:b/>
                        <w:i/>
                        <w:color w:val="000000"/>
                        <w:sz w:val="20"/>
                        <w:szCs w:val="20"/>
                      </w:rPr>
                    </m:ctrlPr>
                  </m:sub>
                </m:sSub>
              </m:oMath>
            </m:oMathPara>
          </w:p>
        </w:tc>
        <w:tc>
          <w:tcPr>
            <w:tcW w:w="1093" w:type="pct"/>
            <w:tcBorders>
              <w:top w:val="nil"/>
              <w:left w:val="single" w:sz="4" w:space="0" w:color="auto"/>
              <w:bottom w:val="nil"/>
              <w:right w:val="single" w:sz="4" w:space="0" w:color="auto"/>
            </w:tcBorders>
            <w:shd w:val="clear" w:color="auto" w:fill="auto"/>
            <w:noWrap/>
            <w:vAlign w:val="bottom"/>
            <w:hideMark/>
          </w:tcPr>
          <w:p w:rsidR="00455DEE" w:rsidRPr="00522B4B" w:rsidRDefault="00455DEE" w:rsidP="00FA5866">
            <w:pPr>
              <w:spacing w:after="0" w:line="240" w:lineRule="auto"/>
              <w:jc w:val="right"/>
              <w:rPr>
                <w:b/>
                <w:color w:val="000000"/>
                <w:sz w:val="20"/>
                <w:szCs w:val="20"/>
              </w:rPr>
            </w:pPr>
            <w:r w:rsidRPr="00522B4B">
              <w:rPr>
                <w:b/>
                <w:color w:val="000000"/>
                <w:sz w:val="20"/>
                <w:szCs w:val="20"/>
              </w:rPr>
              <w:t>25</w:t>
            </w:r>
          </w:p>
        </w:tc>
        <w:tc>
          <w:tcPr>
            <w:tcW w:w="1621" w:type="pct"/>
            <w:tcBorders>
              <w:top w:val="nil"/>
              <w:left w:val="single" w:sz="4" w:space="0" w:color="auto"/>
              <w:bottom w:val="nil"/>
              <w:right w:val="single" w:sz="4" w:space="0" w:color="auto"/>
            </w:tcBorders>
            <w:shd w:val="clear" w:color="auto" w:fill="auto"/>
            <w:noWrap/>
            <w:vAlign w:val="bottom"/>
            <w:hideMark/>
          </w:tcPr>
          <w:p w:rsidR="00455DEE" w:rsidRPr="00522B4B" w:rsidRDefault="00455DEE" w:rsidP="00FA5866">
            <w:pPr>
              <w:spacing w:after="0" w:line="240" w:lineRule="auto"/>
              <w:jc w:val="right"/>
              <w:rPr>
                <w:b/>
                <w:color w:val="000000"/>
                <w:sz w:val="20"/>
                <w:szCs w:val="20"/>
              </w:rPr>
            </w:pPr>
            <w:r w:rsidRPr="00522B4B">
              <w:rPr>
                <w:b/>
                <w:color w:val="000000"/>
                <w:sz w:val="20"/>
                <w:szCs w:val="20"/>
              </w:rPr>
              <w:t>1.962.022**</w:t>
            </w:r>
          </w:p>
        </w:tc>
        <w:tc>
          <w:tcPr>
            <w:tcW w:w="1489" w:type="pct"/>
            <w:tcBorders>
              <w:top w:val="nil"/>
              <w:left w:val="single" w:sz="4" w:space="0" w:color="auto"/>
              <w:bottom w:val="nil"/>
            </w:tcBorders>
            <w:shd w:val="clear" w:color="auto" w:fill="auto"/>
            <w:noWrap/>
            <w:vAlign w:val="bottom"/>
            <w:hideMark/>
          </w:tcPr>
          <w:p w:rsidR="00455DEE" w:rsidRPr="00522B4B" w:rsidRDefault="00455DEE" w:rsidP="00FA5866">
            <w:pPr>
              <w:spacing w:after="0" w:line="240" w:lineRule="auto"/>
              <w:jc w:val="right"/>
              <w:rPr>
                <w:b/>
                <w:color w:val="000000"/>
                <w:sz w:val="20"/>
                <w:szCs w:val="20"/>
              </w:rPr>
            </w:pPr>
            <w:r w:rsidRPr="00522B4B">
              <w:rPr>
                <w:b/>
                <w:color w:val="000000"/>
                <w:sz w:val="20"/>
                <w:szCs w:val="20"/>
              </w:rPr>
              <w:t>4.720.815</w:t>
            </w:r>
          </w:p>
        </w:tc>
      </w:tr>
      <w:tr w:rsidR="00455DEE" w:rsidRPr="00522B4B" w:rsidTr="00455DEE">
        <w:trPr>
          <w:trHeight w:val="328"/>
          <w:jc w:val="center"/>
        </w:trPr>
        <w:tc>
          <w:tcPr>
            <w:tcW w:w="796" w:type="pct"/>
            <w:tcBorders>
              <w:top w:val="nil"/>
              <w:bottom w:val="nil"/>
              <w:right w:val="single" w:sz="4" w:space="0" w:color="auto"/>
            </w:tcBorders>
            <w:shd w:val="clear" w:color="auto" w:fill="auto"/>
            <w:noWrap/>
            <w:vAlign w:val="bottom"/>
            <w:hideMark/>
          </w:tcPr>
          <w:p w:rsidR="00455DEE" w:rsidRPr="00522B4B" w:rsidRDefault="00455DEE" w:rsidP="00FA5866">
            <w:pPr>
              <w:spacing w:after="0" w:line="240" w:lineRule="auto"/>
              <w:ind w:firstLine="0"/>
              <w:jc w:val="center"/>
              <w:rPr>
                <w:rFonts w:eastAsia="Times New Roman"/>
                <w:b/>
                <w:color w:val="000000"/>
                <w:sz w:val="20"/>
                <w:szCs w:val="20"/>
              </w:rPr>
            </w:pPr>
            <m:oMathPara>
              <m:oMath>
                <m:r>
                  <m:rPr>
                    <m:sty m:val="bi"/>
                  </m:rPr>
                  <w:rPr>
                    <w:rFonts w:ascii="Cambria Math" w:eastAsia="Times New Roman" w:hAnsi="Cambria Math"/>
                    <w:color w:val="000000"/>
                    <w:sz w:val="20"/>
                    <w:szCs w:val="20"/>
                  </w:rPr>
                  <m:t>∆</m:t>
                </m:r>
                <m:sSub>
                  <m:sSubPr>
                    <m:ctrlPr>
                      <w:rPr>
                        <w:rFonts w:ascii="Cambria Math" w:eastAsia="Times New Roman" w:hAnsi="Cambria Math"/>
                        <w:b/>
                        <w:color w:val="000000"/>
                        <w:sz w:val="20"/>
                        <w:szCs w:val="20"/>
                      </w:rPr>
                    </m:ctrlPr>
                  </m:sSubPr>
                  <m:e>
                    <m:r>
                      <m:rPr>
                        <m:sty m:val="b"/>
                      </m:rPr>
                      <w:rPr>
                        <w:rFonts w:ascii="Cambria Math" w:eastAsia="Times New Roman" w:hAnsi="Cambria Math"/>
                        <w:color w:val="000000"/>
                        <w:sz w:val="20"/>
                        <w:szCs w:val="20"/>
                      </w:rPr>
                      <m:t>Π</m:t>
                    </m:r>
                    <m:ctrlPr>
                      <w:rPr>
                        <w:rFonts w:ascii="Cambria Math" w:eastAsia="Times New Roman" w:hAnsi="Cambria Math"/>
                        <w:b/>
                        <w:i/>
                        <w:color w:val="000000"/>
                        <w:sz w:val="20"/>
                        <w:szCs w:val="20"/>
                      </w:rPr>
                    </m:ctrlPr>
                  </m:e>
                  <m:sub>
                    <m:r>
                      <m:rPr>
                        <m:sty m:val="bi"/>
                      </m:rPr>
                      <w:rPr>
                        <w:rFonts w:ascii="Cambria Math" w:eastAsia="Times New Roman" w:hAnsi="Cambria Math"/>
                        <w:color w:val="000000"/>
                        <w:sz w:val="20"/>
                        <w:szCs w:val="20"/>
                      </w:rPr>
                      <m:t>t</m:t>
                    </m:r>
                    <m:r>
                      <m:rPr>
                        <m:sty m:val="bi"/>
                      </m:rPr>
                      <w:rPr>
                        <w:rFonts w:ascii="Cambria Math" w:eastAsia="Times New Roman"/>
                        <w:color w:val="000000"/>
                        <w:sz w:val="20"/>
                        <w:szCs w:val="20"/>
                      </w:rPr>
                      <m:t>+10</m:t>
                    </m:r>
                    <m:ctrlPr>
                      <w:rPr>
                        <w:rFonts w:ascii="Cambria Math" w:eastAsia="Times New Roman" w:hAnsi="Cambria Math"/>
                        <w:b/>
                        <w:i/>
                        <w:color w:val="000000"/>
                        <w:sz w:val="20"/>
                        <w:szCs w:val="20"/>
                      </w:rPr>
                    </m:ctrlPr>
                  </m:sub>
                </m:sSub>
              </m:oMath>
            </m:oMathPara>
          </w:p>
        </w:tc>
        <w:tc>
          <w:tcPr>
            <w:tcW w:w="1093" w:type="pct"/>
            <w:tcBorders>
              <w:top w:val="nil"/>
              <w:left w:val="single" w:sz="4" w:space="0" w:color="auto"/>
              <w:bottom w:val="nil"/>
              <w:right w:val="single" w:sz="4" w:space="0" w:color="auto"/>
            </w:tcBorders>
            <w:shd w:val="clear" w:color="auto" w:fill="auto"/>
            <w:noWrap/>
            <w:vAlign w:val="bottom"/>
            <w:hideMark/>
          </w:tcPr>
          <w:p w:rsidR="00455DEE" w:rsidRPr="00522B4B" w:rsidRDefault="00455DEE" w:rsidP="00FA5866">
            <w:pPr>
              <w:spacing w:after="0" w:line="240" w:lineRule="auto"/>
              <w:jc w:val="right"/>
              <w:rPr>
                <w:b/>
                <w:color w:val="000000"/>
                <w:sz w:val="20"/>
                <w:szCs w:val="20"/>
              </w:rPr>
            </w:pPr>
            <w:r w:rsidRPr="00522B4B">
              <w:rPr>
                <w:b/>
                <w:color w:val="000000"/>
                <w:sz w:val="20"/>
                <w:szCs w:val="20"/>
              </w:rPr>
              <w:t>25</w:t>
            </w:r>
          </w:p>
        </w:tc>
        <w:tc>
          <w:tcPr>
            <w:tcW w:w="1621" w:type="pct"/>
            <w:tcBorders>
              <w:top w:val="nil"/>
              <w:left w:val="single" w:sz="4" w:space="0" w:color="auto"/>
              <w:bottom w:val="nil"/>
              <w:right w:val="single" w:sz="4" w:space="0" w:color="auto"/>
            </w:tcBorders>
            <w:shd w:val="clear" w:color="auto" w:fill="auto"/>
            <w:noWrap/>
            <w:vAlign w:val="bottom"/>
            <w:hideMark/>
          </w:tcPr>
          <w:p w:rsidR="00455DEE" w:rsidRPr="00522B4B" w:rsidRDefault="00455DEE" w:rsidP="00FA5866">
            <w:pPr>
              <w:spacing w:after="0" w:line="240" w:lineRule="auto"/>
              <w:jc w:val="right"/>
              <w:rPr>
                <w:b/>
                <w:color w:val="000000"/>
                <w:sz w:val="20"/>
                <w:szCs w:val="20"/>
              </w:rPr>
            </w:pPr>
            <w:r w:rsidRPr="00522B4B">
              <w:rPr>
                <w:b/>
                <w:color w:val="000000"/>
                <w:sz w:val="20"/>
                <w:szCs w:val="20"/>
              </w:rPr>
              <w:t>1.741.759*</w:t>
            </w:r>
          </w:p>
        </w:tc>
        <w:tc>
          <w:tcPr>
            <w:tcW w:w="1489" w:type="pct"/>
            <w:tcBorders>
              <w:top w:val="nil"/>
              <w:left w:val="single" w:sz="4" w:space="0" w:color="auto"/>
              <w:bottom w:val="nil"/>
            </w:tcBorders>
            <w:shd w:val="clear" w:color="auto" w:fill="auto"/>
            <w:noWrap/>
            <w:vAlign w:val="bottom"/>
            <w:hideMark/>
          </w:tcPr>
          <w:p w:rsidR="00455DEE" w:rsidRPr="00522B4B" w:rsidRDefault="00455DEE" w:rsidP="00FA5866">
            <w:pPr>
              <w:spacing w:after="0" w:line="240" w:lineRule="auto"/>
              <w:jc w:val="right"/>
              <w:rPr>
                <w:b/>
                <w:color w:val="000000"/>
                <w:sz w:val="20"/>
                <w:szCs w:val="20"/>
              </w:rPr>
            </w:pPr>
            <w:r w:rsidRPr="00522B4B">
              <w:rPr>
                <w:b/>
                <w:color w:val="000000"/>
                <w:sz w:val="20"/>
                <w:szCs w:val="20"/>
              </w:rPr>
              <w:t>4.361.716</w:t>
            </w:r>
          </w:p>
        </w:tc>
      </w:tr>
      <w:tr w:rsidR="00455DEE" w:rsidRPr="00522B4B" w:rsidTr="00455DEE">
        <w:trPr>
          <w:trHeight w:val="328"/>
          <w:jc w:val="center"/>
        </w:trPr>
        <w:tc>
          <w:tcPr>
            <w:tcW w:w="796" w:type="pct"/>
            <w:tcBorders>
              <w:top w:val="nil"/>
              <w:bottom w:val="nil"/>
              <w:right w:val="single" w:sz="4" w:space="0" w:color="auto"/>
            </w:tcBorders>
            <w:shd w:val="clear" w:color="auto" w:fill="auto"/>
            <w:noWrap/>
            <w:vAlign w:val="bottom"/>
            <w:hideMark/>
          </w:tcPr>
          <w:p w:rsidR="00455DEE" w:rsidRPr="00522B4B" w:rsidRDefault="00455DEE" w:rsidP="00FA5866">
            <w:pPr>
              <w:spacing w:after="0" w:line="240" w:lineRule="auto"/>
              <w:ind w:firstLine="0"/>
              <w:jc w:val="center"/>
              <w:rPr>
                <w:rFonts w:eastAsia="Times New Roman"/>
                <w:b/>
                <w:color w:val="000000"/>
                <w:sz w:val="20"/>
                <w:szCs w:val="20"/>
              </w:rPr>
            </w:pPr>
            <m:oMathPara>
              <m:oMath>
                <m:r>
                  <m:rPr>
                    <m:sty m:val="bi"/>
                  </m:rPr>
                  <w:rPr>
                    <w:rFonts w:ascii="Cambria Math" w:eastAsia="Times New Roman" w:hAnsi="Cambria Math"/>
                    <w:color w:val="000000"/>
                    <w:sz w:val="20"/>
                    <w:szCs w:val="20"/>
                  </w:rPr>
                  <m:t>∆</m:t>
                </m:r>
                <m:sSub>
                  <m:sSubPr>
                    <m:ctrlPr>
                      <w:rPr>
                        <w:rFonts w:ascii="Cambria Math" w:eastAsia="Times New Roman" w:hAnsi="Cambria Math"/>
                        <w:b/>
                        <w:color w:val="000000"/>
                        <w:sz w:val="20"/>
                        <w:szCs w:val="20"/>
                      </w:rPr>
                    </m:ctrlPr>
                  </m:sSubPr>
                  <m:e>
                    <m:r>
                      <m:rPr>
                        <m:sty m:val="b"/>
                      </m:rPr>
                      <w:rPr>
                        <w:rFonts w:ascii="Cambria Math" w:eastAsia="Times New Roman" w:hAnsi="Cambria Math"/>
                        <w:color w:val="000000"/>
                        <w:sz w:val="20"/>
                        <w:szCs w:val="20"/>
                      </w:rPr>
                      <m:t>Π</m:t>
                    </m:r>
                    <m:ctrlPr>
                      <w:rPr>
                        <w:rFonts w:ascii="Cambria Math" w:eastAsia="Times New Roman" w:hAnsi="Cambria Math"/>
                        <w:b/>
                        <w:i/>
                        <w:color w:val="000000"/>
                        <w:sz w:val="20"/>
                        <w:szCs w:val="20"/>
                      </w:rPr>
                    </m:ctrlPr>
                  </m:e>
                  <m:sub>
                    <m:r>
                      <m:rPr>
                        <m:sty m:val="bi"/>
                      </m:rPr>
                      <w:rPr>
                        <w:rFonts w:ascii="Cambria Math" w:eastAsia="Times New Roman" w:hAnsi="Cambria Math"/>
                        <w:color w:val="000000"/>
                        <w:sz w:val="20"/>
                        <w:szCs w:val="20"/>
                      </w:rPr>
                      <m:t>t</m:t>
                    </m:r>
                    <m:r>
                      <m:rPr>
                        <m:sty m:val="bi"/>
                      </m:rPr>
                      <w:rPr>
                        <w:rFonts w:ascii="Cambria Math" w:eastAsia="Times New Roman"/>
                        <w:color w:val="000000"/>
                        <w:sz w:val="20"/>
                        <w:szCs w:val="20"/>
                      </w:rPr>
                      <m:t>+11</m:t>
                    </m:r>
                    <m:ctrlPr>
                      <w:rPr>
                        <w:rFonts w:ascii="Cambria Math" w:eastAsia="Times New Roman" w:hAnsi="Cambria Math"/>
                        <w:b/>
                        <w:i/>
                        <w:color w:val="000000"/>
                        <w:sz w:val="20"/>
                        <w:szCs w:val="20"/>
                      </w:rPr>
                    </m:ctrlPr>
                  </m:sub>
                </m:sSub>
              </m:oMath>
            </m:oMathPara>
          </w:p>
        </w:tc>
        <w:tc>
          <w:tcPr>
            <w:tcW w:w="1093" w:type="pct"/>
            <w:tcBorders>
              <w:top w:val="nil"/>
              <w:left w:val="single" w:sz="4" w:space="0" w:color="auto"/>
              <w:bottom w:val="nil"/>
              <w:right w:val="single" w:sz="4" w:space="0" w:color="auto"/>
            </w:tcBorders>
            <w:shd w:val="clear" w:color="auto" w:fill="auto"/>
            <w:noWrap/>
            <w:vAlign w:val="bottom"/>
            <w:hideMark/>
          </w:tcPr>
          <w:p w:rsidR="00455DEE" w:rsidRPr="00522B4B" w:rsidRDefault="00455DEE" w:rsidP="00FA5866">
            <w:pPr>
              <w:spacing w:after="0" w:line="240" w:lineRule="auto"/>
              <w:jc w:val="right"/>
              <w:rPr>
                <w:b/>
                <w:color w:val="000000"/>
                <w:sz w:val="20"/>
                <w:szCs w:val="20"/>
              </w:rPr>
            </w:pPr>
            <w:r w:rsidRPr="00522B4B">
              <w:rPr>
                <w:b/>
                <w:color w:val="000000"/>
                <w:sz w:val="20"/>
                <w:szCs w:val="20"/>
              </w:rPr>
              <w:t>25</w:t>
            </w:r>
          </w:p>
        </w:tc>
        <w:tc>
          <w:tcPr>
            <w:tcW w:w="1621" w:type="pct"/>
            <w:tcBorders>
              <w:top w:val="nil"/>
              <w:left w:val="single" w:sz="4" w:space="0" w:color="auto"/>
              <w:bottom w:val="nil"/>
              <w:right w:val="single" w:sz="4" w:space="0" w:color="auto"/>
            </w:tcBorders>
            <w:shd w:val="clear" w:color="auto" w:fill="auto"/>
            <w:noWrap/>
            <w:vAlign w:val="bottom"/>
            <w:hideMark/>
          </w:tcPr>
          <w:p w:rsidR="00455DEE" w:rsidRPr="00522B4B" w:rsidRDefault="00455DEE" w:rsidP="00FA5866">
            <w:pPr>
              <w:spacing w:after="0" w:line="240" w:lineRule="auto"/>
              <w:jc w:val="right"/>
              <w:rPr>
                <w:b/>
                <w:color w:val="000000"/>
                <w:sz w:val="20"/>
                <w:szCs w:val="20"/>
              </w:rPr>
            </w:pPr>
            <w:r w:rsidRPr="00522B4B">
              <w:rPr>
                <w:b/>
                <w:color w:val="000000"/>
                <w:sz w:val="20"/>
                <w:szCs w:val="20"/>
              </w:rPr>
              <w:t>1.664.682*</w:t>
            </w:r>
          </w:p>
        </w:tc>
        <w:tc>
          <w:tcPr>
            <w:tcW w:w="1489" w:type="pct"/>
            <w:tcBorders>
              <w:top w:val="nil"/>
              <w:left w:val="single" w:sz="4" w:space="0" w:color="auto"/>
              <w:bottom w:val="nil"/>
            </w:tcBorders>
            <w:shd w:val="clear" w:color="auto" w:fill="auto"/>
            <w:noWrap/>
            <w:vAlign w:val="bottom"/>
            <w:hideMark/>
          </w:tcPr>
          <w:p w:rsidR="00455DEE" w:rsidRPr="00522B4B" w:rsidRDefault="00455DEE" w:rsidP="00FA5866">
            <w:pPr>
              <w:spacing w:after="0" w:line="240" w:lineRule="auto"/>
              <w:jc w:val="right"/>
              <w:rPr>
                <w:b/>
                <w:color w:val="000000"/>
                <w:sz w:val="20"/>
                <w:szCs w:val="20"/>
              </w:rPr>
            </w:pPr>
            <w:r w:rsidRPr="00522B4B">
              <w:rPr>
                <w:b/>
                <w:color w:val="000000"/>
                <w:sz w:val="20"/>
                <w:szCs w:val="20"/>
              </w:rPr>
              <w:t>4.307.311</w:t>
            </w:r>
          </w:p>
        </w:tc>
      </w:tr>
      <w:tr w:rsidR="00455DEE" w:rsidRPr="00522B4B" w:rsidTr="00455DEE">
        <w:trPr>
          <w:trHeight w:val="328"/>
          <w:jc w:val="center"/>
        </w:trPr>
        <w:tc>
          <w:tcPr>
            <w:tcW w:w="796" w:type="pct"/>
            <w:tcBorders>
              <w:top w:val="nil"/>
              <w:bottom w:val="nil"/>
              <w:right w:val="single" w:sz="4" w:space="0" w:color="auto"/>
            </w:tcBorders>
            <w:shd w:val="clear" w:color="auto" w:fill="auto"/>
            <w:noWrap/>
            <w:vAlign w:val="bottom"/>
            <w:hideMark/>
          </w:tcPr>
          <w:p w:rsidR="00455DEE" w:rsidRPr="00522B4B" w:rsidRDefault="00455DEE" w:rsidP="00FA5866">
            <w:pPr>
              <w:spacing w:after="0" w:line="240" w:lineRule="auto"/>
              <w:ind w:firstLine="0"/>
              <w:jc w:val="center"/>
              <w:rPr>
                <w:rFonts w:eastAsia="Times New Roman"/>
                <w:b/>
                <w:color w:val="000000"/>
                <w:sz w:val="20"/>
                <w:szCs w:val="20"/>
              </w:rPr>
            </w:pPr>
            <m:oMathPara>
              <m:oMath>
                <m:r>
                  <m:rPr>
                    <m:sty m:val="bi"/>
                  </m:rPr>
                  <w:rPr>
                    <w:rFonts w:ascii="Cambria Math" w:eastAsia="Times New Roman" w:hAnsi="Cambria Math"/>
                    <w:color w:val="000000"/>
                    <w:sz w:val="20"/>
                    <w:szCs w:val="20"/>
                  </w:rPr>
                  <m:t>∆</m:t>
                </m:r>
                <m:sSub>
                  <m:sSubPr>
                    <m:ctrlPr>
                      <w:rPr>
                        <w:rFonts w:ascii="Cambria Math" w:eastAsia="Times New Roman" w:hAnsi="Cambria Math"/>
                        <w:b/>
                        <w:color w:val="000000"/>
                        <w:sz w:val="20"/>
                        <w:szCs w:val="20"/>
                      </w:rPr>
                    </m:ctrlPr>
                  </m:sSubPr>
                  <m:e>
                    <m:r>
                      <m:rPr>
                        <m:sty m:val="b"/>
                      </m:rPr>
                      <w:rPr>
                        <w:rFonts w:ascii="Cambria Math" w:eastAsia="Times New Roman" w:hAnsi="Cambria Math"/>
                        <w:color w:val="000000"/>
                        <w:sz w:val="20"/>
                        <w:szCs w:val="20"/>
                      </w:rPr>
                      <m:t>Π</m:t>
                    </m:r>
                    <m:ctrlPr>
                      <w:rPr>
                        <w:rFonts w:ascii="Cambria Math" w:eastAsia="Times New Roman" w:hAnsi="Cambria Math"/>
                        <w:b/>
                        <w:i/>
                        <w:color w:val="000000"/>
                        <w:sz w:val="20"/>
                        <w:szCs w:val="20"/>
                      </w:rPr>
                    </m:ctrlPr>
                  </m:e>
                  <m:sub>
                    <m:r>
                      <m:rPr>
                        <m:sty m:val="bi"/>
                      </m:rPr>
                      <w:rPr>
                        <w:rFonts w:ascii="Cambria Math" w:eastAsia="Times New Roman" w:hAnsi="Cambria Math"/>
                        <w:color w:val="000000"/>
                        <w:sz w:val="20"/>
                        <w:szCs w:val="20"/>
                      </w:rPr>
                      <m:t>t</m:t>
                    </m:r>
                    <m:r>
                      <m:rPr>
                        <m:sty m:val="bi"/>
                      </m:rPr>
                      <w:rPr>
                        <w:rFonts w:ascii="Cambria Math" w:eastAsia="Times New Roman"/>
                        <w:color w:val="000000"/>
                        <w:sz w:val="20"/>
                        <w:szCs w:val="20"/>
                      </w:rPr>
                      <m:t>+12</m:t>
                    </m:r>
                    <m:ctrlPr>
                      <w:rPr>
                        <w:rFonts w:ascii="Cambria Math" w:eastAsia="Times New Roman" w:hAnsi="Cambria Math"/>
                        <w:b/>
                        <w:i/>
                        <w:color w:val="000000"/>
                        <w:sz w:val="20"/>
                        <w:szCs w:val="20"/>
                      </w:rPr>
                    </m:ctrlPr>
                  </m:sub>
                </m:sSub>
              </m:oMath>
            </m:oMathPara>
          </w:p>
        </w:tc>
        <w:tc>
          <w:tcPr>
            <w:tcW w:w="1093" w:type="pct"/>
            <w:tcBorders>
              <w:top w:val="nil"/>
              <w:left w:val="single" w:sz="4" w:space="0" w:color="auto"/>
              <w:bottom w:val="nil"/>
              <w:right w:val="single" w:sz="4" w:space="0" w:color="auto"/>
            </w:tcBorders>
            <w:shd w:val="clear" w:color="auto" w:fill="auto"/>
            <w:noWrap/>
            <w:vAlign w:val="bottom"/>
            <w:hideMark/>
          </w:tcPr>
          <w:p w:rsidR="00455DEE" w:rsidRPr="00522B4B" w:rsidRDefault="00455DEE" w:rsidP="00FA5866">
            <w:pPr>
              <w:spacing w:after="0" w:line="240" w:lineRule="auto"/>
              <w:jc w:val="right"/>
              <w:rPr>
                <w:b/>
                <w:color w:val="000000"/>
                <w:sz w:val="20"/>
                <w:szCs w:val="20"/>
              </w:rPr>
            </w:pPr>
            <w:r w:rsidRPr="00522B4B">
              <w:rPr>
                <w:b/>
                <w:color w:val="000000"/>
                <w:sz w:val="20"/>
                <w:szCs w:val="20"/>
              </w:rPr>
              <w:t>17</w:t>
            </w:r>
          </w:p>
        </w:tc>
        <w:tc>
          <w:tcPr>
            <w:tcW w:w="1621" w:type="pct"/>
            <w:tcBorders>
              <w:top w:val="nil"/>
              <w:left w:val="single" w:sz="4" w:space="0" w:color="auto"/>
              <w:bottom w:val="nil"/>
              <w:right w:val="single" w:sz="4" w:space="0" w:color="auto"/>
            </w:tcBorders>
            <w:shd w:val="clear" w:color="auto" w:fill="auto"/>
            <w:noWrap/>
            <w:vAlign w:val="bottom"/>
            <w:hideMark/>
          </w:tcPr>
          <w:p w:rsidR="00455DEE" w:rsidRPr="00522B4B" w:rsidRDefault="00455DEE" w:rsidP="00FA5866">
            <w:pPr>
              <w:spacing w:after="0" w:line="240" w:lineRule="auto"/>
              <w:jc w:val="right"/>
              <w:rPr>
                <w:b/>
                <w:color w:val="000000"/>
                <w:sz w:val="20"/>
                <w:szCs w:val="20"/>
              </w:rPr>
            </w:pPr>
            <w:r w:rsidRPr="00522B4B">
              <w:rPr>
                <w:b/>
                <w:color w:val="000000"/>
                <w:sz w:val="20"/>
                <w:szCs w:val="20"/>
              </w:rPr>
              <w:t>908.152**</w:t>
            </w:r>
          </w:p>
        </w:tc>
        <w:tc>
          <w:tcPr>
            <w:tcW w:w="1489" w:type="pct"/>
            <w:tcBorders>
              <w:top w:val="nil"/>
              <w:left w:val="single" w:sz="4" w:space="0" w:color="auto"/>
              <w:bottom w:val="nil"/>
            </w:tcBorders>
            <w:shd w:val="clear" w:color="auto" w:fill="auto"/>
            <w:noWrap/>
            <w:vAlign w:val="bottom"/>
            <w:hideMark/>
          </w:tcPr>
          <w:p w:rsidR="00455DEE" w:rsidRPr="00522B4B" w:rsidRDefault="00455DEE" w:rsidP="00FA5866">
            <w:pPr>
              <w:spacing w:after="0" w:line="240" w:lineRule="auto"/>
              <w:jc w:val="right"/>
              <w:rPr>
                <w:b/>
                <w:color w:val="000000"/>
                <w:sz w:val="20"/>
                <w:szCs w:val="20"/>
              </w:rPr>
            </w:pPr>
            <w:r w:rsidRPr="00522B4B">
              <w:rPr>
                <w:b/>
                <w:color w:val="000000"/>
                <w:sz w:val="20"/>
                <w:szCs w:val="20"/>
              </w:rPr>
              <w:t>1.583.548</w:t>
            </w:r>
          </w:p>
        </w:tc>
      </w:tr>
      <w:tr w:rsidR="00455DEE" w:rsidRPr="00522B4B" w:rsidTr="00455DEE">
        <w:trPr>
          <w:trHeight w:val="328"/>
          <w:jc w:val="center"/>
        </w:trPr>
        <w:tc>
          <w:tcPr>
            <w:tcW w:w="796" w:type="pct"/>
            <w:tcBorders>
              <w:top w:val="nil"/>
              <w:bottom w:val="nil"/>
              <w:right w:val="single" w:sz="4" w:space="0" w:color="auto"/>
            </w:tcBorders>
            <w:shd w:val="clear" w:color="auto" w:fill="auto"/>
            <w:noWrap/>
            <w:vAlign w:val="bottom"/>
            <w:hideMark/>
          </w:tcPr>
          <w:p w:rsidR="00455DEE" w:rsidRPr="00522B4B" w:rsidRDefault="00455DEE" w:rsidP="00FA5866">
            <w:pPr>
              <w:spacing w:after="0" w:line="240" w:lineRule="auto"/>
              <w:ind w:firstLine="0"/>
              <w:jc w:val="center"/>
              <w:rPr>
                <w:rFonts w:eastAsia="Times New Roman"/>
                <w:b/>
                <w:color w:val="000000"/>
                <w:sz w:val="20"/>
                <w:szCs w:val="20"/>
              </w:rPr>
            </w:pPr>
            <m:oMathPara>
              <m:oMath>
                <m:r>
                  <m:rPr>
                    <m:sty m:val="bi"/>
                  </m:rPr>
                  <w:rPr>
                    <w:rFonts w:ascii="Cambria Math" w:eastAsia="Times New Roman" w:hAnsi="Cambria Math"/>
                    <w:color w:val="000000"/>
                    <w:sz w:val="20"/>
                    <w:szCs w:val="20"/>
                  </w:rPr>
                  <m:t>∆</m:t>
                </m:r>
                <m:sSub>
                  <m:sSubPr>
                    <m:ctrlPr>
                      <w:rPr>
                        <w:rFonts w:ascii="Cambria Math" w:eastAsia="Times New Roman" w:hAnsi="Cambria Math"/>
                        <w:b/>
                        <w:color w:val="000000"/>
                        <w:sz w:val="20"/>
                        <w:szCs w:val="20"/>
                      </w:rPr>
                    </m:ctrlPr>
                  </m:sSubPr>
                  <m:e>
                    <m:r>
                      <m:rPr>
                        <m:sty m:val="b"/>
                      </m:rPr>
                      <w:rPr>
                        <w:rFonts w:ascii="Cambria Math" w:eastAsia="Times New Roman" w:hAnsi="Cambria Math"/>
                        <w:color w:val="000000"/>
                        <w:sz w:val="20"/>
                        <w:szCs w:val="20"/>
                      </w:rPr>
                      <m:t>Π</m:t>
                    </m:r>
                    <m:ctrlPr>
                      <w:rPr>
                        <w:rFonts w:ascii="Cambria Math" w:eastAsia="Times New Roman" w:hAnsi="Cambria Math"/>
                        <w:b/>
                        <w:i/>
                        <w:color w:val="000000"/>
                        <w:sz w:val="20"/>
                        <w:szCs w:val="20"/>
                      </w:rPr>
                    </m:ctrlPr>
                  </m:e>
                  <m:sub>
                    <m:r>
                      <m:rPr>
                        <m:sty m:val="bi"/>
                      </m:rPr>
                      <w:rPr>
                        <w:rFonts w:ascii="Cambria Math" w:eastAsia="Times New Roman" w:hAnsi="Cambria Math"/>
                        <w:color w:val="000000"/>
                        <w:sz w:val="20"/>
                        <w:szCs w:val="20"/>
                      </w:rPr>
                      <m:t>t</m:t>
                    </m:r>
                    <m:r>
                      <m:rPr>
                        <m:sty m:val="bi"/>
                      </m:rPr>
                      <w:rPr>
                        <w:rFonts w:ascii="Cambria Math" w:eastAsia="Times New Roman"/>
                        <w:color w:val="000000"/>
                        <w:sz w:val="20"/>
                        <w:szCs w:val="20"/>
                      </w:rPr>
                      <m:t>+13</m:t>
                    </m:r>
                    <m:ctrlPr>
                      <w:rPr>
                        <w:rFonts w:ascii="Cambria Math" w:eastAsia="Times New Roman" w:hAnsi="Cambria Math"/>
                        <w:b/>
                        <w:i/>
                        <w:color w:val="000000"/>
                        <w:sz w:val="20"/>
                        <w:szCs w:val="20"/>
                      </w:rPr>
                    </m:ctrlPr>
                  </m:sub>
                </m:sSub>
              </m:oMath>
            </m:oMathPara>
          </w:p>
        </w:tc>
        <w:tc>
          <w:tcPr>
            <w:tcW w:w="1093" w:type="pct"/>
            <w:tcBorders>
              <w:top w:val="nil"/>
              <w:left w:val="single" w:sz="4" w:space="0" w:color="auto"/>
              <w:bottom w:val="nil"/>
              <w:right w:val="single" w:sz="4" w:space="0" w:color="auto"/>
            </w:tcBorders>
            <w:shd w:val="clear" w:color="auto" w:fill="auto"/>
            <w:noWrap/>
            <w:vAlign w:val="bottom"/>
            <w:hideMark/>
          </w:tcPr>
          <w:p w:rsidR="00455DEE" w:rsidRPr="00522B4B" w:rsidRDefault="00455DEE" w:rsidP="00FA5866">
            <w:pPr>
              <w:spacing w:after="0" w:line="240" w:lineRule="auto"/>
              <w:jc w:val="right"/>
              <w:rPr>
                <w:b/>
                <w:color w:val="000000"/>
                <w:sz w:val="20"/>
                <w:szCs w:val="20"/>
              </w:rPr>
            </w:pPr>
            <w:r w:rsidRPr="00522B4B">
              <w:rPr>
                <w:b/>
                <w:color w:val="000000"/>
                <w:sz w:val="20"/>
                <w:szCs w:val="20"/>
              </w:rPr>
              <w:t>17</w:t>
            </w:r>
          </w:p>
        </w:tc>
        <w:tc>
          <w:tcPr>
            <w:tcW w:w="1621" w:type="pct"/>
            <w:tcBorders>
              <w:top w:val="nil"/>
              <w:left w:val="single" w:sz="4" w:space="0" w:color="auto"/>
              <w:bottom w:val="nil"/>
              <w:right w:val="single" w:sz="4" w:space="0" w:color="auto"/>
            </w:tcBorders>
            <w:shd w:val="clear" w:color="auto" w:fill="auto"/>
            <w:noWrap/>
            <w:vAlign w:val="bottom"/>
            <w:hideMark/>
          </w:tcPr>
          <w:p w:rsidR="00455DEE" w:rsidRPr="00522B4B" w:rsidRDefault="00455DEE" w:rsidP="00FA5866">
            <w:pPr>
              <w:spacing w:after="0" w:line="240" w:lineRule="auto"/>
              <w:jc w:val="right"/>
              <w:rPr>
                <w:b/>
                <w:color w:val="000000"/>
                <w:sz w:val="20"/>
                <w:szCs w:val="20"/>
              </w:rPr>
            </w:pPr>
            <w:r w:rsidRPr="00522B4B">
              <w:rPr>
                <w:b/>
                <w:color w:val="000000"/>
                <w:sz w:val="20"/>
                <w:szCs w:val="20"/>
              </w:rPr>
              <w:t>1.303.183**</w:t>
            </w:r>
          </w:p>
        </w:tc>
        <w:tc>
          <w:tcPr>
            <w:tcW w:w="1489" w:type="pct"/>
            <w:tcBorders>
              <w:top w:val="nil"/>
              <w:left w:val="single" w:sz="4" w:space="0" w:color="auto"/>
              <w:bottom w:val="nil"/>
            </w:tcBorders>
            <w:shd w:val="clear" w:color="auto" w:fill="auto"/>
            <w:noWrap/>
            <w:vAlign w:val="bottom"/>
            <w:hideMark/>
          </w:tcPr>
          <w:p w:rsidR="00455DEE" w:rsidRPr="00522B4B" w:rsidRDefault="00455DEE" w:rsidP="00FA5866">
            <w:pPr>
              <w:spacing w:after="0" w:line="240" w:lineRule="auto"/>
              <w:jc w:val="right"/>
              <w:rPr>
                <w:b/>
                <w:color w:val="000000"/>
                <w:sz w:val="20"/>
                <w:szCs w:val="20"/>
              </w:rPr>
            </w:pPr>
            <w:r w:rsidRPr="00522B4B">
              <w:rPr>
                <w:b/>
                <w:color w:val="000000"/>
                <w:sz w:val="20"/>
                <w:szCs w:val="20"/>
              </w:rPr>
              <w:t>2.174.386</w:t>
            </w:r>
          </w:p>
        </w:tc>
      </w:tr>
      <w:tr w:rsidR="00455DEE" w:rsidRPr="00522B4B" w:rsidTr="00455DEE">
        <w:trPr>
          <w:trHeight w:val="328"/>
          <w:jc w:val="center"/>
        </w:trPr>
        <w:tc>
          <w:tcPr>
            <w:tcW w:w="796" w:type="pct"/>
            <w:tcBorders>
              <w:top w:val="nil"/>
              <w:bottom w:val="nil"/>
              <w:right w:val="single" w:sz="4" w:space="0" w:color="auto"/>
            </w:tcBorders>
            <w:shd w:val="clear" w:color="auto" w:fill="auto"/>
            <w:noWrap/>
            <w:vAlign w:val="bottom"/>
            <w:hideMark/>
          </w:tcPr>
          <w:p w:rsidR="00455DEE" w:rsidRPr="00522B4B" w:rsidRDefault="00455DEE" w:rsidP="00FA5866">
            <w:pPr>
              <w:spacing w:after="0" w:line="240" w:lineRule="auto"/>
              <w:ind w:firstLine="0"/>
              <w:jc w:val="center"/>
              <w:rPr>
                <w:rFonts w:eastAsia="Times New Roman"/>
                <w:b/>
                <w:color w:val="000000"/>
                <w:sz w:val="20"/>
                <w:szCs w:val="20"/>
              </w:rPr>
            </w:pPr>
            <m:oMathPara>
              <m:oMath>
                <m:r>
                  <m:rPr>
                    <m:sty m:val="bi"/>
                  </m:rPr>
                  <w:rPr>
                    <w:rFonts w:ascii="Cambria Math" w:eastAsia="Times New Roman" w:hAnsi="Cambria Math"/>
                    <w:color w:val="000000"/>
                    <w:sz w:val="20"/>
                    <w:szCs w:val="20"/>
                  </w:rPr>
                  <m:t>∆</m:t>
                </m:r>
                <m:sSub>
                  <m:sSubPr>
                    <m:ctrlPr>
                      <w:rPr>
                        <w:rFonts w:ascii="Cambria Math" w:eastAsia="Times New Roman" w:hAnsi="Cambria Math"/>
                        <w:b/>
                        <w:color w:val="000000"/>
                        <w:sz w:val="20"/>
                        <w:szCs w:val="20"/>
                      </w:rPr>
                    </m:ctrlPr>
                  </m:sSubPr>
                  <m:e>
                    <m:r>
                      <m:rPr>
                        <m:sty m:val="b"/>
                      </m:rPr>
                      <w:rPr>
                        <w:rFonts w:ascii="Cambria Math" w:eastAsia="Times New Roman" w:hAnsi="Cambria Math"/>
                        <w:color w:val="000000"/>
                        <w:sz w:val="20"/>
                        <w:szCs w:val="20"/>
                      </w:rPr>
                      <m:t>Π</m:t>
                    </m:r>
                    <m:ctrlPr>
                      <w:rPr>
                        <w:rFonts w:ascii="Cambria Math" w:eastAsia="Times New Roman" w:hAnsi="Cambria Math"/>
                        <w:b/>
                        <w:i/>
                        <w:color w:val="000000"/>
                        <w:sz w:val="20"/>
                        <w:szCs w:val="20"/>
                      </w:rPr>
                    </m:ctrlPr>
                  </m:e>
                  <m:sub>
                    <m:r>
                      <m:rPr>
                        <m:sty m:val="bi"/>
                      </m:rPr>
                      <w:rPr>
                        <w:rFonts w:ascii="Cambria Math" w:eastAsia="Times New Roman" w:hAnsi="Cambria Math"/>
                        <w:color w:val="000000"/>
                        <w:sz w:val="20"/>
                        <w:szCs w:val="20"/>
                      </w:rPr>
                      <m:t>t</m:t>
                    </m:r>
                    <m:r>
                      <m:rPr>
                        <m:sty m:val="bi"/>
                      </m:rPr>
                      <w:rPr>
                        <w:rFonts w:ascii="Cambria Math" w:eastAsia="Times New Roman"/>
                        <w:color w:val="000000"/>
                        <w:sz w:val="20"/>
                        <w:szCs w:val="20"/>
                      </w:rPr>
                      <m:t>+14</m:t>
                    </m:r>
                    <m:ctrlPr>
                      <w:rPr>
                        <w:rFonts w:ascii="Cambria Math" w:eastAsia="Times New Roman" w:hAnsi="Cambria Math"/>
                        <w:b/>
                        <w:i/>
                        <w:color w:val="000000"/>
                        <w:sz w:val="20"/>
                        <w:szCs w:val="20"/>
                      </w:rPr>
                    </m:ctrlPr>
                  </m:sub>
                </m:sSub>
              </m:oMath>
            </m:oMathPara>
          </w:p>
        </w:tc>
        <w:tc>
          <w:tcPr>
            <w:tcW w:w="1093" w:type="pct"/>
            <w:tcBorders>
              <w:top w:val="nil"/>
              <w:left w:val="single" w:sz="4" w:space="0" w:color="auto"/>
              <w:bottom w:val="nil"/>
              <w:right w:val="single" w:sz="4" w:space="0" w:color="auto"/>
            </w:tcBorders>
            <w:shd w:val="clear" w:color="auto" w:fill="auto"/>
            <w:noWrap/>
            <w:vAlign w:val="bottom"/>
            <w:hideMark/>
          </w:tcPr>
          <w:p w:rsidR="00455DEE" w:rsidRPr="00522B4B" w:rsidRDefault="00455DEE" w:rsidP="00FA5866">
            <w:pPr>
              <w:spacing w:after="0" w:line="240" w:lineRule="auto"/>
              <w:jc w:val="right"/>
              <w:rPr>
                <w:b/>
                <w:color w:val="000000"/>
                <w:sz w:val="20"/>
                <w:szCs w:val="20"/>
              </w:rPr>
            </w:pPr>
            <w:r w:rsidRPr="00522B4B">
              <w:rPr>
                <w:b/>
                <w:color w:val="000000"/>
                <w:sz w:val="20"/>
                <w:szCs w:val="20"/>
              </w:rPr>
              <w:t>16</w:t>
            </w:r>
          </w:p>
        </w:tc>
        <w:tc>
          <w:tcPr>
            <w:tcW w:w="1621" w:type="pct"/>
            <w:tcBorders>
              <w:top w:val="nil"/>
              <w:left w:val="single" w:sz="4" w:space="0" w:color="auto"/>
              <w:bottom w:val="nil"/>
              <w:right w:val="single" w:sz="4" w:space="0" w:color="auto"/>
            </w:tcBorders>
            <w:shd w:val="clear" w:color="auto" w:fill="auto"/>
            <w:noWrap/>
            <w:vAlign w:val="bottom"/>
            <w:hideMark/>
          </w:tcPr>
          <w:p w:rsidR="00455DEE" w:rsidRPr="00522B4B" w:rsidRDefault="00455DEE" w:rsidP="00FA5866">
            <w:pPr>
              <w:spacing w:after="0" w:line="240" w:lineRule="auto"/>
              <w:jc w:val="right"/>
              <w:rPr>
                <w:b/>
                <w:color w:val="000000"/>
                <w:sz w:val="20"/>
                <w:szCs w:val="20"/>
              </w:rPr>
            </w:pPr>
            <w:r w:rsidRPr="00522B4B">
              <w:rPr>
                <w:b/>
                <w:color w:val="000000"/>
                <w:sz w:val="20"/>
                <w:szCs w:val="20"/>
              </w:rPr>
              <w:t>1.400.096**</w:t>
            </w:r>
          </w:p>
        </w:tc>
        <w:tc>
          <w:tcPr>
            <w:tcW w:w="1489" w:type="pct"/>
            <w:tcBorders>
              <w:top w:val="nil"/>
              <w:left w:val="single" w:sz="4" w:space="0" w:color="auto"/>
              <w:bottom w:val="nil"/>
            </w:tcBorders>
            <w:shd w:val="clear" w:color="auto" w:fill="auto"/>
            <w:noWrap/>
            <w:vAlign w:val="bottom"/>
            <w:hideMark/>
          </w:tcPr>
          <w:p w:rsidR="00455DEE" w:rsidRPr="00522B4B" w:rsidRDefault="00455DEE" w:rsidP="00FA5866">
            <w:pPr>
              <w:spacing w:after="0" w:line="240" w:lineRule="auto"/>
              <w:jc w:val="right"/>
              <w:rPr>
                <w:b/>
                <w:color w:val="000000"/>
                <w:sz w:val="20"/>
                <w:szCs w:val="20"/>
              </w:rPr>
            </w:pPr>
            <w:r w:rsidRPr="00522B4B">
              <w:rPr>
                <w:b/>
                <w:color w:val="000000"/>
                <w:sz w:val="20"/>
                <w:szCs w:val="20"/>
              </w:rPr>
              <w:t>2.307.282</w:t>
            </w:r>
          </w:p>
        </w:tc>
      </w:tr>
      <w:tr w:rsidR="00455DEE" w:rsidRPr="00522B4B" w:rsidTr="00455DEE">
        <w:trPr>
          <w:trHeight w:val="328"/>
          <w:jc w:val="center"/>
        </w:trPr>
        <w:tc>
          <w:tcPr>
            <w:tcW w:w="796" w:type="pct"/>
            <w:tcBorders>
              <w:top w:val="nil"/>
              <w:bottom w:val="nil"/>
              <w:right w:val="single" w:sz="4" w:space="0" w:color="auto"/>
            </w:tcBorders>
            <w:shd w:val="clear" w:color="auto" w:fill="auto"/>
            <w:noWrap/>
            <w:vAlign w:val="bottom"/>
            <w:hideMark/>
          </w:tcPr>
          <w:p w:rsidR="00455DEE" w:rsidRPr="00522B4B" w:rsidRDefault="00455DEE" w:rsidP="00FA5866">
            <w:pPr>
              <w:spacing w:after="0" w:line="240" w:lineRule="auto"/>
              <w:ind w:firstLine="0"/>
              <w:jc w:val="center"/>
              <w:rPr>
                <w:rFonts w:eastAsia="Times New Roman"/>
                <w:color w:val="000000"/>
                <w:sz w:val="20"/>
                <w:szCs w:val="20"/>
              </w:rPr>
            </w:pPr>
            <m:oMathPara>
              <m:oMath>
                <m:r>
                  <w:rPr>
                    <w:rFonts w:ascii="Cambria Math" w:eastAsia="Times New Roman" w:hAnsi="Cambria Math"/>
                    <w:color w:val="000000"/>
                    <w:sz w:val="20"/>
                    <w:szCs w:val="20"/>
                  </w:rPr>
                  <m:t>∆</m:t>
                </m:r>
                <m:sSub>
                  <m:sSubPr>
                    <m:ctrlPr>
                      <w:rPr>
                        <w:rFonts w:ascii="Cambria Math" w:eastAsia="Times New Roman" w:hAnsi="Cambria Math"/>
                        <w:color w:val="000000"/>
                        <w:sz w:val="20"/>
                        <w:szCs w:val="20"/>
                      </w:rPr>
                    </m:ctrlPr>
                  </m:sSubPr>
                  <m:e>
                    <m:r>
                      <m:rPr>
                        <m:sty m:val="p"/>
                      </m:rPr>
                      <w:rPr>
                        <w:rFonts w:ascii="Cambria Math" w:eastAsia="Times New Roman" w:hAnsi="Cambria Math"/>
                        <w:color w:val="000000"/>
                        <w:sz w:val="20"/>
                        <w:szCs w:val="20"/>
                      </w:rPr>
                      <m:t>Π</m:t>
                    </m:r>
                    <m:ctrlPr>
                      <w:rPr>
                        <w:rFonts w:ascii="Cambria Math" w:eastAsia="Times New Roman" w:hAnsi="Cambria Math"/>
                        <w:i/>
                        <w:color w:val="000000"/>
                        <w:sz w:val="20"/>
                        <w:szCs w:val="20"/>
                      </w:rPr>
                    </m:ctrlPr>
                  </m:e>
                  <m:sub>
                    <m:r>
                      <w:rPr>
                        <w:rFonts w:ascii="Cambria Math" w:eastAsia="Times New Roman" w:hAnsi="Cambria Math"/>
                        <w:color w:val="000000"/>
                        <w:sz w:val="20"/>
                        <w:szCs w:val="20"/>
                      </w:rPr>
                      <m:t>t</m:t>
                    </m:r>
                    <m:r>
                      <w:rPr>
                        <w:rFonts w:ascii="Cambria Math" w:eastAsia="Times New Roman"/>
                        <w:color w:val="000000"/>
                        <w:sz w:val="20"/>
                        <w:szCs w:val="20"/>
                      </w:rPr>
                      <m:t>+15</m:t>
                    </m:r>
                    <m:ctrlPr>
                      <w:rPr>
                        <w:rFonts w:ascii="Cambria Math" w:eastAsia="Times New Roman" w:hAnsi="Cambria Math"/>
                        <w:i/>
                        <w:color w:val="000000"/>
                        <w:sz w:val="20"/>
                        <w:szCs w:val="20"/>
                      </w:rPr>
                    </m:ctrlPr>
                  </m:sub>
                </m:sSub>
              </m:oMath>
            </m:oMathPara>
          </w:p>
        </w:tc>
        <w:tc>
          <w:tcPr>
            <w:tcW w:w="1093" w:type="pct"/>
            <w:tcBorders>
              <w:top w:val="nil"/>
              <w:left w:val="single" w:sz="4" w:space="0" w:color="auto"/>
              <w:bottom w:val="nil"/>
              <w:right w:val="single" w:sz="4" w:space="0" w:color="auto"/>
            </w:tcBorders>
            <w:shd w:val="clear" w:color="auto" w:fill="auto"/>
            <w:noWrap/>
            <w:vAlign w:val="bottom"/>
            <w:hideMark/>
          </w:tcPr>
          <w:p w:rsidR="00455DEE" w:rsidRPr="00522B4B" w:rsidRDefault="00455DEE" w:rsidP="00FA5866">
            <w:pPr>
              <w:spacing w:after="0" w:line="240" w:lineRule="auto"/>
              <w:jc w:val="right"/>
              <w:rPr>
                <w:color w:val="000000"/>
                <w:sz w:val="20"/>
                <w:szCs w:val="20"/>
              </w:rPr>
            </w:pPr>
            <w:r w:rsidRPr="00522B4B">
              <w:rPr>
                <w:color w:val="000000"/>
                <w:sz w:val="20"/>
                <w:szCs w:val="20"/>
              </w:rPr>
              <w:t>16</w:t>
            </w:r>
          </w:p>
        </w:tc>
        <w:tc>
          <w:tcPr>
            <w:tcW w:w="1621" w:type="pct"/>
            <w:tcBorders>
              <w:top w:val="nil"/>
              <w:left w:val="single" w:sz="4" w:space="0" w:color="auto"/>
              <w:bottom w:val="nil"/>
              <w:right w:val="single" w:sz="4" w:space="0" w:color="auto"/>
            </w:tcBorders>
            <w:shd w:val="clear" w:color="auto" w:fill="auto"/>
            <w:noWrap/>
            <w:vAlign w:val="bottom"/>
            <w:hideMark/>
          </w:tcPr>
          <w:p w:rsidR="00455DEE" w:rsidRPr="00522B4B" w:rsidRDefault="00455DEE" w:rsidP="00FA5866">
            <w:pPr>
              <w:spacing w:after="0" w:line="240" w:lineRule="auto"/>
              <w:jc w:val="right"/>
              <w:rPr>
                <w:color w:val="000000"/>
                <w:sz w:val="20"/>
                <w:szCs w:val="20"/>
              </w:rPr>
            </w:pPr>
            <w:r w:rsidRPr="00522B4B">
              <w:rPr>
                <w:color w:val="000000"/>
                <w:sz w:val="20"/>
                <w:szCs w:val="20"/>
              </w:rPr>
              <w:t>-1.088.162</w:t>
            </w:r>
          </w:p>
        </w:tc>
        <w:tc>
          <w:tcPr>
            <w:tcW w:w="1489" w:type="pct"/>
            <w:tcBorders>
              <w:top w:val="nil"/>
              <w:left w:val="single" w:sz="4" w:space="0" w:color="auto"/>
              <w:bottom w:val="nil"/>
            </w:tcBorders>
            <w:shd w:val="clear" w:color="auto" w:fill="auto"/>
            <w:noWrap/>
            <w:vAlign w:val="bottom"/>
            <w:hideMark/>
          </w:tcPr>
          <w:p w:rsidR="00455DEE" w:rsidRPr="00522B4B" w:rsidRDefault="00455DEE" w:rsidP="00FA5866">
            <w:pPr>
              <w:spacing w:after="0" w:line="240" w:lineRule="auto"/>
              <w:jc w:val="right"/>
              <w:rPr>
                <w:color w:val="000000"/>
                <w:sz w:val="20"/>
                <w:szCs w:val="20"/>
              </w:rPr>
            </w:pPr>
            <w:r w:rsidRPr="00522B4B">
              <w:rPr>
                <w:color w:val="000000"/>
                <w:sz w:val="20"/>
                <w:szCs w:val="20"/>
              </w:rPr>
              <w:t>1.06E+07</w:t>
            </w:r>
          </w:p>
        </w:tc>
      </w:tr>
      <w:tr w:rsidR="00455DEE" w:rsidRPr="00522B4B" w:rsidTr="00455DEE">
        <w:trPr>
          <w:trHeight w:val="328"/>
          <w:jc w:val="center"/>
        </w:trPr>
        <w:tc>
          <w:tcPr>
            <w:tcW w:w="796" w:type="pct"/>
            <w:tcBorders>
              <w:top w:val="nil"/>
              <w:bottom w:val="single" w:sz="4" w:space="0" w:color="auto"/>
              <w:right w:val="single" w:sz="4" w:space="0" w:color="auto"/>
            </w:tcBorders>
            <w:shd w:val="clear" w:color="auto" w:fill="auto"/>
            <w:noWrap/>
            <w:vAlign w:val="bottom"/>
            <w:hideMark/>
          </w:tcPr>
          <w:p w:rsidR="00455DEE" w:rsidRPr="00522B4B" w:rsidRDefault="00455DEE" w:rsidP="00FA5866">
            <w:pPr>
              <w:spacing w:after="0" w:line="240" w:lineRule="auto"/>
              <w:ind w:firstLine="0"/>
              <w:jc w:val="center"/>
              <w:rPr>
                <w:rFonts w:eastAsia="Times New Roman"/>
                <w:color w:val="000000"/>
                <w:sz w:val="20"/>
                <w:szCs w:val="20"/>
              </w:rPr>
            </w:pPr>
            <m:oMathPara>
              <m:oMath>
                <m:r>
                  <w:rPr>
                    <w:rFonts w:ascii="Cambria Math" w:eastAsia="Times New Roman" w:hAnsi="Cambria Math"/>
                    <w:color w:val="000000"/>
                    <w:sz w:val="20"/>
                    <w:szCs w:val="20"/>
                  </w:rPr>
                  <m:t>∆</m:t>
                </m:r>
                <m:sSub>
                  <m:sSubPr>
                    <m:ctrlPr>
                      <w:rPr>
                        <w:rFonts w:ascii="Cambria Math" w:eastAsia="Times New Roman" w:hAnsi="Cambria Math"/>
                        <w:color w:val="000000"/>
                        <w:sz w:val="20"/>
                        <w:szCs w:val="20"/>
                      </w:rPr>
                    </m:ctrlPr>
                  </m:sSubPr>
                  <m:e>
                    <m:r>
                      <m:rPr>
                        <m:sty m:val="p"/>
                      </m:rPr>
                      <w:rPr>
                        <w:rFonts w:ascii="Cambria Math" w:eastAsia="Times New Roman" w:hAnsi="Cambria Math"/>
                        <w:color w:val="000000"/>
                        <w:sz w:val="20"/>
                        <w:szCs w:val="20"/>
                      </w:rPr>
                      <m:t>Π</m:t>
                    </m:r>
                    <m:ctrlPr>
                      <w:rPr>
                        <w:rFonts w:ascii="Cambria Math" w:eastAsia="Times New Roman" w:hAnsi="Cambria Math"/>
                        <w:i/>
                        <w:color w:val="000000"/>
                        <w:sz w:val="20"/>
                        <w:szCs w:val="20"/>
                      </w:rPr>
                    </m:ctrlPr>
                  </m:e>
                  <m:sub>
                    <m:r>
                      <w:rPr>
                        <w:rFonts w:ascii="Cambria Math" w:eastAsia="Times New Roman" w:hAnsi="Cambria Math"/>
                        <w:color w:val="000000"/>
                        <w:sz w:val="20"/>
                        <w:szCs w:val="20"/>
                      </w:rPr>
                      <m:t>t</m:t>
                    </m:r>
                    <m:r>
                      <w:rPr>
                        <w:rFonts w:ascii="Cambria Math" w:eastAsia="Times New Roman"/>
                        <w:color w:val="000000"/>
                        <w:sz w:val="20"/>
                        <w:szCs w:val="20"/>
                      </w:rPr>
                      <m:t>+16</m:t>
                    </m:r>
                    <m:ctrlPr>
                      <w:rPr>
                        <w:rFonts w:ascii="Cambria Math" w:eastAsia="Times New Roman" w:hAnsi="Cambria Math"/>
                        <w:i/>
                        <w:color w:val="000000"/>
                        <w:sz w:val="20"/>
                        <w:szCs w:val="20"/>
                      </w:rPr>
                    </m:ctrlPr>
                  </m:sub>
                </m:sSub>
              </m:oMath>
            </m:oMathPara>
          </w:p>
        </w:tc>
        <w:tc>
          <w:tcPr>
            <w:tcW w:w="1093" w:type="pct"/>
            <w:tcBorders>
              <w:top w:val="nil"/>
              <w:left w:val="single" w:sz="4" w:space="0" w:color="auto"/>
              <w:bottom w:val="single" w:sz="4" w:space="0" w:color="auto"/>
              <w:right w:val="single" w:sz="4" w:space="0" w:color="auto"/>
            </w:tcBorders>
            <w:shd w:val="clear" w:color="auto" w:fill="auto"/>
            <w:noWrap/>
            <w:vAlign w:val="bottom"/>
            <w:hideMark/>
          </w:tcPr>
          <w:p w:rsidR="00455DEE" w:rsidRPr="00522B4B" w:rsidRDefault="00455DEE" w:rsidP="00FA5866">
            <w:pPr>
              <w:spacing w:after="0" w:line="240" w:lineRule="auto"/>
              <w:jc w:val="right"/>
              <w:rPr>
                <w:color w:val="000000"/>
                <w:sz w:val="20"/>
                <w:szCs w:val="20"/>
              </w:rPr>
            </w:pPr>
            <w:r w:rsidRPr="00522B4B">
              <w:rPr>
                <w:color w:val="000000"/>
                <w:sz w:val="20"/>
                <w:szCs w:val="20"/>
              </w:rPr>
              <w:t>14</w:t>
            </w:r>
          </w:p>
        </w:tc>
        <w:tc>
          <w:tcPr>
            <w:tcW w:w="1621" w:type="pct"/>
            <w:tcBorders>
              <w:top w:val="nil"/>
              <w:left w:val="single" w:sz="4" w:space="0" w:color="auto"/>
              <w:bottom w:val="single" w:sz="4" w:space="0" w:color="auto"/>
              <w:right w:val="single" w:sz="4" w:space="0" w:color="auto"/>
            </w:tcBorders>
            <w:shd w:val="clear" w:color="auto" w:fill="auto"/>
            <w:noWrap/>
            <w:vAlign w:val="bottom"/>
            <w:hideMark/>
          </w:tcPr>
          <w:p w:rsidR="00455DEE" w:rsidRPr="00522B4B" w:rsidRDefault="00455DEE" w:rsidP="00FA5866">
            <w:pPr>
              <w:spacing w:after="0" w:line="240" w:lineRule="auto"/>
              <w:jc w:val="right"/>
              <w:rPr>
                <w:color w:val="000000"/>
                <w:sz w:val="20"/>
                <w:szCs w:val="20"/>
              </w:rPr>
            </w:pPr>
            <w:r w:rsidRPr="00522B4B">
              <w:rPr>
                <w:color w:val="000000"/>
                <w:sz w:val="20"/>
                <w:szCs w:val="20"/>
              </w:rPr>
              <w:t>76.281</w:t>
            </w:r>
          </w:p>
        </w:tc>
        <w:tc>
          <w:tcPr>
            <w:tcW w:w="1489" w:type="pct"/>
            <w:tcBorders>
              <w:top w:val="nil"/>
              <w:left w:val="single" w:sz="4" w:space="0" w:color="auto"/>
              <w:bottom w:val="single" w:sz="4" w:space="0" w:color="auto"/>
            </w:tcBorders>
            <w:shd w:val="clear" w:color="auto" w:fill="auto"/>
            <w:noWrap/>
            <w:vAlign w:val="bottom"/>
            <w:hideMark/>
          </w:tcPr>
          <w:p w:rsidR="00455DEE" w:rsidRPr="00522B4B" w:rsidRDefault="00455DEE" w:rsidP="00FA5866">
            <w:pPr>
              <w:spacing w:after="0" w:line="240" w:lineRule="auto"/>
              <w:jc w:val="right"/>
              <w:rPr>
                <w:color w:val="000000"/>
                <w:sz w:val="20"/>
                <w:szCs w:val="20"/>
              </w:rPr>
            </w:pPr>
            <w:r w:rsidRPr="00522B4B">
              <w:rPr>
                <w:color w:val="000000"/>
                <w:sz w:val="20"/>
                <w:szCs w:val="20"/>
              </w:rPr>
              <w:t>7.109.639</w:t>
            </w:r>
          </w:p>
        </w:tc>
      </w:tr>
    </w:tbl>
    <w:p w:rsidR="00455DEE" w:rsidRDefault="00455DEE" w:rsidP="00FA5866">
      <w:pPr>
        <w:spacing w:after="0" w:line="240" w:lineRule="auto"/>
        <w:ind w:firstLine="0"/>
        <w:jc w:val="left"/>
        <w:rPr>
          <w:sz w:val="20"/>
          <w:szCs w:val="20"/>
        </w:rPr>
      </w:pPr>
      <w:r>
        <w:rPr>
          <w:sz w:val="20"/>
          <w:szCs w:val="20"/>
        </w:rPr>
        <w:t>L</w:t>
      </w:r>
      <w:r w:rsidRPr="00AA282F">
        <w:rPr>
          <w:sz w:val="20"/>
          <w:szCs w:val="20"/>
        </w:rPr>
        <w:t>egenda: * p&lt;0.1, ** p &lt; 0.05, ***p &lt; 0.01</w:t>
      </w:r>
      <w:r>
        <w:rPr>
          <w:sz w:val="20"/>
          <w:szCs w:val="20"/>
        </w:rPr>
        <w:t xml:space="preserve">. </w:t>
      </w:r>
      <w:r w:rsidRPr="00AA282F">
        <w:rPr>
          <w:sz w:val="20"/>
          <w:szCs w:val="20"/>
        </w:rPr>
        <w:t>Fonte: Elaboração Própria</w:t>
      </w:r>
    </w:p>
    <w:p w:rsidR="00455DEE" w:rsidRDefault="00455DEE" w:rsidP="00FA5866">
      <w:pPr>
        <w:pStyle w:val="Ttulo2"/>
        <w:spacing w:before="0" w:after="0" w:line="240" w:lineRule="auto"/>
        <w:ind w:firstLine="0"/>
      </w:pPr>
      <w:bookmarkStart w:id="9" w:name="_Toc379492292"/>
    </w:p>
    <w:p w:rsidR="00455DEE" w:rsidRPr="00455DEE" w:rsidRDefault="00455DEE" w:rsidP="00FA5866">
      <w:pPr>
        <w:pStyle w:val="Ttulo2"/>
        <w:spacing w:before="0" w:after="0" w:line="240" w:lineRule="auto"/>
        <w:ind w:firstLine="0"/>
        <w:rPr>
          <w:b w:val="0"/>
          <w:sz w:val="24"/>
          <w:szCs w:val="24"/>
        </w:rPr>
      </w:pPr>
      <w:r>
        <w:rPr>
          <w:b w:val="0"/>
          <w:sz w:val="24"/>
          <w:szCs w:val="24"/>
        </w:rPr>
        <w:tab/>
      </w:r>
      <w:proofErr w:type="gramStart"/>
      <w:r w:rsidRPr="00455DEE">
        <w:rPr>
          <w:b w:val="0"/>
          <w:sz w:val="24"/>
          <w:szCs w:val="24"/>
        </w:rPr>
        <w:t>5.1 – Correlação</w:t>
      </w:r>
      <w:proofErr w:type="gramEnd"/>
      <w:r w:rsidRPr="00455DEE">
        <w:rPr>
          <w:b w:val="0"/>
          <w:sz w:val="24"/>
          <w:szCs w:val="24"/>
        </w:rPr>
        <w:t xml:space="preserve"> entre os retornos anormais e a lucratividade </w:t>
      </w:r>
      <w:r w:rsidRPr="00455DEE">
        <w:rPr>
          <w:b w:val="0"/>
          <w:i/>
          <w:sz w:val="24"/>
          <w:szCs w:val="24"/>
        </w:rPr>
        <w:t xml:space="preserve">ex </w:t>
      </w:r>
      <w:proofErr w:type="spellStart"/>
      <w:r w:rsidRPr="00455DEE">
        <w:rPr>
          <w:b w:val="0"/>
          <w:i/>
          <w:sz w:val="24"/>
          <w:szCs w:val="24"/>
        </w:rPr>
        <w:t>post</w:t>
      </w:r>
      <w:bookmarkEnd w:id="9"/>
      <w:proofErr w:type="spellEnd"/>
    </w:p>
    <w:p w:rsidR="00455DEE" w:rsidRDefault="00455DEE" w:rsidP="00FA5866">
      <w:pPr>
        <w:spacing w:after="0" w:line="240" w:lineRule="auto"/>
        <w:ind w:firstLine="720"/>
        <w:rPr>
          <w:rFonts w:eastAsia="Times New Roman"/>
          <w:color w:val="000000"/>
        </w:rPr>
      </w:pPr>
      <w:r w:rsidRPr="005736EB">
        <w:rPr>
          <w:rFonts w:eastAsia="GungsuhChe"/>
        </w:rPr>
        <w:t>Em seguida</w:t>
      </w:r>
      <w:r>
        <w:rPr>
          <w:rFonts w:eastAsia="GungsuhChe"/>
        </w:rPr>
        <w:t>, aplicou-se uma análise</w:t>
      </w:r>
      <w:r w:rsidRPr="005736EB">
        <w:rPr>
          <w:rFonts w:eastAsia="GungsuhChe"/>
        </w:rPr>
        <w:t xml:space="preserve"> de correlação entre a medida de lucratividade e os lucros anormais acumulados para as firmas rivais </w:t>
      </w:r>
      <w:r>
        <w:rPr>
          <w:rFonts w:eastAsia="GungsuhChe"/>
        </w:rPr>
        <w:t>e para as fusionadas. A Tabela 5</w:t>
      </w:r>
      <w:r w:rsidRPr="005736EB">
        <w:rPr>
          <w:rFonts w:eastAsia="GungsuhChe"/>
        </w:rPr>
        <w:t xml:space="preserve"> evidencia </w:t>
      </w:r>
      <w:r w:rsidRPr="008D3104">
        <w:rPr>
          <w:rFonts w:eastAsia="GungsuhChe"/>
        </w:rPr>
        <w:t>que, para as firmas rivais, existe uma correlação</w:t>
      </w:r>
      <w:r>
        <w:rPr>
          <w:rFonts w:eastAsia="GungsuhChe"/>
        </w:rPr>
        <w:t xml:space="preserve"> </w:t>
      </w:r>
      <w:r w:rsidRPr="008D3104">
        <w:rPr>
          <w:rFonts w:eastAsia="GungsuhChe"/>
        </w:rPr>
        <w:t xml:space="preserve">negativa entre os efeitos de lucratividade e as janelas de evento curtas </w:t>
      </w:r>
      <w:r>
        <w:rPr>
          <w:rFonts w:eastAsia="GungsuhChe"/>
        </w:rPr>
        <w:t xml:space="preserve">pré-evento </w:t>
      </w:r>
      <w:r w:rsidRPr="008D3104">
        <w:rPr>
          <w:rFonts w:eastAsia="GungsuhChe"/>
        </w:rPr>
        <w:t>(</w:t>
      </w:r>
      <w:r w:rsidRPr="008D3104">
        <w:rPr>
          <w:rFonts w:eastAsia="Times New Roman"/>
          <w:color w:val="000000"/>
        </w:rPr>
        <w:t>CAR (2,2) e</w:t>
      </w:r>
      <w:r w:rsidR="00A83548">
        <w:rPr>
          <w:rFonts w:eastAsia="Times New Roman"/>
          <w:color w:val="000000"/>
        </w:rPr>
        <w:t xml:space="preserve"> </w:t>
      </w:r>
      <w:r w:rsidRPr="008D3104">
        <w:rPr>
          <w:rFonts w:eastAsia="Times New Roman"/>
          <w:color w:val="000000"/>
        </w:rPr>
        <w:t>CAR (5,5)) e positivo nas janelas longas</w:t>
      </w:r>
      <w:r>
        <w:rPr>
          <w:rFonts w:eastAsia="Times New Roman"/>
          <w:color w:val="000000"/>
        </w:rPr>
        <w:t xml:space="preserve"> pré-evento</w:t>
      </w:r>
      <w:r w:rsidRPr="008D3104">
        <w:rPr>
          <w:rFonts w:eastAsia="Times New Roman"/>
          <w:color w:val="000000"/>
        </w:rPr>
        <w:t>, evidenciando que, para as firmas rivais, o mercado reage antecipadamente aos efeitos positivos decorrentes da fusão.</w:t>
      </w:r>
      <w:r>
        <w:rPr>
          <w:rFonts w:eastAsia="Times New Roman"/>
          <w:color w:val="000000"/>
        </w:rPr>
        <w:t xml:space="preserve"> </w:t>
      </w:r>
      <w:r w:rsidRPr="00E91EC4">
        <w:rPr>
          <w:rFonts w:eastAsia="Times New Roman"/>
          <w:color w:val="000000"/>
        </w:rPr>
        <w:t>As janelas de longo prazo pré-evento</w:t>
      </w:r>
      <w:r>
        <w:rPr>
          <w:rFonts w:eastAsia="Times New Roman"/>
          <w:color w:val="000000"/>
        </w:rPr>
        <w:t xml:space="preserve">, Tabela 6, </w:t>
      </w:r>
      <w:r w:rsidRPr="00E91EC4">
        <w:rPr>
          <w:rFonts w:eastAsia="Times New Roman"/>
          <w:color w:val="000000"/>
        </w:rPr>
        <w:t>apresentaram, na maior parte, correlação positiva e resultados mais robustos do que as janelas de curto prazo</w:t>
      </w:r>
      <w:r>
        <w:rPr>
          <w:rFonts w:eastAsia="Times New Roman"/>
          <w:color w:val="000000"/>
        </w:rPr>
        <w:t xml:space="preserve"> </w:t>
      </w:r>
      <w:r w:rsidRPr="00E91EC4">
        <w:rPr>
          <w:rFonts w:eastAsia="Times New Roman"/>
          <w:color w:val="000000"/>
        </w:rPr>
        <w:t>pré-evento.</w:t>
      </w:r>
    </w:p>
    <w:p w:rsidR="00455DEE" w:rsidRDefault="00455DEE" w:rsidP="00FA5866">
      <w:pPr>
        <w:spacing w:after="0" w:line="240" w:lineRule="auto"/>
        <w:ind w:firstLine="720"/>
        <w:rPr>
          <w:rFonts w:eastAsia="GungsuhChe"/>
        </w:rPr>
      </w:pPr>
      <w:r w:rsidRPr="00474BF2">
        <w:rPr>
          <w:rFonts w:eastAsia="GungsuhChe"/>
        </w:rPr>
        <w:t>Para as firmas fusionadas, o mesmo comportamento, só que invertido,</w:t>
      </w:r>
      <w:r>
        <w:rPr>
          <w:rFonts w:eastAsia="GungsuhChe"/>
        </w:rPr>
        <w:t xml:space="preserve"> pode ser observado.</w:t>
      </w:r>
      <w:r w:rsidRPr="00474BF2">
        <w:rPr>
          <w:rFonts w:eastAsia="GungsuhChe"/>
        </w:rPr>
        <w:t xml:space="preserve"> Ou seja, para essas empresas, </w:t>
      </w:r>
      <w:proofErr w:type="gramStart"/>
      <w:r w:rsidRPr="00474BF2">
        <w:rPr>
          <w:rFonts w:eastAsia="GungsuhChe"/>
        </w:rPr>
        <w:t xml:space="preserve">a reação </w:t>
      </w:r>
      <w:r>
        <w:rPr>
          <w:rFonts w:eastAsia="GungsuhChe"/>
        </w:rPr>
        <w:t xml:space="preserve">correta </w:t>
      </w:r>
      <w:r w:rsidRPr="00474BF2">
        <w:rPr>
          <w:rFonts w:eastAsia="GungsuhChe"/>
        </w:rPr>
        <w:t>do mercado aos efeitos positivos da fusão ocorrem</w:t>
      </w:r>
      <w:proofErr w:type="gramEnd"/>
      <w:r w:rsidRPr="00474BF2">
        <w:rPr>
          <w:rFonts w:eastAsia="GungsuhChe"/>
        </w:rPr>
        <w:t xml:space="preserve"> ao redor da data do anúncio e não são antecipados em janelas longas</w:t>
      </w:r>
      <w:r w:rsidR="00A83548">
        <w:rPr>
          <w:rFonts w:eastAsia="GungsuhChe"/>
        </w:rPr>
        <w:t xml:space="preserve"> </w:t>
      </w:r>
      <w:r>
        <w:rPr>
          <w:rFonts w:eastAsia="GungsuhChe"/>
        </w:rPr>
        <w:t>pré-evento</w:t>
      </w:r>
      <w:r w:rsidRPr="00474BF2">
        <w:rPr>
          <w:rFonts w:eastAsia="GungsuhChe"/>
        </w:rPr>
        <w:t>.</w:t>
      </w:r>
    </w:p>
    <w:p w:rsidR="00A83548" w:rsidRDefault="00A83548" w:rsidP="00FA5866">
      <w:pPr>
        <w:pStyle w:val="Legenda"/>
        <w:keepNext/>
        <w:spacing w:after="0"/>
        <w:ind w:firstLine="0"/>
        <w:jc w:val="left"/>
        <w:rPr>
          <w:b w:val="0"/>
          <w:color w:val="auto"/>
          <w:sz w:val="24"/>
          <w:szCs w:val="24"/>
        </w:rPr>
      </w:pPr>
      <w:bookmarkStart w:id="10" w:name="_Toc379458536"/>
    </w:p>
    <w:p w:rsidR="00455DEE" w:rsidRDefault="00455DEE" w:rsidP="00FA5866">
      <w:pPr>
        <w:pStyle w:val="Legenda"/>
        <w:keepNext/>
        <w:spacing w:after="0"/>
        <w:ind w:firstLine="0"/>
        <w:jc w:val="left"/>
        <w:rPr>
          <w:b w:val="0"/>
          <w:color w:val="auto"/>
          <w:sz w:val="24"/>
          <w:szCs w:val="24"/>
        </w:rPr>
      </w:pPr>
      <w:r w:rsidRPr="007F3E97">
        <w:rPr>
          <w:b w:val="0"/>
          <w:color w:val="auto"/>
          <w:sz w:val="24"/>
          <w:szCs w:val="24"/>
        </w:rPr>
        <w:t xml:space="preserve">Tabela </w:t>
      </w:r>
      <w:r>
        <w:rPr>
          <w:b w:val="0"/>
          <w:color w:val="auto"/>
          <w:sz w:val="24"/>
          <w:szCs w:val="24"/>
        </w:rPr>
        <w:t>5</w:t>
      </w:r>
      <w:r w:rsidRPr="007F3E97">
        <w:rPr>
          <w:b w:val="0"/>
          <w:color w:val="auto"/>
          <w:sz w:val="24"/>
          <w:szCs w:val="24"/>
        </w:rPr>
        <w:t xml:space="preserve">: Correlação </w:t>
      </w:r>
      <w:bookmarkEnd w:id="10"/>
    </w:p>
    <w:tbl>
      <w:tblPr>
        <w:tblW w:w="5000" w:type="pct"/>
        <w:jc w:val="center"/>
        <w:tblLook w:val="04A0"/>
      </w:tblPr>
      <w:tblGrid>
        <w:gridCol w:w="922"/>
        <w:gridCol w:w="1119"/>
        <w:gridCol w:w="1119"/>
        <w:gridCol w:w="1161"/>
        <w:gridCol w:w="1161"/>
        <w:gridCol w:w="398"/>
        <w:gridCol w:w="1108"/>
        <w:gridCol w:w="1110"/>
        <w:gridCol w:w="1161"/>
        <w:gridCol w:w="1161"/>
      </w:tblGrid>
      <w:tr w:rsidR="00455DEE" w:rsidRPr="000A35EF" w:rsidTr="00455DEE">
        <w:trPr>
          <w:trHeight w:val="315"/>
          <w:jc w:val="center"/>
        </w:trPr>
        <w:tc>
          <w:tcPr>
            <w:tcW w:w="451" w:type="pct"/>
            <w:tcBorders>
              <w:top w:val="single" w:sz="4" w:space="0" w:color="auto"/>
              <w:left w:val="nil"/>
              <w:bottom w:val="nil"/>
              <w:right w:val="nil"/>
            </w:tcBorders>
            <w:shd w:val="clear" w:color="auto" w:fill="auto"/>
            <w:noWrap/>
            <w:vAlign w:val="bottom"/>
            <w:hideMark/>
          </w:tcPr>
          <w:p w:rsidR="00455DEE" w:rsidRPr="000A35EF" w:rsidRDefault="00455DEE" w:rsidP="00FA5866">
            <w:pPr>
              <w:spacing w:after="0" w:line="240" w:lineRule="auto"/>
              <w:ind w:firstLine="0"/>
              <w:jc w:val="left"/>
              <w:rPr>
                <w:rFonts w:ascii="Calibri" w:eastAsia="Times New Roman" w:hAnsi="Calibri"/>
                <w:color w:val="000000"/>
                <w:sz w:val="22"/>
                <w:szCs w:val="22"/>
                <w:lang w:val="en-US"/>
              </w:rPr>
            </w:pPr>
            <w:r w:rsidRPr="000A35EF">
              <w:rPr>
                <w:rFonts w:ascii="Calibri" w:eastAsia="Times New Roman" w:hAnsi="Calibri"/>
                <w:color w:val="000000"/>
                <w:sz w:val="22"/>
                <w:szCs w:val="22"/>
                <w:lang w:val="en-US"/>
              </w:rPr>
              <w:t> </w:t>
            </w:r>
          </w:p>
        </w:tc>
        <w:tc>
          <w:tcPr>
            <w:tcW w:w="545" w:type="pct"/>
            <w:tcBorders>
              <w:top w:val="single" w:sz="4" w:space="0" w:color="auto"/>
              <w:left w:val="nil"/>
              <w:bottom w:val="nil"/>
              <w:right w:val="nil"/>
            </w:tcBorders>
            <w:shd w:val="clear" w:color="auto" w:fill="auto"/>
            <w:noWrap/>
            <w:vAlign w:val="bottom"/>
            <w:hideMark/>
          </w:tcPr>
          <w:p w:rsidR="00455DEE" w:rsidRPr="005B0127" w:rsidRDefault="00455DEE" w:rsidP="00FA5866">
            <w:pPr>
              <w:spacing w:after="0" w:line="240" w:lineRule="auto"/>
              <w:ind w:firstLine="0"/>
              <w:jc w:val="left"/>
              <w:rPr>
                <w:rFonts w:eastAsia="Times New Roman"/>
                <w:color w:val="000000"/>
                <w:sz w:val="22"/>
                <w:szCs w:val="22"/>
                <w:lang w:val="en-US"/>
              </w:rPr>
            </w:pPr>
            <w:proofErr w:type="spellStart"/>
            <w:r w:rsidRPr="005B0127">
              <w:rPr>
                <w:rFonts w:eastAsia="Times New Roman"/>
                <w:color w:val="000000"/>
                <w:sz w:val="22"/>
                <w:szCs w:val="22"/>
                <w:lang w:val="en-US"/>
              </w:rPr>
              <w:t>Rivais</w:t>
            </w:r>
            <w:proofErr w:type="spellEnd"/>
          </w:p>
        </w:tc>
        <w:tc>
          <w:tcPr>
            <w:tcW w:w="545" w:type="pct"/>
            <w:tcBorders>
              <w:top w:val="single" w:sz="4" w:space="0" w:color="auto"/>
              <w:left w:val="nil"/>
              <w:bottom w:val="nil"/>
              <w:right w:val="nil"/>
            </w:tcBorders>
            <w:shd w:val="clear" w:color="auto" w:fill="auto"/>
            <w:noWrap/>
            <w:vAlign w:val="bottom"/>
            <w:hideMark/>
          </w:tcPr>
          <w:p w:rsidR="00455DEE" w:rsidRPr="005B0127" w:rsidRDefault="00455DEE" w:rsidP="00FA5866">
            <w:pPr>
              <w:spacing w:after="0" w:line="240" w:lineRule="auto"/>
              <w:ind w:firstLine="0"/>
              <w:jc w:val="left"/>
              <w:rPr>
                <w:rFonts w:eastAsia="Times New Roman"/>
                <w:color w:val="000000"/>
                <w:sz w:val="22"/>
                <w:szCs w:val="22"/>
                <w:lang w:val="en-US"/>
              </w:rPr>
            </w:pPr>
            <w:r w:rsidRPr="005B0127">
              <w:rPr>
                <w:rFonts w:eastAsia="Times New Roman"/>
                <w:color w:val="000000"/>
                <w:sz w:val="22"/>
                <w:szCs w:val="22"/>
                <w:lang w:val="en-US"/>
              </w:rPr>
              <w:t> </w:t>
            </w:r>
          </w:p>
        </w:tc>
        <w:tc>
          <w:tcPr>
            <w:tcW w:w="545" w:type="pct"/>
            <w:tcBorders>
              <w:top w:val="single" w:sz="4" w:space="0" w:color="auto"/>
              <w:left w:val="nil"/>
              <w:bottom w:val="nil"/>
              <w:right w:val="nil"/>
            </w:tcBorders>
            <w:shd w:val="clear" w:color="auto" w:fill="auto"/>
            <w:noWrap/>
            <w:vAlign w:val="bottom"/>
            <w:hideMark/>
          </w:tcPr>
          <w:p w:rsidR="00455DEE" w:rsidRPr="005B0127" w:rsidRDefault="00455DEE" w:rsidP="00FA5866">
            <w:pPr>
              <w:spacing w:after="0" w:line="240" w:lineRule="auto"/>
              <w:ind w:firstLine="0"/>
              <w:jc w:val="left"/>
              <w:rPr>
                <w:rFonts w:eastAsia="Times New Roman"/>
                <w:color w:val="000000"/>
                <w:sz w:val="22"/>
                <w:szCs w:val="22"/>
                <w:lang w:val="en-US"/>
              </w:rPr>
            </w:pPr>
            <w:r w:rsidRPr="005B0127">
              <w:rPr>
                <w:rFonts w:eastAsia="Times New Roman"/>
                <w:color w:val="000000"/>
                <w:sz w:val="22"/>
                <w:szCs w:val="22"/>
                <w:lang w:val="en-US"/>
              </w:rPr>
              <w:t> </w:t>
            </w:r>
          </w:p>
        </w:tc>
        <w:tc>
          <w:tcPr>
            <w:tcW w:w="545" w:type="pct"/>
            <w:tcBorders>
              <w:top w:val="single" w:sz="4" w:space="0" w:color="auto"/>
              <w:left w:val="nil"/>
              <w:bottom w:val="nil"/>
              <w:right w:val="nil"/>
            </w:tcBorders>
            <w:shd w:val="clear" w:color="auto" w:fill="auto"/>
            <w:noWrap/>
            <w:vAlign w:val="bottom"/>
            <w:hideMark/>
          </w:tcPr>
          <w:p w:rsidR="00455DEE" w:rsidRPr="005B0127" w:rsidRDefault="00455DEE" w:rsidP="00FA5866">
            <w:pPr>
              <w:spacing w:after="0" w:line="240" w:lineRule="auto"/>
              <w:ind w:firstLine="0"/>
              <w:jc w:val="left"/>
              <w:rPr>
                <w:rFonts w:eastAsia="Times New Roman"/>
                <w:color w:val="000000"/>
                <w:sz w:val="22"/>
                <w:szCs w:val="22"/>
                <w:lang w:val="en-US"/>
              </w:rPr>
            </w:pPr>
            <w:r w:rsidRPr="005B0127">
              <w:rPr>
                <w:rFonts w:eastAsia="Times New Roman"/>
                <w:color w:val="000000"/>
                <w:sz w:val="22"/>
                <w:szCs w:val="22"/>
                <w:lang w:val="en-US"/>
              </w:rPr>
              <w:t> </w:t>
            </w:r>
          </w:p>
        </w:tc>
        <w:tc>
          <w:tcPr>
            <w:tcW w:w="199" w:type="pct"/>
            <w:tcBorders>
              <w:top w:val="single" w:sz="4" w:space="0" w:color="auto"/>
              <w:left w:val="nil"/>
              <w:bottom w:val="nil"/>
              <w:right w:val="nil"/>
            </w:tcBorders>
            <w:shd w:val="clear" w:color="auto" w:fill="auto"/>
            <w:noWrap/>
            <w:vAlign w:val="bottom"/>
            <w:hideMark/>
          </w:tcPr>
          <w:p w:rsidR="00455DEE" w:rsidRPr="005B0127" w:rsidRDefault="00455DEE" w:rsidP="00FA5866">
            <w:pPr>
              <w:spacing w:after="0" w:line="240" w:lineRule="auto"/>
              <w:ind w:firstLine="0"/>
              <w:jc w:val="left"/>
              <w:rPr>
                <w:rFonts w:eastAsia="Times New Roman"/>
                <w:color w:val="000000"/>
                <w:sz w:val="22"/>
                <w:szCs w:val="22"/>
                <w:lang w:val="en-US"/>
              </w:rPr>
            </w:pPr>
            <w:r w:rsidRPr="005B0127">
              <w:rPr>
                <w:rFonts w:eastAsia="Times New Roman"/>
                <w:color w:val="000000"/>
                <w:sz w:val="22"/>
                <w:szCs w:val="22"/>
                <w:lang w:val="en-US"/>
              </w:rPr>
              <w:t> </w:t>
            </w:r>
          </w:p>
        </w:tc>
        <w:tc>
          <w:tcPr>
            <w:tcW w:w="1081" w:type="pct"/>
            <w:gridSpan w:val="2"/>
            <w:tcBorders>
              <w:top w:val="single" w:sz="4" w:space="0" w:color="auto"/>
              <w:left w:val="nil"/>
              <w:bottom w:val="nil"/>
              <w:right w:val="nil"/>
            </w:tcBorders>
            <w:shd w:val="clear" w:color="auto" w:fill="auto"/>
            <w:noWrap/>
            <w:vAlign w:val="bottom"/>
            <w:hideMark/>
          </w:tcPr>
          <w:p w:rsidR="00455DEE" w:rsidRPr="005B0127" w:rsidRDefault="00455DEE" w:rsidP="00FA5866">
            <w:pPr>
              <w:spacing w:after="0" w:line="240" w:lineRule="auto"/>
              <w:ind w:firstLine="0"/>
              <w:jc w:val="left"/>
              <w:rPr>
                <w:rFonts w:eastAsia="Times New Roman"/>
                <w:color w:val="000000"/>
                <w:sz w:val="22"/>
                <w:szCs w:val="22"/>
                <w:lang w:val="en-US"/>
              </w:rPr>
            </w:pPr>
            <w:proofErr w:type="spellStart"/>
            <w:r>
              <w:rPr>
                <w:rFonts w:eastAsia="Times New Roman"/>
                <w:color w:val="000000"/>
                <w:sz w:val="22"/>
                <w:szCs w:val="22"/>
                <w:lang w:val="en-US"/>
              </w:rPr>
              <w:t>F</w:t>
            </w:r>
            <w:r w:rsidRPr="005B0127">
              <w:rPr>
                <w:rFonts w:eastAsia="Times New Roman"/>
                <w:color w:val="000000"/>
                <w:sz w:val="22"/>
                <w:szCs w:val="22"/>
                <w:lang w:val="en-US"/>
              </w:rPr>
              <w:t>usionadas</w:t>
            </w:r>
            <w:proofErr w:type="spellEnd"/>
          </w:p>
        </w:tc>
        <w:tc>
          <w:tcPr>
            <w:tcW w:w="545" w:type="pct"/>
            <w:tcBorders>
              <w:top w:val="single" w:sz="4" w:space="0" w:color="auto"/>
              <w:left w:val="nil"/>
              <w:bottom w:val="nil"/>
              <w:right w:val="nil"/>
            </w:tcBorders>
            <w:shd w:val="clear" w:color="auto" w:fill="auto"/>
            <w:noWrap/>
            <w:vAlign w:val="bottom"/>
            <w:hideMark/>
          </w:tcPr>
          <w:p w:rsidR="00455DEE" w:rsidRPr="000A35EF" w:rsidRDefault="00455DEE" w:rsidP="00FA5866">
            <w:pPr>
              <w:spacing w:after="0" w:line="240" w:lineRule="auto"/>
              <w:ind w:firstLine="0"/>
              <w:jc w:val="left"/>
              <w:rPr>
                <w:rFonts w:ascii="Calibri" w:eastAsia="Times New Roman" w:hAnsi="Calibri"/>
                <w:color w:val="000000"/>
                <w:sz w:val="22"/>
                <w:szCs w:val="22"/>
                <w:lang w:val="en-US"/>
              </w:rPr>
            </w:pPr>
            <w:r w:rsidRPr="000A35EF">
              <w:rPr>
                <w:rFonts w:ascii="Calibri" w:eastAsia="Times New Roman" w:hAnsi="Calibri"/>
                <w:color w:val="000000"/>
                <w:sz w:val="22"/>
                <w:szCs w:val="22"/>
                <w:lang w:val="en-US"/>
              </w:rPr>
              <w:t> </w:t>
            </w:r>
          </w:p>
        </w:tc>
        <w:tc>
          <w:tcPr>
            <w:tcW w:w="545" w:type="pct"/>
            <w:tcBorders>
              <w:top w:val="single" w:sz="4" w:space="0" w:color="auto"/>
              <w:left w:val="nil"/>
              <w:bottom w:val="nil"/>
              <w:right w:val="nil"/>
            </w:tcBorders>
            <w:shd w:val="clear" w:color="auto" w:fill="auto"/>
            <w:noWrap/>
            <w:vAlign w:val="bottom"/>
            <w:hideMark/>
          </w:tcPr>
          <w:p w:rsidR="00455DEE" w:rsidRPr="000A35EF" w:rsidRDefault="00455DEE" w:rsidP="00FA5866">
            <w:pPr>
              <w:spacing w:after="0" w:line="240" w:lineRule="auto"/>
              <w:ind w:firstLine="0"/>
              <w:jc w:val="left"/>
              <w:rPr>
                <w:rFonts w:ascii="Calibri" w:eastAsia="Times New Roman" w:hAnsi="Calibri"/>
                <w:color w:val="000000"/>
                <w:sz w:val="22"/>
                <w:szCs w:val="22"/>
                <w:lang w:val="en-US"/>
              </w:rPr>
            </w:pPr>
            <w:r w:rsidRPr="000A35EF">
              <w:rPr>
                <w:rFonts w:ascii="Calibri" w:eastAsia="Times New Roman" w:hAnsi="Calibri"/>
                <w:color w:val="000000"/>
                <w:sz w:val="22"/>
                <w:szCs w:val="22"/>
                <w:lang w:val="en-US"/>
              </w:rPr>
              <w:t> </w:t>
            </w:r>
          </w:p>
        </w:tc>
      </w:tr>
      <w:tr w:rsidR="00455DEE" w:rsidRPr="000A35EF" w:rsidTr="00455DEE">
        <w:trPr>
          <w:trHeight w:val="300"/>
          <w:jc w:val="center"/>
        </w:trPr>
        <w:tc>
          <w:tcPr>
            <w:tcW w:w="451" w:type="pct"/>
            <w:tcBorders>
              <w:top w:val="nil"/>
              <w:left w:val="nil"/>
              <w:bottom w:val="nil"/>
              <w:right w:val="nil"/>
            </w:tcBorders>
            <w:shd w:val="clear" w:color="auto" w:fill="auto"/>
            <w:noWrap/>
            <w:vAlign w:val="bottom"/>
            <w:hideMark/>
          </w:tcPr>
          <w:p w:rsidR="00455DEE" w:rsidRPr="000A35EF" w:rsidRDefault="00455DEE" w:rsidP="00FA5866">
            <w:pPr>
              <w:spacing w:after="0" w:line="240" w:lineRule="auto"/>
              <w:ind w:firstLine="0"/>
              <w:jc w:val="left"/>
              <w:rPr>
                <w:rFonts w:ascii="Calibri" w:eastAsia="Times New Roman" w:hAnsi="Calibri"/>
                <w:color w:val="000000"/>
                <w:sz w:val="22"/>
                <w:szCs w:val="22"/>
                <w:lang w:val="en-US"/>
              </w:rPr>
            </w:pPr>
          </w:p>
        </w:tc>
        <w:tc>
          <w:tcPr>
            <w:tcW w:w="545" w:type="pct"/>
            <w:tcBorders>
              <w:top w:val="single" w:sz="4" w:space="0" w:color="auto"/>
              <w:left w:val="nil"/>
              <w:bottom w:val="single" w:sz="4" w:space="0" w:color="auto"/>
              <w:right w:val="nil"/>
            </w:tcBorders>
            <w:shd w:val="clear" w:color="auto" w:fill="auto"/>
            <w:noWrap/>
            <w:vAlign w:val="center"/>
            <w:hideMark/>
          </w:tcPr>
          <w:p w:rsidR="00455DEE" w:rsidRPr="000A35EF" w:rsidRDefault="00455DEE" w:rsidP="00FA5866">
            <w:pPr>
              <w:spacing w:after="0" w:line="240" w:lineRule="auto"/>
              <w:ind w:firstLine="0"/>
              <w:jc w:val="center"/>
              <w:rPr>
                <w:rFonts w:eastAsia="Times New Roman"/>
                <w:color w:val="000000"/>
                <w:sz w:val="20"/>
                <w:szCs w:val="20"/>
                <w:lang w:val="en-US"/>
              </w:rPr>
            </w:pPr>
            <w:r w:rsidRPr="000A35EF">
              <w:rPr>
                <w:rFonts w:eastAsia="Times New Roman"/>
                <w:color w:val="000000"/>
                <w:sz w:val="20"/>
                <w:szCs w:val="20"/>
                <w:lang w:val="en-US"/>
              </w:rPr>
              <w:t>CAR (2,2)</w:t>
            </w:r>
          </w:p>
        </w:tc>
        <w:tc>
          <w:tcPr>
            <w:tcW w:w="545" w:type="pct"/>
            <w:tcBorders>
              <w:top w:val="single" w:sz="4" w:space="0" w:color="auto"/>
              <w:left w:val="nil"/>
              <w:bottom w:val="single" w:sz="4" w:space="0" w:color="auto"/>
              <w:right w:val="nil"/>
            </w:tcBorders>
            <w:shd w:val="clear" w:color="auto" w:fill="auto"/>
            <w:noWrap/>
            <w:vAlign w:val="center"/>
            <w:hideMark/>
          </w:tcPr>
          <w:p w:rsidR="00455DEE" w:rsidRPr="000A35EF" w:rsidRDefault="00455DEE" w:rsidP="00FA5866">
            <w:pPr>
              <w:spacing w:after="0" w:line="240" w:lineRule="auto"/>
              <w:ind w:firstLine="0"/>
              <w:jc w:val="center"/>
              <w:rPr>
                <w:rFonts w:eastAsia="Times New Roman"/>
                <w:color w:val="000000"/>
                <w:sz w:val="20"/>
                <w:szCs w:val="20"/>
                <w:lang w:val="en-US"/>
              </w:rPr>
            </w:pPr>
            <w:r w:rsidRPr="000A35EF">
              <w:rPr>
                <w:rFonts w:eastAsia="Times New Roman"/>
                <w:color w:val="000000"/>
                <w:sz w:val="20"/>
                <w:szCs w:val="20"/>
                <w:lang w:val="en-US"/>
              </w:rPr>
              <w:t>CAR (5,5)</w:t>
            </w:r>
          </w:p>
        </w:tc>
        <w:tc>
          <w:tcPr>
            <w:tcW w:w="545" w:type="pct"/>
            <w:tcBorders>
              <w:top w:val="single" w:sz="4" w:space="0" w:color="auto"/>
              <w:left w:val="nil"/>
              <w:bottom w:val="single" w:sz="4" w:space="0" w:color="auto"/>
              <w:right w:val="nil"/>
            </w:tcBorders>
            <w:shd w:val="clear" w:color="auto" w:fill="auto"/>
            <w:noWrap/>
            <w:vAlign w:val="center"/>
            <w:hideMark/>
          </w:tcPr>
          <w:p w:rsidR="00455DEE" w:rsidRPr="000A35EF" w:rsidRDefault="00455DEE" w:rsidP="00FA5866">
            <w:pPr>
              <w:spacing w:after="0" w:line="240" w:lineRule="auto"/>
              <w:ind w:firstLine="0"/>
              <w:jc w:val="center"/>
              <w:rPr>
                <w:rFonts w:eastAsia="Times New Roman"/>
                <w:color w:val="000000"/>
                <w:sz w:val="20"/>
                <w:szCs w:val="20"/>
                <w:lang w:val="en-US"/>
              </w:rPr>
            </w:pPr>
            <w:r w:rsidRPr="000A35EF">
              <w:rPr>
                <w:rFonts w:eastAsia="Times New Roman"/>
                <w:color w:val="000000"/>
                <w:sz w:val="20"/>
                <w:szCs w:val="20"/>
                <w:lang w:val="en-US"/>
              </w:rPr>
              <w:t>CAR (25,5)</w:t>
            </w:r>
          </w:p>
        </w:tc>
        <w:tc>
          <w:tcPr>
            <w:tcW w:w="545" w:type="pct"/>
            <w:tcBorders>
              <w:top w:val="single" w:sz="4" w:space="0" w:color="auto"/>
              <w:left w:val="nil"/>
              <w:bottom w:val="single" w:sz="4" w:space="0" w:color="auto"/>
              <w:right w:val="nil"/>
            </w:tcBorders>
            <w:shd w:val="clear" w:color="auto" w:fill="auto"/>
            <w:noWrap/>
            <w:vAlign w:val="center"/>
            <w:hideMark/>
          </w:tcPr>
          <w:p w:rsidR="00455DEE" w:rsidRPr="000A35EF" w:rsidRDefault="00455DEE" w:rsidP="00FA5866">
            <w:pPr>
              <w:spacing w:after="0" w:line="240" w:lineRule="auto"/>
              <w:ind w:firstLine="0"/>
              <w:jc w:val="center"/>
              <w:rPr>
                <w:rFonts w:eastAsia="Times New Roman"/>
                <w:color w:val="000000"/>
                <w:sz w:val="20"/>
                <w:szCs w:val="20"/>
                <w:lang w:val="en-US"/>
              </w:rPr>
            </w:pPr>
            <w:r w:rsidRPr="000A35EF">
              <w:rPr>
                <w:rFonts w:eastAsia="Times New Roman"/>
                <w:color w:val="000000"/>
                <w:sz w:val="20"/>
                <w:szCs w:val="20"/>
                <w:lang w:val="en-US"/>
              </w:rPr>
              <w:t>CAR (50,5)</w:t>
            </w:r>
          </w:p>
        </w:tc>
        <w:tc>
          <w:tcPr>
            <w:tcW w:w="199" w:type="pct"/>
            <w:tcBorders>
              <w:top w:val="nil"/>
              <w:left w:val="nil"/>
              <w:bottom w:val="single" w:sz="4" w:space="0" w:color="auto"/>
              <w:right w:val="nil"/>
            </w:tcBorders>
            <w:shd w:val="clear" w:color="auto" w:fill="auto"/>
            <w:noWrap/>
            <w:vAlign w:val="center"/>
            <w:hideMark/>
          </w:tcPr>
          <w:p w:rsidR="00455DEE" w:rsidRPr="000A35EF" w:rsidRDefault="00455DEE" w:rsidP="00FA5866">
            <w:pPr>
              <w:spacing w:after="0" w:line="240" w:lineRule="auto"/>
              <w:ind w:firstLine="0"/>
              <w:jc w:val="center"/>
              <w:rPr>
                <w:rFonts w:eastAsia="Times New Roman"/>
                <w:color w:val="000000"/>
                <w:sz w:val="20"/>
                <w:szCs w:val="20"/>
                <w:lang w:val="en-US"/>
              </w:rPr>
            </w:pPr>
          </w:p>
        </w:tc>
        <w:tc>
          <w:tcPr>
            <w:tcW w:w="540" w:type="pct"/>
            <w:tcBorders>
              <w:top w:val="single" w:sz="4" w:space="0" w:color="auto"/>
              <w:left w:val="nil"/>
              <w:bottom w:val="single" w:sz="4" w:space="0" w:color="auto"/>
              <w:right w:val="nil"/>
            </w:tcBorders>
            <w:shd w:val="clear" w:color="auto" w:fill="auto"/>
            <w:noWrap/>
            <w:vAlign w:val="center"/>
            <w:hideMark/>
          </w:tcPr>
          <w:p w:rsidR="00455DEE" w:rsidRPr="000A35EF" w:rsidRDefault="00455DEE" w:rsidP="00FA5866">
            <w:pPr>
              <w:spacing w:after="0" w:line="240" w:lineRule="auto"/>
              <w:ind w:firstLine="0"/>
              <w:jc w:val="center"/>
              <w:rPr>
                <w:rFonts w:eastAsia="Times New Roman"/>
                <w:color w:val="000000"/>
                <w:sz w:val="20"/>
                <w:szCs w:val="20"/>
                <w:lang w:val="en-US"/>
              </w:rPr>
            </w:pPr>
            <w:r w:rsidRPr="000A35EF">
              <w:rPr>
                <w:rFonts w:eastAsia="Times New Roman"/>
                <w:color w:val="000000"/>
                <w:sz w:val="20"/>
                <w:szCs w:val="20"/>
                <w:lang w:val="en-US"/>
              </w:rPr>
              <w:t>CAR (2,2)</w:t>
            </w:r>
          </w:p>
        </w:tc>
        <w:tc>
          <w:tcPr>
            <w:tcW w:w="540" w:type="pct"/>
            <w:tcBorders>
              <w:top w:val="single" w:sz="4" w:space="0" w:color="auto"/>
              <w:left w:val="nil"/>
              <w:bottom w:val="single" w:sz="4" w:space="0" w:color="auto"/>
              <w:right w:val="nil"/>
            </w:tcBorders>
            <w:shd w:val="clear" w:color="auto" w:fill="auto"/>
            <w:noWrap/>
            <w:vAlign w:val="center"/>
            <w:hideMark/>
          </w:tcPr>
          <w:p w:rsidR="00455DEE" w:rsidRPr="000A35EF" w:rsidRDefault="00455DEE" w:rsidP="00FA5866">
            <w:pPr>
              <w:spacing w:after="0" w:line="240" w:lineRule="auto"/>
              <w:ind w:firstLine="0"/>
              <w:jc w:val="center"/>
              <w:rPr>
                <w:rFonts w:eastAsia="Times New Roman"/>
                <w:color w:val="000000"/>
                <w:sz w:val="20"/>
                <w:szCs w:val="20"/>
                <w:lang w:val="en-US"/>
              </w:rPr>
            </w:pPr>
            <w:r w:rsidRPr="000A35EF">
              <w:rPr>
                <w:rFonts w:eastAsia="Times New Roman"/>
                <w:color w:val="000000"/>
                <w:sz w:val="20"/>
                <w:szCs w:val="20"/>
                <w:lang w:val="en-US"/>
              </w:rPr>
              <w:t>CAR (5,5)</w:t>
            </w:r>
          </w:p>
        </w:tc>
        <w:tc>
          <w:tcPr>
            <w:tcW w:w="545" w:type="pct"/>
            <w:tcBorders>
              <w:top w:val="single" w:sz="4" w:space="0" w:color="auto"/>
              <w:left w:val="nil"/>
              <w:bottom w:val="single" w:sz="4" w:space="0" w:color="auto"/>
              <w:right w:val="nil"/>
            </w:tcBorders>
            <w:shd w:val="clear" w:color="auto" w:fill="auto"/>
            <w:noWrap/>
            <w:vAlign w:val="center"/>
            <w:hideMark/>
          </w:tcPr>
          <w:p w:rsidR="00455DEE" w:rsidRPr="000A35EF" w:rsidRDefault="00455DEE" w:rsidP="00FA5866">
            <w:pPr>
              <w:spacing w:after="0" w:line="240" w:lineRule="auto"/>
              <w:ind w:firstLine="0"/>
              <w:jc w:val="center"/>
              <w:rPr>
                <w:rFonts w:eastAsia="Times New Roman"/>
                <w:color w:val="000000"/>
                <w:sz w:val="20"/>
                <w:szCs w:val="20"/>
                <w:lang w:val="en-US"/>
              </w:rPr>
            </w:pPr>
            <w:r w:rsidRPr="000A35EF">
              <w:rPr>
                <w:rFonts w:eastAsia="Times New Roman"/>
                <w:color w:val="000000"/>
                <w:sz w:val="20"/>
                <w:szCs w:val="20"/>
                <w:lang w:val="en-US"/>
              </w:rPr>
              <w:t>CAR (25,5)</w:t>
            </w:r>
          </w:p>
        </w:tc>
        <w:tc>
          <w:tcPr>
            <w:tcW w:w="545" w:type="pct"/>
            <w:tcBorders>
              <w:top w:val="single" w:sz="4" w:space="0" w:color="auto"/>
              <w:left w:val="nil"/>
              <w:bottom w:val="single" w:sz="4" w:space="0" w:color="auto"/>
              <w:right w:val="nil"/>
            </w:tcBorders>
            <w:shd w:val="clear" w:color="auto" w:fill="auto"/>
            <w:noWrap/>
            <w:vAlign w:val="center"/>
            <w:hideMark/>
          </w:tcPr>
          <w:p w:rsidR="00455DEE" w:rsidRPr="000A35EF" w:rsidRDefault="00455DEE" w:rsidP="00FA5866">
            <w:pPr>
              <w:spacing w:after="0" w:line="240" w:lineRule="auto"/>
              <w:ind w:firstLine="0"/>
              <w:jc w:val="center"/>
              <w:rPr>
                <w:rFonts w:eastAsia="Times New Roman"/>
                <w:color w:val="000000"/>
                <w:sz w:val="20"/>
                <w:szCs w:val="20"/>
                <w:lang w:val="en-US"/>
              </w:rPr>
            </w:pPr>
            <w:r w:rsidRPr="000A35EF">
              <w:rPr>
                <w:rFonts w:eastAsia="Times New Roman"/>
                <w:color w:val="000000"/>
                <w:sz w:val="20"/>
                <w:szCs w:val="20"/>
                <w:lang w:val="en-US"/>
              </w:rPr>
              <w:t>CAR (50,5)</w:t>
            </w:r>
          </w:p>
        </w:tc>
      </w:tr>
      <w:tr w:rsidR="00455DEE" w:rsidRPr="000A35EF" w:rsidTr="00455DEE">
        <w:trPr>
          <w:trHeight w:val="300"/>
          <w:jc w:val="center"/>
        </w:trPr>
        <w:tc>
          <w:tcPr>
            <w:tcW w:w="451" w:type="pct"/>
            <w:tcBorders>
              <w:top w:val="nil"/>
              <w:left w:val="nil"/>
              <w:bottom w:val="nil"/>
              <w:right w:val="nil"/>
            </w:tcBorders>
            <w:shd w:val="clear" w:color="auto" w:fill="auto"/>
            <w:noWrap/>
            <w:vAlign w:val="bottom"/>
            <w:hideMark/>
          </w:tcPr>
          <w:p w:rsidR="00455DEE" w:rsidRPr="000A35EF" w:rsidRDefault="00455DEE" w:rsidP="00FA5866">
            <w:pPr>
              <w:spacing w:after="0" w:line="240" w:lineRule="auto"/>
              <w:ind w:firstLine="0"/>
              <w:jc w:val="right"/>
              <w:rPr>
                <w:rFonts w:ascii="Calibri" w:eastAsia="Times New Roman" w:hAnsi="Calibri"/>
                <w:color w:val="000000"/>
                <w:sz w:val="22"/>
                <w:szCs w:val="22"/>
                <w:lang w:val="en-US"/>
              </w:rPr>
            </w:pPr>
            <m:oMathPara>
              <m:oMath>
                <m:r>
                  <w:rPr>
                    <w:rFonts w:ascii="Cambria Math" w:eastAsia="Times New Roman" w:hAnsi="Cambria Math"/>
                    <w:color w:val="000000"/>
                    <w:sz w:val="20"/>
                    <w:szCs w:val="20"/>
                  </w:rPr>
                  <m:t>∆</m:t>
                </m:r>
                <m:sSub>
                  <m:sSubPr>
                    <m:ctrlPr>
                      <w:rPr>
                        <w:rFonts w:ascii="Cambria Math" w:eastAsia="Times New Roman" w:hAnsi="Cambria Math"/>
                        <w:color w:val="000000"/>
                        <w:sz w:val="20"/>
                        <w:szCs w:val="20"/>
                      </w:rPr>
                    </m:ctrlPr>
                  </m:sSubPr>
                  <m:e>
                    <m:r>
                      <m:rPr>
                        <m:sty m:val="p"/>
                      </m:rPr>
                      <w:rPr>
                        <w:rFonts w:ascii="Cambria Math" w:eastAsia="Times New Roman" w:hAnsi="Cambria Math"/>
                        <w:color w:val="000000"/>
                        <w:sz w:val="20"/>
                        <w:szCs w:val="20"/>
                      </w:rPr>
                      <m:t>Π</m:t>
                    </m:r>
                    <m:ctrlPr>
                      <w:rPr>
                        <w:rFonts w:ascii="Cambria Math" w:eastAsia="Times New Roman" w:hAnsi="Cambria Math"/>
                        <w:i/>
                        <w:color w:val="000000"/>
                        <w:sz w:val="20"/>
                        <w:szCs w:val="20"/>
                      </w:rPr>
                    </m:ctrlPr>
                  </m:e>
                  <m:sub>
                    <m:r>
                      <w:rPr>
                        <w:rFonts w:ascii="Cambria Math" w:eastAsia="Times New Roman" w:hAnsi="Cambria Math"/>
                        <w:color w:val="000000"/>
                        <w:sz w:val="20"/>
                        <w:szCs w:val="20"/>
                      </w:rPr>
                      <m:t>t</m:t>
                    </m:r>
                    <m:r>
                      <w:rPr>
                        <w:rFonts w:ascii="Cambria Math" w:eastAsia="Times New Roman"/>
                        <w:color w:val="000000"/>
                        <w:sz w:val="20"/>
                        <w:szCs w:val="20"/>
                      </w:rPr>
                      <m:t>+1</m:t>
                    </m:r>
                    <m:ctrlPr>
                      <w:rPr>
                        <w:rFonts w:ascii="Cambria Math" w:eastAsia="Times New Roman" w:hAnsi="Cambria Math"/>
                        <w:i/>
                        <w:color w:val="000000"/>
                        <w:sz w:val="20"/>
                        <w:szCs w:val="20"/>
                      </w:rPr>
                    </m:ctrlPr>
                  </m:sub>
                </m:sSub>
              </m:oMath>
            </m:oMathPara>
          </w:p>
        </w:tc>
        <w:tc>
          <w:tcPr>
            <w:tcW w:w="545" w:type="pct"/>
            <w:tcBorders>
              <w:top w:val="nil"/>
              <w:left w:val="nil"/>
              <w:bottom w:val="nil"/>
              <w:right w:val="nil"/>
            </w:tcBorders>
            <w:shd w:val="clear" w:color="auto" w:fill="auto"/>
            <w:noWrap/>
            <w:vAlign w:val="center"/>
            <w:hideMark/>
          </w:tcPr>
          <w:p w:rsidR="00455DEE" w:rsidRPr="00522B4B" w:rsidRDefault="00455DEE" w:rsidP="00FA5866">
            <w:pPr>
              <w:spacing w:after="0" w:line="240" w:lineRule="auto"/>
              <w:ind w:firstLine="0"/>
              <w:jc w:val="center"/>
              <w:rPr>
                <w:rFonts w:eastAsia="Times New Roman"/>
                <w:b/>
                <w:bCs/>
                <w:color w:val="000000"/>
                <w:sz w:val="18"/>
                <w:szCs w:val="18"/>
                <w:lang w:val="en-US"/>
              </w:rPr>
            </w:pPr>
            <w:r w:rsidRPr="00522B4B">
              <w:rPr>
                <w:rFonts w:eastAsia="Times New Roman"/>
                <w:b/>
                <w:bCs/>
                <w:color w:val="000000"/>
                <w:sz w:val="18"/>
                <w:szCs w:val="18"/>
                <w:lang w:val="en-US"/>
              </w:rPr>
              <w:t>-0.11**</w:t>
            </w:r>
          </w:p>
        </w:tc>
        <w:tc>
          <w:tcPr>
            <w:tcW w:w="545" w:type="pct"/>
            <w:tcBorders>
              <w:top w:val="nil"/>
              <w:left w:val="nil"/>
              <w:bottom w:val="nil"/>
              <w:right w:val="nil"/>
            </w:tcBorders>
            <w:shd w:val="clear" w:color="auto" w:fill="auto"/>
            <w:noWrap/>
            <w:vAlign w:val="center"/>
            <w:hideMark/>
          </w:tcPr>
          <w:p w:rsidR="00455DEE" w:rsidRPr="00522B4B" w:rsidRDefault="00455DEE" w:rsidP="00FA5866">
            <w:pPr>
              <w:spacing w:after="0" w:line="240" w:lineRule="auto"/>
              <w:ind w:firstLine="0"/>
              <w:jc w:val="center"/>
              <w:rPr>
                <w:rFonts w:eastAsia="Times New Roman"/>
                <w:b/>
                <w:bCs/>
                <w:color w:val="000000"/>
                <w:sz w:val="18"/>
                <w:szCs w:val="18"/>
                <w:lang w:val="en-US"/>
              </w:rPr>
            </w:pPr>
            <w:r w:rsidRPr="00522B4B">
              <w:rPr>
                <w:rFonts w:eastAsia="Times New Roman"/>
                <w:b/>
                <w:bCs/>
                <w:color w:val="000000"/>
                <w:sz w:val="18"/>
                <w:szCs w:val="18"/>
                <w:lang w:val="en-US"/>
              </w:rPr>
              <w:t>-0.15***</w:t>
            </w:r>
          </w:p>
        </w:tc>
        <w:tc>
          <w:tcPr>
            <w:tcW w:w="545" w:type="pct"/>
            <w:tcBorders>
              <w:top w:val="nil"/>
              <w:left w:val="nil"/>
              <w:bottom w:val="nil"/>
              <w:right w:val="nil"/>
            </w:tcBorders>
            <w:shd w:val="clear" w:color="auto" w:fill="auto"/>
            <w:noWrap/>
            <w:vAlign w:val="center"/>
            <w:hideMark/>
          </w:tcPr>
          <w:p w:rsidR="00455DEE" w:rsidRPr="000A35EF" w:rsidRDefault="00455DEE" w:rsidP="00FA5866">
            <w:pPr>
              <w:spacing w:after="0" w:line="240" w:lineRule="auto"/>
              <w:ind w:firstLine="0"/>
              <w:jc w:val="center"/>
              <w:rPr>
                <w:rFonts w:eastAsia="Times New Roman"/>
                <w:b/>
                <w:bCs/>
                <w:color w:val="000000"/>
                <w:sz w:val="20"/>
                <w:szCs w:val="20"/>
                <w:lang w:val="en-US"/>
              </w:rPr>
            </w:pPr>
            <w:r w:rsidRPr="000A35EF">
              <w:rPr>
                <w:rFonts w:eastAsia="Times New Roman"/>
                <w:b/>
                <w:bCs/>
                <w:color w:val="000000"/>
                <w:sz w:val="20"/>
                <w:szCs w:val="20"/>
                <w:lang w:val="en-US"/>
              </w:rPr>
              <w:t>0.12**</w:t>
            </w:r>
          </w:p>
        </w:tc>
        <w:tc>
          <w:tcPr>
            <w:tcW w:w="545" w:type="pct"/>
            <w:tcBorders>
              <w:top w:val="nil"/>
              <w:left w:val="nil"/>
              <w:bottom w:val="nil"/>
              <w:right w:val="nil"/>
            </w:tcBorders>
            <w:shd w:val="clear" w:color="auto" w:fill="auto"/>
            <w:noWrap/>
            <w:vAlign w:val="center"/>
            <w:hideMark/>
          </w:tcPr>
          <w:p w:rsidR="00455DEE" w:rsidRPr="000A35EF" w:rsidRDefault="00455DEE" w:rsidP="00FA5866">
            <w:pPr>
              <w:spacing w:after="0" w:line="240" w:lineRule="auto"/>
              <w:ind w:firstLine="0"/>
              <w:jc w:val="center"/>
              <w:rPr>
                <w:rFonts w:eastAsia="Times New Roman"/>
                <w:color w:val="000000"/>
                <w:sz w:val="20"/>
                <w:szCs w:val="20"/>
                <w:lang w:val="en-US"/>
              </w:rPr>
            </w:pPr>
            <w:r w:rsidRPr="000A35EF">
              <w:rPr>
                <w:rFonts w:eastAsia="Times New Roman"/>
                <w:color w:val="000000"/>
                <w:sz w:val="20"/>
                <w:szCs w:val="20"/>
                <w:lang w:val="en-US"/>
              </w:rPr>
              <w:t>0.06</w:t>
            </w:r>
          </w:p>
        </w:tc>
        <w:tc>
          <w:tcPr>
            <w:tcW w:w="199" w:type="pct"/>
            <w:tcBorders>
              <w:top w:val="nil"/>
              <w:left w:val="nil"/>
              <w:bottom w:val="nil"/>
              <w:right w:val="nil"/>
            </w:tcBorders>
            <w:shd w:val="clear" w:color="auto" w:fill="auto"/>
            <w:noWrap/>
            <w:vAlign w:val="center"/>
            <w:hideMark/>
          </w:tcPr>
          <w:p w:rsidR="00455DEE" w:rsidRPr="000A35EF" w:rsidRDefault="00455DEE" w:rsidP="00FA5866">
            <w:pPr>
              <w:spacing w:after="0" w:line="240" w:lineRule="auto"/>
              <w:ind w:firstLine="0"/>
              <w:jc w:val="center"/>
              <w:rPr>
                <w:rFonts w:eastAsia="Times New Roman"/>
                <w:color w:val="000000"/>
                <w:sz w:val="20"/>
                <w:szCs w:val="20"/>
                <w:lang w:val="en-US"/>
              </w:rPr>
            </w:pPr>
          </w:p>
        </w:tc>
        <w:tc>
          <w:tcPr>
            <w:tcW w:w="540" w:type="pct"/>
            <w:tcBorders>
              <w:top w:val="nil"/>
              <w:left w:val="nil"/>
              <w:bottom w:val="nil"/>
              <w:right w:val="nil"/>
            </w:tcBorders>
            <w:shd w:val="clear" w:color="auto" w:fill="auto"/>
            <w:noWrap/>
            <w:vAlign w:val="center"/>
            <w:hideMark/>
          </w:tcPr>
          <w:p w:rsidR="00455DEE" w:rsidRPr="000A35EF" w:rsidRDefault="00455DEE" w:rsidP="00FA5866">
            <w:pPr>
              <w:spacing w:after="0" w:line="240" w:lineRule="auto"/>
              <w:ind w:firstLine="0"/>
              <w:jc w:val="center"/>
              <w:rPr>
                <w:rFonts w:eastAsia="Times New Roman"/>
                <w:color w:val="000000"/>
                <w:sz w:val="20"/>
                <w:szCs w:val="20"/>
                <w:lang w:val="en-US"/>
              </w:rPr>
            </w:pPr>
            <w:r w:rsidRPr="000A35EF">
              <w:rPr>
                <w:rFonts w:eastAsia="Times New Roman"/>
                <w:color w:val="000000"/>
                <w:sz w:val="20"/>
                <w:szCs w:val="20"/>
                <w:lang w:val="en-US"/>
              </w:rPr>
              <w:t>0.10</w:t>
            </w:r>
          </w:p>
        </w:tc>
        <w:tc>
          <w:tcPr>
            <w:tcW w:w="540" w:type="pct"/>
            <w:tcBorders>
              <w:top w:val="nil"/>
              <w:left w:val="nil"/>
              <w:bottom w:val="nil"/>
              <w:right w:val="nil"/>
            </w:tcBorders>
            <w:shd w:val="clear" w:color="auto" w:fill="auto"/>
            <w:noWrap/>
            <w:vAlign w:val="center"/>
            <w:hideMark/>
          </w:tcPr>
          <w:p w:rsidR="00455DEE" w:rsidRPr="000A35EF" w:rsidRDefault="00455DEE" w:rsidP="00FA5866">
            <w:pPr>
              <w:spacing w:after="0" w:line="240" w:lineRule="auto"/>
              <w:ind w:firstLine="0"/>
              <w:jc w:val="center"/>
              <w:rPr>
                <w:rFonts w:eastAsia="Times New Roman"/>
                <w:color w:val="000000"/>
                <w:sz w:val="20"/>
                <w:szCs w:val="20"/>
                <w:lang w:val="en-US"/>
              </w:rPr>
            </w:pPr>
            <w:r w:rsidRPr="000A35EF">
              <w:rPr>
                <w:rFonts w:eastAsia="Times New Roman"/>
                <w:color w:val="000000"/>
                <w:sz w:val="20"/>
                <w:szCs w:val="20"/>
                <w:lang w:val="en-US"/>
              </w:rPr>
              <w:t>0.10</w:t>
            </w:r>
          </w:p>
        </w:tc>
        <w:tc>
          <w:tcPr>
            <w:tcW w:w="545" w:type="pct"/>
            <w:tcBorders>
              <w:top w:val="nil"/>
              <w:left w:val="nil"/>
              <w:bottom w:val="nil"/>
              <w:right w:val="nil"/>
            </w:tcBorders>
            <w:shd w:val="clear" w:color="auto" w:fill="auto"/>
            <w:noWrap/>
            <w:vAlign w:val="center"/>
            <w:hideMark/>
          </w:tcPr>
          <w:p w:rsidR="00455DEE" w:rsidRPr="000A35EF" w:rsidRDefault="00455DEE" w:rsidP="00FA5866">
            <w:pPr>
              <w:spacing w:after="0" w:line="240" w:lineRule="auto"/>
              <w:ind w:firstLine="0"/>
              <w:jc w:val="center"/>
              <w:rPr>
                <w:rFonts w:eastAsia="Times New Roman"/>
                <w:color w:val="000000"/>
                <w:sz w:val="20"/>
                <w:szCs w:val="20"/>
                <w:lang w:val="en-US"/>
              </w:rPr>
            </w:pPr>
            <w:r w:rsidRPr="000A35EF">
              <w:rPr>
                <w:rFonts w:eastAsia="Times New Roman"/>
                <w:color w:val="000000"/>
                <w:sz w:val="20"/>
                <w:szCs w:val="20"/>
                <w:lang w:val="en-US"/>
              </w:rPr>
              <w:t>0.05</w:t>
            </w:r>
          </w:p>
        </w:tc>
        <w:tc>
          <w:tcPr>
            <w:tcW w:w="545" w:type="pct"/>
            <w:tcBorders>
              <w:top w:val="nil"/>
              <w:left w:val="nil"/>
              <w:bottom w:val="nil"/>
              <w:right w:val="nil"/>
            </w:tcBorders>
            <w:shd w:val="clear" w:color="auto" w:fill="auto"/>
            <w:noWrap/>
            <w:vAlign w:val="center"/>
            <w:hideMark/>
          </w:tcPr>
          <w:p w:rsidR="00455DEE" w:rsidRPr="000A35EF" w:rsidRDefault="00455DEE" w:rsidP="00FA5866">
            <w:pPr>
              <w:spacing w:after="0" w:line="240" w:lineRule="auto"/>
              <w:ind w:firstLine="0"/>
              <w:jc w:val="center"/>
              <w:rPr>
                <w:rFonts w:eastAsia="Times New Roman"/>
                <w:color w:val="000000"/>
                <w:sz w:val="20"/>
                <w:szCs w:val="20"/>
                <w:lang w:val="en-US"/>
              </w:rPr>
            </w:pPr>
            <w:r w:rsidRPr="000A35EF">
              <w:rPr>
                <w:rFonts w:eastAsia="Times New Roman"/>
                <w:color w:val="000000"/>
                <w:sz w:val="20"/>
                <w:szCs w:val="20"/>
                <w:lang w:val="en-US"/>
              </w:rPr>
              <w:t>-0.04</w:t>
            </w:r>
          </w:p>
        </w:tc>
      </w:tr>
      <w:tr w:rsidR="00455DEE" w:rsidRPr="000A35EF" w:rsidTr="00455DEE">
        <w:trPr>
          <w:trHeight w:val="300"/>
          <w:jc w:val="center"/>
        </w:trPr>
        <w:tc>
          <w:tcPr>
            <w:tcW w:w="451" w:type="pct"/>
            <w:tcBorders>
              <w:top w:val="nil"/>
              <w:left w:val="nil"/>
              <w:bottom w:val="nil"/>
              <w:right w:val="nil"/>
            </w:tcBorders>
            <w:shd w:val="clear" w:color="auto" w:fill="auto"/>
            <w:noWrap/>
            <w:vAlign w:val="bottom"/>
            <w:hideMark/>
          </w:tcPr>
          <w:p w:rsidR="00455DEE" w:rsidRPr="00D06C2F" w:rsidRDefault="00455DEE" w:rsidP="00FA5866">
            <w:pPr>
              <w:spacing w:after="0" w:line="240" w:lineRule="auto"/>
              <w:jc w:val="center"/>
              <w:rPr>
                <w:rFonts w:eastAsia="Times New Roman"/>
                <w:color w:val="000000"/>
                <w:sz w:val="20"/>
                <w:szCs w:val="20"/>
              </w:rPr>
            </w:pPr>
            <m:oMathPara>
              <m:oMath>
                <m:r>
                  <w:rPr>
                    <w:rFonts w:ascii="Cambria Math" w:eastAsia="Times New Roman" w:hAnsi="Cambria Math"/>
                    <w:color w:val="000000"/>
                    <w:sz w:val="20"/>
                    <w:szCs w:val="20"/>
                  </w:rPr>
                  <m:t>∆</m:t>
                </m:r>
                <m:sSub>
                  <m:sSubPr>
                    <m:ctrlPr>
                      <w:rPr>
                        <w:rFonts w:ascii="Cambria Math" w:eastAsia="Times New Roman" w:hAnsi="Cambria Math"/>
                        <w:color w:val="000000"/>
                        <w:sz w:val="20"/>
                        <w:szCs w:val="20"/>
                      </w:rPr>
                    </m:ctrlPr>
                  </m:sSubPr>
                  <m:e>
                    <m:r>
                      <m:rPr>
                        <m:sty m:val="p"/>
                      </m:rPr>
                      <w:rPr>
                        <w:rFonts w:ascii="Cambria Math" w:eastAsia="Times New Roman" w:hAnsi="Cambria Math"/>
                        <w:color w:val="000000"/>
                        <w:sz w:val="20"/>
                        <w:szCs w:val="20"/>
                      </w:rPr>
                      <m:t>Π</m:t>
                    </m:r>
                    <m:ctrlPr>
                      <w:rPr>
                        <w:rFonts w:ascii="Cambria Math" w:eastAsia="Times New Roman" w:hAnsi="Cambria Math"/>
                        <w:i/>
                        <w:color w:val="000000"/>
                        <w:sz w:val="20"/>
                        <w:szCs w:val="20"/>
                      </w:rPr>
                    </m:ctrlPr>
                  </m:e>
                  <m:sub>
                    <m:r>
                      <w:rPr>
                        <w:rFonts w:ascii="Cambria Math" w:eastAsia="Times New Roman" w:hAnsi="Cambria Math"/>
                        <w:color w:val="000000"/>
                        <w:sz w:val="20"/>
                        <w:szCs w:val="20"/>
                      </w:rPr>
                      <m:t>t</m:t>
                    </m:r>
                    <m:r>
                      <w:rPr>
                        <w:rFonts w:ascii="Cambria Math" w:eastAsia="Times New Roman"/>
                        <w:color w:val="000000"/>
                        <w:sz w:val="20"/>
                        <w:szCs w:val="20"/>
                      </w:rPr>
                      <m:t>+2</m:t>
                    </m:r>
                    <m:ctrlPr>
                      <w:rPr>
                        <w:rFonts w:ascii="Cambria Math" w:eastAsia="Times New Roman" w:hAnsi="Cambria Math"/>
                        <w:i/>
                        <w:color w:val="000000"/>
                        <w:sz w:val="20"/>
                        <w:szCs w:val="20"/>
                      </w:rPr>
                    </m:ctrlPr>
                  </m:sub>
                </m:sSub>
              </m:oMath>
            </m:oMathPara>
          </w:p>
        </w:tc>
        <w:tc>
          <w:tcPr>
            <w:tcW w:w="545" w:type="pct"/>
            <w:tcBorders>
              <w:top w:val="nil"/>
              <w:left w:val="nil"/>
              <w:bottom w:val="nil"/>
              <w:right w:val="nil"/>
            </w:tcBorders>
            <w:shd w:val="clear" w:color="auto" w:fill="auto"/>
            <w:noWrap/>
            <w:vAlign w:val="center"/>
            <w:hideMark/>
          </w:tcPr>
          <w:p w:rsidR="00455DEE" w:rsidRPr="00522B4B" w:rsidRDefault="00455DEE" w:rsidP="00FA5866">
            <w:pPr>
              <w:spacing w:after="0" w:line="240" w:lineRule="auto"/>
              <w:ind w:firstLine="0"/>
              <w:jc w:val="center"/>
              <w:rPr>
                <w:rFonts w:eastAsia="Times New Roman"/>
                <w:b/>
                <w:bCs/>
                <w:color w:val="000000"/>
                <w:sz w:val="18"/>
                <w:szCs w:val="18"/>
                <w:lang w:val="en-US"/>
              </w:rPr>
            </w:pPr>
            <w:r w:rsidRPr="00522B4B">
              <w:rPr>
                <w:rFonts w:eastAsia="Times New Roman"/>
                <w:b/>
                <w:bCs/>
                <w:color w:val="000000"/>
                <w:sz w:val="18"/>
                <w:szCs w:val="18"/>
                <w:lang w:val="en-US"/>
              </w:rPr>
              <w:t>-0.20***</w:t>
            </w:r>
          </w:p>
        </w:tc>
        <w:tc>
          <w:tcPr>
            <w:tcW w:w="545" w:type="pct"/>
            <w:tcBorders>
              <w:top w:val="nil"/>
              <w:left w:val="nil"/>
              <w:bottom w:val="nil"/>
              <w:right w:val="nil"/>
            </w:tcBorders>
            <w:shd w:val="clear" w:color="auto" w:fill="auto"/>
            <w:noWrap/>
            <w:vAlign w:val="center"/>
            <w:hideMark/>
          </w:tcPr>
          <w:p w:rsidR="00455DEE" w:rsidRPr="00522B4B" w:rsidRDefault="00455DEE" w:rsidP="00FA5866">
            <w:pPr>
              <w:spacing w:after="0" w:line="240" w:lineRule="auto"/>
              <w:ind w:firstLine="0"/>
              <w:jc w:val="center"/>
              <w:rPr>
                <w:rFonts w:eastAsia="Times New Roman"/>
                <w:b/>
                <w:bCs/>
                <w:color w:val="000000"/>
                <w:sz w:val="18"/>
                <w:szCs w:val="18"/>
                <w:lang w:val="en-US"/>
              </w:rPr>
            </w:pPr>
            <w:r w:rsidRPr="00522B4B">
              <w:rPr>
                <w:rFonts w:eastAsia="Times New Roman"/>
                <w:b/>
                <w:bCs/>
                <w:color w:val="000000"/>
                <w:sz w:val="18"/>
                <w:szCs w:val="18"/>
                <w:lang w:val="en-US"/>
              </w:rPr>
              <w:t>-0.29***</w:t>
            </w:r>
          </w:p>
        </w:tc>
        <w:tc>
          <w:tcPr>
            <w:tcW w:w="545" w:type="pct"/>
            <w:tcBorders>
              <w:top w:val="nil"/>
              <w:left w:val="nil"/>
              <w:bottom w:val="nil"/>
              <w:right w:val="nil"/>
            </w:tcBorders>
            <w:shd w:val="clear" w:color="auto" w:fill="auto"/>
            <w:noWrap/>
            <w:vAlign w:val="center"/>
            <w:hideMark/>
          </w:tcPr>
          <w:p w:rsidR="00455DEE" w:rsidRPr="000A35EF" w:rsidRDefault="00455DEE" w:rsidP="00FA5866">
            <w:pPr>
              <w:spacing w:after="0" w:line="240" w:lineRule="auto"/>
              <w:ind w:firstLine="0"/>
              <w:jc w:val="center"/>
              <w:rPr>
                <w:rFonts w:eastAsia="Times New Roman"/>
                <w:b/>
                <w:bCs/>
                <w:color w:val="000000"/>
                <w:sz w:val="20"/>
                <w:szCs w:val="20"/>
                <w:lang w:val="en-US"/>
              </w:rPr>
            </w:pPr>
            <w:r w:rsidRPr="000A35EF">
              <w:rPr>
                <w:rFonts w:eastAsia="Times New Roman"/>
                <w:b/>
                <w:bCs/>
                <w:color w:val="000000"/>
                <w:sz w:val="20"/>
                <w:szCs w:val="20"/>
                <w:lang w:val="en-US"/>
              </w:rPr>
              <w:t>0.15***</w:t>
            </w:r>
          </w:p>
        </w:tc>
        <w:tc>
          <w:tcPr>
            <w:tcW w:w="545" w:type="pct"/>
            <w:tcBorders>
              <w:top w:val="nil"/>
              <w:left w:val="nil"/>
              <w:bottom w:val="nil"/>
              <w:right w:val="nil"/>
            </w:tcBorders>
            <w:shd w:val="clear" w:color="auto" w:fill="auto"/>
            <w:noWrap/>
            <w:vAlign w:val="center"/>
            <w:hideMark/>
          </w:tcPr>
          <w:p w:rsidR="00455DEE" w:rsidRPr="000A35EF" w:rsidRDefault="00455DEE" w:rsidP="00FA5866">
            <w:pPr>
              <w:spacing w:after="0" w:line="240" w:lineRule="auto"/>
              <w:ind w:firstLine="0"/>
              <w:jc w:val="center"/>
              <w:rPr>
                <w:rFonts w:eastAsia="Times New Roman"/>
                <w:b/>
                <w:bCs/>
                <w:color w:val="000000"/>
                <w:sz w:val="20"/>
                <w:szCs w:val="20"/>
                <w:lang w:val="en-US"/>
              </w:rPr>
            </w:pPr>
            <w:r w:rsidRPr="000A35EF">
              <w:rPr>
                <w:rFonts w:eastAsia="Times New Roman"/>
                <w:b/>
                <w:bCs/>
                <w:color w:val="000000"/>
                <w:sz w:val="20"/>
                <w:szCs w:val="20"/>
                <w:lang w:val="en-US"/>
              </w:rPr>
              <w:t>0.12**</w:t>
            </w:r>
          </w:p>
        </w:tc>
        <w:tc>
          <w:tcPr>
            <w:tcW w:w="199" w:type="pct"/>
            <w:tcBorders>
              <w:top w:val="nil"/>
              <w:left w:val="nil"/>
              <w:bottom w:val="nil"/>
              <w:right w:val="nil"/>
            </w:tcBorders>
            <w:shd w:val="clear" w:color="auto" w:fill="auto"/>
            <w:noWrap/>
            <w:vAlign w:val="center"/>
            <w:hideMark/>
          </w:tcPr>
          <w:p w:rsidR="00455DEE" w:rsidRPr="000A35EF" w:rsidRDefault="00455DEE" w:rsidP="00FA5866">
            <w:pPr>
              <w:spacing w:after="0" w:line="240" w:lineRule="auto"/>
              <w:ind w:firstLine="0"/>
              <w:jc w:val="center"/>
              <w:rPr>
                <w:rFonts w:eastAsia="Times New Roman"/>
                <w:color w:val="000000"/>
                <w:sz w:val="20"/>
                <w:szCs w:val="20"/>
                <w:lang w:val="en-US"/>
              </w:rPr>
            </w:pPr>
          </w:p>
        </w:tc>
        <w:tc>
          <w:tcPr>
            <w:tcW w:w="540" w:type="pct"/>
            <w:tcBorders>
              <w:top w:val="nil"/>
              <w:left w:val="nil"/>
              <w:bottom w:val="nil"/>
              <w:right w:val="nil"/>
            </w:tcBorders>
            <w:shd w:val="clear" w:color="auto" w:fill="auto"/>
            <w:noWrap/>
            <w:vAlign w:val="center"/>
            <w:hideMark/>
          </w:tcPr>
          <w:p w:rsidR="00455DEE" w:rsidRPr="000A35EF" w:rsidRDefault="00455DEE" w:rsidP="00FA5866">
            <w:pPr>
              <w:spacing w:after="0" w:line="240" w:lineRule="auto"/>
              <w:ind w:firstLine="0"/>
              <w:jc w:val="center"/>
              <w:rPr>
                <w:rFonts w:eastAsia="Times New Roman"/>
                <w:color w:val="000000"/>
                <w:sz w:val="20"/>
                <w:szCs w:val="20"/>
                <w:lang w:val="en-US"/>
              </w:rPr>
            </w:pPr>
            <w:r w:rsidRPr="000A35EF">
              <w:rPr>
                <w:rFonts w:eastAsia="Times New Roman"/>
                <w:color w:val="000000"/>
                <w:sz w:val="20"/>
                <w:szCs w:val="20"/>
                <w:lang w:val="en-US"/>
              </w:rPr>
              <w:t>0.22</w:t>
            </w:r>
          </w:p>
        </w:tc>
        <w:tc>
          <w:tcPr>
            <w:tcW w:w="540" w:type="pct"/>
            <w:tcBorders>
              <w:top w:val="nil"/>
              <w:left w:val="nil"/>
              <w:bottom w:val="nil"/>
              <w:right w:val="nil"/>
            </w:tcBorders>
            <w:shd w:val="clear" w:color="auto" w:fill="auto"/>
            <w:noWrap/>
            <w:vAlign w:val="center"/>
            <w:hideMark/>
          </w:tcPr>
          <w:p w:rsidR="00455DEE" w:rsidRPr="000A35EF" w:rsidRDefault="00455DEE" w:rsidP="00FA5866">
            <w:pPr>
              <w:spacing w:after="0" w:line="240" w:lineRule="auto"/>
              <w:ind w:firstLine="0"/>
              <w:jc w:val="center"/>
              <w:rPr>
                <w:rFonts w:eastAsia="Times New Roman"/>
                <w:color w:val="000000"/>
                <w:sz w:val="20"/>
                <w:szCs w:val="20"/>
                <w:lang w:val="en-US"/>
              </w:rPr>
            </w:pPr>
            <w:r w:rsidRPr="000A35EF">
              <w:rPr>
                <w:rFonts w:eastAsia="Times New Roman"/>
                <w:color w:val="000000"/>
                <w:sz w:val="20"/>
                <w:szCs w:val="20"/>
                <w:lang w:val="en-US"/>
              </w:rPr>
              <w:t>0.10</w:t>
            </w:r>
          </w:p>
        </w:tc>
        <w:tc>
          <w:tcPr>
            <w:tcW w:w="545" w:type="pct"/>
            <w:tcBorders>
              <w:top w:val="nil"/>
              <w:left w:val="nil"/>
              <w:bottom w:val="nil"/>
              <w:right w:val="nil"/>
            </w:tcBorders>
            <w:shd w:val="clear" w:color="auto" w:fill="auto"/>
            <w:noWrap/>
            <w:vAlign w:val="center"/>
            <w:hideMark/>
          </w:tcPr>
          <w:p w:rsidR="00455DEE" w:rsidRPr="000A35EF" w:rsidRDefault="00455DEE" w:rsidP="00FA5866">
            <w:pPr>
              <w:spacing w:after="0" w:line="240" w:lineRule="auto"/>
              <w:ind w:firstLine="0"/>
              <w:jc w:val="center"/>
              <w:rPr>
                <w:rFonts w:eastAsia="Times New Roman"/>
                <w:color w:val="000000"/>
                <w:sz w:val="20"/>
                <w:szCs w:val="20"/>
                <w:lang w:val="en-US"/>
              </w:rPr>
            </w:pPr>
            <w:r w:rsidRPr="000A35EF">
              <w:rPr>
                <w:rFonts w:eastAsia="Times New Roman"/>
                <w:color w:val="000000"/>
                <w:sz w:val="20"/>
                <w:szCs w:val="20"/>
                <w:lang w:val="en-US"/>
              </w:rPr>
              <w:t>-0.02</w:t>
            </w:r>
          </w:p>
        </w:tc>
        <w:tc>
          <w:tcPr>
            <w:tcW w:w="545" w:type="pct"/>
            <w:tcBorders>
              <w:top w:val="nil"/>
              <w:left w:val="nil"/>
              <w:bottom w:val="nil"/>
              <w:right w:val="nil"/>
            </w:tcBorders>
            <w:shd w:val="clear" w:color="auto" w:fill="auto"/>
            <w:noWrap/>
            <w:vAlign w:val="center"/>
            <w:hideMark/>
          </w:tcPr>
          <w:p w:rsidR="00455DEE" w:rsidRPr="000A35EF" w:rsidRDefault="00455DEE" w:rsidP="00FA5866">
            <w:pPr>
              <w:spacing w:after="0" w:line="240" w:lineRule="auto"/>
              <w:ind w:firstLine="0"/>
              <w:jc w:val="center"/>
              <w:rPr>
                <w:rFonts w:eastAsia="Times New Roman"/>
                <w:color w:val="000000"/>
                <w:sz w:val="20"/>
                <w:szCs w:val="20"/>
                <w:lang w:val="en-US"/>
              </w:rPr>
            </w:pPr>
            <w:r w:rsidRPr="000A35EF">
              <w:rPr>
                <w:rFonts w:eastAsia="Times New Roman"/>
                <w:color w:val="000000"/>
                <w:sz w:val="20"/>
                <w:szCs w:val="20"/>
                <w:lang w:val="en-US"/>
              </w:rPr>
              <w:t>-0.25</w:t>
            </w:r>
          </w:p>
        </w:tc>
      </w:tr>
      <w:tr w:rsidR="00455DEE" w:rsidRPr="000A35EF" w:rsidTr="00455DEE">
        <w:trPr>
          <w:trHeight w:val="300"/>
          <w:jc w:val="center"/>
        </w:trPr>
        <w:tc>
          <w:tcPr>
            <w:tcW w:w="451" w:type="pct"/>
            <w:tcBorders>
              <w:top w:val="nil"/>
              <w:left w:val="nil"/>
              <w:bottom w:val="nil"/>
              <w:right w:val="nil"/>
            </w:tcBorders>
            <w:shd w:val="clear" w:color="auto" w:fill="auto"/>
            <w:noWrap/>
            <w:vAlign w:val="bottom"/>
            <w:hideMark/>
          </w:tcPr>
          <w:p w:rsidR="00455DEE" w:rsidRPr="00D06C2F" w:rsidRDefault="00455DEE" w:rsidP="00FA5866">
            <w:pPr>
              <w:spacing w:after="0" w:line="240" w:lineRule="auto"/>
              <w:jc w:val="center"/>
              <w:rPr>
                <w:rFonts w:eastAsia="Times New Roman"/>
                <w:color w:val="000000"/>
                <w:sz w:val="20"/>
                <w:szCs w:val="20"/>
              </w:rPr>
            </w:pPr>
            <m:oMathPara>
              <m:oMath>
                <m:r>
                  <w:rPr>
                    <w:rFonts w:ascii="Cambria Math" w:eastAsia="Times New Roman" w:hAnsi="Cambria Math"/>
                    <w:color w:val="000000"/>
                    <w:sz w:val="20"/>
                    <w:szCs w:val="20"/>
                  </w:rPr>
                  <m:t>∆</m:t>
                </m:r>
                <m:sSub>
                  <m:sSubPr>
                    <m:ctrlPr>
                      <w:rPr>
                        <w:rFonts w:ascii="Cambria Math" w:eastAsia="Times New Roman" w:hAnsi="Cambria Math"/>
                        <w:color w:val="000000"/>
                        <w:sz w:val="20"/>
                        <w:szCs w:val="20"/>
                      </w:rPr>
                    </m:ctrlPr>
                  </m:sSubPr>
                  <m:e>
                    <m:r>
                      <m:rPr>
                        <m:sty m:val="p"/>
                      </m:rPr>
                      <w:rPr>
                        <w:rFonts w:ascii="Cambria Math" w:eastAsia="Times New Roman" w:hAnsi="Cambria Math"/>
                        <w:color w:val="000000"/>
                        <w:sz w:val="20"/>
                        <w:szCs w:val="20"/>
                      </w:rPr>
                      <m:t>Π</m:t>
                    </m:r>
                    <m:ctrlPr>
                      <w:rPr>
                        <w:rFonts w:ascii="Cambria Math" w:eastAsia="Times New Roman" w:hAnsi="Cambria Math"/>
                        <w:i/>
                        <w:color w:val="000000"/>
                        <w:sz w:val="20"/>
                        <w:szCs w:val="20"/>
                      </w:rPr>
                    </m:ctrlPr>
                  </m:e>
                  <m:sub>
                    <m:r>
                      <w:rPr>
                        <w:rFonts w:ascii="Cambria Math" w:eastAsia="Times New Roman" w:hAnsi="Cambria Math"/>
                        <w:color w:val="000000"/>
                        <w:sz w:val="20"/>
                        <w:szCs w:val="20"/>
                      </w:rPr>
                      <m:t>t</m:t>
                    </m:r>
                    <m:r>
                      <w:rPr>
                        <w:rFonts w:ascii="Cambria Math" w:eastAsia="Times New Roman"/>
                        <w:color w:val="000000"/>
                        <w:sz w:val="20"/>
                        <w:szCs w:val="20"/>
                      </w:rPr>
                      <m:t>+3</m:t>
                    </m:r>
                    <m:ctrlPr>
                      <w:rPr>
                        <w:rFonts w:ascii="Cambria Math" w:eastAsia="Times New Roman" w:hAnsi="Cambria Math"/>
                        <w:i/>
                        <w:color w:val="000000"/>
                        <w:sz w:val="20"/>
                        <w:szCs w:val="20"/>
                      </w:rPr>
                    </m:ctrlPr>
                  </m:sub>
                </m:sSub>
              </m:oMath>
            </m:oMathPara>
          </w:p>
        </w:tc>
        <w:tc>
          <w:tcPr>
            <w:tcW w:w="545" w:type="pct"/>
            <w:tcBorders>
              <w:top w:val="nil"/>
              <w:left w:val="nil"/>
              <w:bottom w:val="nil"/>
              <w:right w:val="nil"/>
            </w:tcBorders>
            <w:shd w:val="clear" w:color="auto" w:fill="auto"/>
            <w:noWrap/>
            <w:vAlign w:val="center"/>
            <w:hideMark/>
          </w:tcPr>
          <w:p w:rsidR="00455DEE" w:rsidRPr="000A35EF" w:rsidRDefault="00455DEE" w:rsidP="00FA5866">
            <w:pPr>
              <w:spacing w:after="0" w:line="240" w:lineRule="auto"/>
              <w:ind w:firstLine="0"/>
              <w:jc w:val="center"/>
              <w:rPr>
                <w:rFonts w:eastAsia="Times New Roman"/>
                <w:color w:val="000000"/>
                <w:sz w:val="20"/>
                <w:szCs w:val="20"/>
                <w:lang w:val="en-US"/>
              </w:rPr>
            </w:pPr>
            <w:r w:rsidRPr="000A35EF">
              <w:rPr>
                <w:rFonts w:eastAsia="Times New Roman"/>
                <w:color w:val="000000"/>
                <w:sz w:val="20"/>
                <w:szCs w:val="20"/>
                <w:lang w:val="en-US"/>
              </w:rPr>
              <w:t>-0.06</w:t>
            </w:r>
          </w:p>
        </w:tc>
        <w:tc>
          <w:tcPr>
            <w:tcW w:w="545" w:type="pct"/>
            <w:tcBorders>
              <w:top w:val="nil"/>
              <w:left w:val="nil"/>
              <w:bottom w:val="nil"/>
              <w:right w:val="nil"/>
            </w:tcBorders>
            <w:shd w:val="clear" w:color="auto" w:fill="auto"/>
            <w:noWrap/>
            <w:vAlign w:val="center"/>
            <w:hideMark/>
          </w:tcPr>
          <w:p w:rsidR="00455DEE" w:rsidRPr="000A35EF" w:rsidRDefault="00455DEE" w:rsidP="00FA5866">
            <w:pPr>
              <w:spacing w:after="0" w:line="240" w:lineRule="auto"/>
              <w:ind w:firstLine="0"/>
              <w:jc w:val="center"/>
              <w:rPr>
                <w:rFonts w:eastAsia="Times New Roman"/>
                <w:b/>
                <w:bCs/>
                <w:color w:val="000000"/>
                <w:sz w:val="20"/>
                <w:szCs w:val="20"/>
                <w:lang w:val="en-US"/>
              </w:rPr>
            </w:pPr>
            <w:r w:rsidRPr="000A35EF">
              <w:rPr>
                <w:rFonts w:eastAsia="Times New Roman"/>
                <w:b/>
                <w:bCs/>
                <w:color w:val="000000"/>
                <w:sz w:val="20"/>
                <w:szCs w:val="20"/>
                <w:lang w:val="en-US"/>
              </w:rPr>
              <w:t>-0.12**</w:t>
            </w:r>
          </w:p>
        </w:tc>
        <w:tc>
          <w:tcPr>
            <w:tcW w:w="545" w:type="pct"/>
            <w:tcBorders>
              <w:top w:val="nil"/>
              <w:left w:val="nil"/>
              <w:bottom w:val="nil"/>
              <w:right w:val="nil"/>
            </w:tcBorders>
            <w:shd w:val="clear" w:color="auto" w:fill="auto"/>
            <w:noWrap/>
            <w:vAlign w:val="center"/>
            <w:hideMark/>
          </w:tcPr>
          <w:p w:rsidR="00455DEE" w:rsidRPr="000A35EF" w:rsidRDefault="00455DEE" w:rsidP="00FA5866">
            <w:pPr>
              <w:spacing w:after="0" w:line="240" w:lineRule="auto"/>
              <w:ind w:firstLine="0"/>
              <w:jc w:val="center"/>
              <w:rPr>
                <w:rFonts w:eastAsia="Times New Roman"/>
                <w:color w:val="000000"/>
                <w:sz w:val="20"/>
                <w:szCs w:val="20"/>
                <w:lang w:val="en-US"/>
              </w:rPr>
            </w:pPr>
            <w:r w:rsidRPr="000A35EF">
              <w:rPr>
                <w:rFonts w:eastAsia="Times New Roman"/>
                <w:color w:val="000000"/>
                <w:sz w:val="20"/>
                <w:szCs w:val="20"/>
                <w:lang w:val="en-US"/>
              </w:rPr>
              <w:t>0.05</w:t>
            </w:r>
          </w:p>
        </w:tc>
        <w:tc>
          <w:tcPr>
            <w:tcW w:w="545" w:type="pct"/>
            <w:tcBorders>
              <w:top w:val="nil"/>
              <w:left w:val="nil"/>
              <w:bottom w:val="nil"/>
              <w:right w:val="nil"/>
            </w:tcBorders>
            <w:shd w:val="clear" w:color="auto" w:fill="auto"/>
            <w:noWrap/>
            <w:vAlign w:val="center"/>
            <w:hideMark/>
          </w:tcPr>
          <w:p w:rsidR="00455DEE" w:rsidRPr="000A35EF" w:rsidRDefault="00455DEE" w:rsidP="00FA5866">
            <w:pPr>
              <w:spacing w:after="0" w:line="240" w:lineRule="auto"/>
              <w:ind w:firstLine="0"/>
              <w:jc w:val="center"/>
              <w:rPr>
                <w:rFonts w:eastAsia="Times New Roman"/>
                <w:color w:val="000000"/>
                <w:sz w:val="20"/>
                <w:szCs w:val="20"/>
                <w:lang w:val="en-US"/>
              </w:rPr>
            </w:pPr>
            <w:r w:rsidRPr="000A35EF">
              <w:rPr>
                <w:rFonts w:eastAsia="Times New Roman"/>
                <w:color w:val="000000"/>
                <w:sz w:val="20"/>
                <w:szCs w:val="20"/>
                <w:lang w:val="en-US"/>
              </w:rPr>
              <w:t>0.02</w:t>
            </w:r>
          </w:p>
        </w:tc>
        <w:tc>
          <w:tcPr>
            <w:tcW w:w="199" w:type="pct"/>
            <w:tcBorders>
              <w:top w:val="nil"/>
              <w:left w:val="nil"/>
              <w:bottom w:val="nil"/>
              <w:right w:val="nil"/>
            </w:tcBorders>
            <w:shd w:val="clear" w:color="auto" w:fill="auto"/>
            <w:noWrap/>
            <w:vAlign w:val="center"/>
            <w:hideMark/>
          </w:tcPr>
          <w:p w:rsidR="00455DEE" w:rsidRPr="000A35EF" w:rsidRDefault="00455DEE" w:rsidP="00FA5866">
            <w:pPr>
              <w:spacing w:after="0" w:line="240" w:lineRule="auto"/>
              <w:ind w:firstLine="0"/>
              <w:jc w:val="center"/>
              <w:rPr>
                <w:rFonts w:eastAsia="Times New Roman"/>
                <w:color w:val="000000"/>
                <w:sz w:val="20"/>
                <w:szCs w:val="20"/>
                <w:lang w:val="en-US"/>
              </w:rPr>
            </w:pPr>
          </w:p>
        </w:tc>
        <w:tc>
          <w:tcPr>
            <w:tcW w:w="540" w:type="pct"/>
            <w:tcBorders>
              <w:top w:val="nil"/>
              <w:left w:val="nil"/>
              <w:bottom w:val="nil"/>
              <w:right w:val="nil"/>
            </w:tcBorders>
            <w:shd w:val="clear" w:color="auto" w:fill="auto"/>
            <w:noWrap/>
            <w:vAlign w:val="center"/>
            <w:hideMark/>
          </w:tcPr>
          <w:p w:rsidR="00455DEE" w:rsidRPr="000A35EF" w:rsidRDefault="00455DEE" w:rsidP="00FA5866">
            <w:pPr>
              <w:spacing w:after="0" w:line="240" w:lineRule="auto"/>
              <w:ind w:firstLine="0"/>
              <w:jc w:val="center"/>
              <w:rPr>
                <w:rFonts w:eastAsia="Times New Roman"/>
                <w:color w:val="000000"/>
                <w:sz w:val="20"/>
                <w:szCs w:val="20"/>
                <w:lang w:val="en-US"/>
              </w:rPr>
            </w:pPr>
            <w:r w:rsidRPr="000A35EF">
              <w:rPr>
                <w:rFonts w:eastAsia="Times New Roman"/>
                <w:color w:val="000000"/>
                <w:sz w:val="20"/>
                <w:szCs w:val="20"/>
                <w:lang w:val="en-US"/>
              </w:rPr>
              <w:t>0.27</w:t>
            </w:r>
          </w:p>
        </w:tc>
        <w:tc>
          <w:tcPr>
            <w:tcW w:w="540" w:type="pct"/>
            <w:tcBorders>
              <w:top w:val="nil"/>
              <w:left w:val="nil"/>
              <w:bottom w:val="nil"/>
              <w:right w:val="nil"/>
            </w:tcBorders>
            <w:shd w:val="clear" w:color="auto" w:fill="auto"/>
            <w:noWrap/>
            <w:vAlign w:val="center"/>
            <w:hideMark/>
          </w:tcPr>
          <w:p w:rsidR="00455DEE" w:rsidRPr="000A35EF" w:rsidRDefault="00455DEE" w:rsidP="00FA5866">
            <w:pPr>
              <w:spacing w:after="0" w:line="240" w:lineRule="auto"/>
              <w:ind w:firstLine="0"/>
              <w:jc w:val="center"/>
              <w:rPr>
                <w:rFonts w:eastAsia="Times New Roman"/>
                <w:color w:val="000000"/>
                <w:sz w:val="20"/>
                <w:szCs w:val="20"/>
                <w:lang w:val="en-US"/>
              </w:rPr>
            </w:pPr>
            <w:r w:rsidRPr="000A35EF">
              <w:rPr>
                <w:rFonts w:eastAsia="Times New Roman"/>
                <w:color w:val="000000"/>
                <w:sz w:val="20"/>
                <w:szCs w:val="20"/>
                <w:lang w:val="en-US"/>
              </w:rPr>
              <w:t>0.13</w:t>
            </w:r>
          </w:p>
        </w:tc>
        <w:tc>
          <w:tcPr>
            <w:tcW w:w="545" w:type="pct"/>
            <w:tcBorders>
              <w:top w:val="nil"/>
              <w:left w:val="nil"/>
              <w:bottom w:val="nil"/>
              <w:right w:val="nil"/>
            </w:tcBorders>
            <w:shd w:val="clear" w:color="auto" w:fill="auto"/>
            <w:noWrap/>
            <w:vAlign w:val="center"/>
            <w:hideMark/>
          </w:tcPr>
          <w:p w:rsidR="00455DEE" w:rsidRPr="000A35EF" w:rsidRDefault="00455DEE" w:rsidP="00FA5866">
            <w:pPr>
              <w:spacing w:after="0" w:line="240" w:lineRule="auto"/>
              <w:ind w:firstLine="0"/>
              <w:jc w:val="center"/>
              <w:rPr>
                <w:rFonts w:eastAsia="Times New Roman"/>
                <w:color w:val="000000"/>
                <w:sz w:val="20"/>
                <w:szCs w:val="20"/>
                <w:lang w:val="en-US"/>
              </w:rPr>
            </w:pPr>
            <w:r w:rsidRPr="000A35EF">
              <w:rPr>
                <w:rFonts w:eastAsia="Times New Roman"/>
                <w:color w:val="000000"/>
                <w:sz w:val="20"/>
                <w:szCs w:val="20"/>
                <w:lang w:val="en-US"/>
              </w:rPr>
              <w:t>-0.02</w:t>
            </w:r>
          </w:p>
        </w:tc>
        <w:tc>
          <w:tcPr>
            <w:tcW w:w="545" w:type="pct"/>
            <w:tcBorders>
              <w:top w:val="nil"/>
              <w:left w:val="nil"/>
              <w:bottom w:val="nil"/>
              <w:right w:val="nil"/>
            </w:tcBorders>
            <w:shd w:val="clear" w:color="auto" w:fill="auto"/>
            <w:noWrap/>
            <w:vAlign w:val="center"/>
            <w:hideMark/>
          </w:tcPr>
          <w:p w:rsidR="00455DEE" w:rsidRPr="000A35EF" w:rsidRDefault="00455DEE" w:rsidP="00FA5866">
            <w:pPr>
              <w:spacing w:after="0" w:line="240" w:lineRule="auto"/>
              <w:ind w:firstLine="0"/>
              <w:jc w:val="center"/>
              <w:rPr>
                <w:rFonts w:eastAsia="Times New Roman"/>
                <w:color w:val="000000"/>
                <w:sz w:val="20"/>
                <w:szCs w:val="20"/>
                <w:lang w:val="en-US"/>
              </w:rPr>
            </w:pPr>
            <w:r w:rsidRPr="000A35EF">
              <w:rPr>
                <w:rFonts w:eastAsia="Times New Roman"/>
                <w:color w:val="000000"/>
                <w:sz w:val="20"/>
                <w:szCs w:val="20"/>
                <w:lang w:val="en-US"/>
              </w:rPr>
              <w:t>-0.31</w:t>
            </w:r>
          </w:p>
        </w:tc>
      </w:tr>
      <w:tr w:rsidR="00455DEE" w:rsidRPr="000A35EF" w:rsidTr="00455DEE">
        <w:trPr>
          <w:trHeight w:val="300"/>
          <w:jc w:val="center"/>
        </w:trPr>
        <w:tc>
          <w:tcPr>
            <w:tcW w:w="451" w:type="pct"/>
            <w:tcBorders>
              <w:top w:val="nil"/>
              <w:left w:val="nil"/>
              <w:bottom w:val="nil"/>
              <w:right w:val="nil"/>
            </w:tcBorders>
            <w:shd w:val="clear" w:color="auto" w:fill="auto"/>
            <w:noWrap/>
            <w:vAlign w:val="bottom"/>
            <w:hideMark/>
          </w:tcPr>
          <w:p w:rsidR="00455DEE" w:rsidRPr="00D06C2F" w:rsidRDefault="00455DEE" w:rsidP="00FA5866">
            <w:pPr>
              <w:spacing w:after="0" w:line="240" w:lineRule="auto"/>
              <w:jc w:val="center"/>
              <w:rPr>
                <w:rFonts w:eastAsia="Times New Roman"/>
                <w:color w:val="000000"/>
                <w:sz w:val="20"/>
                <w:szCs w:val="20"/>
              </w:rPr>
            </w:pPr>
            <m:oMathPara>
              <m:oMath>
                <m:r>
                  <w:rPr>
                    <w:rFonts w:ascii="Cambria Math" w:eastAsia="Times New Roman" w:hAnsi="Cambria Math"/>
                    <w:color w:val="000000"/>
                    <w:sz w:val="20"/>
                    <w:szCs w:val="20"/>
                  </w:rPr>
                  <m:t>∆</m:t>
                </m:r>
                <m:sSub>
                  <m:sSubPr>
                    <m:ctrlPr>
                      <w:rPr>
                        <w:rFonts w:ascii="Cambria Math" w:eastAsia="Times New Roman" w:hAnsi="Cambria Math"/>
                        <w:color w:val="000000"/>
                        <w:sz w:val="20"/>
                        <w:szCs w:val="20"/>
                      </w:rPr>
                    </m:ctrlPr>
                  </m:sSubPr>
                  <m:e>
                    <m:r>
                      <m:rPr>
                        <m:sty m:val="p"/>
                      </m:rPr>
                      <w:rPr>
                        <w:rFonts w:ascii="Cambria Math" w:eastAsia="Times New Roman" w:hAnsi="Cambria Math"/>
                        <w:color w:val="000000"/>
                        <w:sz w:val="20"/>
                        <w:szCs w:val="20"/>
                      </w:rPr>
                      <m:t>Π</m:t>
                    </m:r>
                    <m:ctrlPr>
                      <w:rPr>
                        <w:rFonts w:ascii="Cambria Math" w:eastAsia="Times New Roman" w:hAnsi="Cambria Math"/>
                        <w:i/>
                        <w:color w:val="000000"/>
                        <w:sz w:val="20"/>
                        <w:szCs w:val="20"/>
                      </w:rPr>
                    </m:ctrlPr>
                  </m:e>
                  <m:sub>
                    <m:r>
                      <w:rPr>
                        <w:rFonts w:ascii="Cambria Math" w:eastAsia="Times New Roman" w:hAnsi="Cambria Math"/>
                        <w:color w:val="000000"/>
                        <w:sz w:val="20"/>
                        <w:szCs w:val="20"/>
                      </w:rPr>
                      <m:t>t</m:t>
                    </m:r>
                    <m:r>
                      <w:rPr>
                        <w:rFonts w:ascii="Cambria Math" w:eastAsia="Times New Roman"/>
                        <w:color w:val="000000"/>
                        <w:sz w:val="20"/>
                        <w:szCs w:val="20"/>
                      </w:rPr>
                      <m:t>+4</m:t>
                    </m:r>
                    <m:ctrlPr>
                      <w:rPr>
                        <w:rFonts w:ascii="Cambria Math" w:eastAsia="Times New Roman" w:hAnsi="Cambria Math"/>
                        <w:i/>
                        <w:color w:val="000000"/>
                        <w:sz w:val="20"/>
                        <w:szCs w:val="20"/>
                      </w:rPr>
                    </m:ctrlPr>
                  </m:sub>
                </m:sSub>
              </m:oMath>
            </m:oMathPara>
          </w:p>
        </w:tc>
        <w:tc>
          <w:tcPr>
            <w:tcW w:w="545" w:type="pct"/>
            <w:tcBorders>
              <w:top w:val="nil"/>
              <w:left w:val="nil"/>
              <w:bottom w:val="nil"/>
              <w:right w:val="nil"/>
            </w:tcBorders>
            <w:shd w:val="clear" w:color="auto" w:fill="auto"/>
            <w:noWrap/>
            <w:vAlign w:val="center"/>
            <w:hideMark/>
          </w:tcPr>
          <w:p w:rsidR="00455DEE" w:rsidRPr="000A35EF" w:rsidRDefault="00455DEE" w:rsidP="00FA5866">
            <w:pPr>
              <w:spacing w:after="0" w:line="240" w:lineRule="auto"/>
              <w:ind w:firstLine="0"/>
              <w:jc w:val="center"/>
              <w:rPr>
                <w:rFonts w:eastAsia="Times New Roman"/>
                <w:color w:val="000000"/>
                <w:sz w:val="20"/>
                <w:szCs w:val="20"/>
                <w:lang w:val="en-US"/>
              </w:rPr>
            </w:pPr>
            <w:r w:rsidRPr="000A35EF">
              <w:rPr>
                <w:rFonts w:eastAsia="Times New Roman"/>
                <w:color w:val="000000"/>
                <w:sz w:val="20"/>
                <w:szCs w:val="20"/>
                <w:lang w:val="en-US"/>
              </w:rPr>
              <w:t>0.02</w:t>
            </w:r>
          </w:p>
        </w:tc>
        <w:tc>
          <w:tcPr>
            <w:tcW w:w="545" w:type="pct"/>
            <w:tcBorders>
              <w:top w:val="nil"/>
              <w:left w:val="nil"/>
              <w:bottom w:val="nil"/>
              <w:right w:val="nil"/>
            </w:tcBorders>
            <w:shd w:val="clear" w:color="auto" w:fill="auto"/>
            <w:noWrap/>
            <w:vAlign w:val="center"/>
            <w:hideMark/>
          </w:tcPr>
          <w:p w:rsidR="00455DEE" w:rsidRPr="000A35EF" w:rsidRDefault="00455DEE" w:rsidP="00FA5866">
            <w:pPr>
              <w:spacing w:after="0" w:line="240" w:lineRule="auto"/>
              <w:ind w:firstLine="0"/>
              <w:jc w:val="center"/>
              <w:rPr>
                <w:rFonts w:eastAsia="Times New Roman"/>
                <w:color w:val="000000"/>
                <w:sz w:val="20"/>
                <w:szCs w:val="20"/>
                <w:lang w:val="en-US"/>
              </w:rPr>
            </w:pPr>
            <w:r w:rsidRPr="000A35EF">
              <w:rPr>
                <w:rFonts w:eastAsia="Times New Roman"/>
                <w:color w:val="000000"/>
                <w:sz w:val="20"/>
                <w:szCs w:val="20"/>
                <w:lang w:val="en-US"/>
              </w:rPr>
              <w:t>-0.02</w:t>
            </w:r>
          </w:p>
        </w:tc>
        <w:tc>
          <w:tcPr>
            <w:tcW w:w="545" w:type="pct"/>
            <w:tcBorders>
              <w:top w:val="nil"/>
              <w:left w:val="nil"/>
              <w:bottom w:val="nil"/>
              <w:right w:val="nil"/>
            </w:tcBorders>
            <w:shd w:val="clear" w:color="auto" w:fill="auto"/>
            <w:noWrap/>
            <w:vAlign w:val="center"/>
            <w:hideMark/>
          </w:tcPr>
          <w:p w:rsidR="00455DEE" w:rsidRPr="000A35EF" w:rsidRDefault="00455DEE" w:rsidP="00FA5866">
            <w:pPr>
              <w:spacing w:after="0" w:line="240" w:lineRule="auto"/>
              <w:ind w:firstLine="0"/>
              <w:jc w:val="center"/>
              <w:rPr>
                <w:rFonts w:eastAsia="Times New Roman"/>
                <w:color w:val="000000"/>
                <w:sz w:val="20"/>
                <w:szCs w:val="20"/>
                <w:lang w:val="en-US"/>
              </w:rPr>
            </w:pPr>
            <w:r w:rsidRPr="000A35EF">
              <w:rPr>
                <w:rFonts w:eastAsia="Times New Roman"/>
                <w:color w:val="000000"/>
                <w:sz w:val="20"/>
                <w:szCs w:val="20"/>
                <w:lang w:val="en-US"/>
              </w:rPr>
              <w:t>0.08</w:t>
            </w:r>
          </w:p>
        </w:tc>
        <w:tc>
          <w:tcPr>
            <w:tcW w:w="545" w:type="pct"/>
            <w:tcBorders>
              <w:top w:val="nil"/>
              <w:left w:val="nil"/>
              <w:bottom w:val="nil"/>
              <w:right w:val="nil"/>
            </w:tcBorders>
            <w:shd w:val="clear" w:color="auto" w:fill="auto"/>
            <w:noWrap/>
            <w:vAlign w:val="center"/>
            <w:hideMark/>
          </w:tcPr>
          <w:p w:rsidR="00455DEE" w:rsidRPr="000A35EF" w:rsidRDefault="00455DEE" w:rsidP="00FA5866">
            <w:pPr>
              <w:spacing w:after="0" w:line="240" w:lineRule="auto"/>
              <w:ind w:firstLine="0"/>
              <w:jc w:val="center"/>
              <w:rPr>
                <w:rFonts w:eastAsia="Times New Roman"/>
                <w:color w:val="000000"/>
                <w:sz w:val="20"/>
                <w:szCs w:val="20"/>
                <w:lang w:val="en-US"/>
              </w:rPr>
            </w:pPr>
            <w:r w:rsidRPr="000A35EF">
              <w:rPr>
                <w:rFonts w:eastAsia="Times New Roman"/>
                <w:color w:val="000000"/>
                <w:sz w:val="20"/>
                <w:szCs w:val="20"/>
                <w:lang w:val="en-US"/>
              </w:rPr>
              <w:t>0.02</w:t>
            </w:r>
          </w:p>
        </w:tc>
        <w:tc>
          <w:tcPr>
            <w:tcW w:w="199" w:type="pct"/>
            <w:tcBorders>
              <w:top w:val="nil"/>
              <w:left w:val="nil"/>
              <w:bottom w:val="nil"/>
              <w:right w:val="nil"/>
            </w:tcBorders>
            <w:shd w:val="clear" w:color="auto" w:fill="auto"/>
            <w:noWrap/>
            <w:vAlign w:val="center"/>
            <w:hideMark/>
          </w:tcPr>
          <w:p w:rsidR="00455DEE" w:rsidRPr="000A35EF" w:rsidRDefault="00455DEE" w:rsidP="00FA5866">
            <w:pPr>
              <w:spacing w:after="0" w:line="240" w:lineRule="auto"/>
              <w:ind w:firstLine="0"/>
              <w:jc w:val="center"/>
              <w:rPr>
                <w:rFonts w:eastAsia="Times New Roman"/>
                <w:color w:val="000000"/>
                <w:sz w:val="20"/>
                <w:szCs w:val="20"/>
                <w:lang w:val="en-US"/>
              </w:rPr>
            </w:pPr>
          </w:p>
        </w:tc>
        <w:tc>
          <w:tcPr>
            <w:tcW w:w="540" w:type="pct"/>
            <w:tcBorders>
              <w:top w:val="nil"/>
              <w:left w:val="nil"/>
              <w:bottom w:val="nil"/>
              <w:right w:val="nil"/>
            </w:tcBorders>
            <w:shd w:val="clear" w:color="auto" w:fill="auto"/>
            <w:noWrap/>
            <w:vAlign w:val="center"/>
            <w:hideMark/>
          </w:tcPr>
          <w:p w:rsidR="00455DEE" w:rsidRPr="000A35EF" w:rsidRDefault="00455DEE" w:rsidP="00FA5866">
            <w:pPr>
              <w:spacing w:after="0" w:line="240" w:lineRule="auto"/>
              <w:ind w:firstLine="0"/>
              <w:jc w:val="center"/>
              <w:rPr>
                <w:rFonts w:eastAsia="Times New Roman"/>
                <w:color w:val="000000"/>
                <w:sz w:val="20"/>
                <w:szCs w:val="20"/>
                <w:lang w:val="en-US"/>
              </w:rPr>
            </w:pPr>
            <w:r w:rsidRPr="000A35EF">
              <w:rPr>
                <w:rFonts w:eastAsia="Times New Roman"/>
                <w:color w:val="000000"/>
                <w:sz w:val="20"/>
                <w:szCs w:val="20"/>
                <w:lang w:val="en-US"/>
              </w:rPr>
              <w:t>0.32</w:t>
            </w:r>
          </w:p>
        </w:tc>
        <w:tc>
          <w:tcPr>
            <w:tcW w:w="540" w:type="pct"/>
            <w:tcBorders>
              <w:top w:val="nil"/>
              <w:left w:val="nil"/>
              <w:bottom w:val="nil"/>
              <w:right w:val="nil"/>
            </w:tcBorders>
            <w:shd w:val="clear" w:color="auto" w:fill="auto"/>
            <w:noWrap/>
            <w:vAlign w:val="center"/>
            <w:hideMark/>
          </w:tcPr>
          <w:p w:rsidR="00455DEE" w:rsidRPr="000A35EF" w:rsidRDefault="00455DEE" w:rsidP="00FA5866">
            <w:pPr>
              <w:spacing w:after="0" w:line="240" w:lineRule="auto"/>
              <w:ind w:firstLine="0"/>
              <w:jc w:val="center"/>
              <w:rPr>
                <w:rFonts w:eastAsia="Times New Roman"/>
                <w:color w:val="000000"/>
                <w:sz w:val="20"/>
                <w:szCs w:val="20"/>
                <w:lang w:val="en-US"/>
              </w:rPr>
            </w:pPr>
            <w:r w:rsidRPr="000A35EF">
              <w:rPr>
                <w:rFonts w:eastAsia="Times New Roman"/>
                <w:color w:val="000000"/>
                <w:sz w:val="20"/>
                <w:szCs w:val="20"/>
                <w:lang w:val="en-US"/>
              </w:rPr>
              <w:t>0.11</w:t>
            </w:r>
          </w:p>
        </w:tc>
        <w:tc>
          <w:tcPr>
            <w:tcW w:w="545" w:type="pct"/>
            <w:tcBorders>
              <w:top w:val="nil"/>
              <w:left w:val="nil"/>
              <w:bottom w:val="nil"/>
              <w:right w:val="nil"/>
            </w:tcBorders>
            <w:shd w:val="clear" w:color="auto" w:fill="auto"/>
            <w:noWrap/>
            <w:vAlign w:val="center"/>
            <w:hideMark/>
          </w:tcPr>
          <w:p w:rsidR="00455DEE" w:rsidRPr="000A35EF" w:rsidRDefault="00455DEE" w:rsidP="00FA5866">
            <w:pPr>
              <w:spacing w:after="0" w:line="240" w:lineRule="auto"/>
              <w:ind w:firstLine="0"/>
              <w:jc w:val="center"/>
              <w:rPr>
                <w:rFonts w:eastAsia="Times New Roman"/>
                <w:color w:val="000000"/>
                <w:sz w:val="20"/>
                <w:szCs w:val="20"/>
                <w:lang w:val="en-US"/>
              </w:rPr>
            </w:pPr>
            <w:r w:rsidRPr="000A35EF">
              <w:rPr>
                <w:rFonts w:eastAsia="Times New Roman"/>
                <w:color w:val="000000"/>
                <w:sz w:val="20"/>
                <w:szCs w:val="20"/>
                <w:lang w:val="en-US"/>
              </w:rPr>
              <w:t>-0.06</w:t>
            </w:r>
          </w:p>
        </w:tc>
        <w:tc>
          <w:tcPr>
            <w:tcW w:w="545" w:type="pct"/>
            <w:tcBorders>
              <w:top w:val="nil"/>
              <w:left w:val="nil"/>
              <w:bottom w:val="nil"/>
              <w:right w:val="nil"/>
            </w:tcBorders>
            <w:shd w:val="clear" w:color="auto" w:fill="auto"/>
            <w:noWrap/>
            <w:vAlign w:val="center"/>
            <w:hideMark/>
          </w:tcPr>
          <w:p w:rsidR="00455DEE" w:rsidRPr="000A35EF" w:rsidRDefault="00455DEE" w:rsidP="00FA5866">
            <w:pPr>
              <w:spacing w:after="0" w:line="240" w:lineRule="auto"/>
              <w:ind w:firstLine="0"/>
              <w:jc w:val="center"/>
              <w:rPr>
                <w:rFonts w:eastAsia="Times New Roman"/>
                <w:b/>
                <w:bCs/>
                <w:color w:val="000000"/>
                <w:sz w:val="20"/>
                <w:szCs w:val="20"/>
                <w:lang w:val="en-US"/>
              </w:rPr>
            </w:pPr>
            <w:r w:rsidRPr="000A35EF">
              <w:rPr>
                <w:rFonts w:eastAsia="Times New Roman"/>
                <w:b/>
                <w:bCs/>
                <w:color w:val="000000"/>
                <w:sz w:val="20"/>
                <w:szCs w:val="20"/>
                <w:lang w:val="en-US"/>
              </w:rPr>
              <w:t>-0.48***</w:t>
            </w:r>
          </w:p>
        </w:tc>
      </w:tr>
      <w:tr w:rsidR="00455DEE" w:rsidRPr="000A35EF" w:rsidTr="00455DEE">
        <w:trPr>
          <w:trHeight w:val="300"/>
          <w:jc w:val="center"/>
        </w:trPr>
        <w:tc>
          <w:tcPr>
            <w:tcW w:w="451" w:type="pct"/>
            <w:tcBorders>
              <w:top w:val="nil"/>
              <w:left w:val="nil"/>
              <w:bottom w:val="nil"/>
              <w:right w:val="nil"/>
            </w:tcBorders>
            <w:shd w:val="clear" w:color="auto" w:fill="auto"/>
            <w:noWrap/>
            <w:vAlign w:val="bottom"/>
            <w:hideMark/>
          </w:tcPr>
          <w:p w:rsidR="00455DEE" w:rsidRPr="00D06C2F" w:rsidRDefault="00455DEE" w:rsidP="00FA5866">
            <w:pPr>
              <w:spacing w:after="0" w:line="240" w:lineRule="auto"/>
              <w:jc w:val="center"/>
              <w:rPr>
                <w:rFonts w:eastAsia="Times New Roman"/>
                <w:color w:val="000000"/>
                <w:sz w:val="20"/>
                <w:szCs w:val="20"/>
              </w:rPr>
            </w:pPr>
            <m:oMathPara>
              <m:oMath>
                <m:r>
                  <w:rPr>
                    <w:rFonts w:ascii="Cambria Math" w:eastAsia="Times New Roman" w:hAnsi="Cambria Math"/>
                    <w:color w:val="000000"/>
                    <w:sz w:val="20"/>
                    <w:szCs w:val="20"/>
                  </w:rPr>
                  <m:t>∆</m:t>
                </m:r>
                <m:sSub>
                  <m:sSubPr>
                    <m:ctrlPr>
                      <w:rPr>
                        <w:rFonts w:ascii="Cambria Math" w:eastAsia="Times New Roman" w:hAnsi="Cambria Math"/>
                        <w:color w:val="000000"/>
                        <w:sz w:val="20"/>
                        <w:szCs w:val="20"/>
                      </w:rPr>
                    </m:ctrlPr>
                  </m:sSubPr>
                  <m:e>
                    <m:r>
                      <m:rPr>
                        <m:sty m:val="p"/>
                      </m:rPr>
                      <w:rPr>
                        <w:rFonts w:ascii="Cambria Math" w:eastAsia="Times New Roman" w:hAnsi="Cambria Math"/>
                        <w:color w:val="000000"/>
                        <w:sz w:val="20"/>
                        <w:szCs w:val="20"/>
                      </w:rPr>
                      <m:t>Π</m:t>
                    </m:r>
                    <m:ctrlPr>
                      <w:rPr>
                        <w:rFonts w:ascii="Cambria Math" w:eastAsia="Times New Roman" w:hAnsi="Cambria Math"/>
                        <w:i/>
                        <w:color w:val="000000"/>
                        <w:sz w:val="20"/>
                        <w:szCs w:val="20"/>
                      </w:rPr>
                    </m:ctrlPr>
                  </m:e>
                  <m:sub>
                    <m:r>
                      <w:rPr>
                        <w:rFonts w:ascii="Cambria Math" w:eastAsia="Times New Roman" w:hAnsi="Cambria Math"/>
                        <w:color w:val="000000"/>
                        <w:sz w:val="20"/>
                        <w:szCs w:val="20"/>
                      </w:rPr>
                      <m:t>t</m:t>
                    </m:r>
                    <m:r>
                      <w:rPr>
                        <w:rFonts w:ascii="Cambria Math" w:eastAsia="Times New Roman"/>
                        <w:color w:val="000000"/>
                        <w:sz w:val="20"/>
                        <w:szCs w:val="20"/>
                      </w:rPr>
                      <m:t>+5</m:t>
                    </m:r>
                    <m:ctrlPr>
                      <w:rPr>
                        <w:rFonts w:ascii="Cambria Math" w:eastAsia="Times New Roman" w:hAnsi="Cambria Math"/>
                        <w:i/>
                        <w:color w:val="000000"/>
                        <w:sz w:val="20"/>
                        <w:szCs w:val="20"/>
                      </w:rPr>
                    </m:ctrlPr>
                  </m:sub>
                </m:sSub>
              </m:oMath>
            </m:oMathPara>
          </w:p>
        </w:tc>
        <w:tc>
          <w:tcPr>
            <w:tcW w:w="545" w:type="pct"/>
            <w:tcBorders>
              <w:top w:val="nil"/>
              <w:left w:val="nil"/>
              <w:bottom w:val="nil"/>
              <w:right w:val="nil"/>
            </w:tcBorders>
            <w:shd w:val="clear" w:color="auto" w:fill="auto"/>
            <w:noWrap/>
            <w:vAlign w:val="center"/>
            <w:hideMark/>
          </w:tcPr>
          <w:p w:rsidR="00455DEE" w:rsidRPr="000A35EF" w:rsidRDefault="00455DEE" w:rsidP="00FA5866">
            <w:pPr>
              <w:spacing w:after="0" w:line="240" w:lineRule="auto"/>
              <w:ind w:firstLine="0"/>
              <w:jc w:val="center"/>
              <w:rPr>
                <w:rFonts w:eastAsia="Times New Roman"/>
                <w:color w:val="000000"/>
                <w:sz w:val="20"/>
                <w:szCs w:val="20"/>
                <w:lang w:val="en-US"/>
              </w:rPr>
            </w:pPr>
            <w:r w:rsidRPr="000A35EF">
              <w:rPr>
                <w:rFonts w:eastAsia="Times New Roman"/>
                <w:color w:val="000000"/>
                <w:sz w:val="20"/>
                <w:szCs w:val="20"/>
                <w:lang w:val="en-US"/>
              </w:rPr>
              <w:t>-0.09</w:t>
            </w:r>
          </w:p>
        </w:tc>
        <w:tc>
          <w:tcPr>
            <w:tcW w:w="545" w:type="pct"/>
            <w:tcBorders>
              <w:top w:val="nil"/>
              <w:left w:val="nil"/>
              <w:bottom w:val="nil"/>
              <w:right w:val="nil"/>
            </w:tcBorders>
            <w:shd w:val="clear" w:color="auto" w:fill="auto"/>
            <w:noWrap/>
            <w:vAlign w:val="center"/>
            <w:hideMark/>
          </w:tcPr>
          <w:p w:rsidR="00455DEE" w:rsidRPr="000A35EF" w:rsidRDefault="00455DEE" w:rsidP="00FA5866">
            <w:pPr>
              <w:spacing w:after="0" w:line="240" w:lineRule="auto"/>
              <w:ind w:firstLine="0"/>
              <w:jc w:val="center"/>
              <w:rPr>
                <w:rFonts w:eastAsia="Times New Roman"/>
                <w:color w:val="000000"/>
                <w:sz w:val="20"/>
                <w:szCs w:val="20"/>
                <w:lang w:val="en-US"/>
              </w:rPr>
            </w:pPr>
            <w:r w:rsidRPr="000A35EF">
              <w:rPr>
                <w:rFonts w:eastAsia="Times New Roman"/>
                <w:color w:val="000000"/>
                <w:sz w:val="20"/>
                <w:szCs w:val="20"/>
                <w:lang w:val="en-US"/>
              </w:rPr>
              <w:t>-0.08</w:t>
            </w:r>
          </w:p>
        </w:tc>
        <w:tc>
          <w:tcPr>
            <w:tcW w:w="545" w:type="pct"/>
            <w:tcBorders>
              <w:top w:val="nil"/>
              <w:left w:val="nil"/>
              <w:bottom w:val="nil"/>
              <w:right w:val="nil"/>
            </w:tcBorders>
            <w:shd w:val="clear" w:color="auto" w:fill="auto"/>
            <w:noWrap/>
            <w:vAlign w:val="center"/>
            <w:hideMark/>
          </w:tcPr>
          <w:p w:rsidR="00455DEE" w:rsidRPr="000A35EF" w:rsidRDefault="00455DEE" w:rsidP="00FA5866">
            <w:pPr>
              <w:spacing w:after="0" w:line="240" w:lineRule="auto"/>
              <w:ind w:firstLine="0"/>
              <w:jc w:val="center"/>
              <w:rPr>
                <w:rFonts w:eastAsia="Times New Roman"/>
                <w:color w:val="000000"/>
                <w:sz w:val="20"/>
                <w:szCs w:val="20"/>
                <w:lang w:val="en-US"/>
              </w:rPr>
            </w:pPr>
            <w:r w:rsidRPr="000A35EF">
              <w:rPr>
                <w:rFonts w:eastAsia="Times New Roman"/>
                <w:color w:val="000000"/>
                <w:sz w:val="20"/>
                <w:szCs w:val="20"/>
                <w:lang w:val="en-US"/>
              </w:rPr>
              <w:t>0.09</w:t>
            </w:r>
          </w:p>
        </w:tc>
        <w:tc>
          <w:tcPr>
            <w:tcW w:w="545" w:type="pct"/>
            <w:tcBorders>
              <w:top w:val="nil"/>
              <w:left w:val="nil"/>
              <w:bottom w:val="nil"/>
              <w:right w:val="nil"/>
            </w:tcBorders>
            <w:shd w:val="clear" w:color="auto" w:fill="auto"/>
            <w:noWrap/>
            <w:vAlign w:val="center"/>
            <w:hideMark/>
          </w:tcPr>
          <w:p w:rsidR="00455DEE" w:rsidRPr="000A35EF" w:rsidRDefault="00455DEE" w:rsidP="00FA5866">
            <w:pPr>
              <w:spacing w:after="0" w:line="240" w:lineRule="auto"/>
              <w:ind w:firstLine="0"/>
              <w:jc w:val="center"/>
              <w:rPr>
                <w:rFonts w:eastAsia="Times New Roman"/>
                <w:color w:val="000000"/>
                <w:sz w:val="20"/>
                <w:szCs w:val="20"/>
                <w:lang w:val="en-US"/>
              </w:rPr>
            </w:pPr>
            <w:r w:rsidRPr="000A35EF">
              <w:rPr>
                <w:rFonts w:eastAsia="Times New Roman"/>
                <w:color w:val="000000"/>
                <w:sz w:val="20"/>
                <w:szCs w:val="20"/>
                <w:lang w:val="en-US"/>
              </w:rPr>
              <w:t>0.01</w:t>
            </w:r>
          </w:p>
        </w:tc>
        <w:tc>
          <w:tcPr>
            <w:tcW w:w="199" w:type="pct"/>
            <w:tcBorders>
              <w:top w:val="nil"/>
              <w:left w:val="nil"/>
              <w:bottom w:val="nil"/>
              <w:right w:val="nil"/>
            </w:tcBorders>
            <w:shd w:val="clear" w:color="auto" w:fill="auto"/>
            <w:noWrap/>
            <w:vAlign w:val="center"/>
            <w:hideMark/>
          </w:tcPr>
          <w:p w:rsidR="00455DEE" w:rsidRPr="000A35EF" w:rsidRDefault="00455DEE" w:rsidP="00FA5866">
            <w:pPr>
              <w:spacing w:after="0" w:line="240" w:lineRule="auto"/>
              <w:ind w:firstLine="0"/>
              <w:jc w:val="center"/>
              <w:rPr>
                <w:rFonts w:eastAsia="Times New Roman"/>
                <w:color w:val="000000"/>
                <w:sz w:val="20"/>
                <w:szCs w:val="20"/>
                <w:lang w:val="en-US"/>
              </w:rPr>
            </w:pPr>
          </w:p>
        </w:tc>
        <w:tc>
          <w:tcPr>
            <w:tcW w:w="540" w:type="pct"/>
            <w:tcBorders>
              <w:top w:val="nil"/>
              <w:left w:val="nil"/>
              <w:bottom w:val="nil"/>
              <w:right w:val="nil"/>
            </w:tcBorders>
            <w:shd w:val="clear" w:color="auto" w:fill="auto"/>
            <w:noWrap/>
            <w:vAlign w:val="center"/>
            <w:hideMark/>
          </w:tcPr>
          <w:p w:rsidR="00455DEE" w:rsidRPr="000A35EF" w:rsidRDefault="00455DEE" w:rsidP="00FA5866">
            <w:pPr>
              <w:spacing w:after="0" w:line="240" w:lineRule="auto"/>
              <w:ind w:firstLine="0"/>
              <w:jc w:val="center"/>
              <w:rPr>
                <w:rFonts w:eastAsia="Times New Roman"/>
                <w:color w:val="000000"/>
                <w:sz w:val="20"/>
                <w:szCs w:val="20"/>
                <w:lang w:val="en-US"/>
              </w:rPr>
            </w:pPr>
            <w:r w:rsidRPr="000A35EF">
              <w:rPr>
                <w:rFonts w:eastAsia="Times New Roman"/>
                <w:color w:val="000000"/>
                <w:sz w:val="20"/>
                <w:szCs w:val="20"/>
                <w:lang w:val="en-US"/>
              </w:rPr>
              <w:t>0.30</w:t>
            </w:r>
          </w:p>
        </w:tc>
        <w:tc>
          <w:tcPr>
            <w:tcW w:w="540" w:type="pct"/>
            <w:tcBorders>
              <w:top w:val="nil"/>
              <w:left w:val="nil"/>
              <w:bottom w:val="nil"/>
              <w:right w:val="nil"/>
            </w:tcBorders>
            <w:shd w:val="clear" w:color="auto" w:fill="auto"/>
            <w:noWrap/>
            <w:vAlign w:val="center"/>
            <w:hideMark/>
          </w:tcPr>
          <w:p w:rsidR="00455DEE" w:rsidRPr="000A35EF" w:rsidRDefault="00455DEE" w:rsidP="00FA5866">
            <w:pPr>
              <w:spacing w:after="0" w:line="240" w:lineRule="auto"/>
              <w:ind w:firstLine="0"/>
              <w:jc w:val="center"/>
              <w:rPr>
                <w:rFonts w:eastAsia="Times New Roman"/>
                <w:color w:val="000000"/>
                <w:sz w:val="20"/>
                <w:szCs w:val="20"/>
                <w:lang w:val="en-US"/>
              </w:rPr>
            </w:pPr>
            <w:r w:rsidRPr="000A35EF">
              <w:rPr>
                <w:rFonts w:eastAsia="Times New Roman"/>
                <w:color w:val="000000"/>
                <w:sz w:val="20"/>
                <w:szCs w:val="20"/>
                <w:lang w:val="en-US"/>
              </w:rPr>
              <w:t>0.15</w:t>
            </w:r>
          </w:p>
        </w:tc>
        <w:tc>
          <w:tcPr>
            <w:tcW w:w="545" w:type="pct"/>
            <w:tcBorders>
              <w:top w:val="nil"/>
              <w:left w:val="nil"/>
              <w:bottom w:val="nil"/>
              <w:right w:val="nil"/>
            </w:tcBorders>
            <w:shd w:val="clear" w:color="auto" w:fill="auto"/>
            <w:noWrap/>
            <w:vAlign w:val="center"/>
            <w:hideMark/>
          </w:tcPr>
          <w:p w:rsidR="00455DEE" w:rsidRPr="000A35EF" w:rsidRDefault="00455DEE" w:rsidP="00FA5866">
            <w:pPr>
              <w:spacing w:after="0" w:line="240" w:lineRule="auto"/>
              <w:ind w:firstLine="0"/>
              <w:jc w:val="center"/>
              <w:rPr>
                <w:rFonts w:eastAsia="Times New Roman"/>
                <w:color w:val="000000"/>
                <w:sz w:val="20"/>
                <w:szCs w:val="20"/>
                <w:lang w:val="en-US"/>
              </w:rPr>
            </w:pPr>
            <w:r w:rsidRPr="000A35EF">
              <w:rPr>
                <w:rFonts w:eastAsia="Times New Roman"/>
                <w:color w:val="000000"/>
                <w:sz w:val="20"/>
                <w:szCs w:val="20"/>
                <w:lang w:val="en-US"/>
              </w:rPr>
              <w:t>-0.04</w:t>
            </w:r>
          </w:p>
        </w:tc>
        <w:tc>
          <w:tcPr>
            <w:tcW w:w="545" w:type="pct"/>
            <w:tcBorders>
              <w:top w:val="nil"/>
              <w:left w:val="nil"/>
              <w:bottom w:val="nil"/>
              <w:right w:val="nil"/>
            </w:tcBorders>
            <w:shd w:val="clear" w:color="auto" w:fill="auto"/>
            <w:noWrap/>
            <w:vAlign w:val="center"/>
            <w:hideMark/>
          </w:tcPr>
          <w:p w:rsidR="00455DEE" w:rsidRPr="000A35EF" w:rsidRDefault="00455DEE" w:rsidP="00FA5866">
            <w:pPr>
              <w:spacing w:after="0" w:line="240" w:lineRule="auto"/>
              <w:ind w:firstLine="0"/>
              <w:jc w:val="center"/>
              <w:rPr>
                <w:rFonts w:eastAsia="Times New Roman"/>
                <w:color w:val="000000"/>
                <w:sz w:val="20"/>
                <w:szCs w:val="20"/>
                <w:lang w:val="en-US"/>
              </w:rPr>
            </w:pPr>
            <w:r w:rsidRPr="000A35EF">
              <w:rPr>
                <w:rFonts w:eastAsia="Times New Roman"/>
                <w:color w:val="000000"/>
                <w:sz w:val="20"/>
                <w:szCs w:val="20"/>
                <w:lang w:val="en-US"/>
              </w:rPr>
              <w:t>-0.38</w:t>
            </w:r>
          </w:p>
        </w:tc>
      </w:tr>
      <w:tr w:rsidR="00455DEE" w:rsidRPr="000A35EF" w:rsidTr="00455DEE">
        <w:trPr>
          <w:trHeight w:val="315"/>
          <w:jc w:val="center"/>
        </w:trPr>
        <w:tc>
          <w:tcPr>
            <w:tcW w:w="451" w:type="pct"/>
            <w:tcBorders>
              <w:top w:val="nil"/>
              <w:left w:val="nil"/>
              <w:bottom w:val="nil"/>
              <w:right w:val="nil"/>
            </w:tcBorders>
            <w:shd w:val="clear" w:color="auto" w:fill="auto"/>
            <w:noWrap/>
            <w:vAlign w:val="bottom"/>
            <w:hideMark/>
          </w:tcPr>
          <w:p w:rsidR="00455DEE" w:rsidRPr="00D06C2F" w:rsidRDefault="00455DEE" w:rsidP="00FA5866">
            <w:pPr>
              <w:spacing w:after="0" w:line="240" w:lineRule="auto"/>
              <w:jc w:val="center"/>
              <w:rPr>
                <w:rFonts w:eastAsia="Times New Roman"/>
                <w:color w:val="000000"/>
                <w:sz w:val="20"/>
                <w:szCs w:val="20"/>
              </w:rPr>
            </w:pPr>
            <m:oMathPara>
              <m:oMath>
                <m:r>
                  <w:rPr>
                    <w:rFonts w:ascii="Cambria Math" w:eastAsia="Times New Roman" w:hAnsi="Cambria Math"/>
                    <w:color w:val="000000"/>
                    <w:sz w:val="20"/>
                    <w:szCs w:val="20"/>
                  </w:rPr>
                  <m:t>∆</m:t>
                </m:r>
                <m:sSub>
                  <m:sSubPr>
                    <m:ctrlPr>
                      <w:rPr>
                        <w:rFonts w:ascii="Cambria Math" w:eastAsia="Times New Roman" w:hAnsi="Cambria Math"/>
                        <w:color w:val="000000"/>
                        <w:sz w:val="20"/>
                        <w:szCs w:val="20"/>
                      </w:rPr>
                    </m:ctrlPr>
                  </m:sSubPr>
                  <m:e>
                    <m:r>
                      <m:rPr>
                        <m:sty m:val="p"/>
                      </m:rPr>
                      <w:rPr>
                        <w:rFonts w:ascii="Cambria Math" w:eastAsia="Times New Roman" w:hAnsi="Cambria Math"/>
                        <w:color w:val="000000"/>
                        <w:sz w:val="20"/>
                        <w:szCs w:val="20"/>
                      </w:rPr>
                      <m:t>Π</m:t>
                    </m:r>
                    <m:ctrlPr>
                      <w:rPr>
                        <w:rFonts w:ascii="Cambria Math" w:eastAsia="Times New Roman" w:hAnsi="Cambria Math"/>
                        <w:i/>
                        <w:color w:val="000000"/>
                        <w:sz w:val="20"/>
                        <w:szCs w:val="20"/>
                      </w:rPr>
                    </m:ctrlPr>
                  </m:e>
                  <m:sub>
                    <m:r>
                      <w:rPr>
                        <w:rFonts w:ascii="Cambria Math" w:eastAsia="Times New Roman" w:hAnsi="Cambria Math"/>
                        <w:color w:val="000000"/>
                        <w:sz w:val="20"/>
                        <w:szCs w:val="20"/>
                      </w:rPr>
                      <m:t>t</m:t>
                    </m:r>
                    <m:r>
                      <w:rPr>
                        <w:rFonts w:ascii="Cambria Math" w:eastAsia="Times New Roman"/>
                        <w:color w:val="000000"/>
                        <w:sz w:val="20"/>
                        <w:szCs w:val="20"/>
                      </w:rPr>
                      <m:t>+6</m:t>
                    </m:r>
                    <m:ctrlPr>
                      <w:rPr>
                        <w:rFonts w:ascii="Cambria Math" w:eastAsia="Times New Roman" w:hAnsi="Cambria Math"/>
                        <w:i/>
                        <w:color w:val="000000"/>
                        <w:sz w:val="20"/>
                        <w:szCs w:val="20"/>
                      </w:rPr>
                    </m:ctrlPr>
                  </m:sub>
                </m:sSub>
              </m:oMath>
            </m:oMathPara>
          </w:p>
        </w:tc>
        <w:tc>
          <w:tcPr>
            <w:tcW w:w="545" w:type="pct"/>
            <w:tcBorders>
              <w:top w:val="nil"/>
              <w:left w:val="nil"/>
              <w:bottom w:val="nil"/>
              <w:right w:val="nil"/>
            </w:tcBorders>
            <w:shd w:val="clear" w:color="auto" w:fill="auto"/>
            <w:noWrap/>
            <w:vAlign w:val="center"/>
            <w:hideMark/>
          </w:tcPr>
          <w:p w:rsidR="00455DEE" w:rsidRPr="000A35EF" w:rsidRDefault="00455DEE" w:rsidP="00FA5866">
            <w:pPr>
              <w:spacing w:after="0" w:line="240" w:lineRule="auto"/>
              <w:ind w:firstLine="0"/>
              <w:jc w:val="center"/>
              <w:rPr>
                <w:rFonts w:eastAsia="Times New Roman"/>
                <w:color w:val="000000"/>
                <w:sz w:val="20"/>
                <w:szCs w:val="20"/>
                <w:lang w:val="en-US"/>
              </w:rPr>
            </w:pPr>
            <w:r w:rsidRPr="000A35EF">
              <w:rPr>
                <w:rFonts w:eastAsia="Times New Roman"/>
                <w:color w:val="000000"/>
                <w:sz w:val="20"/>
                <w:szCs w:val="20"/>
                <w:lang w:val="en-US"/>
              </w:rPr>
              <w:t>-0.08</w:t>
            </w:r>
          </w:p>
        </w:tc>
        <w:tc>
          <w:tcPr>
            <w:tcW w:w="545" w:type="pct"/>
            <w:tcBorders>
              <w:top w:val="nil"/>
              <w:left w:val="nil"/>
              <w:bottom w:val="nil"/>
              <w:right w:val="nil"/>
            </w:tcBorders>
            <w:shd w:val="clear" w:color="auto" w:fill="auto"/>
            <w:noWrap/>
            <w:vAlign w:val="center"/>
            <w:hideMark/>
          </w:tcPr>
          <w:p w:rsidR="00455DEE" w:rsidRPr="000A35EF" w:rsidRDefault="00455DEE" w:rsidP="00FA5866">
            <w:pPr>
              <w:spacing w:after="0" w:line="240" w:lineRule="auto"/>
              <w:ind w:firstLine="0"/>
              <w:jc w:val="center"/>
              <w:rPr>
                <w:rFonts w:eastAsia="Times New Roman"/>
                <w:color w:val="000000"/>
                <w:sz w:val="20"/>
                <w:szCs w:val="20"/>
                <w:lang w:val="en-US"/>
              </w:rPr>
            </w:pPr>
            <w:r w:rsidRPr="000A35EF">
              <w:rPr>
                <w:rFonts w:eastAsia="Times New Roman"/>
                <w:color w:val="000000"/>
                <w:sz w:val="20"/>
                <w:szCs w:val="20"/>
                <w:lang w:val="en-US"/>
              </w:rPr>
              <w:t>-0.11</w:t>
            </w:r>
          </w:p>
        </w:tc>
        <w:tc>
          <w:tcPr>
            <w:tcW w:w="545" w:type="pct"/>
            <w:tcBorders>
              <w:top w:val="nil"/>
              <w:left w:val="nil"/>
              <w:bottom w:val="nil"/>
              <w:right w:val="nil"/>
            </w:tcBorders>
            <w:shd w:val="clear" w:color="auto" w:fill="auto"/>
            <w:noWrap/>
            <w:vAlign w:val="center"/>
            <w:hideMark/>
          </w:tcPr>
          <w:p w:rsidR="00455DEE" w:rsidRPr="000A35EF" w:rsidRDefault="00455DEE" w:rsidP="00FA5866">
            <w:pPr>
              <w:spacing w:after="0" w:line="240" w:lineRule="auto"/>
              <w:ind w:firstLine="0"/>
              <w:jc w:val="center"/>
              <w:rPr>
                <w:rFonts w:eastAsia="Times New Roman"/>
                <w:color w:val="000000"/>
                <w:sz w:val="20"/>
                <w:szCs w:val="20"/>
                <w:lang w:val="en-US"/>
              </w:rPr>
            </w:pPr>
            <w:r w:rsidRPr="000A35EF">
              <w:rPr>
                <w:rFonts w:eastAsia="Times New Roman"/>
                <w:color w:val="000000"/>
                <w:sz w:val="20"/>
                <w:szCs w:val="20"/>
                <w:lang w:val="en-US"/>
              </w:rPr>
              <w:t>0.09</w:t>
            </w:r>
          </w:p>
        </w:tc>
        <w:tc>
          <w:tcPr>
            <w:tcW w:w="545" w:type="pct"/>
            <w:tcBorders>
              <w:top w:val="nil"/>
              <w:left w:val="nil"/>
              <w:bottom w:val="nil"/>
              <w:right w:val="nil"/>
            </w:tcBorders>
            <w:shd w:val="clear" w:color="auto" w:fill="auto"/>
            <w:noWrap/>
            <w:vAlign w:val="center"/>
            <w:hideMark/>
          </w:tcPr>
          <w:p w:rsidR="00455DEE" w:rsidRPr="000A35EF" w:rsidRDefault="00455DEE" w:rsidP="00FA5866">
            <w:pPr>
              <w:spacing w:after="0" w:line="240" w:lineRule="auto"/>
              <w:ind w:firstLine="0"/>
              <w:jc w:val="center"/>
              <w:rPr>
                <w:rFonts w:eastAsia="Times New Roman"/>
                <w:color w:val="000000"/>
                <w:sz w:val="20"/>
                <w:szCs w:val="20"/>
                <w:lang w:val="en-US"/>
              </w:rPr>
            </w:pPr>
            <w:r w:rsidRPr="000A35EF">
              <w:rPr>
                <w:rFonts w:eastAsia="Times New Roman"/>
                <w:color w:val="000000"/>
                <w:sz w:val="20"/>
                <w:szCs w:val="20"/>
                <w:lang w:val="en-US"/>
              </w:rPr>
              <w:t>0.04</w:t>
            </w:r>
          </w:p>
        </w:tc>
        <w:tc>
          <w:tcPr>
            <w:tcW w:w="199" w:type="pct"/>
            <w:tcBorders>
              <w:top w:val="nil"/>
              <w:left w:val="nil"/>
              <w:bottom w:val="nil"/>
              <w:right w:val="nil"/>
            </w:tcBorders>
            <w:shd w:val="clear" w:color="auto" w:fill="auto"/>
            <w:noWrap/>
            <w:vAlign w:val="center"/>
            <w:hideMark/>
          </w:tcPr>
          <w:p w:rsidR="00455DEE" w:rsidRPr="000A35EF" w:rsidRDefault="00455DEE" w:rsidP="00FA5866">
            <w:pPr>
              <w:spacing w:after="0" w:line="240" w:lineRule="auto"/>
              <w:ind w:firstLine="0"/>
              <w:jc w:val="center"/>
              <w:rPr>
                <w:rFonts w:eastAsia="Times New Roman"/>
                <w:color w:val="000000"/>
                <w:sz w:val="20"/>
                <w:szCs w:val="20"/>
                <w:lang w:val="en-US"/>
              </w:rPr>
            </w:pPr>
          </w:p>
        </w:tc>
        <w:tc>
          <w:tcPr>
            <w:tcW w:w="540" w:type="pct"/>
            <w:tcBorders>
              <w:top w:val="nil"/>
              <w:left w:val="nil"/>
              <w:bottom w:val="nil"/>
              <w:right w:val="nil"/>
            </w:tcBorders>
            <w:shd w:val="clear" w:color="auto" w:fill="auto"/>
            <w:noWrap/>
            <w:vAlign w:val="center"/>
            <w:hideMark/>
          </w:tcPr>
          <w:p w:rsidR="00455DEE" w:rsidRPr="000A35EF" w:rsidRDefault="00455DEE" w:rsidP="00FA5866">
            <w:pPr>
              <w:spacing w:after="0" w:line="240" w:lineRule="auto"/>
              <w:ind w:firstLine="0"/>
              <w:jc w:val="center"/>
              <w:rPr>
                <w:rFonts w:eastAsia="Times New Roman"/>
                <w:color w:val="000000"/>
                <w:sz w:val="20"/>
                <w:szCs w:val="20"/>
                <w:lang w:val="en-US"/>
              </w:rPr>
            </w:pPr>
            <w:r w:rsidRPr="000A35EF">
              <w:rPr>
                <w:rFonts w:eastAsia="Times New Roman"/>
                <w:color w:val="000000"/>
                <w:sz w:val="20"/>
                <w:szCs w:val="20"/>
                <w:lang w:val="en-US"/>
              </w:rPr>
              <w:t>0.12</w:t>
            </w:r>
          </w:p>
        </w:tc>
        <w:tc>
          <w:tcPr>
            <w:tcW w:w="540" w:type="pct"/>
            <w:tcBorders>
              <w:top w:val="nil"/>
              <w:left w:val="nil"/>
              <w:bottom w:val="nil"/>
              <w:right w:val="nil"/>
            </w:tcBorders>
            <w:shd w:val="clear" w:color="auto" w:fill="auto"/>
            <w:noWrap/>
            <w:vAlign w:val="center"/>
            <w:hideMark/>
          </w:tcPr>
          <w:p w:rsidR="00455DEE" w:rsidRPr="000A35EF" w:rsidRDefault="00455DEE" w:rsidP="00FA5866">
            <w:pPr>
              <w:spacing w:after="0" w:line="240" w:lineRule="auto"/>
              <w:ind w:firstLine="0"/>
              <w:jc w:val="center"/>
              <w:rPr>
                <w:rFonts w:eastAsia="Times New Roman"/>
                <w:color w:val="000000"/>
                <w:sz w:val="20"/>
                <w:szCs w:val="20"/>
                <w:lang w:val="en-US"/>
              </w:rPr>
            </w:pPr>
            <w:r w:rsidRPr="000A35EF">
              <w:rPr>
                <w:rFonts w:eastAsia="Times New Roman"/>
                <w:color w:val="000000"/>
                <w:sz w:val="20"/>
                <w:szCs w:val="20"/>
                <w:lang w:val="en-US"/>
              </w:rPr>
              <w:t>0.10</w:t>
            </w:r>
          </w:p>
        </w:tc>
        <w:tc>
          <w:tcPr>
            <w:tcW w:w="545" w:type="pct"/>
            <w:tcBorders>
              <w:top w:val="nil"/>
              <w:left w:val="nil"/>
              <w:bottom w:val="nil"/>
              <w:right w:val="nil"/>
            </w:tcBorders>
            <w:shd w:val="clear" w:color="auto" w:fill="auto"/>
            <w:noWrap/>
            <w:vAlign w:val="center"/>
            <w:hideMark/>
          </w:tcPr>
          <w:p w:rsidR="00455DEE" w:rsidRPr="000A35EF" w:rsidRDefault="00455DEE" w:rsidP="00FA5866">
            <w:pPr>
              <w:spacing w:after="0" w:line="240" w:lineRule="auto"/>
              <w:ind w:firstLine="0"/>
              <w:jc w:val="center"/>
              <w:rPr>
                <w:rFonts w:eastAsia="Times New Roman"/>
                <w:color w:val="000000"/>
                <w:sz w:val="20"/>
                <w:szCs w:val="20"/>
                <w:lang w:val="en-US"/>
              </w:rPr>
            </w:pPr>
            <w:r w:rsidRPr="000A35EF">
              <w:rPr>
                <w:rFonts w:eastAsia="Times New Roman"/>
                <w:color w:val="000000"/>
                <w:sz w:val="20"/>
                <w:szCs w:val="20"/>
                <w:lang w:val="en-US"/>
              </w:rPr>
              <w:t>0.02</w:t>
            </w:r>
          </w:p>
        </w:tc>
        <w:tc>
          <w:tcPr>
            <w:tcW w:w="545" w:type="pct"/>
            <w:tcBorders>
              <w:top w:val="nil"/>
              <w:left w:val="nil"/>
              <w:bottom w:val="nil"/>
              <w:right w:val="nil"/>
            </w:tcBorders>
            <w:shd w:val="clear" w:color="auto" w:fill="auto"/>
            <w:noWrap/>
            <w:vAlign w:val="center"/>
            <w:hideMark/>
          </w:tcPr>
          <w:p w:rsidR="00455DEE" w:rsidRPr="000A35EF" w:rsidRDefault="00455DEE" w:rsidP="00FA5866">
            <w:pPr>
              <w:spacing w:after="0" w:line="240" w:lineRule="auto"/>
              <w:ind w:firstLine="0"/>
              <w:jc w:val="center"/>
              <w:rPr>
                <w:rFonts w:eastAsia="Times New Roman"/>
                <w:color w:val="000000"/>
                <w:sz w:val="20"/>
                <w:szCs w:val="20"/>
                <w:lang w:val="en-US"/>
              </w:rPr>
            </w:pPr>
            <w:r w:rsidRPr="000A35EF">
              <w:rPr>
                <w:rFonts w:eastAsia="Times New Roman"/>
                <w:color w:val="000000"/>
                <w:sz w:val="20"/>
                <w:szCs w:val="20"/>
                <w:lang w:val="en-US"/>
              </w:rPr>
              <w:t>-0.08</w:t>
            </w:r>
          </w:p>
        </w:tc>
      </w:tr>
      <w:tr w:rsidR="00455DEE" w:rsidRPr="000A35EF" w:rsidTr="00455DEE">
        <w:trPr>
          <w:trHeight w:val="315"/>
          <w:jc w:val="center"/>
        </w:trPr>
        <w:tc>
          <w:tcPr>
            <w:tcW w:w="451" w:type="pct"/>
            <w:tcBorders>
              <w:top w:val="nil"/>
              <w:left w:val="nil"/>
              <w:bottom w:val="nil"/>
              <w:right w:val="nil"/>
            </w:tcBorders>
            <w:shd w:val="clear" w:color="auto" w:fill="auto"/>
            <w:noWrap/>
            <w:vAlign w:val="bottom"/>
            <w:hideMark/>
          </w:tcPr>
          <w:p w:rsidR="00455DEE" w:rsidRPr="00D06C2F" w:rsidRDefault="00455DEE" w:rsidP="00FA5866">
            <w:pPr>
              <w:spacing w:after="0" w:line="240" w:lineRule="auto"/>
              <w:jc w:val="center"/>
              <w:rPr>
                <w:rFonts w:eastAsia="Times New Roman"/>
                <w:color w:val="000000"/>
                <w:sz w:val="20"/>
                <w:szCs w:val="20"/>
              </w:rPr>
            </w:pPr>
            <m:oMathPara>
              <m:oMath>
                <m:r>
                  <w:rPr>
                    <w:rFonts w:ascii="Cambria Math" w:eastAsia="Times New Roman" w:hAnsi="Cambria Math"/>
                    <w:color w:val="000000"/>
                    <w:sz w:val="20"/>
                    <w:szCs w:val="20"/>
                  </w:rPr>
                  <m:t>∆</m:t>
                </m:r>
                <m:sSub>
                  <m:sSubPr>
                    <m:ctrlPr>
                      <w:rPr>
                        <w:rFonts w:ascii="Cambria Math" w:eastAsia="Times New Roman" w:hAnsi="Cambria Math"/>
                        <w:color w:val="000000"/>
                        <w:sz w:val="20"/>
                        <w:szCs w:val="20"/>
                      </w:rPr>
                    </m:ctrlPr>
                  </m:sSubPr>
                  <m:e>
                    <m:r>
                      <m:rPr>
                        <m:sty m:val="p"/>
                      </m:rPr>
                      <w:rPr>
                        <w:rFonts w:ascii="Cambria Math" w:eastAsia="Times New Roman" w:hAnsi="Cambria Math"/>
                        <w:color w:val="000000"/>
                        <w:sz w:val="20"/>
                        <w:szCs w:val="20"/>
                      </w:rPr>
                      <m:t>Π</m:t>
                    </m:r>
                    <m:ctrlPr>
                      <w:rPr>
                        <w:rFonts w:ascii="Cambria Math" w:eastAsia="Times New Roman" w:hAnsi="Cambria Math"/>
                        <w:i/>
                        <w:color w:val="000000"/>
                        <w:sz w:val="20"/>
                        <w:szCs w:val="20"/>
                      </w:rPr>
                    </m:ctrlPr>
                  </m:e>
                  <m:sub>
                    <m:r>
                      <w:rPr>
                        <w:rFonts w:ascii="Cambria Math" w:eastAsia="Times New Roman" w:hAnsi="Cambria Math"/>
                        <w:color w:val="000000"/>
                        <w:sz w:val="20"/>
                        <w:szCs w:val="20"/>
                      </w:rPr>
                      <m:t>t</m:t>
                    </m:r>
                    <m:r>
                      <w:rPr>
                        <w:rFonts w:ascii="Cambria Math" w:eastAsia="Times New Roman"/>
                        <w:color w:val="000000"/>
                        <w:sz w:val="20"/>
                        <w:szCs w:val="20"/>
                      </w:rPr>
                      <m:t>+7</m:t>
                    </m:r>
                    <m:ctrlPr>
                      <w:rPr>
                        <w:rFonts w:ascii="Cambria Math" w:eastAsia="Times New Roman" w:hAnsi="Cambria Math"/>
                        <w:i/>
                        <w:color w:val="000000"/>
                        <w:sz w:val="20"/>
                        <w:szCs w:val="20"/>
                      </w:rPr>
                    </m:ctrlPr>
                  </m:sub>
                </m:sSub>
              </m:oMath>
            </m:oMathPara>
          </w:p>
        </w:tc>
        <w:tc>
          <w:tcPr>
            <w:tcW w:w="545" w:type="pct"/>
            <w:tcBorders>
              <w:top w:val="nil"/>
              <w:left w:val="nil"/>
              <w:bottom w:val="nil"/>
              <w:right w:val="nil"/>
            </w:tcBorders>
            <w:shd w:val="clear" w:color="auto" w:fill="auto"/>
            <w:noWrap/>
            <w:vAlign w:val="center"/>
            <w:hideMark/>
          </w:tcPr>
          <w:p w:rsidR="00455DEE" w:rsidRPr="000A35EF" w:rsidRDefault="00455DEE" w:rsidP="00FA5866">
            <w:pPr>
              <w:spacing w:after="0" w:line="240" w:lineRule="auto"/>
              <w:ind w:firstLine="0"/>
              <w:jc w:val="center"/>
              <w:rPr>
                <w:rFonts w:eastAsia="Times New Roman"/>
                <w:color w:val="000000"/>
                <w:sz w:val="20"/>
                <w:szCs w:val="20"/>
                <w:lang w:val="en-US"/>
              </w:rPr>
            </w:pPr>
            <w:r w:rsidRPr="000A35EF">
              <w:rPr>
                <w:rFonts w:eastAsia="Times New Roman"/>
                <w:color w:val="000000"/>
                <w:sz w:val="20"/>
                <w:szCs w:val="20"/>
                <w:lang w:val="en-US"/>
              </w:rPr>
              <w:t>-0.08</w:t>
            </w:r>
          </w:p>
        </w:tc>
        <w:tc>
          <w:tcPr>
            <w:tcW w:w="545" w:type="pct"/>
            <w:tcBorders>
              <w:top w:val="nil"/>
              <w:left w:val="nil"/>
              <w:bottom w:val="nil"/>
              <w:right w:val="nil"/>
            </w:tcBorders>
            <w:shd w:val="clear" w:color="auto" w:fill="auto"/>
            <w:noWrap/>
            <w:vAlign w:val="center"/>
            <w:hideMark/>
          </w:tcPr>
          <w:p w:rsidR="00455DEE" w:rsidRPr="000A35EF" w:rsidRDefault="00455DEE" w:rsidP="00FA5866">
            <w:pPr>
              <w:spacing w:after="0" w:line="240" w:lineRule="auto"/>
              <w:ind w:firstLine="0"/>
              <w:jc w:val="center"/>
              <w:rPr>
                <w:rFonts w:eastAsia="Times New Roman"/>
                <w:color w:val="000000"/>
                <w:sz w:val="20"/>
                <w:szCs w:val="20"/>
                <w:lang w:val="en-US"/>
              </w:rPr>
            </w:pPr>
            <w:r w:rsidRPr="000A35EF">
              <w:rPr>
                <w:rFonts w:eastAsia="Times New Roman"/>
                <w:color w:val="000000"/>
                <w:sz w:val="20"/>
                <w:szCs w:val="20"/>
                <w:lang w:val="en-US"/>
              </w:rPr>
              <w:t>-0.08</w:t>
            </w:r>
          </w:p>
        </w:tc>
        <w:tc>
          <w:tcPr>
            <w:tcW w:w="545" w:type="pct"/>
            <w:tcBorders>
              <w:top w:val="nil"/>
              <w:left w:val="nil"/>
              <w:bottom w:val="nil"/>
              <w:right w:val="nil"/>
            </w:tcBorders>
            <w:shd w:val="clear" w:color="auto" w:fill="auto"/>
            <w:noWrap/>
            <w:vAlign w:val="center"/>
            <w:hideMark/>
          </w:tcPr>
          <w:p w:rsidR="00455DEE" w:rsidRPr="000A35EF" w:rsidRDefault="00455DEE" w:rsidP="00FA5866">
            <w:pPr>
              <w:spacing w:after="0" w:line="240" w:lineRule="auto"/>
              <w:ind w:firstLine="0"/>
              <w:jc w:val="center"/>
              <w:rPr>
                <w:rFonts w:eastAsia="Times New Roman"/>
                <w:b/>
                <w:bCs/>
                <w:color w:val="000000"/>
                <w:sz w:val="20"/>
                <w:szCs w:val="20"/>
                <w:lang w:val="en-US"/>
              </w:rPr>
            </w:pPr>
            <w:r w:rsidRPr="000A35EF">
              <w:rPr>
                <w:rFonts w:eastAsia="Times New Roman"/>
                <w:b/>
                <w:bCs/>
                <w:color w:val="000000"/>
                <w:sz w:val="20"/>
                <w:szCs w:val="20"/>
                <w:lang w:val="en-US"/>
              </w:rPr>
              <w:t>0.14**</w:t>
            </w:r>
          </w:p>
        </w:tc>
        <w:tc>
          <w:tcPr>
            <w:tcW w:w="545" w:type="pct"/>
            <w:tcBorders>
              <w:top w:val="nil"/>
              <w:left w:val="nil"/>
              <w:bottom w:val="nil"/>
              <w:right w:val="nil"/>
            </w:tcBorders>
            <w:shd w:val="clear" w:color="auto" w:fill="auto"/>
            <w:noWrap/>
            <w:vAlign w:val="center"/>
            <w:hideMark/>
          </w:tcPr>
          <w:p w:rsidR="00455DEE" w:rsidRPr="000A35EF" w:rsidRDefault="00455DEE" w:rsidP="00FA5866">
            <w:pPr>
              <w:spacing w:after="0" w:line="240" w:lineRule="auto"/>
              <w:ind w:firstLine="0"/>
              <w:jc w:val="center"/>
              <w:rPr>
                <w:rFonts w:eastAsia="Times New Roman"/>
                <w:color w:val="000000"/>
                <w:sz w:val="20"/>
                <w:szCs w:val="20"/>
                <w:lang w:val="en-US"/>
              </w:rPr>
            </w:pPr>
            <w:r w:rsidRPr="000A35EF">
              <w:rPr>
                <w:rFonts w:eastAsia="Times New Roman"/>
                <w:color w:val="000000"/>
                <w:sz w:val="20"/>
                <w:szCs w:val="20"/>
                <w:lang w:val="en-US"/>
              </w:rPr>
              <w:t>0.03</w:t>
            </w:r>
          </w:p>
        </w:tc>
        <w:tc>
          <w:tcPr>
            <w:tcW w:w="199" w:type="pct"/>
            <w:tcBorders>
              <w:top w:val="nil"/>
              <w:left w:val="nil"/>
              <w:bottom w:val="nil"/>
              <w:right w:val="nil"/>
            </w:tcBorders>
            <w:shd w:val="clear" w:color="auto" w:fill="auto"/>
            <w:noWrap/>
            <w:vAlign w:val="center"/>
            <w:hideMark/>
          </w:tcPr>
          <w:p w:rsidR="00455DEE" w:rsidRPr="000A35EF" w:rsidRDefault="00455DEE" w:rsidP="00FA5866">
            <w:pPr>
              <w:spacing w:after="0" w:line="240" w:lineRule="auto"/>
              <w:ind w:firstLine="0"/>
              <w:jc w:val="center"/>
              <w:rPr>
                <w:rFonts w:eastAsia="Times New Roman"/>
                <w:color w:val="000000"/>
                <w:sz w:val="20"/>
                <w:szCs w:val="20"/>
                <w:lang w:val="en-US"/>
              </w:rPr>
            </w:pPr>
          </w:p>
        </w:tc>
        <w:tc>
          <w:tcPr>
            <w:tcW w:w="540" w:type="pct"/>
            <w:tcBorders>
              <w:top w:val="nil"/>
              <w:left w:val="nil"/>
              <w:bottom w:val="nil"/>
              <w:right w:val="nil"/>
            </w:tcBorders>
            <w:shd w:val="clear" w:color="auto" w:fill="auto"/>
            <w:noWrap/>
            <w:vAlign w:val="center"/>
            <w:hideMark/>
          </w:tcPr>
          <w:p w:rsidR="00455DEE" w:rsidRPr="000A35EF" w:rsidRDefault="00455DEE" w:rsidP="00FA5866">
            <w:pPr>
              <w:spacing w:after="0" w:line="240" w:lineRule="auto"/>
              <w:ind w:firstLine="0"/>
              <w:jc w:val="center"/>
              <w:rPr>
                <w:rFonts w:eastAsia="Times New Roman"/>
                <w:color w:val="000000"/>
                <w:sz w:val="20"/>
                <w:szCs w:val="20"/>
                <w:lang w:val="en-US"/>
              </w:rPr>
            </w:pPr>
            <w:r w:rsidRPr="000A35EF">
              <w:rPr>
                <w:rFonts w:eastAsia="Times New Roman"/>
                <w:color w:val="000000"/>
                <w:sz w:val="20"/>
                <w:szCs w:val="20"/>
                <w:lang w:val="en-US"/>
              </w:rPr>
              <w:t>0.12</w:t>
            </w:r>
          </w:p>
        </w:tc>
        <w:tc>
          <w:tcPr>
            <w:tcW w:w="540" w:type="pct"/>
            <w:tcBorders>
              <w:top w:val="nil"/>
              <w:left w:val="nil"/>
              <w:bottom w:val="nil"/>
              <w:right w:val="nil"/>
            </w:tcBorders>
            <w:shd w:val="clear" w:color="auto" w:fill="auto"/>
            <w:noWrap/>
            <w:vAlign w:val="center"/>
            <w:hideMark/>
          </w:tcPr>
          <w:p w:rsidR="00455DEE" w:rsidRPr="000A35EF" w:rsidRDefault="00455DEE" w:rsidP="00FA5866">
            <w:pPr>
              <w:spacing w:after="0" w:line="240" w:lineRule="auto"/>
              <w:ind w:firstLine="0"/>
              <w:jc w:val="center"/>
              <w:rPr>
                <w:rFonts w:eastAsia="Times New Roman"/>
                <w:color w:val="000000"/>
                <w:sz w:val="20"/>
                <w:szCs w:val="20"/>
                <w:lang w:val="en-US"/>
              </w:rPr>
            </w:pPr>
            <w:r w:rsidRPr="000A35EF">
              <w:rPr>
                <w:rFonts w:eastAsia="Times New Roman"/>
                <w:color w:val="000000"/>
                <w:sz w:val="20"/>
                <w:szCs w:val="20"/>
                <w:lang w:val="en-US"/>
              </w:rPr>
              <w:t>0.09</w:t>
            </w:r>
          </w:p>
        </w:tc>
        <w:tc>
          <w:tcPr>
            <w:tcW w:w="545" w:type="pct"/>
            <w:tcBorders>
              <w:top w:val="nil"/>
              <w:left w:val="nil"/>
              <w:bottom w:val="nil"/>
              <w:right w:val="nil"/>
            </w:tcBorders>
            <w:shd w:val="clear" w:color="auto" w:fill="auto"/>
            <w:noWrap/>
            <w:vAlign w:val="center"/>
            <w:hideMark/>
          </w:tcPr>
          <w:p w:rsidR="00455DEE" w:rsidRPr="000A35EF" w:rsidRDefault="00455DEE" w:rsidP="00FA5866">
            <w:pPr>
              <w:spacing w:after="0" w:line="240" w:lineRule="auto"/>
              <w:ind w:firstLine="0"/>
              <w:jc w:val="center"/>
              <w:rPr>
                <w:rFonts w:eastAsia="Times New Roman"/>
                <w:color w:val="000000"/>
                <w:sz w:val="20"/>
                <w:szCs w:val="20"/>
                <w:lang w:val="en-US"/>
              </w:rPr>
            </w:pPr>
            <w:r w:rsidRPr="000A35EF">
              <w:rPr>
                <w:rFonts w:eastAsia="Times New Roman"/>
                <w:color w:val="000000"/>
                <w:sz w:val="20"/>
                <w:szCs w:val="20"/>
                <w:lang w:val="en-US"/>
              </w:rPr>
              <w:t>0.06</w:t>
            </w:r>
          </w:p>
        </w:tc>
        <w:tc>
          <w:tcPr>
            <w:tcW w:w="545" w:type="pct"/>
            <w:tcBorders>
              <w:top w:val="nil"/>
              <w:left w:val="nil"/>
              <w:bottom w:val="nil"/>
              <w:right w:val="nil"/>
            </w:tcBorders>
            <w:shd w:val="clear" w:color="auto" w:fill="auto"/>
            <w:noWrap/>
            <w:vAlign w:val="center"/>
            <w:hideMark/>
          </w:tcPr>
          <w:p w:rsidR="00455DEE" w:rsidRPr="000A35EF" w:rsidRDefault="00455DEE" w:rsidP="00FA5866">
            <w:pPr>
              <w:spacing w:after="0" w:line="240" w:lineRule="auto"/>
              <w:ind w:firstLine="0"/>
              <w:jc w:val="center"/>
              <w:rPr>
                <w:rFonts w:eastAsia="Times New Roman"/>
                <w:color w:val="000000"/>
                <w:sz w:val="20"/>
                <w:szCs w:val="20"/>
                <w:lang w:val="en-US"/>
              </w:rPr>
            </w:pPr>
            <w:r w:rsidRPr="000A35EF">
              <w:rPr>
                <w:rFonts w:eastAsia="Times New Roman"/>
                <w:color w:val="000000"/>
                <w:sz w:val="20"/>
                <w:szCs w:val="20"/>
                <w:lang w:val="en-US"/>
              </w:rPr>
              <w:t>-0.10</w:t>
            </w:r>
          </w:p>
        </w:tc>
      </w:tr>
      <w:tr w:rsidR="00455DEE" w:rsidRPr="000A35EF" w:rsidTr="00455DEE">
        <w:trPr>
          <w:trHeight w:val="300"/>
          <w:jc w:val="center"/>
        </w:trPr>
        <w:tc>
          <w:tcPr>
            <w:tcW w:w="451" w:type="pct"/>
            <w:tcBorders>
              <w:top w:val="nil"/>
              <w:left w:val="nil"/>
              <w:bottom w:val="nil"/>
              <w:right w:val="nil"/>
            </w:tcBorders>
            <w:shd w:val="clear" w:color="auto" w:fill="auto"/>
            <w:noWrap/>
            <w:vAlign w:val="bottom"/>
            <w:hideMark/>
          </w:tcPr>
          <w:p w:rsidR="00455DEE" w:rsidRPr="00D06C2F" w:rsidRDefault="00455DEE" w:rsidP="00FA5866">
            <w:pPr>
              <w:spacing w:after="0" w:line="240" w:lineRule="auto"/>
              <w:jc w:val="center"/>
              <w:rPr>
                <w:rFonts w:eastAsia="Times New Roman"/>
                <w:color w:val="000000"/>
                <w:sz w:val="20"/>
                <w:szCs w:val="20"/>
              </w:rPr>
            </w:pPr>
            <m:oMathPara>
              <m:oMath>
                <m:r>
                  <w:rPr>
                    <w:rFonts w:ascii="Cambria Math" w:eastAsia="Times New Roman" w:hAnsi="Cambria Math"/>
                    <w:color w:val="000000"/>
                    <w:sz w:val="20"/>
                    <w:szCs w:val="20"/>
                  </w:rPr>
                  <m:t>∆</m:t>
                </m:r>
                <m:sSub>
                  <m:sSubPr>
                    <m:ctrlPr>
                      <w:rPr>
                        <w:rFonts w:ascii="Cambria Math" w:eastAsia="Times New Roman" w:hAnsi="Cambria Math"/>
                        <w:color w:val="000000"/>
                        <w:sz w:val="20"/>
                        <w:szCs w:val="20"/>
                      </w:rPr>
                    </m:ctrlPr>
                  </m:sSubPr>
                  <m:e>
                    <m:r>
                      <m:rPr>
                        <m:sty m:val="p"/>
                      </m:rPr>
                      <w:rPr>
                        <w:rFonts w:ascii="Cambria Math" w:eastAsia="Times New Roman" w:hAnsi="Cambria Math"/>
                        <w:color w:val="000000"/>
                        <w:sz w:val="20"/>
                        <w:szCs w:val="20"/>
                      </w:rPr>
                      <m:t>Π</m:t>
                    </m:r>
                    <m:ctrlPr>
                      <w:rPr>
                        <w:rFonts w:ascii="Cambria Math" w:eastAsia="Times New Roman" w:hAnsi="Cambria Math"/>
                        <w:i/>
                        <w:color w:val="000000"/>
                        <w:sz w:val="20"/>
                        <w:szCs w:val="20"/>
                      </w:rPr>
                    </m:ctrlPr>
                  </m:e>
                  <m:sub>
                    <m:r>
                      <w:rPr>
                        <w:rFonts w:ascii="Cambria Math" w:eastAsia="Times New Roman" w:hAnsi="Cambria Math"/>
                        <w:color w:val="000000"/>
                        <w:sz w:val="20"/>
                        <w:szCs w:val="20"/>
                      </w:rPr>
                      <m:t>t</m:t>
                    </m:r>
                    <m:r>
                      <w:rPr>
                        <w:rFonts w:ascii="Cambria Math" w:eastAsia="Times New Roman"/>
                        <w:color w:val="000000"/>
                        <w:sz w:val="20"/>
                        <w:szCs w:val="20"/>
                      </w:rPr>
                      <m:t>+8</m:t>
                    </m:r>
                    <m:ctrlPr>
                      <w:rPr>
                        <w:rFonts w:ascii="Cambria Math" w:eastAsia="Times New Roman" w:hAnsi="Cambria Math"/>
                        <w:i/>
                        <w:color w:val="000000"/>
                        <w:sz w:val="20"/>
                        <w:szCs w:val="20"/>
                      </w:rPr>
                    </m:ctrlPr>
                  </m:sub>
                </m:sSub>
              </m:oMath>
            </m:oMathPara>
          </w:p>
        </w:tc>
        <w:tc>
          <w:tcPr>
            <w:tcW w:w="545" w:type="pct"/>
            <w:tcBorders>
              <w:top w:val="nil"/>
              <w:left w:val="nil"/>
              <w:bottom w:val="nil"/>
              <w:right w:val="nil"/>
            </w:tcBorders>
            <w:shd w:val="clear" w:color="auto" w:fill="auto"/>
            <w:noWrap/>
            <w:vAlign w:val="center"/>
            <w:hideMark/>
          </w:tcPr>
          <w:p w:rsidR="00455DEE" w:rsidRPr="000A35EF" w:rsidRDefault="00455DEE" w:rsidP="00FA5866">
            <w:pPr>
              <w:spacing w:after="0" w:line="240" w:lineRule="auto"/>
              <w:ind w:firstLine="0"/>
              <w:jc w:val="center"/>
              <w:rPr>
                <w:rFonts w:eastAsia="Times New Roman"/>
                <w:color w:val="000000"/>
                <w:sz w:val="20"/>
                <w:szCs w:val="20"/>
                <w:lang w:val="en-US"/>
              </w:rPr>
            </w:pPr>
            <w:r w:rsidRPr="000A35EF">
              <w:rPr>
                <w:rFonts w:eastAsia="Times New Roman"/>
                <w:color w:val="000000"/>
                <w:sz w:val="20"/>
                <w:szCs w:val="20"/>
                <w:lang w:val="en-US"/>
              </w:rPr>
              <w:t>-0.08</w:t>
            </w:r>
          </w:p>
        </w:tc>
        <w:tc>
          <w:tcPr>
            <w:tcW w:w="545" w:type="pct"/>
            <w:tcBorders>
              <w:top w:val="nil"/>
              <w:left w:val="nil"/>
              <w:bottom w:val="nil"/>
              <w:right w:val="nil"/>
            </w:tcBorders>
            <w:shd w:val="clear" w:color="auto" w:fill="auto"/>
            <w:noWrap/>
            <w:vAlign w:val="center"/>
            <w:hideMark/>
          </w:tcPr>
          <w:p w:rsidR="00455DEE" w:rsidRPr="000A35EF" w:rsidRDefault="00455DEE" w:rsidP="00FA5866">
            <w:pPr>
              <w:spacing w:after="0" w:line="240" w:lineRule="auto"/>
              <w:ind w:firstLine="0"/>
              <w:jc w:val="center"/>
              <w:rPr>
                <w:rFonts w:eastAsia="Times New Roman"/>
                <w:color w:val="000000"/>
                <w:sz w:val="20"/>
                <w:szCs w:val="20"/>
                <w:lang w:val="en-US"/>
              </w:rPr>
            </w:pPr>
            <w:r w:rsidRPr="000A35EF">
              <w:rPr>
                <w:rFonts w:eastAsia="Times New Roman"/>
                <w:color w:val="000000"/>
                <w:sz w:val="20"/>
                <w:szCs w:val="20"/>
                <w:lang w:val="en-US"/>
              </w:rPr>
              <w:t>-0.10</w:t>
            </w:r>
          </w:p>
        </w:tc>
        <w:tc>
          <w:tcPr>
            <w:tcW w:w="545" w:type="pct"/>
            <w:tcBorders>
              <w:top w:val="nil"/>
              <w:left w:val="nil"/>
              <w:bottom w:val="nil"/>
              <w:right w:val="nil"/>
            </w:tcBorders>
            <w:shd w:val="clear" w:color="auto" w:fill="auto"/>
            <w:noWrap/>
            <w:vAlign w:val="center"/>
            <w:hideMark/>
          </w:tcPr>
          <w:p w:rsidR="00455DEE" w:rsidRPr="000A35EF" w:rsidRDefault="00455DEE" w:rsidP="00FA5866">
            <w:pPr>
              <w:spacing w:after="0" w:line="240" w:lineRule="auto"/>
              <w:ind w:firstLine="0"/>
              <w:jc w:val="center"/>
              <w:rPr>
                <w:rFonts w:eastAsia="Times New Roman"/>
                <w:b/>
                <w:bCs/>
                <w:color w:val="000000"/>
                <w:sz w:val="20"/>
                <w:szCs w:val="20"/>
                <w:lang w:val="en-US"/>
              </w:rPr>
            </w:pPr>
            <w:r w:rsidRPr="000A35EF">
              <w:rPr>
                <w:rFonts w:eastAsia="Times New Roman"/>
                <w:b/>
                <w:bCs/>
                <w:color w:val="000000"/>
                <w:sz w:val="20"/>
                <w:szCs w:val="20"/>
                <w:lang w:val="en-US"/>
              </w:rPr>
              <w:t>0.15**</w:t>
            </w:r>
          </w:p>
        </w:tc>
        <w:tc>
          <w:tcPr>
            <w:tcW w:w="545" w:type="pct"/>
            <w:tcBorders>
              <w:top w:val="nil"/>
              <w:left w:val="nil"/>
              <w:bottom w:val="nil"/>
              <w:right w:val="nil"/>
            </w:tcBorders>
            <w:shd w:val="clear" w:color="auto" w:fill="auto"/>
            <w:noWrap/>
            <w:vAlign w:val="center"/>
            <w:hideMark/>
          </w:tcPr>
          <w:p w:rsidR="00455DEE" w:rsidRPr="000A35EF" w:rsidRDefault="00455DEE" w:rsidP="00FA5866">
            <w:pPr>
              <w:spacing w:after="0" w:line="240" w:lineRule="auto"/>
              <w:ind w:firstLine="0"/>
              <w:jc w:val="center"/>
              <w:rPr>
                <w:rFonts w:eastAsia="Times New Roman"/>
                <w:color w:val="000000"/>
                <w:sz w:val="20"/>
                <w:szCs w:val="20"/>
                <w:lang w:val="en-US"/>
              </w:rPr>
            </w:pPr>
            <w:r w:rsidRPr="000A35EF">
              <w:rPr>
                <w:rFonts w:eastAsia="Times New Roman"/>
                <w:color w:val="000000"/>
                <w:sz w:val="20"/>
                <w:szCs w:val="20"/>
                <w:lang w:val="en-US"/>
              </w:rPr>
              <w:t>0.07</w:t>
            </w:r>
          </w:p>
        </w:tc>
        <w:tc>
          <w:tcPr>
            <w:tcW w:w="199" w:type="pct"/>
            <w:tcBorders>
              <w:top w:val="nil"/>
              <w:left w:val="nil"/>
              <w:bottom w:val="nil"/>
              <w:right w:val="nil"/>
            </w:tcBorders>
            <w:shd w:val="clear" w:color="auto" w:fill="auto"/>
            <w:noWrap/>
            <w:vAlign w:val="center"/>
            <w:hideMark/>
          </w:tcPr>
          <w:p w:rsidR="00455DEE" w:rsidRPr="000A35EF" w:rsidRDefault="00455DEE" w:rsidP="00FA5866">
            <w:pPr>
              <w:spacing w:after="0" w:line="240" w:lineRule="auto"/>
              <w:ind w:firstLine="0"/>
              <w:jc w:val="center"/>
              <w:rPr>
                <w:rFonts w:eastAsia="Times New Roman"/>
                <w:color w:val="000000"/>
                <w:sz w:val="20"/>
                <w:szCs w:val="20"/>
                <w:lang w:val="en-US"/>
              </w:rPr>
            </w:pPr>
          </w:p>
        </w:tc>
        <w:tc>
          <w:tcPr>
            <w:tcW w:w="540" w:type="pct"/>
            <w:tcBorders>
              <w:top w:val="nil"/>
              <w:left w:val="nil"/>
              <w:bottom w:val="nil"/>
              <w:right w:val="nil"/>
            </w:tcBorders>
            <w:shd w:val="clear" w:color="auto" w:fill="auto"/>
            <w:noWrap/>
            <w:vAlign w:val="center"/>
            <w:hideMark/>
          </w:tcPr>
          <w:p w:rsidR="00455DEE" w:rsidRPr="000A35EF" w:rsidRDefault="00455DEE" w:rsidP="00FA5866">
            <w:pPr>
              <w:spacing w:after="0" w:line="240" w:lineRule="auto"/>
              <w:ind w:firstLine="0"/>
              <w:jc w:val="center"/>
              <w:rPr>
                <w:rFonts w:eastAsia="Times New Roman"/>
                <w:color w:val="000000"/>
                <w:sz w:val="20"/>
                <w:szCs w:val="20"/>
                <w:lang w:val="en-US"/>
              </w:rPr>
            </w:pPr>
            <w:r w:rsidRPr="000A35EF">
              <w:rPr>
                <w:rFonts w:eastAsia="Times New Roman"/>
                <w:color w:val="000000"/>
                <w:sz w:val="20"/>
                <w:szCs w:val="20"/>
                <w:lang w:val="en-US"/>
              </w:rPr>
              <w:t>0.05</w:t>
            </w:r>
          </w:p>
        </w:tc>
        <w:tc>
          <w:tcPr>
            <w:tcW w:w="540" w:type="pct"/>
            <w:tcBorders>
              <w:top w:val="nil"/>
              <w:left w:val="nil"/>
              <w:bottom w:val="nil"/>
              <w:right w:val="nil"/>
            </w:tcBorders>
            <w:shd w:val="clear" w:color="auto" w:fill="auto"/>
            <w:noWrap/>
            <w:vAlign w:val="center"/>
            <w:hideMark/>
          </w:tcPr>
          <w:p w:rsidR="00455DEE" w:rsidRPr="000A35EF" w:rsidRDefault="00455DEE" w:rsidP="00FA5866">
            <w:pPr>
              <w:spacing w:after="0" w:line="240" w:lineRule="auto"/>
              <w:ind w:firstLine="0"/>
              <w:jc w:val="center"/>
              <w:rPr>
                <w:rFonts w:eastAsia="Times New Roman"/>
                <w:color w:val="000000"/>
                <w:sz w:val="20"/>
                <w:szCs w:val="20"/>
                <w:lang w:val="en-US"/>
              </w:rPr>
            </w:pPr>
            <w:r w:rsidRPr="000A35EF">
              <w:rPr>
                <w:rFonts w:eastAsia="Times New Roman"/>
                <w:color w:val="000000"/>
                <w:sz w:val="20"/>
                <w:szCs w:val="20"/>
                <w:lang w:val="en-US"/>
              </w:rPr>
              <w:t>0.11</w:t>
            </w:r>
          </w:p>
        </w:tc>
        <w:tc>
          <w:tcPr>
            <w:tcW w:w="545" w:type="pct"/>
            <w:tcBorders>
              <w:top w:val="nil"/>
              <w:left w:val="nil"/>
              <w:bottom w:val="nil"/>
              <w:right w:val="nil"/>
            </w:tcBorders>
            <w:shd w:val="clear" w:color="auto" w:fill="auto"/>
            <w:noWrap/>
            <w:vAlign w:val="center"/>
            <w:hideMark/>
          </w:tcPr>
          <w:p w:rsidR="00455DEE" w:rsidRPr="000A35EF" w:rsidRDefault="00455DEE" w:rsidP="00FA5866">
            <w:pPr>
              <w:spacing w:after="0" w:line="240" w:lineRule="auto"/>
              <w:ind w:firstLine="0"/>
              <w:jc w:val="center"/>
              <w:rPr>
                <w:rFonts w:eastAsia="Times New Roman"/>
                <w:color w:val="000000"/>
                <w:sz w:val="20"/>
                <w:szCs w:val="20"/>
                <w:lang w:val="en-US"/>
              </w:rPr>
            </w:pPr>
            <w:r w:rsidRPr="000A35EF">
              <w:rPr>
                <w:rFonts w:eastAsia="Times New Roman"/>
                <w:color w:val="000000"/>
                <w:sz w:val="20"/>
                <w:szCs w:val="20"/>
                <w:lang w:val="en-US"/>
              </w:rPr>
              <w:t>0.07</w:t>
            </w:r>
          </w:p>
        </w:tc>
        <w:tc>
          <w:tcPr>
            <w:tcW w:w="545" w:type="pct"/>
            <w:tcBorders>
              <w:top w:val="nil"/>
              <w:left w:val="nil"/>
              <w:bottom w:val="nil"/>
              <w:right w:val="nil"/>
            </w:tcBorders>
            <w:shd w:val="clear" w:color="auto" w:fill="auto"/>
            <w:noWrap/>
            <w:vAlign w:val="center"/>
            <w:hideMark/>
          </w:tcPr>
          <w:p w:rsidR="00455DEE" w:rsidRPr="000A35EF" w:rsidRDefault="00455DEE" w:rsidP="00FA5866">
            <w:pPr>
              <w:spacing w:after="0" w:line="240" w:lineRule="auto"/>
              <w:ind w:firstLine="0"/>
              <w:jc w:val="center"/>
              <w:rPr>
                <w:rFonts w:eastAsia="Times New Roman"/>
                <w:color w:val="000000"/>
                <w:sz w:val="20"/>
                <w:szCs w:val="20"/>
                <w:lang w:val="en-US"/>
              </w:rPr>
            </w:pPr>
            <w:r w:rsidRPr="000A35EF">
              <w:rPr>
                <w:rFonts w:eastAsia="Times New Roman"/>
                <w:color w:val="000000"/>
                <w:sz w:val="20"/>
                <w:szCs w:val="20"/>
                <w:lang w:val="en-US"/>
              </w:rPr>
              <w:t>0.06</w:t>
            </w:r>
          </w:p>
        </w:tc>
      </w:tr>
      <w:tr w:rsidR="00455DEE" w:rsidRPr="000A35EF" w:rsidTr="00455DEE">
        <w:trPr>
          <w:trHeight w:val="300"/>
          <w:jc w:val="center"/>
        </w:trPr>
        <w:tc>
          <w:tcPr>
            <w:tcW w:w="451" w:type="pct"/>
            <w:tcBorders>
              <w:top w:val="nil"/>
              <w:left w:val="nil"/>
              <w:bottom w:val="nil"/>
              <w:right w:val="nil"/>
            </w:tcBorders>
            <w:shd w:val="clear" w:color="auto" w:fill="auto"/>
            <w:noWrap/>
            <w:vAlign w:val="bottom"/>
            <w:hideMark/>
          </w:tcPr>
          <w:p w:rsidR="00455DEE" w:rsidRPr="00D06C2F" w:rsidRDefault="00455DEE" w:rsidP="00FA5866">
            <w:pPr>
              <w:spacing w:after="0" w:line="240" w:lineRule="auto"/>
              <w:jc w:val="center"/>
              <w:rPr>
                <w:rFonts w:eastAsia="Times New Roman"/>
                <w:color w:val="000000"/>
                <w:sz w:val="20"/>
                <w:szCs w:val="20"/>
              </w:rPr>
            </w:pPr>
            <m:oMathPara>
              <m:oMath>
                <m:r>
                  <w:rPr>
                    <w:rFonts w:ascii="Cambria Math" w:eastAsia="Times New Roman" w:hAnsi="Cambria Math"/>
                    <w:color w:val="000000"/>
                    <w:sz w:val="20"/>
                    <w:szCs w:val="20"/>
                  </w:rPr>
                  <m:t>∆</m:t>
                </m:r>
                <m:sSub>
                  <m:sSubPr>
                    <m:ctrlPr>
                      <w:rPr>
                        <w:rFonts w:ascii="Cambria Math" w:eastAsia="Times New Roman" w:hAnsi="Cambria Math"/>
                        <w:color w:val="000000"/>
                        <w:sz w:val="20"/>
                        <w:szCs w:val="20"/>
                      </w:rPr>
                    </m:ctrlPr>
                  </m:sSubPr>
                  <m:e>
                    <m:r>
                      <m:rPr>
                        <m:sty m:val="p"/>
                      </m:rPr>
                      <w:rPr>
                        <w:rFonts w:ascii="Cambria Math" w:eastAsia="Times New Roman" w:hAnsi="Cambria Math"/>
                        <w:color w:val="000000"/>
                        <w:sz w:val="20"/>
                        <w:szCs w:val="20"/>
                      </w:rPr>
                      <m:t>Π</m:t>
                    </m:r>
                    <m:ctrlPr>
                      <w:rPr>
                        <w:rFonts w:ascii="Cambria Math" w:eastAsia="Times New Roman" w:hAnsi="Cambria Math"/>
                        <w:i/>
                        <w:color w:val="000000"/>
                        <w:sz w:val="20"/>
                        <w:szCs w:val="20"/>
                      </w:rPr>
                    </m:ctrlPr>
                  </m:e>
                  <m:sub>
                    <m:r>
                      <w:rPr>
                        <w:rFonts w:ascii="Cambria Math" w:eastAsia="Times New Roman" w:hAnsi="Cambria Math"/>
                        <w:color w:val="000000"/>
                        <w:sz w:val="20"/>
                        <w:szCs w:val="20"/>
                      </w:rPr>
                      <m:t>t</m:t>
                    </m:r>
                    <m:r>
                      <w:rPr>
                        <w:rFonts w:ascii="Cambria Math" w:eastAsia="Times New Roman"/>
                        <w:color w:val="000000"/>
                        <w:sz w:val="20"/>
                        <w:szCs w:val="20"/>
                      </w:rPr>
                      <m:t>+9</m:t>
                    </m:r>
                    <m:ctrlPr>
                      <w:rPr>
                        <w:rFonts w:ascii="Cambria Math" w:eastAsia="Times New Roman" w:hAnsi="Cambria Math"/>
                        <w:i/>
                        <w:color w:val="000000"/>
                        <w:sz w:val="20"/>
                        <w:szCs w:val="20"/>
                      </w:rPr>
                    </m:ctrlPr>
                  </m:sub>
                </m:sSub>
              </m:oMath>
            </m:oMathPara>
          </w:p>
        </w:tc>
        <w:tc>
          <w:tcPr>
            <w:tcW w:w="545" w:type="pct"/>
            <w:tcBorders>
              <w:top w:val="nil"/>
              <w:left w:val="nil"/>
              <w:bottom w:val="nil"/>
              <w:right w:val="nil"/>
            </w:tcBorders>
            <w:shd w:val="clear" w:color="auto" w:fill="auto"/>
            <w:noWrap/>
            <w:vAlign w:val="center"/>
            <w:hideMark/>
          </w:tcPr>
          <w:p w:rsidR="00455DEE" w:rsidRPr="000A35EF" w:rsidRDefault="00455DEE" w:rsidP="00FA5866">
            <w:pPr>
              <w:spacing w:after="0" w:line="240" w:lineRule="auto"/>
              <w:ind w:firstLine="0"/>
              <w:jc w:val="center"/>
              <w:rPr>
                <w:rFonts w:eastAsia="Times New Roman"/>
                <w:color w:val="000000"/>
                <w:sz w:val="20"/>
                <w:szCs w:val="20"/>
                <w:lang w:val="en-US"/>
              </w:rPr>
            </w:pPr>
            <w:r w:rsidRPr="000A35EF">
              <w:rPr>
                <w:rFonts w:eastAsia="Times New Roman"/>
                <w:color w:val="000000"/>
                <w:sz w:val="20"/>
                <w:szCs w:val="20"/>
                <w:lang w:val="en-US"/>
              </w:rPr>
              <w:t>0.05</w:t>
            </w:r>
          </w:p>
        </w:tc>
        <w:tc>
          <w:tcPr>
            <w:tcW w:w="545" w:type="pct"/>
            <w:tcBorders>
              <w:top w:val="nil"/>
              <w:left w:val="nil"/>
              <w:bottom w:val="nil"/>
              <w:right w:val="nil"/>
            </w:tcBorders>
            <w:shd w:val="clear" w:color="auto" w:fill="auto"/>
            <w:noWrap/>
            <w:vAlign w:val="center"/>
            <w:hideMark/>
          </w:tcPr>
          <w:p w:rsidR="00455DEE" w:rsidRPr="000A35EF" w:rsidRDefault="00455DEE" w:rsidP="00FA5866">
            <w:pPr>
              <w:spacing w:after="0" w:line="240" w:lineRule="auto"/>
              <w:ind w:firstLine="0"/>
              <w:jc w:val="center"/>
              <w:rPr>
                <w:rFonts w:eastAsia="Times New Roman"/>
                <w:color w:val="000000"/>
                <w:sz w:val="20"/>
                <w:szCs w:val="20"/>
                <w:lang w:val="en-US"/>
              </w:rPr>
            </w:pPr>
            <w:r w:rsidRPr="000A35EF">
              <w:rPr>
                <w:rFonts w:eastAsia="Times New Roman"/>
                <w:color w:val="000000"/>
                <w:sz w:val="20"/>
                <w:szCs w:val="20"/>
                <w:lang w:val="en-US"/>
              </w:rPr>
              <w:t>0.07</w:t>
            </w:r>
          </w:p>
        </w:tc>
        <w:tc>
          <w:tcPr>
            <w:tcW w:w="545" w:type="pct"/>
            <w:tcBorders>
              <w:top w:val="nil"/>
              <w:left w:val="nil"/>
              <w:bottom w:val="nil"/>
              <w:right w:val="nil"/>
            </w:tcBorders>
            <w:shd w:val="clear" w:color="auto" w:fill="auto"/>
            <w:noWrap/>
            <w:vAlign w:val="center"/>
            <w:hideMark/>
          </w:tcPr>
          <w:p w:rsidR="00455DEE" w:rsidRPr="000A35EF" w:rsidRDefault="00455DEE" w:rsidP="00FA5866">
            <w:pPr>
              <w:spacing w:after="0" w:line="240" w:lineRule="auto"/>
              <w:ind w:firstLine="0"/>
              <w:jc w:val="center"/>
              <w:rPr>
                <w:rFonts w:eastAsia="Times New Roman"/>
                <w:color w:val="000000"/>
                <w:sz w:val="20"/>
                <w:szCs w:val="20"/>
                <w:lang w:val="en-US"/>
              </w:rPr>
            </w:pPr>
            <w:r w:rsidRPr="000A35EF">
              <w:rPr>
                <w:rFonts w:eastAsia="Times New Roman"/>
                <w:color w:val="000000"/>
                <w:sz w:val="20"/>
                <w:szCs w:val="20"/>
                <w:lang w:val="en-US"/>
              </w:rPr>
              <w:t>0.09</w:t>
            </w:r>
          </w:p>
        </w:tc>
        <w:tc>
          <w:tcPr>
            <w:tcW w:w="545" w:type="pct"/>
            <w:tcBorders>
              <w:top w:val="nil"/>
              <w:left w:val="nil"/>
              <w:bottom w:val="nil"/>
              <w:right w:val="nil"/>
            </w:tcBorders>
            <w:shd w:val="clear" w:color="auto" w:fill="auto"/>
            <w:noWrap/>
            <w:vAlign w:val="center"/>
            <w:hideMark/>
          </w:tcPr>
          <w:p w:rsidR="00455DEE" w:rsidRPr="000A35EF" w:rsidRDefault="00455DEE" w:rsidP="00FA5866">
            <w:pPr>
              <w:spacing w:after="0" w:line="240" w:lineRule="auto"/>
              <w:ind w:firstLine="0"/>
              <w:jc w:val="center"/>
              <w:rPr>
                <w:rFonts w:eastAsia="Times New Roman"/>
                <w:color w:val="000000"/>
                <w:sz w:val="20"/>
                <w:szCs w:val="20"/>
                <w:lang w:val="en-US"/>
              </w:rPr>
            </w:pPr>
            <w:r w:rsidRPr="000A35EF">
              <w:rPr>
                <w:rFonts w:eastAsia="Times New Roman"/>
                <w:color w:val="000000"/>
                <w:sz w:val="20"/>
                <w:szCs w:val="20"/>
                <w:lang w:val="en-US"/>
              </w:rPr>
              <w:t>0.03</w:t>
            </w:r>
          </w:p>
        </w:tc>
        <w:tc>
          <w:tcPr>
            <w:tcW w:w="199" w:type="pct"/>
            <w:tcBorders>
              <w:top w:val="nil"/>
              <w:left w:val="nil"/>
              <w:bottom w:val="nil"/>
              <w:right w:val="nil"/>
            </w:tcBorders>
            <w:shd w:val="clear" w:color="auto" w:fill="auto"/>
            <w:noWrap/>
            <w:vAlign w:val="center"/>
            <w:hideMark/>
          </w:tcPr>
          <w:p w:rsidR="00455DEE" w:rsidRPr="000A35EF" w:rsidRDefault="00455DEE" w:rsidP="00FA5866">
            <w:pPr>
              <w:spacing w:after="0" w:line="240" w:lineRule="auto"/>
              <w:ind w:firstLine="0"/>
              <w:jc w:val="center"/>
              <w:rPr>
                <w:rFonts w:eastAsia="Times New Roman"/>
                <w:color w:val="000000"/>
                <w:sz w:val="20"/>
                <w:szCs w:val="20"/>
                <w:lang w:val="en-US"/>
              </w:rPr>
            </w:pPr>
          </w:p>
        </w:tc>
        <w:tc>
          <w:tcPr>
            <w:tcW w:w="540" w:type="pct"/>
            <w:tcBorders>
              <w:top w:val="nil"/>
              <w:left w:val="nil"/>
              <w:bottom w:val="nil"/>
              <w:right w:val="nil"/>
            </w:tcBorders>
            <w:shd w:val="clear" w:color="auto" w:fill="auto"/>
            <w:noWrap/>
            <w:vAlign w:val="center"/>
            <w:hideMark/>
          </w:tcPr>
          <w:p w:rsidR="00455DEE" w:rsidRPr="000A35EF" w:rsidRDefault="00455DEE" w:rsidP="00FA5866">
            <w:pPr>
              <w:spacing w:after="0" w:line="240" w:lineRule="auto"/>
              <w:ind w:firstLine="0"/>
              <w:jc w:val="center"/>
              <w:rPr>
                <w:rFonts w:eastAsia="Times New Roman"/>
                <w:color w:val="000000"/>
                <w:sz w:val="20"/>
                <w:szCs w:val="20"/>
                <w:lang w:val="en-US"/>
              </w:rPr>
            </w:pPr>
            <w:r w:rsidRPr="000A35EF">
              <w:rPr>
                <w:rFonts w:eastAsia="Times New Roman"/>
                <w:color w:val="000000"/>
                <w:sz w:val="20"/>
                <w:szCs w:val="20"/>
                <w:lang w:val="en-US"/>
              </w:rPr>
              <w:t>0.20</w:t>
            </w:r>
          </w:p>
        </w:tc>
        <w:tc>
          <w:tcPr>
            <w:tcW w:w="540" w:type="pct"/>
            <w:tcBorders>
              <w:top w:val="nil"/>
              <w:left w:val="nil"/>
              <w:bottom w:val="nil"/>
              <w:right w:val="nil"/>
            </w:tcBorders>
            <w:shd w:val="clear" w:color="auto" w:fill="auto"/>
            <w:noWrap/>
            <w:vAlign w:val="center"/>
            <w:hideMark/>
          </w:tcPr>
          <w:p w:rsidR="00455DEE" w:rsidRPr="000A35EF" w:rsidRDefault="00455DEE" w:rsidP="00FA5866">
            <w:pPr>
              <w:spacing w:after="0" w:line="240" w:lineRule="auto"/>
              <w:ind w:firstLine="0"/>
              <w:jc w:val="center"/>
              <w:rPr>
                <w:rFonts w:eastAsia="Times New Roman"/>
                <w:color w:val="000000"/>
                <w:sz w:val="20"/>
                <w:szCs w:val="20"/>
                <w:lang w:val="en-US"/>
              </w:rPr>
            </w:pPr>
            <w:r w:rsidRPr="000A35EF">
              <w:rPr>
                <w:rFonts w:eastAsia="Times New Roman"/>
                <w:color w:val="000000"/>
                <w:sz w:val="20"/>
                <w:szCs w:val="20"/>
                <w:lang w:val="en-US"/>
              </w:rPr>
              <w:t>0.13</w:t>
            </w:r>
          </w:p>
        </w:tc>
        <w:tc>
          <w:tcPr>
            <w:tcW w:w="545" w:type="pct"/>
            <w:tcBorders>
              <w:top w:val="nil"/>
              <w:left w:val="nil"/>
              <w:bottom w:val="nil"/>
              <w:right w:val="nil"/>
            </w:tcBorders>
            <w:shd w:val="clear" w:color="auto" w:fill="auto"/>
            <w:noWrap/>
            <w:vAlign w:val="center"/>
            <w:hideMark/>
          </w:tcPr>
          <w:p w:rsidR="00455DEE" w:rsidRPr="000A35EF" w:rsidRDefault="00455DEE" w:rsidP="00FA5866">
            <w:pPr>
              <w:spacing w:after="0" w:line="240" w:lineRule="auto"/>
              <w:ind w:firstLine="0"/>
              <w:jc w:val="center"/>
              <w:rPr>
                <w:rFonts w:eastAsia="Times New Roman"/>
                <w:color w:val="000000"/>
                <w:sz w:val="20"/>
                <w:szCs w:val="20"/>
                <w:lang w:val="en-US"/>
              </w:rPr>
            </w:pPr>
            <w:r w:rsidRPr="000A35EF">
              <w:rPr>
                <w:rFonts w:eastAsia="Times New Roman"/>
                <w:color w:val="000000"/>
                <w:sz w:val="20"/>
                <w:szCs w:val="20"/>
                <w:lang w:val="en-US"/>
              </w:rPr>
              <w:t>0.01</w:t>
            </w:r>
          </w:p>
        </w:tc>
        <w:tc>
          <w:tcPr>
            <w:tcW w:w="545" w:type="pct"/>
            <w:tcBorders>
              <w:top w:val="nil"/>
              <w:left w:val="nil"/>
              <w:bottom w:val="nil"/>
              <w:right w:val="nil"/>
            </w:tcBorders>
            <w:shd w:val="clear" w:color="auto" w:fill="auto"/>
            <w:noWrap/>
            <w:vAlign w:val="center"/>
            <w:hideMark/>
          </w:tcPr>
          <w:p w:rsidR="00455DEE" w:rsidRPr="000A35EF" w:rsidRDefault="00455DEE" w:rsidP="00FA5866">
            <w:pPr>
              <w:spacing w:after="0" w:line="240" w:lineRule="auto"/>
              <w:ind w:firstLine="0"/>
              <w:jc w:val="center"/>
              <w:rPr>
                <w:rFonts w:eastAsia="Times New Roman"/>
                <w:color w:val="000000"/>
                <w:sz w:val="20"/>
                <w:szCs w:val="20"/>
                <w:lang w:val="en-US"/>
              </w:rPr>
            </w:pPr>
            <w:r w:rsidRPr="000A35EF">
              <w:rPr>
                <w:rFonts w:eastAsia="Times New Roman"/>
                <w:color w:val="000000"/>
                <w:sz w:val="20"/>
                <w:szCs w:val="20"/>
                <w:lang w:val="en-US"/>
              </w:rPr>
              <w:t>-0.21</w:t>
            </w:r>
          </w:p>
        </w:tc>
      </w:tr>
      <w:tr w:rsidR="00455DEE" w:rsidRPr="000A35EF" w:rsidTr="00455DEE">
        <w:trPr>
          <w:trHeight w:val="300"/>
          <w:jc w:val="center"/>
        </w:trPr>
        <w:tc>
          <w:tcPr>
            <w:tcW w:w="451" w:type="pct"/>
            <w:tcBorders>
              <w:top w:val="nil"/>
              <w:left w:val="nil"/>
              <w:bottom w:val="nil"/>
              <w:right w:val="nil"/>
            </w:tcBorders>
            <w:shd w:val="clear" w:color="auto" w:fill="auto"/>
            <w:noWrap/>
            <w:vAlign w:val="bottom"/>
            <w:hideMark/>
          </w:tcPr>
          <w:p w:rsidR="00455DEE" w:rsidRPr="00D06C2F" w:rsidRDefault="00455DEE" w:rsidP="00FA5866">
            <w:pPr>
              <w:spacing w:after="0" w:line="240" w:lineRule="auto"/>
              <w:jc w:val="center"/>
              <w:rPr>
                <w:rFonts w:eastAsia="Times New Roman"/>
                <w:color w:val="000000"/>
                <w:sz w:val="20"/>
                <w:szCs w:val="20"/>
              </w:rPr>
            </w:pPr>
            <m:oMathPara>
              <m:oMath>
                <m:r>
                  <w:rPr>
                    <w:rFonts w:ascii="Cambria Math" w:eastAsia="Times New Roman" w:hAnsi="Cambria Math"/>
                    <w:color w:val="000000"/>
                    <w:sz w:val="20"/>
                    <w:szCs w:val="20"/>
                  </w:rPr>
                  <m:t>∆</m:t>
                </m:r>
                <m:sSub>
                  <m:sSubPr>
                    <m:ctrlPr>
                      <w:rPr>
                        <w:rFonts w:ascii="Cambria Math" w:eastAsia="Times New Roman" w:hAnsi="Cambria Math"/>
                        <w:color w:val="000000"/>
                        <w:sz w:val="20"/>
                        <w:szCs w:val="20"/>
                      </w:rPr>
                    </m:ctrlPr>
                  </m:sSubPr>
                  <m:e>
                    <m:r>
                      <m:rPr>
                        <m:sty m:val="p"/>
                      </m:rPr>
                      <w:rPr>
                        <w:rFonts w:ascii="Cambria Math" w:eastAsia="Times New Roman" w:hAnsi="Cambria Math"/>
                        <w:color w:val="000000"/>
                        <w:sz w:val="20"/>
                        <w:szCs w:val="20"/>
                      </w:rPr>
                      <m:t>Π</m:t>
                    </m:r>
                    <m:ctrlPr>
                      <w:rPr>
                        <w:rFonts w:ascii="Cambria Math" w:eastAsia="Times New Roman" w:hAnsi="Cambria Math"/>
                        <w:i/>
                        <w:color w:val="000000"/>
                        <w:sz w:val="20"/>
                        <w:szCs w:val="20"/>
                      </w:rPr>
                    </m:ctrlPr>
                  </m:e>
                  <m:sub>
                    <m:r>
                      <w:rPr>
                        <w:rFonts w:ascii="Cambria Math" w:eastAsia="Times New Roman" w:hAnsi="Cambria Math"/>
                        <w:color w:val="000000"/>
                        <w:sz w:val="20"/>
                        <w:szCs w:val="20"/>
                      </w:rPr>
                      <m:t>t+</m:t>
                    </m:r>
                    <m:r>
                      <w:rPr>
                        <w:rFonts w:ascii="Cambria Math" w:eastAsia="Times New Roman"/>
                        <w:color w:val="000000"/>
                        <w:sz w:val="20"/>
                        <w:szCs w:val="20"/>
                      </w:rPr>
                      <m:t>10</m:t>
                    </m:r>
                    <m:ctrlPr>
                      <w:rPr>
                        <w:rFonts w:ascii="Cambria Math" w:eastAsia="Times New Roman" w:hAnsi="Cambria Math"/>
                        <w:i/>
                        <w:color w:val="000000"/>
                        <w:sz w:val="20"/>
                        <w:szCs w:val="20"/>
                      </w:rPr>
                    </m:ctrlPr>
                  </m:sub>
                </m:sSub>
              </m:oMath>
            </m:oMathPara>
          </w:p>
        </w:tc>
        <w:tc>
          <w:tcPr>
            <w:tcW w:w="545" w:type="pct"/>
            <w:tcBorders>
              <w:top w:val="nil"/>
              <w:left w:val="nil"/>
              <w:bottom w:val="nil"/>
              <w:right w:val="nil"/>
            </w:tcBorders>
            <w:shd w:val="clear" w:color="auto" w:fill="auto"/>
            <w:noWrap/>
            <w:vAlign w:val="center"/>
            <w:hideMark/>
          </w:tcPr>
          <w:p w:rsidR="00455DEE" w:rsidRPr="00522B4B" w:rsidRDefault="00455DEE" w:rsidP="00FA5866">
            <w:pPr>
              <w:spacing w:after="0" w:line="240" w:lineRule="auto"/>
              <w:ind w:firstLine="0"/>
              <w:jc w:val="center"/>
              <w:rPr>
                <w:rFonts w:eastAsia="Times New Roman"/>
                <w:b/>
                <w:bCs/>
                <w:color w:val="000000"/>
                <w:sz w:val="18"/>
                <w:szCs w:val="18"/>
                <w:lang w:val="en-US"/>
              </w:rPr>
            </w:pPr>
            <w:r w:rsidRPr="00522B4B">
              <w:rPr>
                <w:rFonts w:eastAsia="Times New Roman"/>
                <w:b/>
                <w:bCs/>
                <w:color w:val="000000"/>
                <w:sz w:val="18"/>
                <w:szCs w:val="18"/>
                <w:lang w:val="en-US"/>
              </w:rPr>
              <w:t>-0.25***</w:t>
            </w:r>
          </w:p>
        </w:tc>
        <w:tc>
          <w:tcPr>
            <w:tcW w:w="545" w:type="pct"/>
            <w:tcBorders>
              <w:top w:val="nil"/>
              <w:left w:val="nil"/>
              <w:bottom w:val="nil"/>
              <w:right w:val="nil"/>
            </w:tcBorders>
            <w:shd w:val="clear" w:color="auto" w:fill="auto"/>
            <w:noWrap/>
            <w:vAlign w:val="center"/>
            <w:hideMark/>
          </w:tcPr>
          <w:p w:rsidR="00455DEE" w:rsidRPr="00522B4B" w:rsidRDefault="00455DEE" w:rsidP="00FA5866">
            <w:pPr>
              <w:spacing w:after="0" w:line="240" w:lineRule="auto"/>
              <w:ind w:firstLine="0"/>
              <w:jc w:val="center"/>
              <w:rPr>
                <w:rFonts w:eastAsia="Times New Roman"/>
                <w:b/>
                <w:bCs/>
                <w:color w:val="000000"/>
                <w:sz w:val="18"/>
                <w:szCs w:val="18"/>
                <w:lang w:val="en-US"/>
              </w:rPr>
            </w:pPr>
            <w:r w:rsidRPr="00522B4B">
              <w:rPr>
                <w:rFonts w:eastAsia="Times New Roman"/>
                <w:b/>
                <w:bCs/>
                <w:color w:val="000000"/>
                <w:sz w:val="18"/>
                <w:szCs w:val="18"/>
                <w:lang w:val="en-US"/>
              </w:rPr>
              <w:t>-0.26***</w:t>
            </w:r>
          </w:p>
        </w:tc>
        <w:tc>
          <w:tcPr>
            <w:tcW w:w="545" w:type="pct"/>
            <w:tcBorders>
              <w:top w:val="nil"/>
              <w:left w:val="nil"/>
              <w:bottom w:val="nil"/>
              <w:right w:val="nil"/>
            </w:tcBorders>
            <w:shd w:val="clear" w:color="auto" w:fill="auto"/>
            <w:noWrap/>
            <w:vAlign w:val="center"/>
            <w:hideMark/>
          </w:tcPr>
          <w:p w:rsidR="00455DEE" w:rsidRPr="000A35EF" w:rsidRDefault="00455DEE" w:rsidP="00FA5866">
            <w:pPr>
              <w:spacing w:after="0" w:line="240" w:lineRule="auto"/>
              <w:ind w:firstLine="0"/>
              <w:jc w:val="center"/>
              <w:rPr>
                <w:rFonts w:eastAsia="Times New Roman"/>
                <w:b/>
                <w:bCs/>
                <w:color w:val="000000"/>
                <w:sz w:val="20"/>
                <w:szCs w:val="20"/>
                <w:lang w:val="en-US"/>
              </w:rPr>
            </w:pPr>
            <w:r w:rsidRPr="000A35EF">
              <w:rPr>
                <w:rFonts w:eastAsia="Times New Roman"/>
                <w:b/>
                <w:bCs/>
                <w:color w:val="000000"/>
                <w:sz w:val="20"/>
                <w:szCs w:val="20"/>
                <w:lang w:val="en-US"/>
              </w:rPr>
              <w:t>0.24***</w:t>
            </w:r>
          </w:p>
        </w:tc>
        <w:tc>
          <w:tcPr>
            <w:tcW w:w="545" w:type="pct"/>
            <w:tcBorders>
              <w:top w:val="nil"/>
              <w:left w:val="nil"/>
              <w:bottom w:val="nil"/>
              <w:right w:val="nil"/>
            </w:tcBorders>
            <w:shd w:val="clear" w:color="auto" w:fill="auto"/>
            <w:noWrap/>
            <w:vAlign w:val="center"/>
            <w:hideMark/>
          </w:tcPr>
          <w:p w:rsidR="00455DEE" w:rsidRPr="000A35EF" w:rsidRDefault="00455DEE" w:rsidP="00FA5866">
            <w:pPr>
              <w:spacing w:after="0" w:line="240" w:lineRule="auto"/>
              <w:ind w:firstLine="0"/>
              <w:jc w:val="center"/>
              <w:rPr>
                <w:rFonts w:eastAsia="Times New Roman"/>
                <w:color w:val="000000"/>
                <w:sz w:val="20"/>
                <w:szCs w:val="20"/>
                <w:lang w:val="en-US"/>
              </w:rPr>
            </w:pPr>
            <w:r w:rsidRPr="000A35EF">
              <w:rPr>
                <w:rFonts w:eastAsia="Times New Roman"/>
                <w:color w:val="000000"/>
                <w:sz w:val="20"/>
                <w:szCs w:val="20"/>
                <w:lang w:val="en-US"/>
              </w:rPr>
              <w:t>0.11</w:t>
            </w:r>
          </w:p>
        </w:tc>
        <w:tc>
          <w:tcPr>
            <w:tcW w:w="199" w:type="pct"/>
            <w:tcBorders>
              <w:top w:val="nil"/>
              <w:left w:val="nil"/>
              <w:bottom w:val="nil"/>
              <w:right w:val="nil"/>
            </w:tcBorders>
            <w:shd w:val="clear" w:color="auto" w:fill="auto"/>
            <w:noWrap/>
            <w:vAlign w:val="center"/>
            <w:hideMark/>
          </w:tcPr>
          <w:p w:rsidR="00455DEE" w:rsidRPr="000A35EF" w:rsidRDefault="00455DEE" w:rsidP="00FA5866">
            <w:pPr>
              <w:spacing w:after="0" w:line="240" w:lineRule="auto"/>
              <w:ind w:firstLine="0"/>
              <w:jc w:val="center"/>
              <w:rPr>
                <w:rFonts w:eastAsia="Times New Roman"/>
                <w:color w:val="000000"/>
                <w:sz w:val="20"/>
                <w:szCs w:val="20"/>
                <w:lang w:val="en-US"/>
              </w:rPr>
            </w:pPr>
          </w:p>
        </w:tc>
        <w:tc>
          <w:tcPr>
            <w:tcW w:w="540" w:type="pct"/>
            <w:tcBorders>
              <w:top w:val="nil"/>
              <w:left w:val="nil"/>
              <w:bottom w:val="nil"/>
              <w:right w:val="nil"/>
            </w:tcBorders>
            <w:shd w:val="clear" w:color="auto" w:fill="auto"/>
            <w:noWrap/>
            <w:vAlign w:val="center"/>
            <w:hideMark/>
          </w:tcPr>
          <w:p w:rsidR="00455DEE" w:rsidRPr="000A35EF" w:rsidRDefault="00455DEE" w:rsidP="00FA5866">
            <w:pPr>
              <w:spacing w:after="0" w:line="240" w:lineRule="auto"/>
              <w:ind w:firstLine="0"/>
              <w:jc w:val="center"/>
              <w:rPr>
                <w:rFonts w:eastAsia="Times New Roman"/>
                <w:color w:val="000000"/>
                <w:sz w:val="20"/>
                <w:szCs w:val="20"/>
                <w:lang w:val="en-US"/>
              </w:rPr>
            </w:pPr>
            <w:r w:rsidRPr="000A35EF">
              <w:rPr>
                <w:rFonts w:eastAsia="Times New Roman"/>
                <w:color w:val="000000"/>
                <w:sz w:val="20"/>
                <w:szCs w:val="20"/>
                <w:lang w:val="en-US"/>
              </w:rPr>
              <w:t>0.17</w:t>
            </w:r>
          </w:p>
        </w:tc>
        <w:tc>
          <w:tcPr>
            <w:tcW w:w="540" w:type="pct"/>
            <w:tcBorders>
              <w:top w:val="nil"/>
              <w:left w:val="nil"/>
              <w:bottom w:val="nil"/>
              <w:right w:val="nil"/>
            </w:tcBorders>
            <w:shd w:val="clear" w:color="auto" w:fill="auto"/>
            <w:noWrap/>
            <w:vAlign w:val="center"/>
            <w:hideMark/>
          </w:tcPr>
          <w:p w:rsidR="00455DEE" w:rsidRPr="000A35EF" w:rsidRDefault="00455DEE" w:rsidP="00FA5866">
            <w:pPr>
              <w:spacing w:after="0" w:line="240" w:lineRule="auto"/>
              <w:ind w:firstLine="0"/>
              <w:jc w:val="center"/>
              <w:rPr>
                <w:rFonts w:eastAsia="Times New Roman"/>
                <w:color w:val="000000"/>
                <w:sz w:val="20"/>
                <w:szCs w:val="20"/>
                <w:lang w:val="en-US"/>
              </w:rPr>
            </w:pPr>
            <w:r w:rsidRPr="000A35EF">
              <w:rPr>
                <w:rFonts w:eastAsia="Times New Roman"/>
                <w:color w:val="000000"/>
                <w:sz w:val="20"/>
                <w:szCs w:val="20"/>
                <w:lang w:val="en-US"/>
              </w:rPr>
              <w:t>0.11</w:t>
            </w:r>
          </w:p>
        </w:tc>
        <w:tc>
          <w:tcPr>
            <w:tcW w:w="545" w:type="pct"/>
            <w:tcBorders>
              <w:top w:val="nil"/>
              <w:left w:val="nil"/>
              <w:bottom w:val="nil"/>
              <w:right w:val="nil"/>
            </w:tcBorders>
            <w:shd w:val="clear" w:color="auto" w:fill="auto"/>
            <w:noWrap/>
            <w:vAlign w:val="center"/>
            <w:hideMark/>
          </w:tcPr>
          <w:p w:rsidR="00455DEE" w:rsidRPr="000A35EF" w:rsidRDefault="00455DEE" w:rsidP="00FA5866">
            <w:pPr>
              <w:spacing w:after="0" w:line="240" w:lineRule="auto"/>
              <w:ind w:firstLine="0"/>
              <w:jc w:val="center"/>
              <w:rPr>
                <w:rFonts w:eastAsia="Times New Roman"/>
                <w:color w:val="000000"/>
                <w:sz w:val="20"/>
                <w:szCs w:val="20"/>
                <w:lang w:val="en-US"/>
              </w:rPr>
            </w:pPr>
            <w:r w:rsidRPr="000A35EF">
              <w:rPr>
                <w:rFonts w:eastAsia="Times New Roman"/>
                <w:color w:val="000000"/>
                <w:sz w:val="20"/>
                <w:szCs w:val="20"/>
                <w:lang w:val="en-US"/>
              </w:rPr>
              <w:t>0.01</w:t>
            </w:r>
          </w:p>
        </w:tc>
        <w:tc>
          <w:tcPr>
            <w:tcW w:w="545" w:type="pct"/>
            <w:tcBorders>
              <w:top w:val="nil"/>
              <w:left w:val="nil"/>
              <w:bottom w:val="nil"/>
              <w:right w:val="nil"/>
            </w:tcBorders>
            <w:shd w:val="clear" w:color="auto" w:fill="auto"/>
            <w:noWrap/>
            <w:vAlign w:val="center"/>
            <w:hideMark/>
          </w:tcPr>
          <w:p w:rsidR="00455DEE" w:rsidRPr="000A35EF" w:rsidRDefault="00455DEE" w:rsidP="00FA5866">
            <w:pPr>
              <w:spacing w:after="0" w:line="240" w:lineRule="auto"/>
              <w:ind w:firstLine="0"/>
              <w:jc w:val="center"/>
              <w:rPr>
                <w:rFonts w:eastAsia="Times New Roman"/>
                <w:color w:val="000000"/>
                <w:sz w:val="20"/>
                <w:szCs w:val="20"/>
                <w:lang w:val="en-US"/>
              </w:rPr>
            </w:pPr>
            <w:r w:rsidRPr="000A35EF">
              <w:rPr>
                <w:rFonts w:eastAsia="Times New Roman"/>
                <w:color w:val="000000"/>
                <w:sz w:val="20"/>
                <w:szCs w:val="20"/>
                <w:lang w:val="en-US"/>
              </w:rPr>
              <w:t>-0.17</w:t>
            </w:r>
          </w:p>
        </w:tc>
      </w:tr>
      <w:tr w:rsidR="00455DEE" w:rsidRPr="000A35EF" w:rsidTr="00455DEE">
        <w:trPr>
          <w:trHeight w:val="300"/>
          <w:jc w:val="center"/>
        </w:trPr>
        <w:tc>
          <w:tcPr>
            <w:tcW w:w="451" w:type="pct"/>
            <w:tcBorders>
              <w:top w:val="nil"/>
              <w:left w:val="nil"/>
              <w:bottom w:val="nil"/>
              <w:right w:val="nil"/>
            </w:tcBorders>
            <w:shd w:val="clear" w:color="auto" w:fill="auto"/>
            <w:noWrap/>
            <w:vAlign w:val="bottom"/>
            <w:hideMark/>
          </w:tcPr>
          <w:p w:rsidR="00455DEE" w:rsidRPr="00D06C2F" w:rsidRDefault="00455DEE" w:rsidP="00FA5866">
            <w:pPr>
              <w:spacing w:after="0" w:line="240" w:lineRule="auto"/>
              <w:jc w:val="center"/>
              <w:rPr>
                <w:rFonts w:eastAsia="Times New Roman"/>
                <w:color w:val="000000"/>
                <w:sz w:val="20"/>
                <w:szCs w:val="20"/>
              </w:rPr>
            </w:pPr>
            <m:oMathPara>
              <m:oMath>
                <m:r>
                  <w:rPr>
                    <w:rFonts w:ascii="Cambria Math" w:eastAsia="Times New Roman" w:hAnsi="Cambria Math"/>
                    <w:color w:val="000000"/>
                    <w:sz w:val="20"/>
                    <w:szCs w:val="20"/>
                  </w:rPr>
                  <m:t>∆</m:t>
                </m:r>
                <m:sSub>
                  <m:sSubPr>
                    <m:ctrlPr>
                      <w:rPr>
                        <w:rFonts w:ascii="Cambria Math" w:eastAsia="Times New Roman" w:hAnsi="Cambria Math"/>
                        <w:color w:val="000000"/>
                        <w:sz w:val="20"/>
                        <w:szCs w:val="20"/>
                      </w:rPr>
                    </m:ctrlPr>
                  </m:sSubPr>
                  <m:e>
                    <m:r>
                      <m:rPr>
                        <m:sty m:val="p"/>
                      </m:rPr>
                      <w:rPr>
                        <w:rFonts w:ascii="Cambria Math" w:eastAsia="Times New Roman" w:hAnsi="Cambria Math"/>
                        <w:color w:val="000000"/>
                        <w:sz w:val="20"/>
                        <w:szCs w:val="20"/>
                      </w:rPr>
                      <m:t>Π</m:t>
                    </m:r>
                    <m:ctrlPr>
                      <w:rPr>
                        <w:rFonts w:ascii="Cambria Math" w:eastAsia="Times New Roman" w:hAnsi="Cambria Math"/>
                        <w:i/>
                        <w:color w:val="000000"/>
                        <w:sz w:val="20"/>
                        <w:szCs w:val="20"/>
                      </w:rPr>
                    </m:ctrlPr>
                  </m:e>
                  <m:sub>
                    <m:r>
                      <w:rPr>
                        <w:rFonts w:ascii="Cambria Math" w:eastAsia="Times New Roman" w:hAnsi="Cambria Math"/>
                        <w:color w:val="000000"/>
                        <w:sz w:val="20"/>
                        <w:szCs w:val="20"/>
                      </w:rPr>
                      <m:t>t</m:t>
                    </m:r>
                    <m:r>
                      <w:rPr>
                        <w:rFonts w:ascii="Cambria Math" w:eastAsia="Times New Roman"/>
                        <w:color w:val="000000"/>
                        <w:sz w:val="20"/>
                        <w:szCs w:val="20"/>
                      </w:rPr>
                      <m:t>+11</m:t>
                    </m:r>
                    <m:ctrlPr>
                      <w:rPr>
                        <w:rFonts w:ascii="Cambria Math" w:eastAsia="Times New Roman" w:hAnsi="Cambria Math"/>
                        <w:i/>
                        <w:color w:val="000000"/>
                        <w:sz w:val="20"/>
                        <w:szCs w:val="20"/>
                      </w:rPr>
                    </m:ctrlPr>
                  </m:sub>
                </m:sSub>
              </m:oMath>
            </m:oMathPara>
          </w:p>
        </w:tc>
        <w:tc>
          <w:tcPr>
            <w:tcW w:w="545" w:type="pct"/>
            <w:tcBorders>
              <w:top w:val="nil"/>
              <w:left w:val="nil"/>
              <w:bottom w:val="nil"/>
              <w:right w:val="nil"/>
            </w:tcBorders>
            <w:shd w:val="clear" w:color="auto" w:fill="auto"/>
            <w:noWrap/>
            <w:vAlign w:val="center"/>
            <w:hideMark/>
          </w:tcPr>
          <w:p w:rsidR="00455DEE" w:rsidRPr="000A35EF" w:rsidRDefault="00455DEE" w:rsidP="00FA5866">
            <w:pPr>
              <w:spacing w:after="0" w:line="240" w:lineRule="auto"/>
              <w:ind w:firstLine="0"/>
              <w:jc w:val="center"/>
              <w:rPr>
                <w:rFonts w:eastAsia="Times New Roman"/>
                <w:color w:val="000000"/>
                <w:sz w:val="20"/>
                <w:szCs w:val="20"/>
                <w:lang w:val="en-US"/>
              </w:rPr>
            </w:pPr>
            <w:r w:rsidRPr="000A35EF">
              <w:rPr>
                <w:rFonts w:eastAsia="Times New Roman"/>
                <w:color w:val="000000"/>
                <w:sz w:val="20"/>
                <w:szCs w:val="20"/>
                <w:lang w:val="en-US"/>
              </w:rPr>
              <w:t>0.05</w:t>
            </w:r>
          </w:p>
        </w:tc>
        <w:tc>
          <w:tcPr>
            <w:tcW w:w="545" w:type="pct"/>
            <w:tcBorders>
              <w:top w:val="nil"/>
              <w:left w:val="nil"/>
              <w:bottom w:val="nil"/>
              <w:right w:val="nil"/>
            </w:tcBorders>
            <w:shd w:val="clear" w:color="auto" w:fill="auto"/>
            <w:noWrap/>
            <w:vAlign w:val="center"/>
            <w:hideMark/>
          </w:tcPr>
          <w:p w:rsidR="00455DEE" w:rsidRPr="000A35EF" w:rsidRDefault="00455DEE" w:rsidP="00FA5866">
            <w:pPr>
              <w:spacing w:after="0" w:line="240" w:lineRule="auto"/>
              <w:ind w:firstLine="0"/>
              <w:jc w:val="center"/>
              <w:rPr>
                <w:rFonts w:eastAsia="Times New Roman"/>
                <w:color w:val="000000"/>
                <w:sz w:val="20"/>
                <w:szCs w:val="20"/>
                <w:lang w:val="en-US"/>
              </w:rPr>
            </w:pPr>
            <w:r w:rsidRPr="000A35EF">
              <w:rPr>
                <w:rFonts w:eastAsia="Times New Roman"/>
                <w:color w:val="000000"/>
                <w:sz w:val="20"/>
                <w:szCs w:val="20"/>
                <w:lang w:val="en-US"/>
              </w:rPr>
              <w:t>-0.00</w:t>
            </w:r>
          </w:p>
        </w:tc>
        <w:tc>
          <w:tcPr>
            <w:tcW w:w="545" w:type="pct"/>
            <w:tcBorders>
              <w:top w:val="nil"/>
              <w:left w:val="nil"/>
              <w:bottom w:val="nil"/>
              <w:right w:val="nil"/>
            </w:tcBorders>
            <w:shd w:val="clear" w:color="auto" w:fill="auto"/>
            <w:noWrap/>
            <w:vAlign w:val="center"/>
            <w:hideMark/>
          </w:tcPr>
          <w:p w:rsidR="00455DEE" w:rsidRPr="000A35EF" w:rsidRDefault="00455DEE" w:rsidP="00FA5866">
            <w:pPr>
              <w:spacing w:after="0" w:line="240" w:lineRule="auto"/>
              <w:ind w:firstLine="0"/>
              <w:jc w:val="center"/>
              <w:rPr>
                <w:rFonts w:eastAsia="Times New Roman"/>
                <w:color w:val="000000"/>
                <w:sz w:val="20"/>
                <w:szCs w:val="20"/>
                <w:lang w:val="en-US"/>
              </w:rPr>
            </w:pPr>
            <w:r w:rsidRPr="000A35EF">
              <w:rPr>
                <w:rFonts w:eastAsia="Times New Roman"/>
                <w:color w:val="000000"/>
                <w:sz w:val="20"/>
                <w:szCs w:val="20"/>
                <w:lang w:val="en-US"/>
              </w:rPr>
              <w:t>0.11</w:t>
            </w:r>
          </w:p>
        </w:tc>
        <w:tc>
          <w:tcPr>
            <w:tcW w:w="545" w:type="pct"/>
            <w:tcBorders>
              <w:top w:val="nil"/>
              <w:left w:val="nil"/>
              <w:bottom w:val="nil"/>
              <w:right w:val="nil"/>
            </w:tcBorders>
            <w:shd w:val="clear" w:color="auto" w:fill="auto"/>
            <w:noWrap/>
            <w:vAlign w:val="center"/>
            <w:hideMark/>
          </w:tcPr>
          <w:p w:rsidR="00455DEE" w:rsidRPr="000A35EF" w:rsidRDefault="00455DEE" w:rsidP="00FA5866">
            <w:pPr>
              <w:spacing w:after="0" w:line="240" w:lineRule="auto"/>
              <w:ind w:firstLine="0"/>
              <w:jc w:val="center"/>
              <w:rPr>
                <w:rFonts w:eastAsia="Times New Roman"/>
                <w:color w:val="000000"/>
                <w:sz w:val="20"/>
                <w:szCs w:val="20"/>
                <w:lang w:val="en-US"/>
              </w:rPr>
            </w:pPr>
            <w:r w:rsidRPr="000A35EF">
              <w:rPr>
                <w:rFonts w:eastAsia="Times New Roman"/>
                <w:color w:val="000000"/>
                <w:sz w:val="20"/>
                <w:szCs w:val="20"/>
                <w:lang w:val="en-US"/>
              </w:rPr>
              <w:t>0.06</w:t>
            </w:r>
          </w:p>
        </w:tc>
        <w:tc>
          <w:tcPr>
            <w:tcW w:w="199" w:type="pct"/>
            <w:tcBorders>
              <w:top w:val="nil"/>
              <w:left w:val="nil"/>
              <w:bottom w:val="nil"/>
              <w:right w:val="nil"/>
            </w:tcBorders>
            <w:shd w:val="clear" w:color="auto" w:fill="auto"/>
            <w:noWrap/>
            <w:vAlign w:val="center"/>
            <w:hideMark/>
          </w:tcPr>
          <w:p w:rsidR="00455DEE" w:rsidRPr="000A35EF" w:rsidRDefault="00455DEE" w:rsidP="00FA5866">
            <w:pPr>
              <w:spacing w:after="0" w:line="240" w:lineRule="auto"/>
              <w:ind w:firstLine="0"/>
              <w:jc w:val="center"/>
              <w:rPr>
                <w:rFonts w:eastAsia="Times New Roman"/>
                <w:color w:val="000000"/>
                <w:sz w:val="20"/>
                <w:szCs w:val="20"/>
                <w:lang w:val="en-US"/>
              </w:rPr>
            </w:pPr>
          </w:p>
        </w:tc>
        <w:tc>
          <w:tcPr>
            <w:tcW w:w="540" w:type="pct"/>
            <w:tcBorders>
              <w:top w:val="nil"/>
              <w:left w:val="nil"/>
              <w:bottom w:val="nil"/>
              <w:right w:val="nil"/>
            </w:tcBorders>
            <w:shd w:val="clear" w:color="auto" w:fill="auto"/>
            <w:noWrap/>
            <w:vAlign w:val="center"/>
            <w:hideMark/>
          </w:tcPr>
          <w:p w:rsidR="00455DEE" w:rsidRPr="000A35EF" w:rsidRDefault="00455DEE" w:rsidP="00FA5866">
            <w:pPr>
              <w:spacing w:after="0" w:line="240" w:lineRule="auto"/>
              <w:ind w:firstLine="0"/>
              <w:jc w:val="center"/>
              <w:rPr>
                <w:rFonts w:eastAsia="Times New Roman"/>
                <w:color w:val="000000"/>
                <w:sz w:val="20"/>
                <w:szCs w:val="20"/>
                <w:lang w:val="en-US"/>
              </w:rPr>
            </w:pPr>
            <w:r w:rsidRPr="000A35EF">
              <w:rPr>
                <w:rFonts w:eastAsia="Times New Roman"/>
                <w:color w:val="000000"/>
                <w:sz w:val="20"/>
                <w:szCs w:val="20"/>
                <w:lang w:val="en-US"/>
              </w:rPr>
              <w:t>0.08</w:t>
            </w:r>
          </w:p>
        </w:tc>
        <w:tc>
          <w:tcPr>
            <w:tcW w:w="540" w:type="pct"/>
            <w:tcBorders>
              <w:top w:val="nil"/>
              <w:left w:val="nil"/>
              <w:bottom w:val="nil"/>
              <w:right w:val="nil"/>
            </w:tcBorders>
            <w:shd w:val="clear" w:color="auto" w:fill="auto"/>
            <w:noWrap/>
            <w:vAlign w:val="center"/>
            <w:hideMark/>
          </w:tcPr>
          <w:p w:rsidR="00455DEE" w:rsidRPr="000A35EF" w:rsidRDefault="00455DEE" w:rsidP="00FA5866">
            <w:pPr>
              <w:spacing w:after="0" w:line="240" w:lineRule="auto"/>
              <w:ind w:firstLine="0"/>
              <w:jc w:val="center"/>
              <w:rPr>
                <w:rFonts w:eastAsia="Times New Roman"/>
                <w:color w:val="000000"/>
                <w:sz w:val="20"/>
                <w:szCs w:val="20"/>
                <w:lang w:val="en-US"/>
              </w:rPr>
            </w:pPr>
            <w:r w:rsidRPr="000A35EF">
              <w:rPr>
                <w:rFonts w:eastAsia="Times New Roman"/>
                <w:color w:val="000000"/>
                <w:sz w:val="20"/>
                <w:szCs w:val="20"/>
                <w:lang w:val="en-US"/>
              </w:rPr>
              <w:t>0.05</w:t>
            </w:r>
          </w:p>
        </w:tc>
        <w:tc>
          <w:tcPr>
            <w:tcW w:w="545" w:type="pct"/>
            <w:tcBorders>
              <w:top w:val="nil"/>
              <w:left w:val="nil"/>
              <w:bottom w:val="nil"/>
              <w:right w:val="nil"/>
            </w:tcBorders>
            <w:shd w:val="clear" w:color="auto" w:fill="auto"/>
            <w:noWrap/>
            <w:vAlign w:val="center"/>
            <w:hideMark/>
          </w:tcPr>
          <w:p w:rsidR="00455DEE" w:rsidRPr="000A35EF" w:rsidRDefault="00455DEE" w:rsidP="00FA5866">
            <w:pPr>
              <w:spacing w:after="0" w:line="240" w:lineRule="auto"/>
              <w:ind w:firstLine="0"/>
              <w:jc w:val="center"/>
              <w:rPr>
                <w:rFonts w:eastAsia="Times New Roman"/>
                <w:color w:val="000000"/>
                <w:sz w:val="20"/>
                <w:szCs w:val="20"/>
                <w:lang w:val="en-US"/>
              </w:rPr>
            </w:pPr>
            <w:r w:rsidRPr="000A35EF">
              <w:rPr>
                <w:rFonts w:eastAsia="Times New Roman"/>
                <w:color w:val="000000"/>
                <w:sz w:val="20"/>
                <w:szCs w:val="20"/>
                <w:lang w:val="en-US"/>
              </w:rPr>
              <w:t>0.06</w:t>
            </w:r>
          </w:p>
        </w:tc>
        <w:tc>
          <w:tcPr>
            <w:tcW w:w="545" w:type="pct"/>
            <w:tcBorders>
              <w:top w:val="nil"/>
              <w:left w:val="nil"/>
              <w:bottom w:val="nil"/>
              <w:right w:val="nil"/>
            </w:tcBorders>
            <w:shd w:val="clear" w:color="auto" w:fill="auto"/>
            <w:noWrap/>
            <w:vAlign w:val="center"/>
            <w:hideMark/>
          </w:tcPr>
          <w:p w:rsidR="00455DEE" w:rsidRPr="000A35EF" w:rsidRDefault="00455DEE" w:rsidP="00FA5866">
            <w:pPr>
              <w:spacing w:after="0" w:line="240" w:lineRule="auto"/>
              <w:ind w:firstLine="0"/>
              <w:jc w:val="center"/>
              <w:rPr>
                <w:rFonts w:eastAsia="Times New Roman"/>
                <w:b/>
                <w:bCs/>
                <w:color w:val="000000"/>
                <w:sz w:val="20"/>
                <w:szCs w:val="20"/>
                <w:lang w:val="en-US"/>
              </w:rPr>
            </w:pPr>
            <w:r w:rsidRPr="000A35EF">
              <w:rPr>
                <w:rFonts w:eastAsia="Times New Roman"/>
                <w:b/>
                <w:bCs/>
                <w:color w:val="000000"/>
                <w:sz w:val="20"/>
                <w:szCs w:val="20"/>
                <w:lang w:val="en-US"/>
              </w:rPr>
              <w:t>-0.09**</w:t>
            </w:r>
          </w:p>
        </w:tc>
      </w:tr>
      <w:tr w:rsidR="00455DEE" w:rsidRPr="000A35EF" w:rsidTr="00455DEE">
        <w:trPr>
          <w:trHeight w:val="300"/>
          <w:jc w:val="center"/>
        </w:trPr>
        <w:tc>
          <w:tcPr>
            <w:tcW w:w="451" w:type="pct"/>
            <w:tcBorders>
              <w:top w:val="nil"/>
              <w:left w:val="nil"/>
              <w:bottom w:val="nil"/>
              <w:right w:val="nil"/>
            </w:tcBorders>
            <w:shd w:val="clear" w:color="auto" w:fill="auto"/>
            <w:noWrap/>
            <w:vAlign w:val="bottom"/>
            <w:hideMark/>
          </w:tcPr>
          <w:p w:rsidR="00455DEE" w:rsidRPr="00D06C2F" w:rsidRDefault="00455DEE" w:rsidP="00FA5866">
            <w:pPr>
              <w:spacing w:after="0" w:line="240" w:lineRule="auto"/>
              <w:jc w:val="center"/>
              <w:rPr>
                <w:rFonts w:eastAsia="Times New Roman"/>
                <w:color w:val="000000"/>
                <w:sz w:val="20"/>
                <w:szCs w:val="20"/>
              </w:rPr>
            </w:pPr>
            <m:oMathPara>
              <m:oMath>
                <m:r>
                  <w:rPr>
                    <w:rFonts w:ascii="Cambria Math" w:eastAsia="Times New Roman" w:hAnsi="Cambria Math"/>
                    <w:color w:val="000000"/>
                    <w:sz w:val="20"/>
                    <w:szCs w:val="20"/>
                  </w:rPr>
                  <m:t>∆</m:t>
                </m:r>
                <m:sSub>
                  <m:sSubPr>
                    <m:ctrlPr>
                      <w:rPr>
                        <w:rFonts w:ascii="Cambria Math" w:eastAsia="Times New Roman" w:hAnsi="Cambria Math"/>
                        <w:color w:val="000000"/>
                        <w:sz w:val="20"/>
                        <w:szCs w:val="20"/>
                      </w:rPr>
                    </m:ctrlPr>
                  </m:sSubPr>
                  <m:e>
                    <m:r>
                      <m:rPr>
                        <m:sty m:val="p"/>
                      </m:rPr>
                      <w:rPr>
                        <w:rFonts w:ascii="Cambria Math" w:eastAsia="Times New Roman" w:hAnsi="Cambria Math"/>
                        <w:color w:val="000000"/>
                        <w:sz w:val="20"/>
                        <w:szCs w:val="20"/>
                      </w:rPr>
                      <m:t>Π</m:t>
                    </m:r>
                    <m:ctrlPr>
                      <w:rPr>
                        <w:rFonts w:ascii="Cambria Math" w:eastAsia="Times New Roman" w:hAnsi="Cambria Math"/>
                        <w:i/>
                        <w:color w:val="000000"/>
                        <w:sz w:val="20"/>
                        <w:szCs w:val="20"/>
                      </w:rPr>
                    </m:ctrlPr>
                  </m:e>
                  <m:sub>
                    <m:r>
                      <w:rPr>
                        <w:rFonts w:ascii="Cambria Math" w:eastAsia="Times New Roman" w:hAnsi="Cambria Math"/>
                        <w:color w:val="000000"/>
                        <w:sz w:val="20"/>
                        <w:szCs w:val="20"/>
                      </w:rPr>
                      <m:t>t</m:t>
                    </m:r>
                    <m:r>
                      <w:rPr>
                        <w:rFonts w:ascii="Cambria Math" w:eastAsia="Times New Roman"/>
                        <w:color w:val="000000"/>
                        <w:sz w:val="20"/>
                        <w:szCs w:val="20"/>
                      </w:rPr>
                      <m:t>+12</m:t>
                    </m:r>
                    <m:ctrlPr>
                      <w:rPr>
                        <w:rFonts w:ascii="Cambria Math" w:eastAsia="Times New Roman" w:hAnsi="Cambria Math"/>
                        <w:i/>
                        <w:color w:val="000000"/>
                        <w:sz w:val="20"/>
                        <w:szCs w:val="20"/>
                      </w:rPr>
                    </m:ctrlPr>
                  </m:sub>
                </m:sSub>
              </m:oMath>
            </m:oMathPara>
          </w:p>
        </w:tc>
        <w:tc>
          <w:tcPr>
            <w:tcW w:w="545" w:type="pct"/>
            <w:tcBorders>
              <w:top w:val="nil"/>
              <w:left w:val="nil"/>
              <w:bottom w:val="nil"/>
              <w:right w:val="nil"/>
            </w:tcBorders>
            <w:shd w:val="clear" w:color="auto" w:fill="auto"/>
            <w:noWrap/>
            <w:vAlign w:val="center"/>
            <w:hideMark/>
          </w:tcPr>
          <w:p w:rsidR="00455DEE" w:rsidRPr="000A35EF" w:rsidRDefault="00455DEE" w:rsidP="00FA5866">
            <w:pPr>
              <w:spacing w:after="0" w:line="240" w:lineRule="auto"/>
              <w:ind w:firstLine="0"/>
              <w:jc w:val="center"/>
              <w:rPr>
                <w:rFonts w:eastAsia="Times New Roman"/>
                <w:b/>
                <w:bCs/>
                <w:color w:val="000000"/>
                <w:sz w:val="20"/>
                <w:szCs w:val="20"/>
                <w:lang w:val="en-US"/>
              </w:rPr>
            </w:pPr>
            <w:r w:rsidRPr="000A35EF">
              <w:rPr>
                <w:rFonts w:eastAsia="Times New Roman"/>
                <w:b/>
                <w:bCs/>
                <w:color w:val="000000"/>
                <w:sz w:val="20"/>
                <w:szCs w:val="20"/>
                <w:lang w:val="en-US"/>
              </w:rPr>
              <w:t>-0.17*</w:t>
            </w:r>
          </w:p>
        </w:tc>
        <w:tc>
          <w:tcPr>
            <w:tcW w:w="545" w:type="pct"/>
            <w:tcBorders>
              <w:top w:val="nil"/>
              <w:left w:val="nil"/>
              <w:bottom w:val="nil"/>
              <w:right w:val="nil"/>
            </w:tcBorders>
            <w:shd w:val="clear" w:color="auto" w:fill="auto"/>
            <w:noWrap/>
            <w:vAlign w:val="center"/>
            <w:hideMark/>
          </w:tcPr>
          <w:p w:rsidR="00455DEE" w:rsidRPr="000A35EF" w:rsidRDefault="00455DEE" w:rsidP="00FA5866">
            <w:pPr>
              <w:spacing w:after="0" w:line="240" w:lineRule="auto"/>
              <w:ind w:firstLine="0"/>
              <w:jc w:val="center"/>
              <w:rPr>
                <w:rFonts w:eastAsia="Times New Roman"/>
                <w:b/>
                <w:bCs/>
                <w:color w:val="000000"/>
                <w:sz w:val="20"/>
                <w:szCs w:val="20"/>
                <w:lang w:val="en-US"/>
              </w:rPr>
            </w:pPr>
            <w:r w:rsidRPr="000A35EF">
              <w:rPr>
                <w:rFonts w:eastAsia="Times New Roman"/>
                <w:b/>
                <w:bCs/>
                <w:color w:val="000000"/>
                <w:sz w:val="20"/>
                <w:szCs w:val="20"/>
                <w:lang w:val="en-US"/>
              </w:rPr>
              <w:t>-0.22**</w:t>
            </w:r>
          </w:p>
        </w:tc>
        <w:tc>
          <w:tcPr>
            <w:tcW w:w="545" w:type="pct"/>
            <w:tcBorders>
              <w:top w:val="nil"/>
              <w:left w:val="nil"/>
              <w:bottom w:val="nil"/>
              <w:right w:val="nil"/>
            </w:tcBorders>
            <w:shd w:val="clear" w:color="auto" w:fill="auto"/>
            <w:noWrap/>
            <w:vAlign w:val="center"/>
            <w:hideMark/>
          </w:tcPr>
          <w:p w:rsidR="00455DEE" w:rsidRPr="000A35EF" w:rsidRDefault="00455DEE" w:rsidP="00FA5866">
            <w:pPr>
              <w:spacing w:after="0" w:line="240" w:lineRule="auto"/>
              <w:ind w:firstLine="0"/>
              <w:jc w:val="center"/>
              <w:rPr>
                <w:rFonts w:eastAsia="Times New Roman"/>
                <w:b/>
                <w:bCs/>
                <w:color w:val="000000"/>
                <w:sz w:val="20"/>
                <w:szCs w:val="20"/>
                <w:lang w:val="en-US"/>
              </w:rPr>
            </w:pPr>
            <w:r w:rsidRPr="000A35EF">
              <w:rPr>
                <w:rFonts w:eastAsia="Times New Roman"/>
                <w:b/>
                <w:bCs/>
                <w:color w:val="000000"/>
                <w:sz w:val="20"/>
                <w:szCs w:val="20"/>
                <w:lang w:val="en-US"/>
              </w:rPr>
              <w:t>0.20**</w:t>
            </w:r>
          </w:p>
        </w:tc>
        <w:tc>
          <w:tcPr>
            <w:tcW w:w="545" w:type="pct"/>
            <w:tcBorders>
              <w:top w:val="nil"/>
              <w:left w:val="nil"/>
              <w:bottom w:val="nil"/>
              <w:right w:val="nil"/>
            </w:tcBorders>
            <w:shd w:val="clear" w:color="auto" w:fill="auto"/>
            <w:noWrap/>
            <w:vAlign w:val="center"/>
            <w:hideMark/>
          </w:tcPr>
          <w:p w:rsidR="00455DEE" w:rsidRPr="000A35EF" w:rsidRDefault="00455DEE" w:rsidP="00FA5866">
            <w:pPr>
              <w:spacing w:after="0" w:line="240" w:lineRule="auto"/>
              <w:ind w:firstLine="0"/>
              <w:jc w:val="center"/>
              <w:rPr>
                <w:rFonts w:eastAsia="Times New Roman"/>
                <w:color w:val="000000"/>
                <w:sz w:val="20"/>
                <w:szCs w:val="20"/>
                <w:lang w:val="en-US"/>
              </w:rPr>
            </w:pPr>
            <w:r w:rsidRPr="000A35EF">
              <w:rPr>
                <w:rFonts w:eastAsia="Times New Roman"/>
                <w:color w:val="000000"/>
                <w:sz w:val="20"/>
                <w:szCs w:val="20"/>
                <w:lang w:val="en-US"/>
              </w:rPr>
              <w:t>0.08</w:t>
            </w:r>
          </w:p>
        </w:tc>
        <w:tc>
          <w:tcPr>
            <w:tcW w:w="199" w:type="pct"/>
            <w:tcBorders>
              <w:top w:val="nil"/>
              <w:left w:val="nil"/>
              <w:bottom w:val="nil"/>
              <w:right w:val="nil"/>
            </w:tcBorders>
            <w:shd w:val="clear" w:color="auto" w:fill="auto"/>
            <w:noWrap/>
            <w:vAlign w:val="center"/>
            <w:hideMark/>
          </w:tcPr>
          <w:p w:rsidR="00455DEE" w:rsidRPr="000A35EF" w:rsidRDefault="00455DEE" w:rsidP="00FA5866">
            <w:pPr>
              <w:spacing w:after="0" w:line="240" w:lineRule="auto"/>
              <w:ind w:firstLine="0"/>
              <w:jc w:val="center"/>
              <w:rPr>
                <w:rFonts w:eastAsia="Times New Roman"/>
                <w:color w:val="000000"/>
                <w:sz w:val="20"/>
                <w:szCs w:val="20"/>
                <w:lang w:val="en-US"/>
              </w:rPr>
            </w:pPr>
          </w:p>
        </w:tc>
        <w:tc>
          <w:tcPr>
            <w:tcW w:w="540" w:type="pct"/>
            <w:tcBorders>
              <w:top w:val="nil"/>
              <w:left w:val="nil"/>
              <w:bottom w:val="nil"/>
              <w:right w:val="nil"/>
            </w:tcBorders>
            <w:shd w:val="clear" w:color="auto" w:fill="auto"/>
            <w:noWrap/>
            <w:vAlign w:val="center"/>
            <w:hideMark/>
          </w:tcPr>
          <w:p w:rsidR="00455DEE" w:rsidRPr="000A35EF" w:rsidRDefault="00455DEE" w:rsidP="00FA5866">
            <w:pPr>
              <w:spacing w:after="0" w:line="240" w:lineRule="auto"/>
              <w:ind w:firstLine="0"/>
              <w:jc w:val="center"/>
              <w:rPr>
                <w:rFonts w:eastAsia="Times New Roman"/>
                <w:b/>
                <w:bCs/>
                <w:color w:val="000000"/>
                <w:sz w:val="20"/>
                <w:szCs w:val="20"/>
                <w:lang w:val="en-US"/>
              </w:rPr>
            </w:pPr>
            <w:r w:rsidRPr="000A35EF">
              <w:rPr>
                <w:rFonts w:eastAsia="Times New Roman"/>
                <w:b/>
                <w:bCs/>
                <w:color w:val="000000"/>
                <w:sz w:val="20"/>
                <w:szCs w:val="20"/>
                <w:lang w:val="en-US"/>
              </w:rPr>
              <w:t>0.51**</w:t>
            </w:r>
          </w:p>
        </w:tc>
        <w:tc>
          <w:tcPr>
            <w:tcW w:w="540" w:type="pct"/>
            <w:tcBorders>
              <w:top w:val="nil"/>
              <w:left w:val="nil"/>
              <w:bottom w:val="nil"/>
              <w:right w:val="nil"/>
            </w:tcBorders>
            <w:shd w:val="clear" w:color="auto" w:fill="auto"/>
            <w:noWrap/>
            <w:vAlign w:val="center"/>
            <w:hideMark/>
          </w:tcPr>
          <w:p w:rsidR="00455DEE" w:rsidRPr="000A35EF" w:rsidRDefault="00455DEE" w:rsidP="00FA5866">
            <w:pPr>
              <w:spacing w:after="0" w:line="240" w:lineRule="auto"/>
              <w:ind w:firstLine="0"/>
              <w:jc w:val="center"/>
              <w:rPr>
                <w:rFonts w:eastAsia="Times New Roman"/>
                <w:color w:val="000000"/>
                <w:sz w:val="20"/>
                <w:szCs w:val="20"/>
                <w:lang w:val="en-US"/>
              </w:rPr>
            </w:pPr>
            <w:r w:rsidRPr="000A35EF">
              <w:rPr>
                <w:rFonts w:eastAsia="Times New Roman"/>
                <w:color w:val="000000"/>
                <w:sz w:val="20"/>
                <w:szCs w:val="20"/>
                <w:lang w:val="en-US"/>
              </w:rPr>
              <w:t>0.24</w:t>
            </w:r>
          </w:p>
        </w:tc>
        <w:tc>
          <w:tcPr>
            <w:tcW w:w="545" w:type="pct"/>
            <w:tcBorders>
              <w:top w:val="nil"/>
              <w:left w:val="nil"/>
              <w:bottom w:val="nil"/>
              <w:right w:val="nil"/>
            </w:tcBorders>
            <w:shd w:val="clear" w:color="auto" w:fill="auto"/>
            <w:noWrap/>
            <w:vAlign w:val="center"/>
            <w:hideMark/>
          </w:tcPr>
          <w:p w:rsidR="00455DEE" w:rsidRPr="000A35EF" w:rsidRDefault="00455DEE" w:rsidP="00FA5866">
            <w:pPr>
              <w:spacing w:after="0" w:line="240" w:lineRule="auto"/>
              <w:ind w:firstLine="0"/>
              <w:jc w:val="center"/>
              <w:rPr>
                <w:rFonts w:eastAsia="Times New Roman"/>
                <w:color w:val="000000"/>
                <w:sz w:val="20"/>
                <w:szCs w:val="20"/>
                <w:lang w:val="en-US"/>
              </w:rPr>
            </w:pPr>
            <w:r w:rsidRPr="000A35EF">
              <w:rPr>
                <w:rFonts w:eastAsia="Times New Roman"/>
                <w:color w:val="000000"/>
                <w:sz w:val="20"/>
                <w:szCs w:val="20"/>
                <w:lang w:val="en-US"/>
              </w:rPr>
              <w:t>-0.25</w:t>
            </w:r>
          </w:p>
        </w:tc>
        <w:tc>
          <w:tcPr>
            <w:tcW w:w="545" w:type="pct"/>
            <w:tcBorders>
              <w:top w:val="nil"/>
              <w:left w:val="nil"/>
              <w:bottom w:val="nil"/>
              <w:right w:val="nil"/>
            </w:tcBorders>
            <w:shd w:val="clear" w:color="auto" w:fill="auto"/>
            <w:noWrap/>
            <w:vAlign w:val="center"/>
            <w:hideMark/>
          </w:tcPr>
          <w:p w:rsidR="00455DEE" w:rsidRPr="000A35EF" w:rsidRDefault="00455DEE" w:rsidP="00FA5866">
            <w:pPr>
              <w:spacing w:after="0" w:line="240" w:lineRule="auto"/>
              <w:ind w:firstLine="0"/>
              <w:jc w:val="center"/>
              <w:rPr>
                <w:rFonts w:eastAsia="Times New Roman"/>
                <w:b/>
                <w:bCs/>
                <w:color w:val="000000"/>
                <w:sz w:val="20"/>
                <w:szCs w:val="20"/>
                <w:lang w:val="en-US"/>
              </w:rPr>
            </w:pPr>
            <w:r w:rsidRPr="000A35EF">
              <w:rPr>
                <w:rFonts w:eastAsia="Times New Roman"/>
                <w:b/>
                <w:bCs/>
                <w:color w:val="000000"/>
                <w:sz w:val="20"/>
                <w:szCs w:val="20"/>
                <w:lang w:val="en-US"/>
              </w:rPr>
              <w:t>-0.63***</w:t>
            </w:r>
          </w:p>
        </w:tc>
      </w:tr>
      <w:tr w:rsidR="00455DEE" w:rsidRPr="000A35EF" w:rsidTr="00455DEE">
        <w:trPr>
          <w:trHeight w:val="300"/>
          <w:jc w:val="center"/>
        </w:trPr>
        <w:tc>
          <w:tcPr>
            <w:tcW w:w="451" w:type="pct"/>
            <w:tcBorders>
              <w:top w:val="nil"/>
              <w:left w:val="nil"/>
              <w:bottom w:val="nil"/>
              <w:right w:val="nil"/>
            </w:tcBorders>
            <w:shd w:val="clear" w:color="auto" w:fill="auto"/>
            <w:noWrap/>
            <w:vAlign w:val="bottom"/>
            <w:hideMark/>
          </w:tcPr>
          <w:p w:rsidR="00455DEE" w:rsidRPr="00D06C2F" w:rsidRDefault="00455DEE" w:rsidP="00FA5866">
            <w:pPr>
              <w:spacing w:after="0" w:line="240" w:lineRule="auto"/>
              <w:jc w:val="center"/>
              <w:rPr>
                <w:rFonts w:eastAsia="Times New Roman"/>
                <w:color w:val="000000"/>
                <w:sz w:val="20"/>
                <w:szCs w:val="20"/>
              </w:rPr>
            </w:pPr>
            <m:oMathPara>
              <m:oMath>
                <m:r>
                  <w:rPr>
                    <w:rFonts w:ascii="Cambria Math" w:eastAsia="Times New Roman" w:hAnsi="Cambria Math"/>
                    <w:color w:val="000000"/>
                    <w:sz w:val="20"/>
                    <w:szCs w:val="20"/>
                  </w:rPr>
                  <m:t>∆</m:t>
                </m:r>
                <m:sSub>
                  <m:sSubPr>
                    <m:ctrlPr>
                      <w:rPr>
                        <w:rFonts w:ascii="Cambria Math" w:eastAsia="Times New Roman" w:hAnsi="Cambria Math"/>
                        <w:color w:val="000000"/>
                        <w:sz w:val="20"/>
                        <w:szCs w:val="20"/>
                      </w:rPr>
                    </m:ctrlPr>
                  </m:sSubPr>
                  <m:e>
                    <m:r>
                      <m:rPr>
                        <m:sty m:val="p"/>
                      </m:rPr>
                      <w:rPr>
                        <w:rFonts w:ascii="Cambria Math" w:eastAsia="Times New Roman" w:hAnsi="Cambria Math"/>
                        <w:color w:val="000000"/>
                        <w:sz w:val="20"/>
                        <w:szCs w:val="20"/>
                      </w:rPr>
                      <m:t>Π</m:t>
                    </m:r>
                    <m:ctrlPr>
                      <w:rPr>
                        <w:rFonts w:ascii="Cambria Math" w:eastAsia="Times New Roman" w:hAnsi="Cambria Math"/>
                        <w:i/>
                        <w:color w:val="000000"/>
                        <w:sz w:val="20"/>
                        <w:szCs w:val="20"/>
                      </w:rPr>
                    </m:ctrlPr>
                  </m:e>
                  <m:sub>
                    <m:r>
                      <w:rPr>
                        <w:rFonts w:ascii="Cambria Math" w:eastAsia="Times New Roman" w:hAnsi="Cambria Math"/>
                        <w:color w:val="000000"/>
                        <w:sz w:val="20"/>
                        <w:szCs w:val="20"/>
                      </w:rPr>
                      <m:t>t</m:t>
                    </m:r>
                    <m:r>
                      <w:rPr>
                        <w:rFonts w:ascii="Cambria Math" w:eastAsia="Times New Roman"/>
                        <w:color w:val="000000"/>
                        <w:sz w:val="20"/>
                        <w:szCs w:val="20"/>
                      </w:rPr>
                      <m:t>+13</m:t>
                    </m:r>
                    <m:ctrlPr>
                      <w:rPr>
                        <w:rFonts w:ascii="Cambria Math" w:eastAsia="Times New Roman" w:hAnsi="Cambria Math"/>
                        <w:i/>
                        <w:color w:val="000000"/>
                        <w:sz w:val="20"/>
                        <w:szCs w:val="20"/>
                      </w:rPr>
                    </m:ctrlPr>
                  </m:sub>
                </m:sSub>
              </m:oMath>
            </m:oMathPara>
          </w:p>
        </w:tc>
        <w:tc>
          <w:tcPr>
            <w:tcW w:w="545" w:type="pct"/>
            <w:tcBorders>
              <w:top w:val="nil"/>
              <w:left w:val="nil"/>
              <w:bottom w:val="nil"/>
              <w:right w:val="nil"/>
            </w:tcBorders>
            <w:shd w:val="clear" w:color="auto" w:fill="auto"/>
            <w:noWrap/>
            <w:vAlign w:val="center"/>
            <w:hideMark/>
          </w:tcPr>
          <w:p w:rsidR="00455DEE" w:rsidRPr="000A35EF" w:rsidRDefault="00455DEE" w:rsidP="00FA5866">
            <w:pPr>
              <w:spacing w:after="0" w:line="240" w:lineRule="auto"/>
              <w:ind w:firstLine="0"/>
              <w:jc w:val="center"/>
              <w:rPr>
                <w:rFonts w:eastAsia="Times New Roman"/>
                <w:color w:val="000000"/>
                <w:sz w:val="20"/>
                <w:szCs w:val="20"/>
                <w:lang w:val="en-US"/>
              </w:rPr>
            </w:pPr>
            <w:r w:rsidRPr="000A35EF">
              <w:rPr>
                <w:rFonts w:eastAsia="Times New Roman"/>
                <w:color w:val="000000"/>
                <w:sz w:val="20"/>
                <w:szCs w:val="20"/>
                <w:lang w:val="en-US"/>
              </w:rPr>
              <w:t>-0.13</w:t>
            </w:r>
          </w:p>
        </w:tc>
        <w:tc>
          <w:tcPr>
            <w:tcW w:w="545" w:type="pct"/>
            <w:tcBorders>
              <w:top w:val="nil"/>
              <w:left w:val="nil"/>
              <w:bottom w:val="nil"/>
              <w:right w:val="nil"/>
            </w:tcBorders>
            <w:shd w:val="clear" w:color="auto" w:fill="auto"/>
            <w:noWrap/>
            <w:vAlign w:val="center"/>
            <w:hideMark/>
          </w:tcPr>
          <w:p w:rsidR="00455DEE" w:rsidRPr="000A35EF" w:rsidRDefault="00455DEE" w:rsidP="00FA5866">
            <w:pPr>
              <w:spacing w:after="0" w:line="240" w:lineRule="auto"/>
              <w:ind w:firstLine="0"/>
              <w:jc w:val="center"/>
              <w:rPr>
                <w:rFonts w:eastAsia="Times New Roman"/>
                <w:color w:val="000000"/>
                <w:sz w:val="20"/>
                <w:szCs w:val="20"/>
                <w:lang w:val="en-US"/>
              </w:rPr>
            </w:pPr>
            <w:r w:rsidRPr="000A35EF">
              <w:rPr>
                <w:rFonts w:eastAsia="Times New Roman"/>
                <w:color w:val="000000"/>
                <w:sz w:val="20"/>
                <w:szCs w:val="20"/>
                <w:lang w:val="en-US"/>
              </w:rPr>
              <w:t>-0.07</w:t>
            </w:r>
          </w:p>
        </w:tc>
        <w:tc>
          <w:tcPr>
            <w:tcW w:w="545" w:type="pct"/>
            <w:tcBorders>
              <w:top w:val="nil"/>
              <w:left w:val="nil"/>
              <w:bottom w:val="nil"/>
              <w:right w:val="nil"/>
            </w:tcBorders>
            <w:shd w:val="clear" w:color="auto" w:fill="auto"/>
            <w:noWrap/>
            <w:vAlign w:val="center"/>
            <w:hideMark/>
          </w:tcPr>
          <w:p w:rsidR="00455DEE" w:rsidRPr="000A35EF" w:rsidRDefault="00455DEE" w:rsidP="00FA5866">
            <w:pPr>
              <w:spacing w:after="0" w:line="240" w:lineRule="auto"/>
              <w:ind w:firstLine="0"/>
              <w:jc w:val="center"/>
              <w:rPr>
                <w:rFonts w:eastAsia="Times New Roman"/>
                <w:b/>
                <w:bCs/>
                <w:color w:val="000000"/>
                <w:sz w:val="20"/>
                <w:szCs w:val="20"/>
                <w:lang w:val="en-US"/>
              </w:rPr>
            </w:pPr>
            <w:r w:rsidRPr="000A35EF">
              <w:rPr>
                <w:rFonts w:eastAsia="Times New Roman"/>
                <w:b/>
                <w:bCs/>
                <w:color w:val="000000"/>
                <w:sz w:val="20"/>
                <w:szCs w:val="20"/>
                <w:lang w:val="en-US"/>
              </w:rPr>
              <w:t>0.17*</w:t>
            </w:r>
          </w:p>
        </w:tc>
        <w:tc>
          <w:tcPr>
            <w:tcW w:w="545" w:type="pct"/>
            <w:tcBorders>
              <w:top w:val="nil"/>
              <w:left w:val="nil"/>
              <w:bottom w:val="nil"/>
              <w:right w:val="nil"/>
            </w:tcBorders>
            <w:shd w:val="clear" w:color="auto" w:fill="auto"/>
            <w:noWrap/>
            <w:vAlign w:val="center"/>
            <w:hideMark/>
          </w:tcPr>
          <w:p w:rsidR="00455DEE" w:rsidRPr="000A35EF" w:rsidRDefault="00455DEE" w:rsidP="00FA5866">
            <w:pPr>
              <w:spacing w:after="0" w:line="240" w:lineRule="auto"/>
              <w:ind w:firstLine="0"/>
              <w:jc w:val="center"/>
              <w:rPr>
                <w:rFonts w:eastAsia="Times New Roman"/>
                <w:color w:val="000000"/>
                <w:sz w:val="20"/>
                <w:szCs w:val="20"/>
                <w:lang w:val="en-US"/>
              </w:rPr>
            </w:pPr>
            <w:r w:rsidRPr="000A35EF">
              <w:rPr>
                <w:rFonts w:eastAsia="Times New Roman"/>
                <w:color w:val="000000"/>
                <w:sz w:val="20"/>
                <w:szCs w:val="20"/>
                <w:lang w:val="en-US"/>
              </w:rPr>
              <w:t>0.14</w:t>
            </w:r>
          </w:p>
        </w:tc>
        <w:tc>
          <w:tcPr>
            <w:tcW w:w="199" w:type="pct"/>
            <w:tcBorders>
              <w:top w:val="nil"/>
              <w:left w:val="nil"/>
              <w:bottom w:val="nil"/>
              <w:right w:val="nil"/>
            </w:tcBorders>
            <w:shd w:val="clear" w:color="auto" w:fill="auto"/>
            <w:noWrap/>
            <w:vAlign w:val="center"/>
            <w:hideMark/>
          </w:tcPr>
          <w:p w:rsidR="00455DEE" w:rsidRPr="000A35EF" w:rsidRDefault="00455DEE" w:rsidP="00FA5866">
            <w:pPr>
              <w:spacing w:after="0" w:line="240" w:lineRule="auto"/>
              <w:ind w:firstLine="0"/>
              <w:jc w:val="center"/>
              <w:rPr>
                <w:rFonts w:eastAsia="Times New Roman"/>
                <w:b/>
                <w:bCs/>
                <w:color w:val="000000"/>
                <w:sz w:val="20"/>
                <w:szCs w:val="20"/>
                <w:lang w:val="en-US"/>
              </w:rPr>
            </w:pPr>
          </w:p>
        </w:tc>
        <w:tc>
          <w:tcPr>
            <w:tcW w:w="540" w:type="pct"/>
            <w:tcBorders>
              <w:top w:val="nil"/>
              <w:left w:val="nil"/>
              <w:bottom w:val="nil"/>
              <w:right w:val="nil"/>
            </w:tcBorders>
            <w:shd w:val="clear" w:color="auto" w:fill="auto"/>
            <w:noWrap/>
            <w:vAlign w:val="center"/>
            <w:hideMark/>
          </w:tcPr>
          <w:p w:rsidR="00455DEE" w:rsidRPr="000A35EF" w:rsidRDefault="00455DEE" w:rsidP="00FA5866">
            <w:pPr>
              <w:spacing w:after="0" w:line="240" w:lineRule="auto"/>
              <w:ind w:firstLine="0"/>
              <w:jc w:val="center"/>
              <w:rPr>
                <w:rFonts w:eastAsia="Times New Roman"/>
                <w:color w:val="000000"/>
                <w:sz w:val="20"/>
                <w:szCs w:val="20"/>
                <w:lang w:val="en-US"/>
              </w:rPr>
            </w:pPr>
            <w:r w:rsidRPr="000A35EF">
              <w:rPr>
                <w:rFonts w:eastAsia="Times New Roman"/>
                <w:color w:val="000000"/>
                <w:sz w:val="20"/>
                <w:szCs w:val="20"/>
                <w:lang w:val="en-US"/>
              </w:rPr>
              <w:t>0.40</w:t>
            </w:r>
          </w:p>
        </w:tc>
        <w:tc>
          <w:tcPr>
            <w:tcW w:w="540" w:type="pct"/>
            <w:tcBorders>
              <w:top w:val="nil"/>
              <w:left w:val="nil"/>
              <w:bottom w:val="nil"/>
              <w:right w:val="nil"/>
            </w:tcBorders>
            <w:shd w:val="clear" w:color="auto" w:fill="auto"/>
            <w:noWrap/>
            <w:vAlign w:val="center"/>
            <w:hideMark/>
          </w:tcPr>
          <w:p w:rsidR="00455DEE" w:rsidRPr="000A35EF" w:rsidRDefault="00455DEE" w:rsidP="00FA5866">
            <w:pPr>
              <w:spacing w:after="0" w:line="240" w:lineRule="auto"/>
              <w:ind w:firstLine="0"/>
              <w:jc w:val="center"/>
              <w:rPr>
                <w:rFonts w:eastAsia="Times New Roman"/>
                <w:color w:val="000000"/>
                <w:sz w:val="20"/>
                <w:szCs w:val="20"/>
                <w:lang w:val="en-US"/>
              </w:rPr>
            </w:pPr>
            <w:r w:rsidRPr="000A35EF">
              <w:rPr>
                <w:rFonts w:eastAsia="Times New Roman"/>
                <w:color w:val="000000"/>
                <w:sz w:val="20"/>
                <w:szCs w:val="20"/>
                <w:lang w:val="en-US"/>
              </w:rPr>
              <w:t>0.14</w:t>
            </w:r>
          </w:p>
        </w:tc>
        <w:tc>
          <w:tcPr>
            <w:tcW w:w="545" w:type="pct"/>
            <w:tcBorders>
              <w:top w:val="nil"/>
              <w:left w:val="nil"/>
              <w:bottom w:val="nil"/>
              <w:right w:val="nil"/>
            </w:tcBorders>
            <w:shd w:val="clear" w:color="auto" w:fill="auto"/>
            <w:noWrap/>
            <w:vAlign w:val="center"/>
            <w:hideMark/>
          </w:tcPr>
          <w:p w:rsidR="00455DEE" w:rsidRPr="000A35EF" w:rsidRDefault="00455DEE" w:rsidP="00FA5866">
            <w:pPr>
              <w:spacing w:after="0" w:line="240" w:lineRule="auto"/>
              <w:ind w:firstLine="0"/>
              <w:jc w:val="center"/>
              <w:rPr>
                <w:rFonts w:eastAsia="Times New Roman"/>
                <w:color w:val="000000"/>
                <w:sz w:val="20"/>
                <w:szCs w:val="20"/>
                <w:lang w:val="en-US"/>
              </w:rPr>
            </w:pPr>
            <w:r w:rsidRPr="000A35EF">
              <w:rPr>
                <w:rFonts w:eastAsia="Times New Roman"/>
                <w:color w:val="000000"/>
                <w:sz w:val="20"/>
                <w:szCs w:val="20"/>
                <w:lang w:val="en-US"/>
              </w:rPr>
              <w:t>-0.18</w:t>
            </w:r>
          </w:p>
        </w:tc>
        <w:tc>
          <w:tcPr>
            <w:tcW w:w="545" w:type="pct"/>
            <w:tcBorders>
              <w:top w:val="nil"/>
              <w:left w:val="nil"/>
              <w:bottom w:val="nil"/>
              <w:right w:val="nil"/>
            </w:tcBorders>
            <w:shd w:val="clear" w:color="auto" w:fill="auto"/>
            <w:noWrap/>
            <w:vAlign w:val="center"/>
            <w:hideMark/>
          </w:tcPr>
          <w:p w:rsidR="00455DEE" w:rsidRPr="000A35EF" w:rsidRDefault="00455DEE" w:rsidP="00FA5866">
            <w:pPr>
              <w:spacing w:after="0" w:line="240" w:lineRule="auto"/>
              <w:ind w:firstLine="0"/>
              <w:jc w:val="center"/>
              <w:rPr>
                <w:rFonts w:eastAsia="Times New Roman"/>
                <w:b/>
                <w:bCs/>
                <w:color w:val="000000"/>
                <w:sz w:val="20"/>
                <w:szCs w:val="20"/>
                <w:lang w:val="en-US"/>
              </w:rPr>
            </w:pPr>
            <w:r w:rsidRPr="000A35EF">
              <w:rPr>
                <w:rFonts w:eastAsia="Times New Roman"/>
                <w:b/>
                <w:bCs/>
                <w:color w:val="000000"/>
                <w:sz w:val="20"/>
                <w:szCs w:val="20"/>
                <w:lang w:val="en-US"/>
              </w:rPr>
              <w:t>-0.63***</w:t>
            </w:r>
          </w:p>
        </w:tc>
      </w:tr>
      <w:tr w:rsidR="00455DEE" w:rsidRPr="000A35EF" w:rsidTr="00455DEE">
        <w:trPr>
          <w:trHeight w:val="315"/>
          <w:jc w:val="center"/>
        </w:trPr>
        <w:tc>
          <w:tcPr>
            <w:tcW w:w="451" w:type="pct"/>
            <w:tcBorders>
              <w:top w:val="nil"/>
              <w:left w:val="nil"/>
              <w:bottom w:val="nil"/>
              <w:right w:val="nil"/>
            </w:tcBorders>
            <w:shd w:val="clear" w:color="auto" w:fill="auto"/>
            <w:noWrap/>
            <w:vAlign w:val="bottom"/>
            <w:hideMark/>
          </w:tcPr>
          <w:p w:rsidR="00455DEE" w:rsidRPr="00D06C2F" w:rsidRDefault="00455DEE" w:rsidP="00FA5866">
            <w:pPr>
              <w:spacing w:after="0" w:line="240" w:lineRule="auto"/>
              <w:jc w:val="center"/>
              <w:rPr>
                <w:rFonts w:eastAsia="Times New Roman"/>
                <w:color w:val="000000"/>
                <w:sz w:val="20"/>
                <w:szCs w:val="20"/>
              </w:rPr>
            </w:pPr>
            <m:oMathPara>
              <m:oMath>
                <m:r>
                  <w:rPr>
                    <w:rFonts w:ascii="Cambria Math" w:eastAsia="Times New Roman" w:hAnsi="Cambria Math"/>
                    <w:color w:val="000000"/>
                    <w:sz w:val="20"/>
                    <w:szCs w:val="20"/>
                  </w:rPr>
                  <m:t>∆</m:t>
                </m:r>
                <m:sSub>
                  <m:sSubPr>
                    <m:ctrlPr>
                      <w:rPr>
                        <w:rFonts w:ascii="Cambria Math" w:eastAsia="Times New Roman" w:hAnsi="Cambria Math"/>
                        <w:color w:val="000000"/>
                        <w:sz w:val="20"/>
                        <w:szCs w:val="20"/>
                      </w:rPr>
                    </m:ctrlPr>
                  </m:sSubPr>
                  <m:e>
                    <m:r>
                      <m:rPr>
                        <m:sty m:val="p"/>
                      </m:rPr>
                      <w:rPr>
                        <w:rFonts w:ascii="Cambria Math" w:eastAsia="Times New Roman" w:hAnsi="Cambria Math"/>
                        <w:color w:val="000000"/>
                        <w:sz w:val="20"/>
                        <w:szCs w:val="20"/>
                      </w:rPr>
                      <m:t>Π</m:t>
                    </m:r>
                    <m:ctrlPr>
                      <w:rPr>
                        <w:rFonts w:ascii="Cambria Math" w:eastAsia="Times New Roman" w:hAnsi="Cambria Math"/>
                        <w:i/>
                        <w:color w:val="000000"/>
                        <w:sz w:val="20"/>
                        <w:szCs w:val="20"/>
                      </w:rPr>
                    </m:ctrlPr>
                  </m:e>
                  <m:sub>
                    <m:r>
                      <w:rPr>
                        <w:rFonts w:ascii="Cambria Math" w:eastAsia="Times New Roman" w:hAnsi="Cambria Math"/>
                        <w:color w:val="000000"/>
                        <w:sz w:val="20"/>
                        <w:szCs w:val="20"/>
                      </w:rPr>
                      <m:t>t</m:t>
                    </m:r>
                    <m:r>
                      <w:rPr>
                        <w:rFonts w:ascii="Cambria Math" w:eastAsia="Times New Roman"/>
                        <w:color w:val="000000"/>
                        <w:sz w:val="20"/>
                        <w:szCs w:val="20"/>
                      </w:rPr>
                      <m:t>+14</m:t>
                    </m:r>
                    <m:ctrlPr>
                      <w:rPr>
                        <w:rFonts w:ascii="Cambria Math" w:eastAsia="Times New Roman" w:hAnsi="Cambria Math"/>
                        <w:i/>
                        <w:color w:val="000000"/>
                        <w:sz w:val="20"/>
                        <w:szCs w:val="20"/>
                      </w:rPr>
                    </m:ctrlPr>
                  </m:sub>
                </m:sSub>
              </m:oMath>
            </m:oMathPara>
          </w:p>
        </w:tc>
        <w:tc>
          <w:tcPr>
            <w:tcW w:w="545" w:type="pct"/>
            <w:tcBorders>
              <w:top w:val="nil"/>
              <w:left w:val="nil"/>
              <w:bottom w:val="nil"/>
              <w:right w:val="nil"/>
            </w:tcBorders>
            <w:shd w:val="clear" w:color="auto" w:fill="auto"/>
            <w:noWrap/>
            <w:vAlign w:val="center"/>
            <w:hideMark/>
          </w:tcPr>
          <w:p w:rsidR="00455DEE" w:rsidRPr="000A35EF" w:rsidRDefault="00455DEE" w:rsidP="00FA5866">
            <w:pPr>
              <w:spacing w:after="0" w:line="240" w:lineRule="auto"/>
              <w:ind w:firstLine="0"/>
              <w:jc w:val="center"/>
              <w:rPr>
                <w:rFonts w:eastAsia="Times New Roman"/>
                <w:color w:val="000000"/>
                <w:sz w:val="20"/>
                <w:szCs w:val="20"/>
                <w:lang w:val="en-US"/>
              </w:rPr>
            </w:pPr>
            <w:r w:rsidRPr="000A35EF">
              <w:rPr>
                <w:rFonts w:eastAsia="Times New Roman"/>
                <w:color w:val="000000"/>
                <w:sz w:val="20"/>
                <w:szCs w:val="20"/>
                <w:lang w:val="en-US"/>
              </w:rPr>
              <w:t>0.02</w:t>
            </w:r>
          </w:p>
        </w:tc>
        <w:tc>
          <w:tcPr>
            <w:tcW w:w="545" w:type="pct"/>
            <w:tcBorders>
              <w:top w:val="nil"/>
              <w:left w:val="nil"/>
              <w:bottom w:val="nil"/>
              <w:right w:val="nil"/>
            </w:tcBorders>
            <w:shd w:val="clear" w:color="auto" w:fill="auto"/>
            <w:noWrap/>
            <w:vAlign w:val="center"/>
            <w:hideMark/>
          </w:tcPr>
          <w:p w:rsidR="00455DEE" w:rsidRPr="000A35EF" w:rsidRDefault="00455DEE" w:rsidP="00FA5866">
            <w:pPr>
              <w:spacing w:after="0" w:line="240" w:lineRule="auto"/>
              <w:ind w:firstLine="0"/>
              <w:jc w:val="center"/>
              <w:rPr>
                <w:rFonts w:eastAsia="Times New Roman"/>
                <w:color w:val="000000"/>
                <w:sz w:val="20"/>
                <w:szCs w:val="20"/>
                <w:lang w:val="en-US"/>
              </w:rPr>
            </w:pPr>
            <w:r w:rsidRPr="000A35EF">
              <w:rPr>
                <w:rFonts w:eastAsia="Times New Roman"/>
                <w:color w:val="000000"/>
                <w:sz w:val="20"/>
                <w:szCs w:val="20"/>
                <w:lang w:val="en-US"/>
              </w:rPr>
              <w:t>0.01</w:t>
            </w:r>
          </w:p>
        </w:tc>
        <w:tc>
          <w:tcPr>
            <w:tcW w:w="545" w:type="pct"/>
            <w:tcBorders>
              <w:top w:val="nil"/>
              <w:left w:val="nil"/>
              <w:bottom w:val="nil"/>
              <w:right w:val="nil"/>
            </w:tcBorders>
            <w:shd w:val="clear" w:color="auto" w:fill="auto"/>
            <w:noWrap/>
            <w:vAlign w:val="center"/>
            <w:hideMark/>
          </w:tcPr>
          <w:p w:rsidR="00455DEE" w:rsidRPr="000A35EF" w:rsidRDefault="00455DEE" w:rsidP="00FA5866">
            <w:pPr>
              <w:spacing w:after="0" w:line="240" w:lineRule="auto"/>
              <w:ind w:firstLine="0"/>
              <w:jc w:val="center"/>
              <w:rPr>
                <w:rFonts w:eastAsia="Times New Roman"/>
                <w:color w:val="000000"/>
                <w:sz w:val="20"/>
                <w:szCs w:val="20"/>
                <w:lang w:val="en-US"/>
              </w:rPr>
            </w:pPr>
            <w:r w:rsidRPr="000A35EF">
              <w:rPr>
                <w:rFonts w:eastAsia="Times New Roman"/>
                <w:color w:val="000000"/>
                <w:sz w:val="20"/>
                <w:szCs w:val="20"/>
                <w:lang w:val="en-US"/>
              </w:rPr>
              <w:t>0.03</w:t>
            </w:r>
          </w:p>
        </w:tc>
        <w:tc>
          <w:tcPr>
            <w:tcW w:w="545" w:type="pct"/>
            <w:tcBorders>
              <w:top w:val="nil"/>
              <w:left w:val="nil"/>
              <w:bottom w:val="nil"/>
              <w:right w:val="nil"/>
            </w:tcBorders>
            <w:shd w:val="clear" w:color="auto" w:fill="auto"/>
            <w:noWrap/>
            <w:vAlign w:val="center"/>
            <w:hideMark/>
          </w:tcPr>
          <w:p w:rsidR="00455DEE" w:rsidRPr="000A35EF" w:rsidRDefault="00455DEE" w:rsidP="00FA5866">
            <w:pPr>
              <w:spacing w:after="0" w:line="240" w:lineRule="auto"/>
              <w:ind w:firstLine="0"/>
              <w:jc w:val="center"/>
              <w:rPr>
                <w:rFonts w:eastAsia="Times New Roman"/>
                <w:color w:val="000000"/>
                <w:sz w:val="20"/>
                <w:szCs w:val="20"/>
                <w:lang w:val="en-US"/>
              </w:rPr>
            </w:pPr>
            <w:r w:rsidRPr="000A35EF">
              <w:rPr>
                <w:rFonts w:eastAsia="Times New Roman"/>
                <w:color w:val="000000"/>
                <w:sz w:val="20"/>
                <w:szCs w:val="20"/>
                <w:lang w:val="en-US"/>
              </w:rPr>
              <w:t>-0.12</w:t>
            </w:r>
          </w:p>
        </w:tc>
        <w:tc>
          <w:tcPr>
            <w:tcW w:w="199" w:type="pct"/>
            <w:tcBorders>
              <w:top w:val="nil"/>
              <w:left w:val="nil"/>
              <w:bottom w:val="nil"/>
              <w:right w:val="nil"/>
            </w:tcBorders>
            <w:shd w:val="clear" w:color="auto" w:fill="auto"/>
            <w:noWrap/>
            <w:vAlign w:val="center"/>
            <w:hideMark/>
          </w:tcPr>
          <w:p w:rsidR="00455DEE" w:rsidRPr="000A35EF" w:rsidRDefault="00455DEE" w:rsidP="00FA5866">
            <w:pPr>
              <w:spacing w:after="0" w:line="240" w:lineRule="auto"/>
              <w:ind w:firstLine="0"/>
              <w:jc w:val="center"/>
              <w:rPr>
                <w:rFonts w:ascii="Calibri" w:eastAsia="Times New Roman" w:hAnsi="Calibri"/>
                <w:color w:val="000000"/>
                <w:sz w:val="22"/>
                <w:szCs w:val="22"/>
                <w:lang w:val="en-US"/>
              </w:rPr>
            </w:pPr>
          </w:p>
        </w:tc>
        <w:tc>
          <w:tcPr>
            <w:tcW w:w="540" w:type="pct"/>
            <w:tcBorders>
              <w:top w:val="nil"/>
              <w:left w:val="nil"/>
              <w:bottom w:val="nil"/>
              <w:right w:val="nil"/>
            </w:tcBorders>
            <w:shd w:val="clear" w:color="auto" w:fill="auto"/>
            <w:noWrap/>
            <w:vAlign w:val="center"/>
            <w:hideMark/>
          </w:tcPr>
          <w:p w:rsidR="00455DEE" w:rsidRPr="000A35EF" w:rsidRDefault="00455DEE" w:rsidP="00FA5866">
            <w:pPr>
              <w:spacing w:after="0" w:line="240" w:lineRule="auto"/>
              <w:ind w:firstLine="0"/>
              <w:jc w:val="center"/>
              <w:rPr>
                <w:rFonts w:eastAsia="Times New Roman"/>
                <w:color w:val="000000"/>
                <w:sz w:val="20"/>
                <w:szCs w:val="20"/>
                <w:lang w:val="en-US"/>
              </w:rPr>
            </w:pPr>
            <w:r w:rsidRPr="000A35EF">
              <w:rPr>
                <w:rFonts w:eastAsia="Times New Roman"/>
                <w:color w:val="000000"/>
                <w:sz w:val="20"/>
                <w:szCs w:val="20"/>
                <w:lang w:val="en-US"/>
              </w:rPr>
              <w:t>0.46</w:t>
            </w:r>
          </w:p>
        </w:tc>
        <w:tc>
          <w:tcPr>
            <w:tcW w:w="540" w:type="pct"/>
            <w:tcBorders>
              <w:top w:val="nil"/>
              <w:left w:val="nil"/>
              <w:bottom w:val="nil"/>
              <w:right w:val="nil"/>
            </w:tcBorders>
            <w:shd w:val="clear" w:color="auto" w:fill="auto"/>
            <w:noWrap/>
            <w:vAlign w:val="center"/>
            <w:hideMark/>
          </w:tcPr>
          <w:p w:rsidR="00455DEE" w:rsidRPr="000A35EF" w:rsidRDefault="00455DEE" w:rsidP="00FA5866">
            <w:pPr>
              <w:spacing w:after="0" w:line="240" w:lineRule="auto"/>
              <w:ind w:firstLine="0"/>
              <w:jc w:val="center"/>
              <w:rPr>
                <w:rFonts w:eastAsia="Times New Roman"/>
                <w:color w:val="000000"/>
                <w:sz w:val="20"/>
                <w:szCs w:val="20"/>
                <w:lang w:val="en-US"/>
              </w:rPr>
            </w:pPr>
            <w:r w:rsidRPr="000A35EF">
              <w:rPr>
                <w:rFonts w:eastAsia="Times New Roman"/>
                <w:color w:val="000000"/>
                <w:sz w:val="20"/>
                <w:szCs w:val="20"/>
                <w:lang w:val="en-US"/>
              </w:rPr>
              <w:t>0.21</w:t>
            </w:r>
          </w:p>
        </w:tc>
        <w:tc>
          <w:tcPr>
            <w:tcW w:w="545" w:type="pct"/>
            <w:tcBorders>
              <w:top w:val="nil"/>
              <w:left w:val="nil"/>
              <w:bottom w:val="nil"/>
              <w:right w:val="nil"/>
            </w:tcBorders>
            <w:shd w:val="clear" w:color="auto" w:fill="auto"/>
            <w:noWrap/>
            <w:vAlign w:val="center"/>
            <w:hideMark/>
          </w:tcPr>
          <w:p w:rsidR="00455DEE" w:rsidRPr="000A35EF" w:rsidRDefault="00455DEE" w:rsidP="00FA5866">
            <w:pPr>
              <w:spacing w:after="0" w:line="240" w:lineRule="auto"/>
              <w:ind w:firstLine="0"/>
              <w:jc w:val="center"/>
              <w:rPr>
                <w:rFonts w:eastAsia="Times New Roman"/>
                <w:color w:val="000000"/>
                <w:sz w:val="20"/>
                <w:szCs w:val="20"/>
                <w:lang w:val="en-US"/>
              </w:rPr>
            </w:pPr>
            <w:r w:rsidRPr="000A35EF">
              <w:rPr>
                <w:rFonts w:eastAsia="Times New Roman"/>
                <w:color w:val="000000"/>
                <w:sz w:val="20"/>
                <w:szCs w:val="20"/>
                <w:lang w:val="en-US"/>
              </w:rPr>
              <w:t>-0.26</w:t>
            </w:r>
          </w:p>
        </w:tc>
        <w:tc>
          <w:tcPr>
            <w:tcW w:w="545" w:type="pct"/>
            <w:tcBorders>
              <w:top w:val="nil"/>
              <w:left w:val="nil"/>
              <w:bottom w:val="nil"/>
              <w:right w:val="nil"/>
            </w:tcBorders>
            <w:shd w:val="clear" w:color="auto" w:fill="auto"/>
            <w:noWrap/>
            <w:vAlign w:val="center"/>
            <w:hideMark/>
          </w:tcPr>
          <w:p w:rsidR="00455DEE" w:rsidRPr="000A35EF" w:rsidRDefault="00455DEE" w:rsidP="00FA5866">
            <w:pPr>
              <w:spacing w:after="0" w:line="240" w:lineRule="auto"/>
              <w:ind w:firstLine="0"/>
              <w:jc w:val="center"/>
              <w:rPr>
                <w:rFonts w:eastAsia="Times New Roman"/>
                <w:b/>
                <w:bCs/>
                <w:color w:val="000000"/>
                <w:sz w:val="20"/>
                <w:szCs w:val="20"/>
                <w:lang w:val="en-US"/>
              </w:rPr>
            </w:pPr>
            <w:r w:rsidRPr="000A35EF">
              <w:rPr>
                <w:rFonts w:eastAsia="Times New Roman"/>
                <w:b/>
                <w:bCs/>
                <w:color w:val="000000"/>
                <w:sz w:val="20"/>
                <w:szCs w:val="20"/>
                <w:lang w:val="en-US"/>
              </w:rPr>
              <w:t>-0.59 **</w:t>
            </w:r>
          </w:p>
        </w:tc>
      </w:tr>
      <w:tr w:rsidR="00455DEE" w:rsidRPr="000A35EF" w:rsidTr="00455DEE">
        <w:trPr>
          <w:trHeight w:val="315"/>
          <w:jc w:val="center"/>
        </w:trPr>
        <w:tc>
          <w:tcPr>
            <w:tcW w:w="451" w:type="pct"/>
            <w:tcBorders>
              <w:top w:val="nil"/>
              <w:left w:val="nil"/>
              <w:bottom w:val="nil"/>
              <w:right w:val="nil"/>
            </w:tcBorders>
            <w:shd w:val="clear" w:color="auto" w:fill="auto"/>
            <w:noWrap/>
            <w:vAlign w:val="bottom"/>
            <w:hideMark/>
          </w:tcPr>
          <w:p w:rsidR="00455DEE" w:rsidRPr="00D06C2F" w:rsidRDefault="00455DEE" w:rsidP="00FA5866">
            <w:pPr>
              <w:spacing w:after="0" w:line="240" w:lineRule="auto"/>
              <w:jc w:val="center"/>
              <w:rPr>
                <w:rFonts w:eastAsia="Times New Roman"/>
                <w:color w:val="000000"/>
                <w:sz w:val="20"/>
                <w:szCs w:val="20"/>
              </w:rPr>
            </w:pPr>
            <m:oMathPara>
              <m:oMath>
                <m:r>
                  <w:rPr>
                    <w:rFonts w:ascii="Cambria Math" w:eastAsia="Times New Roman" w:hAnsi="Cambria Math"/>
                    <w:color w:val="000000"/>
                    <w:sz w:val="20"/>
                    <w:szCs w:val="20"/>
                  </w:rPr>
                  <m:t>∆</m:t>
                </m:r>
                <m:sSub>
                  <m:sSubPr>
                    <m:ctrlPr>
                      <w:rPr>
                        <w:rFonts w:ascii="Cambria Math" w:eastAsia="Times New Roman" w:hAnsi="Cambria Math"/>
                        <w:color w:val="000000"/>
                        <w:sz w:val="20"/>
                        <w:szCs w:val="20"/>
                      </w:rPr>
                    </m:ctrlPr>
                  </m:sSubPr>
                  <m:e>
                    <m:r>
                      <m:rPr>
                        <m:sty m:val="p"/>
                      </m:rPr>
                      <w:rPr>
                        <w:rFonts w:ascii="Cambria Math" w:eastAsia="Times New Roman" w:hAnsi="Cambria Math"/>
                        <w:color w:val="000000"/>
                        <w:sz w:val="20"/>
                        <w:szCs w:val="20"/>
                      </w:rPr>
                      <m:t>Π</m:t>
                    </m:r>
                    <m:ctrlPr>
                      <w:rPr>
                        <w:rFonts w:ascii="Cambria Math" w:eastAsia="Times New Roman" w:hAnsi="Cambria Math"/>
                        <w:i/>
                        <w:color w:val="000000"/>
                        <w:sz w:val="20"/>
                        <w:szCs w:val="20"/>
                      </w:rPr>
                    </m:ctrlPr>
                  </m:e>
                  <m:sub>
                    <m:r>
                      <w:rPr>
                        <w:rFonts w:ascii="Cambria Math" w:eastAsia="Times New Roman" w:hAnsi="Cambria Math"/>
                        <w:color w:val="000000"/>
                        <w:sz w:val="20"/>
                        <w:szCs w:val="20"/>
                      </w:rPr>
                      <m:t>t</m:t>
                    </m:r>
                    <m:r>
                      <w:rPr>
                        <w:rFonts w:ascii="Cambria Math" w:eastAsia="Times New Roman"/>
                        <w:color w:val="000000"/>
                        <w:sz w:val="20"/>
                        <w:szCs w:val="20"/>
                      </w:rPr>
                      <m:t>+15</m:t>
                    </m:r>
                    <m:ctrlPr>
                      <w:rPr>
                        <w:rFonts w:ascii="Cambria Math" w:eastAsia="Times New Roman" w:hAnsi="Cambria Math"/>
                        <w:i/>
                        <w:color w:val="000000"/>
                        <w:sz w:val="20"/>
                        <w:szCs w:val="20"/>
                      </w:rPr>
                    </m:ctrlPr>
                  </m:sub>
                </m:sSub>
              </m:oMath>
            </m:oMathPara>
          </w:p>
        </w:tc>
        <w:tc>
          <w:tcPr>
            <w:tcW w:w="545" w:type="pct"/>
            <w:tcBorders>
              <w:top w:val="nil"/>
              <w:left w:val="nil"/>
              <w:bottom w:val="nil"/>
              <w:right w:val="nil"/>
            </w:tcBorders>
            <w:shd w:val="clear" w:color="auto" w:fill="auto"/>
            <w:noWrap/>
            <w:vAlign w:val="center"/>
            <w:hideMark/>
          </w:tcPr>
          <w:p w:rsidR="00455DEE" w:rsidRPr="000A35EF" w:rsidRDefault="00455DEE" w:rsidP="00FA5866">
            <w:pPr>
              <w:spacing w:after="0" w:line="240" w:lineRule="auto"/>
              <w:ind w:firstLine="0"/>
              <w:jc w:val="center"/>
              <w:rPr>
                <w:rFonts w:eastAsia="Times New Roman"/>
                <w:color w:val="000000"/>
                <w:sz w:val="20"/>
                <w:szCs w:val="20"/>
                <w:lang w:val="en-US"/>
              </w:rPr>
            </w:pPr>
            <w:r w:rsidRPr="000A35EF">
              <w:rPr>
                <w:rFonts w:eastAsia="Times New Roman"/>
                <w:color w:val="000000"/>
                <w:sz w:val="20"/>
                <w:szCs w:val="20"/>
                <w:lang w:val="en-US"/>
              </w:rPr>
              <w:t>0.11</w:t>
            </w:r>
          </w:p>
        </w:tc>
        <w:tc>
          <w:tcPr>
            <w:tcW w:w="545" w:type="pct"/>
            <w:tcBorders>
              <w:top w:val="nil"/>
              <w:left w:val="nil"/>
              <w:bottom w:val="nil"/>
              <w:right w:val="nil"/>
            </w:tcBorders>
            <w:shd w:val="clear" w:color="auto" w:fill="auto"/>
            <w:noWrap/>
            <w:vAlign w:val="center"/>
            <w:hideMark/>
          </w:tcPr>
          <w:p w:rsidR="00455DEE" w:rsidRPr="000A35EF" w:rsidRDefault="00455DEE" w:rsidP="00FA5866">
            <w:pPr>
              <w:spacing w:after="0" w:line="240" w:lineRule="auto"/>
              <w:ind w:firstLine="0"/>
              <w:jc w:val="center"/>
              <w:rPr>
                <w:rFonts w:eastAsia="Times New Roman"/>
                <w:b/>
                <w:bCs/>
                <w:color w:val="000000"/>
                <w:sz w:val="20"/>
                <w:szCs w:val="20"/>
                <w:lang w:val="en-US"/>
              </w:rPr>
            </w:pPr>
            <w:r w:rsidRPr="000A35EF">
              <w:rPr>
                <w:rFonts w:eastAsia="Times New Roman"/>
                <w:b/>
                <w:bCs/>
                <w:color w:val="000000"/>
                <w:sz w:val="20"/>
                <w:szCs w:val="20"/>
                <w:lang w:val="en-US"/>
              </w:rPr>
              <w:t>-</w:t>
            </w:r>
            <w:r w:rsidRPr="00522B4B">
              <w:rPr>
                <w:rFonts w:eastAsia="Times New Roman"/>
                <w:b/>
                <w:bCs/>
                <w:color w:val="000000"/>
                <w:sz w:val="18"/>
                <w:szCs w:val="18"/>
                <w:lang w:val="en-US"/>
              </w:rPr>
              <w:t>0.40***</w:t>
            </w:r>
          </w:p>
        </w:tc>
        <w:tc>
          <w:tcPr>
            <w:tcW w:w="545" w:type="pct"/>
            <w:tcBorders>
              <w:top w:val="nil"/>
              <w:left w:val="nil"/>
              <w:bottom w:val="nil"/>
              <w:right w:val="nil"/>
            </w:tcBorders>
            <w:shd w:val="clear" w:color="auto" w:fill="auto"/>
            <w:noWrap/>
            <w:vAlign w:val="center"/>
            <w:hideMark/>
          </w:tcPr>
          <w:p w:rsidR="00455DEE" w:rsidRPr="000A35EF" w:rsidRDefault="00455DEE" w:rsidP="00FA5866">
            <w:pPr>
              <w:spacing w:after="0" w:line="240" w:lineRule="auto"/>
              <w:ind w:firstLine="0"/>
              <w:jc w:val="center"/>
              <w:rPr>
                <w:rFonts w:eastAsia="Times New Roman"/>
                <w:color w:val="000000"/>
                <w:sz w:val="20"/>
                <w:szCs w:val="20"/>
                <w:lang w:val="en-US"/>
              </w:rPr>
            </w:pPr>
            <w:r w:rsidRPr="000A35EF">
              <w:rPr>
                <w:rFonts w:eastAsia="Times New Roman"/>
                <w:color w:val="000000"/>
                <w:sz w:val="20"/>
                <w:szCs w:val="20"/>
                <w:lang w:val="en-US"/>
              </w:rPr>
              <w:t>0.15</w:t>
            </w:r>
          </w:p>
        </w:tc>
        <w:tc>
          <w:tcPr>
            <w:tcW w:w="545" w:type="pct"/>
            <w:tcBorders>
              <w:top w:val="nil"/>
              <w:left w:val="nil"/>
              <w:bottom w:val="nil"/>
              <w:right w:val="nil"/>
            </w:tcBorders>
            <w:shd w:val="clear" w:color="auto" w:fill="auto"/>
            <w:noWrap/>
            <w:vAlign w:val="center"/>
            <w:hideMark/>
          </w:tcPr>
          <w:p w:rsidR="00455DEE" w:rsidRPr="000A35EF" w:rsidRDefault="00455DEE" w:rsidP="00FA5866">
            <w:pPr>
              <w:spacing w:after="0" w:line="240" w:lineRule="auto"/>
              <w:ind w:firstLine="0"/>
              <w:jc w:val="center"/>
              <w:rPr>
                <w:rFonts w:eastAsia="Times New Roman"/>
                <w:color w:val="000000"/>
                <w:sz w:val="20"/>
                <w:szCs w:val="20"/>
                <w:lang w:val="en-US"/>
              </w:rPr>
            </w:pPr>
            <w:r w:rsidRPr="000A35EF">
              <w:rPr>
                <w:rFonts w:eastAsia="Times New Roman"/>
                <w:color w:val="000000"/>
                <w:sz w:val="20"/>
                <w:szCs w:val="20"/>
                <w:lang w:val="en-US"/>
              </w:rPr>
              <w:t>0.12</w:t>
            </w:r>
          </w:p>
        </w:tc>
        <w:tc>
          <w:tcPr>
            <w:tcW w:w="199" w:type="pct"/>
            <w:tcBorders>
              <w:top w:val="nil"/>
              <w:left w:val="nil"/>
              <w:bottom w:val="nil"/>
              <w:right w:val="nil"/>
            </w:tcBorders>
            <w:shd w:val="clear" w:color="auto" w:fill="auto"/>
            <w:noWrap/>
            <w:vAlign w:val="center"/>
            <w:hideMark/>
          </w:tcPr>
          <w:p w:rsidR="00455DEE" w:rsidRPr="000A35EF" w:rsidRDefault="00455DEE" w:rsidP="00FA5866">
            <w:pPr>
              <w:spacing w:after="0" w:line="240" w:lineRule="auto"/>
              <w:ind w:firstLine="0"/>
              <w:jc w:val="center"/>
              <w:rPr>
                <w:rFonts w:ascii="Calibri" w:eastAsia="Times New Roman" w:hAnsi="Calibri"/>
                <w:color w:val="000000"/>
                <w:sz w:val="22"/>
                <w:szCs w:val="22"/>
                <w:lang w:val="en-US"/>
              </w:rPr>
            </w:pPr>
          </w:p>
        </w:tc>
        <w:tc>
          <w:tcPr>
            <w:tcW w:w="540" w:type="pct"/>
            <w:tcBorders>
              <w:top w:val="nil"/>
              <w:left w:val="nil"/>
              <w:bottom w:val="nil"/>
              <w:right w:val="nil"/>
            </w:tcBorders>
            <w:shd w:val="clear" w:color="auto" w:fill="auto"/>
            <w:noWrap/>
            <w:vAlign w:val="center"/>
            <w:hideMark/>
          </w:tcPr>
          <w:p w:rsidR="00455DEE" w:rsidRPr="000A35EF" w:rsidRDefault="00455DEE" w:rsidP="00FA5866">
            <w:pPr>
              <w:spacing w:after="0" w:line="240" w:lineRule="auto"/>
              <w:ind w:firstLine="0"/>
              <w:jc w:val="center"/>
              <w:rPr>
                <w:rFonts w:eastAsia="Times New Roman"/>
                <w:b/>
                <w:bCs/>
                <w:color w:val="000000"/>
                <w:sz w:val="20"/>
                <w:szCs w:val="20"/>
                <w:lang w:val="en-US"/>
              </w:rPr>
            </w:pPr>
            <w:r w:rsidRPr="000A35EF">
              <w:rPr>
                <w:rFonts w:eastAsia="Times New Roman"/>
                <w:b/>
                <w:bCs/>
                <w:color w:val="000000"/>
                <w:sz w:val="20"/>
                <w:szCs w:val="20"/>
                <w:lang w:val="en-US"/>
              </w:rPr>
              <w:t>-</w:t>
            </w:r>
            <w:r w:rsidRPr="00522B4B">
              <w:rPr>
                <w:rFonts w:eastAsia="Times New Roman"/>
                <w:b/>
                <w:bCs/>
                <w:color w:val="000000"/>
                <w:sz w:val="18"/>
                <w:szCs w:val="18"/>
                <w:lang w:val="en-US"/>
              </w:rPr>
              <w:t>0.80***</w:t>
            </w:r>
          </w:p>
        </w:tc>
        <w:tc>
          <w:tcPr>
            <w:tcW w:w="540" w:type="pct"/>
            <w:tcBorders>
              <w:top w:val="nil"/>
              <w:left w:val="nil"/>
              <w:bottom w:val="nil"/>
              <w:right w:val="nil"/>
            </w:tcBorders>
            <w:shd w:val="clear" w:color="auto" w:fill="auto"/>
            <w:noWrap/>
            <w:vAlign w:val="center"/>
            <w:hideMark/>
          </w:tcPr>
          <w:p w:rsidR="00455DEE" w:rsidRPr="000A35EF" w:rsidRDefault="00455DEE" w:rsidP="00FA5866">
            <w:pPr>
              <w:spacing w:after="0" w:line="240" w:lineRule="auto"/>
              <w:ind w:firstLine="0"/>
              <w:jc w:val="center"/>
              <w:rPr>
                <w:rFonts w:eastAsia="Times New Roman"/>
                <w:color w:val="000000"/>
                <w:sz w:val="20"/>
                <w:szCs w:val="20"/>
                <w:lang w:val="en-US"/>
              </w:rPr>
            </w:pPr>
            <w:r w:rsidRPr="000A35EF">
              <w:rPr>
                <w:rFonts w:eastAsia="Times New Roman"/>
                <w:color w:val="000000"/>
                <w:sz w:val="20"/>
                <w:szCs w:val="20"/>
                <w:lang w:val="en-US"/>
              </w:rPr>
              <w:t>-0.14</w:t>
            </w:r>
          </w:p>
        </w:tc>
        <w:tc>
          <w:tcPr>
            <w:tcW w:w="545" w:type="pct"/>
            <w:tcBorders>
              <w:top w:val="nil"/>
              <w:left w:val="nil"/>
              <w:bottom w:val="nil"/>
              <w:right w:val="nil"/>
            </w:tcBorders>
            <w:shd w:val="clear" w:color="auto" w:fill="auto"/>
            <w:noWrap/>
            <w:vAlign w:val="center"/>
            <w:hideMark/>
          </w:tcPr>
          <w:p w:rsidR="00455DEE" w:rsidRPr="000A35EF" w:rsidRDefault="00455DEE" w:rsidP="00FA5866">
            <w:pPr>
              <w:spacing w:after="0" w:line="240" w:lineRule="auto"/>
              <w:ind w:firstLine="0"/>
              <w:jc w:val="center"/>
              <w:rPr>
                <w:rFonts w:eastAsia="Times New Roman"/>
                <w:color w:val="000000"/>
                <w:sz w:val="20"/>
                <w:szCs w:val="20"/>
                <w:lang w:val="en-US"/>
              </w:rPr>
            </w:pPr>
            <w:r w:rsidRPr="000A35EF">
              <w:rPr>
                <w:rFonts w:eastAsia="Times New Roman"/>
                <w:color w:val="000000"/>
                <w:sz w:val="20"/>
                <w:szCs w:val="20"/>
                <w:lang w:val="en-US"/>
              </w:rPr>
              <w:t>-0.46</w:t>
            </w:r>
          </w:p>
        </w:tc>
        <w:tc>
          <w:tcPr>
            <w:tcW w:w="545" w:type="pct"/>
            <w:tcBorders>
              <w:top w:val="nil"/>
              <w:left w:val="nil"/>
              <w:bottom w:val="nil"/>
              <w:right w:val="nil"/>
            </w:tcBorders>
            <w:shd w:val="clear" w:color="auto" w:fill="auto"/>
            <w:noWrap/>
            <w:vAlign w:val="center"/>
            <w:hideMark/>
          </w:tcPr>
          <w:p w:rsidR="00455DEE" w:rsidRPr="000A35EF" w:rsidRDefault="00455DEE" w:rsidP="00FA5866">
            <w:pPr>
              <w:spacing w:after="0" w:line="240" w:lineRule="auto"/>
              <w:ind w:firstLine="0"/>
              <w:jc w:val="center"/>
              <w:rPr>
                <w:rFonts w:eastAsia="Times New Roman"/>
                <w:b/>
                <w:bCs/>
                <w:color w:val="000000"/>
                <w:sz w:val="20"/>
                <w:szCs w:val="20"/>
                <w:lang w:val="en-US"/>
              </w:rPr>
            </w:pPr>
            <w:r w:rsidRPr="000A35EF">
              <w:rPr>
                <w:rFonts w:eastAsia="Times New Roman"/>
                <w:b/>
                <w:bCs/>
                <w:color w:val="000000"/>
                <w:sz w:val="20"/>
                <w:szCs w:val="20"/>
                <w:lang w:val="en-US"/>
              </w:rPr>
              <w:t>0.72***</w:t>
            </w:r>
          </w:p>
        </w:tc>
      </w:tr>
      <w:tr w:rsidR="00455DEE" w:rsidRPr="000A35EF" w:rsidTr="00455DEE">
        <w:trPr>
          <w:trHeight w:val="354"/>
          <w:jc w:val="center"/>
        </w:trPr>
        <w:tc>
          <w:tcPr>
            <w:tcW w:w="451" w:type="pct"/>
            <w:tcBorders>
              <w:top w:val="nil"/>
              <w:left w:val="nil"/>
              <w:bottom w:val="single" w:sz="4" w:space="0" w:color="auto"/>
              <w:right w:val="nil"/>
            </w:tcBorders>
            <w:shd w:val="clear" w:color="auto" w:fill="auto"/>
            <w:noWrap/>
            <w:vAlign w:val="bottom"/>
            <w:hideMark/>
          </w:tcPr>
          <w:p w:rsidR="00455DEE" w:rsidRPr="00D06C2F" w:rsidRDefault="00455DEE" w:rsidP="00FA5866">
            <w:pPr>
              <w:spacing w:after="0" w:line="240" w:lineRule="auto"/>
              <w:jc w:val="center"/>
              <w:rPr>
                <w:rFonts w:eastAsia="Times New Roman"/>
                <w:color w:val="000000"/>
                <w:sz w:val="20"/>
                <w:szCs w:val="20"/>
              </w:rPr>
            </w:pPr>
            <m:oMathPara>
              <m:oMath>
                <m:r>
                  <w:rPr>
                    <w:rFonts w:ascii="Cambria Math" w:eastAsia="Times New Roman" w:hAnsi="Cambria Math"/>
                    <w:color w:val="000000"/>
                    <w:sz w:val="20"/>
                    <w:szCs w:val="20"/>
                  </w:rPr>
                  <m:t>∆</m:t>
                </m:r>
                <m:sSub>
                  <m:sSubPr>
                    <m:ctrlPr>
                      <w:rPr>
                        <w:rFonts w:ascii="Cambria Math" w:eastAsia="Times New Roman" w:hAnsi="Cambria Math"/>
                        <w:color w:val="000000"/>
                        <w:sz w:val="20"/>
                        <w:szCs w:val="20"/>
                      </w:rPr>
                    </m:ctrlPr>
                  </m:sSubPr>
                  <m:e>
                    <m:r>
                      <m:rPr>
                        <m:sty m:val="p"/>
                      </m:rPr>
                      <w:rPr>
                        <w:rFonts w:ascii="Cambria Math" w:eastAsia="Times New Roman" w:hAnsi="Cambria Math"/>
                        <w:color w:val="000000"/>
                        <w:sz w:val="20"/>
                        <w:szCs w:val="20"/>
                      </w:rPr>
                      <m:t>Π</m:t>
                    </m:r>
                    <m:ctrlPr>
                      <w:rPr>
                        <w:rFonts w:ascii="Cambria Math" w:eastAsia="Times New Roman" w:hAnsi="Cambria Math"/>
                        <w:i/>
                        <w:color w:val="000000"/>
                        <w:sz w:val="20"/>
                        <w:szCs w:val="20"/>
                      </w:rPr>
                    </m:ctrlPr>
                  </m:e>
                  <m:sub>
                    <m:r>
                      <w:rPr>
                        <w:rFonts w:ascii="Cambria Math" w:eastAsia="Times New Roman" w:hAnsi="Cambria Math"/>
                        <w:color w:val="000000"/>
                        <w:sz w:val="20"/>
                        <w:szCs w:val="20"/>
                      </w:rPr>
                      <m:t>t</m:t>
                    </m:r>
                    <m:r>
                      <w:rPr>
                        <w:rFonts w:ascii="Cambria Math" w:eastAsia="Times New Roman"/>
                        <w:color w:val="000000"/>
                        <w:sz w:val="20"/>
                        <w:szCs w:val="20"/>
                      </w:rPr>
                      <m:t>+16</m:t>
                    </m:r>
                    <m:ctrlPr>
                      <w:rPr>
                        <w:rFonts w:ascii="Cambria Math" w:eastAsia="Times New Roman" w:hAnsi="Cambria Math"/>
                        <w:i/>
                        <w:color w:val="000000"/>
                        <w:sz w:val="20"/>
                        <w:szCs w:val="20"/>
                      </w:rPr>
                    </m:ctrlPr>
                  </m:sub>
                </m:sSub>
              </m:oMath>
            </m:oMathPara>
          </w:p>
        </w:tc>
        <w:tc>
          <w:tcPr>
            <w:tcW w:w="545" w:type="pct"/>
            <w:tcBorders>
              <w:top w:val="nil"/>
              <w:left w:val="nil"/>
              <w:bottom w:val="single" w:sz="4" w:space="0" w:color="auto"/>
              <w:right w:val="nil"/>
            </w:tcBorders>
            <w:shd w:val="clear" w:color="auto" w:fill="auto"/>
            <w:noWrap/>
            <w:vAlign w:val="center"/>
            <w:hideMark/>
          </w:tcPr>
          <w:p w:rsidR="00455DEE" w:rsidRPr="000A35EF" w:rsidRDefault="00455DEE" w:rsidP="00FA5866">
            <w:pPr>
              <w:spacing w:after="0" w:line="240" w:lineRule="auto"/>
              <w:ind w:firstLine="0"/>
              <w:jc w:val="center"/>
              <w:rPr>
                <w:rFonts w:eastAsia="Times New Roman"/>
                <w:color w:val="000000"/>
                <w:sz w:val="20"/>
                <w:szCs w:val="20"/>
                <w:lang w:val="en-US"/>
              </w:rPr>
            </w:pPr>
            <w:r w:rsidRPr="000A35EF">
              <w:rPr>
                <w:rFonts w:eastAsia="Times New Roman"/>
                <w:color w:val="000000"/>
                <w:sz w:val="20"/>
                <w:szCs w:val="20"/>
                <w:lang w:val="en-US"/>
              </w:rPr>
              <w:t>-0.01</w:t>
            </w:r>
          </w:p>
        </w:tc>
        <w:tc>
          <w:tcPr>
            <w:tcW w:w="545" w:type="pct"/>
            <w:tcBorders>
              <w:top w:val="nil"/>
              <w:left w:val="nil"/>
              <w:bottom w:val="single" w:sz="4" w:space="0" w:color="auto"/>
              <w:right w:val="nil"/>
            </w:tcBorders>
            <w:shd w:val="clear" w:color="auto" w:fill="auto"/>
            <w:noWrap/>
            <w:vAlign w:val="center"/>
            <w:hideMark/>
          </w:tcPr>
          <w:p w:rsidR="00455DEE" w:rsidRPr="000A35EF" w:rsidRDefault="00455DEE" w:rsidP="00FA5866">
            <w:pPr>
              <w:spacing w:after="0" w:line="240" w:lineRule="auto"/>
              <w:ind w:firstLine="0"/>
              <w:jc w:val="center"/>
              <w:rPr>
                <w:rFonts w:eastAsia="Times New Roman"/>
                <w:b/>
                <w:bCs/>
                <w:color w:val="000000"/>
                <w:sz w:val="20"/>
                <w:szCs w:val="20"/>
                <w:lang w:val="en-US"/>
              </w:rPr>
            </w:pPr>
            <w:r w:rsidRPr="000A35EF">
              <w:rPr>
                <w:rFonts w:eastAsia="Times New Roman"/>
                <w:b/>
                <w:bCs/>
                <w:color w:val="000000"/>
                <w:sz w:val="20"/>
                <w:szCs w:val="20"/>
                <w:lang w:val="en-US"/>
              </w:rPr>
              <w:t>0.28***</w:t>
            </w:r>
          </w:p>
        </w:tc>
        <w:tc>
          <w:tcPr>
            <w:tcW w:w="545" w:type="pct"/>
            <w:tcBorders>
              <w:top w:val="nil"/>
              <w:left w:val="nil"/>
              <w:bottom w:val="single" w:sz="4" w:space="0" w:color="auto"/>
              <w:right w:val="nil"/>
            </w:tcBorders>
            <w:shd w:val="clear" w:color="auto" w:fill="auto"/>
            <w:noWrap/>
            <w:vAlign w:val="center"/>
            <w:hideMark/>
          </w:tcPr>
          <w:p w:rsidR="00455DEE" w:rsidRPr="000A35EF" w:rsidRDefault="00455DEE" w:rsidP="00FA5866">
            <w:pPr>
              <w:spacing w:after="0" w:line="240" w:lineRule="auto"/>
              <w:ind w:firstLine="0"/>
              <w:jc w:val="center"/>
              <w:rPr>
                <w:rFonts w:eastAsia="Times New Roman"/>
                <w:color w:val="000000"/>
                <w:sz w:val="20"/>
                <w:szCs w:val="20"/>
                <w:lang w:val="en-US"/>
              </w:rPr>
            </w:pPr>
            <w:r w:rsidRPr="000A35EF">
              <w:rPr>
                <w:rFonts w:eastAsia="Times New Roman"/>
                <w:color w:val="000000"/>
                <w:sz w:val="20"/>
                <w:szCs w:val="20"/>
                <w:lang w:val="en-US"/>
              </w:rPr>
              <w:t>-0.00</w:t>
            </w:r>
          </w:p>
        </w:tc>
        <w:tc>
          <w:tcPr>
            <w:tcW w:w="545" w:type="pct"/>
            <w:tcBorders>
              <w:top w:val="nil"/>
              <w:left w:val="nil"/>
              <w:bottom w:val="single" w:sz="4" w:space="0" w:color="auto"/>
              <w:right w:val="nil"/>
            </w:tcBorders>
            <w:shd w:val="clear" w:color="auto" w:fill="auto"/>
            <w:noWrap/>
            <w:vAlign w:val="center"/>
            <w:hideMark/>
          </w:tcPr>
          <w:p w:rsidR="00455DEE" w:rsidRPr="000A35EF" w:rsidRDefault="00455DEE" w:rsidP="00FA5866">
            <w:pPr>
              <w:spacing w:after="0" w:line="240" w:lineRule="auto"/>
              <w:ind w:firstLine="0"/>
              <w:jc w:val="center"/>
              <w:rPr>
                <w:rFonts w:eastAsia="Times New Roman"/>
                <w:color w:val="000000"/>
                <w:sz w:val="20"/>
                <w:szCs w:val="20"/>
                <w:lang w:val="en-US"/>
              </w:rPr>
            </w:pPr>
            <w:r w:rsidRPr="000A35EF">
              <w:rPr>
                <w:rFonts w:eastAsia="Times New Roman"/>
                <w:color w:val="000000"/>
                <w:sz w:val="20"/>
                <w:szCs w:val="20"/>
                <w:lang w:val="en-US"/>
              </w:rPr>
              <w:t>-0.0105</w:t>
            </w:r>
          </w:p>
        </w:tc>
        <w:tc>
          <w:tcPr>
            <w:tcW w:w="199" w:type="pct"/>
            <w:tcBorders>
              <w:top w:val="nil"/>
              <w:left w:val="nil"/>
              <w:bottom w:val="single" w:sz="4" w:space="0" w:color="auto"/>
              <w:right w:val="nil"/>
            </w:tcBorders>
            <w:shd w:val="clear" w:color="auto" w:fill="auto"/>
            <w:noWrap/>
            <w:vAlign w:val="center"/>
            <w:hideMark/>
          </w:tcPr>
          <w:p w:rsidR="00455DEE" w:rsidRPr="000A35EF" w:rsidRDefault="00455DEE" w:rsidP="00FA5866">
            <w:pPr>
              <w:spacing w:after="0" w:line="240" w:lineRule="auto"/>
              <w:ind w:firstLine="0"/>
              <w:jc w:val="center"/>
              <w:rPr>
                <w:rFonts w:ascii="Calibri" w:eastAsia="Times New Roman" w:hAnsi="Calibri"/>
                <w:color w:val="000000"/>
                <w:sz w:val="22"/>
                <w:szCs w:val="22"/>
                <w:lang w:val="en-US"/>
              </w:rPr>
            </w:pPr>
          </w:p>
        </w:tc>
        <w:tc>
          <w:tcPr>
            <w:tcW w:w="540" w:type="pct"/>
            <w:tcBorders>
              <w:top w:val="nil"/>
              <w:left w:val="nil"/>
              <w:bottom w:val="single" w:sz="4" w:space="0" w:color="auto"/>
              <w:right w:val="nil"/>
            </w:tcBorders>
            <w:shd w:val="clear" w:color="auto" w:fill="auto"/>
            <w:noWrap/>
            <w:vAlign w:val="center"/>
            <w:hideMark/>
          </w:tcPr>
          <w:p w:rsidR="00455DEE" w:rsidRPr="000A35EF" w:rsidRDefault="00455DEE" w:rsidP="00FA5866">
            <w:pPr>
              <w:spacing w:after="0" w:line="240" w:lineRule="auto"/>
              <w:ind w:firstLine="0"/>
              <w:jc w:val="center"/>
              <w:rPr>
                <w:rFonts w:eastAsia="Times New Roman"/>
                <w:b/>
                <w:bCs/>
                <w:color w:val="000000"/>
                <w:sz w:val="20"/>
                <w:szCs w:val="20"/>
                <w:lang w:val="en-US"/>
              </w:rPr>
            </w:pPr>
            <w:r w:rsidRPr="000A35EF">
              <w:rPr>
                <w:rFonts w:eastAsia="Times New Roman"/>
                <w:b/>
                <w:bCs/>
                <w:color w:val="000000"/>
                <w:sz w:val="20"/>
                <w:szCs w:val="20"/>
                <w:lang w:val="en-US"/>
              </w:rPr>
              <w:t>-0.54**</w:t>
            </w:r>
          </w:p>
        </w:tc>
        <w:tc>
          <w:tcPr>
            <w:tcW w:w="540" w:type="pct"/>
            <w:tcBorders>
              <w:top w:val="nil"/>
              <w:left w:val="nil"/>
              <w:bottom w:val="single" w:sz="4" w:space="0" w:color="auto"/>
              <w:right w:val="nil"/>
            </w:tcBorders>
            <w:shd w:val="clear" w:color="auto" w:fill="auto"/>
            <w:noWrap/>
            <w:vAlign w:val="center"/>
            <w:hideMark/>
          </w:tcPr>
          <w:p w:rsidR="00455DEE" w:rsidRPr="000A35EF" w:rsidRDefault="00455DEE" w:rsidP="00FA5866">
            <w:pPr>
              <w:spacing w:after="0" w:line="240" w:lineRule="auto"/>
              <w:ind w:firstLine="0"/>
              <w:jc w:val="center"/>
              <w:rPr>
                <w:rFonts w:eastAsia="Times New Roman"/>
                <w:color w:val="000000"/>
                <w:sz w:val="20"/>
                <w:szCs w:val="20"/>
                <w:lang w:val="en-US"/>
              </w:rPr>
            </w:pPr>
            <w:r w:rsidRPr="000A35EF">
              <w:rPr>
                <w:rFonts w:eastAsia="Times New Roman"/>
                <w:color w:val="000000"/>
                <w:sz w:val="20"/>
                <w:szCs w:val="20"/>
                <w:lang w:val="en-US"/>
              </w:rPr>
              <w:t>-0.41</w:t>
            </w:r>
          </w:p>
        </w:tc>
        <w:tc>
          <w:tcPr>
            <w:tcW w:w="545" w:type="pct"/>
            <w:tcBorders>
              <w:top w:val="nil"/>
              <w:left w:val="nil"/>
              <w:bottom w:val="single" w:sz="4" w:space="0" w:color="auto"/>
              <w:right w:val="nil"/>
            </w:tcBorders>
            <w:shd w:val="clear" w:color="auto" w:fill="auto"/>
            <w:noWrap/>
            <w:vAlign w:val="center"/>
            <w:hideMark/>
          </w:tcPr>
          <w:p w:rsidR="00455DEE" w:rsidRPr="000A35EF" w:rsidRDefault="00455DEE" w:rsidP="00FA5866">
            <w:pPr>
              <w:spacing w:after="0" w:line="240" w:lineRule="auto"/>
              <w:ind w:firstLine="0"/>
              <w:jc w:val="center"/>
              <w:rPr>
                <w:rFonts w:eastAsia="Times New Roman"/>
                <w:color w:val="000000"/>
                <w:sz w:val="20"/>
                <w:szCs w:val="20"/>
                <w:lang w:val="en-US"/>
              </w:rPr>
            </w:pPr>
            <w:r w:rsidRPr="000A35EF">
              <w:rPr>
                <w:rFonts w:eastAsia="Times New Roman"/>
                <w:color w:val="000000"/>
                <w:sz w:val="20"/>
                <w:szCs w:val="20"/>
                <w:lang w:val="en-US"/>
              </w:rPr>
              <w:t>-0.25</w:t>
            </w:r>
          </w:p>
        </w:tc>
        <w:tc>
          <w:tcPr>
            <w:tcW w:w="545" w:type="pct"/>
            <w:tcBorders>
              <w:top w:val="nil"/>
              <w:left w:val="nil"/>
              <w:bottom w:val="single" w:sz="4" w:space="0" w:color="auto"/>
              <w:right w:val="nil"/>
            </w:tcBorders>
            <w:shd w:val="clear" w:color="auto" w:fill="auto"/>
            <w:noWrap/>
            <w:vAlign w:val="center"/>
            <w:hideMark/>
          </w:tcPr>
          <w:p w:rsidR="00455DEE" w:rsidRPr="000A35EF" w:rsidRDefault="00455DEE" w:rsidP="00FA5866">
            <w:pPr>
              <w:spacing w:after="0" w:line="240" w:lineRule="auto"/>
              <w:ind w:firstLine="0"/>
              <w:jc w:val="center"/>
              <w:rPr>
                <w:rFonts w:eastAsia="Times New Roman"/>
                <w:b/>
                <w:bCs/>
                <w:color w:val="000000"/>
                <w:sz w:val="20"/>
                <w:szCs w:val="20"/>
                <w:lang w:val="en-US"/>
              </w:rPr>
            </w:pPr>
            <w:r w:rsidRPr="000A35EF">
              <w:rPr>
                <w:rFonts w:eastAsia="Times New Roman"/>
                <w:b/>
                <w:bCs/>
                <w:color w:val="000000"/>
                <w:sz w:val="20"/>
                <w:szCs w:val="20"/>
                <w:lang w:val="en-US"/>
              </w:rPr>
              <w:t>0.67***</w:t>
            </w:r>
          </w:p>
        </w:tc>
      </w:tr>
    </w:tbl>
    <w:p w:rsidR="00455DEE" w:rsidRDefault="00455DEE" w:rsidP="00FA5866">
      <w:pPr>
        <w:spacing w:after="0" w:line="240" w:lineRule="auto"/>
        <w:ind w:firstLine="0"/>
        <w:jc w:val="left"/>
        <w:rPr>
          <w:sz w:val="20"/>
          <w:szCs w:val="20"/>
        </w:rPr>
      </w:pPr>
      <w:r>
        <w:rPr>
          <w:sz w:val="20"/>
          <w:szCs w:val="20"/>
        </w:rPr>
        <w:t>L</w:t>
      </w:r>
      <w:r w:rsidRPr="00AA282F">
        <w:rPr>
          <w:sz w:val="20"/>
          <w:szCs w:val="20"/>
        </w:rPr>
        <w:t xml:space="preserve">egenda: * p&lt;0.1, ** p &lt; 0.05, ***p </w:t>
      </w:r>
      <w:r>
        <w:rPr>
          <w:sz w:val="20"/>
          <w:szCs w:val="20"/>
        </w:rPr>
        <w:t xml:space="preserve">&lt; 0.01. </w:t>
      </w:r>
      <w:r w:rsidRPr="00AA282F">
        <w:rPr>
          <w:sz w:val="20"/>
          <w:szCs w:val="20"/>
        </w:rPr>
        <w:t>Fonte: Elaboração Própria</w:t>
      </w:r>
    </w:p>
    <w:p w:rsidR="00A83548" w:rsidRDefault="00A83548" w:rsidP="00FA5866">
      <w:pPr>
        <w:pStyle w:val="Legenda"/>
        <w:keepNext/>
        <w:spacing w:after="0"/>
        <w:ind w:firstLine="0"/>
        <w:rPr>
          <w:b w:val="0"/>
          <w:color w:val="auto"/>
          <w:sz w:val="24"/>
          <w:szCs w:val="24"/>
        </w:rPr>
      </w:pPr>
      <w:bookmarkStart w:id="11" w:name="_Toc379458537"/>
    </w:p>
    <w:p w:rsidR="00455DEE" w:rsidRDefault="00455DEE" w:rsidP="00FA5866">
      <w:pPr>
        <w:pStyle w:val="Legenda"/>
        <w:keepNext/>
        <w:spacing w:after="0"/>
        <w:ind w:firstLine="0"/>
        <w:rPr>
          <w:b w:val="0"/>
          <w:color w:val="auto"/>
          <w:sz w:val="24"/>
          <w:szCs w:val="24"/>
        </w:rPr>
      </w:pPr>
      <w:r w:rsidRPr="007F3E97">
        <w:rPr>
          <w:b w:val="0"/>
          <w:color w:val="auto"/>
          <w:sz w:val="24"/>
          <w:szCs w:val="24"/>
        </w:rPr>
        <w:t xml:space="preserve">Tabela </w:t>
      </w:r>
      <w:r>
        <w:rPr>
          <w:b w:val="0"/>
          <w:color w:val="auto"/>
          <w:sz w:val="24"/>
          <w:szCs w:val="24"/>
        </w:rPr>
        <w:t>6</w:t>
      </w:r>
      <w:r w:rsidRPr="007F3E97">
        <w:rPr>
          <w:b w:val="0"/>
          <w:color w:val="auto"/>
          <w:sz w:val="24"/>
          <w:szCs w:val="24"/>
        </w:rPr>
        <w:t xml:space="preserve">: Correlação - </w:t>
      </w:r>
      <w:r>
        <w:rPr>
          <w:b w:val="0"/>
          <w:color w:val="auto"/>
          <w:sz w:val="24"/>
          <w:szCs w:val="24"/>
        </w:rPr>
        <w:t>Janelas longo prazo</w:t>
      </w:r>
      <w:bookmarkEnd w:id="11"/>
    </w:p>
    <w:tbl>
      <w:tblPr>
        <w:tblW w:w="5000" w:type="pct"/>
        <w:tblLook w:val="04A0"/>
      </w:tblPr>
      <w:tblGrid>
        <w:gridCol w:w="1226"/>
        <w:gridCol w:w="1327"/>
        <w:gridCol w:w="1328"/>
        <w:gridCol w:w="1328"/>
        <w:gridCol w:w="1227"/>
        <w:gridCol w:w="1328"/>
        <w:gridCol w:w="1328"/>
        <w:gridCol w:w="1328"/>
      </w:tblGrid>
      <w:tr w:rsidR="00455DEE" w:rsidRPr="00A90656" w:rsidTr="00455DEE">
        <w:trPr>
          <w:trHeight w:val="315"/>
        </w:trPr>
        <w:tc>
          <w:tcPr>
            <w:tcW w:w="589" w:type="pct"/>
            <w:tcBorders>
              <w:top w:val="single" w:sz="4" w:space="0" w:color="auto"/>
              <w:left w:val="nil"/>
              <w:bottom w:val="nil"/>
              <w:right w:val="nil"/>
            </w:tcBorders>
            <w:shd w:val="clear" w:color="auto" w:fill="auto"/>
            <w:noWrap/>
            <w:vAlign w:val="bottom"/>
            <w:hideMark/>
          </w:tcPr>
          <w:p w:rsidR="00455DEE" w:rsidRPr="00A90656" w:rsidRDefault="00455DEE" w:rsidP="00FA5866">
            <w:pPr>
              <w:spacing w:after="0" w:line="240" w:lineRule="auto"/>
              <w:ind w:firstLine="0"/>
              <w:jc w:val="left"/>
              <w:rPr>
                <w:rFonts w:ascii="Calibri" w:eastAsia="Times New Roman" w:hAnsi="Calibri"/>
                <w:color w:val="000000"/>
                <w:sz w:val="22"/>
                <w:szCs w:val="22"/>
              </w:rPr>
            </w:pPr>
            <w:r w:rsidRPr="00A90656">
              <w:rPr>
                <w:rFonts w:ascii="Calibri" w:eastAsia="Times New Roman" w:hAnsi="Calibri"/>
                <w:color w:val="000000"/>
                <w:sz w:val="22"/>
                <w:szCs w:val="22"/>
              </w:rPr>
              <w:t> </w:t>
            </w:r>
          </w:p>
        </w:tc>
        <w:tc>
          <w:tcPr>
            <w:tcW w:w="637" w:type="pct"/>
            <w:tcBorders>
              <w:top w:val="single" w:sz="4" w:space="0" w:color="auto"/>
              <w:left w:val="nil"/>
              <w:bottom w:val="nil"/>
              <w:right w:val="nil"/>
            </w:tcBorders>
            <w:shd w:val="clear" w:color="auto" w:fill="auto"/>
            <w:noWrap/>
            <w:vAlign w:val="bottom"/>
            <w:hideMark/>
          </w:tcPr>
          <w:p w:rsidR="00455DEE" w:rsidRPr="00FD3A9D" w:rsidRDefault="00455DEE" w:rsidP="00FA5866">
            <w:pPr>
              <w:spacing w:after="0" w:line="240" w:lineRule="auto"/>
              <w:ind w:firstLine="0"/>
              <w:jc w:val="left"/>
              <w:rPr>
                <w:rFonts w:eastAsia="Times New Roman"/>
                <w:color w:val="000000"/>
                <w:sz w:val="22"/>
                <w:szCs w:val="22"/>
                <w:lang w:val="en-US"/>
              </w:rPr>
            </w:pPr>
            <w:proofErr w:type="spellStart"/>
            <w:r w:rsidRPr="00FD3A9D">
              <w:rPr>
                <w:rFonts w:eastAsia="Times New Roman"/>
                <w:color w:val="000000"/>
                <w:sz w:val="22"/>
                <w:szCs w:val="22"/>
                <w:lang w:val="en-US"/>
              </w:rPr>
              <w:t>Rivais</w:t>
            </w:r>
            <w:proofErr w:type="spellEnd"/>
          </w:p>
        </w:tc>
        <w:tc>
          <w:tcPr>
            <w:tcW w:w="637" w:type="pct"/>
            <w:tcBorders>
              <w:top w:val="single" w:sz="4" w:space="0" w:color="auto"/>
              <w:left w:val="nil"/>
              <w:bottom w:val="nil"/>
              <w:right w:val="nil"/>
            </w:tcBorders>
            <w:shd w:val="clear" w:color="auto" w:fill="auto"/>
            <w:noWrap/>
            <w:vAlign w:val="bottom"/>
            <w:hideMark/>
          </w:tcPr>
          <w:p w:rsidR="00455DEE" w:rsidRPr="00FD3A9D" w:rsidRDefault="00455DEE" w:rsidP="00FA5866">
            <w:pPr>
              <w:spacing w:after="0" w:line="240" w:lineRule="auto"/>
              <w:ind w:firstLine="0"/>
              <w:jc w:val="left"/>
              <w:rPr>
                <w:rFonts w:eastAsia="Times New Roman"/>
                <w:color w:val="000000"/>
                <w:sz w:val="22"/>
                <w:szCs w:val="22"/>
                <w:lang w:val="en-US"/>
              </w:rPr>
            </w:pPr>
            <w:r w:rsidRPr="00FD3A9D">
              <w:rPr>
                <w:rFonts w:eastAsia="Times New Roman"/>
                <w:color w:val="000000"/>
                <w:sz w:val="22"/>
                <w:szCs w:val="22"/>
                <w:lang w:val="en-US"/>
              </w:rPr>
              <w:t> </w:t>
            </w:r>
          </w:p>
        </w:tc>
        <w:tc>
          <w:tcPr>
            <w:tcW w:w="637" w:type="pct"/>
            <w:tcBorders>
              <w:top w:val="single" w:sz="4" w:space="0" w:color="auto"/>
              <w:left w:val="nil"/>
              <w:bottom w:val="nil"/>
              <w:right w:val="nil"/>
            </w:tcBorders>
            <w:shd w:val="clear" w:color="auto" w:fill="auto"/>
            <w:noWrap/>
            <w:vAlign w:val="bottom"/>
            <w:hideMark/>
          </w:tcPr>
          <w:p w:rsidR="00455DEE" w:rsidRPr="00FD3A9D" w:rsidRDefault="00455DEE" w:rsidP="00FA5866">
            <w:pPr>
              <w:spacing w:after="0" w:line="240" w:lineRule="auto"/>
              <w:ind w:firstLine="0"/>
              <w:jc w:val="left"/>
              <w:rPr>
                <w:rFonts w:eastAsia="Times New Roman"/>
                <w:color w:val="000000"/>
                <w:sz w:val="22"/>
                <w:szCs w:val="22"/>
                <w:lang w:val="en-US"/>
              </w:rPr>
            </w:pPr>
            <w:r w:rsidRPr="00FD3A9D">
              <w:rPr>
                <w:rFonts w:eastAsia="Times New Roman"/>
                <w:color w:val="000000"/>
                <w:sz w:val="22"/>
                <w:szCs w:val="22"/>
                <w:lang w:val="en-US"/>
              </w:rPr>
              <w:t> </w:t>
            </w:r>
          </w:p>
        </w:tc>
        <w:tc>
          <w:tcPr>
            <w:tcW w:w="589" w:type="pct"/>
            <w:tcBorders>
              <w:top w:val="single" w:sz="4" w:space="0" w:color="auto"/>
              <w:left w:val="nil"/>
              <w:bottom w:val="nil"/>
              <w:right w:val="nil"/>
            </w:tcBorders>
            <w:shd w:val="clear" w:color="auto" w:fill="auto"/>
            <w:noWrap/>
            <w:vAlign w:val="bottom"/>
            <w:hideMark/>
          </w:tcPr>
          <w:p w:rsidR="00455DEE" w:rsidRPr="00FD3A9D" w:rsidRDefault="00455DEE" w:rsidP="00FA5866">
            <w:pPr>
              <w:spacing w:after="0" w:line="240" w:lineRule="auto"/>
              <w:ind w:firstLine="0"/>
              <w:jc w:val="left"/>
              <w:rPr>
                <w:rFonts w:eastAsia="Times New Roman"/>
                <w:color w:val="000000"/>
                <w:sz w:val="22"/>
                <w:szCs w:val="22"/>
                <w:lang w:val="en-US"/>
              </w:rPr>
            </w:pPr>
            <w:r w:rsidRPr="00FD3A9D">
              <w:rPr>
                <w:rFonts w:eastAsia="Times New Roman"/>
                <w:color w:val="000000"/>
                <w:sz w:val="22"/>
                <w:szCs w:val="22"/>
                <w:lang w:val="en-US"/>
              </w:rPr>
              <w:t> </w:t>
            </w:r>
          </w:p>
        </w:tc>
        <w:tc>
          <w:tcPr>
            <w:tcW w:w="1274" w:type="pct"/>
            <w:gridSpan w:val="2"/>
            <w:tcBorders>
              <w:top w:val="single" w:sz="4" w:space="0" w:color="auto"/>
              <w:left w:val="nil"/>
              <w:bottom w:val="nil"/>
              <w:right w:val="nil"/>
            </w:tcBorders>
            <w:shd w:val="clear" w:color="auto" w:fill="auto"/>
            <w:noWrap/>
            <w:vAlign w:val="bottom"/>
            <w:hideMark/>
          </w:tcPr>
          <w:p w:rsidR="00455DEE" w:rsidRPr="00FD3A9D" w:rsidRDefault="00455DEE" w:rsidP="00FA5866">
            <w:pPr>
              <w:spacing w:after="0" w:line="240" w:lineRule="auto"/>
              <w:ind w:firstLine="0"/>
              <w:jc w:val="left"/>
              <w:rPr>
                <w:rFonts w:eastAsia="Times New Roman"/>
                <w:color w:val="000000"/>
                <w:sz w:val="22"/>
                <w:szCs w:val="22"/>
                <w:lang w:val="en-US"/>
              </w:rPr>
            </w:pPr>
            <w:proofErr w:type="spellStart"/>
            <w:r w:rsidRPr="00FD3A9D">
              <w:rPr>
                <w:rFonts w:eastAsia="Times New Roman"/>
                <w:color w:val="000000"/>
                <w:sz w:val="22"/>
                <w:szCs w:val="22"/>
                <w:lang w:val="en-US"/>
              </w:rPr>
              <w:t>Fusionadas</w:t>
            </w:r>
            <w:proofErr w:type="spellEnd"/>
          </w:p>
        </w:tc>
        <w:tc>
          <w:tcPr>
            <w:tcW w:w="637" w:type="pct"/>
            <w:tcBorders>
              <w:top w:val="single" w:sz="4" w:space="0" w:color="auto"/>
              <w:left w:val="nil"/>
              <w:bottom w:val="nil"/>
              <w:right w:val="nil"/>
            </w:tcBorders>
            <w:shd w:val="clear" w:color="auto" w:fill="auto"/>
            <w:noWrap/>
            <w:vAlign w:val="bottom"/>
            <w:hideMark/>
          </w:tcPr>
          <w:p w:rsidR="00455DEE" w:rsidRPr="00A90656" w:rsidRDefault="00455DEE" w:rsidP="00FA5866">
            <w:pPr>
              <w:spacing w:after="0" w:line="240" w:lineRule="auto"/>
              <w:ind w:firstLine="0"/>
              <w:jc w:val="left"/>
              <w:rPr>
                <w:rFonts w:ascii="Calibri" w:eastAsia="Times New Roman" w:hAnsi="Calibri"/>
                <w:color w:val="000000"/>
                <w:sz w:val="22"/>
                <w:szCs w:val="22"/>
                <w:lang w:val="en-US"/>
              </w:rPr>
            </w:pPr>
            <w:r w:rsidRPr="00A90656">
              <w:rPr>
                <w:rFonts w:ascii="Calibri" w:eastAsia="Times New Roman" w:hAnsi="Calibri"/>
                <w:color w:val="000000"/>
                <w:sz w:val="22"/>
                <w:szCs w:val="22"/>
                <w:lang w:val="en-US"/>
              </w:rPr>
              <w:t> </w:t>
            </w:r>
          </w:p>
        </w:tc>
      </w:tr>
      <w:tr w:rsidR="00455DEE" w:rsidRPr="00A90656" w:rsidTr="00455DEE">
        <w:trPr>
          <w:trHeight w:val="300"/>
        </w:trPr>
        <w:tc>
          <w:tcPr>
            <w:tcW w:w="589" w:type="pct"/>
            <w:tcBorders>
              <w:top w:val="nil"/>
              <w:left w:val="nil"/>
              <w:bottom w:val="nil"/>
              <w:right w:val="nil"/>
            </w:tcBorders>
            <w:shd w:val="clear" w:color="auto" w:fill="auto"/>
            <w:noWrap/>
            <w:vAlign w:val="bottom"/>
            <w:hideMark/>
          </w:tcPr>
          <w:p w:rsidR="00455DEE" w:rsidRPr="00A90656" w:rsidRDefault="00455DEE" w:rsidP="00FA5866">
            <w:pPr>
              <w:spacing w:after="0" w:line="240" w:lineRule="auto"/>
              <w:ind w:firstLine="0"/>
              <w:jc w:val="left"/>
              <w:rPr>
                <w:rFonts w:ascii="Calibri" w:eastAsia="Times New Roman" w:hAnsi="Calibri"/>
                <w:color w:val="000000"/>
                <w:sz w:val="22"/>
                <w:szCs w:val="22"/>
                <w:lang w:val="en-US"/>
              </w:rPr>
            </w:pPr>
          </w:p>
        </w:tc>
        <w:tc>
          <w:tcPr>
            <w:tcW w:w="637" w:type="pct"/>
            <w:tcBorders>
              <w:top w:val="single" w:sz="4" w:space="0" w:color="auto"/>
              <w:left w:val="nil"/>
              <w:bottom w:val="single" w:sz="4" w:space="0" w:color="auto"/>
              <w:right w:val="nil"/>
            </w:tcBorders>
            <w:shd w:val="clear" w:color="auto" w:fill="auto"/>
            <w:noWrap/>
            <w:vAlign w:val="center"/>
            <w:hideMark/>
          </w:tcPr>
          <w:p w:rsidR="00455DEE" w:rsidRPr="00A90656" w:rsidRDefault="00455DEE" w:rsidP="00FA5866">
            <w:pPr>
              <w:spacing w:after="0" w:line="240" w:lineRule="auto"/>
              <w:ind w:firstLine="0"/>
              <w:jc w:val="center"/>
              <w:rPr>
                <w:rFonts w:eastAsia="Times New Roman"/>
                <w:color w:val="000000"/>
                <w:sz w:val="20"/>
                <w:szCs w:val="20"/>
                <w:lang w:val="en-US"/>
              </w:rPr>
            </w:pPr>
            <w:r w:rsidRPr="00A90656">
              <w:rPr>
                <w:rFonts w:eastAsia="Times New Roman"/>
                <w:color w:val="000000"/>
                <w:sz w:val="20"/>
                <w:szCs w:val="20"/>
                <w:lang w:val="en-US"/>
              </w:rPr>
              <w:t>CAR (244)</w:t>
            </w:r>
          </w:p>
        </w:tc>
        <w:tc>
          <w:tcPr>
            <w:tcW w:w="637" w:type="pct"/>
            <w:tcBorders>
              <w:top w:val="single" w:sz="4" w:space="0" w:color="auto"/>
              <w:left w:val="nil"/>
              <w:bottom w:val="single" w:sz="4" w:space="0" w:color="auto"/>
              <w:right w:val="nil"/>
            </w:tcBorders>
            <w:shd w:val="clear" w:color="auto" w:fill="auto"/>
            <w:noWrap/>
            <w:vAlign w:val="center"/>
            <w:hideMark/>
          </w:tcPr>
          <w:p w:rsidR="00455DEE" w:rsidRPr="00A90656" w:rsidRDefault="00455DEE" w:rsidP="00FA5866">
            <w:pPr>
              <w:spacing w:after="0" w:line="240" w:lineRule="auto"/>
              <w:ind w:firstLine="0"/>
              <w:jc w:val="center"/>
              <w:rPr>
                <w:rFonts w:eastAsia="Times New Roman"/>
                <w:color w:val="000000"/>
                <w:sz w:val="20"/>
                <w:szCs w:val="20"/>
                <w:lang w:val="en-US"/>
              </w:rPr>
            </w:pPr>
            <w:r w:rsidRPr="00A90656">
              <w:rPr>
                <w:rFonts w:eastAsia="Times New Roman"/>
                <w:color w:val="000000"/>
                <w:sz w:val="20"/>
                <w:szCs w:val="20"/>
                <w:lang w:val="en-US"/>
              </w:rPr>
              <w:t>CAR (488)</w:t>
            </w:r>
          </w:p>
        </w:tc>
        <w:tc>
          <w:tcPr>
            <w:tcW w:w="637" w:type="pct"/>
            <w:tcBorders>
              <w:top w:val="single" w:sz="4" w:space="0" w:color="auto"/>
              <w:left w:val="nil"/>
              <w:bottom w:val="single" w:sz="4" w:space="0" w:color="auto"/>
              <w:right w:val="nil"/>
            </w:tcBorders>
            <w:shd w:val="clear" w:color="auto" w:fill="auto"/>
            <w:noWrap/>
            <w:vAlign w:val="center"/>
            <w:hideMark/>
          </w:tcPr>
          <w:p w:rsidR="00455DEE" w:rsidRPr="00A90656" w:rsidRDefault="00455DEE" w:rsidP="00FA5866">
            <w:pPr>
              <w:spacing w:after="0" w:line="240" w:lineRule="auto"/>
              <w:ind w:firstLine="0"/>
              <w:jc w:val="center"/>
              <w:rPr>
                <w:rFonts w:eastAsia="Times New Roman"/>
                <w:color w:val="000000"/>
                <w:sz w:val="20"/>
                <w:szCs w:val="20"/>
                <w:lang w:val="en-US"/>
              </w:rPr>
            </w:pPr>
            <w:r w:rsidRPr="00A90656">
              <w:rPr>
                <w:rFonts w:eastAsia="Times New Roman"/>
                <w:color w:val="000000"/>
                <w:sz w:val="20"/>
                <w:szCs w:val="20"/>
                <w:lang w:val="en-US"/>
              </w:rPr>
              <w:t>CAR (732)</w:t>
            </w:r>
          </w:p>
        </w:tc>
        <w:tc>
          <w:tcPr>
            <w:tcW w:w="589" w:type="pct"/>
            <w:tcBorders>
              <w:top w:val="nil"/>
              <w:left w:val="nil"/>
              <w:bottom w:val="single" w:sz="4" w:space="0" w:color="auto"/>
              <w:right w:val="nil"/>
            </w:tcBorders>
            <w:shd w:val="clear" w:color="auto" w:fill="auto"/>
            <w:noWrap/>
            <w:vAlign w:val="center"/>
            <w:hideMark/>
          </w:tcPr>
          <w:p w:rsidR="00455DEE" w:rsidRPr="00A90656" w:rsidRDefault="00455DEE" w:rsidP="00FA5866">
            <w:pPr>
              <w:spacing w:after="0" w:line="240" w:lineRule="auto"/>
              <w:ind w:firstLine="0"/>
              <w:jc w:val="center"/>
              <w:rPr>
                <w:rFonts w:eastAsia="Times New Roman"/>
                <w:color w:val="000000"/>
                <w:sz w:val="20"/>
                <w:szCs w:val="20"/>
                <w:lang w:val="en-US"/>
              </w:rPr>
            </w:pPr>
            <w:r w:rsidRPr="00A90656">
              <w:rPr>
                <w:rFonts w:eastAsia="Times New Roman"/>
                <w:color w:val="000000"/>
                <w:sz w:val="20"/>
                <w:szCs w:val="20"/>
                <w:lang w:val="en-US"/>
              </w:rPr>
              <w:t> </w:t>
            </w:r>
          </w:p>
        </w:tc>
        <w:tc>
          <w:tcPr>
            <w:tcW w:w="637" w:type="pct"/>
            <w:tcBorders>
              <w:top w:val="single" w:sz="4" w:space="0" w:color="auto"/>
              <w:left w:val="nil"/>
              <w:bottom w:val="single" w:sz="4" w:space="0" w:color="auto"/>
              <w:right w:val="nil"/>
            </w:tcBorders>
            <w:shd w:val="clear" w:color="auto" w:fill="auto"/>
            <w:noWrap/>
            <w:vAlign w:val="center"/>
            <w:hideMark/>
          </w:tcPr>
          <w:p w:rsidR="00455DEE" w:rsidRPr="00A90656" w:rsidRDefault="00455DEE" w:rsidP="00FA5866">
            <w:pPr>
              <w:spacing w:after="0" w:line="240" w:lineRule="auto"/>
              <w:ind w:firstLine="0"/>
              <w:jc w:val="center"/>
              <w:rPr>
                <w:rFonts w:eastAsia="Times New Roman"/>
                <w:color w:val="000000"/>
                <w:sz w:val="20"/>
                <w:szCs w:val="20"/>
                <w:lang w:val="en-US"/>
              </w:rPr>
            </w:pPr>
            <w:r w:rsidRPr="00A90656">
              <w:rPr>
                <w:rFonts w:eastAsia="Times New Roman"/>
                <w:color w:val="000000"/>
                <w:sz w:val="20"/>
                <w:szCs w:val="20"/>
                <w:lang w:val="en-US"/>
              </w:rPr>
              <w:t>CAR (244)</w:t>
            </w:r>
          </w:p>
        </w:tc>
        <w:tc>
          <w:tcPr>
            <w:tcW w:w="637" w:type="pct"/>
            <w:tcBorders>
              <w:top w:val="single" w:sz="4" w:space="0" w:color="auto"/>
              <w:left w:val="nil"/>
              <w:bottom w:val="single" w:sz="4" w:space="0" w:color="auto"/>
              <w:right w:val="nil"/>
            </w:tcBorders>
            <w:shd w:val="clear" w:color="auto" w:fill="auto"/>
            <w:noWrap/>
            <w:vAlign w:val="center"/>
            <w:hideMark/>
          </w:tcPr>
          <w:p w:rsidR="00455DEE" w:rsidRPr="00A90656" w:rsidRDefault="00455DEE" w:rsidP="00FA5866">
            <w:pPr>
              <w:spacing w:after="0" w:line="240" w:lineRule="auto"/>
              <w:ind w:firstLine="0"/>
              <w:jc w:val="center"/>
              <w:rPr>
                <w:rFonts w:eastAsia="Times New Roman"/>
                <w:color w:val="000000"/>
                <w:sz w:val="20"/>
                <w:szCs w:val="20"/>
                <w:lang w:val="en-US"/>
              </w:rPr>
            </w:pPr>
            <w:r w:rsidRPr="00A90656">
              <w:rPr>
                <w:rFonts w:eastAsia="Times New Roman"/>
                <w:color w:val="000000"/>
                <w:sz w:val="20"/>
                <w:szCs w:val="20"/>
                <w:lang w:val="en-US"/>
              </w:rPr>
              <w:t>CAR (488)</w:t>
            </w:r>
          </w:p>
        </w:tc>
        <w:tc>
          <w:tcPr>
            <w:tcW w:w="637" w:type="pct"/>
            <w:tcBorders>
              <w:top w:val="single" w:sz="4" w:space="0" w:color="auto"/>
              <w:left w:val="nil"/>
              <w:bottom w:val="single" w:sz="4" w:space="0" w:color="auto"/>
              <w:right w:val="nil"/>
            </w:tcBorders>
            <w:shd w:val="clear" w:color="auto" w:fill="auto"/>
            <w:noWrap/>
            <w:vAlign w:val="center"/>
            <w:hideMark/>
          </w:tcPr>
          <w:p w:rsidR="00455DEE" w:rsidRPr="00A90656" w:rsidRDefault="00455DEE" w:rsidP="00FA5866">
            <w:pPr>
              <w:spacing w:after="0" w:line="240" w:lineRule="auto"/>
              <w:ind w:firstLine="0"/>
              <w:jc w:val="center"/>
              <w:rPr>
                <w:rFonts w:eastAsia="Times New Roman"/>
                <w:color w:val="000000"/>
                <w:sz w:val="20"/>
                <w:szCs w:val="20"/>
                <w:lang w:val="en-US"/>
              </w:rPr>
            </w:pPr>
            <w:r w:rsidRPr="00A90656">
              <w:rPr>
                <w:rFonts w:eastAsia="Times New Roman"/>
                <w:color w:val="000000"/>
                <w:sz w:val="20"/>
                <w:szCs w:val="20"/>
                <w:lang w:val="en-US"/>
              </w:rPr>
              <w:t>CAR (732)</w:t>
            </w:r>
          </w:p>
        </w:tc>
      </w:tr>
      <w:tr w:rsidR="00455DEE" w:rsidRPr="00A90656" w:rsidTr="00455DEE">
        <w:trPr>
          <w:trHeight w:val="300"/>
        </w:trPr>
        <w:tc>
          <w:tcPr>
            <w:tcW w:w="589" w:type="pct"/>
            <w:tcBorders>
              <w:top w:val="nil"/>
              <w:left w:val="nil"/>
              <w:bottom w:val="nil"/>
              <w:right w:val="nil"/>
            </w:tcBorders>
            <w:shd w:val="clear" w:color="auto" w:fill="auto"/>
            <w:noWrap/>
            <w:vAlign w:val="bottom"/>
            <w:hideMark/>
          </w:tcPr>
          <w:p w:rsidR="00455DEE" w:rsidRPr="000A35EF" w:rsidRDefault="00455DEE" w:rsidP="00FA5866">
            <w:pPr>
              <w:spacing w:after="0" w:line="240" w:lineRule="auto"/>
              <w:ind w:firstLine="0"/>
              <w:jc w:val="right"/>
              <w:rPr>
                <w:rFonts w:ascii="Calibri" w:eastAsia="Times New Roman" w:hAnsi="Calibri"/>
                <w:color w:val="000000"/>
                <w:sz w:val="22"/>
                <w:szCs w:val="22"/>
                <w:lang w:val="en-US"/>
              </w:rPr>
            </w:pPr>
            <m:oMathPara>
              <m:oMath>
                <m:r>
                  <w:rPr>
                    <w:rFonts w:ascii="Cambria Math" w:eastAsia="Times New Roman" w:hAnsi="Cambria Math"/>
                    <w:color w:val="000000"/>
                    <w:sz w:val="20"/>
                    <w:szCs w:val="20"/>
                  </w:rPr>
                  <m:t>∆</m:t>
                </m:r>
                <m:sSub>
                  <m:sSubPr>
                    <m:ctrlPr>
                      <w:rPr>
                        <w:rFonts w:ascii="Cambria Math" w:eastAsia="Times New Roman" w:hAnsi="Cambria Math"/>
                        <w:color w:val="000000"/>
                        <w:sz w:val="20"/>
                        <w:szCs w:val="20"/>
                      </w:rPr>
                    </m:ctrlPr>
                  </m:sSubPr>
                  <m:e>
                    <m:r>
                      <m:rPr>
                        <m:sty m:val="p"/>
                      </m:rPr>
                      <w:rPr>
                        <w:rFonts w:ascii="Cambria Math" w:eastAsia="Times New Roman" w:hAnsi="Cambria Math"/>
                        <w:color w:val="000000"/>
                        <w:sz w:val="20"/>
                        <w:szCs w:val="20"/>
                      </w:rPr>
                      <m:t>Π</m:t>
                    </m:r>
                    <m:ctrlPr>
                      <w:rPr>
                        <w:rFonts w:ascii="Cambria Math" w:eastAsia="Times New Roman" w:hAnsi="Cambria Math"/>
                        <w:i/>
                        <w:color w:val="000000"/>
                        <w:sz w:val="20"/>
                        <w:szCs w:val="20"/>
                      </w:rPr>
                    </m:ctrlPr>
                  </m:e>
                  <m:sub>
                    <m:r>
                      <w:rPr>
                        <w:rFonts w:ascii="Cambria Math" w:eastAsia="Times New Roman" w:hAnsi="Cambria Math"/>
                        <w:color w:val="000000"/>
                        <w:sz w:val="20"/>
                        <w:szCs w:val="20"/>
                      </w:rPr>
                      <m:t>t</m:t>
                    </m:r>
                    <m:r>
                      <w:rPr>
                        <w:rFonts w:ascii="Cambria Math" w:eastAsia="Times New Roman"/>
                        <w:color w:val="000000"/>
                        <w:sz w:val="20"/>
                        <w:szCs w:val="20"/>
                      </w:rPr>
                      <m:t>+1</m:t>
                    </m:r>
                    <m:ctrlPr>
                      <w:rPr>
                        <w:rFonts w:ascii="Cambria Math" w:eastAsia="Times New Roman" w:hAnsi="Cambria Math"/>
                        <w:i/>
                        <w:color w:val="000000"/>
                        <w:sz w:val="20"/>
                        <w:szCs w:val="20"/>
                      </w:rPr>
                    </m:ctrlPr>
                  </m:sub>
                </m:sSub>
              </m:oMath>
            </m:oMathPara>
          </w:p>
        </w:tc>
        <w:tc>
          <w:tcPr>
            <w:tcW w:w="637" w:type="pct"/>
            <w:tcBorders>
              <w:top w:val="nil"/>
              <w:left w:val="nil"/>
              <w:bottom w:val="nil"/>
              <w:right w:val="nil"/>
            </w:tcBorders>
            <w:shd w:val="clear" w:color="auto" w:fill="auto"/>
            <w:noWrap/>
            <w:vAlign w:val="center"/>
            <w:hideMark/>
          </w:tcPr>
          <w:p w:rsidR="00455DEE" w:rsidRPr="000139D8" w:rsidRDefault="00455DEE" w:rsidP="00FA5866">
            <w:pPr>
              <w:spacing w:after="0" w:line="240" w:lineRule="auto"/>
              <w:ind w:firstLine="0"/>
              <w:jc w:val="right"/>
              <w:rPr>
                <w:rFonts w:eastAsia="Times New Roman"/>
                <w:color w:val="000000"/>
                <w:sz w:val="20"/>
                <w:szCs w:val="20"/>
                <w:lang w:val="en-US"/>
              </w:rPr>
            </w:pPr>
            <w:r w:rsidRPr="000139D8">
              <w:rPr>
                <w:rFonts w:eastAsia="Times New Roman"/>
                <w:color w:val="000000"/>
                <w:sz w:val="20"/>
                <w:szCs w:val="20"/>
                <w:lang w:val="en-US"/>
              </w:rPr>
              <w:t>0.0564</w:t>
            </w:r>
          </w:p>
        </w:tc>
        <w:tc>
          <w:tcPr>
            <w:tcW w:w="637" w:type="pct"/>
            <w:tcBorders>
              <w:top w:val="nil"/>
              <w:left w:val="nil"/>
              <w:bottom w:val="nil"/>
              <w:right w:val="nil"/>
            </w:tcBorders>
            <w:shd w:val="clear" w:color="auto" w:fill="auto"/>
            <w:noWrap/>
            <w:vAlign w:val="center"/>
            <w:hideMark/>
          </w:tcPr>
          <w:p w:rsidR="00455DEE" w:rsidRPr="000139D8" w:rsidRDefault="00455DEE" w:rsidP="00FA5866">
            <w:pPr>
              <w:spacing w:after="0" w:line="240" w:lineRule="auto"/>
              <w:ind w:firstLine="0"/>
              <w:jc w:val="right"/>
              <w:rPr>
                <w:rFonts w:eastAsia="Times New Roman"/>
                <w:color w:val="000000"/>
                <w:sz w:val="20"/>
                <w:szCs w:val="20"/>
                <w:lang w:val="en-US"/>
              </w:rPr>
            </w:pPr>
            <w:r w:rsidRPr="000139D8">
              <w:rPr>
                <w:rFonts w:eastAsia="Times New Roman"/>
                <w:color w:val="000000"/>
                <w:sz w:val="20"/>
                <w:szCs w:val="20"/>
                <w:lang w:val="en-US"/>
              </w:rPr>
              <w:t>0.0292</w:t>
            </w:r>
          </w:p>
        </w:tc>
        <w:tc>
          <w:tcPr>
            <w:tcW w:w="637" w:type="pct"/>
            <w:tcBorders>
              <w:top w:val="nil"/>
              <w:left w:val="nil"/>
              <w:bottom w:val="nil"/>
              <w:right w:val="nil"/>
            </w:tcBorders>
            <w:shd w:val="clear" w:color="auto" w:fill="auto"/>
            <w:noWrap/>
            <w:vAlign w:val="center"/>
            <w:hideMark/>
          </w:tcPr>
          <w:p w:rsidR="00455DEE" w:rsidRPr="000139D8" w:rsidRDefault="00455DEE" w:rsidP="00FA5866">
            <w:pPr>
              <w:spacing w:after="0" w:line="240" w:lineRule="auto"/>
              <w:ind w:firstLine="0"/>
              <w:jc w:val="right"/>
              <w:rPr>
                <w:rFonts w:eastAsia="Times New Roman"/>
                <w:color w:val="000000"/>
                <w:sz w:val="20"/>
                <w:szCs w:val="20"/>
                <w:lang w:val="en-US"/>
              </w:rPr>
            </w:pPr>
            <w:r w:rsidRPr="000139D8">
              <w:rPr>
                <w:rFonts w:eastAsia="Times New Roman"/>
                <w:color w:val="000000"/>
                <w:sz w:val="20"/>
                <w:szCs w:val="20"/>
                <w:lang w:val="en-US"/>
              </w:rPr>
              <w:t>0.0187</w:t>
            </w:r>
          </w:p>
        </w:tc>
        <w:tc>
          <w:tcPr>
            <w:tcW w:w="589" w:type="pct"/>
            <w:tcBorders>
              <w:top w:val="nil"/>
              <w:left w:val="nil"/>
              <w:bottom w:val="nil"/>
              <w:right w:val="nil"/>
            </w:tcBorders>
            <w:shd w:val="clear" w:color="auto" w:fill="auto"/>
            <w:noWrap/>
            <w:vAlign w:val="center"/>
            <w:hideMark/>
          </w:tcPr>
          <w:p w:rsidR="00455DEE" w:rsidRPr="00A90656" w:rsidRDefault="00455DEE" w:rsidP="00FA5866">
            <w:pPr>
              <w:spacing w:after="0" w:line="240" w:lineRule="auto"/>
              <w:ind w:firstLine="0"/>
              <w:jc w:val="right"/>
              <w:rPr>
                <w:rFonts w:eastAsia="Times New Roman"/>
                <w:color w:val="000000"/>
                <w:sz w:val="20"/>
                <w:szCs w:val="20"/>
                <w:lang w:val="en-US"/>
              </w:rPr>
            </w:pPr>
          </w:p>
        </w:tc>
        <w:tc>
          <w:tcPr>
            <w:tcW w:w="637" w:type="pct"/>
            <w:tcBorders>
              <w:top w:val="nil"/>
              <w:left w:val="nil"/>
              <w:bottom w:val="nil"/>
              <w:right w:val="nil"/>
            </w:tcBorders>
            <w:shd w:val="clear" w:color="auto" w:fill="auto"/>
            <w:noWrap/>
            <w:vAlign w:val="center"/>
            <w:hideMark/>
          </w:tcPr>
          <w:p w:rsidR="00455DEE" w:rsidRPr="00A90656" w:rsidRDefault="00455DEE" w:rsidP="00FA5866">
            <w:pPr>
              <w:spacing w:after="0" w:line="240" w:lineRule="auto"/>
              <w:ind w:firstLine="0"/>
              <w:rPr>
                <w:rFonts w:eastAsia="Times New Roman"/>
                <w:color w:val="000000"/>
                <w:sz w:val="20"/>
                <w:szCs w:val="20"/>
                <w:lang w:val="en-US"/>
              </w:rPr>
            </w:pPr>
            <w:r w:rsidRPr="00A90656">
              <w:rPr>
                <w:rFonts w:eastAsia="Times New Roman"/>
                <w:color w:val="000000"/>
                <w:sz w:val="20"/>
                <w:szCs w:val="20"/>
                <w:lang w:val="en-US"/>
              </w:rPr>
              <w:t>-0.166</w:t>
            </w:r>
          </w:p>
        </w:tc>
        <w:tc>
          <w:tcPr>
            <w:tcW w:w="637" w:type="pct"/>
            <w:tcBorders>
              <w:top w:val="nil"/>
              <w:left w:val="nil"/>
              <w:bottom w:val="nil"/>
              <w:right w:val="nil"/>
            </w:tcBorders>
            <w:shd w:val="clear" w:color="auto" w:fill="auto"/>
            <w:noWrap/>
            <w:vAlign w:val="center"/>
            <w:hideMark/>
          </w:tcPr>
          <w:p w:rsidR="00455DEE" w:rsidRPr="00A90656" w:rsidRDefault="00455DEE" w:rsidP="00FA5866">
            <w:pPr>
              <w:spacing w:after="0" w:line="240" w:lineRule="auto"/>
              <w:ind w:firstLine="0"/>
              <w:rPr>
                <w:rFonts w:eastAsia="Times New Roman"/>
                <w:color w:val="000000"/>
                <w:sz w:val="20"/>
                <w:szCs w:val="20"/>
                <w:lang w:val="en-US"/>
              </w:rPr>
            </w:pPr>
            <w:r w:rsidRPr="00A90656">
              <w:rPr>
                <w:rFonts w:eastAsia="Times New Roman"/>
                <w:color w:val="000000"/>
                <w:sz w:val="20"/>
                <w:szCs w:val="20"/>
                <w:lang w:val="en-US"/>
              </w:rPr>
              <w:t>-0.1626</w:t>
            </w:r>
          </w:p>
        </w:tc>
        <w:tc>
          <w:tcPr>
            <w:tcW w:w="637" w:type="pct"/>
            <w:tcBorders>
              <w:top w:val="nil"/>
              <w:left w:val="nil"/>
              <w:bottom w:val="nil"/>
              <w:right w:val="nil"/>
            </w:tcBorders>
            <w:shd w:val="clear" w:color="auto" w:fill="auto"/>
            <w:noWrap/>
            <w:vAlign w:val="center"/>
            <w:hideMark/>
          </w:tcPr>
          <w:p w:rsidR="00455DEE" w:rsidRPr="00A90656" w:rsidRDefault="00455DEE" w:rsidP="00FA5866">
            <w:pPr>
              <w:spacing w:after="0" w:line="240" w:lineRule="auto"/>
              <w:ind w:firstLine="0"/>
              <w:rPr>
                <w:rFonts w:eastAsia="Times New Roman"/>
                <w:color w:val="000000"/>
                <w:sz w:val="20"/>
                <w:szCs w:val="20"/>
                <w:lang w:val="en-US"/>
              </w:rPr>
            </w:pPr>
            <w:r w:rsidRPr="00A90656">
              <w:rPr>
                <w:rFonts w:eastAsia="Times New Roman"/>
                <w:color w:val="000000"/>
                <w:sz w:val="20"/>
                <w:szCs w:val="20"/>
                <w:lang w:val="en-US"/>
              </w:rPr>
              <w:t>-0.1562</w:t>
            </w:r>
          </w:p>
        </w:tc>
      </w:tr>
      <w:tr w:rsidR="00455DEE" w:rsidRPr="00A90656" w:rsidTr="00455DEE">
        <w:trPr>
          <w:trHeight w:val="300"/>
        </w:trPr>
        <w:tc>
          <w:tcPr>
            <w:tcW w:w="589" w:type="pct"/>
            <w:tcBorders>
              <w:top w:val="nil"/>
              <w:left w:val="nil"/>
              <w:bottom w:val="nil"/>
              <w:right w:val="nil"/>
            </w:tcBorders>
            <w:shd w:val="clear" w:color="auto" w:fill="auto"/>
            <w:noWrap/>
            <w:vAlign w:val="bottom"/>
            <w:hideMark/>
          </w:tcPr>
          <w:p w:rsidR="00455DEE" w:rsidRPr="00D06C2F" w:rsidRDefault="00455DEE" w:rsidP="00FA5866">
            <w:pPr>
              <w:spacing w:after="0" w:line="240" w:lineRule="auto"/>
              <w:jc w:val="center"/>
              <w:rPr>
                <w:rFonts w:eastAsia="Times New Roman"/>
                <w:color w:val="000000"/>
                <w:sz w:val="20"/>
                <w:szCs w:val="20"/>
              </w:rPr>
            </w:pPr>
            <m:oMathPara>
              <m:oMath>
                <m:r>
                  <w:rPr>
                    <w:rFonts w:ascii="Cambria Math" w:eastAsia="Times New Roman" w:hAnsi="Cambria Math"/>
                    <w:color w:val="000000"/>
                    <w:sz w:val="20"/>
                    <w:szCs w:val="20"/>
                  </w:rPr>
                  <m:t>∆</m:t>
                </m:r>
                <m:sSub>
                  <m:sSubPr>
                    <m:ctrlPr>
                      <w:rPr>
                        <w:rFonts w:ascii="Cambria Math" w:eastAsia="Times New Roman" w:hAnsi="Cambria Math"/>
                        <w:color w:val="000000"/>
                        <w:sz w:val="20"/>
                        <w:szCs w:val="20"/>
                      </w:rPr>
                    </m:ctrlPr>
                  </m:sSubPr>
                  <m:e>
                    <m:r>
                      <m:rPr>
                        <m:sty m:val="p"/>
                      </m:rPr>
                      <w:rPr>
                        <w:rFonts w:ascii="Cambria Math" w:eastAsia="Times New Roman" w:hAnsi="Cambria Math"/>
                        <w:color w:val="000000"/>
                        <w:sz w:val="20"/>
                        <w:szCs w:val="20"/>
                      </w:rPr>
                      <m:t>Π</m:t>
                    </m:r>
                    <m:ctrlPr>
                      <w:rPr>
                        <w:rFonts w:ascii="Cambria Math" w:eastAsia="Times New Roman" w:hAnsi="Cambria Math"/>
                        <w:i/>
                        <w:color w:val="000000"/>
                        <w:sz w:val="20"/>
                        <w:szCs w:val="20"/>
                      </w:rPr>
                    </m:ctrlPr>
                  </m:e>
                  <m:sub>
                    <m:r>
                      <w:rPr>
                        <w:rFonts w:ascii="Cambria Math" w:eastAsia="Times New Roman" w:hAnsi="Cambria Math"/>
                        <w:color w:val="000000"/>
                        <w:sz w:val="20"/>
                        <w:szCs w:val="20"/>
                      </w:rPr>
                      <m:t>t</m:t>
                    </m:r>
                    <m:r>
                      <w:rPr>
                        <w:rFonts w:ascii="Cambria Math" w:eastAsia="Times New Roman"/>
                        <w:color w:val="000000"/>
                        <w:sz w:val="20"/>
                        <w:szCs w:val="20"/>
                      </w:rPr>
                      <m:t>+2</m:t>
                    </m:r>
                    <m:ctrlPr>
                      <w:rPr>
                        <w:rFonts w:ascii="Cambria Math" w:eastAsia="Times New Roman" w:hAnsi="Cambria Math"/>
                        <w:i/>
                        <w:color w:val="000000"/>
                        <w:sz w:val="20"/>
                        <w:szCs w:val="20"/>
                      </w:rPr>
                    </m:ctrlPr>
                  </m:sub>
                </m:sSub>
              </m:oMath>
            </m:oMathPara>
          </w:p>
        </w:tc>
        <w:tc>
          <w:tcPr>
            <w:tcW w:w="637" w:type="pct"/>
            <w:tcBorders>
              <w:top w:val="nil"/>
              <w:left w:val="nil"/>
              <w:bottom w:val="nil"/>
              <w:right w:val="nil"/>
            </w:tcBorders>
            <w:shd w:val="clear" w:color="auto" w:fill="auto"/>
            <w:noWrap/>
            <w:vAlign w:val="center"/>
            <w:hideMark/>
          </w:tcPr>
          <w:p w:rsidR="00455DEE" w:rsidRPr="000139D8" w:rsidRDefault="00455DEE" w:rsidP="00FA5866">
            <w:pPr>
              <w:spacing w:after="0" w:line="240" w:lineRule="auto"/>
              <w:ind w:firstLine="0"/>
              <w:jc w:val="right"/>
              <w:rPr>
                <w:rFonts w:eastAsia="Times New Roman"/>
                <w:color w:val="000000"/>
                <w:sz w:val="20"/>
                <w:szCs w:val="20"/>
                <w:lang w:val="en-US"/>
              </w:rPr>
            </w:pPr>
            <w:r w:rsidRPr="000139D8">
              <w:rPr>
                <w:rFonts w:eastAsia="Times New Roman"/>
                <w:color w:val="000000"/>
                <w:sz w:val="20"/>
                <w:szCs w:val="20"/>
                <w:lang w:val="en-US"/>
              </w:rPr>
              <w:t>0.0373</w:t>
            </w:r>
          </w:p>
        </w:tc>
        <w:tc>
          <w:tcPr>
            <w:tcW w:w="637" w:type="pct"/>
            <w:tcBorders>
              <w:top w:val="nil"/>
              <w:left w:val="nil"/>
              <w:bottom w:val="nil"/>
              <w:right w:val="nil"/>
            </w:tcBorders>
            <w:shd w:val="clear" w:color="auto" w:fill="auto"/>
            <w:noWrap/>
            <w:vAlign w:val="center"/>
            <w:hideMark/>
          </w:tcPr>
          <w:p w:rsidR="00455DEE" w:rsidRPr="000139D8" w:rsidRDefault="00455DEE" w:rsidP="00FA5866">
            <w:pPr>
              <w:spacing w:after="0" w:line="240" w:lineRule="auto"/>
              <w:ind w:firstLine="0"/>
              <w:jc w:val="right"/>
              <w:rPr>
                <w:rFonts w:eastAsia="Times New Roman"/>
                <w:color w:val="000000"/>
                <w:sz w:val="20"/>
                <w:szCs w:val="20"/>
                <w:lang w:val="en-US"/>
              </w:rPr>
            </w:pPr>
            <w:r w:rsidRPr="000139D8">
              <w:rPr>
                <w:rFonts w:eastAsia="Times New Roman"/>
                <w:color w:val="000000"/>
                <w:sz w:val="20"/>
                <w:szCs w:val="20"/>
                <w:lang w:val="en-US"/>
              </w:rPr>
              <w:t>0.005</w:t>
            </w:r>
          </w:p>
        </w:tc>
        <w:tc>
          <w:tcPr>
            <w:tcW w:w="637" w:type="pct"/>
            <w:tcBorders>
              <w:top w:val="nil"/>
              <w:left w:val="nil"/>
              <w:bottom w:val="nil"/>
              <w:right w:val="nil"/>
            </w:tcBorders>
            <w:shd w:val="clear" w:color="auto" w:fill="auto"/>
            <w:noWrap/>
            <w:vAlign w:val="center"/>
            <w:hideMark/>
          </w:tcPr>
          <w:p w:rsidR="00455DEE" w:rsidRPr="000139D8" w:rsidRDefault="00455DEE" w:rsidP="00FA5866">
            <w:pPr>
              <w:spacing w:after="0" w:line="240" w:lineRule="auto"/>
              <w:ind w:firstLine="0"/>
              <w:jc w:val="right"/>
              <w:rPr>
                <w:rFonts w:eastAsia="Times New Roman"/>
                <w:color w:val="000000"/>
                <w:sz w:val="20"/>
                <w:szCs w:val="20"/>
                <w:lang w:val="en-US"/>
              </w:rPr>
            </w:pPr>
            <w:r w:rsidRPr="000139D8">
              <w:rPr>
                <w:rFonts w:eastAsia="Times New Roman"/>
                <w:color w:val="000000"/>
                <w:sz w:val="20"/>
                <w:szCs w:val="20"/>
                <w:lang w:val="en-US"/>
              </w:rPr>
              <w:t>-0.0065</w:t>
            </w:r>
          </w:p>
        </w:tc>
        <w:tc>
          <w:tcPr>
            <w:tcW w:w="589" w:type="pct"/>
            <w:tcBorders>
              <w:top w:val="nil"/>
              <w:left w:val="nil"/>
              <w:bottom w:val="nil"/>
              <w:right w:val="nil"/>
            </w:tcBorders>
            <w:shd w:val="clear" w:color="auto" w:fill="auto"/>
            <w:noWrap/>
            <w:vAlign w:val="center"/>
            <w:hideMark/>
          </w:tcPr>
          <w:p w:rsidR="00455DEE" w:rsidRPr="00A90656" w:rsidRDefault="00455DEE" w:rsidP="00FA5866">
            <w:pPr>
              <w:spacing w:after="0" w:line="240" w:lineRule="auto"/>
              <w:ind w:firstLine="0"/>
              <w:jc w:val="right"/>
              <w:rPr>
                <w:rFonts w:eastAsia="Times New Roman"/>
                <w:color w:val="000000"/>
                <w:sz w:val="20"/>
                <w:szCs w:val="20"/>
                <w:lang w:val="en-US"/>
              </w:rPr>
            </w:pPr>
          </w:p>
        </w:tc>
        <w:tc>
          <w:tcPr>
            <w:tcW w:w="637" w:type="pct"/>
            <w:tcBorders>
              <w:top w:val="nil"/>
              <w:left w:val="nil"/>
              <w:bottom w:val="nil"/>
              <w:right w:val="nil"/>
            </w:tcBorders>
            <w:shd w:val="clear" w:color="auto" w:fill="auto"/>
            <w:noWrap/>
            <w:vAlign w:val="center"/>
            <w:hideMark/>
          </w:tcPr>
          <w:p w:rsidR="00455DEE" w:rsidRPr="00A90656" w:rsidRDefault="00455DEE" w:rsidP="00FA5866">
            <w:pPr>
              <w:spacing w:after="0" w:line="240" w:lineRule="auto"/>
              <w:ind w:firstLine="0"/>
              <w:rPr>
                <w:rFonts w:eastAsia="Times New Roman"/>
                <w:color w:val="000000"/>
                <w:sz w:val="20"/>
                <w:szCs w:val="20"/>
                <w:lang w:val="en-US"/>
              </w:rPr>
            </w:pPr>
            <w:r w:rsidRPr="00A90656">
              <w:rPr>
                <w:rFonts w:eastAsia="Times New Roman"/>
                <w:color w:val="000000"/>
                <w:sz w:val="20"/>
                <w:szCs w:val="20"/>
                <w:lang w:val="en-US"/>
              </w:rPr>
              <w:t>-0.2868</w:t>
            </w:r>
          </w:p>
        </w:tc>
        <w:tc>
          <w:tcPr>
            <w:tcW w:w="637" w:type="pct"/>
            <w:tcBorders>
              <w:top w:val="nil"/>
              <w:left w:val="nil"/>
              <w:bottom w:val="nil"/>
              <w:right w:val="nil"/>
            </w:tcBorders>
            <w:shd w:val="clear" w:color="auto" w:fill="auto"/>
            <w:noWrap/>
            <w:vAlign w:val="center"/>
            <w:hideMark/>
          </w:tcPr>
          <w:p w:rsidR="00455DEE" w:rsidRPr="00A90656" w:rsidRDefault="00455DEE" w:rsidP="00FA5866">
            <w:pPr>
              <w:spacing w:after="0" w:line="240" w:lineRule="auto"/>
              <w:ind w:firstLine="0"/>
              <w:rPr>
                <w:rFonts w:eastAsia="Times New Roman"/>
                <w:color w:val="000000"/>
                <w:sz w:val="20"/>
                <w:szCs w:val="20"/>
                <w:lang w:val="en-US"/>
              </w:rPr>
            </w:pPr>
            <w:r w:rsidRPr="00A90656">
              <w:rPr>
                <w:rFonts w:eastAsia="Times New Roman"/>
                <w:color w:val="000000"/>
                <w:sz w:val="20"/>
                <w:szCs w:val="20"/>
                <w:lang w:val="en-US"/>
              </w:rPr>
              <w:t>-0.285</w:t>
            </w:r>
          </w:p>
        </w:tc>
        <w:tc>
          <w:tcPr>
            <w:tcW w:w="637" w:type="pct"/>
            <w:tcBorders>
              <w:top w:val="nil"/>
              <w:left w:val="nil"/>
              <w:bottom w:val="nil"/>
              <w:right w:val="nil"/>
            </w:tcBorders>
            <w:shd w:val="clear" w:color="auto" w:fill="auto"/>
            <w:noWrap/>
            <w:vAlign w:val="center"/>
            <w:hideMark/>
          </w:tcPr>
          <w:p w:rsidR="00455DEE" w:rsidRPr="00A90656" w:rsidRDefault="00455DEE" w:rsidP="00FA5866">
            <w:pPr>
              <w:spacing w:after="0" w:line="240" w:lineRule="auto"/>
              <w:ind w:firstLine="0"/>
              <w:rPr>
                <w:rFonts w:eastAsia="Times New Roman"/>
                <w:color w:val="000000"/>
                <w:sz w:val="20"/>
                <w:szCs w:val="20"/>
                <w:lang w:val="en-US"/>
              </w:rPr>
            </w:pPr>
            <w:r w:rsidRPr="00A90656">
              <w:rPr>
                <w:rFonts w:eastAsia="Times New Roman"/>
                <w:color w:val="000000"/>
                <w:sz w:val="20"/>
                <w:szCs w:val="20"/>
                <w:lang w:val="en-US"/>
              </w:rPr>
              <w:t>-0.2779</w:t>
            </w:r>
          </w:p>
        </w:tc>
      </w:tr>
      <w:tr w:rsidR="00455DEE" w:rsidRPr="00A90656" w:rsidTr="00455DEE">
        <w:trPr>
          <w:trHeight w:val="300"/>
        </w:trPr>
        <w:tc>
          <w:tcPr>
            <w:tcW w:w="589" w:type="pct"/>
            <w:tcBorders>
              <w:top w:val="nil"/>
              <w:left w:val="nil"/>
              <w:bottom w:val="nil"/>
              <w:right w:val="nil"/>
            </w:tcBorders>
            <w:shd w:val="clear" w:color="auto" w:fill="auto"/>
            <w:noWrap/>
            <w:vAlign w:val="bottom"/>
            <w:hideMark/>
          </w:tcPr>
          <w:p w:rsidR="00455DEE" w:rsidRPr="00D06C2F" w:rsidRDefault="00455DEE" w:rsidP="00FA5866">
            <w:pPr>
              <w:spacing w:after="0" w:line="240" w:lineRule="auto"/>
              <w:jc w:val="center"/>
              <w:rPr>
                <w:rFonts w:eastAsia="Times New Roman"/>
                <w:color w:val="000000"/>
                <w:sz w:val="20"/>
                <w:szCs w:val="20"/>
              </w:rPr>
            </w:pPr>
            <m:oMathPara>
              <m:oMath>
                <m:r>
                  <w:rPr>
                    <w:rFonts w:ascii="Cambria Math" w:eastAsia="Times New Roman" w:hAnsi="Cambria Math"/>
                    <w:color w:val="000000"/>
                    <w:sz w:val="20"/>
                    <w:szCs w:val="20"/>
                  </w:rPr>
                  <m:t>∆</m:t>
                </m:r>
                <m:sSub>
                  <m:sSubPr>
                    <m:ctrlPr>
                      <w:rPr>
                        <w:rFonts w:ascii="Cambria Math" w:eastAsia="Times New Roman" w:hAnsi="Cambria Math"/>
                        <w:color w:val="000000"/>
                        <w:sz w:val="20"/>
                        <w:szCs w:val="20"/>
                      </w:rPr>
                    </m:ctrlPr>
                  </m:sSubPr>
                  <m:e>
                    <m:r>
                      <m:rPr>
                        <m:sty m:val="p"/>
                      </m:rPr>
                      <w:rPr>
                        <w:rFonts w:ascii="Cambria Math" w:eastAsia="Times New Roman" w:hAnsi="Cambria Math"/>
                        <w:color w:val="000000"/>
                        <w:sz w:val="20"/>
                        <w:szCs w:val="20"/>
                      </w:rPr>
                      <m:t>Π</m:t>
                    </m:r>
                    <m:ctrlPr>
                      <w:rPr>
                        <w:rFonts w:ascii="Cambria Math" w:eastAsia="Times New Roman" w:hAnsi="Cambria Math"/>
                        <w:i/>
                        <w:color w:val="000000"/>
                        <w:sz w:val="20"/>
                        <w:szCs w:val="20"/>
                      </w:rPr>
                    </m:ctrlPr>
                  </m:e>
                  <m:sub>
                    <m:r>
                      <w:rPr>
                        <w:rFonts w:ascii="Cambria Math" w:eastAsia="Times New Roman" w:hAnsi="Cambria Math"/>
                        <w:color w:val="000000"/>
                        <w:sz w:val="20"/>
                        <w:szCs w:val="20"/>
                      </w:rPr>
                      <m:t>t</m:t>
                    </m:r>
                    <m:r>
                      <w:rPr>
                        <w:rFonts w:ascii="Cambria Math" w:eastAsia="Times New Roman"/>
                        <w:color w:val="000000"/>
                        <w:sz w:val="20"/>
                        <w:szCs w:val="20"/>
                      </w:rPr>
                      <m:t>+3</m:t>
                    </m:r>
                    <m:ctrlPr>
                      <w:rPr>
                        <w:rFonts w:ascii="Cambria Math" w:eastAsia="Times New Roman" w:hAnsi="Cambria Math"/>
                        <w:i/>
                        <w:color w:val="000000"/>
                        <w:sz w:val="20"/>
                        <w:szCs w:val="20"/>
                      </w:rPr>
                    </m:ctrlPr>
                  </m:sub>
                </m:sSub>
              </m:oMath>
            </m:oMathPara>
          </w:p>
        </w:tc>
        <w:tc>
          <w:tcPr>
            <w:tcW w:w="637" w:type="pct"/>
            <w:tcBorders>
              <w:top w:val="nil"/>
              <w:left w:val="nil"/>
              <w:bottom w:val="nil"/>
              <w:right w:val="nil"/>
            </w:tcBorders>
            <w:shd w:val="clear" w:color="auto" w:fill="auto"/>
            <w:noWrap/>
            <w:vAlign w:val="center"/>
            <w:hideMark/>
          </w:tcPr>
          <w:p w:rsidR="00455DEE" w:rsidRPr="000139D8" w:rsidRDefault="00455DEE" w:rsidP="00FA5866">
            <w:pPr>
              <w:spacing w:after="0" w:line="240" w:lineRule="auto"/>
              <w:ind w:firstLine="0"/>
              <w:jc w:val="right"/>
              <w:rPr>
                <w:rFonts w:eastAsia="Times New Roman"/>
                <w:color w:val="000000"/>
                <w:sz w:val="20"/>
                <w:szCs w:val="20"/>
                <w:lang w:val="en-US"/>
              </w:rPr>
            </w:pPr>
            <w:r w:rsidRPr="000139D8">
              <w:rPr>
                <w:rFonts w:eastAsia="Times New Roman"/>
                <w:color w:val="000000"/>
                <w:sz w:val="20"/>
                <w:szCs w:val="20"/>
                <w:lang w:val="en-US"/>
              </w:rPr>
              <w:t>0.0291</w:t>
            </w:r>
          </w:p>
        </w:tc>
        <w:tc>
          <w:tcPr>
            <w:tcW w:w="637" w:type="pct"/>
            <w:tcBorders>
              <w:top w:val="nil"/>
              <w:left w:val="nil"/>
              <w:bottom w:val="nil"/>
              <w:right w:val="nil"/>
            </w:tcBorders>
            <w:shd w:val="clear" w:color="auto" w:fill="auto"/>
            <w:noWrap/>
            <w:vAlign w:val="center"/>
            <w:hideMark/>
          </w:tcPr>
          <w:p w:rsidR="00455DEE" w:rsidRPr="000139D8" w:rsidRDefault="00455DEE" w:rsidP="00FA5866">
            <w:pPr>
              <w:spacing w:after="0" w:line="240" w:lineRule="auto"/>
              <w:ind w:firstLine="0"/>
              <w:jc w:val="right"/>
              <w:rPr>
                <w:rFonts w:eastAsia="Times New Roman"/>
                <w:color w:val="000000"/>
                <w:sz w:val="20"/>
                <w:szCs w:val="20"/>
                <w:lang w:val="en-US"/>
              </w:rPr>
            </w:pPr>
            <w:r w:rsidRPr="000139D8">
              <w:rPr>
                <w:rFonts w:eastAsia="Times New Roman"/>
                <w:color w:val="000000"/>
                <w:sz w:val="20"/>
                <w:szCs w:val="20"/>
                <w:lang w:val="en-US"/>
              </w:rPr>
              <w:t>-0.0155</w:t>
            </w:r>
          </w:p>
        </w:tc>
        <w:tc>
          <w:tcPr>
            <w:tcW w:w="637" w:type="pct"/>
            <w:tcBorders>
              <w:top w:val="nil"/>
              <w:left w:val="nil"/>
              <w:bottom w:val="nil"/>
              <w:right w:val="nil"/>
            </w:tcBorders>
            <w:shd w:val="clear" w:color="auto" w:fill="auto"/>
            <w:noWrap/>
            <w:vAlign w:val="center"/>
            <w:hideMark/>
          </w:tcPr>
          <w:p w:rsidR="00455DEE" w:rsidRPr="000139D8" w:rsidRDefault="00455DEE" w:rsidP="00FA5866">
            <w:pPr>
              <w:spacing w:after="0" w:line="240" w:lineRule="auto"/>
              <w:ind w:firstLine="0"/>
              <w:jc w:val="right"/>
              <w:rPr>
                <w:rFonts w:eastAsia="Times New Roman"/>
                <w:color w:val="000000"/>
                <w:sz w:val="20"/>
                <w:szCs w:val="20"/>
                <w:lang w:val="en-US"/>
              </w:rPr>
            </w:pPr>
            <w:r w:rsidRPr="000139D8">
              <w:rPr>
                <w:rFonts w:eastAsia="Times New Roman"/>
                <w:color w:val="000000"/>
                <w:sz w:val="20"/>
                <w:szCs w:val="20"/>
                <w:lang w:val="en-US"/>
              </w:rPr>
              <w:t>-0.0226</w:t>
            </w:r>
          </w:p>
        </w:tc>
        <w:tc>
          <w:tcPr>
            <w:tcW w:w="589" w:type="pct"/>
            <w:tcBorders>
              <w:top w:val="nil"/>
              <w:left w:val="nil"/>
              <w:bottom w:val="nil"/>
              <w:right w:val="nil"/>
            </w:tcBorders>
            <w:shd w:val="clear" w:color="auto" w:fill="auto"/>
            <w:noWrap/>
            <w:vAlign w:val="center"/>
            <w:hideMark/>
          </w:tcPr>
          <w:p w:rsidR="00455DEE" w:rsidRPr="00A90656" w:rsidRDefault="00455DEE" w:rsidP="00FA5866">
            <w:pPr>
              <w:spacing w:after="0" w:line="240" w:lineRule="auto"/>
              <w:ind w:firstLine="0"/>
              <w:jc w:val="right"/>
              <w:rPr>
                <w:rFonts w:eastAsia="Times New Roman"/>
                <w:color w:val="000000"/>
                <w:sz w:val="20"/>
                <w:szCs w:val="20"/>
                <w:lang w:val="en-US"/>
              </w:rPr>
            </w:pPr>
          </w:p>
        </w:tc>
        <w:tc>
          <w:tcPr>
            <w:tcW w:w="637" w:type="pct"/>
            <w:tcBorders>
              <w:top w:val="nil"/>
              <w:left w:val="nil"/>
              <w:bottom w:val="nil"/>
              <w:right w:val="nil"/>
            </w:tcBorders>
            <w:shd w:val="clear" w:color="auto" w:fill="auto"/>
            <w:noWrap/>
            <w:vAlign w:val="center"/>
            <w:hideMark/>
          </w:tcPr>
          <w:p w:rsidR="00455DEE" w:rsidRPr="00A90656" w:rsidRDefault="00455DEE" w:rsidP="00FA5866">
            <w:pPr>
              <w:spacing w:after="0" w:line="240" w:lineRule="auto"/>
              <w:ind w:firstLine="0"/>
              <w:rPr>
                <w:rFonts w:eastAsia="Times New Roman"/>
                <w:color w:val="000000"/>
                <w:sz w:val="20"/>
                <w:szCs w:val="20"/>
                <w:lang w:val="en-US"/>
              </w:rPr>
            </w:pPr>
            <w:r w:rsidRPr="00A90656">
              <w:rPr>
                <w:rFonts w:eastAsia="Times New Roman"/>
                <w:color w:val="000000"/>
                <w:sz w:val="20"/>
                <w:szCs w:val="20"/>
                <w:lang w:val="en-US"/>
              </w:rPr>
              <w:t>-0.2842</w:t>
            </w:r>
          </w:p>
        </w:tc>
        <w:tc>
          <w:tcPr>
            <w:tcW w:w="637" w:type="pct"/>
            <w:tcBorders>
              <w:top w:val="nil"/>
              <w:left w:val="nil"/>
              <w:bottom w:val="nil"/>
              <w:right w:val="nil"/>
            </w:tcBorders>
            <w:shd w:val="clear" w:color="auto" w:fill="auto"/>
            <w:noWrap/>
            <w:vAlign w:val="center"/>
            <w:hideMark/>
          </w:tcPr>
          <w:p w:rsidR="00455DEE" w:rsidRPr="00A90656" w:rsidRDefault="00455DEE" w:rsidP="00FA5866">
            <w:pPr>
              <w:spacing w:after="0" w:line="240" w:lineRule="auto"/>
              <w:ind w:firstLine="0"/>
              <w:rPr>
                <w:rFonts w:eastAsia="Times New Roman"/>
                <w:color w:val="000000"/>
                <w:sz w:val="20"/>
                <w:szCs w:val="20"/>
                <w:lang w:val="en-US"/>
              </w:rPr>
            </w:pPr>
            <w:r w:rsidRPr="00A90656">
              <w:rPr>
                <w:rFonts w:eastAsia="Times New Roman"/>
                <w:color w:val="000000"/>
                <w:sz w:val="20"/>
                <w:szCs w:val="20"/>
                <w:lang w:val="en-US"/>
              </w:rPr>
              <w:t>-0.2819</w:t>
            </w:r>
          </w:p>
        </w:tc>
        <w:tc>
          <w:tcPr>
            <w:tcW w:w="637" w:type="pct"/>
            <w:tcBorders>
              <w:top w:val="nil"/>
              <w:left w:val="nil"/>
              <w:bottom w:val="nil"/>
              <w:right w:val="nil"/>
            </w:tcBorders>
            <w:shd w:val="clear" w:color="auto" w:fill="auto"/>
            <w:noWrap/>
            <w:vAlign w:val="center"/>
            <w:hideMark/>
          </w:tcPr>
          <w:p w:rsidR="00455DEE" w:rsidRPr="00A90656" w:rsidRDefault="00455DEE" w:rsidP="00FA5866">
            <w:pPr>
              <w:spacing w:after="0" w:line="240" w:lineRule="auto"/>
              <w:ind w:firstLine="0"/>
              <w:rPr>
                <w:rFonts w:eastAsia="Times New Roman"/>
                <w:color w:val="000000"/>
                <w:sz w:val="20"/>
                <w:szCs w:val="20"/>
                <w:lang w:val="en-US"/>
              </w:rPr>
            </w:pPr>
            <w:r w:rsidRPr="00A90656">
              <w:rPr>
                <w:rFonts w:eastAsia="Times New Roman"/>
                <w:color w:val="000000"/>
                <w:sz w:val="20"/>
                <w:szCs w:val="20"/>
                <w:lang w:val="en-US"/>
              </w:rPr>
              <w:t>-0.2744</w:t>
            </w:r>
          </w:p>
        </w:tc>
      </w:tr>
      <w:tr w:rsidR="00455DEE" w:rsidRPr="00A90656" w:rsidTr="00455DEE">
        <w:trPr>
          <w:trHeight w:val="300"/>
        </w:trPr>
        <w:tc>
          <w:tcPr>
            <w:tcW w:w="589" w:type="pct"/>
            <w:tcBorders>
              <w:top w:val="nil"/>
              <w:left w:val="nil"/>
              <w:bottom w:val="nil"/>
              <w:right w:val="nil"/>
            </w:tcBorders>
            <w:shd w:val="clear" w:color="auto" w:fill="auto"/>
            <w:noWrap/>
            <w:vAlign w:val="bottom"/>
            <w:hideMark/>
          </w:tcPr>
          <w:p w:rsidR="00455DEE" w:rsidRPr="00D06C2F" w:rsidRDefault="00455DEE" w:rsidP="00FA5866">
            <w:pPr>
              <w:spacing w:after="0" w:line="240" w:lineRule="auto"/>
              <w:jc w:val="center"/>
              <w:rPr>
                <w:rFonts w:eastAsia="Times New Roman"/>
                <w:color w:val="000000"/>
                <w:sz w:val="20"/>
                <w:szCs w:val="20"/>
              </w:rPr>
            </w:pPr>
            <m:oMathPara>
              <m:oMath>
                <m:r>
                  <w:rPr>
                    <w:rFonts w:ascii="Cambria Math" w:eastAsia="Times New Roman" w:hAnsi="Cambria Math"/>
                    <w:color w:val="000000"/>
                    <w:sz w:val="20"/>
                    <w:szCs w:val="20"/>
                  </w:rPr>
                  <m:t>∆</m:t>
                </m:r>
                <m:sSub>
                  <m:sSubPr>
                    <m:ctrlPr>
                      <w:rPr>
                        <w:rFonts w:ascii="Cambria Math" w:eastAsia="Times New Roman" w:hAnsi="Cambria Math"/>
                        <w:color w:val="000000"/>
                        <w:sz w:val="20"/>
                        <w:szCs w:val="20"/>
                      </w:rPr>
                    </m:ctrlPr>
                  </m:sSubPr>
                  <m:e>
                    <m:r>
                      <m:rPr>
                        <m:sty m:val="p"/>
                      </m:rPr>
                      <w:rPr>
                        <w:rFonts w:ascii="Cambria Math" w:eastAsia="Times New Roman" w:hAnsi="Cambria Math"/>
                        <w:color w:val="000000"/>
                        <w:sz w:val="20"/>
                        <w:szCs w:val="20"/>
                      </w:rPr>
                      <m:t>Π</m:t>
                    </m:r>
                    <m:ctrlPr>
                      <w:rPr>
                        <w:rFonts w:ascii="Cambria Math" w:eastAsia="Times New Roman" w:hAnsi="Cambria Math"/>
                        <w:i/>
                        <w:color w:val="000000"/>
                        <w:sz w:val="20"/>
                        <w:szCs w:val="20"/>
                      </w:rPr>
                    </m:ctrlPr>
                  </m:e>
                  <m:sub>
                    <m:r>
                      <w:rPr>
                        <w:rFonts w:ascii="Cambria Math" w:eastAsia="Times New Roman" w:hAnsi="Cambria Math"/>
                        <w:color w:val="000000"/>
                        <w:sz w:val="20"/>
                        <w:szCs w:val="20"/>
                      </w:rPr>
                      <m:t>t</m:t>
                    </m:r>
                    <m:r>
                      <w:rPr>
                        <w:rFonts w:ascii="Cambria Math" w:eastAsia="Times New Roman"/>
                        <w:color w:val="000000"/>
                        <w:sz w:val="20"/>
                        <w:szCs w:val="20"/>
                      </w:rPr>
                      <m:t>+4</m:t>
                    </m:r>
                    <m:ctrlPr>
                      <w:rPr>
                        <w:rFonts w:ascii="Cambria Math" w:eastAsia="Times New Roman" w:hAnsi="Cambria Math"/>
                        <w:i/>
                        <w:color w:val="000000"/>
                        <w:sz w:val="20"/>
                        <w:szCs w:val="20"/>
                      </w:rPr>
                    </m:ctrlPr>
                  </m:sub>
                </m:sSub>
              </m:oMath>
            </m:oMathPara>
          </w:p>
        </w:tc>
        <w:tc>
          <w:tcPr>
            <w:tcW w:w="637" w:type="pct"/>
            <w:tcBorders>
              <w:top w:val="nil"/>
              <w:left w:val="nil"/>
              <w:bottom w:val="nil"/>
              <w:right w:val="nil"/>
            </w:tcBorders>
            <w:shd w:val="clear" w:color="auto" w:fill="auto"/>
            <w:noWrap/>
            <w:vAlign w:val="center"/>
            <w:hideMark/>
          </w:tcPr>
          <w:p w:rsidR="00455DEE" w:rsidRPr="000139D8" w:rsidRDefault="00455DEE" w:rsidP="00FA5866">
            <w:pPr>
              <w:spacing w:after="0" w:line="240" w:lineRule="auto"/>
              <w:ind w:firstLine="0"/>
              <w:jc w:val="right"/>
              <w:rPr>
                <w:rFonts w:eastAsia="Times New Roman"/>
                <w:color w:val="000000"/>
                <w:sz w:val="20"/>
                <w:szCs w:val="20"/>
                <w:lang w:val="en-US"/>
              </w:rPr>
            </w:pPr>
            <w:r w:rsidRPr="000139D8">
              <w:rPr>
                <w:rFonts w:eastAsia="Times New Roman"/>
                <w:color w:val="000000"/>
                <w:sz w:val="20"/>
                <w:szCs w:val="20"/>
                <w:lang w:val="en-US"/>
              </w:rPr>
              <w:t>0.0035</w:t>
            </w:r>
          </w:p>
        </w:tc>
        <w:tc>
          <w:tcPr>
            <w:tcW w:w="637" w:type="pct"/>
            <w:tcBorders>
              <w:top w:val="nil"/>
              <w:left w:val="nil"/>
              <w:bottom w:val="nil"/>
              <w:right w:val="nil"/>
            </w:tcBorders>
            <w:shd w:val="clear" w:color="auto" w:fill="auto"/>
            <w:noWrap/>
            <w:vAlign w:val="center"/>
            <w:hideMark/>
          </w:tcPr>
          <w:p w:rsidR="00455DEE" w:rsidRPr="000139D8" w:rsidRDefault="00455DEE" w:rsidP="00FA5866">
            <w:pPr>
              <w:spacing w:after="0" w:line="240" w:lineRule="auto"/>
              <w:ind w:firstLine="0"/>
              <w:jc w:val="right"/>
              <w:rPr>
                <w:rFonts w:eastAsia="Times New Roman"/>
                <w:color w:val="000000"/>
                <w:sz w:val="20"/>
                <w:szCs w:val="20"/>
                <w:lang w:val="en-US"/>
              </w:rPr>
            </w:pPr>
            <w:r w:rsidRPr="000139D8">
              <w:rPr>
                <w:rFonts w:eastAsia="Times New Roman"/>
                <w:color w:val="000000"/>
                <w:sz w:val="20"/>
                <w:szCs w:val="20"/>
                <w:lang w:val="en-US"/>
              </w:rPr>
              <w:t>0.008</w:t>
            </w:r>
          </w:p>
        </w:tc>
        <w:tc>
          <w:tcPr>
            <w:tcW w:w="637" w:type="pct"/>
            <w:tcBorders>
              <w:top w:val="nil"/>
              <w:left w:val="nil"/>
              <w:bottom w:val="nil"/>
              <w:right w:val="nil"/>
            </w:tcBorders>
            <w:shd w:val="clear" w:color="auto" w:fill="auto"/>
            <w:noWrap/>
            <w:vAlign w:val="center"/>
            <w:hideMark/>
          </w:tcPr>
          <w:p w:rsidR="00455DEE" w:rsidRPr="000139D8" w:rsidRDefault="00455DEE" w:rsidP="00FA5866">
            <w:pPr>
              <w:spacing w:after="0" w:line="240" w:lineRule="auto"/>
              <w:ind w:firstLine="0"/>
              <w:jc w:val="right"/>
              <w:rPr>
                <w:rFonts w:eastAsia="Times New Roman"/>
                <w:color w:val="000000"/>
                <w:sz w:val="20"/>
                <w:szCs w:val="20"/>
                <w:lang w:val="en-US"/>
              </w:rPr>
            </w:pPr>
            <w:r w:rsidRPr="000139D8">
              <w:rPr>
                <w:rFonts w:eastAsia="Times New Roman"/>
                <w:color w:val="000000"/>
                <w:sz w:val="20"/>
                <w:szCs w:val="20"/>
                <w:lang w:val="en-US"/>
              </w:rPr>
              <w:t>0.0107</w:t>
            </w:r>
          </w:p>
        </w:tc>
        <w:tc>
          <w:tcPr>
            <w:tcW w:w="589" w:type="pct"/>
            <w:tcBorders>
              <w:top w:val="nil"/>
              <w:left w:val="nil"/>
              <w:bottom w:val="nil"/>
              <w:right w:val="nil"/>
            </w:tcBorders>
            <w:shd w:val="clear" w:color="auto" w:fill="auto"/>
            <w:noWrap/>
            <w:vAlign w:val="center"/>
            <w:hideMark/>
          </w:tcPr>
          <w:p w:rsidR="00455DEE" w:rsidRPr="00A90656" w:rsidRDefault="00455DEE" w:rsidP="00FA5866">
            <w:pPr>
              <w:spacing w:after="0" w:line="240" w:lineRule="auto"/>
              <w:ind w:firstLine="0"/>
              <w:jc w:val="right"/>
              <w:rPr>
                <w:rFonts w:eastAsia="Times New Roman"/>
                <w:color w:val="000000"/>
                <w:sz w:val="20"/>
                <w:szCs w:val="20"/>
                <w:lang w:val="en-US"/>
              </w:rPr>
            </w:pPr>
          </w:p>
        </w:tc>
        <w:tc>
          <w:tcPr>
            <w:tcW w:w="637" w:type="pct"/>
            <w:tcBorders>
              <w:top w:val="nil"/>
              <w:left w:val="nil"/>
              <w:bottom w:val="nil"/>
              <w:right w:val="nil"/>
            </w:tcBorders>
            <w:shd w:val="clear" w:color="auto" w:fill="auto"/>
            <w:noWrap/>
            <w:vAlign w:val="center"/>
            <w:hideMark/>
          </w:tcPr>
          <w:p w:rsidR="00455DEE" w:rsidRPr="00A90656" w:rsidRDefault="00455DEE" w:rsidP="00FA5866">
            <w:pPr>
              <w:spacing w:after="0" w:line="240" w:lineRule="auto"/>
              <w:ind w:firstLine="0"/>
              <w:rPr>
                <w:rFonts w:eastAsia="Times New Roman"/>
                <w:color w:val="000000"/>
                <w:sz w:val="20"/>
                <w:szCs w:val="20"/>
                <w:lang w:val="en-US"/>
              </w:rPr>
            </w:pPr>
            <w:r w:rsidRPr="00A90656">
              <w:rPr>
                <w:rFonts w:eastAsia="Times New Roman"/>
                <w:color w:val="000000"/>
                <w:sz w:val="20"/>
                <w:szCs w:val="20"/>
                <w:lang w:val="en-US"/>
              </w:rPr>
              <w:t>-0.1189</w:t>
            </w:r>
          </w:p>
        </w:tc>
        <w:tc>
          <w:tcPr>
            <w:tcW w:w="637" w:type="pct"/>
            <w:tcBorders>
              <w:top w:val="nil"/>
              <w:left w:val="nil"/>
              <w:bottom w:val="nil"/>
              <w:right w:val="nil"/>
            </w:tcBorders>
            <w:shd w:val="clear" w:color="auto" w:fill="auto"/>
            <w:noWrap/>
            <w:vAlign w:val="center"/>
            <w:hideMark/>
          </w:tcPr>
          <w:p w:rsidR="00455DEE" w:rsidRPr="00A90656" w:rsidRDefault="00455DEE" w:rsidP="00FA5866">
            <w:pPr>
              <w:spacing w:after="0" w:line="240" w:lineRule="auto"/>
              <w:ind w:firstLine="0"/>
              <w:rPr>
                <w:rFonts w:eastAsia="Times New Roman"/>
                <w:color w:val="000000"/>
                <w:sz w:val="20"/>
                <w:szCs w:val="20"/>
                <w:lang w:val="en-US"/>
              </w:rPr>
            </w:pPr>
            <w:r w:rsidRPr="00A90656">
              <w:rPr>
                <w:rFonts w:eastAsia="Times New Roman"/>
                <w:color w:val="000000"/>
                <w:sz w:val="20"/>
                <w:szCs w:val="20"/>
                <w:lang w:val="en-US"/>
              </w:rPr>
              <w:t>-0.1117</w:t>
            </w:r>
          </w:p>
        </w:tc>
        <w:tc>
          <w:tcPr>
            <w:tcW w:w="637" w:type="pct"/>
            <w:tcBorders>
              <w:top w:val="nil"/>
              <w:left w:val="nil"/>
              <w:bottom w:val="nil"/>
              <w:right w:val="nil"/>
            </w:tcBorders>
            <w:shd w:val="clear" w:color="auto" w:fill="auto"/>
            <w:noWrap/>
            <w:vAlign w:val="center"/>
            <w:hideMark/>
          </w:tcPr>
          <w:p w:rsidR="00455DEE" w:rsidRPr="00A90656" w:rsidRDefault="00455DEE" w:rsidP="00FA5866">
            <w:pPr>
              <w:spacing w:after="0" w:line="240" w:lineRule="auto"/>
              <w:ind w:firstLine="0"/>
              <w:rPr>
                <w:rFonts w:eastAsia="Times New Roman"/>
                <w:color w:val="000000"/>
                <w:sz w:val="20"/>
                <w:szCs w:val="20"/>
                <w:lang w:val="en-US"/>
              </w:rPr>
            </w:pPr>
            <w:r w:rsidRPr="00A90656">
              <w:rPr>
                <w:rFonts w:eastAsia="Times New Roman"/>
                <w:color w:val="000000"/>
                <w:sz w:val="20"/>
                <w:szCs w:val="20"/>
                <w:lang w:val="en-US"/>
              </w:rPr>
              <w:t>-0.1021</w:t>
            </w:r>
          </w:p>
        </w:tc>
      </w:tr>
      <w:tr w:rsidR="00455DEE" w:rsidRPr="00A90656" w:rsidTr="00455DEE">
        <w:trPr>
          <w:trHeight w:val="300"/>
        </w:trPr>
        <w:tc>
          <w:tcPr>
            <w:tcW w:w="589" w:type="pct"/>
            <w:tcBorders>
              <w:top w:val="nil"/>
              <w:left w:val="nil"/>
              <w:bottom w:val="nil"/>
              <w:right w:val="nil"/>
            </w:tcBorders>
            <w:shd w:val="clear" w:color="auto" w:fill="auto"/>
            <w:noWrap/>
            <w:vAlign w:val="bottom"/>
            <w:hideMark/>
          </w:tcPr>
          <w:p w:rsidR="00455DEE" w:rsidRPr="00D06C2F" w:rsidRDefault="00455DEE" w:rsidP="00FA5866">
            <w:pPr>
              <w:spacing w:after="0" w:line="240" w:lineRule="auto"/>
              <w:jc w:val="center"/>
              <w:rPr>
                <w:rFonts w:eastAsia="Times New Roman"/>
                <w:color w:val="000000"/>
                <w:sz w:val="20"/>
                <w:szCs w:val="20"/>
              </w:rPr>
            </w:pPr>
            <m:oMathPara>
              <m:oMath>
                <m:r>
                  <w:rPr>
                    <w:rFonts w:ascii="Cambria Math" w:eastAsia="Times New Roman" w:hAnsi="Cambria Math"/>
                    <w:color w:val="000000"/>
                    <w:sz w:val="20"/>
                    <w:szCs w:val="20"/>
                  </w:rPr>
                  <m:t>∆</m:t>
                </m:r>
                <m:sSub>
                  <m:sSubPr>
                    <m:ctrlPr>
                      <w:rPr>
                        <w:rFonts w:ascii="Cambria Math" w:eastAsia="Times New Roman" w:hAnsi="Cambria Math"/>
                        <w:color w:val="000000"/>
                        <w:sz w:val="20"/>
                        <w:szCs w:val="20"/>
                      </w:rPr>
                    </m:ctrlPr>
                  </m:sSubPr>
                  <m:e>
                    <m:r>
                      <m:rPr>
                        <m:sty m:val="p"/>
                      </m:rPr>
                      <w:rPr>
                        <w:rFonts w:ascii="Cambria Math" w:eastAsia="Times New Roman" w:hAnsi="Cambria Math"/>
                        <w:color w:val="000000"/>
                        <w:sz w:val="20"/>
                        <w:szCs w:val="20"/>
                      </w:rPr>
                      <m:t>Π</m:t>
                    </m:r>
                    <m:ctrlPr>
                      <w:rPr>
                        <w:rFonts w:ascii="Cambria Math" w:eastAsia="Times New Roman" w:hAnsi="Cambria Math"/>
                        <w:i/>
                        <w:color w:val="000000"/>
                        <w:sz w:val="20"/>
                        <w:szCs w:val="20"/>
                      </w:rPr>
                    </m:ctrlPr>
                  </m:e>
                  <m:sub>
                    <m:r>
                      <w:rPr>
                        <w:rFonts w:ascii="Cambria Math" w:eastAsia="Times New Roman" w:hAnsi="Cambria Math"/>
                        <w:color w:val="000000"/>
                        <w:sz w:val="20"/>
                        <w:szCs w:val="20"/>
                      </w:rPr>
                      <m:t>t</m:t>
                    </m:r>
                    <m:r>
                      <w:rPr>
                        <w:rFonts w:ascii="Cambria Math" w:eastAsia="Times New Roman"/>
                        <w:color w:val="000000"/>
                        <w:sz w:val="20"/>
                        <w:szCs w:val="20"/>
                      </w:rPr>
                      <m:t>+5</m:t>
                    </m:r>
                    <m:ctrlPr>
                      <w:rPr>
                        <w:rFonts w:ascii="Cambria Math" w:eastAsia="Times New Roman" w:hAnsi="Cambria Math"/>
                        <w:i/>
                        <w:color w:val="000000"/>
                        <w:sz w:val="20"/>
                        <w:szCs w:val="20"/>
                      </w:rPr>
                    </m:ctrlPr>
                  </m:sub>
                </m:sSub>
              </m:oMath>
            </m:oMathPara>
          </w:p>
        </w:tc>
        <w:tc>
          <w:tcPr>
            <w:tcW w:w="637" w:type="pct"/>
            <w:tcBorders>
              <w:top w:val="nil"/>
              <w:left w:val="nil"/>
              <w:bottom w:val="nil"/>
              <w:right w:val="nil"/>
            </w:tcBorders>
            <w:shd w:val="clear" w:color="auto" w:fill="auto"/>
            <w:noWrap/>
            <w:vAlign w:val="center"/>
            <w:hideMark/>
          </w:tcPr>
          <w:p w:rsidR="00455DEE" w:rsidRPr="000139D8" w:rsidRDefault="00455DEE" w:rsidP="00FA5866">
            <w:pPr>
              <w:spacing w:after="0" w:line="240" w:lineRule="auto"/>
              <w:ind w:firstLine="0"/>
              <w:jc w:val="right"/>
              <w:rPr>
                <w:rFonts w:eastAsia="Times New Roman"/>
                <w:color w:val="000000"/>
                <w:sz w:val="20"/>
                <w:szCs w:val="20"/>
                <w:lang w:val="en-US"/>
              </w:rPr>
            </w:pPr>
            <w:r w:rsidRPr="000139D8">
              <w:rPr>
                <w:rFonts w:eastAsia="Times New Roman"/>
                <w:color w:val="000000"/>
                <w:sz w:val="20"/>
                <w:szCs w:val="20"/>
                <w:lang w:val="en-US"/>
              </w:rPr>
              <w:t>0.0096</w:t>
            </w:r>
          </w:p>
        </w:tc>
        <w:tc>
          <w:tcPr>
            <w:tcW w:w="637" w:type="pct"/>
            <w:tcBorders>
              <w:top w:val="nil"/>
              <w:left w:val="nil"/>
              <w:bottom w:val="nil"/>
              <w:right w:val="nil"/>
            </w:tcBorders>
            <w:shd w:val="clear" w:color="auto" w:fill="auto"/>
            <w:noWrap/>
            <w:vAlign w:val="center"/>
            <w:hideMark/>
          </w:tcPr>
          <w:p w:rsidR="00455DEE" w:rsidRPr="000139D8" w:rsidRDefault="00455DEE" w:rsidP="00FA5866">
            <w:pPr>
              <w:spacing w:after="0" w:line="240" w:lineRule="auto"/>
              <w:ind w:firstLine="0"/>
              <w:jc w:val="right"/>
              <w:rPr>
                <w:rFonts w:eastAsia="Times New Roman"/>
                <w:color w:val="000000"/>
                <w:sz w:val="20"/>
                <w:szCs w:val="20"/>
                <w:lang w:val="en-US"/>
              </w:rPr>
            </w:pPr>
            <w:r w:rsidRPr="000139D8">
              <w:rPr>
                <w:rFonts w:eastAsia="Times New Roman"/>
                <w:color w:val="000000"/>
                <w:sz w:val="20"/>
                <w:szCs w:val="20"/>
                <w:lang w:val="en-US"/>
              </w:rPr>
              <w:t>0.0114</w:t>
            </w:r>
          </w:p>
        </w:tc>
        <w:tc>
          <w:tcPr>
            <w:tcW w:w="637" w:type="pct"/>
            <w:tcBorders>
              <w:top w:val="nil"/>
              <w:left w:val="nil"/>
              <w:bottom w:val="nil"/>
              <w:right w:val="nil"/>
            </w:tcBorders>
            <w:shd w:val="clear" w:color="auto" w:fill="auto"/>
            <w:noWrap/>
            <w:vAlign w:val="center"/>
            <w:hideMark/>
          </w:tcPr>
          <w:p w:rsidR="00455DEE" w:rsidRPr="000139D8" w:rsidRDefault="00455DEE" w:rsidP="00FA5866">
            <w:pPr>
              <w:spacing w:after="0" w:line="240" w:lineRule="auto"/>
              <w:ind w:firstLine="0"/>
              <w:jc w:val="right"/>
              <w:rPr>
                <w:rFonts w:eastAsia="Times New Roman"/>
                <w:color w:val="000000"/>
                <w:sz w:val="20"/>
                <w:szCs w:val="20"/>
                <w:lang w:val="en-US"/>
              </w:rPr>
            </w:pPr>
            <w:r w:rsidRPr="000139D8">
              <w:rPr>
                <w:rFonts w:eastAsia="Times New Roman"/>
                <w:color w:val="000000"/>
                <w:sz w:val="20"/>
                <w:szCs w:val="20"/>
                <w:lang w:val="en-US"/>
              </w:rPr>
              <w:t>0.0011</w:t>
            </w:r>
          </w:p>
        </w:tc>
        <w:tc>
          <w:tcPr>
            <w:tcW w:w="589" w:type="pct"/>
            <w:tcBorders>
              <w:top w:val="nil"/>
              <w:left w:val="nil"/>
              <w:bottom w:val="nil"/>
              <w:right w:val="nil"/>
            </w:tcBorders>
            <w:shd w:val="clear" w:color="auto" w:fill="auto"/>
            <w:noWrap/>
            <w:vAlign w:val="center"/>
            <w:hideMark/>
          </w:tcPr>
          <w:p w:rsidR="00455DEE" w:rsidRPr="00A90656" w:rsidRDefault="00455DEE" w:rsidP="00FA5866">
            <w:pPr>
              <w:spacing w:after="0" w:line="240" w:lineRule="auto"/>
              <w:ind w:firstLine="0"/>
              <w:jc w:val="right"/>
              <w:rPr>
                <w:rFonts w:eastAsia="Times New Roman"/>
                <w:color w:val="000000"/>
                <w:sz w:val="20"/>
                <w:szCs w:val="20"/>
                <w:lang w:val="en-US"/>
              </w:rPr>
            </w:pPr>
          </w:p>
        </w:tc>
        <w:tc>
          <w:tcPr>
            <w:tcW w:w="637" w:type="pct"/>
            <w:tcBorders>
              <w:top w:val="nil"/>
              <w:left w:val="nil"/>
              <w:bottom w:val="nil"/>
              <w:right w:val="nil"/>
            </w:tcBorders>
            <w:shd w:val="clear" w:color="auto" w:fill="auto"/>
            <w:noWrap/>
            <w:vAlign w:val="center"/>
            <w:hideMark/>
          </w:tcPr>
          <w:p w:rsidR="00455DEE" w:rsidRPr="00A90656" w:rsidRDefault="00455DEE" w:rsidP="00FA5866">
            <w:pPr>
              <w:spacing w:after="0" w:line="240" w:lineRule="auto"/>
              <w:ind w:firstLine="0"/>
              <w:rPr>
                <w:rFonts w:eastAsia="Times New Roman"/>
                <w:color w:val="000000"/>
                <w:sz w:val="20"/>
                <w:szCs w:val="20"/>
                <w:lang w:val="en-US"/>
              </w:rPr>
            </w:pPr>
            <w:r w:rsidRPr="00A90656">
              <w:rPr>
                <w:rFonts w:eastAsia="Times New Roman"/>
                <w:color w:val="000000"/>
                <w:sz w:val="20"/>
                <w:szCs w:val="20"/>
                <w:lang w:val="en-US"/>
              </w:rPr>
              <w:t>-0.1455</w:t>
            </w:r>
          </w:p>
        </w:tc>
        <w:tc>
          <w:tcPr>
            <w:tcW w:w="637" w:type="pct"/>
            <w:tcBorders>
              <w:top w:val="nil"/>
              <w:left w:val="nil"/>
              <w:bottom w:val="nil"/>
              <w:right w:val="nil"/>
            </w:tcBorders>
            <w:shd w:val="clear" w:color="auto" w:fill="auto"/>
            <w:noWrap/>
            <w:vAlign w:val="center"/>
            <w:hideMark/>
          </w:tcPr>
          <w:p w:rsidR="00455DEE" w:rsidRPr="00A90656" w:rsidRDefault="00455DEE" w:rsidP="00FA5866">
            <w:pPr>
              <w:spacing w:after="0" w:line="240" w:lineRule="auto"/>
              <w:ind w:firstLine="0"/>
              <w:rPr>
                <w:rFonts w:eastAsia="Times New Roman"/>
                <w:color w:val="000000"/>
                <w:sz w:val="20"/>
                <w:szCs w:val="20"/>
                <w:lang w:val="en-US"/>
              </w:rPr>
            </w:pPr>
            <w:r w:rsidRPr="00A90656">
              <w:rPr>
                <w:rFonts w:eastAsia="Times New Roman"/>
                <w:color w:val="000000"/>
                <w:sz w:val="20"/>
                <w:szCs w:val="20"/>
                <w:lang w:val="en-US"/>
              </w:rPr>
              <w:t>-0.1434</w:t>
            </w:r>
          </w:p>
        </w:tc>
        <w:tc>
          <w:tcPr>
            <w:tcW w:w="637" w:type="pct"/>
            <w:tcBorders>
              <w:top w:val="nil"/>
              <w:left w:val="nil"/>
              <w:bottom w:val="nil"/>
              <w:right w:val="nil"/>
            </w:tcBorders>
            <w:shd w:val="clear" w:color="auto" w:fill="auto"/>
            <w:noWrap/>
            <w:vAlign w:val="center"/>
            <w:hideMark/>
          </w:tcPr>
          <w:p w:rsidR="00455DEE" w:rsidRPr="00A90656" w:rsidRDefault="00455DEE" w:rsidP="00FA5866">
            <w:pPr>
              <w:spacing w:after="0" w:line="240" w:lineRule="auto"/>
              <w:ind w:firstLine="0"/>
              <w:rPr>
                <w:rFonts w:eastAsia="Times New Roman"/>
                <w:color w:val="000000"/>
                <w:sz w:val="20"/>
                <w:szCs w:val="20"/>
                <w:lang w:val="en-US"/>
              </w:rPr>
            </w:pPr>
            <w:r w:rsidRPr="00A90656">
              <w:rPr>
                <w:rFonts w:eastAsia="Times New Roman"/>
                <w:color w:val="000000"/>
                <w:sz w:val="20"/>
                <w:szCs w:val="20"/>
                <w:lang w:val="en-US"/>
              </w:rPr>
              <w:t>-0.1346</w:t>
            </w:r>
          </w:p>
        </w:tc>
      </w:tr>
      <w:tr w:rsidR="00455DEE" w:rsidRPr="00A90656" w:rsidTr="00455DEE">
        <w:trPr>
          <w:trHeight w:val="315"/>
        </w:trPr>
        <w:tc>
          <w:tcPr>
            <w:tcW w:w="589" w:type="pct"/>
            <w:tcBorders>
              <w:top w:val="nil"/>
              <w:left w:val="nil"/>
              <w:bottom w:val="nil"/>
              <w:right w:val="nil"/>
            </w:tcBorders>
            <w:shd w:val="clear" w:color="auto" w:fill="auto"/>
            <w:noWrap/>
            <w:vAlign w:val="bottom"/>
            <w:hideMark/>
          </w:tcPr>
          <w:p w:rsidR="00455DEE" w:rsidRPr="00D06C2F" w:rsidRDefault="00455DEE" w:rsidP="00FA5866">
            <w:pPr>
              <w:spacing w:after="0" w:line="240" w:lineRule="auto"/>
              <w:jc w:val="center"/>
              <w:rPr>
                <w:rFonts w:eastAsia="Times New Roman"/>
                <w:color w:val="000000"/>
                <w:sz w:val="20"/>
                <w:szCs w:val="20"/>
              </w:rPr>
            </w:pPr>
            <m:oMathPara>
              <m:oMath>
                <m:r>
                  <w:rPr>
                    <w:rFonts w:ascii="Cambria Math" w:eastAsia="Times New Roman" w:hAnsi="Cambria Math"/>
                    <w:color w:val="000000"/>
                    <w:sz w:val="20"/>
                    <w:szCs w:val="20"/>
                  </w:rPr>
                  <m:t>∆</m:t>
                </m:r>
                <m:sSub>
                  <m:sSubPr>
                    <m:ctrlPr>
                      <w:rPr>
                        <w:rFonts w:ascii="Cambria Math" w:eastAsia="Times New Roman" w:hAnsi="Cambria Math"/>
                        <w:color w:val="000000"/>
                        <w:sz w:val="20"/>
                        <w:szCs w:val="20"/>
                      </w:rPr>
                    </m:ctrlPr>
                  </m:sSubPr>
                  <m:e>
                    <m:r>
                      <m:rPr>
                        <m:sty m:val="p"/>
                      </m:rPr>
                      <w:rPr>
                        <w:rFonts w:ascii="Cambria Math" w:eastAsia="Times New Roman" w:hAnsi="Cambria Math"/>
                        <w:color w:val="000000"/>
                        <w:sz w:val="20"/>
                        <w:szCs w:val="20"/>
                      </w:rPr>
                      <m:t>Π</m:t>
                    </m:r>
                    <m:ctrlPr>
                      <w:rPr>
                        <w:rFonts w:ascii="Cambria Math" w:eastAsia="Times New Roman" w:hAnsi="Cambria Math"/>
                        <w:i/>
                        <w:color w:val="000000"/>
                        <w:sz w:val="20"/>
                        <w:szCs w:val="20"/>
                      </w:rPr>
                    </m:ctrlPr>
                  </m:e>
                  <m:sub>
                    <m:r>
                      <w:rPr>
                        <w:rFonts w:ascii="Cambria Math" w:eastAsia="Times New Roman" w:hAnsi="Cambria Math"/>
                        <w:color w:val="000000"/>
                        <w:sz w:val="20"/>
                        <w:szCs w:val="20"/>
                      </w:rPr>
                      <m:t>t</m:t>
                    </m:r>
                    <m:r>
                      <w:rPr>
                        <w:rFonts w:ascii="Cambria Math" w:eastAsia="Times New Roman"/>
                        <w:color w:val="000000"/>
                        <w:sz w:val="20"/>
                        <w:szCs w:val="20"/>
                      </w:rPr>
                      <m:t>+6</m:t>
                    </m:r>
                    <m:ctrlPr>
                      <w:rPr>
                        <w:rFonts w:ascii="Cambria Math" w:eastAsia="Times New Roman" w:hAnsi="Cambria Math"/>
                        <w:i/>
                        <w:color w:val="000000"/>
                        <w:sz w:val="20"/>
                        <w:szCs w:val="20"/>
                      </w:rPr>
                    </m:ctrlPr>
                  </m:sub>
                </m:sSub>
              </m:oMath>
            </m:oMathPara>
          </w:p>
        </w:tc>
        <w:tc>
          <w:tcPr>
            <w:tcW w:w="637" w:type="pct"/>
            <w:tcBorders>
              <w:top w:val="nil"/>
              <w:left w:val="nil"/>
              <w:bottom w:val="nil"/>
              <w:right w:val="nil"/>
            </w:tcBorders>
            <w:shd w:val="clear" w:color="auto" w:fill="auto"/>
            <w:noWrap/>
            <w:vAlign w:val="center"/>
            <w:hideMark/>
          </w:tcPr>
          <w:p w:rsidR="00455DEE" w:rsidRPr="000139D8" w:rsidRDefault="00455DEE" w:rsidP="00FA5866">
            <w:pPr>
              <w:spacing w:after="0" w:line="240" w:lineRule="auto"/>
              <w:ind w:firstLine="0"/>
              <w:jc w:val="right"/>
              <w:rPr>
                <w:rFonts w:eastAsia="Times New Roman"/>
                <w:color w:val="000000"/>
                <w:sz w:val="20"/>
                <w:szCs w:val="20"/>
                <w:lang w:val="en-US"/>
              </w:rPr>
            </w:pPr>
            <w:r w:rsidRPr="000139D8">
              <w:rPr>
                <w:rFonts w:eastAsia="Times New Roman"/>
                <w:color w:val="000000"/>
                <w:sz w:val="20"/>
                <w:szCs w:val="20"/>
                <w:lang w:val="en-US"/>
              </w:rPr>
              <w:t>0.0569</w:t>
            </w:r>
          </w:p>
        </w:tc>
        <w:tc>
          <w:tcPr>
            <w:tcW w:w="637" w:type="pct"/>
            <w:tcBorders>
              <w:top w:val="nil"/>
              <w:left w:val="nil"/>
              <w:bottom w:val="nil"/>
              <w:right w:val="nil"/>
            </w:tcBorders>
            <w:shd w:val="clear" w:color="auto" w:fill="auto"/>
            <w:noWrap/>
            <w:vAlign w:val="center"/>
            <w:hideMark/>
          </w:tcPr>
          <w:p w:rsidR="00455DEE" w:rsidRPr="000139D8" w:rsidRDefault="00455DEE" w:rsidP="00FA5866">
            <w:pPr>
              <w:spacing w:after="0" w:line="240" w:lineRule="auto"/>
              <w:ind w:firstLine="0"/>
              <w:jc w:val="right"/>
              <w:rPr>
                <w:rFonts w:eastAsia="Times New Roman"/>
                <w:color w:val="000000"/>
                <w:sz w:val="20"/>
                <w:szCs w:val="20"/>
                <w:lang w:val="en-US"/>
              </w:rPr>
            </w:pPr>
            <w:r w:rsidRPr="000139D8">
              <w:rPr>
                <w:rFonts w:eastAsia="Times New Roman"/>
                <w:color w:val="000000"/>
                <w:sz w:val="20"/>
                <w:szCs w:val="20"/>
                <w:lang w:val="en-US"/>
              </w:rPr>
              <w:t>0.0442</w:t>
            </w:r>
          </w:p>
        </w:tc>
        <w:tc>
          <w:tcPr>
            <w:tcW w:w="637" w:type="pct"/>
            <w:tcBorders>
              <w:top w:val="nil"/>
              <w:left w:val="nil"/>
              <w:bottom w:val="nil"/>
              <w:right w:val="nil"/>
            </w:tcBorders>
            <w:shd w:val="clear" w:color="auto" w:fill="auto"/>
            <w:noWrap/>
            <w:vAlign w:val="center"/>
            <w:hideMark/>
          </w:tcPr>
          <w:p w:rsidR="00455DEE" w:rsidRPr="000139D8" w:rsidRDefault="00455DEE" w:rsidP="00FA5866">
            <w:pPr>
              <w:spacing w:after="0" w:line="240" w:lineRule="auto"/>
              <w:ind w:firstLine="0"/>
              <w:jc w:val="right"/>
              <w:rPr>
                <w:rFonts w:eastAsia="Times New Roman"/>
                <w:color w:val="000000"/>
                <w:sz w:val="20"/>
                <w:szCs w:val="20"/>
                <w:lang w:val="en-US"/>
              </w:rPr>
            </w:pPr>
            <w:r w:rsidRPr="000139D8">
              <w:rPr>
                <w:rFonts w:eastAsia="Times New Roman"/>
                <w:color w:val="000000"/>
                <w:sz w:val="20"/>
                <w:szCs w:val="20"/>
                <w:lang w:val="en-US"/>
              </w:rPr>
              <w:t>0.0303</w:t>
            </w:r>
          </w:p>
        </w:tc>
        <w:tc>
          <w:tcPr>
            <w:tcW w:w="589" w:type="pct"/>
            <w:tcBorders>
              <w:top w:val="nil"/>
              <w:left w:val="nil"/>
              <w:bottom w:val="nil"/>
              <w:right w:val="nil"/>
            </w:tcBorders>
            <w:shd w:val="clear" w:color="auto" w:fill="auto"/>
            <w:noWrap/>
            <w:vAlign w:val="center"/>
            <w:hideMark/>
          </w:tcPr>
          <w:p w:rsidR="00455DEE" w:rsidRPr="00A90656" w:rsidRDefault="00455DEE" w:rsidP="00FA5866">
            <w:pPr>
              <w:spacing w:after="0" w:line="240" w:lineRule="auto"/>
              <w:ind w:firstLine="0"/>
              <w:jc w:val="right"/>
              <w:rPr>
                <w:rFonts w:eastAsia="Times New Roman"/>
                <w:color w:val="000000"/>
                <w:sz w:val="20"/>
                <w:szCs w:val="20"/>
                <w:lang w:val="en-US"/>
              </w:rPr>
            </w:pPr>
          </w:p>
        </w:tc>
        <w:tc>
          <w:tcPr>
            <w:tcW w:w="637" w:type="pct"/>
            <w:tcBorders>
              <w:top w:val="nil"/>
              <w:left w:val="nil"/>
              <w:bottom w:val="nil"/>
              <w:right w:val="nil"/>
            </w:tcBorders>
            <w:shd w:val="clear" w:color="auto" w:fill="auto"/>
            <w:noWrap/>
            <w:vAlign w:val="center"/>
            <w:hideMark/>
          </w:tcPr>
          <w:p w:rsidR="00455DEE" w:rsidRPr="00A90656" w:rsidRDefault="00455DEE" w:rsidP="00FA5866">
            <w:pPr>
              <w:spacing w:after="0" w:line="240" w:lineRule="auto"/>
              <w:ind w:firstLine="0"/>
              <w:rPr>
                <w:rFonts w:eastAsia="Times New Roman"/>
                <w:color w:val="000000"/>
                <w:sz w:val="20"/>
                <w:szCs w:val="20"/>
                <w:lang w:val="en-US"/>
              </w:rPr>
            </w:pPr>
            <w:r w:rsidRPr="00A90656">
              <w:rPr>
                <w:rFonts w:eastAsia="Times New Roman"/>
                <w:color w:val="000000"/>
                <w:sz w:val="20"/>
                <w:szCs w:val="20"/>
                <w:lang w:val="en-US"/>
              </w:rPr>
              <w:t>-0.2044</w:t>
            </w:r>
          </w:p>
        </w:tc>
        <w:tc>
          <w:tcPr>
            <w:tcW w:w="637" w:type="pct"/>
            <w:tcBorders>
              <w:top w:val="nil"/>
              <w:left w:val="nil"/>
              <w:bottom w:val="nil"/>
              <w:right w:val="nil"/>
            </w:tcBorders>
            <w:shd w:val="clear" w:color="auto" w:fill="auto"/>
            <w:noWrap/>
            <w:vAlign w:val="center"/>
            <w:hideMark/>
          </w:tcPr>
          <w:p w:rsidR="00455DEE" w:rsidRPr="00A90656" w:rsidRDefault="00455DEE" w:rsidP="00FA5866">
            <w:pPr>
              <w:spacing w:after="0" w:line="240" w:lineRule="auto"/>
              <w:ind w:firstLine="0"/>
              <w:rPr>
                <w:rFonts w:eastAsia="Times New Roman"/>
                <w:color w:val="000000"/>
                <w:sz w:val="20"/>
                <w:szCs w:val="20"/>
                <w:lang w:val="en-US"/>
              </w:rPr>
            </w:pPr>
            <w:r w:rsidRPr="00A90656">
              <w:rPr>
                <w:rFonts w:eastAsia="Times New Roman"/>
                <w:color w:val="000000"/>
                <w:sz w:val="20"/>
                <w:szCs w:val="20"/>
                <w:lang w:val="en-US"/>
              </w:rPr>
              <w:t>-0.2037</w:t>
            </w:r>
          </w:p>
        </w:tc>
        <w:tc>
          <w:tcPr>
            <w:tcW w:w="637" w:type="pct"/>
            <w:tcBorders>
              <w:top w:val="nil"/>
              <w:left w:val="nil"/>
              <w:bottom w:val="nil"/>
              <w:right w:val="nil"/>
            </w:tcBorders>
            <w:shd w:val="clear" w:color="auto" w:fill="auto"/>
            <w:noWrap/>
            <w:vAlign w:val="center"/>
            <w:hideMark/>
          </w:tcPr>
          <w:p w:rsidR="00455DEE" w:rsidRPr="00A90656" w:rsidRDefault="00455DEE" w:rsidP="00FA5866">
            <w:pPr>
              <w:spacing w:after="0" w:line="240" w:lineRule="auto"/>
              <w:ind w:firstLine="0"/>
              <w:rPr>
                <w:rFonts w:eastAsia="Times New Roman"/>
                <w:color w:val="000000"/>
                <w:sz w:val="20"/>
                <w:szCs w:val="20"/>
                <w:lang w:val="en-US"/>
              </w:rPr>
            </w:pPr>
            <w:r w:rsidRPr="00A90656">
              <w:rPr>
                <w:rFonts w:eastAsia="Times New Roman"/>
                <w:color w:val="000000"/>
                <w:sz w:val="20"/>
                <w:szCs w:val="20"/>
                <w:lang w:val="en-US"/>
              </w:rPr>
              <w:t>-0.1961</w:t>
            </w:r>
          </w:p>
        </w:tc>
      </w:tr>
      <w:tr w:rsidR="00455DEE" w:rsidRPr="00A90656" w:rsidTr="00455DEE">
        <w:trPr>
          <w:trHeight w:val="315"/>
        </w:trPr>
        <w:tc>
          <w:tcPr>
            <w:tcW w:w="589" w:type="pct"/>
            <w:tcBorders>
              <w:top w:val="nil"/>
              <w:left w:val="nil"/>
              <w:bottom w:val="nil"/>
              <w:right w:val="nil"/>
            </w:tcBorders>
            <w:shd w:val="clear" w:color="auto" w:fill="auto"/>
            <w:noWrap/>
            <w:vAlign w:val="bottom"/>
            <w:hideMark/>
          </w:tcPr>
          <w:p w:rsidR="00455DEE" w:rsidRPr="00D06C2F" w:rsidRDefault="00455DEE" w:rsidP="00FA5866">
            <w:pPr>
              <w:spacing w:after="0" w:line="240" w:lineRule="auto"/>
              <w:jc w:val="center"/>
              <w:rPr>
                <w:rFonts w:eastAsia="Times New Roman"/>
                <w:color w:val="000000"/>
                <w:sz w:val="20"/>
                <w:szCs w:val="20"/>
              </w:rPr>
            </w:pPr>
            <m:oMathPara>
              <m:oMath>
                <m:r>
                  <w:rPr>
                    <w:rFonts w:ascii="Cambria Math" w:eastAsia="Times New Roman" w:hAnsi="Cambria Math"/>
                    <w:color w:val="000000"/>
                    <w:sz w:val="20"/>
                    <w:szCs w:val="20"/>
                  </w:rPr>
                  <m:t>∆</m:t>
                </m:r>
                <m:sSub>
                  <m:sSubPr>
                    <m:ctrlPr>
                      <w:rPr>
                        <w:rFonts w:ascii="Cambria Math" w:eastAsia="Times New Roman" w:hAnsi="Cambria Math"/>
                        <w:color w:val="000000"/>
                        <w:sz w:val="20"/>
                        <w:szCs w:val="20"/>
                      </w:rPr>
                    </m:ctrlPr>
                  </m:sSubPr>
                  <m:e>
                    <m:r>
                      <m:rPr>
                        <m:sty m:val="p"/>
                      </m:rPr>
                      <w:rPr>
                        <w:rFonts w:ascii="Cambria Math" w:eastAsia="Times New Roman" w:hAnsi="Cambria Math"/>
                        <w:color w:val="000000"/>
                        <w:sz w:val="20"/>
                        <w:szCs w:val="20"/>
                      </w:rPr>
                      <m:t>Π</m:t>
                    </m:r>
                    <m:ctrlPr>
                      <w:rPr>
                        <w:rFonts w:ascii="Cambria Math" w:eastAsia="Times New Roman" w:hAnsi="Cambria Math"/>
                        <w:i/>
                        <w:color w:val="000000"/>
                        <w:sz w:val="20"/>
                        <w:szCs w:val="20"/>
                      </w:rPr>
                    </m:ctrlPr>
                  </m:e>
                  <m:sub>
                    <m:r>
                      <w:rPr>
                        <w:rFonts w:ascii="Cambria Math" w:eastAsia="Times New Roman" w:hAnsi="Cambria Math"/>
                        <w:color w:val="000000"/>
                        <w:sz w:val="20"/>
                        <w:szCs w:val="20"/>
                      </w:rPr>
                      <m:t>t</m:t>
                    </m:r>
                    <m:r>
                      <w:rPr>
                        <w:rFonts w:ascii="Cambria Math" w:eastAsia="Times New Roman"/>
                        <w:color w:val="000000"/>
                        <w:sz w:val="20"/>
                        <w:szCs w:val="20"/>
                      </w:rPr>
                      <m:t>+7</m:t>
                    </m:r>
                    <m:ctrlPr>
                      <w:rPr>
                        <w:rFonts w:ascii="Cambria Math" w:eastAsia="Times New Roman" w:hAnsi="Cambria Math"/>
                        <w:i/>
                        <w:color w:val="000000"/>
                        <w:sz w:val="20"/>
                        <w:szCs w:val="20"/>
                      </w:rPr>
                    </m:ctrlPr>
                  </m:sub>
                </m:sSub>
              </m:oMath>
            </m:oMathPara>
          </w:p>
        </w:tc>
        <w:tc>
          <w:tcPr>
            <w:tcW w:w="637" w:type="pct"/>
            <w:tcBorders>
              <w:top w:val="nil"/>
              <w:left w:val="nil"/>
              <w:bottom w:val="nil"/>
              <w:right w:val="nil"/>
            </w:tcBorders>
            <w:shd w:val="clear" w:color="auto" w:fill="auto"/>
            <w:noWrap/>
            <w:vAlign w:val="center"/>
            <w:hideMark/>
          </w:tcPr>
          <w:p w:rsidR="00455DEE" w:rsidRPr="000139D8" w:rsidRDefault="00455DEE" w:rsidP="00FA5866">
            <w:pPr>
              <w:spacing w:after="0" w:line="240" w:lineRule="auto"/>
              <w:ind w:firstLine="0"/>
              <w:jc w:val="right"/>
              <w:rPr>
                <w:rFonts w:eastAsia="Times New Roman"/>
                <w:color w:val="000000"/>
                <w:sz w:val="20"/>
                <w:szCs w:val="20"/>
                <w:lang w:val="en-US"/>
              </w:rPr>
            </w:pPr>
            <w:r w:rsidRPr="000139D8">
              <w:rPr>
                <w:rFonts w:eastAsia="Times New Roman"/>
                <w:color w:val="000000"/>
                <w:sz w:val="20"/>
                <w:szCs w:val="20"/>
                <w:lang w:val="en-US"/>
              </w:rPr>
              <w:t>0.0141</w:t>
            </w:r>
          </w:p>
        </w:tc>
        <w:tc>
          <w:tcPr>
            <w:tcW w:w="637" w:type="pct"/>
            <w:tcBorders>
              <w:top w:val="nil"/>
              <w:left w:val="nil"/>
              <w:bottom w:val="nil"/>
              <w:right w:val="nil"/>
            </w:tcBorders>
            <w:shd w:val="clear" w:color="auto" w:fill="auto"/>
            <w:noWrap/>
            <w:vAlign w:val="center"/>
            <w:hideMark/>
          </w:tcPr>
          <w:p w:rsidR="00455DEE" w:rsidRPr="000139D8" w:rsidRDefault="00455DEE" w:rsidP="00FA5866">
            <w:pPr>
              <w:spacing w:after="0" w:line="240" w:lineRule="auto"/>
              <w:ind w:firstLine="0"/>
              <w:jc w:val="right"/>
              <w:rPr>
                <w:rFonts w:eastAsia="Times New Roman"/>
                <w:color w:val="000000"/>
                <w:sz w:val="20"/>
                <w:szCs w:val="20"/>
                <w:lang w:val="en-US"/>
              </w:rPr>
            </w:pPr>
            <w:r w:rsidRPr="000139D8">
              <w:rPr>
                <w:rFonts w:eastAsia="Times New Roman"/>
                <w:color w:val="000000"/>
                <w:sz w:val="20"/>
                <w:szCs w:val="20"/>
                <w:lang w:val="en-US"/>
              </w:rPr>
              <w:t>0.0199</w:t>
            </w:r>
          </w:p>
        </w:tc>
        <w:tc>
          <w:tcPr>
            <w:tcW w:w="637" w:type="pct"/>
            <w:tcBorders>
              <w:top w:val="nil"/>
              <w:left w:val="nil"/>
              <w:bottom w:val="nil"/>
              <w:right w:val="nil"/>
            </w:tcBorders>
            <w:shd w:val="clear" w:color="auto" w:fill="auto"/>
            <w:noWrap/>
            <w:vAlign w:val="center"/>
            <w:hideMark/>
          </w:tcPr>
          <w:p w:rsidR="00455DEE" w:rsidRPr="000139D8" w:rsidRDefault="00455DEE" w:rsidP="00FA5866">
            <w:pPr>
              <w:spacing w:after="0" w:line="240" w:lineRule="auto"/>
              <w:ind w:firstLine="0"/>
              <w:jc w:val="right"/>
              <w:rPr>
                <w:rFonts w:eastAsia="Times New Roman"/>
                <w:color w:val="000000"/>
                <w:sz w:val="20"/>
                <w:szCs w:val="20"/>
                <w:lang w:val="en-US"/>
              </w:rPr>
            </w:pPr>
            <w:r w:rsidRPr="000139D8">
              <w:rPr>
                <w:rFonts w:eastAsia="Times New Roman"/>
                <w:color w:val="000000"/>
                <w:sz w:val="20"/>
                <w:szCs w:val="20"/>
                <w:lang w:val="en-US"/>
              </w:rPr>
              <w:t>0.0133</w:t>
            </w:r>
          </w:p>
        </w:tc>
        <w:tc>
          <w:tcPr>
            <w:tcW w:w="589" w:type="pct"/>
            <w:tcBorders>
              <w:top w:val="nil"/>
              <w:left w:val="nil"/>
              <w:bottom w:val="nil"/>
              <w:right w:val="nil"/>
            </w:tcBorders>
            <w:shd w:val="clear" w:color="auto" w:fill="auto"/>
            <w:noWrap/>
            <w:vAlign w:val="center"/>
            <w:hideMark/>
          </w:tcPr>
          <w:p w:rsidR="00455DEE" w:rsidRPr="00A90656" w:rsidRDefault="00455DEE" w:rsidP="00FA5866">
            <w:pPr>
              <w:spacing w:after="0" w:line="240" w:lineRule="auto"/>
              <w:ind w:firstLine="0"/>
              <w:jc w:val="right"/>
              <w:rPr>
                <w:rFonts w:eastAsia="Times New Roman"/>
                <w:color w:val="000000"/>
                <w:sz w:val="20"/>
                <w:szCs w:val="20"/>
                <w:lang w:val="en-US"/>
              </w:rPr>
            </w:pPr>
          </w:p>
        </w:tc>
        <w:tc>
          <w:tcPr>
            <w:tcW w:w="637" w:type="pct"/>
            <w:tcBorders>
              <w:top w:val="nil"/>
              <w:left w:val="nil"/>
              <w:bottom w:val="nil"/>
              <w:right w:val="nil"/>
            </w:tcBorders>
            <w:shd w:val="clear" w:color="auto" w:fill="auto"/>
            <w:noWrap/>
            <w:vAlign w:val="center"/>
            <w:hideMark/>
          </w:tcPr>
          <w:p w:rsidR="00455DEE" w:rsidRPr="00A90656" w:rsidRDefault="00455DEE" w:rsidP="00FA5866">
            <w:pPr>
              <w:spacing w:after="0" w:line="240" w:lineRule="auto"/>
              <w:ind w:firstLine="0"/>
              <w:rPr>
                <w:rFonts w:eastAsia="Times New Roman"/>
                <w:color w:val="000000"/>
                <w:sz w:val="20"/>
                <w:szCs w:val="20"/>
                <w:lang w:val="en-US"/>
              </w:rPr>
            </w:pPr>
            <w:r w:rsidRPr="00A90656">
              <w:rPr>
                <w:rFonts w:eastAsia="Times New Roman"/>
                <w:color w:val="000000"/>
                <w:sz w:val="20"/>
                <w:szCs w:val="20"/>
                <w:lang w:val="en-US"/>
              </w:rPr>
              <w:t>-0.2269</w:t>
            </w:r>
          </w:p>
        </w:tc>
        <w:tc>
          <w:tcPr>
            <w:tcW w:w="637" w:type="pct"/>
            <w:tcBorders>
              <w:top w:val="nil"/>
              <w:left w:val="nil"/>
              <w:bottom w:val="nil"/>
              <w:right w:val="nil"/>
            </w:tcBorders>
            <w:shd w:val="clear" w:color="auto" w:fill="auto"/>
            <w:noWrap/>
            <w:vAlign w:val="center"/>
            <w:hideMark/>
          </w:tcPr>
          <w:p w:rsidR="00455DEE" w:rsidRPr="00A90656" w:rsidRDefault="00455DEE" w:rsidP="00FA5866">
            <w:pPr>
              <w:spacing w:after="0" w:line="240" w:lineRule="auto"/>
              <w:ind w:firstLine="0"/>
              <w:rPr>
                <w:rFonts w:eastAsia="Times New Roman"/>
                <w:color w:val="000000"/>
                <w:sz w:val="20"/>
                <w:szCs w:val="20"/>
                <w:lang w:val="en-US"/>
              </w:rPr>
            </w:pPr>
            <w:r w:rsidRPr="00A90656">
              <w:rPr>
                <w:rFonts w:eastAsia="Times New Roman"/>
                <w:color w:val="000000"/>
                <w:sz w:val="20"/>
                <w:szCs w:val="20"/>
                <w:lang w:val="en-US"/>
              </w:rPr>
              <w:t>-0.226</w:t>
            </w:r>
          </w:p>
        </w:tc>
        <w:tc>
          <w:tcPr>
            <w:tcW w:w="637" w:type="pct"/>
            <w:tcBorders>
              <w:top w:val="nil"/>
              <w:left w:val="nil"/>
              <w:bottom w:val="nil"/>
              <w:right w:val="nil"/>
            </w:tcBorders>
            <w:shd w:val="clear" w:color="auto" w:fill="auto"/>
            <w:noWrap/>
            <w:vAlign w:val="center"/>
            <w:hideMark/>
          </w:tcPr>
          <w:p w:rsidR="00455DEE" w:rsidRPr="00A90656" w:rsidRDefault="00455DEE" w:rsidP="00FA5866">
            <w:pPr>
              <w:spacing w:after="0" w:line="240" w:lineRule="auto"/>
              <w:ind w:firstLine="0"/>
              <w:rPr>
                <w:rFonts w:eastAsia="Times New Roman"/>
                <w:color w:val="000000"/>
                <w:sz w:val="20"/>
                <w:szCs w:val="20"/>
                <w:lang w:val="en-US"/>
              </w:rPr>
            </w:pPr>
            <w:r w:rsidRPr="00A90656">
              <w:rPr>
                <w:rFonts w:eastAsia="Times New Roman"/>
                <w:color w:val="000000"/>
                <w:sz w:val="20"/>
                <w:szCs w:val="20"/>
                <w:lang w:val="en-US"/>
              </w:rPr>
              <w:t>-0.2224</w:t>
            </w:r>
          </w:p>
        </w:tc>
      </w:tr>
      <w:tr w:rsidR="00455DEE" w:rsidRPr="00A90656" w:rsidTr="00455DEE">
        <w:trPr>
          <w:trHeight w:val="300"/>
        </w:trPr>
        <w:tc>
          <w:tcPr>
            <w:tcW w:w="589" w:type="pct"/>
            <w:tcBorders>
              <w:top w:val="nil"/>
              <w:left w:val="nil"/>
              <w:bottom w:val="nil"/>
              <w:right w:val="nil"/>
            </w:tcBorders>
            <w:shd w:val="clear" w:color="auto" w:fill="auto"/>
            <w:noWrap/>
            <w:vAlign w:val="bottom"/>
            <w:hideMark/>
          </w:tcPr>
          <w:p w:rsidR="00455DEE" w:rsidRPr="00D06C2F" w:rsidRDefault="00455DEE" w:rsidP="00FA5866">
            <w:pPr>
              <w:spacing w:after="0" w:line="240" w:lineRule="auto"/>
              <w:jc w:val="center"/>
              <w:rPr>
                <w:rFonts w:eastAsia="Times New Roman"/>
                <w:color w:val="000000"/>
                <w:sz w:val="20"/>
                <w:szCs w:val="20"/>
              </w:rPr>
            </w:pPr>
            <m:oMathPara>
              <m:oMath>
                <m:r>
                  <w:rPr>
                    <w:rFonts w:ascii="Cambria Math" w:eastAsia="Times New Roman" w:hAnsi="Cambria Math"/>
                    <w:color w:val="000000"/>
                    <w:sz w:val="20"/>
                    <w:szCs w:val="20"/>
                  </w:rPr>
                  <m:t>∆</m:t>
                </m:r>
                <m:sSub>
                  <m:sSubPr>
                    <m:ctrlPr>
                      <w:rPr>
                        <w:rFonts w:ascii="Cambria Math" w:eastAsia="Times New Roman" w:hAnsi="Cambria Math"/>
                        <w:color w:val="000000"/>
                        <w:sz w:val="20"/>
                        <w:szCs w:val="20"/>
                      </w:rPr>
                    </m:ctrlPr>
                  </m:sSubPr>
                  <m:e>
                    <m:r>
                      <m:rPr>
                        <m:sty m:val="p"/>
                      </m:rPr>
                      <w:rPr>
                        <w:rFonts w:ascii="Cambria Math" w:eastAsia="Times New Roman" w:hAnsi="Cambria Math"/>
                        <w:color w:val="000000"/>
                        <w:sz w:val="20"/>
                        <w:szCs w:val="20"/>
                      </w:rPr>
                      <m:t>Π</m:t>
                    </m:r>
                    <m:ctrlPr>
                      <w:rPr>
                        <w:rFonts w:ascii="Cambria Math" w:eastAsia="Times New Roman" w:hAnsi="Cambria Math"/>
                        <w:i/>
                        <w:color w:val="000000"/>
                        <w:sz w:val="20"/>
                        <w:szCs w:val="20"/>
                      </w:rPr>
                    </m:ctrlPr>
                  </m:e>
                  <m:sub>
                    <m:r>
                      <w:rPr>
                        <w:rFonts w:ascii="Cambria Math" w:eastAsia="Times New Roman" w:hAnsi="Cambria Math"/>
                        <w:color w:val="000000"/>
                        <w:sz w:val="20"/>
                        <w:szCs w:val="20"/>
                      </w:rPr>
                      <m:t>t</m:t>
                    </m:r>
                    <m:r>
                      <w:rPr>
                        <w:rFonts w:ascii="Cambria Math" w:eastAsia="Times New Roman"/>
                        <w:color w:val="000000"/>
                        <w:sz w:val="20"/>
                        <w:szCs w:val="20"/>
                      </w:rPr>
                      <m:t>+8</m:t>
                    </m:r>
                    <m:ctrlPr>
                      <w:rPr>
                        <w:rFonts w:ascii="Cambria Math" w:eastAsia="Times New Roman" w:hAnsi="Cambria Math"/>
                        <w:i/>
                        <w:color w:val="000000"/>
                        <w:sz w:val="20"/>
                        <w:szCs w:val="20"/>
                      </w:rPr>
                    </m:ctrlPr>
                  </m:sub>
                </m:sSub>
              </m:oMath>
            </m:oMathPara>
          </w:p>
        </w:tc>
        <w:tc>
          <w:tcPr>
            <w:tcW w:w="637" w:type="pct"/>
            <w:tcBorders>
              <w:top w:val="nil"/>
              <w:left w:val="nil"/>
              <w:bottom w:val="nil"/>
              <w:right w:val="nil"/>
            </w:tcBorders>
            <w:shd w:val="clear" w:color="auto" w:fill="auto"/>
            <w:noWrap/>
            <w:vAlign w:val="center"/>
            <w:hideMark/>
          </w:tcPr>
          <w:p w:rsidR="00455DEE" w:rsidRPr="000139D8" w:rsidRDefault="00455DEE" w:rsidP="00FA5866">
            <w:pPr>
              <w:spacing w:after="0" w:line="240" w:lineRule="auto"/>
              <w:ind w:firstLine="0"/>
              <w:jc w:val="right"/>
              <w:rPr>
                <w:rFonts w:eastAsia="Times New Roman"/>
                <w:color w:val="000000"/>
                <w:sz w:val="20"/>
                <w:szCs w:val="20"/>
                <w:lang w:val="en-US"/>
              </w:rPr>
            </w:pPr>
            <w:r w:rsidRPr="000139D8">
              <w:rPr>
                <w:rFonts w:eastAsia="Times New Roman"/>
                <w:color w:val="000000"/>
                <w:sz w:val="20"/>
                <w:szCs w:val="20"/>
                <w:lang w:val="en-US"/>
              </w:rPr>
              <w:t>0.0237</w:t>
            </w:r>
          </w:p>
        </w:tc>
        <w:tc>
          <w:tcPr>
            <w:tcW w:w="637" w:type="pct"/>
            <w:tcBorders>
              <w:top w:val="nil"/>
              <w:left w:val="nil"/>
              <w:bottom w:val="nil"/>
              <w:right w:val="nil"/>
            </w:tcBorders>
            <w:shd w:val="clear" w:color="auto" w:fill="auto"/>
            <w:noWrap/>
            <w:vAlign w:val="center"/>
            <w:hideMark/>
          </w:tcPr>
          <w:p w:rsidR="00455DEE" w:rsidRPr="000139D8" w:rsidRDefault="00455DEE" w:rsidP="00FA5866">
            <w:pPr>
              <w:spacing w:after="0" w:line="240" w:lineRule="auto"/>
              <w:ind w:firstLine="0"/>
              <w:jc w:val="right"/>
              <w:rPr>
                <w:rFonts w:eastAsia="Times New Roman"/>
                <w:color w:val="000000"/>
                <w:sz w:val="20"/>
                <w:szCs w:val="20"/>
                <w:lang w:val="en-US"/>
              </w:rPr>
            </w:pPr>
            <w:r w:rsidRPr="000139D8">
              <w:rPr>
                <w:rFonts w:eastAsia="Times New Roman"/>
                <w:color w:val="000000"/>
                <w:sz w:val="20"/>
                <w:szCs w:val="20"/>
                <w:lang w:val="en-US"/>
              </w:rPr>
              <w:t>0.0099</w:t>
            </w:r>
          </w:p>
        </w:tc>
        <w:tc>
          <w:tcPr>
            <w:tcW w:w="637" w:type="pct"/>
            <w:tcBorders>
              <w:top w:val="nil"/>
              <w:left w:val="nil"/>
              <w:bottom w:val="nil"/>
              <w:right w:val="nil"/>
            </w:tcBorders>
            <w:shd w:val="clear" w:color="auto" w:fill="auto"/>
            <w:noWrap/>
            <w:vAlign w:val="center"/>
            <w:hideMark/>
          </w:tcPr>
          <w:p w:rsidR="00455DEE" w:rsidRPr="000139D8" w:rsidRDefault="00455DEE" w:rsidP="00FA5866">
            <w:pPr>
              <w:spacing w:after="0" w:line="240" w:lineRule="auto"/>
              <w:ind w:firstLine="0"/>
              <w:jc w:val="right"/>
              <w:rPr>
                <w:rFonts w:eastAsia="Times New Roman"/>
                <w:color w:val="000000"/>
                <w:sz w:val="20"/>
                <w:szCs w:val="20"/>
                <w:lang w:val="en-US"/>
              </w:rPr>
            </w:pPr>
            <w:r w:rsidRPr="000139D8">
              <w:rPr>
                <w:rFonts w:eastAsia="Times New Roman"/>
                <w:color w:val="000000"/>
                <w:sz w:val="20"/>
                <w:szCs w:val="20"/>
                <w:lang w:val="en-US"/>
              </w:rPr>
              <w:t>0.01</w:t>
            </w:r>
          </w:p>
        </w:tc>
        <w:tc>
          <w:tcPr>
            <w:tcW w:w="589" w:type="pct"/>
            <w:tcBorders>
              <w:top w:val="nil"/>
              <w:left w:val="nil"/>
              <w:bottom w:val="nil"/>
              <w:right w:val="nil"/>
            </w:tcBorders>
            <w:shd w:val="clear" w:color="auto" w:fill="auto"/>
            <w:noWrap/>
            <w:vAlign w:val="center"/>
            <w:hideMark/>
          </w:tcPr>
          <w:p w:rsidR="00455DEE" w:rsidRPr="00A90656" w:rsidRDefault="00455DEE" w:rsidP="00FA5866">
            <w:pPr>
              <w:spacing w:after="0" w:line="240" w:lineRule="auto"/>
              <w:ind w:firstLine="0"/>
              <w:jc w:val="right"/>
              <w:rPr>
                <w:rFonts w:eastAsia="Times New Roman"/>
                <w:color w:val="000000"/>
                <w:sz w:val="20"/>
                <w:szCs w:val="20"/>
                <w:lang w:val="en-US"/>
              </w:rPr>
            </w:pPr>
          </w:p>
        </w:tc>
        <w:tc>
          <w:tcPr>
            <w:tcW w:w="637" w:type="pct"/>
            <w:tcBorders>
              <w:top w:val="nil"/>
              <w:left w:val="nil"/>
              <w:bottom w:val="nil"/>
              <w:right w:val="nil"/>
            </w:tcBorders>
            <w:shd w:val="clear" w:color="auto" w:fill="auto"/>
            <w:noWrap/>
            <w:vAlign w:val="center"/>
            <w:hideMark/>
          </w:tcPr>
          <w:p w:rsidR="00455DEE" w:rsidRPr="00A90656" w:rsidRDefault="00455DEE" w:rsidP="00FA5866">
            <w:pPr>
              <w:spacing w:after="0" w:line="240" w:lineRule="auto"/>
              <w:ind w:firstLine="0"/>
              <w:rPr>
                <w:rFonts w:eastAsia="Times New Roman"/>
                <w:color w:val="000000"/>
                <w:sz w:val="20"/>
                <w:szCs w:val="20"/>
                <w:lang w:val="en-US"/>
              </w:rPr>
            </w:pPr>
            <w:r w:rsidRPr="00A90656">
              <w:rPr>
                <w:rFonts w:eastAsia="Times New Roman"/>
                <w:color w:val="000000"/>
                <w:sz w:val="20"/>
                <w:szCs w:val="20"/>
                <w:lang w:val="en-US"/>
              </w:rPr>
              <w:t>-0.2352</w:t>
            </w:r>
          </w:p>
        </w:tc>
        <w:tc>
          <w:tcPr>
            <w:tcW w:w="637" w:type="pct"/>
            <w:tcBorders>
              <w:top w:val="nil"/>
              <w:left w:val="nil"/>
              <w:bottom w:val="nil"/>
              <w:right w:val="nil"/>
            </w:tcBorders>
            <w:shd w:val="clear" w:color="auto" w:fill="auto"/>
            <w:noWrap/>
            <w:vAlign w:val="center"/>
            <w:hideMark/>
          </w:tcPr>
          <w:p w:rsidR="00455DEE" w:rsidRPr="00A90656" w:rsidRDefault="00455DEE" w:rsidP="00FA5866">
            <w:pPr>
              <w:spacing w:after="0" w:line="240" w:lineRule="auto"/>
              <w:ind w:firstLine="0"/>
              <w:rPr>
                <w:rFonts w:eastAsia="Times New Roman"/>
                <w:color w:val="000000"/>
                <w:sz w:val="20"/>
                <w:szCs w:val="20"/>
                <w:lang w:val="en-US"/>
              </w:rPr>
            </w:pPr>
            <w:r w:rsidRPr="00A90656">
              <w:rPr>
                <w:rFonts w:eastAsia="Times New Roman"/>
                <w:color w:val="000000"/>
                <w:sz w:val="20"/>
                <w:szCs w:val="20"/>
                <w:lang w:val="en-US"/>
              </w:rPr>
              <w:t>-0.2352</w:t>
            </w:r>
          </w:p>
        </w:tc>
        <w:tc>
          <w:tcPr>
            <w:tcW w:w="637" w:type="pct"/>
            <w:tcBorders>
              <w:top w:val="nil"/>
              <w:left w:val="nil"/>
              <w:bottom w:val="nil"/>
              <w:right w:val="nil"/>
            </w:tcBorders>
            <w:shd w:val="clear" w:color="auto" w:fill="auto"/>
            <w:noWrap/>
            <w:vAlign w:val="center"/>
            <w:hideMark/>
          </w:tcPr>
          <w:p w:rsidR="00455DEE" w:rsidRPr="00A90656" w:rsidRDefault="00455DEE" w:rsidP="00FA5866">
            <w:pPr>
              <w:spacing w:after="0" w:line="240" w:lineRule="auto"/>
              <w:ind w:firstLine="0"/>
              <w:rPr>
                <w:rFonts w:eastAsia="Times New Roman"/>
                <w:color w:val="000000"/>
                <w:sz w:val="20"/>
                <w:szCs w:val="20"/>
                <w:lang w:val="en-US"/>
              </w:rPr>
            </w:pPr>
            <w:r w:rsidRPr="00A90656">
              <w:rPr>
                <w:rFonts w:eastAsia="Times New Roman"/>
                <w:color w:val="000000"/>
                <w:sz w:val="20"/>
                <w:szCs w:val="20"/>
                <w:lang w:val="en-US"/>
              </w:rPr>
              <w:t>-0.2348</w:t>
            </w:r>
          </w:p>
        </w:tc>
      </w:tr>
      <w:tr w:rsidR="00455DEE" w:rsidRPr="00A90656" w:rsidTr="00455DEE">
        <w:trPr>
          <w:trHeight w:val="300"/>
        </w:trPr>
        <w:tc>
          <w:tcPr>
            <w:tcW w:w="589" w:type="pct"/>
            <w:tcBorders>
              <w:top w:val="nil"/>
              <w:left w:val="nil"/>
              <w:bottom w:val="nil"/>
              <w:right w:val="nil"/>
            </w:tcBorders>
            <w:shd w:val="clear" w:color="auto" w:fill="auto"/>
            <w:noWrap/>
            <w:vAlign w:val="bottom"/>
            <w:hideMark/>
          </w:tcPr>
          <w:p w:rsidR="00455DEE" w:rsidRPr="00D06C2F" w:rsidRDefault="00455DEE" w:rsidP="00FA5866">
            <w:pPr>
              <w:spacing w:after="0" w:line="240" w:lineRule="auto"/>
              <w:jc w:val="center"/>
              <w:rPr>
                <w:rFonts w:eastAsia="Times New Roman"/>
                <w:color w:val="000000"/>
                <w:sz w:val="20"/>
                <w:szCs w:val="20"/>
              </w:rPr>
            </w:pPr>
            <m:oMathPara>
              <m:oMath>
                <m:r>
                  <w:rPr>
                    <w:rFonts w:ascii="Cambria Math" w:eastAsia="Times New Roman" w:hAnsi="Cambria Math"/>
                    <w:color w:val="000000"/>
                    <w:sz w:val="20"/>
                    <w:szCs w:val="20"/>
                  </w:rPr>
                  <m:t>∆</m:t>
                </m:r>
                <m:sSub>
                  <m:sSubPr>
                    <m:ctrlPr>
                      <w:rPr>
                        <w:rFonts w:ascii="Cambria Math" w:eastAsia="Times New Roman" w:hAnsi="Cambria Math"/>
                        <w:color w:val="000000"/>
                        <w:sz w:val="20"/>
                        <w:szCs w:val="20"/>
                      </w:rPr>
                    </m:ctrlPr>
                  </m:sSubPr>
                  <m:e>
                    <m:r>
                      <m:rPr>
                        <m:sty m:val="p"/>
                      </m:rPr>
                      <w:rPr>
                        <w:rFonts w:ascii="Cambria Math" w:eastAsia="Times New Roman" w:hAnsi="Cambria Math"/>
                        <w:color w:val="000000"/>
                        <w:sz w:val="20"/>
                        <w:szCs w:val="20"/>
                      </w:rPr>
                      <m:t>Π</m:t>
                    </m:r>
                    <m:ctrlPr>
                      <w:rPr>
                        <w:rFonts w:ascii="Cambria Math" w:eastAsia="Times New Roman" w:hAnsi="Cambria Math"/>
                        <w:i/>
                        <w:color w:val="000000"/>
                        <w:sz w:val="20"/>
                        <w:szCs w:val="20"/>
                      </w:rPr>
                    </m:ctrlPr>
                  </m:e>
                  <m:sub>
                    <m:r>
                      <w:rPr>
                        <w:rFonts w:ascii="Cambria Math" w:eastAsia="Times New Roman" w:hAnsi="Cambria Math"/>
                        <w:color w:val="000000"/>
                        <w:sz w:val="20"/>
                        <w:szCs w:val="20"/>
                      </w:rPr>
                      <m:t>t</m:t>
                    </m:r>
                    <m:r>
                      <w:rPr>
                        <w:rFonts w:ascii="Cambria Math" w:eastAsia="Times New Roman"/>
                        <w:color w:val="000000"/>
                        <w:sz w:val="20"/>
                        <w:szCs w:val="20"/>
                      </w:rPr>
                      <m:t>+9</m:t>
                    </m:r>
                    <m:ctrlPr>
                      <w:rPr>
                        <w:rFonts w:ascii="Cambria Math" w:eastAsia="Times New Roman" w:hAnsi="Cambria Math"/>
                        <w:i/>
                        <w:color w:val="000000"/>
                        <w:sz w:val="20"/>
                        <w:szCs w:val="20"/>
                      </w:rPr>
                    </m:ctrlPr>
                  </m:sub>
                </m:sSub>
              </m:oMath>
            </m:oMathPara>
          </w:p>
        </w:tc>
        <w:tc>
          <w:tcPr>
            <w:tcW w:w="637" w:type="pct"/>
            <w:tcBorders>
              <w:top w:val="nil"/>
              <w:left w:val="nil"/>
              <w:bottom w:val="nil"/>
              <w:right w:val="nil"/>
            </w:tcBorders>
            <w:shd w:val="clear" w:color="auto" w:fill="auto"/>
            <w:noWrap/>
            <w:vAlign w:val="center"/>
            <w:hideMark/>
          </w:tcPr>
          <w:p w:rsidR="00455DEE" w:rsidRPr="000139D8" w:rsidRDefault="00455DEE" w:rsidP="00FA5866">
            <w:pPr>
              <w:spacing w:after="0" w:line="240" w:lineRule="auto"/>
              <w:ind w:firstLine="0"/>
              <w:jc w:val="right"/>
              <w:rPr>
                <w:rFonts w:eastAsia="Times New Roman"/>
                <w:color w:val="000000"/>
                <w:sz w:val="20"/>
                <w:szCs w:val="20"/>
                <w:lang w:val="en-US"/>
              </w:rPr>
            </w:pPr>
            <w:r w:rsidRPr="000139D8">
              <w:rPr>
                <w:rFonts w:eastAsia="Times New Roman"/>
                <w:color w:val="000000"/>
                <w:sz w:val="20"/>
                <w:szCs w:val="20"/>
                <w:lang w:val="en-US"/>
              </w:rPr>
              <w:t>0.0335</w:t>
            </w:r>
          </w:p>
        </w:tc>
        <w:tc>
          <w:tcPr>
            <w:tcW w:w="637" w:type="pct"/>
            <w:tcBorders>
              <w:top w:val="nil"/>
              <w:left w:val="nil"/>
              <w:bottom w:val="nil"/>
              <w:right w:val="nil"/>
            </w:tcBorders>
            <w:shd w:val="clear" w:color="auto" w:fill="auto"/>
            <w:noWrap/>
            <w:vAlign w:val="center"/>
            <w:hideMark/>
          </w:tcPr>
          <w:p w:rsidR="00455DEE" w:rsidRPr="000139D8" w:rsidRDefault="00455DEE" w:rsidP="00FA5866">
            <w:pPr>
              <w:spacing w:after="0" w:line="240" w:lineRule="auto"/>
              <w:ind w:firstLine="0"/>
              <w:jc w:val="right"/>
              <w:rPr>
                <w:rFonts w:eastAsia="Times New Roman"/>
                <w:color w:val="000000"/>
                <w:sz w:val="20"/>
                <w:szCs w:val="20"/>
                <w:lang w:val="en-US"/>
              </w:rPr>
            </w:pPr>
            <w:r w:rsidRPr="000139D8">
              <w:rPr>
                <w:rFonts w:eastAsia="Times New Roman"/>
                <w:color w:val="000000"/>
                <w:sz w:val="20"/>
                <w:szCs w:val="20"/>
                <w:lang w:val="en-US"/>
              </w:rPr>
              <w:t>0.0351</w:t>
            </w:r>
          </w:p>
        </w:tc>
        <w:tc>
          <w:tcPr>
            <w:tcW w:w="637" w:type="pct"/>
            <w:tcBorders>
              <w:top w:val="nil"/>
              <w:left w:val="nil"/>
              <w:bottom w:val="nil"/>
              <w:right w:val="nil"/>
            </w:tcBorders>
            <w:shd w:val="clear" w:color="auto" w:fill="auto"/>
            <w:noWrap/>
            <w:vAlign w:val="center"/>
            <w:hideMark/>
          </w:tcPr>
          <w:p w:rsidR="00455DEE" w:rsidRPr="000139D8" w:rsidRDefault="00455DEE" w:rsidP="00FA5866">
            <w:pPr>
              <w:spacing w:after="0" w:line="240" w:lineRule="auto"/>
              <w:ind w:firstLine="0"/>
              <w:jc w:val="right"/>
              <w:rPr>
                <w:rFonts w:eastAsia="Times New Roman"/>
                <w:color w:val="000000"/>
                <w:sz w:val="20"/>
                <w:szCs w:val="20"/>
                <w:lang w:val="en-US"/>
              </w:rPr>
            </w:pPr>
            <w:r w:rsidRPr="000139D8">
              <w:rPr>
                <w:rFonts w:eastAsia="Times New Roman"/>
                <w:color w:val="000000"/>
                <w:sz w:val="20"/>
                <w:szCs w:val="20"/>
                <w:lang w:val="en-US"/>
              </w:rPr>
              <w:t>0.0244</w:t>
            </w:r>
          </w:p>
        </w:tc>
        <w:tc>
          <w:tcPr>
            <w:tcW w:w="589" w:type="pct"/>
            <w:tcBorders>
              <w:top w:val="nil"/>
              <w:left w:val="nil"/>
              <w:bottom w:val="nil"/>
              <w:right w:val="nil"/>
            </w:tcBorders>
            <w:shd w:val="clear" w:color="auto" w:fill="auto"/>
            <w:noWrap/>
            <w:vAlign w:val="center"/>
            <w:hideMark/>
          </w:tcPr>
          <w:p w:rsidR="00455DEE" w:rsidRPr="00A90656" w:rsidRDefault="00455DEE" w:rsidP="00FA5866">
            <w:pPr>
              <w:spacing w:after="0" w:line="240" w:lineRule="auto"/>
              <w:ind w:firstLine="0"/>
              <w:jc w:val="right"/>
              <w:rPr>
                <w:rFonts w:eastAsia="Times New Roman"/>
                <w:color w:val="000000"/>
                <w:sz w:val="20"/>
                <w:szCs w:val="20"/>
                <w:lang w:val="en-US"/>
              </w:rPr>
            </w:pPr>
          </w:p>
        </w:tc>
        <w:tc>
          <w:tcPr>
            <w:tcW w:w="637" w:type="pct"/>
            <w:tcBorders>
              <w:top w:val="nil"/>
              <w:left w:val="nil"/>
              <w:bottom w:val="nil"/>
              <w:right w:val="nil"/>
            </w:tcBorders>
            <w:shd w:val="clear" w:color="auto" w:fill="auto"/>
            <w:noWrap/>
            <w:vAlign w:val="center"/>
            <w:hideMark/>
          </w:tcPr>
          <w:p w:rsidR="00455DEE" w:rsidRPr="00A90656" w:rsidRDefault="00455DEE" w:rsidP="00FA5866">
            <w:pPr>
              <w:spacing w:after="0" w:line="240" w:lineRule="auto"/>
              <w:ind w:firstLine="0"/>
              <w:rPr>
                <w:rFonts w:eastAsia="Times New Roman"/>
                <w:color w:val="000000"/>
                <w:sz w:val="20"/>
                <w:szCs w:val="20"/>
                <w:lang w:val="en-US"/>
              </w:rPr>
            </w:pPr>
            <w:r w:rsidRPr="00A90656">
              <w:rPr>
                <w:rFonts w:eastAsia="Times New Roman"/>
                <w:color w:val="000000"/>
                <w:sz w:val="20"/>
                <w:szCs w:val="20"/>
                <w:lang w:val="en-US"/>
              </w:rPr>
              <w:t>-0.2007</w:t>
            </w:r>
          </w:p>
        </w:tc>
        <w:tc>
          <w:tcPr>
            <w:tcW w:w="637" w:type="pct"/>
            <w:tcBorders>
              <w:top w:val="nil"/>
              <w:left w:val="nil"/>
              <w:bottom w:val="nil"/>
              <w:right w:val="nil"/>
            </w:tcBorders>
            <w:shd w:val="clear" w:color="auto" w:fill="auto"/>
            <w:noWrap/>
            <w:vAlign w:val="center"/>
            <w:hideMark/>
          </w:tcPr>
          <w:p w:rsidR="00455DEE" w:rsidRPr="00A90656" w:rsidRDefault="00455DEE" w:rsidP="00FA5866">
            <w:pPr>
              <w:spacing w:after="0" w:line="240" w:lineRule="auto"/>
              <w:ind w:firstLine="0"/>
              <w:rPr>
                <w:rFonts w:eastAsia="Times New Roman"/>
                <w:color w:val="000000"/>
                <w:sz w:val="20"/>
                <w:szCs w:val="20"/>
                <w:lang w:val="en-US"/>
              </w:rPr>
            </w:pPr>
            <w:r w:rsidRPr="00A90656">
              <w:rPr>
                <w:rFonts w:eastAsia="Times New Roman"/>
                <w:color w:val="000000"/>
                <w:sz w:val="20"/>
                <w:szCs w:val="20"/>
                <w:lang w:val="en-US"/>
              </w:rPr>
              <w:t>-0.1994</w:t>
            </w:r>
          </w:p>
        </w:tc>
        <w:tc>
          <w:tcPr>
            <w:tcW w:w="637" w:type="pct"/>
            <w:tcBorders>
              <w:top w:val="nil"/>
              <w:left w:val="nil"/>
              <w:bottom w:val="nil"/>
              <w:right w:val="nil"/>
            </w:tcBorders>
            <w:shd w:val="clear" w:color="auto" w:fill="auto"/>
            <w:noWrap/>
            <w:vAlign w:val="center"/>
            <w:hideMark/>
          </w:tcPr>
          <w:p w:rsidR="00455DEE" w:rsidRPr="00A90656" w:rsidRDefault="00455DEE" w:rsidP="00FA5866">
            <w:pPr>
              <w:spacing w:after="0" w:line="240" w:lineRule="auto"/>
              <w:ind w:firstLine="0"/>
              <w:rPr>
                <w:rFonts w:eastAsia="Times New Roman"/>
                <w:color w:val="000000"/>
                <w:sz w:val="20"/>
                <w:szCs w:val="20"/>
                <w:lang w:val="en-US"/>
              </w:rPr>
            </w:pPr>
            <w:r w:rsidRPr="00A90656">
              <w:rPr>
                <w:rFonts w:eastAsia="Times New Roman"/>
                <w:color w:val="000000"/>
                <w:sz w:val="20"/>
                <w:szCs w:val="20"/>
                <w:lang w:val="en-US"/>
              </w:rPr>
              <w:t>-0.1955</w:t>
            </w:r>
          </w:p>
        </w:tc>
      </w:tr>
      <w:tr w:rsidR="00455DEE" w:rsidRPr="00A90656" w:rsidTr="00455DEE">
        <w:trPr>
          <w:trHeight w:val="300"/>
        </w:trPr>
        <w:tc>
          <w:tcPr>
            <w:tcW w:w="589" w:type="pct"/>
            <w:tcBorders>
              <w:top w:val="nil"/>
              <w:left w:val="nil"/>
              <w:bottom w:val="nil"/>
              <w:right w:val="nil"/>
            </w:tcBorders>
            <w:shd w:val="clear" w:color="auto" w:fill="auto"/>
            <w:noWrap/>
            <w:vAlign w:val="bottom"/>
            <w:hideMark/>
          </w:tcPr>
          <w:p w:rsidR="00455DEE" w:rsidRPr="00D06C2F" w:rsidRDefault="00455DEE" w:rsidP="00FA5866">
            <w:pPr>
              <w:spacing w:after="0" w:line="240" w:lineRule="auto"/>
              <w:jc w:val="center"/>
              <w:rPr>
                <w:rFonts w:eastAsia="Times New Roman"/>
                <w:color w:val="000000"/>
                <w:sz w:val="20"/>
                <w:szCs w:val="20"/>
              </w:rPr>
            </w:pPr>
            <m:oMathPara>
              <m:oMath>
                <m:r>
                  <w:rPr>
                    <w:rFonts w:ascii="Cambria Math" w:eastAsia="Times New Roman" w:hAnsi="Cambria Math"/>
                    <w:color w:val="000000"/>
                    <w:sz w:val="20"/>
                    <w:szCs w:val="20"/>
                  </w:rPr>
                  <m:t>∆</m:t>
                </m:r>
                <m:sSub>
                  <m:sSubPr>
                    <m:ctrlPr>
                      <w:rPr>
                        <w:rFonts w:ascii="Cambria Math" w:eastAsia="Times New Roman" w:hAnsi="Cambria Math"/>
                        <w:color w:val="000000"/>
                        <w:sz w:val="20"/>
                        <w:szCs w:val="20"/>
                      </w:rPr>
                    </m:ctrlPr>
                  </m:sSubPr>
                  <m:e>
                    <m:r>
                      <m:rPr>
                        <m:sty m:val="p"/>
                      </m:rPr>
                      <w:rPr>
                        <w:rFonts w:ascii="Cambria Math" w:eastAsia="Times New Roman" w:hAnsi="Cambria Math"/>
                        <w:color w:val="000000"/>
                        <w:sz w:val="20"/>
                        <w:szCs w:val="20"/>
                      </w:rPr>
                      <m:t>Π</m:t>
                    </m:r>
                    <m:ctrlPr>
                      <w:rPr>
                        <w:rFonts w:ascii="Cambria Math" w:eastAsia="Times New Roman" w:hAnsi="Cambria Math"/>
                        <w:i/>
                        <w:color w:val="000000"/>
                        <w:sz w:val="20"/>
                        <w:szCs w:val="20"/>
                      </w:rPr>
                    </m:ctrlPr>
                  </m:e>
                  <m:sub>
                    <m:r>
                      <w:rPr>
                        <w:rFonts w:ascii="Cambria Math" w:eastAsia="Times New Roman" w:hAnsi="Cambria Math"/>
                        <w:color w:val="000000"/>
                        <w:sz w:val="20"/>
                        <w:szCs w:val="20"/>
                      </w:rPr>
                      <m:t>t+</m:t>
                    </m:r>
                    <m:r>
                      <w:rPr>
                        <w:rFonts w:ascii="Cambria Math" w:eastAsia="Times New Roman"/>
                        <w:color w:val="000000"/>
                        <w:sz w:val="20"/>
                        <w:szCs w:val="20"/>
                      </w:rPr>
                      <m:t>10</m:t>
                    </m:r>
                    <m:ctrlPr>
                      <w:rPr>
                        <w:rFonts w:ascii="Cambria Math" w:eastAsia="Times New Roman" w:hAnsi="Cambria Math"/>
                        <w:i/>
                        <w:color w:val="000000"/>
                        <w:sz w:val="20"/>
                        <w:szCs w:val="20"/>
                      </w:rPr>
                    </m:ctrlPr>
                  </m:sub>
                </m:sSub>
              </m:oMath>
            </m:oMathPara>
          </w:p>
        </w:tc>
        <w:tc>
          <w:tcPr>
            <w:tcW w:w="637" w:type="pct"/>
            <w:tcBorders>
              <w:top w:val="nil"/>
              <w:left w:val="nil"/>
              <w:bottom w:val="nil"/>
              <w:right w:val="nil"/>
            </w:tcBorders>
            <w:shd w:val="clear" w:color="auto" w:fill="auto"/>
            <w:noWrap/>
            <w:vAlign w:val="center"/>
            <w:hideMark/>
          </w:tcPr>
          <w:p w:rsidR="00455DEE" w:rsidRPr="000139D8" w:rsidRDefault="00455DEE" w:rsidP="00FA5866">
            <w:pPr>
              <w:spacing w:after="0" w:line="240" w:lineRule="auto"/>
              <w:ind w:firstLine="0"/>
              <w:jc w:val="right"/>
              <w:rPr>
                <w:rFonts w:eastAsia="Times New Roman"/>
                <w:color w:val="000000"/>
                <w:sz w:val="20"/>
                <w:szCs w:val="20"/>
                <w:lang w:val="en-US"/>
              </w:rPr>
            </w:pPr>
            <w:r w:rsidRPr="000139D8">
              <w:rPr>
                <w:rFonts w:eastAsia="Times New Roman"/>
                <w:color w:val="000000"/>
                <w:sz w:val="20"/>
                <w:szCs w:val="20"/>
                <w:lang w:val="en-US"/>
              </w:rPr>
              <w:t>0.0424</w:t>
            </w:r>
          </w:p>
        </w:tc>
        <w:tc>
          <w:tcPr>
            <w:tcW w:w="637" w:type="pct"/>
            <w:tcBorders>
              <w:top w:val="nil"/>
              <w:left w:val="nil"/>
              <w:bottom w:val="nil"/>
              <w:right w:val="nil"/>
            </w:tcBorders>
            <w:shd w:val="clear" w:color="auto" w:fill="auto"/>
            <w:noWrap/>
            <w:vAlign w:val="center"/>
            <w:hideMark/>
          </w:tcPr>
          <w:p w:rsidR="00455DEE" w:rsidRPr="000139D8" w:rsidRDefault="00455DEE" w:rsidP="00FA5866">
            <w:pPr>
              <w:spacing w:after="0" w:line="240" w:lineRule="auto"/>
              <w:ind w:firstLine="0"/>
              <w:jc w:val="right"/>
              <w:rPr>
                <w:rFonts w:eastAsia="Times New Roman"/>
                <w:color w:val="000000"/>
                <w:sz w:val="20"/>
                <w:szCs w:val="20"/>
                <w:lang w:val="en-US"/>
              </w:rPr>
            </w:pPr>
            <w:r w:rsidRPr="000139D8">
              <w:rPr>
                <w:rFonts w:eastAsia="Times New Roman"/>
                <w:color w:val="000000"/>
                <w:sz w:val="20"/>
                <w:szCs w:val="20"/>
                <w:lang w:val="en-US"/>
              </w:rPr>
              <w:t>0.0314</w:t>
            </w:r>
          </w:p>
        </w:tc>
        <w:tc>
          <w:tcPr>
            <w:tcW w:w="637" w:type="pct"/>
            <w:tcBorders>
              <w:top w:val="nil"/>
              <w:left w:val="nil"/>
              <w:bottom w:val="nil"/>
              <w:right w:val="nil"/>
            </w:tcBorders>
            <w:shd w:val="clear" w:color="auto" w:fill="auto"/>
            <w:noWrap/>
            <w:vAlign w:val="center"/>
            <w:hideMark/>
          </w:tcPr>
          <w:p w:rsidR="00455DEE" w:rsidRPr="000139D8" w:rsidRDefault="00455DEE" w:rsidP="00FA5866">
            <w:pPr>
              <w:spacing w:after="0" w:line="240" w:lineRule="auto"/>
              <w:ind w:firstLine="0"/>
              <w:jc w:val="right"/>
              <w:rPr>
                <w:rFonts w:eastAsia="Times New Roman"/>
                <w:color w:val="000000"/>
                <w:sz w:val="20"/>
                <w:szCs w:val="20"/>
                <w:lang w:val="en-US"/>
              </w:rPr>
            </w:pPr>
            <w:r w:rsidRPr="000139D8">
              <w:rPr>
                <w:rFonts w:eastAsia="Times New Roman"/>
                <w:color w:val="000000"/>
                <w:sz w:val="20"/>
                <w:szCs w:val="20"/>
                <w:lang w:val="en-US"/>
              </w:rPr>
              <w:t>0.0254</w:t>
            </w:r>
          </w:p>
        </w:tc>
        <w:tc>
          <w:tcPr>
            <w:tcW w:w="589" w:type="pct"/>
            <w:tcBorders>
              <w:top w:val="nil"/>
              <w:left w:val="nil"/>
              <w:bottom w:val="nil"/>
              <w:right w:val="nil"/>
            </w:tcBorders>
            <w:shd w:val="clear" w:color="auto" w:fill="auto"/>
            <w:noWrap/>
            <w:vAlign w:val="center"/>
            <w:hideMark/>
          </w:tcPr>
          <w:p w:rsidR="00455DEE" w:rsidRPr="00A90656" w:rsidRDefault="00455DEE" w:rsidP="00FA5866">
            <w:pPr>
              <w:spacing w:after="0" w:line="240" w:lineRule="auto"/>
              <w:ind w:firstLine="0"/>
              <w:jc w:val="right"/>
              <w:rPr>
                <w:rFonts w:eastAsia="Times New Roman"/>
                <w:color w:val="000000"/>
                <w:sz w:val="20"/>
                <w:szCs w:val="20"/>
                <w:lang w:val="en-US"/>
              </w:rPr>
            </w:pPr>
          </w:p>
        </w:tc>
        <w:tc>
          <w:tcPr>
            <w:tcW w:w="637" w:type="pct"/>
            <w:tcBorders>
              <w:top w:val="nil"/>
              <w:left w:val="nil"/>
              <w:bottom w:val="nil"/>
              <w:right w:val="nil"/>
            </w:tcBorders>
            <w:shd w:val="clear" w:color="auto" w:fill="auto"/>
            <w:noWrap/>
            <w:vAlign w:val="center"/>
            <w:hideMark/>
          </w:tcPr>
          <w:p w:rsidR="00455DEE" w:rsidRPr="00A90656" w:rsidRDefault="00455DEE" w:rsidP="00FA5866">
            <w:pPr>
              <w:spacing w:after="0" w:line="240" w:lineRule="auto"/>
              <w:ind w:firstLine="0"/>
              <w:rPr>
                <w:rFonts w:eastAsia="Times New Roman"/>
                <w:color w:val="000000"/>
                <w:sz w:val="20"/>
                <w:szCs w:val="20"/>
                <w:lang w:val="en-US"/>
              </w:rPr>
            </w:pPr>
            <w:r w:rsidRPr="00A90656">
              <w:rPr>
                <w:rFonts w:eastAsia="Times New Roman"/>
                <w:color w:val="000000"/>
                <w:sz w:val="20"/>
                <w:szCs w:val="20"/>
                <w:lang w:val="en-US"/>
              </w:rPr>
              <w:t>-0.1881</w:t>
            </w:r>
          </w:p>
        </w:tc>
        <w:tc>
          <w:tcPr>
            <w:tcW w:w="637" w:type="pct"/>
            <w:tcBorders>
              <w:top w:val="nil"/>
              <w:left w:val="nil"/>
              <w:bottom w:val="nil"/>
              <w:right w:val="nil"/>
            </w:tcBorders>
            <w:shd w:val="clear" w:color="auto" w:fill="auto"/>
            <w:noWrap/>
            <w:vAlign w:val="center"/>
            <w:hideMark/>
          </w:tcPr>
          <w:p w:rsidR="00455DEE" w:rsidRPr="00A90656" w:rsidRDefault="00455DEE" w:rsidP="00FA5866">
            <w:pPr>
              <w:spacing w:after="0" w:line="240" w:lineRule="auto"/>
              <w:ind w:firstLine="0"/>
              <w:rPr>
                <w:rFonts w:eastAsia="Times New Roman"/>
                <w:color w:val="000000"/>
                <w:sz w:val="20"/>
                <w:szCs w:val="20"/>
                <w:lang w:val="en-US"/>
              </w:rPr>
            </w:pPr>
            <w:r w:rsidRPr="00A90656">
              <w:rPr>
                <w:rFonts w:eastAsia="Times New Roman"/>
                <w:color w:val="000000"/>
                <w:sz w:val="20"/>
                <w:szCs w:val="20"/>
                <w:lang w:val="en-US"/>
              </w:rPr>
              <w:t>-0.187</w:t>
            </w:r>
          </w:p>
        </w:tc>
        <w:tc>
          <w:tcPr>
            <w:tcW w:w="637" w:type="pct"/>
            <w:tcBorders>
              <w:top w:val="nil"/>
              <w:left w:val="nil"/>
              <w:bottom w:val="nil"/>
              <w:right w:val="nil"/>
            </w:tcBorders>
            <w:shd w:val="clear" w:color="auto" w:fill="auto"/>
            <w:noWrap/>
            <w:vAlign w:val="center"/>
            <w:hideMark/>
          </w:tcPr>
          <w:p w:rsidR="00455DEE" w:rsidRPr="00A90656" w:rsidRDefault="00455DEE" w:rsidP="00FA5866">
            <w:pPr>
              <w:spacing w:after="0" w:line="240" w:lineRule="auto"/>
              <w:ind w:firstLine="0"/>
              <w:rPr>
                <w:rFonts w:eastAsia="Times New Roman"/>
                <w:color w:val="000000"/>
                <w:sz w:val="20"/>
                <w:szCs w:val="20"/>
                <w:lang w:val="en-US"/>
              </w:rPr>
            </w:pPr>
            <w:r w:rsidRPr="00A90656">
              <w:rPr>
                <w:rFonts w:eastAsia="Times New Roman"/>
                <w:color w:val="000000"/>
                <w:sz w:val="20"/>
                <w:szCs w:val="20"/>
                <w:lang w:val="en-US"/>
              </w:rPr>
              <w:t>-0.1839</w:t>
            </w:r>
          </w:p>
        </w:tc>
      </w:tr>
      <w:tr w:rsidR="00455DEE" w:rsidRPr="00A90656" w:rsidTr="00455DEE">
        <w:trPr>
          <w:trHeight w:val="300"/>
        </w:trPr>
        <w:tc>
          <w:tcPr>
            <w:tcW w:w="589" w:type="pct"/>
            <w:tcBorders>
              <w:top w:val="nil"/>
              <w:left w:val="nil"/>
              <w:bottom w:val="nil"/>
              <w:right w:val="nil"/>
            </w:tcBorders>
            <w:shd w:val="clear" w:color="auto" w:fill="auto"/>
            <w:noWrap/>
            <w:vAlign w:val="bottom"/>
            <w:hideMark/>
          </w:tcPr>
          <w:p w:rsidR="00455DEE" w:rsidRPr="00D06C2F" w:rsidRDefault="00455DEE" w:rsidP="00FA5866">
            <w:pPr>
              <w:spacing w:after="0" w:line="240" w:lineRule="auto"/>
              <w:jc w:val="center"/>
              <w:rPr>
                <w:rFonts w:eastAsia="Times New Roman"/>
                <w:color w:val="000000"/>
                <w:sz w:val="20"/>
                <w:szCs w:val="20"/>
              </w:rPr>
            </w:pPr>
            <m:oMathPara>
              <m:oMath>
                <m:r>
                  <w:rPr>
                    <w:rFonts w:ascii="Cambria Math" w:eastAsia="Times New Roman" w:hAnsi="Cambria Math"/>
                    <w:color w:val="000000"/>
                    <w:sz w:val="20"/>
                    <w:szCs w:val="20"/>
                  </w:rPr>
                  <m:t>∆</m:t>
                </m:r>
                <m:sSub>
                  <m:sSubPr>
                    <m:ctrlPr>
                      <w:rPr>
                        <w:rFonts w:ascii="Cambria Math" w:eastAsia="Times New Roman" w:hAnsi="Cambria Math"/>
                        <w:color w:val="000000"/>
                        <w:sz w:val="20"/>
                        <w:szCs w:val="20"/>
                      </w:rPr>
                    </m:ctrlPr>
                  </m:sSubPr>
                  <m:e>
                    <m:r>
                      <m:rPr>
                        <m:sty m:val="p"/>
                      </m:rPr>
                      <w:rPr>
                        <w:rFonts w:ascii="Cambria Math" w:eastAsia="Times New Roman" w:hAnsi="Cambria Math"/>
                        <w:color w:val="000000"/>
                        <w:sz w:val="20"/>
                        <w:szCs w:val="20"/>
                      </w:rPr>
                      <m:t>Π</m:t>
                    </m:r>
                    <m:ctrlPr>
                      <w:rPr>
                        <w:rFonts w:ascii="Cambria Math" w:eastAsia="Times New Roman" w:hAnsi="Cambria Math"/>
                        <w:i/>
                        <w:color w:val="000000"/>
                        <w:sz w:val="20"/>
                        <w:szCs w:val="20"/>
                      </w:rPr>
                    </m:ctrlPr>
                  </m:e>
                  <m:sub>
                    <m:r>
                      <w:rPr>
                        <w:rFonts w:ascii="Cambria Math" w:eastAsia="Times New Roman" w:hAnsi="Cambria Math"/>
                        <w:color w:val="000000"/>
                        <w:sz w:val="20"/>
                        <w:szCs w:val="20"/>
                      </w:rPr>
                      <m:t>t</m:t>
                    </m:r>
                    <m:r>
                      <w:rPr>
                        <w:rFonts w:ascii="Cambria Math" w:eastAsia="Times New Roman"/>
                        <w:color w:val="000000"/>
                        <w:sz w:val="20"/>
                        <w:szCs w:val="20"/>
                      </w:rPr>
                      <m:t>+11</m:t>
                    </m:r>
                    <m:ctrlPr>
                      <w:rPr>
                        <w:rFonts w:ascii="Cambria Math" w:eastAsia="Times New Roman" w:hAnsi="Cambria Math"/>
                        <w:i/>
                        <w:color w:val="000000"/>
                        <w:sz w:val="20"/>
                        <w:szCs w:val="20"/>
                      </w:rPr>
                    </m:ctrlPr>
                  </m:sub>
                </m:sSub>
              </m:oMath>
            </m:oMathPara>
          </w:p>
        </w:tc>
        <w:tc>
          <w:tcPr>
            <w:tcW w:w="637" w:type="pct"/>
            <w:tcBorders>
              <w:top w:val="nil"/>
              <w:left w:val="nil"/>
              <w:bottom w:val="nil"/>
              <w:right w:val="nil"/>
            </w:tcBorders>
            <w:shd w:val="clear" w:color="auto" w:fill="auto"/>
            <w:noWrap/>
            <w:vAlign w:val="center"/>
            <w:hideMark/>
          </w:tcPr>
          <w:p w:rsidR="00455DEE" w:rsidRPr="000139D8" w:rsidRDefault="00455DEE" w:rsidP="00FA5866">
            <w:pPr>
              <w:spacing w:after="0" w:line="240" w:lineRule="auto"/>
              <w:ind w:firstLine="0"/>
              <w:jc w:val="right"/>
              <w:rPr>
                <w:rFonts w:eastAsia="Times New Roman"/>
                <w:color w:val="000000"/>
                <w:sz w:val="20"/>
                <w:szCs w:val="20"/>
                <w:lang w:val="en-US"/>
              </w:rPr>
            </w:pPr>
            <w:r w:rsidRPr="000139D8">
              <w:rPr>
                <w:rFonts w:eastAsia="Times New Roman"/>
                <w:color w:val="000000"/>
                <w:sz w:val="20"/>
                <w:szCs w:val="20"/>
                <w:lang w:val="en-US"/>
              </w:rPr>
              <w:t>0.0301</w:t>
            </w:r>
          </w:p>
        </w:tc>
        <w:tc>
          <w:tcPr>
            <w:tcW w:w="637" w:type="pct"/>
            <w:tcBorders>
              <w:top w:val="nil"/>
              <w:left w:val="nil"/>
              <w:bottom w:val="nil"/>
              <w:right w:val="nil"/>
            </w:tcBorders>
            <w:shd w:val="clear" w:color="auto" w:fill="auto"/>
            <w:noWrap/>
            <w:vAlign w:val="center"/>
            <w:hideMark/>
          </w:tcPr>
          <w:p w:rsidR="00455DEE" w:rsidRPr="000139D8" w:rsidRDefault="00455DEE" w:rsidP="00FA5866">
            <w:pPr>
              <w:spacing w:after="0" w:line="240" w:lineRule="auto"/>
              <w:ind w:firstLine="0"/>
              <w:jc w:val="right"/>
              <w:rPr>
                <w:rFonts w:eastAsia="Times New Roman"/>
                <w:color w:val="000000"/>
                <w:sz w:val="20"/>
                <w:szCs w:val="20"/>
                <w:lang w:val="en-US"/>
              </w:rPr>
            </w:pPr>
            <w:r w:rsidRPr="000139D8">
              <w:rPr>
                <w:rFonts w:eastAsia="Times New Roman"/>
                <w:color w:val="000000"/>
                <w:sz w:val="20"/>
                <w:szCs w:val="20"/>
                <w:lang w:val="en-US"/>
              </w:rPr>
              <w:t>0.0277</w:t>
            </w:r>
          </w:p>
        </w:tc>
        <w:tc>
          <w:tcPr>
            <w:tcW w:w="637" w:type="pct"/>
            <w:tcBorders>
              <w:top w:val="nil"/>
              <w:left w:val="nil"/>
              <w:bottom w:val="nil"/>
              <w:right w:val="nil"/>
            </w:tcBorders>
            <w:shd w:val="clear" w:color="auto" w:fill="auto"/>
            <w:noWrap/>
            <w:vAlign w:val="center"/>
            <w:hideMark/>
          </w:tcPr>
          <w:p w:rsidR="00455DEE" w:rsidRPr="000139D8" w:rsidRDefault="00455DEE" w:rsidP="00FA5866">
            <w:pPr>
              <w:spacing w:after="0" w:line="240" w:lineRule="auto"/>
              <w:ind w:firstLine="0"/>
              <w:jc w:val="right"/>
              <w:rPr>
                <w:rFonts w:eastAsia="Times New Roman"/>
                <w:color w:val="000000"/>
                <w:sz w:val="20"/>
                <w:szCs w:val="20"/>
                <w:lang w:val="en-US"/>
              </w:rPr>
            </w:pPr>
            <w:r w:rsidRPr="000139D8">
              <w:rPr>
                <w:rFonts w:eastAsia="Times New Roman"/>
                <w:color w:val="000000"/>
                <w:sz w:val="20"/>
                <w:szCs w:val="20"/>
                <w:lang w:val="en-US"/>
              </w:rPr>
              <w:t>0.0223</w:t>
            </w:r>
          </w:p>
        </w:tc>
        <w:tc>
          <w:tcPr>
            <w:tcW w:w="589" w:type="pct"/>
            <w:tcBorders>
              <w:top w:val="nil"/>
              <w:left w:val="nil"/>
              <w:bottom w:val="nil"/>
              <w:right w:val="nil"/>
            </w:tcBorders>
            <w:shd w:val="clear" w:color="auto" w:fill="auto"/>
            <w:noWrap/>
            <w:vAlign w:val="center"/>
            <w:hideMark/>
          </w:tcPr>
          <w:p w:rsidR="00455DEE" w:rsidRPr="00A90656" w:rsidRDefault="00455DEE" w:rsidP="00FA5866">
            <w:pPr>
              <w:spacing w:after="0" w:line="240" w:lineRule="auto"/>
              <w:ind w:firstLine="0"/>
              <w:jc w:val="right"/>
              <w:rPr>
                <w:rFonts w:eastAsia="Times New Roman"/>
                <w:color w:val="000000"/>
                <w:sz w:val="20"/>
                <w:szCs w:val="20"/>
                <w:lang w:val="en-US"/>
              </w:rPr>
            </w:pPr>
          </w:p>
        </w:tc>
        <w:tc>
          <w:tcPr>
            <w:tcW w:w="637" w:type="pct"/>
            <w:tcBorders>
              <w:top w:val="nil"/>
              <w:left w:val="nil"/>
              <w:bottom w:val="nil"/>
              <w:right w:val="nil"/>
            </w:tcBorders>
            <w:shd w:val="clear" w:color="auto" w:fill="auto"/>
            <w:noWrap/>
            <w:vAlign w:val="center"/>
            <w:hideMark/>
          </w:tcPr>
          <w:p w:rsidR="00455DEE" w:rsidRPr="00A90656" w:rsidRDefault="00455DEE" w:rsidP="00FA5866">
            <w:pPr>
              <w:spacing w:after="0" w:line="240" w:lineRule="auto"/>
              <w:ind w:firstLine="0"/>
              <w:rPr>
                <w:rFonts w:eastAsia="Times New Roman"/>
                <w:color w:val="000000"/>
                <w:sz w:val="20"/>
                <w:szCs w:val="20"/>
                <w:lang w:val="en-US"/>
              </w:rPr>
            </w:pPr>
            <w:r w:rsidRPr="00A90656">
              <w:rPr>
                <w:rFonts w:eastAsia="Times New Roman"/>
                <w:color w:val="000000"/>
                <w:sz w:val="20"/>
                <w:szCs w:val="20"/>
                <w:lang w:val="en-US"/>
              </w:rPr>
              <w:t>-0.1631</w:t>
            </w:r>
          </w:p>
        </w:tc>
        <w:tc>
          <w:tcPr>
            <w:tcW w:w="637" w:type="pct"/>
            <w:tcBorders>
              <w:top w:val="nil"/>
              <w:left w:val="nil"/>
              <w:bottom w:val="nil"/>
              <w:right w:val="nil"/>
            </w:tcBorders>
            <w:shd w:val="clear" w:color="auto" w:fill="auto"/>
            <w:noWrap/>
            <w:vAlign w:val="center"/>
            <w:hideMark/>
          </w:tcPr>
          <w:p w:rsidR="00455DEE" w:rsidRPr="00A90656" w:rsidRDefault="00455DEE" w:rsidP="00FA5866">
            <w:pPr>
              <w:spacing w:after="0" w:line="240" w:lineRule="auto"/>
              <w:ind w:firstLine="0"/>
              <w:rPr>
                <w:rFonts w:eastAsia="Times New Roman"/>
                <w:color w:val="000000"/>
                <w:sz w:val="20"/>
                <w:szCs w:val="20"/>
                <w:lang w:val="en-US"/>
              </w:rPr>
            </w:pPr>
            <w:r w:rsidRPr="00A90656">
              <w:rPr>
                <w:rFonts w:eastAsia="Times New Roman"/>
                <w:color w:val="000000"/>
                <w:sz w:val="20"/>
                <w:szCs w:val="20"/>
                <w:lang w:val="en-US"/>
              </w:rPr>
              <w:t>-0.1622</w:t>
            </w:r>
          </w:p>
        </w:tc>
        <w:tc>
          <w:tcPr>
            <w:tcW w:w="637" w:type="pct"/>
            <w:tcBorders>
              <w:top w:val="nil"/>
              <w:left w:val="nil"/>
              <w:bottom w:val="nil"/>
              <w:right w:val="nil"/>
            </w:tcBorders>
            <w:shd w:val="clear" w:color="auto" w:fill="auto"/>
            <w:noWrap/>
            <w:vAlign w:val="center"/>
            <w:hideMark/>
          </w:tcPr>
          <w:p w:rsidR="00455DEE" w:rsidRPr="00A90656" w:rsidRDefault="00455DEE" w:rsidP="00FA5866">
            <w:pPr>
              <w:spacing w:after="0" w:line="240" w:lineRule="auto"/>
              <w:ind w:firstLine="0"/>
              <w:rPr>
                <w:rFonts w:eastAsia="Times New Roman"/>
                <w:color w:val="000000"/>
                <w:sz w:val="20"/>
                <w:szCs w:val="20"/>
                <w:lang w:val="en-US"/>
              </w:rPr>
            </w:pPr>
            <w:r w:rsidRPr="00A90656">
              <w:rPr>
                <w:rFonts w:eastAsia="Times New Roman"/>
                <w:color w:val="000000"/>
                <w:sz w:val="20"/>
                <w:szCs w:val="20"/>
                <w:lang w:val="en-US"/>
              </w:rPr>
              <w:t>-0.1571</w:t>
            </w:r>
          </w:p>
        </w:tc>
      </w:tr>
      <w:tr w:rsidR="00455DEE" w:rsidRPr="00A90656" w:rsidTr="00455DEE">
        <w:trPr>
          <w:trHeight w:val="300"/>
        </w:trPr>
        <w:tc>
          <w:tcPr>
            <w:tcW w:w="589" w:type="pct"/>
            <w:tcBorders>
              <w:top w:val="nil"/>
              <w:left w:val="nil"/>
              <w:bottom w:val="nil"/>
              <w:right w:val="nil"/>
            </w:tcBorders>
            <w:shd w:val="clear" w:color="auto" w:fill="auto"/>
            <w:noWrap/>
            <w:vAlign w:val="bottom"/>
            <w:hideMark/>
          </w:tcPr>
          <w:p w:rsidR="00455DEE" w:rsidRPr="00D06C2F" w:rsidRDefault="00455DEE" w:rsidP="00FA5866">
            <w:pPr>
              <w:spacing w:after="0" w:line="240" w:lineRule="auto"/>
              <w:jc w:val="center"/>
              <w:rPr>
                <w:rFonts w:eastAsia="Times New Roman"/>
                <w:color w:val="000000"/>
                <w:sz w:val="20"/>
                <w:szCs w:val="20"/>
              </w:rPr>
            </w:pPr>
            <m:oMathPara>
              <m:oMath>
                <m:r>
                  <w:rPr>
                    <w:rFonts w:ascii="Cambria Math" w:eastAsia="Times New Roman" w:hAnsi="Cambria Math"/>
                    <w:color w:val="000000"/>
                    <w:sz w:val="20"/>
                    <w:szCs w:val="20"/>
                  </w:rPr>
                  <m:t>∆</m:t>
                </m:r>
                <m:sSub>
                  <m:sSubPr>
                    <m:ctrlPr>
                      <w:rPr>
                        <w:rFonts w:ascii="Cambria Math" w:eastAsia="Times New Roman" w:hAnsi="Cambria Math"/>
                        <w:color w:val="000000"/>
                        <w:sz w:val="20"/>
                        <w:szCs w:val="20"/>
                      </w:rPr>
                    </m:ctrlPr>
                  </m:sSubPr>
                  <m:e>
                    <m:r>
                      <m:rPr>
                        <m:sty m:val="p"/>
                      </m:rPr>
                      <w:rPr>
                        <w:rFonts w:ascii="Cambria Math" w:eastAsia="Times New Roman" w:hAnsi="Cambria Math"/>
                        <w:color w:val="000000"/>
                        <w:sz w:val="20"/>
                        <w:szCs w:val="20"/>
                      </w:rPr>
                      <m:t>Π</m:t>
                    </m:r>
                    <m:ctrlPr>
                      <w:rPr>
                        <w:rFonts w:ascii="Cambria Math" w:eastAsia="Times New Roman" w:hAnsi="Cambria Math"/>
                        <w:i/>
                        <w:color w:val="000000"/>
                        <w:sz w:val="20"/>
                        <w:szCs w:val="20"/>
                      </w:rPr>
                    </m:ctrlPr>
                  </m:e>
                  <m:sub>
                    <m:r>
                      <w:rPr>
                        <w:rFonts w:ascii="Cambria Math" w:eastAsia="Times New Roman" w:hAnsi="Cambria Math"/>
                        <w:color w:val="000000"/>
                        <w:sz w:val="20"/>
                        <w:szCs w:val="20"/>
                      </w:rPr>
                      <m:t>t</m:t>
                    </m:r>
                    <m:r>
                      <w:rPr>
                        <w:rFonts w:ascii="Cambria Math" w:eastAsia="Times New Roman"/>
                        <w:color w:val="000000"/>
                        <w:sz w:val="20"/>
                        <w:szCs w:val="20"/>
                      </w:rPr>
                      <m:t>+12</m:t>
                    </m:r>
                    <m:ctrlPr>
                      <w:rPr>
                        <w:rFonts w:ascii="Cambria Math" w:eastAsia="Times New Roman" w:hAnsi="Cambria Math"/>
                        <w:i/>
                        <w:color w:val="000000"/>
                        <w:sz w:val="20"/>
                        <w:szCs w:val="20"/>
                      </w:rPr>
                    </m:ctrlPr>
                  </m:sub>
                </m:sSub>
              </m:oMath>
            </m:oMathPara>
          </w:p>
        </w:tc>
        <w:tc>
          <w:tcPr>
            <w:tcW w:w="637" w:type="pct"/>
            <w:tcBorders>
              <w:top w:val="nil"/>
              <w:left w:val="nil"/>
              <w:bottom w:val="nil"/>
              <w:right w:val="nil"/>
            </w:tcBorders>
            <w:shd w:val="clear" w:color="auto" w:fill="auto"/>
            <w:noWrap/>
            <w:vAlign w:val="center"/>
            <w:hideMark/>
          </w:tcPr>
          <w:p w:rsidR="00455DEE" w:rsidRPr="000139D8" w:rsidRDefault="00455DEE" w:rsidP="00FA5866">
            <w:pPr>
              <w:spacing w:after="0" w:line="240" w:lineRule="auto"/>
              <w:ind w:firstLine="0"/>
              <w:jc w:val="right"/>
              <w:rPr>
                <w:rFonts w:eastAsia="Times New Roman"/>
                <w:color w:val="000000"/>
                <w:sz w:val="20"/>
                <w:szCs w:val="20"/>
                <w:lang w:val="en-US"/>
              </w:rPr>
            </w:pPr>
            <w:r w:rsidRPr="000139D8">
              <w:rPr>
                <w:rFonts w:eastAsia="Times New Roman"/>
                <w:color w:val="000000"/>
                <w:sz w:val="20"/>
                <w:szCs w:val="20"/>
                <w:lang w:val="en-US"/>
              </w:rPr>
              <w:t>-0.1231</w:t>
            </w:r>
          </w:p>
        </w:tc>
        <w:tc>
          <w:tcPr>
            <w:tcW w:w="637" w:type="pct"/>
            <w:tcBorders>
              <w:top w:val="nil"/>
              <w:left w:val="nil"/>
              <w:bottom w:val="nil"/>
              <w:right w:val="nil"/>
            </w:tcBorders>
            <w:shd w:val="clear" w:color="auto" w:fill="auto"/>
            <w:noWrap/>
            <w:vAlign w:val="center"/>
            <w:hideMark/>
          </w:tcPr>
          <w:p w:rsidR="00455DEE" w:rsidRPr="000139D8" w:rsidRDefault="00455DEE" w:rsidP="00FA5866">
            <w:pPr>
              <w:spacing w:after="0" w:line="240" w:lineRule="auto"/>
              <w:ind w:firstLine="0"/>
              <w:jc w:val="right"/>
              <w:rPr>
                <w:rFonts w:eastAsia="Times New Roman"/>
                <w:color w:val="000000"/>
                <w:sz w:val="20"/>
                <w:szCs w:val="20"/>
                <w:lang w:val="en-US"/>
              </w:rPr>
            </w:pPr>
            <w:r w:rsidRPr="000139D8">
              <w:rPr>
                <w:rFonts w:eastAsia="Times New Roman"/>
                <w:color w:val="000000"/>
                <w:sz w:val="20"/>
                <w:szCs w:val="20"/>
                <w:lang w:val="en-US"/>
              </w:rPr>
              <w:t>-0.102</w:t>
            </w:r>
          </w:p>
        </w:tc>
        <w:tc>
          <w:tcPr>
            <w:tcW w:w="637" w:type="pct"/>
            <w:tcBorders>
              <w:top w:val="nil"/>
              <w:left w:val="nil"/>
              <w:bottom w:val="nil"/>
              <w:right w:val="nil"/>
            </w:tcBorders>
            <w:shd w:val="clear" w:color="auto" w:fill="auto"/>
            <w:noWrap/>
            <w:vAlign w:val="center"/>
            <w:hideMark/>
          </w:tcPr>
          <w:p w:rsidR="00455DEE" w:rsidRPr="000139D8" w:rsidRDefault="00455DEE" w:rsidP="00FA5866">
            <w:pPr>
              <w:spacing w:after="0" w:line="240" w:lineRule="auto"/>
              <w:ind w:firstLine="0"/>
              <w:jc w:val="right"/>
              <w:rPr>
                <w:rFonts w:eastAsia="Times New Roman"/>
                <w:color w:val="000000"/>
                <w:sz w:val="20"/>
                <w:szCs w:val="20"/>
                <w:lang w:val="en-US"/>
              </w:rPr>
            </w:pPr>
            <w:r w:rsidRPr="000139D8">
              <w:rPr>
                <w:rFonts w:eastAsia="Times New Roman"/>
                <w:color w:val="000000"/>
                <w:sz w:val="20"/>
                <w:szCs w:val="20"/>
                <w:lang w:val="en-US"/>
              </w:rPr>
              <w:t>-0.0724</w:t>
            </w:r>
          </w:p>
        </w:tc>
        <w:tc>
          <w:tcPr>
            <w:tcW w:w="589" w:type="pct"/>
            <w:tcBorders>
              <w:top w:val="nil"/>
              <w:left w:val="nil"/>
              <w:bottom w:val="nil"/>
              <w:right w:val="nil"/>
            </w:tcBorders>
            <w:shd w:val="clear" w:color="auto" w:fill="auto"/>
            <w:noWrap/>
            <w:vAlign w:val="center"/>
            <w:hideMark/>
          </w:tcPr>
          <w:p w:rsidR="00455DEE" w:rsidRPr="00A90656" w:rsidRDefault="00455DEE" w:rsidP="00FA5866">
            <w:pPr>
              <w:spacing w:after="0" w:line="240" w:lineRule="auto"/>
              <w:ind w:firstLine="0"/>
              <w:jc w:val="right"/>
              <w:rPr>
                <w:rFonts w:eastAsia="Times New Roman"/>
                <w:color w:val="000000"/>
                <w:sz w:val="20"/>
                <w:szCs w:val="20"/>
                <w:lang w:val="en-US"/>
              </w:rPr>
            </w:pPr>
          </w:p>
        </w:tc>
        <w:tc>
          <w:tcPr>
            <w:tcW w:w="637" w:type="pct"/>
            <w:tcBorders>
              <w:top w:val="nil"/>
              <w:left w:val="nil"/>
              <w:bottom w:val="nil"/>
              <w:right w:val="nil"/>
            </w:tcBorders>
            <w:shd w:val="clear" w:color="auto" w:fill="auto"/>
            <w:noWrap/>
            <w:vAlign w:val="center"/>
            <w:hideMark/>
          </w:tcPr>
          <w:p w:rsidR="00455DEE" w:rsidRPr="00A90656" w:rsidRDefault="00455DEE" w:rsidP="00FA5866">
            <w:pPr>
              <w:spacing w:after="0" w:line="240" w:lineRule="auto"/>
              <w:ind w:firstLine="0"/>
              <w:rPr>
                <w:rFonts w:eastAsia="Times New Roman"/>
                <w:b/>
                <w:bCs/>
                <w:color w:val="000000"/>
                <w:sz w:val="20"/>
                <w:szCs w:val="20"/>
                <w:lang w:val="en-US"/>
              </w:rPr>
            </w:pPr>
            <w:r w:rsidRPr="00A90656">
              <w:rPr>
                <w:rFonts w:eastAsia="Times New Roman"/>
                <w:b/>
                <w:bCs/>
                <w:color w:val="000000"/>
                <w:sz w:val="20"/>
                <w:szCs w:val="20"/>
                <w:lang w:val="en-US"/>
              </w:rPr>
              <w:t>-0.64***</w:t>
            </w:r>
          </w:p>
        </w:tc>
        <w:tc>
          <w:tcPr>
            <w:tcW w:w="637" w:type="pct"/>
            <w:tcBorders>
              <w:top w:val="nil"/>
              <w:left w:val="nil"/>
              <w:bottom w:val="nil"/>
              <w:right w:val="nil"/>
            </w:tcBorders>
            <w:shd w:val="clear" w:color="auto" w:fill="auto"/>
            <w:noWrap/>
            <w:vAlign w:val="center"/>
            <w:hideMark/>
          </w:tcPr>
          <w:p w:rsidR="00455DEE" w:rsidRPr="00A90656" w:rsidRDefault="00455DEE" w:rsidP="00FA5866">
            <w:pPr>
              <w:spacing w:after="0" w:line="240" w:lineRule="auto"/>
              <w:ind w:firstLine="0"/>
              <w:rPr>
                <w:rFonts w:eastAsia="Times New Roman"/>
                <w:b/>
                <w:bCs/>
                <w:color w:val="000000"/>
                <w:sz w:val="20"/>
                <w:szCs w:val="20"/>
                <w:lang w:val="en-US"/>
              </w:rPr>
            </w:pPr>
            <w:r w:rsidRPr="00A90656">
              <w:rPr>
                <w:rFonts w:eastAsia="Times New Roman"/>
                <w:b/>
                <w:bCs/>
                <w:color w:val="000000"/>
                <w:sz w:val="20"/>
                <w:szCs w:val="20"/>
                <w:lang w:val="en-US"/>
              </w:rPr>
              <w:t>-0.66***</w:t>
            </w:r>
          </w:p>
        </w:tc>
        <w:tc>
          <w:tcPr>
            <w:tcW w:w="637" w:type="pct"/>
            <w:tcBorders>
              <w:top w:val="nil"/>
              <w:left w:val="nil"/>
              <w:bottom w:val="nil"/>
              <w:right w:val="nil"/>
            </w:tcBorders>
            <w:shd w:val="clear" w:color="auto" w:fill="auto"/>
            <w:noWrap/>
            <w:vAlign w:val="center"/>
            <w:hideMark/>
          </w:tcPr>
          <w:p w:rsidR="00455DEE" w:rsidRPr="00A90656" w:rsidRDefault="00455DEE" w:rsidP="00FA5866">
            <w:pPr>
              <w:spacing w:after="0" w:line="240" w:lineRule="auto"/>
              <w:ind w:firstLine="0"/>
              <w:rPr>
                <w:rFonts w:eastAsia="Times New Roman"/>
                <w:b/>
                <w:bCs/>
                <w:color w:val="000000"/>
                <w:sz w:val="20"/>
                <w:szCs w:val="20"/>
                <w:lang w:val="en-US"/>
              </w:rPr>
            </w:pPr>
            <w:r w:rsidRPr="00A90656">
              <w:rPr>
                <w:rFonts w:eastAsia="Times New Roman"/>
                <w:b/>
                <w:bCs/>
                <w:color w:val="000000"/>
                <w:sz w:val="20"/>
                <w:szCs w:val="20"/>
                <w:lang w:val="en-US"/>
              </w:rPr>
              <w:t>-0.64***</w:t>
            </w:r>
          </w:p>
        </w:tc>
      </w:tr>
      <w:tr w:rsidR="00455DEE" w:rsidRPr="00A90656" w:rsidTr="00455DEE">
        <w:trPr>
          <w:trHeight w:val="300"/>
        </w:trPr>
        <w:tc>
          <w:tcPr>
            <w:tcW w:w="589" w:type="pct"/>
            <w:tcBorders>
              <w:top w:val="nil"/>
              <w:left w:val="nil"/>
              <w:bottom w:val="nil"/>
              <w:right w:val="nil"/>
            </w:tcBorders>
            <w:shd w:val="clear" w:color="auto" w:fill="auto"/>
            <w:noWrap/>
            <w:vAlign w:val="bottom"/>
            <w:hideMark/>
          </w:tcPr>
          <w:p w:rsidR="00455DEE" w:rsidRPr="00D06C2F" w:rsidRDefault="00455DEE" w:rsidP="00FA5866">
            <w:pPr>
              <w:spacing w:after="0" w:line="240" w:lineRule="auto"/>
              <w:jc w:val="center"/>
              <w:rPr>
                <w:rFonts w:eastAsia="Times New Roman"/>
                <w:color w:val="000000"/>
                <w:sz w:val="20"/>
                <w:szCs w:val="20"/>
              </w:rPr>
            </w:pPr>
            <m:oMathPara>
              <m:oMath>
                <m:r>
                  <w:rPr>
                    <w:rFonts w:ascii="Cambria Math" w:eastAsia="Times New Roman" w:hAnsi="Cambria Math"/>
                    <w:color w:val="000000"/>
                    <w:sz w:val="20"/>
                    <w:szCs w:val="20"/>
                  </w:rPr>
                  <m:t>∆</m:t>
                </m:r>
                <m:sSub>
                  <m:sSubPr>
                    <m:ctrlPr>
                      <w:rPr>
                        <w:rFonts w:ascii="Cambria Math" w:eastAsia="Times New Roman" w:hAnsi="Cambria Math"/>
                        <w:color w:val="000000"/>
                        <w:sz w:val="20"/>
                        <w:szCs w:val="20"/>
                      </w:rPr>
                    </m:ctrlPr>
                  </m:sSubPr>
                  <m:e>
                    <m:r>
                      <m:rPr>
                        <m:sty m:val="p"/>
                      </m:rPr>
                      <w:rPr>
                        <w:rFonts w:ascii="Cambria Math" w:eastAsia="Times New Roman" w:hAnsi="Cambria Math"/>
                        <w:color w:val="000000"/>
                        <w:sz w:val="20"/>
                        <w:szCs w:val="20"/>
                      </w:rPr>
                      <m:t>Π</m:t>
                    </m:r>
                    <m:ctrlPr>
                      <w:rPr>
                        <w:rFonts w:ascii="Cambria Math" w:eastAsia="Times New Roman" w:hAnsi="Cambria Math"/>
                        <w:i/>
                        <w:color w:val="000000"/>
                        <w:sz w:val="20"/>
                        <w:szCs w:val="20"/>
                      </w:rPr>
                    </m:ctrlPr>
                  </m:e>
                  <m:sub>
                    <m:r>
                      <w:rPr>
                        <w:rFonts w:ascii="Cambria Math" w:eastAsia="Times New Roman" w:hAnsi="Cambria Math"/>
                        <w:color w:val="000000"/>
                        <w:sz w:val="20"/>
                        <w:szCs w:val="20"/>
                      </w:rPr>
                      <m:t>t</m:t>
                    </m:r>
                    <m:r>
                      <w:rPr>
                        <w:rFonts w:ascii="Cambria Math" w:eastAsia="Times New Roman"/>
                        <w:color w:val="000000"/>
                        <w:sz w:val="20"/>
                        <w:szCs w:val="20"/>
                      </w:rPr>
                      <m:t>+13</m:t>
                    </m:r>
                    <m:ctrlPr>
                      <w:rPr>
                        <w:rFonts w:ascii="Cambria Math" w:eastAsia="Times New Roman" w:hAnsi="Cambria Math"/>
                        <w:i/>
                        <w:color w:val="000000"/>
                        <w:sz w:val="20"/>
                        <w:szCs w:val="20"/>
                      </w:rPr>
                    </m:ctrlPr>
                  </m:sub>
                </m:sSub>
              </m:oMath>
            </m:oMathPara>
          </w:p>
        </w:tc>
        <w:tc>
          <w:tcPr>
            <w:tcW w:w="637" w:type="pct"/>
            <w:tcBorders>
              <w:top w:val="nil"/>
              <w:left w:val="nil"/>
              <w:bottom w:val="nil"/>
              <w:right w:val="nil"/>
            </w:tcBorders>
            <w:shd w:val="clear" w:color="auto" w:fill="auto"/>
            <w:noWrap/>
            <w:vAlign w:val="center"/>
            <w:hideMark/>
          </w:tcPr>
          <w:p w:rsidR="00455DEE" w:rsidRPr="000139D8" w:rsidRDefault="00455DEE" w:rsidP="00FA5866">
            <w:pPr>
              <w:spacing w:after="0" w:line="240" w:lineRule="auto"/>
              <w:ind w:firstLine="0"/>
              <w:jc w:val="center"/>
              <w:rPr>
                <w:rFonts w:eastAsia="Times New Roman"/>
                <w:b/>
                <w:bCs/>
                <w:color w:val="000000"/>
                <w:sz w:val="20"/>
                <w:szCs w:val="20"/>
                <w:lang w:val="en-US"/>
              </w:rPr>
            </w:pPr>
            <w:r w:rsidRPr="000139D8">
              <w:rPr>
                <w:rFonts w:eastAsia="Times New Roman"/>
                <w:b/>
                <w:bCs/>
                <w:color w:val="000000"/>
                <w:sz w:val="20"/>
                <w:szCs w:val="20"/>
                <w:lang w:val="en-US"/>
              </w:rPr>
              <w:t>0.224**</w:t>
            </w:r>
          </w:p>
        </w:tc>
        <w:tc>
          <w:tcPr>
            <w:tcW w:w="637" w:type="pct"/>
            <w:tcBorders>
              <w:top w:val="nil"/>
              <w:left w:val="nil"/>
              <w:bottom w:val="nil"/>
              <w:right w:val="nil"/>
            </w:tcBorders>
            <w:shd w:val="clear" w:color="auto" w:fill="auto"/>
            <w:noWrap/>
            <w:vAlign w:val="center"/>
            <w:hideMark/>
          </w:tcPr>
          <w:p w:rsidR="00455DEE" w:rsidRPr="000139D8" w:rsidRDefault="00455DEE" w:rsidP="00A83548">
            <w:pPr>
              <w:spacing w:after="0" w:line="240" w:lineRule="auto"/>
              <w:ind w:left="282" w:hanging="282"/>
              <w:jc w:val="center"/>
              <w:rPr>
                <w:rFonts w:eastAsia="Times New Roman"/>
                <w:b/>
                <w:bCs/>
                <w:color w:val="000000"/>
                <w:sz w:val="20"/>
                <w:szCs w:val="20"/>
                <w:lang w:val="en-US"/>
              </w:rPr>
            </w:pPr>
            <w:r w:rsidRPr="000139D8">
              <w:rPr>
                <w:rFonts w:eastAsia="Times New Roman"/>
                <w:b/>
                <w:bCs/>
                <w:color w:val="000000"/>
                <w:sz w:val="20"/>
                <w:szCs w:val="20"/>
                <w:lang w:val="en-US"/>
              </w:rPr>
              <w:t>0.26***</w:t>
            </w:r>
          </w:p>
        </w:tc>
        <w:tc>
          <w:tcPr>
            <w:tcW w:w="637" w:type="pct"/>
            <w:tcBorders>
              <w:top w:val="nil"/>
              <w:left w:val="nil"/>
              <w:bottom w:val="nil"/>
              <w:right w:val="nil"/>
            </w:tcBorders>
            <w:shd w:val="clear" w:color="auto" w:fill="auto"/>
            <w:noWrap/>
            <w:vAlign w:val="center"/>
            <w:hideMark/>
          </w:tcPr>
          <w:p w:rsidR="00455DEE" w:rsidRPr="000139D8" w:rsidRDefault="00455DEE" w:rsidP="00FA5866">
            <w:pPr>
              <w:spacing w:after="0" w:line="240" w:lineRule="auto"/>
              <w:ind w:firstLine="0"/>
              <w:jc w:val="center"/>
              <w:rPr>
                <w:rFonts w:eastAsia="Times New Roman"/>
                <w:b/>
                <w:bCs/>
                <w:color w:val="000000"/>
                <w:sz w:val="20"/>
                <w:szCs w:val="20"/>
                <w:lang w:val="en-US"/>
              </w:rPr>
            </w:pPr>
            <w:r w:rsidRPr="000139D8">
              <w:rPr>
                <w:rFonts w:eastAsia="Times New Roman"/>
                <w:b/>
                <w:bCs/>
                <w:color w:val="000000"/>
                <w:sz w:val="20"/>
                <w:szCs w:val="20"/>
                <w:lang w:val="en-US"/>
              </w:rPr>
              <w:t>0.1601*</w:t>
            </w:r>
          </w:p>
        </w:tc>
        <w:tc>
          <w:tcPr>
            <w:tcW w:w="589" w:type="pct"/>
            <w:tcBorders>
              <w:top w:val="nil"/>
              <w:left w:val="nil"/>
              <w:bottom w:val="nil"/>
              <w:right w:val="nil"/>
            </w:tcBorders>
            <w:shd w:val="clear" w:color="auto" w:fill="auto"/>
            <w:noWrap/>
            <w:vAlign w:val="center"/>
            <w:hideMark/>
          </w:tcPr>
          <w:p w:rsidR="00455DEE" w:rsidRPr="00A90656" w:rsidRDefault="00455DEE" w:rsidP="00FA5866">
            <w:pPr>
              <w:spacing w:after="0" w:line="240" w:lineRule="auto"/>
              <w:ind w:firstLine="0"/>
              <w:rPr>
                <w:rFonts w:eastAsia="Times New Roman"/>
                <w:b/>
                <w:bCs/>
                <w:color w:val="000000"/>
                <w:sz w:val="20"/>
                <w:szCs w:val="20"/>
                <w:lang w:val="en-US"/>
              </w:rPr>
            </w:pPr>
          </w:p>
        </w:tc>
        <w:tc>
          <w:tcPr>
            <w:tcW w:w="637" w:type="pct"/>
            <w:tcBorders>
              <w:top w:val="nil"/>
              <w:left w:val="nil"/>
              <w:bottom w:val="nil"/>
              <w:right w:val="nil"/>
            </w:tcBorders>
            <w:shd w:val="clear" w:color="auto" w:fill="auto"/>
            <w:noWrap/>
            <w:vAlign w:val="center"/>
            <w:hideMark/>
          </w:tcPr>
          <w:p w:rsidR="00455DEE" w:rsidRPr="00A90656" w:rsidRDefault="00455DEE" w:rsidP="00FA5866">
            <w:pPr>
              <w:spacing w:after="0" w:line="240" w:lineRule="auto"/>
              <w:ind w:firstLine="0"/>
              <w:rPr>
                <w:rFonts w:eastAsia="Times New Roman"/>
                <w:b/>
                <w:bCs/>
                <w:color w:val="000000"/>
                <w:sz w:val="20"/>
                <w:szCs w:val="20"/>
                <w:lang w:val="en-US"/>
              </w:rPr>
            </w:pPr>
            <w:r w:rsidRPr="00A90656">
              <w:rPr>
                <w:rFonts w:eastAsia="Times New Roman"/>
                <w:b/>
                <w:bCs/>
                <w:color w:val="000000"/>
                <w:sz w:val="20"/>
                <w:szCs w:val="20"/>
                <w:lang w:val="en-US"/>
              </w:rPr>
              <w:t>-0.64***</w:t>
            </w:r>
          </w:p>
        </w:tc>
        <w:tc>
          <w:tcPr>
            <w:tcW w:w="637" w:type="pct"/>
            <w:tcBorders>
              <w:top w:val="nil"/>
              <w:left w:val="nil"/>
              <w:bottom w:val="nil"/>
              <w:right w:val="nil"/>
            </w:tcBorders>
            <w:shd w:val="clear" w:color="auto" w:fill="auto"/>
            <w:noWrap/>
            <w:vAlign w:val="center"/>
            <w:hideMark/>
          </w:tcPr>
          <w:p w:rsidR="00455DEE" w:rsidRPr="00A90656" w:rsidRDefault="00455DEE" w:rsidP="00FA5866">
            <w:pPr>
              <w:spacing w:after="0" w:line="240" w:lineRule="auto"/>
              <w:ind w:firstLine="0"/>
              <w:rPr>
                <w:rFonts w:eastAsia="Times New Roman"/>
                <w:b/>
                <w:bCs/>
                <w:color w:val="000000"/>
                <w:sz w:val="20"/>
                <w:szCs w:val="20"/>
                <w:lang w:val="en-US"/>
              </w:rPr>
            </w:pPr>
            <w:r w:rsidRPr="00A90656">
              <w:rPr>
                <w:rFonts w:eastAsia="Times New Roman"/>
                <w:b/>
                <w:bCs/>
                <w:color w:val="000000"/>
                <w:sz w:val="20"/>
                <w:szCs w:val="20"/>
                <w:lang w:val="en-US"/>
              </w:rPr>
              <w:t>-0.62***</w:t>
            </w:r>
          </w:p>
        </w:tc>
        <w:tc>
          <w:tcPr>
            <w:tcW w:w="637" w:type="pct"/>
            <w:tcBorders>
              <w:top w:val="nil"/>
              <w:left w:val="nil"/>
              <w:bottom w:val="nil"/>
              <w:right w:val="nil"/>
            </w:tcBorders>
            <w:shd w:val="clear" w:color="auto" w:fill="auto"/>
            <w:noWrap/>
            <w:vAlign w:val="center"/>
            <w:hideMark/>
          </w:tcPr>
          <w:p w:rsidR="00455DEE" w:rsidRPr="00A90656" w:rsidRDefault="00455DEE" w:rsidP="00FA5866">
            <w:pPr>
              <w:spacing w:after="0" w:line="240" w:lineRule="auto"/>
              <w:ind w:firstLine="0"/>
              <w:rPr>
                <w:rFonts w:eastAsia="Times New Roman"/>
                <w:b/>
                <w:bCs/>
                <w:color w:val="000000"/>
                <w:sz w:val="20"/>
                <w:szCs w:val="20"/>
                <w:lang w:val="en-US"/>
              </w:rPr>
            </w:pPr>
            <w:r w:rsidRPr="00A90656">
              <w:rPr>
                <w:rFonts w:eastAsia="Times New Roman"/>
                <w:b/>
                <w:bCs/>
                <w:color w:val="000000"/>
                <w:sz w:val="20"/>
                <w:szCs w:val="20"/>
                <w:lang w:val="en-US"/>
              </w:rPr>
              <w:t>-0.592**</w:t>
            </w:r>
          </w:p>
        </w:tc>
      </w:tr>
      <w:tr w:rsidR="00455DEE" w:rsidRPr="00A90656" w:rsidTr="00455DEE">
        <w:trPr>
          <w:trHeight w:val="315"/>
        </w:trPr>
        <w:tc>
          <w:tcPr>
            <w:tcW w:w="589" w:type="pct"/>
            <w:tcBorders>
              <w:top w:val="nil"/>
              <w:left w:val="nil"/>
              <w:bottom w:val="nil"/>
              <w:right w:val="nil"/>
            </w:tcBorders>
            <w:shd w:val="clear" w:color="auto" w:fill="auto"/>
            <w:noWrap/>
            <w:vAlign w:val="bottom"/>
            <w:hideMark/>
          </w:tcPr>
          <w:p w:rsidR="00455DEE" w:rsidRPr="00D06C2F" w:rsidRDefault="00455DEE" w:rsidP="00FA5866">
            <w:pPr>
              <w:spacing w:after="0" w:line="240" w:lineRule="auto"/>
              <w:jc w:val="center"/>
              <w:rPr>
                <w:rFonts w:eastAsia="Times New Roman"/>
                <w:color w:val="000000"/>
                <w:sz w:val="20"/>
                <w:szCs w:val="20"/>
              </w:rPr>
            </w:pPr>
            <m:oMathPara>
              <m:oMath>
                <m:r>
                  <w:rPr>
                    <w:rFonts w:ascii="Cambria Math" w:eastAsia="Times New Roman" w:hAnsi="Cambria Math"/>
                    <w:color w:val="000000"/>
                    <w:sz w:val="20"/>
                    <w:szCs w:val="20"/>
                  </w:rPr>
                  <m:t>∆</m:t>
                </m:r>
                <m:sSub>
                  <m:sSubPr>
                    <m:ctrlPr>
                      <w:rPr>
                        <w:rFonts w:ascii="Cambria Math" w:eastAsia="Times New Roman" w:hAnsi="Cambria Math"/>
                        <w:color w:val="000000"/>
                        <w:sz w:val="20"/>
                        <w:szCs w:val="20"/>
                      </w:rPr>
                    </m:ctrlPr>
                  </m:sSubPr>
                  <m:e>
                    <m:r>
                      <m:rPr>
                        <m:sty m:val="p"/>
                      </m:rPr>
                      <w:rPr>
                        <w:rFonts w:ascii="Cambria Math" w:eastAsia="Times New Roman" w:hAnsi="Cambria Math"/>
                        <w:color w:val="000000"/>
                        <w:sz w:val="20"/>
                        <w:szCs w:val="20"/>
                      </w:rPr>
                      <m:t>Π</m:t>
                    </m:r>
                    <m:ctrlPr>
                      <w:rPr>
                        <w:rFonts w:ascii="Cambria Math" w:eastAsia="Times New Roman" w:hAnsi="Cambria Math"/>
                        <w:i/>
                        <w:color w:val="000000"/>
                        <w:sz w:val="20"/>
                        <w:szCs w:val="20"/>
                      </w:rPr>
                    </m:ctrlPr>
                  </m:e>
                  <m:sub>
                    <m:r>
                      <w:rPr>
                        <w:rFonts w:ascii="Cambria Math" w:eastAsia="Times New Roman" w:hAnsi="Cambria Math"/>
                        <w:color w:val="000000"/>
                        <w:sz w:val="20"/>
                        <w:szCs w:val="20"/>
                      </w:rPr>
                      <m:t>t</m:t>
                    </m:r>
                    <m:r>
                      <w:rPr>
                        <w:rFonts w:ascii="Cambria Math" w:eastAsia="Times New Roman"/>
                        <w:color w:val="000000"/>
                        <w:sz w:val="20"/>
                        <w:szCs w:val="20"/>
                      </w:rPr>
                      <m:t>+14</m:t>
                    </m:r>
                    <m:ctrlPr>
                      <w:rPr>
                        <w:rFonts w:ascii="Cambria Math" w:eastAsia="Times New Roman" w:hAnsi="Cambria Math"/>
                        <w:i/>
                        <w:color w:val="000000"/>
                        <w:sz w:val="20"/>
                        <w:szCs w:val="20"/>
                      </w:rPr>
                    </m:ctrlPr>
                  </m:sub>
                </m:sSub>
              </m:oMath>
            </m:oMathPara>
          </w:p>
        </w:tc>
        <w:tc>
          <w:tcPr>
            <w:tcW w:w="637" w:type="pct"/>
            <w:tcBorders>
              <w:top w:val="nil"/>
              <w:left w:val="nil"/>
              <w:bottom w:val="nil"/>
              <w:right w:val="nil"/>
            </w:tcBorders>
            <w:shd w:val="clear" w:color="auto" w:fill="auto"/>
            <w:noWrap/>
            <w:vAlign w:val="center"/>
            <w:hideMark/>
          </w:tcPr>
          <w:p w:rsidR="00455DEE" w:rsidRPr="000139D8" w:rsidRDefault="00455DEE" w:rsidP="00FA5866">
            <w:pPr>
              <w:spacing w:after="0" w:line="240" w:lineRule="auto"/>
              <w:ind w:firstLine="0"/>
              <w:jc w:val="right"/>
              <w:rPr>
                <w:rFonts w:eastAsia="Times New Roman"/>
                <w:color w:val="000000"/>
                <w:sz w:val="20"/>
                <w:szCs w:val="20"/>
                <w:lang w:val="en-US"/>
              </w:rPr>
            </w:pPr>
            <w:r w:rsidRPr="000139D8">
              <w:rPr>
                <w:rFonts w:eastAsia="Times New Roman"/>
                <w:color w:val="000000"/>
                <w:sz w:val="20"/>
                <w:szCs w:val="20"/>
                <w:lang w:val="en-US"/>
              </w:rPr>
              <w:t>-0.0412</w:t>
            </w:r>
          </w:p>
        </w:tc>
        <w:tc>
          <w:tcPr>
            <w:tcW w:w="637" w:type="pct"/>
            <w:tcBorders>
              <w:top w:val="nil"/>
              <w:left w:val="nil"/>
              <w:bottom w:val="nil"/>
              <w:right w:val="nil"/>
            </w:tcBorders>
            <w:shd w:val="clear" w:color="auto" w:fill="auto"/>
            <w:noWrap/>
            <w:vAlign w:val="center"/>
            <w:hideMark/>
          </w:tcPr>
          <w:p w:rsidR="00455DEE" w:rsidRPr="000139D8" w:rsidRDefault="00455DEE" w:rsidP="00FA5866">
            <w:pPr>
              <w:spacing w:after="0" w:line="240" w:lineRule="auto"/>
              <w:ind w:firstLine="0"/>
              <w:jc w:val="right"/>
              <w:rPr>
                <w:rFonts w:eastAsia="Times New Roman"/>
                <w:color w:val="000000"/>
                <w:sz w:val="20"/>
                <w:szCs w:val="20"/>
                <w:lang w:val="en-US"/>
              </w:rPr>
            </w:pPr>
            <w:r w:rsidRPr="000139D8">
              <w:rPr>
                <w:rFonts w:eastAsia="Times New Roman"/>
                <w:color w:val="000000"/>
                <w:sz w:val="20"/>
                <w:szCs w:val="20"/>
                <w:lang w:val="en-US"/>
              </w:rPr>
              <w:t>0.053</w:t>
            </w:r>
          </w:p>
        </w:tc>
        <w:tc>
          <w:tcPr>
            <w:tcW w:w="637" w:type="pct"/>
            <w:tcBorders>
              <w:top w:val="nil"/>
              <w:left w:val="nil"/>
              <w:bottom w:val="nil"/>
              <w:right w:val="nil"/>
            </w:tcBorders>
            <w:shd w:val="clear" w:color="auto" w:fill="auto"/>
            <w:noWrap/>
            <w:vAlign w:val="center"/>
            <w:hideMark/>
          </w:tcPr>
          <w:p w:rsidR="00455DEE" w:rsidRPr="000139D8" w:rsidRDefault="00455DEE" w:rsidP="00FA5866">
            <w:pPr>
              <w:spacing w:after="0" w:line="240" w:lineRule="auto"/>
              <w:ind w:firstLine="0"/>
              <w:jc w:val="right"/>
              <w:rPr>
                <w:rFonts w:eastAsia="Times New Roman"/>
                <w:color w:val="000000"/>
                <w:sz w:val="20"/>
                <w:szCs w:val="20"/>
                <w:lang w:val="en-US"/>
              </w:rPr>
            </w:pPr>
            <w:r w:rsidRPr="000139D8">
              <w:rPr>
                <w:rFonts w:eastAsia="Times New Roman"/>
                <w:color w:val="000000"/>
                <w:sz w:val="20"/>
                <w:szCs w:val="20"/>
                <w:lang w:val="en-US"/>
              </w:rPr>
              <w:t>0.0135</w:t>
            </w:r>
          </w:p>
        </w:tc>
        <w:tc>
          <w:tcPr>
            <w:tcW w:w="589" w:type="pct"/>
            <w:tcBorders>
              <w:top w:val="nil"/>
              <w:left w:val="nil"/>
              <w:bottom w:val="nil"/>
              <w:right w:val="nil"/>
            </w:tcBorders>
            <w:shd w:val="clear" w:color="auto" w:fill="auto"/>
            <w:noWrap/>
            <w:vAlign w:val="center"/>
            <w:hideMark/>
          </w:tcPr>
          <w:p w:rsidR="00455DEE" w:rsidRPr="00A90656" w:rsidRDefault="00455DEE" w:rsidP="00FA5866">
            <w:pPr>
              <w:spacing w:after="0" w:line="240" w:lineRule="auto"/>
              <w:ind w:firstLine="0"/>
              <w:jc w:val="right"/>
              <w:rPr>
                <w:rFonts w:ascii="Calibri" w:eastAsia="Times New Roman" w:hAnsi="Calibri"/>
                <w:color w:val="000000"/>
                <w:sz w:val="22"/>
                <w:szCs w:val="22"/>
                <w:lang w:val="en-US"/>
              </w:rPr>
            </w:pPr>
          </w:p>
        </w:tc>
        <w:tc>
          <w:tcPr>
            <w:tcW w:w="637" w:type="pct"/>
            <w:tcBorders>
              <w:top w:val="nil"/>
              <w:left w:val="nil"/>
              <w:bottom w:val="nil"/>
              <w:right w:val="nil"/>
            </w:tcBorders>
            <w:shd w:val="clear" w:color="auto" w:fill="auto"/>
            <w:noWrap/>
            <w:vAlign w:val="center"/>
            <w:hideMark/>
          </w:tcPr>
          <w:p w:rsidR="00455DEE" w:rsidRPr="00A90656" w:rsidRDefault="00455DEE" w:rsidP="00FA5866">
            <w:pPr>
              <w:spacing w:after="0" w:line="240" w:lineRule="auto"/>
              <w:ind w:firstLine="0"/>
              <w:rPr>
                <w:rFonts w:eastAsia="Times New Roman"/>
                <w:b/>
                <w:bCs/>
                <w:color w:val="000000"/>
                <w:sz w:val="20"/>
                <w:szCs w:val="20"/>
                <w:lang w:val="en-US"/>
              </w:rPr>
            </w:pPr>
            <w:r w:rsidRPr="00A90656">
              <w:rPr>
                <w:rFonts w:eastAsia="Times New Roman"/>
                <w:b/>
                <w:bCs/>
                <w:color w:val="000000"/>
                <w:sz w:val="20"/>
                <w:szCs w:val="20"/>
                <w:lang w:val="en-US"/>
              </w:rPr>
              <w:t>-0.592**</w:t>
            </w:r>
          </w:p>
        </w:tc>
        <w:tc>
          <w:tcPr>
            <w:tcW w:w="637" w:type="pct"/>
            <w:tcBorders>
              <w:top w:val="nil"/>
              <w:left w:val="nil"/>
              <w:bottom w:val="nil"/>
              <w:right w:val="nil"/>
            </w:tcBorders>
            <w:shd w:val="clear" w:color="auto" w:fill="auto"/>
            <w:noWrap/>
            <w:vAlign w:val="center"/>
            <w:hideMark/>
          </w:tcPr>
          <w:p w:rsidR="00455DEE" w:rsidRPr="00A90656" w:rsidRDefault="00455DEE" w:rsidP="00FA5866">
            <w:pPr>
              <w:spacing w:after="0" w:line="240" w:lineRule="auto"/>
              <w:ind w:firstLine="0"/>
              <w:rPr>
                <w:rFonts w:eastAsia="Times New Roman"/>
                <w:b/>
                <w:bCs/>
                <w:color w:val="000000"/>
                <w:sz w:val="20"/>
                <w:szCs w:val="20"/>
                <w:lang w:val="en-US"/>
              </w:rPr>
            </w:pPr>
            <w:r w:rsidRPr="00A90656">
              <w:rPr>
                <w:rFonts w:eastAsia="Times New Roman"/>
                <w:b/>
                <w:bCs/>
                <w:color w:val="000000"/>
                <w:sz w:val="20"/>
                <w:szCs w:val="20"/>
                <w:lang w:val="en-US"/>
              </w:rPr>
              <w:t>-0.593**</w:t>
            </w:r>
          </w:p>
        </w:tc>
        <w:tc>
          <w:tcPr>
            <w:tcW w:w="637" w:type="pct"/>
            <w:tcBorders>
              <w:top w:val="nil"/>
              <w:left w:val="nil"/>
              <w:bottom w:val="nil"/>
              <w:right w:val="nil"/>
            </w:tcBorders>
            <w:shd w:val="clear" w:color="auto" w:fill="auto"/>
            <w:noWrap/>
            <w:vAlign w:val="center"/>
            <w:hideMark/>
          </w:tcPr>
          <w:p w:rsidR="00455DEE" w:rsidRPr="00A90656" w:rsidRDefault="00455DEE" w:rsidP="00FA5866">
            <w:pPr>
              <w:spacing w:after="0" w:line="240" w:lineRule="auto"/>
              <w:ind w:firstLine="0"/>
              <w:rPr>
                <w:rFonts w:eastAsia="Times New Roman"/>
                <w:b/>
                <w:bCs/>
                <w:color w:val="000000"/>
                <w:sz w:val="20"/>
                <w:szCs w:val="20"/>
                <w:lang w:val="en-US"/>
              </w:rPr>
            </w:pPr>
            <w:r w:rsidRPr="00A90656">
              <w:rPr>
                <w:rFonts w:eastAsia="Times New Roman"/>
                <w:b/>
                <w:bCs/>
                <w:color w:val="000000"/>
                <w:sz w:val="20"/>
                <w:szCs w:val="20"/>
                <w:lang w:val="en-US"/>
              </w:rPr>
              <w:t>-0.564**</w:t>
            </w:r>
          </w:p>
        </w:tc>
      </w:tr>
      <w:tr w:rsidR="00455DEE" w:rsidRPr="00A90656" w:rsidTr="00455DEE">
        <w:trPr>
          <w:trHeight w:val="315"/>
        </w:trPr>
        <w:tc>
          <w:tcPr>
            <w:tcW w:w="589" w:type="pct"/>
            <w:tcBorders>
              <w:top w:val="nil"/>
              <w:left w:val="nil"/>
              <w:bottom w:val="nil"/>
              <w:right w:val="nil"/>
            </w:tcBorders>
            <w:shd w:val="clear" w:color="auto" w:fill="auto"/>
            <w:noWrap/>
            <w:vAlign w:val="bottom"/>
            <w:hideMark/>
          </w:tcPr>
          <w:p w:rsidR="00455DEE" w:rsidRPr="00D06C2F" w:rsidRDefault="00455DEE" w:rsidP="00FA5866">
            <w:pPr>
              <w:spacing w:after="0" w:line="240" w:lineRule="auto"/>
              <w:jc w:val="center"/>
              <w:rPr>
                <w:rFonts w:eastAsia="Times New Roman"/>
                <w:color w:val="000000"/>
                <w:sz w:val="20"/>
                <w:szCs w:val="20"/>
              </w:rPr>
            </w:pPr>
            <m:oMathPara>
              <m:oMath>
                <m:r>
                  <w:rPr>
                    <w:rFonts w:ascii="Cambria Math" w:eastAsia="Times New Roman" w:hAnsi="Cambria Math"/>
                    <w:color w:val="000000"/>
                    <w:sz w:val="20"/>
                    <w:szCs w:val="20"/>
                  </w:rPr>
                  <m:t>∆</m:t>
                </m:r>
                <m:sSub>
                  <m:sSubPr>
                    <m:ctrlPr>
                      <w:rPr>
                        <w:rFonts w:ascii="Cambria Math" w:eastAsia="Times New Roman" w:hAnsi="Cambria Math"/>
                        <w:color w:val="000000"/>
                        <w:sz w:val="20"/>
                        <w:szCs w:val="20"/>
                      </w:rPr>
                    </m:ctrlPr>
                  </m:sSubPr>
                  <m:e>
                    <m:r>
                      <m:rPr>
                        <m:sty m:val="p"/>
                      </m:rPr>
                      <w:rPr>
                        <w:rFonts w:ascii="Cambria Math" w:eastAsia="Times New Roman" w:hAnsi="Cambria Math"/>
                        <w:color w:val="000000"/>
                        <w:sz w:val="20"/>
                        <w:szCs w:val="20"/>
                      </w:rPr>
                      <m:t>Π</m:t>
                    </m:r>
                    <m:ctrlPr>
                      <w:rPr>
                        <w:rFonts w:ascii="Cambria Math" w:eastAsia="Times New Roman" w:hAnsi="Cambria Math"/>
                        <w:i/>
                        <w:color w:val="000000"/>
                        <w:sz w:val="20"/>
                        <w:szCs w:val="20"/>
                      </w:rPr>
                    </m:ctrlPr>
                  </m:e>
                  <m:sub>
                    <m:r>
                      <w:rPr>
                        <w:rFonts w:ascii="Cambria Math" w:eastAsia="Times New Roman" w:hAnsi="Cambria Math"/>
                        <w:color w:val="000000"/>
                        <w:sz w:val="20"/>
                        <w:szCs w:val="20"/>
                      </w:rPr>
                      <m:t>t</m:t>
                    </m:r>
                    <m:r>
                      <w:rPr>
                        <w:rFonts w:ascii="Cambria Math" w:eastAsia="Times New Roman"/>
                        <w:color w:val="000000"/>
                        <w:sz w:val="20"/>
                        <w:szCs w:val="20"/>
                      </w:rPr>
                      <m:t>+15</m:t>
                    </m:r>
                    <m:ctrlPr>
                      <w:rPr>
                        <w:rFonts w:ascii="Cambria Math" w:eastAsia="Times New Roman" w:hAnsi="Cambria Math"/>
                        <w:i/>
                        <w:color w:val="000000"/>
                        <w:sz w:val="20"/>
                        <w:szCs w:val="20"/>
                      </w:rPr>
                    </m:ctrlPr>
                  </m:sub>
                </m:sSub>
              </m:oMath>
            </m:oMathPara>
          </w:p>
        </w:tc>
        <w:tc>
          <w:tcPr>
            <w:tcW w:w="637" w:type="pct"/>
            <w:tcBorders>
              <w:top w:val="nil"/>
              <w:left w:val="nil"/>
              <w:bottom w:val="nil"/>
              <w:right w:val="nil"/>
            </w:tcBorders>
            <w:shd w:val="clear" w:color="auto" w:fill="auto"/>
            <w:noWrap/>
            <w:vAlign w:val="center"/>
            <w:hideMark/>
          </w:tcPr>
          <w:p w:rsidR="00455DEE" w:rsidRPr="000139D8" w:rsidRDefault="00455DEE" w:rsidP="00FA5866">
            <w:pPr>
              <w:spacing w:after="0" w:line="240" w:lineRule="auto"/>
              <w:ind w:firstLine="0"/>
              <w:jc w:val="right"/>
              <w:rPr>
                <w:rFonts w:eastAsia="Times New Roman"/>
                <w:color w:val="000000"/>
                <w:sz w:val="20"/>
                <w:szCs w:val="20"/>
                <w:lang w:val="en-US"/>
              </w:rPr>
            </w:pPr>
            <w:r w:rsidRPr="000139D8">
              <w:rPr>
                <w:rFonts w:eastAsia="Times New Roman"/>
                <w:color w:val="000000"/>
                <w:sz w:val="20"/>
                <w:szCs w:val="20"/>
                <w:lang w:val="en-US"/>
              </w:rPr>
              <w:t>-0.0585</w:t>
            </w:r>
          </w:p>
        </w:tc>
        <w:tc>
          <w:tcPr>
            <w:tcW w:w="637" w:type="pct"/>
            <w:tcBorders>
              <w:top w:val="nil"/>
              <w:left w:val="nil"/>
              <w:bottom w:val="nil"/>
              <w:right w:val="nil"/>
            </w:tcBorders>
            <w:shd w:val="clear" w:color="auto" w:fill="auto"/>
            <w:noWrap/>
            <w:vAlign w:val="center"/>
            <w:hideMark/>
          </w:tcPr>
          <w:p w:rsidR="00455DEE" w:rsidRPr="000139D8" w:rsidRDefault="00455DEE" w:rsidP="00FA5866">
            <w:pPr>
              <w:spacing w:after="0" w:line="240" w:lineRule="auto"/>
              <w:ind w:firstLine="0"/>
              <w:jc w:val="right"/>
              <w:rPr>
                <w:rFonts w:eastAsia="Times New Roman"/>
                <w:color w:val="000000"/>
                <w:sz w:val="20"/>
                <w:szCs w:val="20"/>
                <w:lang w:val="en-US"/>
              </w:rPr>
            </w:pPr>
            <w:r w:rsidRPr="000139D8">
              <w:rPr>
                <w:rFonts w:eastAsia="Times New Roman"/>
                <w:color w:val="000000"/>
                <w:sz w:val="20"/>
                <w:szCs w:val="20"/>
                <w:lang w:val="en-US"/>
              </w:rPr>
              <w:t>-0.0914</w:t>
            </w:r>
          </w:p>
        </w:tc>
        <w:tc>
          <w:tcPr>
            <w:tcW w:w="637" w:type="pct"/>
            <w:tcBorders>
              <w:top w:val="nil"/>
              <w:left w:val="nil"/>
              <w:bottom w:val="nil"/>
              <w:right w:val="nil"/>
            </w:tcBorders>
            <w:shd w:val="clear" w:color="auto" w:fill="auto"/>
            <w:noWrap/>
            <w:vAlign w:val="center"/>
            <w:hideMark/>
          </w:tcPr>
          <w:p w:rsidR="00455DEE" w:rsidRPr="000139D8" w:rsidRDefault="00455DEE" w:rsidP="00FA5866">
            <w:pPr>
              <w:spacing w:after="0" w:line="240" w:lineRule="auto"/>
              <w:ind w:firstLine="0"/>
              <w:jc w:val="right"/>
              <w:rPr>
                <w:rFonts w:eastAsia="Times New Roman"/>
                <w:color w:val="000000"/>
                <w:sz w:val="20"/>
                <w:szCs w:val="20"/>
                <w:lang w:val="en-US"/>
              </w:rPr>
            </w:pPr>
            <w:r w:rsidRPr="000139D8">
              <w:rPr>
                <w:rFonts w:eastAsia="Times New Roman"/>
                <w:color w:val="000000"/>
                <w:sz w:val="20"/>
                <w:szCs w:val="20"/>
                <w:lang w:val="en-US"/>
              </w:rPr>
              <w:t>-0.0808</w:t>
            </w:r>
          </w:p>
        </w:tc>
        <w:tc>
          <w:tcPr>
            <w:tcW w:w="589" w:type="pct"/>
            <w:tcBorders>
              <w:top w:val="nil"/>
              <w:left w:val="nil"/>
              <w:bottom w:val="nil"/>
              <w:right w:val="nil"/>
            </w:tcBorders>
            <w:shd w:val="clear" w:color="auto" w:fill="auto"/>
            <w:noWrap/>
            <w:vAlign w:val="center"/>
            <w:hideMark/>
          </w:tcPr>
          <w:p w:rsidR="00455DEE" w:rsidRPr="00A90656" w:rsidRDefault="00455DEE" w:rsidP="00FA5866">
            <w:pPr>
              <w:spacing w:after="0" w:line="240" w:lineRule="auto"/>
              <w:ind w:firstLine="0"/>
              <w:jc w:val="right"/>
              <w:rPr>
                <w:rFonts w:ascii="Calibri" w:eastAsia="Times New Roman" w:hAnsi="Calibri"/>
                <w:color w:val="000000"/>
                <w:sz w:val="22"/>
                <w:szCs w:val="22"/>
                <w:lang w:val="en-US"/>
              </w:rPr>
            </w:pPr>
          </w:p>
        </w:tc>
        <w:tc>
          <w:tcPr>
            <w:tcW w:w="637" w:type="pct"/>
            <w:tcBorders>
              <w:top w:val="nil"/>
              <w:left w:val="nil"/>
              <w:bottom w:val="nil"/>
              <w:right w:val="nil"/>
            </w:tcBorders>
            <w:shd w:val="clear" w:color="auto" w:fill="auto"/>
            <w:noWrap/>
            <w:vAlign w:val="center"/>
            <w:hideMark/>
          </w:tcPr>
          <w:p w:rsidR="00455DEE" w:rsidRPr="00A90656" w:rsidRDefault="00455DEE" w:rsidP="00FA5866">
            <w:pPr>
              <w:spacing w:after="0" w:line="240" w:lineRule="auto"/>
              <w:ind w:firstLine="0"/>
              <w:rPr>
                <w:rFonts w:eastAsia="Times New Roman"/>
                <w:b/>
                <w:bCs/>
                <w:color w:val="000000"/>
                <w:sz w:val="20"/>
                <w:szCs w:val="20"/>
                <w:lang w:val="en-US"/>
              </w:rPr>
            </w:pPr>
            <w:r w:rsidRPr="00A90656">
              <w:rPr>
                <w:rFonts w:eastAsia="Times New Roman"/>
                <w:b/>
                <w:bCs/>
                <w:color w:val="000000"/>
                <w:sz w:val="20"/>
                <w:szCs w:val="20"/>
                <w:lang w:val="en-US"/>
              </w:rPr>
              <w:t>0.678***</w:t>
            </w:r>
          </w:p>
        </w:tc>
        <w:tc>
          <w:tcPr>
            <w:tcW w:w="637" w:type="pct"/>
            <w:tcBorders>
              <w:top w:val="nil"/>
              <w:left w:val="nil"/>
              <w:bottom w:val="nil"/>
              <w:right w:val="nil"/>
            </w:tcBorders>
            <w:shd w:val="clear" w:color="auto" w:fill="auto"/>
            <w:noWrap/>
            <w:vAlign w:val="center"/>
            <w:hideMark/>
          </w:tcPr>
          <w:p w:rsidR="00455DEE" w:rsidRPr="00A90656" w:rsidRDefault="00455DEE" w:rsidP="00FA5866">
            <w:pPr>
              <w:spacing w:after="0" w:line="240" w:lineRule="auto"/>
              <w:ind w:firstLine="0"/>
              <w:rPr>
                <w:rFonts w:eastAsia="Times New Roman"/>
                <w:b/>
                <w:bCs/>
                <w:color w:val="000000"/>
                <w:sz w:val="20"/>
                <w:szCs w:val="20"/>
                <w:lang w:val="en-US"/>
              </w:rPr>
            </w:pPr>
            <w:r w:rsidRPr="00A90656">
              <w:rPr>
                <w:rFonts w:eastAsia="Times New Roman"/>
                <w:b/>
                <w:bCs/>
                <w:color w:val="000000"/>
                <w:sz w:val="20"/>
                <w:szCs w:val="20"/>
                <w:lang w:val="en-US"/>
              </w:rPr>
              <w:t>0.5609**</w:t>
            </w:r>
          </w:p>
        </w:tc>
        <w:tc>
          <w:tcPr>
            <w:tcW w:w="637" w:type="pct"/>
            <w:tcBorders>
              <w:top w:val="nil"/>
              <w:left w:val="nil"/>
              <w:bottom w:val="nil"/>
              <w:right w:val="nil"/>
            </w:tcBorders>
            <w:shd w:val="clear" w:color="auto" w:fill="auto"/>
            <w:noWrap/>
            <w:vAlign w:val="center"/>
            <w:hideMark/>
          </w:tcPr>
          <w:p w:rsidR="00455DEE" w:rsidRPr="00A90656" w:rsidRDefault="00455DEE" w:rsidP="00FA5866">
            <w:pPr>
              <w:spacing w:after="0" w:line="240" w:lineRule="auto"/>
              <w:ind w:firstLine="0"/>
              <w:rPr>
                <w:rFonts w:eastAsia="Times New Roman"/>
                <w:b/>
                <w:bCs/>
                <w:color w:val="000000"/>
                <w:sz w:val="20"/>
                <w:szCs w:val="20"/>
                <w:lang w:val="en-US"/>
              </w:rPr>
            </w:pPr>
            <w:r w:rsidRPr="00A90656">
              <w:rPr>
                <w:rFonts w:eastAsia="Times New Roman"/>
                <w:b/>
                <w:bCs/>
                <w:color w:val="000000"/>
                <w:sz w:val="20"/>
                <w:szCs w:val="20"/>
                <w:lang w:val="en-US"/>
              </w:rPr>
              <w:t>0.4307*</w:t>
            </w:r>
          </w:p>
        </w:tc>
      </w:tr>
      <w:tr w:rsidR="00455DEE" w:rsidRPr="00A90656" w:rsidTr="00455DEE">
        <w:trPr>
          <w:trHeight w:val="300"/>
        </w:trPr>
        <w:tc>
          <w:tcPr>
            <w:tcW w:w="589" w:type="pct"/>
            <w:tcBorders>
              <w:top w:val="nil"/>
              <w:left w:val="nil"/>
              <w:bottom w:val="single" w:sz="4" w:space="0" w:color="auto"/>
              <w:right w:val="nil"/>
            </w:tcBorders>
            <w:shd w:val="clear" w:color="auto" w:fill="auto"/>
            <w:noWrap/>
            <w:vAlign w:val="bottom"/>
            <w:hideMark/>
          </w:tcPr>
          <w:p w:rsidR="00455DEE" w:rsidRPr="00D06C2F" w:rsidRDefault="00455DEE" w:rsidP="00FA5866">
            <w:pPr>
              <w:spacing w:after="0" w:line="240" w:lineRule="auto"/>
              <w:jc w:val="center"/>
              <w:rPr>
                <w:rFonts w:eastAsia="Times New Roman"/>
                <w:color w:val="000000"/>
                <w:sz w:val="20"/>
                <w:szCs w:val="20"/>
              </w:rPr>
            </w:pPr>
            <m:oMathPara>
              <m:oMath>
                <m:r>
                  <w:rPr>
                    <w:rFonts w:ascii="Cambria Math" w:eastAsia="Times New Roman" w:hAnsi="Cambria Math"/>
                    <w:color w:val="000000"/>
                    <w:sz w:val="20"/>
                    <w:szCs w:val="20"/>
                  </w:rPr>
                  <m:t>∆</m:t>
                </m:r>
                <m:sSub>
                  <m:sSubPr>
                    <m:ctrlPr>
                      <w:rPr>
                        <w:rFonts w:ascii="Cambria Math" w:eastAsia="Times New Roman" w:hAnsi="Cambria Math"/>
                        <w:color w:val="000000"/>
                        <w:sz w:val="20"/>
                        <w:szCs w:val="20"/>
                      </w:rPr>
                    </m:ctrlPr>
                  </m:sSubPr>
                  <m:e>
                    <m:r>
                      <m:rPr>
                        <m:sty m:val="p"/>
                      </m:rPr>
                      <w:rPr>
                        <w:rFonts w:ascii="Cambria Math" w:eastAsia="Times New Roman" w:hAnsi="Cambria Math"/>
                        <w:color w:val="000000"/>
                        <w:sz w:val="20"/>
                        <w:szCs w:val="20"/>
                      </w:rPr>
                      <m:t>Π</m:t>
                    </m:r>
                    <m:ctrlPr>
                      <w:rPr>
                        <w:rFonts w:ascii="Cambria Math" w:eastAsia="Times New Roman" w:hAnsi="Cambria Math"/>
                        <w:i/>
                        <w:color w:val="000000"/>
                        <w:sz w:val="20"/>
                        <w:szCs w:val="20"/>
                      </w:rPr>
                    </m:ctrlPr>
                  </m:e>
                  <m:sub>
                    <m:r>
                      <w:rPr>
                        <w:rFonts w:ascii="Cambria Math" w:eastAsia="Times New Roman" w:hAnsi="Cambria Math"/>
                        <w:color w:val="000000"/>
                        <w:sz w:val="20"/>
                        <w:szCs w:val="20"/>
                      </w:rPr>
                      <m:t>t</m:t>
                    </m:r>
                    <m:r>
                      <w:rPr>
                        <w:rFonts w:ascii="Cambria Math" w:eastAsia="Times New Roman"/>
                        <w:color w:val="000000"/>
                        <w:sz w:val="20"/>
                        <w:szCs w:val="20"/>
                      </w:rPr>
                      <m:t>+16</m:t>
                    </m:r>
                    <m:ctrlPr>
                      <w:rPr>
                        <w:rFonts w:ascii="Cambria Math" w:eastAsia="Times New Roman" w:hAnsi="Cambria Math"/>
                        <w:i/>
                        <w:color w:val="000000"/>
                        <w:sz w:val="20"/>
                        <w:szCs w:val="20"/>
                      </w:rPr>
                    </m:ctrlPr>
                  </m:sub>
                </m:sSub>
              </m:oMath>
            </m:oMathPara>
          </w:p>
        </w:tc>
        <w:tc>
          <w:tcPr>
            <w:tcW w:w="637" w:type="pct"/>
            <w:tcBorders>
              <w:top w:val="nil"/>
              <w:left w:val="nil"/>
              <w:bottom w:val="single" w:sz="4" w:space="0" w:color="auto"/>
              <w:right w:val="nil"/>
            </w:tcBorders>
            <w:shd w:val="clear" w:color="auto" w:fill="auto"/>
            <w:noWrap/>
            <w:vAlign w:val="center"/>
            <w:hideMark/>
          </w:tcPr>
          <w:p w:rsidR="00455DEE" w:rsidRPr="000139D8" w:rsidRDefault="00455DEE" w:rsidP="00FA5866">
            <w:pPr>
              <w:spacing w:after="0" w:line="240" w:lineRule="auto"/>
              <w:ind w:firstLine="0"/>
              <w:jc w:val="right"/>
              <w:rPr>
                <w:rFonts w:eastAsia="Times New Roman"/>
                <w:color w:val="000000"/>
                <w:sz w:val="20"/>
                <w:szCs w:val="20"/>
                <w:lang w:val="en-US"/>
              </w:rPr>
            </w:pPr>
            <w:r w:rsidRPr="000139D8">
              <w:rPr>
                <w:rFonts w:eastAsia="Times New Roman"/>
                <w:color w:val="000000"/>
                <w:sz w:val="20"/>
                <w:szCs w:val="20"/>
                <w:lang w:val="en-US"/>
              </w:rPr>
              <w:t>0.1175</w:t>
            </w:r>
          </w:p>
        </w:tc>
        <w:tc>
          <w:tcPr>
            <w:tcW w:w="637" w:type="pct"/>
            <w:tcBorders>
              <w:top w:val="nil"/>
              <w:left w:val="nil"/>
              <w:bottom w:val="single" w:sz="4" w:space="0" w:color="auto"/>
              <w:right w:val="nil"/>
            </w:tcBorders>
            <w:shd w:val="clear" w:color="auto" w:fill="auto"/>
            <w:noWrap/>
            <w:vAlign w:val="center"/>
            <w:hideMark/>
          </w:tcPr>
          <w:p w:rsidR="00455DEE" w:rsidRPr="000139D8" w:rsidRDefault="00455DEE" w:rsidP="00FA5866">
            <w:pPr>
              <w:spacing w:after="0" w:line="240" w:lineRule="auto"/>
              <w:ind w:firstLine="0"/>
              <w:jc w:val="right"/>
              <w:rPr>
                <w:rFonts w:eastAsia="Times New Roman"/>
                <w:color w:val="000000"/>
                <w:sz w:val="20"/>
                <w:szCs w:val="20"/>
                <w:lang w:val="en-US"/>
              </w:rPr>
            </w:pPr>
            <w:r w:rsidRPr="000139D8">
              <w:rPr>
                <w:rFonts w:eastAsia="Times New Roman"/>
                <w:color w:val="000000"/>
                <w:sz w:val="20"/>
                <w:szCs w:val="20"/>
                <w:lang w:val="en-US"/>
              </w:rPr>
              <w:t>0.1082</w:t>
            </w:r>
          </w:p>
        </w:tc>
        <w:tc>
          <w:tcPr>
            <w:tcW w:w="637" w:type="pct"/>
            <w:tcBorders>
              <w:top w:val="nil"/>
              <w:left w:val="nil"/>
              <w:bottom w:val="single" w:sz="4" w:space="0" w:color="auto"/>
              <w:right w:val="nil"/>
            </w:tcBorders>
            <w:shd w:val="clear" w:color="auto" w:fill="auto"/>
            <w:noWrap/>
            <w:vAlign w:val="center"/>
            <w:hideMark/>
          </w:tcPr>
          <w:p w:rsidR="00455DEE" w:rsidRPr="000139D8" w:rsidRDefault="00455DEE" w:rsidP="00FA5866">
            <w:pPr>
              <w:spacing w:after="0" w:line="240" w:lineRule="auto"/>
              <w:ind w:firstLine="0"/>
              <w:jc w:val="right"/>
              <w:rPr>
                <w:rFonts w:eastAsia="Times New Roman"/>
                <w:color w:val="000000"/>
                <w:sz w:val="20"/>
                <w:szCs w:val="20"/>
                <w:lang w:val="en-US"/>
              </w:rPr>
            </w:pPr>
            <w:r w:rsidRPr="000139D8">
              <w:rPr>
                <w:rFonts w:eastAsia="Times New Roman"/>
                <w:color w:val="000000"/>
                <w:sz w:val="20"/>
                <w:szCs w:val="20"/>
                <w:lang w:val="en-US"/>
              </w:rPr>
              <w:t>0.0531</w:t>
            </w:r>
          </w:p>
        </w:tc>
        <w:tc>
          <w:tcPr>
            <w:tcW w:w="589" w:type="pct"/>
            <w:tcBorders>
              <w:top w:val="nil"/>
              <w:left w:val="nil"/>
              <w:bottom w:val="single" w:sz="4" w:space="0" w:color="auto"/>
              <w:right w:val="nil"/>
            </w:tcBorders>
            <w:shd w:val="clear" w:color="auto" w:fill="auto"/>
            <w:noWrap/>
            <w:vAlign w:val="center"/>
            <w:hideMark/>
          </w:tcPr>
          <w:p w:rsidR="00455DEE" w:rsidRPr="00A90656" w:rsidRDefault="00455DEE" w:rsidP="00FA5866">
            <w:pPr>
              <w:spacing w:after="0" w:line="240" w:lineRule="auto"/>
              <w:ind w:firstLine="0"/>
              <w:jc w:val="right"/>
              <w:rPr>
                <w:rFonts w:ascii="Calibri" w:eastAsia="Times New Roman" w:hAnsi="Calibri"/>
                <w:color w:val="000000"/>
                <w:sz w:val="22"/>
                <w:szCs w:val="22"/>
                <w:lang w:val="en-US"/>
              </w:rPr>
            </w:pPr>
            <w:r w:rsidRPr="00A90656">
              <w:rPr>
                <w:rFonts w:ascii="Calibri" w:eastAsia="Times New Roman" w:hAnsi="Calibri"/>
                <w:color w:val="000000"/>
                <w:sz w:val="22"/>
                <w:szCs w:val="22"/>
                <w:lang w:val="en-US"/>
              </w:rPr>
              <w:t> </w:t>
            </w:r>
          </w:p>
        </w:tc>
        <w:tc>
          <w:tcPr>
            <w:tcW w:w="637" w:type="pct"/>
            <w:tcBorders>
              <w:top w:val="nil"/>
              <w:left w:val="nil"/>
              <w:bottom w:val="single" w:sz="4" w:space="0" w:color="auto"/>
              <w:right w:val="nil"/>
            </w:tcBorders>
            <w:shd w:val="clear" w:color="auto" w:fill="auto"/>
            <w:noWrap/>
            <w:vAlign w:val="center"/>
            <w:hideMark/>
          </w:tcPr>
          <w:p w:rsidR="00455DEE" w:rsidRPr="00A90656" w:rsidRDefault="00455DEE" w:rsidP="00FA5866">
            <w:pPr>
              <w:spacing w:after="0" w:line="240" w:lineRule="auto"/>
              <w:ind w:firstLine="0"/>
              <w:rPr>
                <w:rFonts w:eastAsia="Times New Roman"/>
                <w:b/>
                <w:bCs/>
                <w:color w:val="000000"/>
                <w:sz w:val="20"/>
                <w:szCs w:val="20"/>
                <w:lang w:val="en-US"/>
              </w:rPr>
            </w:pPr>
            <w:r w:rsidRPr="00A90656">
              <w:rPr>
                <w:rFonts w:eastAsia="Times New Roman"/>
                <w:b/>
                <w:bCs/>
                <w:color w:val="000000"/>
                <w:sz w:val="20"/>
                <w:szCs w:val="20"/>
                <w:lang w:val="en-US"/>
              </w:rPr>
              <w:t>0.603* *</w:t>
            </w:r>
          </w:p>
        </w:tc>
        <w:tc>
          <w:tcPr>
            <w:tcW w:w="637" w:type="pct"/>
            <w:tcBorders>
              <w:top w:val="nil"/>
              <w:left w:val="nil"/>
              <w:bottom w:val="single" w:sz="4" w:space="0" w:color="auto"/>
              <w:right w:val="nil"/>
            </w:tcBorders>
            <w:shd w:val="clear" w:color="auto" w:fill="auto"/>
            <w:noWrap/>
            <w:vAlign w:val="center"/>
            <w:hideMark/>
          </w:tcPr>
          <w:p w:rsidR="00455DEE" w:rsidRPr="00A90656" w:rsidRDefault="00455DEE" w:rsidP="00FA5866">
            <w:pPr>
              <w:spacing w:after="0" w:line="240" w:lineRule="auto"/>
              <w:ind w:firstLine="0"/>
              <w:rPr>
                <w:rFonts w:eastAsia="Times New Roman"/>
                <w:b/>
                <w:bCs/>
                <w:color w:val="000000"/>
                <w:sz w:val="20"/>
                <w:szCs w:val="20"/>
                <w:lang w:val="en-US"/>
              </w:rPr>
            </w:pPr>
            <w:r w:rsidRPr="00A90656">
              <w:rPr>
                <w:rFonts w:eastAsia="Times New Roman"/>
                <w:b/>
                <w:bCs/>
                <w:color w:val="000000"/>
                <w:sz w:val="20"/>
                <w:szCs w:val="20"/>
                <w:lang w:val="en-US"/>
              </w:rPr>
              <w:t xml:space="preserve">0.501* </w:t>
            </w:r>
          </w:p>
        </w:tc>
        <w:tc>
          <w:tcPr>
            <w:tcW w:w="637" w:type="pct"/>
            <w:tcBorders>
              <w:top w:val="nil"/>
              <w:left w:val="nil"/>
              <w:bottom w:val="single" w:sz="4" w:space="0" w:color="auto"/>
              <w:right w:val="nil"/>
            </w:tcBorders>
            <w:shd w:val="clear" w:color="auto" w:fill="auto"/>
            <w:noWrap/>
            <w:vAlign w:val="center"/>
            <w:hideMark/>
          </w:tcPr>
          <w:p w:rsidR="00455DEE" w:rsidRPr="00A90656" w:rsidRDefault="00455DEE" w:rsidP="00FA5866">
            <w:pPr>
              <w:spacing w:after="0" w:line="240" w:lineRule="auto"/>
              <w:ind w:firstLine="0"/>
              <w:rPr>
                <w:rFonts w:eastAsia="Times New Roman"/>
                <w:color w:val="000000"/>
                <w:sz w:val="20"/>
                <w:szCs w:val="20"/>
                <w:lang w:val="en-US"/>
              </w:rPr>
            </w:pPr>
            <w:r w:rsidRPr="00A90656">
              <w:rPr>
                <w:rFonts w:eastAsia="Times New Roman"/>
                <w:color w:val="000000"/>
                <w:sz w:val="20"/>
                <w:szCs w:val="20"/>
                <w:lang w:val="en-US"/>
              </w:rPr>
              <w:t>0.4052</w:t>
            </w:r>
          </w:p>
        </w:tc>
      </w:tr>
    </w:tbl>
    <w:p w:rsidR="00455DEE" w:rsidRPr="00F02C75" w:rsidRDefault="00455DEE" w:rsidP="00FA5866">
      <w:pPr>
        <w:spacing w:after="0" w:line="240" w:lineRule="auto"/>
        <w:ind w:firstLine="0"/>
        <w:jc w:val="left"/>
        <w:rPr>
          <w:sz w:val="20"/>
          <w:szCs w:val="20"/>
        </w:rPr>
      </w:pPr>
      <w:r>
        <w:rPr>
          <w:sz w:val="20"/>
          <w:szCs w:val="20"/>
        </w:rPr>
        <w:t>L</w:t>
      </w:r>
      <w:r w:rsidRPr="00AA282F">
        <w:rPr>
          <w:sz w:val="20"/>
          <w:szCs w:val="20"/>
        </w:rPr>
        <w:t>egenda: * p&lt;0.1, ** p &lt; 0.05, ***p &lt; 0.01</w:t>
      </w:r>
      <w:r>
        <w:rPr>
          <w:sz w:val="20"/>
          <w:szCs w:val="20"/>
        </w:rPr>
        <w:t xml:space="preserve">. </w:t>
      </w:r>
      <w:r w:rsidRPr="00AA282F">
        <w:rPr>
          <w:sz w:val="20"/>
          <w:szCs w:val="20"/>
        </w:rPr>
        <w:t>Fonte: Elaboração Própria</w:t>
      </w:r>
      <w:bookmarkStart w:id="12" w:name="_Toc379492293"/>
    </w:p>
    <w:p w:rsidR="00455DEE" w:rsidRDefault="00455DEE" w:rsidP="00FA5866">
      <w:pPr>
        <w:pStyle w:val="Ttulo2"/>
        <w:spacing w:before="0" w:after="0" w:line="240" w:lineRule="auto"/>
        <w:ind w:firstLine="0"/>
        <w:rPr>
          <w:b w:val="0"/>
          <w:sz w:val="24"/>
          <w:szCs w:val="24"/>
        </w:rPr>
      </w:pPr>
      <w:r>
        <w:rPr>
          <w:b w:val="0"/>
          <w:sz w:val="24"/>
          <w:szCs w:val="24"/>
        </w:rPr>
        <w:tab/>
      </w:r>
    </w:p>
    <w:p w:rsidR="00455DEE" w:rsidRPr="00455DEE" w:rsidRDefault="00455DEE" w:rsidP="00FA5866">
      <w:pPr>
        <w:pStyle w:val="Ttulo2"/>
        <w:spacing w:before="0" w:after="0" w:line="240" w:lineRule="auto"/>
        <w:ind w:firstLine="0"/>
        <w:rPr>
          <w:b w:val="0"/>
          <w:sz w:val="24"/>
          <w:szCs w:val="24"/>
        </w:rPr>
      </w:pPr>
      <w:r>
        <w:rPr>
          <w:b w:val="0"/>
          <w:sz w:val="24"/>
          <w:szCs w:val="24"/>
        </w:rPr>
        <w:tab/>
      </w:r>
      <w:proofErr w:type="gramStart"/>
      <w:r w:rsidRPr="00455DEE">
        <w:rPr>
          <w:b w:val="0"/>
          <w:sz w:val="24"/>
          <w:szCs w:val="24"/>
        </w:rPr>
        <w:t>5.2 – Análise</w:t>
      </w:r>
      <w:proofErr w:type="gramEnd"/>
      <w:r w:rsidRPr="00455DEE">
        <w:rPr>
          <w:b w:val="0"/>
          <w:sz w:val="24"/>
          <w:szCs w:val="24"/>
        </w:rPr>
        <w:t xml:space="preserve"> de regressão</w:t>
      </w:r>
      <w:bookmarkEnd w:id="12"/>
    </w:p>
    <w:p w:rsidR="00455DEE" w:rsidRDefault="00455DEE" w:rsidP="00FA5866">
      <w:pPr>
        <w:spacing w:after="0" w:line="240" w:lineRule="auto"/>
        <w:ind w:firstLine="720"/>
        <w:rPr>
          <w:rFonts w:eastAsia="GungsuhChe"/>
        </w:rPr>
      </w:pPr>
      <w:r w:rsidRPr="006108D7">
        <w:rPr>
          <w:rFonts w:eastAsia="GungsuhChe"/>
        </w:rPr>
        <w:t xml:space="preserve">Conforme </w:t>
      </w:r>
      <w:proofErr w:type="spellStart"/>
      <w:r w:rsidRPr="006108D7">
        <w:rPr>
          <w:rFonts w:eastAsia="GungsuhChe"/>
        </w:rPr>
        <w:t>Duso</w:t>
      </w:r>
      <w:proofErr w:type="spellEnd"/>
      <w:r>
        <w:rPr>
          <w:rFonts w:eastAsia="GungsuhChe"/>
        </w:rPr>
        <w:t xml:space="preserve"> </w:t>
      </w:r>
      <w:r w:rsidRPr="006108D7">
        <w:rPr>
          <w:rFonts w:eastAsia="GungsuhChe"/>
          <w:i/>
        </w:rPr>
        <w:t>et. al.</w:t>
      </w:r>
      <w:r w:rsidRPr="006108D7">
        <w:rPr>
          <w:rFonts w:eastAsia="GungsuhChe"/>
        </w:rPr>
        <w:t xml:space="preserve"> (2010), na regressão adota-se que a causalidade vai do efeito na lucratividade para os retornos anormais acumulados.</w:t>
      </w:r>
      <w:r>
        <w:rPr>
          <w:rFonts w:eastAsia="GungsuhChe"/>
        </w:rPr>
        <w:t xml:space="preserve"> Assume-se</w:t>
      </w:r>
      <w:r w:rsidRPr="000E6DB2">
        <w:rPr>
          <w:rFonts w:eastAsia="GungsuhChe"/>
        </w:rPr>
        <w:t xml:space="preserve"> que os mercados são eficientes</w:t>
      </w:r>
      <w:r>
        <w:rPr>
          <w:rFonts w:eastAsia="GungsuhChe"/>
        </w:rPr>
        <w:t xml:space="preserve"> e, portanto</w:t>
      </w:r>
      <w:r w:rsidRPr="000E6DB2">
        <w:rPr>
          <w:rFonts w:eastAsia="GungsuhChe"/>
        </w:rPr>
        <w:t>, o mercado deve antecipar os</w:t>
      </w:r>
      <w:r>
        <w:rPr>
          <w:rFonts w:eastAsia="GungsuhChe"/>
        </w:rPr>
        <w:t xml:space="preserve"> efeitos nos lucros decorrentes</w:t>
      </w:r>
      <w:r w:rsidRPr="000E6DB2">
        <w:rPr>
          <w:rFonts w:eastAsia="GungsuhChe"/>
        </w:rPr>
        <w:t xml:space="preserve"> das fusões e ajustar </w:t>
      </w:r>
      <w:r>
        <w:rPr>
          <w:rFonts w:eastAsia="GungsuhChe"/>
        </w:rPr>
        <w:t>os preços d</w:t>
      </w:r>
      <w:r w:rsidRPr="000E6DB2">
        <w:rPr>
          <w:rFonts w:eastAsia="GungsuhChe"/>
        </w:rPr>
        <w:t xml:space="preserve">as ações das firmas </w:t>
      </w:r>
      <w:r>
        <w:rPr>
          <w:rFonts w:eastAsia="GungsuhChe"/>
        </w:rPr>
        <w:t xml:space="preserve">envolvidas </w:t>
      </w:r>
      <w:r w:rsidRPr="000E6DB2">
        <w:rPr>
          <w:rFonts w:eastAsia="GungsuhChe"/>
        </w:rPr>
        <w:t xml:space="preserve">de acordo. Conforme proposto por </w:t>
      </w:r>
      <w:proofErr w:type="spellStart"/>
      <w:r w:rsidRPr="000E6DB2">
        <w:rPr>
          <w:rFonts w:eastAsia="GungsuhChe"/>
        </w:rPr>
        <w:t>Barber</w:t>
      </w:r>
      <w:proofErr w:type="spellEnd"/>
      <w:r w:rsidRPr="000E6DB2">
        <w:rPr>
          <w:rFonts w:eastAsia="GungsuhChe"/>
        </w:rPr>
        <w:t xml:space="preserve"> e Lyon (1996</w:t>
      </w:r>
      <w:proofErr w:type="gramStart"/>
      <w:r w:rsidRPr="000E6DB2">
        <w:rPr>
          <w:rFonts w:eastAsia="GungsuhChe"/>
        </w:rPr>
        <w:t>)</w:t>
      </w:r>
      <w:r>
        <w:rPr>
          <w:rFonts w:eastAsia="GungsuhChe"/>
        </w:rPr>
        <w:t>,</w:t>
      </w:r>
      <w:proofErr w:type="gramEnd"/>
      <w:r>
        <w:rPr>
          <w:rFonts w:eastAsia="GungsuhChe"/>
        </w:rPr>
        <w:t xml:space="preserve">é importante </w:t>
      </w:r>
      <w:r w:rsidRPr="000E6DB2">
        <w:rPr>
          <w:rFonts w:eastAsia="GungsuhChe"/>
        </w:rPr>
        <w:t>controla</w:t>
      </w:r>
      <w:r>
        <w:rPr>
          <w:rFonts w:eastAsia="GungsuhChe"/>
        </w:rPr>
        <w:t>r</w:t>
      </w:r>
      <w:r w:rsidRPr="000E6DB2">
        <w:rPr>
          <w:rFonts w:eastAsia="GungsuhChe"/>
        </w:rPr>
        <w:t xml:space="preserve"> para o efeito de reversão a média</w:t>
      </w:r>
      <w:r>
        <w:rPr>
          <w:rFonts w:eastAsia="GungsuhChe"/>
        </w:rPr>
        <w:t xml:space="preserve"> e</w:t>
      </w:r>
      <w:r w:rsidRPr="000E6DB2">
        <w:rPr>
          <w:rFonts w:eastAsia="GungsuhChe"/>
        </w:rPr>
        <w:t>, assim, inclui-se na regressão o lucro no período anterior (</w:t>
      </w:r>
      <m:oMath>
        <m:sSub>
          <m:sSubPr>
            <m:ctrlPr>
              <w:rPr>
                <w:rFonts w:ascii="Cambria Math" w:eastAsia="Times New Roman" w:hAnsi="Cambria Math"/>
                <w:i/>
                <w:color w:val="000000"/>
              </w:rPr>
            </m:ctrlPr>
          </m:sSubPr>
          <m:e>
            <m:r>
              <m:rPr>
                <m:sty m:val="p"/>
              </m:rPr>
              <w:rPr>
                <w:rFonts w:ascii="Cambria Math" w:eastAsia="Times New Roman" w:hAnsi="Cambria Math"/>
                <w:color w:val="000000"/>
              </w:rPr>
              <m:t>Π</m:t>
            </m:r>
            <m:ctrlPr>
              <w:rPr>
                <w:rFonts w:ascii="Cambria Math" w:eastAsia="Times New Roman" w:hAnsi="Cambria Math"/>
                <w:color w:val="000000"/>
              </w:rPr>
            </m:ctrlPr>
          </m:e>
          <m:sub>
            <m:r>
              <w:rPr>
                <w:rFonts w:ascii="Cambria Math" w:eastAsia="Times New Roman" w:hAnsi="Cambria Math"/>
                <w:color w:val="000000"/>
              </w:rPr>
              <m:t>t-</m:t>
            </m:r>
            <m:r>
              <w:rPr>
                <w:rFonts w:ascii="Cambria Math" w:eastAsia="Times New Roman"/>
                <w:color w:val="000000"/>
              </w:rPr>
              <m:t>1</m:t>
            </m:r>
          </m:sub>
        </m:sSub>
      </m:oMath>
      <w:r w:rsidRPr="000E6DB2">
        <w:rPr>
          <w:rFonts w:eastAsia="GungsuhChe"/>
          <w:color w:val="000000"/>
        </w:rPr>
        <w:t>)</w:t>
      </w:r>
      <w:r>
        <w:rPr>
          <w:rFonts w:eastAsia="GungsuhChe"/>
          <w:color w:val="000000"/>
        </w:rPr>
        <w:t xml:space="preserve"> à fusão</w:t>
      </w:r>
      <w:r>
        <w:rPr>
          <w:rFonts w:eastAsia="GungsuhChe"/>
        </w:rPr>
        <w:t xml:space="preserve">. </w:t>
      </w:r>
      <w:r w:rsidRPr="004232E5">
        <w:rPr>
          <w:rFonts w:eastAsia="GungsuhChe"/>
        </w:rPr>
        <w:t>Na T</w:t>
      </w:r>
      <w:r>
        <w:rPr>
          <w:rFonts w:eastAsia="GungsuhChe"/>
        </w:rPr>
        <w:t>abela 7</w:t>
      </w:r>
      <w:r w:rsidRPr="004232E5">
        <w:rPr>
          <w:rFonts w:eastAsia="GungsuhChe"/>
        </w:rPr>
        <w:t xml:space="preserve">, estão os resultados </w:t>
      </w:r>
      <w:r>
        <w:rPr>
          <w:rFonts w:eastAsia="GungsuhChe"/>
        </w:rPr>
        <w:t xml:space="preserve">da regressão para as firmas </w:t>
      </w:r>
      <w:proofErr w:type="spellStart"/>
      <w:r w:rsidRPr="004232E5">
        <w:rPr>
          <w:rFonts w:eastAsia="GungsuhChe"/>
        </w:rPr>
        <w:t>firmas</w:t>
      </w:r>
      <w:r>
        <w:rPr>
          <w:rFonts w:eastAsia="GungsuhChe"/>
        </w:rPr>
        <w:t>e</w:t>
      </w:r>
      <w:proofErr w:type="spellEnd"/>
      <w:r>
        <w:rPr>
          <w:rFonts w:eastAsia="GungsuhChe"/>
        </w:rPr>
        <w:t xml:space="preserve"> fusionadas </w:t>
      </w:r>
      <w:r w:rsidRPr="004232E5">
        <w:rPr>
          <w:rFonts w:eastAsia="GungsuhChe"/>
        </w:rPr>
        <w:t xml:space="preserve">rivais para </w:t>
      </w:r>
      <w:proofErr w:type="gramStart"/>
      <w:r w:rsidRPr="004232E5">
        <w:rPr>
          <w:rFonts w:eastAsia="GungsuhChe"/>
        </w:rPr>
        <w:t>a janelas</w:t>
      </w:r>
      <w:proofErr w:type="gramEnd"/>
      <w:r w:rsidRPr="004232E5">
        <w:rPr>
          <w:rFonts w:eastAsia="GungsuhChe"/>
        </w:rPr>
        <w:t xml:space="preserve"> de evento</w:t>
      </w:r>
      <w:r>
        <w:rPr>
          <w:rFonts w:eastAsia="GungsuhChe"/>
        </w:rPr>
        <w:t xml:space="preserve"> 10 trimestres posteriores à fusão</w:t>
      </w:r>
      <w:r w:rsidRPr="004232E5">
        <w:rPr>
          <w:rFonts w:eastAsia="GungsuhChe"/>
        </w:rPr>
        <w:t xml:space="preserve">. </w:t>
      </w:r>
    </w:p>
    <w:p w:rsidR="00455DEE" w:rsidRDefault="00455DEE" w:rsidP="00FA5866">
      <w:pPr>
        <w:spacing w:after="0" w:line="240" w:lineRule="auto"/>
        <w:ind w:firstLine="720"/>
        <w:rPr>
          <w:rFonts w:eastAsia="GungsuhChe"/>
        </w:rPr>
      </w:pPr>
      <w:r>
        <w:rPr>
          <w:rFonts w:eastAsia="GungsuhChe"/>
        </w:rPr>
        <w:t xml:space="preserve">Os resultados pouco evidentes para as firmas fusionadas motivaram maiores investigações sobre as reações apresentadas pelas empresas rivais. </w:t>
      </w:r>
      <w:proofErr w:type="gramStart"/>
      <w:r>
        <w:rPr>
          <w:rFonts w:eastAsia="GungsuhChe"/>
        </w:rPr>
        <w:t>Formulou-se</w:t>
      </w:r>
      <w:proofErr w:type="gramEnd"/>
      <w:r>
        <w:rPr>
          <w:rFonts w:eastAsia="GungsuhChe"/>
        </w:rPr>
        <w:t xml:space="preserve"> então as seguintes perguntas: o mercado financeiro responderia de maneira diferente às fusões pró e anticompetitivas? Haveria diferença quanto à capacidade de antecipar os efeitos na lucratividade pós-fusão nas duas amostras? </w:t>
      </w:r>
    </w:p>
    <w:p w:rsidR="00455DEE" w:rsidRDefault="00455DEE" w:rsidP="00FA5866">
      <w:pPr>
        <w:spacing w:after="0" w:line="240" w:lineRule="auto"/>
        <w:ind w:firstLine="720"/>
        <w:rPr>
          <w:rFonts w:eastAsia="GungsuhChe"/>
        </w:rPr>
      </w:pPr>
      <w:r>
        <w:rPr>
          <w:rFonts w:eastAsia="GungsuhChe"/>
        </w:rPr>
        <w:t>Para responder a essas perguntas,</w:t>
      </w:r>
      <w:r w:rsidR="00A83548">
        <w:rPr>
          <w:rFonts w:eastAsia="GungsuhChe"/>
        </w:rPr>
        <w:t xml:space="preserve"> </w:t>
      </w:r>
      <w:r>
        <w:rPr>
          <w:rFonts w:eastAsia="GungsuhChe"/>
        </w:rPr>
        <w:t>utilizou-se o critério abordado pelo modelo de Motta (2004</w:t>
      </w:r>
      <w:proofErr w:type="gramStart"/>
      <w:r>
        <w:rPr>
          <w:rFonts w:eastAsia="GungsuhChe"/>
        </w:rPr>
        <w:t>),</w:t>
      </w:r>
      <w:proofErr w:type="gramEnd"/>
      <w:r>
        <w:rPr>
          <w:rFonts w:eastAsia="GungsuhChe"/>
        </w:rPr>
        <w:t>dividindo-se a amostra e definindo como não competitivas as fusões em que, em média, as firmas rivais apresentaram retornos anormais acumulados positivos (ou seja, nas fusões em que havia indícios de que as firmas rivais poderiam se beneficiar do aumento de poder de mercado das firmas fusionadas). De forma análoga, as fusões competitivas foram definidas como aquelas em que as firmas rivais apresentaram retornos anormais não positivos.</w:t>
      </w:r>
    </w:p>
    <w:p w:rsidR="00A83548" w:rsidRDefault="00A83548" w:rsidP="00FA5866">
      <w:pPr>
        <w:pStyle w:val="Legenda"/>
        <w:keepNext/>
        <w:spacing w:after="0"/>
        <w:ind w:firstLine="0"/>
        <w:rPr>
          <w:b w:val="0"/>
          <w:color w:val="auto"/>
          <w:sz w:val="24"/>
          <w:szCs w:val="24"/>
        </w:rPr>
      </w:pPr>
      <w:bookmarkStart w:id="13" w:name="_Toc379458538"/>
    </w:p>
    <w:p w:rsidR="00455DEE" w:rsidRDefault="00455DEE" w:rsidP="00FA5866">
      <w:pPr>
        <w:pStyle w:val="Legenda"/>
        <w:keepNext/>
        <w:spacing w:after="0"/>
        <w:ind w:firstLine="0"/>
        <w:rPr>
          <w:b w:val="0"/>
          <w:color w:val="auto"/>
          <w:sz w:val="24"/>
          <w:szCs w:val="24"/>
        </w:rPr>
      </w:pPr>
      <w:r w:rsidRPr="004232E5">
        <w:rPr>
          <w:b w:val="0"/>
          <w:color w:val="auto"/>
          <w:sz w:val="24"/>
          <w:szCs w:val="24"/>
        </w:rPr>
        <w:t xml:space="preserve">Tabela </w:t>
      </w:r>
      <w:r>
        <w:rPr>
          <w:b w:val="0"/>
          <w:color w:val="auto"/>
          <w:sz w:val="24"/>
          <w:szCs w:val="24"/>
        </w:rPr>
        <w:t>7</w:t>
      </w:r>
      <w:r w:rsidRPr="004232E5">
        <w:rPr>
          <w:b w:val="0"/>
          <w:color w:val="auto"/>
          <w:sz w:val="24"/>
          <w:szCs w:val="24"/>
        </w:rPr>
        <w:t>: Result</w:t>
      </w:r>
      <w:r w:rsidRPr="007F3E97">
        <w:rPr>
          <w:b w:val="0"/>
          <w:color w:val="auto"/>
          <w:sz w:val="24"/>
          <w:szCs w:val="24"/>
        </w:rPr>
        <w:t xml:space="preserve">ados da regressão </w:t>
      </w:r>
      <w:bookmarkEnd w:id="13"/>
    </w:p>
    <w:tbl>
      <w:tblPr>
        <w:tblW w:w="5000" w:type="pct"/>
        <w:tblLook w:val="04A0"/>
      </w:tblPr>
      <w:tblGrid>
        <w:gridCol w:w="2130"/>
        <w:gridCol w:w="2813"/>
        <w:gridCol w:w="1313"/>
        <w:gridCol w:w="1313"/>
        <w:gridCol w:w="1413"/>
        <w:gridCol w:w="1438"/>
      </w:tblGrid>
      <w:tr w:rsidR="00455DEE" w:rsidRPr="000A35EF" w:rsidTr="00455DEE">
        <w:trPr>
          <w:trHeight w:val="280"/>
        </w:trPr>
        <w:tc>
          <w:tcPr>
            <w:tcW w:w="1022" w:type="pct"/>
            <w:tcBorders>
              <w:top w:val="single" w:sz="4" w:space="0" w:color="auto"/>
              <w:left w:val="nil"/>
              <w:bottom w:val="nil"/>
              <w:right w:val="nil"/>
            </w:tcBorders>
            <w:shd w:val="clear" w:color="auto" w:fill="auto"/>
            <w:noWrap/>
            <w:vAlign w:val="bottom"/>
            <w:hideMark/>
          </w:tcPr>
          <w:p w:rsidR="00455DEE" w:rsidRPr="000A35EF" w:rsidRDefault="00455DEE" w:rsidP="00FA5866">
            <w:pPr>
              <w:spacing w:after="0" w:line="240" w:lineRule="auto"/>
              <w:ind w:firstLine="0"/>
              <w:jc w:val="left"/>
              <w:rPr>
                <w:rFonts w:ascii="Calibri" w:eastAsia="Times New Roman" w:hAnsi="Calibri"/>
                <w:color w:val="000000"/>
                <w:sz w:val="22"/>
                <w:szCs w:val="22"/>
              </w:rPr>
            </w:pPr>
          </w:p>
        </w:tc>
        <w:tc>
          <w:tcPr>
            <w:tcW w:w="1350" w:type="pct"/>
            <w:vMerge w:val="restart"/>
            <w:tcBorders>
              <w:top w:val="single" w:sz="4" w:space="0" w:color="auto"/>
              <w:left w:val="nil"/>
              <w:right w:val="nil"/>
            </w:tcBorders>
            <w:shd w:val="clear" w:color="auto" w:fill="auto"/>
            <w:noWrap/>
            <w:vAlign w:val="center"/>
            <w:hideMark/>
          </w:tcPr>
          <w:p w:rsidR="00455DEE" w:rsidRPr="00FB1F53" w:rsidRDefault="00455DEE" w:rsidP="00FA5866">
            <w:pPr>
              <w:spacing w:after="0" w:line="240" w:lineRule="auto"/>
              <w:ind w:firstLine="0"/>
              <w:jc w:val="center"/>
              <w:rPr>
                <w:rFonts w:eastAsia="Times New Roman"/>
                <w:color w:val="000000"/>
                <w:lang w:val="en-US"/>
              </w:rPr>
            </w:pPr>
            <w:proofErr w:type="spellStart"/>
            <w:r w:rsidRPr="00FB1F53">
              <w:rPr>
                <w:rFonts w:eastAsia="Times New Roman"/>
                <w:color w:val="000000"/>
                <w:lang w:val="en-US"/>
              </w:rPr>
              <w:t>Rivais</w:t>
            </w:r>
            <w:proofErr w:type="spellEnd"/>
          </w:p>
        </w:tc>
        <w:tc>
          <w:tcPr>
            <w:tcW w:w="2628" w:type="pct"/>
            <w:gridSpan w:val="4"/>
            <w:vMerge w:val="restart"/>
            <w:tcBorders>
              <w:top w:val="single" w:sz="4" w:space="0" w:color="auto"/>
              <w:left w:val="nil"/>
            </w:tcBorders>
            <w:shd w:val="clear" w:color="auto" w:fill="auto"/>
            <w:noWrap/>
            <w:vAlign w:val="bottom"/>
            <w:hideMark/>
          </w:tcPr>
          <w:p w:rsidR="00455DEE" w:rsidRPr="000A35EF" w:rsidRDefault="00455DEE" w:rsidP="00FA5866">
            <w:pPr>
              <w:spacing w:after="0" w:line="240" w:lineRule="auto"/>
              <w:jc w:val="center"/>
              <w:rPr>
                <w:rFonts w:ascii="Calibri" w:eastAsia="Times New Roman" w:hAnsi="Calibri"/>
                <w:color w:val="000000"/>
                <w:sz w:val="22"/>
                <w:szCs w:val="22"/>
                <w:lang w:val="en-US"/>
              </w:rPr>
            </w:pPr>
            <w:proofErr w:type="spellStart"/>
            <w:r w:rsidRPr="000A35EF">
              <w:rPr>
                <w:rFonts w:eastAsia="Times New Roman"/>
                <w:color w:val="000000"/>
                <w:sz w:val="20"/>
                <w:szCs w:val="20"/>
                <w:lang w:val="en-US"/>
              </w:rPr>
              <w:t>Variáveis</w:t>
            </w:r>
            <w:proofErr w:type="spellEnd"/>
            <w:r>
              <w:rPr>
                <w:rFonts w:eastAsia="Times New Roman"/>
                <w:color w:val="000000"/>
                <w:sz w:val="20"/>
                <w:szCs w:val="20"/>
                <w:lang w:val="en-US"/>
              </w:rPr>
              <w:t xml:space="preserve"> </w:t>
            </w:r>
            <w:proofErr w:type="spellStart"/>
            <w:r w:rsidRPr="000A35EF">
              <w:rPr>
                <w:rFonts w:eastAsia="Times New Roman"/>
                <w:color w:val="000000"/>
                <w:sz w:val="20"/>
                <w:szCs w:val="20"/>
                <w:lang w:val="en-US"/>
              </w:rPr>
              <w:t>Dependentes</w:t>
            </w:r>
            <w:proofErr w:type="spellEnd"/>
          </w:p>
        </w:tc>
      </w:tr>
      <w:tr w:rsidR="00455DEE" w:rsidRPr="000A35EF" w:rsidTr="00455DEE">
        <w:trPr>
          <w:trHeight w:val="300"/>
        </w:trPr>
        <w:tc>
          <w:tcPr>
            <w:tcW w:w="1022" w:type="pct"/>
            <w:tcBorders>
              <w:top w:val="nil"/>
              <w:left w:val="nil"/>
              <w:bottom w:val="nil"/>
              <w:right w:val="nil"/>
            </w:tcBorders>
            <w:shd w:val="clear" w:color="auto" w:fill="auto"/>
            <w:noWrap/>
            <w:vAlign w:val="bottom"/>
            <w:hideMark/>
          </w:tcPr>
          <w:p w:rsidR="00455DEE" w:rsidRPr="000A35EF" w:rsidRDefault="00455DEE" w:rsidP="00FA5866">
            <w:pPr>
              <w:spacing w:after="0" w:line="240" w:lineRule="auto"/>
              <w:ind w:firstLine="0"/>
              <w:jc w:val="left"/>
              <w:rPr>
                <w:rFonts w:ascii="Calibri" w:eastAsia="Times New Roman" w:hAnsi="Calibri"/>
                <w:color w:val="000000"/>
                <w:sz w:val="22"/>
                <w:szCs w:val="22"/>
                <w:lang w:val="en-US"/>
              </w:rPr>
            </w:pPr>
          </w:p>
        </w:tc>
        <w:tc>
          <w:tcPr>
            <w:tcW w:w="1350" w:type="pct"/>
            <w:vMerge/>
            <w:tcBorders>
              <w:left w:val="nil"/>
              <w:bottom w:val="nil"/>
              <w:right w:val="nil"/>
            </w:tcBorders>
            <w:shd w:val="clear" w:color="auto" w:fill="auto"/>
            <w:noWrap/>
            <w:vAlign w:val="bottom"/>
            <w:hideMark/>
          </w:tcPr>
          <w:p w:rsidR="00455DEE" w:rsidRPr="000A35EF" w:rsidRDefault="00455DEE" w:rsidP="00FA5866">
            <w:pPr>
              <w:spacing w:after="0" w:line="240" w:lineRule="auto"/>
              <w:ind w:firstLine="0"/>
              <w:jc w:val="left"/>
              <w:rPr>
                <w:rFonts w:ascii="Calibri" w:eastAsia="Times New Roman" w:hAnsi="Calibri"/>
                <w:color w:val="000000"/>
                <w:sz w:val="20"/>
                <w:szCs w:val="20"/>
                <w:lang w:val="en-US"/>
              </w:rPr>
            </w:pPr>
          </w:p>
        </w:tc>
        <w:tc>
          <w:tcPr>
            <w:tcW w:w="2628" w:type="pct"/>
            <w:gridSpan w:val="4"/>
            <w:vMerge/>
            <w:tcBorders>
              <w:left w:val="nil"/>
              <w:bottom w:val="nil"/>
            </w:tcBorders>
            <w:shd w:val="clear" w:color="auto" w:fill="auto"/>
            <w:noWrap/>
            <w:vAlign w:val="center"/>
            <w:hideMark/>
          </w:tcPr>
          <w:p w:rsidR="00455DEE" w:rsidRPr="000A35EF" w:rsidRDefault="00455DEE" w:rsidP="00FA5866">
            <w:pPr>
              <w:spacing w:after="0" w:line="240" w:lineRule="auto"/>
              <w:ind w:firstLine="0"/>
              <w:jc w:val="center"/>
              <w:rPr>
                <w:rFonts w:eastAsia="Times New Roman"/>
                <w:color w:val="000000"/>
                <w:sz w:val="20"/>
                <w:szCs w:val="20"/>
                <w:lang w:val="en-US"/>
              </w:rPr>
            </w:pPr>
          </w:p>
        </w:tc>
      </w:tr>
      <w:tr w:rsidR="00455DEE" w:rsidRPr="000A35EF" w:rsidTr="00455DEE">
        <w:trPr>
          <w:trHeight w:val="300"/>
        </w:trPr>
        <w:tc>
          <w:tcPr>
            <w:tcW w:w="1022" w:type="pct"/>
            <w:tcBorders>
              <w:top w:val="single" w:sz="4" w:space="0" w:color="auto"/>
              <w:left w:val="nil"/>
              <w:right w:val="nil"/>
            </w:tcBorders>
            <w:shd w:val="clear" w:color="auto" w:fill="auto"/>
            <w:noWrap/>
            <w:vAlign w:val="center"/>
            <w:hideMark/>
          </w:tcPr>
          <w:p w:rsidR="00455DEE" w:rsidRPr="000A35EF" w:rsidRDefault="00455DEE" w:rsidP="00FA5866">
            <w:pPr>
              <w:spacing w:after="0" w:line="240" w:lineRule="auto"/>
              <w:ind w:firstLine="0"/>
              <w:jc w:val="center"/>
              <w:rPr>
                <w:rFonts w:eastAsia="Times New Roman"/>
                <w:color w:val="000000"/>
                <w:sz w:val="20"/>
                <w:szCs w:val="20"/>
                <w:lang w:val="en-US"/>
              </w:rPr>
            </w:pPr>
            <w:r w:rsidRPr="000A35EF">
              <w:rPr>
                <w:rFonts w:eastAsia="Times New Roman"/>
                <w:color w:val="000000"/>
                <w:sz w:val="20"/>
                <w:szCs w:val="20"/>
                <w:lang w:val="en-US"/>
              </w:rPr>
              <w:t> </w:t>
            </w:r>
          </w:p>
        </w:tc>
        <w:tc>
          <w:tcPr>
            <w:tcW w:w="1350" w:type="pct"/>
            <w:tcBorders>
              <w:top w:val="single" w:sz="4" w:space="0" w:color="auto"/>
              <w:left w:val="nil"/>
              <w:right w:val="nil"/>
            </w:tcBorders>
            <w:shd w:val="clear" w:color="auto" w:fill="auto"/>
            <w:noWrap/>
            <w:vAlign w:val="center"/>
            <w:hideMark/>
          </w:tcPr>
          <w:p w:rsidR="00455DEE" w:rsidRPr="000A35EF" w:rsidRDefault="00455DEE" w:rsidP="00FA5866">
            <w:pPr>
              <w:spacing w:after="0" w:line="240" w:lineRule="auto"/>
              <w:ind w:firstLine="0"/>
              <w:jc w:val="center"/>
              <w:rPr>
                <w:rFonts w:eastAsia="Times New Roman"/>
                <w:color w:val="000000"/>
                <w:sz w:val="20"/>
                <w:szCs w:val="20"/>
                <w:lang w:val="en-US"/>
              </w:rPr>
            </w:pPr>
            <w:r w:rsidRPr="000A35EF">
              <w:rPr>
                <w:rFonts w:eastAsia="Times New Roman"/>
                <w:color w:val="000000"/>
                <w:sz w:val="20"/>
                <w:szCs w:val="20"/>
                <w:lang w:val="en-US"/>
              </w:rPr>
              <w:t> </w:t>
            </w:r>
          </w:p>
        </w:tc>
        <w:tc>
          <w:tcPr>
            <w:tcW w:w="630" w:type="pct"/>
            <w:tcBorders>
              <w:top w:val="single" w:sz="4" w:space="0" w:color="auto"/>
              <w:left w:val="nil"/>
              <w:bottom w:val="nil"/>
              <w:right w:val="nil"/>
            </w:tcBorders>
            <w:shd w:val="clear" w:color="auto" w:fill="auto"/>
            <w:noWrap/>
            <w:vAlign w:val="bottom"/>
            <w:hideMark/>
          </w:tcPr>
          <w:p w:rsidR="00455DEE" w:rsidRPr="000A35EF" w:rsidRDefault="00455DEE" w:rsidP="00FA5866">
            <w:pPr>
              <w:spacing w:after="0" w:line="240" w:lineRule="auto"/>
              <w:ind w:firstLine="0"/>
              <w:jc w:val="center"/>
              <w:rPr>
                <w:rFonts w:eastAsia="Times New Roman"/>
                <w:b/>
                <w:bCs/>
                <w:color w:val="000000"/>
                <w:sz w:val="20"/>
                <w:szCs w:val="20"/>
                <w:lang w:val="en-US"/>
              </w:rPr>
            </w:pPr>
            <w:r w:rsidRPr="000A35EF">
              <w:rPr>
                <w:rFonts w:eastAsia="Times New Roman"/>
                <w:b/>
                <w:bCs/>
                <w:color w:val="000000"/>
                <w:sz w:val="20"/>
                <w:szCs w:val="20"/>
                <w:lang w:val="en-US"/>
              </w:rPr>
              <w:t>CAR (2,2)</w:t>
            </w:r>
          </w:p>
        </w:tc>
        <w:tc>
          <w:tcPr>
            <w:tcW w:w="630" w:type="pct"/>
            <w:tcBorders>
              <w:top w:val="single" w:sz="4" w:space="0" w:color="auto"/>
              <w:left w:val="nil"/>
              <w:bottom w:val="nil"/>
              <w:right w:val="nil"/>
            </w:tcBorders>
            <w:shd w:val="clear" w:color="auto" w:fill="auto"/>
            <w:noWrap/>
            <w:vAlign w:val="bottom"/>
            <w:hideMark/>
          </w:tcPr>
          <w:p w:rsidR="00455DEE" w:rsidRPr="000A35EF" w:rsidRDefault="00455DEE" w:rsidP="00FA5866">
            <w:pPr>
              <w:spacing w:after="0" w:line="240" w:lineRule="auto"/>
              <w:ind w:firstLine="0"/>
              <w:jc w:val="center"/>
              <w:rPr>
                <w:rFonts w:eastAsia="Times New Roman"/>
                <w:b/>
                <w:bCs/>
                <w:color w:val="000000"/>
                <w:sz w:val="20"/>
                <w:szCs w:val="20"/>
                <w:lang w:val="en-US"/>
              </w:rPr>
            </w:pPr>
            <w:r w:rsidRPr="000A35EF">
              <w:rPr>
                <w:rFonts w:eastAsia="Times New Roman"/>
                <w:b/>
                <w:bCs/>
                <w:color w:val="000000"/>
                <w:sz w:val="20"/>
                <w:szCs w:val="20"/>
                <w:lang w:val="en-US"/>
              </w:rPr>
              <w:t>CAR (5,5)</w:t>
            </w:r>
          </w:p>
        </w:tc>
        <w:tc>
          <w:tcPr>
            <w:tcW w:w="678" w:type="pct"/>
            <w:tcBorders>
              <w:top w:val="single" w:sz="4" w:space="0" w:color="auto"/>
              <w:left w:val="nil"/>
              <w:bottom w:val="nil"/>
              <w:right w:val="nil"/>
            </w:tcBorders>
            <w:shd w:val="clear" w:color="auto" w:fill="auto"/>
            <w:noWrap/>
            <w:vAlign w:val="bottom"/>
            <w:hideMark/>
          </w:tcPr>
          <w:p w:rsidR="00455DEE" w:rsidRPr="000A35EF" w:rsidRDefault="00455DEE" w:rsidP="00FA5866">
            <w:pPr>
              <w:spacing w:after="0" w:line="240" w:lineRule="auto"/>
              <w:ind w:firstLine="0"/>
              <w:jc w:val="center"/>
              <w:rPr>
                <w:rFonts w:eastAsia="Times New Roman"/>
                <w:b/>
                <w:bCs/>
                <w:color w:val="000000"/>
                <w:sz w:val="20"/>
                <w:szCs w:val="20"/>
                <w:lang w:val="en-US"/>
              </w:rPr>
            </w:pPr>
            <w:r w:rsidRPr="000A35EF">
              <w:rPr>
                <w:rFonts w:eastAsia="Times New Roman"/>
                <w:b/>
                <w:bCs/>
                <w:color w:val="000000"/>
                <w:sz w:val="20"/>
                <w:szCs w:val="20"/>
                <w:lang w:val="en-US"/>
              </w:rPr>
              <w:t>CAR (25,5)</w:t>
            </w:r>
          </w:p>
        </w:tc>
        <w:tc>
          <w:tcPr>
            <w:tcW w:w="690" w:type="pct"/>
            <w:tcBorders>
              <w:top w:val="single" w:sz="4" w:space="0" w:color="auto"/>
              <w:left w:val="nil"/>
              <w:bottom w:val="nil"/>
              <w:right w:val="nil"/>
            </w:tcBorders>
            <w:shd w:val="clear" w:color="auto" w:fill="auto"/>
            <w:noWrap/>
            <w:vAlign w:val="bottom"/>
            <w:hideMark/>
          </w:tcPr>
          <w:p w:rsidR="00455DEE" w:rsidRPr="000A35EF" w:rsidRDefault="00455DEE" w:rsidP="00FA5866">
            <w:pPr>
              <w:spacing w:after="0" w:line="240" w:lineRule="auto"/>
              <w:ind w:firstLine="0"/>
              <w:jc w:val="center"/>
              <w:rPr>
                <w:rFonts w:eastAsia="Times New Roman"/>
                <w:b/>
                <w:bCs/>
                <w:color w:val="000000"/>
                <w:sz w:val="20"/>
                <w:szCs w:val="20"/>
                <w:lang w:val="en-US"/>
              </w:rPr>
            </w:pPr>
            <w:r w:rsidRPr="000A35EF">
              <w:rPr>
                <w:rFonts w:eastAsia="Times New Roman"/>
                <w:b/>
                <w:bCs/>
                <w:color w:val="000000"/>
                <w:sz w:val="20"/>
                <w:szCs w:val="20"/>
                <w:lang w:val="en-US"/>
              </w:rPr>
              <w:t>CAR (50,5)</w:t>
            </w:r>
          </w:p>
        </w:tc>
      </w:tr>
      <w:tr w:rsidR="00455DEE" w:rsidRPr="000A35EF" w:rsidTr="00455DEE">
        <w:trPr>
          <w:trHeight w:val="300"/>
        </w:trPr>
        <w:tc>
          <w:tcPr>
            <w:tcW w:w="1022" w:type="pct"/>
            <w:tcBorders>
              <w:top w:val="nil"/>
              <w:left w:val="nil"/>
              <w:bottom w:val="single" w:sz="4" w:space="0" w:color="auto"/>
              <w:right w:val="nil"/>
            </w:tcBorders>
            <w:shd w:val="clear" w:color="auto" w:fill="auto"/>
            <w:noWrap/>
            <w:vAlign w:val="bottom"/>
            <w:hideMark/>
          </w:tcPr>
          <w:p w:rsidR="00455DEE" w:rsidRPr="002C7A67" w:rsidRDefault="00455DEE" w:rsidP="00FA5866">
            <w:pPr>
              <w:spacing w:after="0" w:line="240" w:lineRule="auto"/>
              <w:ind w:firstLine="0"/>
              <w:jc w:val="left"/>
              <w:rPr>
                <w:rFonts w:eastAsia="Times New Roman"/>
                <w:color w:val="000000"/>
                <w:sz w:val="22"/>
                <w:szCs w:val="22"/>
                <w:lang w:val="en-US"/>
              </w:rPr>
            </w:pPr>
          </w:p>
          <w:p w:rsidR="00455DEE" w:rsidRPr="002C7A67" w:rsidRDefault="00455DEE" w:rsidP="00FA5866">
            <w:pPr>
              <w:spacing w:after="0" w:line="240" w:lineRule="auto"/>
              <w:ind w:firstLine="0"/>
              <w:jc w:val="left"/>
              <w:rPr>
                <w:rFonts w:eastAsia="Times New Roman"/>
                <w:color w:val="000000"/>
                <w:sz w:val="22"/>
                <w:szCs w:val="22"/>
                <w:lang w:val="en-US"/>
              </w:rPr>
            </w:pPr>
            <w:proofErr w:type="spellStart"/>
            <w:r w:rsidRPr="002C7A67">
              <w:rPr>
                <w:rFonts w:eastAsia="Times New Roman"/>
                <w:color w:val="000000"/>
                <w:sz w:val="22"/>
                <w:szCs w:val="22"/>
                <w:lang w:val="en-US"/>
              </w:rPr>
              <w:t>Amostra</w:t>
            </w:r>
            <w:proofErr w:type="spellEnd"/>
          </w:p>
        </w:tc>
        <w:tc>
          <w:tcPr>
            <w:tcW w:w="1350" w:type="pct"/>
            <w:tcBorders>
              <w:top w:val="nil"/>
              <w:left w:val="nil"/>
              <w:bottom w:val="single" w:sz="4" w:space="0" w:color="auto"/>
              <w:right w:val="nil"/>
            </w:tcBorders>
            <w:shd w:val="clear" w:color="auto" w:fill="auto"/>
            <w:noWrap/>
            <w:vAlign w:val="center"/>
            <w:hideMark/>
          </w:tcPr>
          <w:p w:rsidR="00455DEE" w:rsidRPr="000A35EF" w:rsidRDefault="00455DEE" w:rsidP="00FA5866">
            <w:pPr>
              <w:spacing w:after="0" w:line="240" w:lineRule="auto"/>
              <w:ind w:firstLine="0"/>
              <w:jc w:val="center"/>
              <w:rPr>
                <w:rFonts w:eastAsia="Times New Roman"/>
                <w:color w:val="000000"/>
                <w:sz w:val="20"/>
                <w:szCs w:val="20"/>
                <w:lang w:val="en-US"/>
              </w:rPr>
            </w:pPr>
            <w:proofErr w:type="spellStart"/>
            <w:r>
              <w:rPr>
                <w:rFonts w:eastAsia="Times New Roman"/>
                <w:color w:val="000000"/>
                <w:sz w:val="20"/>
                <w:szCs w:val="20"/>
                <w:lang w:val="en-US"/>
              </w:rPr>
              <w:t>Variáveis</w:t>
            </w:r>
            <w:proofErr w:type="spellEnd"/>
          </w:p>
        </w:tc>
        <w:tc>
          <w:tcPr>
            <w:tcW w:w="630" w:type="pct"/>
            <w:tcBorders>
              <w:top w:val="nil"/>
              <w:left w:val="nil"/>
              <w:bottom w:val="single" w:sz="4" w:space="0" w:color="auto"/>
              <w:right w:val="nil"/>
            </w:tcBorders>
            <w:shd w:val="clear" w:color="auto" w:fill="auto"/>
            <w:noWrap/>
            <w:vAlign w:val="center"/>
            <w:hideMark/>
          </w:tcPr>
          <w:p w:rsidR="00455DEE" w:rsidRPr="000A35EF" w:rsidRDefault="00455DEE" w:rsidP="00FA5866">
            <w:pPr>
              <w:spacing w:after="0" w:line="240" w:lineRule="auto"/>
              <w:ind w:firstLine="0"/>
              <w:jc w:val="center"/>
              <w:rPr>
                <w:rFonts w:eastAsia="Times New Roman"/>
                <w:b/>
                <w:bCs/>
                <w:color w:val="000000"/>
                <w:sz w:val="20"/>
                <w:szCs w:val="20"/>
                <w:lang w:val="en-US"/>
              </w:rPr>
            </w:pPr>
            <w:r w:rsidRPr="000A35EF">
              <w:rPr>
                <w:rFonts w:eastAsia="Times New Roman"/>
                <w:b/>
                <w:bCs/>
                <w:color w:val="000000"/>
                <w:sz w:val="20"/>
                <w:szCs w:val="20"/>
                <w:lang w:val="en-US"/>
              </w:rPr>
              <w:t> </w:t>
            </w:r>
          </w:p>
        </w:tc>
        <w:tc>
          <w:tcPr>
            <w:tcW w:w="630" w:type="pct"/>
            <w:tcBorders>
              <w:top w:val="nil"/>
              <w:left w:val="nil"/>
              <w:bottom w:val="single" w:sz="4" w:space="0" w:color="auto"/>
              <w:right w:val="nil"/>
            </w:tcBorders>
            <w:shd w:val="clear" w:color="auto" w:fill="auto"/>
            <w:noWrap/>
            <w:vAlign w:val="center"/>
            <w:hideMark/>
          </w:tcPr>
          <w:p w:rsidR="00455DEE" w:rsidRPr="000A35EF" w:rsidRDefault="00455DEE" w:rsidP="00FA5866">
            <w:pPr>
              <w:spacing w:after="0" w:line="240" w:lineRule="auto"/>
              <w:ind w:firstLine="0"/>
              <w:jc w:val="center"/>
              <w:rPr>
                <w:rFonts w:eastAsia="Times New Roman"/>
                <w:b/>
                <w:bCs/>
                <w:color w:val="000000"/>
                <w:sz w:val="20"/>
                <w:szCs w:val="20"/>
                <w:lang w:val="en-US"/>
              </w:rPr>
            </w:pPr>
            <w:r w:rsidRPr="000A35EF">
              <w:rPr>
                <w:rFonts w:eastAsia="Times New Roman"/>
                <w:b/>
                <w:bCs/>
                <w:color w:val="000000"/>
                <w:sz w:val="20"/>
                <w:szCs w:val="20"/>
                <w:lang w:val="en-US"/>
              </w:rPr>
              <w:t> </w:t>
            </w:r>
          </w:p>
        </w:tc>
        <w:tc>
          <w:tcPr>
            <w:tcW w:w="678" w:type="pct"/>
            <w:tcBorders>
              <w:top w:val="nil"/>
              <w:left w:val="nil"/>
              <w:bottom w:val="single" w:sz="4" w:space="0" w:color="auto"/>
              <w:right w:val="nil"/>
            </w:tcBorders>
            <w:shd w:val="clear" w:color="auto" w:fill="auto"/>
            <w:noWrap/>
            <w:vAlign w:val="center"/>
            <w:hideMark/>
          </w:tcPr>
          <w:p w:rsidR="00455DEE" w:rsidRPr="000A35EF" w:rsidRDefault="00455DEE" w:rsidP="00FA5866">
            <w:pPr>
              <w:spacing w:after="0" w:line="240" w:lineRule="auto"/>
              <w:ind w:firstLine="0"/>
              <w:jc w:val="center"/>
              <w:rPr>
                <w:rFonts w:eastAsia="Times New Roman"/>
                <w:b/>
                <w:bCs/>
                <w:color w:val="000000"/>
                <w:sz w:val="20"/>
                <w:szCs w:val="20"/>
                <w:lang w:val="en-US"/>
              </w:rPr>
            </w:pPr>
            <w:r w:rsidRPr="000A35EF">
              <w:rPr>
                <w:rFonts w:eastAsia="Times New Roman"/>
                <w:b/>
                <w:bCs/>
                <w:color w:val="000000"/>
                <w:sz w:val="20"/>
                <w:szCs w:val="20"/>
                <w:lang w:val="en-US"/>
              </w:rPr>
              <w:t> </w:t>
            </w:r>
          </w:p>
        </w:tc>
        <w:tc>
          <w:tcPr>
            <w:tcW w:w="690" w:type="pct"/>
            <w:tcBorders>
              <w:top w:val="nil"/>
              <w:left w:val="nil"/>
              <w:bottom w:val="single" w:sz="4" w:space="0" w:color="auto"/>
              <w:right w:val="nil"/>
            </w:tcBorders>
            <w:shd w:val="clear" w:color="auto" w:fill="auto"/>
            <w:noWrap/>
            <w:vAlign w:val="center"/>
            <w:hideMark/>
          </w:tcPr>
          <w:p w:rsidR="00455DEE" w:rsidRPr="000A35EF" w:rsidRDefault="00455DEE" w:rsidP="00FA5866">
            <w:pPr>
              <w:spacing w:after="0" w:line="240" w:lineRule="auto"/>
              <w:ind w:firstLine="0"/>
              <w:jc w:val="center"/>
              <w:rPr>
                <w:rFonts w:eastAsia="Times New Roman"/>
                <w:b/>
                <w:bCs/>
                <w:color w:val="000000"/>
                <w:sz w:val="20"/>
                <w:szCs w:val="20"/>
                <w:lang w:val="en-US"/>
              </w:rPr>
            </w:pPr>
            <w:r w:rsidRPr="000A35EF">
              <w:rPr>
                <w:rFonts w:eastAsia="Times New Roman"/>
                <w:b/>
                <w:bCs/>
                <w:color w:val="000000"/>
                <w:sz w:val="20"/>
                <w:szCs w:val="20"/>
                <w:lang w:val="en-US"/>
              </w:rPr>
              <w:t> </w:t>
            </w:r>
          </w:p>
        </w:tc>
      </w:tr>
      <w:tr w:rsidR="00455DEE" w:rsidRPr="000A35EF" w:rsidTr="00455DEE">
        <w:trPr>
          <w:trHeight w:val="300"/>
        </w:trPr>
        <w:tc>
          <w:tcPr>
            <w:tcW w:w="1022" w:type="pct"/>
            <w:tcBorders>
              <w:top w:val="single" w:sz="4" w:space="0" w:color="auto"/>
              <w:left w:val="nil"/>
              <w:bottom w:val="nil"/>
            </w:tcBorders>
            <w:shd w:val="clear" w:color="auto" w:fill="auto"/>
            <w:noWrap/>
            <w:vAlign w:val="bottom"/>
            <w:hideMark/>
          </w:tcPr>
          <w:p w:rsidR="00455DEE" w:rsidRPr="002C7A67" w:rsidRDefault="00455DEE" w:rsidP="00FA5866">
            <w:pPr>
              <w:spacing w:after="0" w:line="240" w:lineRule="auto"/>
              <w:ind w:firstLine="0"/>
              <w:jc w:val="left"/>
              <w:rPr>
                <w:rFonts w:eastAsia="Times New Roman"/>
                <w:color w:val="000000"/>
                <w:sz w:val="22"/>
                <w:szCs w:val="22"/>
                <w:lang w:val="en-US"/>
              </w:rPr>
            </w:pPr>
            <w:r w:rsidRPr="002C7A67">
              <w:rPr>
                <w:rFonts w:eastAsia="Times New Roman"/>
                <w:color w:val="000000"/>
                <w:sz w:val="22"/>
                <w:szCs w:val="22"/>
                <w:lang w:val="en-US"/>
              </w:rPr>
              <w:t>Total</w:t>
            </w:r>
          </w:p>
        </w:tc>
        <w:tc>
          <w:tcPr>
            <w:tcW w:w="1350" w:type="pct"/>
            <w:tcBorders>
              <w:top w:val="single" w:sz="4" w:space="0" w:color="auto"/>
            </w:tcBorders>
            <w:shd w:val="clear" w:color="auto" w:fill="auto"/>
            <w:noWrap/>
            <w:vAlign w:val="bottom"/>
            <w:hideMark/>
          </w:tcPr>
          <w:p w:rsidR="00455DEE" w:rsidRPr="000A35EF" w:rsidRDefault="00455DEE" w:rsidP="00FA5866">
            <w:pPr>
              <w:spacing w:after="0" w:line="240" w:lineRule="auto"/>
              <w:ind w:firstLine="0"/>
              <w:jc w:val="left"/>
              <w:rPr>
                <w:rFonts w:eastAsia="Times New Roman"/>
                <w:color w:val="000000"/>
                <w:sz w:val="20"/>
                <w:szCs w:val="20"/>
                <w:lang w:val="en-US"/>
              </w:rPr>
            </w:pPr>
            <m:oMathPara>
              <m:oMath>
                <m:r>
                  <w:rPr>
                    <w:rFonts w:ascii="Cambria Math" w:eastAsia="Times New Roman" w:hAnsi="Cambria Math"/>
                    <w:color w:val="000000"/>
                    <w:sz w:val="20"/>
                    <w:szCs w:val="20"/>
                  </w:rPr>
                  <m:t>∆</m:t>
                </m:r>
                <m:sSub>
                  <m:sSubPr>
                    <m:ctrlPr>
                      <w:rPr>
                        <w:rFonts w:ascii="Cambria Math" w:eastAsia="Times New Roman" w:hAnsi="Cambria Math"/>
                        <w:color w:val="000000"/>
                        <w:sz w:val="20"/>
                        <w:szCs w:val="20"/>
                      </w:rPr>
                    </m:ctrlPr>
                  </m:sSubPr>
                  <m:e>
                    <m:r>
                      <m:rPr>
                        <m:sty m:val="p"/>
                      </m:rPr>
                      <w:rPr>
                        <w:rFonts w:ascii="Cambria Math" w:eastAsia="Times New Roman" w:hAnsi="Cambria Math"/>
                        <w:color w:val="000000"/>
                        <w:sz w:val="20"/>
                        <w:szCs w:val="20"/>
                      </w:rPr>
                      <m:t>Π</m:t>
                    </m:r>
                    <m:ctrlPr>
                      <w:rPr>
                        <w:rFonts w:ascii="Cambria Math" w:eastAsia="Times New Roman" w:hAnsi="Cambria Math"/>
                        <w:i/>
                        <w:color w:val="000000"/>
                        <w:sz w:val="20"/>
                        <w:szCs w:val="20"/>
                      </w:rPr>
                    </m:ctrlPr>
                  </m:e>
                  <m:sub>
                    <m:r>
                      <w:rPr>
                        <w:rFonts w:ascii="Cambria Math" w:eastAsia="Times New Roman" w:hAnsi="Cambria Math"/>
                        <w:color w:val="000000"/>
                        <w:sz w:val="20"/>
                        <w:szCs w:val="20"/>
                      </w:rPr>
                      <m:t>t+</m:t>
                    </m:r>
                    <m:r>
                      <w:rPr>
                        <w:rFonts w:ascii="Cambria Math" w:eastAsia="Times New Roman"/>
                        <w:color w:val="000000"/>
                        <w:sz w:val="20"/>
                        <w:szCs w:val="20"/>
                      </w:rPr>
                      <m:t>10</m:t>
                    </m:r>
                    <m:ctrlPr>
                      <w:rPr>
                        <w:rFonts w:ascii="Cambria Math" w:eastAsia="Times New Roman" w:hAnsi="Cambria Math"/>
                        <w:i/>
                        <w:color w:val="000000"/>
                        <w:sz w:val="20"/>
                        <w:szCs w:val="20"/>
                      </w:rPr>
                    </m:ctrlPr>
                  </m:sub>
                </m:sSub>
              </m:oMath>
            </m:oMathPara>
          </w:p>
        </w:tc>
        <w:tc>
          <w:tcPr>
            <w:tcW w:w="630" w:type="pct"/>
            <w:tcBorders>
              <w:top w:val="single" w:sz="4" w:space="0" w:color="auto"/>
              <w:left w:val="nil"/>
              <w:bottom w:val="nil"/>
              <w:right w:val="nil"/>
            </w:tcBorders>
            <w:shd w:val="clear" w:color="auto" w:fill="auto"/>
            <w:noWrap/>
            <w:vAlign w:val="center"/>
            <w:hideMark/>
          </w:tcPr>
          <w:p w:rsidR="00455DEE" w:rsidRPr="000A35EF" w:rsidRDefault="00455DEE" w:rsidP="00FA5866">
            <w:pPr>
              <w:spacing w:after="0" w:line="240" w:lineRule="auto"/>
              <w:ind w:firstLine="0"/>
              <w:jc w:val="center"/>
              <w:rPr>
                <w:rFonts w:eastAsia="Times New Roman"/>
                <w:color w:val="000000"/>
                <w:sz w:val="20"/>
                <w:szCs w:val="20"/>
                <w:lang w:val="en-US"/>
              </w:rPr>
            </w:pPr>
            <w:r w:rsidRPr="000A35EF">
              <w:rPr>
                <w:rFonts w:eastAsia="Times New Roman"/>
                <w:color w:val="000000"/>
                <w:sz w:val="20"/>
                <w:szCs w:val="20"/>
                <w:lang w:val="en-US"/>
              </w:rPr>
              <w:t>-1.4994</w:t>
            </w:r>
          </w:p>
        </w:tc>
        <w:tc>
          <w:tcPr>
            <w:tcW w:w="630" w:type="pct"/>
            <w:tcBorders>
              <w:top w:val="nil"/>
              <w:left w:val="nil"/>
              <w:bottom w:val="nil"/>
              <w:right w:val="nil"/>
            </w:tcBorders>
            <w:shd w:val="clear" w:color="auto" w:fill="auto"/>
            <w:noWrap/>
            <w:vAlign w:val="center"/>
            <w:hideMark/>
          </w:tcPr>
          <w:p w:rsidR="00455DEE" w:rsidRPr="000A35EF" w:rsidRDefault="00455DEE" w:rsidP="00FA5866">
            <w:pPr>
              <w:spacing w:after="0" w:line="240" w:lineRule="auto"/>
              <w:ind w:firstLine="0"/>
              <w:jc w:val="center"/>
              <w:rPr>
                <w:rFonts w:eastAsia="Times New Roman"/>
                <w:color w:val="000000"/>
                <w:sz w:val="20"/>
                <w:szCs w:val="20"/>
                <w:lang w:val="en-US"/>
              </w:rPr>
            </w:pPr>
            <w:r w:rsidRPr="000A35EF">
              <w:rPr>
                <w:rFonts w:eastAsia="Times New Roman"/>
                <w:color w:val="000000"/>
                <w:sz w:val="20"/>
                <w:szCs w:val="20"/>
                <w:lang w:val="en-US"/>
              </w:rPr>
              <w:t>-2.0933</w:t>
            </w:r>
          </w:p>
        </w:tc>
        <w:tc>
          <w:tcPr>
            <w:tcW w:w="678" w:type="pct"/>
            <w:tcBorders>
              <w:top w:val="nil"/>
              <w:left w:val="nil"/>
              <w:bottom w:val="nil"/>
              <w:right w:val="nil"/>
            </w:tcBorders>
            <w:shd w:val="clear" w:color="auto" w:fill="auto"/>
            <w:noWrap/>
            <w:vAlign w:val="center"/>
            <w:hideMark/>
          </w:tcPr>
          <w:p w:rsidR="00455DEE" w:rsidRPr="000A35EF" w:rsidRDefault="00455DEE" w:rsidP="00FA5866">
            <w:pPr>
              <w:spacing w:after="0" w:line="240" w:lineRule="auto"/>
              <w:ind w:firstLine="0"/>
              <w:jc w:val="center"/>
              <w:rPr>
                <w:rFonts w:eastAsia="Times New Roman"/>
                <w:b/>
                <w:bCs/>
                <w:color w:val="000000"/>
                <w:sz w:val="20"/>
                <w:szCs w:val="20"/>
                <w:lang w:val="en-US"/>
              </w:rPr>
            </w:pPr>
            <w:r w:rsidRPr="000A35EF">
              <w:rPr>
                <w:rFonts w:eastAsia="Times New Roman"/>
                <w:b/>
                <w:bCs/>
                <w:color w:val="000000"/>
                <w:sz w:val="20"/>
                <w:szCs w:val="20"/>
                <w:lang w:val="en-US"/>
              </w:rPr>
              <w:t>2,632***</w:t>
            </w:r>
          </w:p>
        </w:tc>
        <w:tc>
          <w:tcPr>
            <w:tcW w:w="690" w:type="pct"/>
            <w:tcBorders>
              <w:top w:val="nil"/>
              <w:left w:val="nil"/>
              <w:bottom w:val="nil"/>
              <w:right w:val="nil"/>
            </w:tcBorders>
            <w:shd w:val="clear" w:color="auto" w:fill="auto"/>
            <w:noWrap/>
            <w:vAlign w:val="center"/>
            <w:hideMark/>
          </w:tcPr>
          <w:p w:rsidR="00455DEE" w:rsidRPr="000A35EF" w:rsidRDefault="00455DEE" w:rsidP="00FA5866">
            <w:pPr>
              <w:spacing w:after="0" w:line="240" w:lineRule="auto"/>
              <w:ind w:firstLine="0"/>
              <w:jc w:val="center"/>
              <w:rPr>
                <w:rFonts w:eastAsia="Times New Roman"/>
                <w:b/>
                <w:bCs/>
                <w:color w:val="000000"/>
                <w:sz w:val="20"/>
                <w:szCs w:val="20"/>
                <w:lang w:val="en-US"/>
              </w:rPr>
            </w:pPr>
            <w:r w:rsidRPr="000A35EF">
              <w:rPr>
                <w:rFonts w:eastAsia="Times New Roman"/>
                <w:b/>
                <w:bCs/>
                <w:color w:val="000000"/>
                <w:sz w:val="20"/>
                <w:szCs w:val="20"/>
                <w:lang w:val="en-US"/>
              </w:rPr>
              <w:t>1,7830**</w:t>
            </w:r>
          </w:p>
        </w:tc>
      </w:tr>
      <w:tr w:rsidR="00455DEE" w:rsidRPr="000A35EF" w:rsidTr="00455DEE">
        <w:trPr>
          <w:trHeight w:val="300"/>
        </w:trPr>
        <w:tc>
          <w:tcPr>
            <w:tcW w:w="1022" w:type="pct"/>
            <w:tcBorders>
              <w:top w:val="nil"/>
              <w:left w:val="nil"/>
            </w:tcBorders>
            <w:shd w:val="clear" w:color="auto" w:fill="auto"/>
            <w:noWrap/>
            <w:vAlign w:val="bottom"/>
            <w:hideMark/>
          </w:tcPr>
          <w:p w:rsidR="00455DEE" w:rsidRPr="002C7A67" w:rsidRDefault="00455DEE" w:rsidP="00FA5866">
            <w:pPr>
              <w:spacing w:after="0" w:line="240" w:lineRule="auto"/>
              <w:ind w:firstLine="0"/>
              <w:jc w:val="left"/>
              <w:rPr>
                <w:rFonts w:eastAsia="Times New Roman"/>
                <w:color w:val="000000"/>
                <w:sz w:val="22"/>
                <w:szCs w:val="22"/>
                <w:lang w:val="en-US"/>
              </w:rPr>
            </w:pPr>
          </w:p>
        </w:tc>
        <w:tc>
          <w:tcPr>
            <w:tcW w:w="1350" w:type="pct"/>
            <w:shd w:val="clear" w:color="auto" w:fill="auto"/>
            <w:noWrap/>
            <w:vAlign w:val="bottom"/>
            <w:hideMark/>
          </w:tcPr>
          <w:p w:rsidR="00455DEE" w:rsidRPr="000A35EF" w:rsidRDefault="006E76EF" w:rsidP="00FA5866">
            <w:pPr>
              <w:spacing w:after="0" w:line="240" w:lineRule="auto"/>
              <w:ind w:firstLine="0"/>
              <w:jc w:val="left"/>
              <w:rPr>
                <w:rFonts w:eastAsia="Times New Roman"/>
                <w:color w:val="000000"/>
                <w:sz w:val="20"/>
                <w:szCs w:val="20"/>
                <w:lang w:val="en-US"/>
              </w:rPr>
            </w:pPr>
            <m:oMathPara>
              <m:oMath>
                <m:sSub>
                  <m:sSubPr>
                    <m:ctrlPr>
                      <w:rPr>
                        <w:rFonts w:ascii="Cambria Math" w:eastAsia="Times New Roman" w:hAnsi="Cambria Math"/>
                        <w:i/>
                        <w:color w:val="000000"/>
                        <w:sz w:val="20"/>
                        <w:szCs w:val="20"/>
                      </w:rPr>
                    </m:ctrlPr>
                  </m:sSubPr>
                  <m:e>
                    <m:r>
                      <m:rPr>
                        <m:sty m:val="p"/>
                      </m:rPr>
                      <w:rPr>
                        <w:rFonts w:ascii="Cambria Math" w:eastAsia="Times New Roman" w:hAnsi="Cambria Math"/>
                        <w:color w:val="000000"/>
                        <w:sz w:val="20"/>
                        <w:szCs w:val="20"/>
                      </w:rPr>
                      <m:t>Π</m:t>
                    </m:r>
                    <m:ctrlPr>
                      <w:rPr>
                        <w:rFonts w:ascii="Cambria Math" w:eastAsia="Times New Roman" w:hAnsi="Cambria Math"/>
                        <w:color w:val="000000"/>
                        <w:sz w:val="20"/>
                        <w:szCs w:val="20"/>
                      </w:rPr>
                    </m:ctrlPr>
                  </m:e>
                  <m:sub>
                    <m:r>
                      <w:rPr>
                        <w:rFonts w:ascii="Cambria Math" w:eastAsia="Times New Roman" w:hAnsi="Cambria Math"/>
                        <w:color w:val="000000"/>
                        <w:sz w:val="20"/>
                        <w:szCs w:val="20"/>
                      </w:rPr>
                      <m:t>t-</m:t>
                    </m:r>
                    <m:r>
                      <w:rPr>
                        <w:rFonts w:ascii="Cambria Math" w:eastAsia="Times New Roman"/>
                        <w:color w:val="000000"/>
                        <w:sz w:val="20"/>
                        <w:szCs w:val="20"/>
                      </w:rPr>
                      <m:t>1</m:t>
                    </m:r>
                  </m:sub>
                </m:sSub>
              </m:oMath>
            </m:oMathPara>
          </w:p>
        </w:tc>
        <w:tc>
          <w:tcPr>
            <w:tcW w:w="630" w:type="pct"/>
            <w:tcBorders>
              <w:top w:val="nil"/>
              <w:left w:val="nil"/>
              <w:right w:val="nil"/>
            </w:tcBorders>
            <w:shd w:val="clear" w:color="auto" w:fill="auto"/>
            <w:noWrap/>
            <w:vAlign w:val="center"/>
            <w:hideMark/>
          </w:tcPr>
          <w:p w:rsidR="00455DEE" w:rsidRPr="000A35EF" w:rsidRDefault="00455DEE" w:rsidP="00FA5866">
            <w:pPr>
              <w:spacing w:after="0" w:line="240" w:lineRule="auto"/>
              <w:ind w:firstLine="0"/>
              <w:jc w:val="center"/>
              <w:rPr>
                <w:rFonts w:eastAsia="Times New Roman"/>
                <w:color w:val="000000"/>
                <w:sz w:val="20"/>
                <w:szCs w:val="20"/>
                <w:lang w:val="en-US"/>
              </w:rPr>
            </w:pPr>
            <w:r w:rsidRPr="000A35EF">
              <w:rPr>
                <w:rFonts w:eastAsia="Times New Roman"/>
                <w:color w:val="000000"/>
                <w:sz w:val="20"/>
                <w:szCs w:val="20"/>
                <w:lang w:val="en-US"/>
              </w:rPr>
              <w:t>-0.4349</w:t>
            </w:r>
          </w:p>
        </w:tc>
        <w:tc>
          <w:tcPr>
            <w:tcW w:w="630" w:type="pct"/>
            <w:tcBorders>
              <w:top w:val="nil"/>
              <w:left w:val="nil"/>
              <w:right w:val="nil"/>
            </w:tcBorders>
            <w:shd w:val="clear" w:color="auto" w:fill="auto"/>
            <w:noWrap/>
            <w:vAlign w:val="center"/>
            <w:hideMark/>
          </w:tcPr>
          <w:p w:rsidR="00455DEE" w:rsidRPr="000A35EF" w:rsidRDefault="00455DEE" w:rsidP="00FA5866">
            <w:pPr>
              <w:spacing w:after="0" w:line="240" w:lineRule="auto"/>
              <w:ind w:firstLine="0"/>
              <w:jc w:val="center"/>
              <w:rPr>
                <w:rFonts w:eastAsia="Times New Roman"/>
                <w:color w:val="000000"/>
                <w:sz w:val="20"/>
                <w:szCs w:val="20"/>
                <w:lang w:val="en-US"/>
              </w:rPr>
            </w:pPr>
            <w:r w:rsidRPr="000A35EF">
              <w:rPr>
                <w:rFonts w:eastAsia="Times New Roman"/>
                <w:color w:val="000000"/>
                <w:sz w:val="20"/>
                <w:szCs w:val="20"/>
                <w:lang w:val="en-US"/>
              </w:rPr>
              <w:t>-0.7353</w:t>
            </w:r>
          </w:p>
        </w:tc>
        <w:tc>
          <w:tcPr>
            <w:tcW w:w="678" w:type="pct"/>
            <w:tcBorders>
              <w:top w:val="nil"/>
              <w:left w:val="nil"/>
              <w:right w:val="nil"/>
            </w:tcBorders>
            <w:shd w:val="clear" w:color="auto" w:fill="auto"/>
            <w:noWrap/>
            <w:vAlign w:val="center"/>
            <w:hideMark/>
          </w:tcPr>
          <w:p w:rsidR="00455DEE" w:rsidRPr="000A35EF" w:rsidRDefault="00455DEE" w:rsidP="00FA5866">
            <w:pPr>
              <w:spacing w:after="0" w:line="240" w:lineRule="auto"/>
              <w:ind w:firstLine="0"/>
              <w:jc w:val="center"/>
              <w:rPr>
                <w:rFonts w:eastAsia="Times New Roman"/>
                <w:color w:val="000000"/>
                <w:sz w:val="20"/>
                <w:szCs w:val="20"/>
                <w:lang w:val="en-US"/>
              </w:rPr>
            </w:pPr>
            <w:r w:rsidRPr="000A35EF">
              <w:rPr>
                <w:rFonts w:eastAsia="Times New Roman"/>
                <w:color w:val="000000"/>
                <w:sz w:val="20"/>
                <w:szCs w:val="20"/>
                <w:lang w:val="en-US"/>
              </w:rPr>
              <w:t>1.2309</w:t>
            </w:r>
          </w:p>
        </w:tc>
        <w:tc>
          <w:tcPr>
            <w:tcW w:w="690" w:type="pct"/>
            <w:tcBorders>
              <w:top w:val="nil"/>
              <w:left w:val="nil"/>
              <w:right w:val="nil"/>
            </w:tcBorders>
            <w:shd w:val="clear" w:color="auto" w:fill="auto"/>
            <w:noWrap/>
            <w:vAlign w:val="center"/>
            <w:hideMark/>
          </w:tcPr>
          <w:p w:rsidR="00455DEE" w:rsidRPr="000A35EF" w:rsidRDefault="00455DEE" w:rsidP="00FA5866">
            <w:pPr>
              <w:spacing w:after="0" w:line="240" w:lineRule="auto"/>
              <w:ind w:firstLine="0"/>
              <w:jc w:val="center"/>
              <w:rPr>
                <w:rFonts w:eastAsia="Times New Roman"/>
                <w:color w:val="000000"/>
                <w:sz w:val="20"/>
                <w:szCs w:val="20"/>
                <w:lang w:val="en-US"/>
              </w:rPr>
            </w:pPr>
            <w:r w:rsidRPr="000A35EF">
              <w:rPr>
                <w:rFonts w:eastAsia="Times New Roman"/>
                <w:color w:val="000000"/>
                <w:sz w:val="20"/>
                <w:szCs w:val="20"/>
                <w:lang w:val="en-US"/>
              </w:rPr>
              <w:t>0.6579</w:t>
            </w:r>
          </w:p>
        </w:tc>
      </w:tr>
      <w:tr w:rsidR="00455DEE" w:rsidRPr="000A35EF" w:rsidTr="00455DEE">
        <w:trPr>
          <w:trHeight w:val="300"/>
        </w:trPr>
        <w:tc>
          <w:tcPr>
            <w:tcW w:w="1022" w:type="pct"/>
            <w:tcBorders>
              <w:left w:val="nil"/>
              <w:bottom w:val="nil"/>
            </w:tcBorders>
            <w:shd w:val="clear" w:color="auto" w:fill="auto"/>
            <w:noWrap/>
            <w:vAlign w:val="bottom"/>
            <w:hideMark/>
          </w:tcPr>
          <w:p w:rsidR="00455DEE" w:rsidRPr="002C7A67" w:rsidRDefault="00455DEE" w:rsidP="00FA5866">
            <w:pPr>
              <w:spacing w:after="0" w:line="240" w:lineRule="auto"/>
              <w:ind w:firstLine="0"/>
              <w:jc w:val="left"/>
              <w:rPr>
                <w:rFonts w:eastAsia="Times New Roman"/>
                <w:color w:val="000000"/>
                <w:sz w:val="22"/>
                <w:szCs w:val="22"/>
                <w:lang w:val="en-US"/>
              </w:rPr>
            </w:pPr>
            <w:proofErr w:type="spellStart"/>
            <w:r w:rsidRPr="002C7A67">
              <w:rPr>
                <w:rFonts w:eastAsia="Times New Roman"/>
                <w:color w:val="000000"/>
                <w:sz w:val="22"/>
                <w:szCs w:val="22"/>
                <w:lang w:val="en-US"/>
              </w:rPr>
              <w:t>Anticomp</w:t>
            </w:r>
            <w:r>
              <w:rPr>
                <w:rFonts w:eastAsia="Times New Roman"/>
                <w:color w:val="000000"/>
                <w:sz w:val="22"/>
                <w:szCs w:val="22"/>
                <w:lang w:val="en-US"/>
              </w:rPr>
              <w:t>etitiva</w:t>
            </w:r>
            <w:proofErr w:type="spellEnd"/>
          </w:p>
        </w:tc>
        <w:tc>
          <w:tcPr>
            <w:tcW w:w="1350" w:type="pct"/>
            <w:shd w:val="clear" w:color="auto" w:fill="auto"/>
            <w:noWrap/>
            <w:vAlign w:val="bottom"/>
            <w:hideMark/>
          </w:tcPr>
          <w:p w:rsidR="00455DEE" w:rsidRPr="000A35EF" w:rsidRDefault="00455DEE" w:rsidP="00FA5866">
            <w:pPr>
              <w:spacing w:after="0" w:line="240" w:lineRule="auto"/>
              <w:ind w:firstLine="0"/>
              <w:jc w:val="left"/>
              <w:rPr>
                <w:rFonts w:eastAsia="Times New Roman"/>
                <w:color w:val="000000"/>
                <w:sz w:val="20"/>
                <w:szCs w:val="20"/>
                <w:lang w:val="en-US"/>
              </w:rPr>
            </w:pPr>
            <m:oMathPara>
              <m:oMath>
                <m:r>
                  <w:rPr>
                    <w:rFonts w:ascii="Cambria Math" w:eastAsia="Times New Roman" w:hAnsi="Cambria Math"/>
                    <w:color w:val="000000"/>
                    <w:sz w:val="20"/>
                    <w:szCs w:val="20"/>
                  </w:rPr>
                  <m:t>∆</m:t>
                </m:r>
                <m:sSub>
                  <m:sSubPr>
                    <m:ctrlPr>
                      <w:rPr>
                        <w:rFonts w:ascii="Cambria Math" w:eastAsia="Times New Roman" w:hAnsi="Cambria Math"/>
                        <w:color w:val="000000"/>
                        <w:sz w:val="20"/>
                        <w:szCs w:val="20"/>
                      </w:rPr>
                    </m:ctrlPr>
                  </m:sSubPr>
                  <m:e>
                    <m:r>
                      <m:rPr>
                        <m:sty m:val="p"/>
                      </m:rPr>
                      <w:rPr>
                        <w:rFonts w:ascii="Cambria Math" w:eastAsia="Times New Roman" w:hAnsi="Cambria Math"/>
                        <w:color w:val="000000"/>
                        <w:sz w:val="20"/>
                        <w:szCs w:val="20"/>
                      </w:rPr>
                      <m:t>Π</m:t>
                    </m:r>
                    <m:ctrlPr>
                      <w:rPr>
                        <w:rFonts w:ascii="Cambria Math" w:eastAsia="Times New Roman" w:hAnsi="Cambria Math"/>
                        <w:i/>
                        <w:color w:val="000000"/>
                        <w:sz w:val="20"/>
                        <w:szCs w:val="20"/>
                      </w:rPr>
                    </m:ctrlPr>
                  </m:e>
                  <m:sub>
                    <m:r>
                      <w:rPr>
                        <w:rFonts w:ascii="Cambria Math" w:eastAsia="Times New Roman" w:hAnsi="Cambria Math"/>
                        <w:color w:val="000000"/>
                        <w:sz w:val="20"/>
                        <w:szCs w:val="20"/>
                      </w:rPr>
                      <m:t>t+</m:t>
                    </m:r>
                    <m:r>
                      <w:rPr>
                        <w:rFonts w:ascii="Cambria Math" w:eastAsia="Times New Roman"/>
                        <w:color w:val="000000"/>
                        <w:sz w:val="20"/>
                        <w:szCs w:val="20"/>
                      </w:rPr>
                      <m:t>10</m:t>
                    </m:r>
                    <m:ctrlPr>
                      <w:rPr>
                        <w:rFonts w:ascii="Cambria Math" w:eastAsia="Times New Roman" w:hAnsi="Cambria Math"/>
                        <w:i/>
                        <w:color w:val="000000"/>
                        <w:sz w:val="20"/>
                        <w:szCs w:val="20"/>
                      </w:rPr>
                    </m:ctrlPr>
                  </m:sub>
                </m:sSub>
              </m:oMath>
            </m:oMathPara>
          </w:p>
        </w:tc>
        <w:tc>
          <w:tcPr>
            <w:tcW w:w="630" w:type="pct"/>
            <w:tcBorders>
              <w:left w:val="nil"/>
              <w:bottom w:val="nil"/>
              <w:right w:val="nil"/>
            </w:tcBorders>
            <w:shd w:val="clear" w:color="auto" w:fill="auto"/>
            <w:noWrap/>
            <w:vAlign w:val="center"/>
            <w:hideMark/>
          </w:tcPr>
          <w:p w:rsidR="00455DEE" w:rsidRPr="000A35EF" w:rsidRDefault="00455DEE" w:rsidP="00FA5866">
            <w:pPr>
              <w:spacing w:after="0" w:line="240" w:lineRule="auto"/>
              <w:ind w:firstLine="0"/>
              <w:jc w:val="center"/>
              <w:rPr>
                <w:rFonts w:eastAsia="Times New Roman"/>
                <w:color w:val="000000"/>
                <w:sz w:val="20"/>
                <w:szCs w:val="20"/>
                <w:lang w:val="en-US"/>
              </w:rPr>
            </w:pPr>
            <w:r w:rsidRPr="000A35EF">
              <w:rPr>
                <w:rFonts w:eastAsia="Times New Roman"/>
                <w:color w:val="000000"/>
                <w:sz w:val="20"/>
                <w:szCs w:val="20"/>
                <w:lang w:val="en-US"/>
              </w:rPr>
              <w:t>0.951</w:t>
            </w:r>
          </w:p>
        </w:tc>
        <w:tc>
          <w:tcPr>
            <w:tcW w:w="630" w:type="pct"/>
            <w:tcBorders>
              <w:left w:val="nil"/>
              <w:bottom w:val="nil"/>
              <w:right w:val="nil"/>
            </w:tcBorders>
            <w:shd w:val="clear" w:color="auto" w:fill="auto"/>
            <w:noWrap/>
            <w:vAlign w:val="center"/>
            <w:hideMark/>
          </w:tcPr>
          <w:p w:rsidR="00455DEE" w:rsidRPr="000A35EF" w:rsidRDefault="00455DEE" w:rsidP="00FA5866">
            <w:pPr>
              <w:spacing w:after="0" w:line="240" w:lineRule="auto"/>
              <w:ind w:firstLine="0"/>
              <w:jc w:val="center"/>
              <w:rPr>
                <w:rFonts w:eastAsia="Times New Roman"/>
                <w:color w:val="000000"/>
                <w:sz w:val="20"/>
                <w:szCs w:val="20"/>
                <w:lang w:val="en-US"/>
              </w:rPr>
            </w:pPr>
            <w:r w:rsidRPr="000A35EF">
              <w:rPr>
                <w:rFonts w:eastAsia="Times New Roman"/>
                <w:color w:val="000000"/>
                <w:sz w:val="20"/>
                <w:szCs w:val="20"/>
                <w:lang w:val="en-US"/>
              </w:rPr>
              <w:t>0.1595</w:t>
            </w:r>
          </w:p>
        </w:tc>
        <w:tc>
          <w:tcPr>
            <w:tcW w:w="678" w:type="pct"/>
            <w:tcBorders>
              <w:left w:val="nil"/>
              <w:bottom w:val="nil"/>
              <w:right w:val="nil"/>
            </w:tcBorders>
            <w:shd w:val="clear" w:color="auto" w:fill="auto"/>
            <w:noWrap/>
            <w:vAlign w:val="center"/>
            <w:hideMark/>
          </w:tcPr>
          <w:p w:rsidR="00455DEE" w:rsidRPr="000A35EF" w:rsidRDefault="00455DEE" w:rsidP="00FA5866">
            <w:pPr>
              <w:spacing w:after="0" w:line="240" w:lineRule="auto"/>
              <w:ind w:firstLine="0"/>
              <w:jc w:val="center"/>
              <w:rPr>
                <w:rFonts w:eastAsia="Times New Roman"/>
                <w:b/>
                <w:bCs/>
                <w:color w:val="000000"/>
                <w:sz w:val="20"/>
                <w:szCs w:val="20"/>
                <w:lang w:val="en-US"/>
              </w:rPr>
            </w:pPr>
            <w:r w:rsidRPr="000A35EF">
              <w:rPr>
                <w:rFonts w:eastAsia="Times New Roman"/>
                <w:b/>
                <w:bCs/>
                <w:color w:val="000000"/>
                <w:sz w:val="20"/>
                <w:szCs w:val="20"/>
                <w:lang w:val="en-US"/>
              </w:rPr>
              <w:t>3,8615**</w:t>
            </w:r>
          </w:p>
        </w:tc>
        <w:tc>
          <w:tcPr>
            <w:tcW w:w="690" w:type="pct"/>
            <w:tcBorders>
              <w:left w:val="nil"/>
              <w:bottom w:val="nil"/>
              <w:right w:val="nil"/>
            </w:tcBorders>
            <w:shd w:val="clear" w:color="auto" w:fill="auto"/>
            <w:noWrap/>
            <w:vAlign w:val="center"/>
            <w:hideMark/>
          </w:tcPr>
          <w:p w:rsidR="00455DEE" w:rsidRPr="000A35EF" w:rsidRDefault="00455DEE" w:rsidP="00FA5866">
            <w:pPr>
              <w:spacing w:after="0" w:line="240" w:lineRule="auto"/>
              <w:ind w:firstLine="0"/>
              <w:jc w:val="center"/>
              <w:rPr>
                <w:rFonts w:eastAsia="Times New Roman"/>
                <w:b/>
                <w:bCs/>
                <w:color w:val="000000"/>
                <w:sz w:val="20"/>
                <w:szCs w:val="20"/>
                <w:lang w:val="en-US"/>
              </w:rPr>
            </w:pPr>
            <w:r w:rsidRPr="000A35EF">
              <w:rPr>
                <w:rFonts w:eastAsia="Times New Roman"/>
                <w:b/>
                <w:bCs/>
                <w:color w:val="000000"/>
                <w:sz w:val="20"/>
                <w:szCs w:val="20"/>
                <w:lang w:val="en-US"/>
              </w:rPr>
              <w:t>3,377***</w:t>
            </w:r>
          </w:p>
        </w:tc>
      </w:tr>
      <w:tr w:rsidR="00455DEE" w:rsidRPr="000A35EF" w:rsidTr="00455DEE">
        <w:trPr>
          <w:trHeight w:val="300"/>
        </w:trPr>
        <w:tc>
          <w:tcPr>
            <w:tcW w:w="1022" w:type="pct"/>
            <w:tcBorders>
              <w:top w:val="nil"/>
              <w:left w:val="nil"/>
            </w:tcBorders>
            <w:shd w:val="clear" w:color="auto" w:fill="auto"/>
            <w:noWrap/>
            <w:vAlign w:val="bottom"/>
            <w:hideMark/>
          </w:tcPr>
          <w:p w:rsidR="00455DEE" w:rsidRPr="002C7A67" w:rsidRDefault="00455DEE" w:rsidP="00FA5866">
            <w:pPr>
              <w:spacing w:after="0" w:line="240" w:lineRule="auto"/>
              <w:ind w:firstLine="0"/>
              <w:jc w:val="left"/>
              <w:rPr>
                <w:rFonts w:eastAsia="Times New Roman"/>
                <w:color w:val="000000"/>
                <w:sz w:val="22"/>
                <w:szCs w:val="22"/>
                <w:lang w:val="en-US"/>
              </w:rPr>
            </w:pPr>
          </w:p>
        </w:tc>
        <w:tc>
          <w:tcPr>
            <w:tcW w:w="1350" w:type="pct"/>
            <w:shd w:val="clear" w:color="auto" w:fill="auto"/>
            <w:noWrap/>
            <w:vAlign w:val="bottom"/>
            <w:hideMark/>
          </w:tcPr>
          <w:p w:rsidR="00455DEE" w:rsidRPr="000A35EF" w:rsidRDefault="006E76EF" w:rsidP="00FA5866">
            <w:pPr>
              <w:spacing w:after="0" w:line="240" w:lineRule="auto"/>
              <w:ind w:firstLine="0"/>
              <w:jc w:val="left"/>
              <w:rPr>
                <w:rFonts w:eastAsia="Times New Roman"/>
                <w:color w:val="000000"/>
                <w:sz w:val="20"/>
                <w:szCs w:val="20"/>
                <w:lang w:val="en-US"/>
              </w:rPr>
            </w:pPr>
            <m:oMathPara>
              <m:oMath>
                <m:sSub>
                  <m:sSubPr>
                    <m:ctrlPr>
                      <w:rPr>
                        <w:rFonts w:ascii="Cambria Math" w:eastAsia="Times New Roman" w:hAnsi="Cambria Math"/>
                        <w:i/>
                        <w:color w:val="000000"/>
                        <w:sz w:val="20"/>
                        <w:szCs w:val="20"/>
                      </w:rPr>
                    </m:ctrlPr>
                  </m:sSubPr>
                  <m:e>
                    <m:r>
                      <m:rPr>
                        <m:sty m:val="p"/>
                      </m:rPr>
                      <w:rPr>
                        <w:rFonts w:ascii="Cambria Math" w:eastAsia="Times New Roman" w:hAnsi="Cambria Math"/>
                        <w:color w:val="000000"/>
                        <w:sz w:val="20"/>
                        <w:szCs w:val="20"/>
                      </w:rPr>
                      <m:t>Π</m:t>
                    </m:r>
                    <m:ctrlPr>
                      <w:rPr>
                        <w:rFonts w:ascii="Cambria Math" w:eastAsia="Times New Roman" w:hAnsi="Cambria Math"/>
                        <w:color w:val="000000"/>
                        <w:sz w:val="20"/>
                        <w:szCs w:val="20"/>
                      </w:rPr>
                    </m:ctrlPr>
                  </m:e>
                  <m:sub>
                    <m:r>
                      <w:rPr>
                        <w:rFonts w:ascii="Cambria Math" w:eastAsia="Times New Roman" w:hAnsi="Cambria Math"/>
                        <w:color w:val="000000"/>
                        <w:sz w:val="20"/>
                        <w:szCs w:val="20"/>
                      </w:rPr>
                      <m:t>t-</m:t>
                    </m:r>
                    <m:r>
                      <w:rPr>
                        <w:rFonts w:ascii="Cambria Math" w:eastAsia="Times New Roman"/>
                        <w:color w:val="000000"/>
                        <w:sz w:val="20"/>
                        <w:szCs w:val="20"/>
                      </w:rPr>
                      <m:t>1</m:t>
                    </m:r>
                  </m:sub>
                </m:sSub>
              </m:oMath>
            </m:oMathPara>
          </w:p>
        </w:tc>
        <w:tc>
          <w:tcPr>
            <w:tcW w:w="630" w:type="pct"/>
            <w:tcBorders>
              <w:top w:val="nil"/>
              <w:left w:val="nil"/>
              <w:right w:val="nil"/>
            </w:tcBorders>
            <w:shd w:val="clear" w:color="auto" w:fill="auto"/>
            <w:noWrap/>
            <w:vAlign w:val="center"/>
            <w:hideMark/>
          </w:tcPr>
          <w:p w:rsidR="00455DEE" w:rsidRPr="000A35EF" w:rsidRDefault="00455DEE" w:rsidP="00FA5866">
            <w:pPr>
              <w:spacing w:after="0" w:line="240" w:lineRule="auto"/>
              <w:ind w:firstLine="0"/>
              <w:jc w:val="center"/>
              <w:rPr>
                <w:rFonts w:eastAsia="Times New Roman"/>
                <w:b/>
                <w:bCs/>
                <w:color w:val="000000"/>
                <w:sz w:val="20"/>
                <w:szCs w:val="20"/>
                <w:lang w:val="en-US"/>
              </w:rPr>
            </w:pPr>
            <w:r w:rsidRPr="000A35EF">
              <w:rPr>
                <w:rFonts w:eastAsia="Times New Roman"/>
                <w:b/>
                <w:bCs/>
                <w:color w:val="000000"/>
                <w:sz w:val="20"/>
                <w:szCs w:val="20"/>
                <w:lang w:val="en-US"/>
              </w:rPr>
              <w:t>0,5241**</w:t>
            </w:r>
          </w:p>
        </w:tc>
        <w:tc>
          <w:tcPr>
            <w:tcW w:w="630" w:type="pct"/>
            <w:tcBorders>
              <w:top w:val="nil"/>
              <w:left w:val="nil"/>
              <w:right w:val="nil"/>
            </w:tcBorders>
            <w:shd w:val="clear" w:color="auto" w:fill="auto"/>
            <w:noWrap/>
            <w:vAlign w:val="center"/>
            <w:hideMark/>
          </w:tcPr>
          <w:p w:rsidR="00455DEE" w:rsidRPr="000A35EF" w:rsidRDefault="00455DEE" w:rsidP="00FA5866">
            <w:pPr>
              <w:spacing w:after="0" w:line="240" w:lineRule="auto"/>
              <w:ind w:firstLine="0"/>
              <w:jc w:val="center"/>
              <w:rPr>
                <w:rFonts w:eastAsia="Times New Roman"/>
                <w:b/>
                <w:bCs/>
                <w:color w:val="000000"/>
                <w:sz w:val="20"/>
                <w:szCs w:val="20"/>
                <w:lang w:val="en-US"/>
              </w:rPr>
            </w:pPr>
            <w:r w:rsidRPr="000A35EF">
              <w:rPr>
                <w:rFonts w:eastAsia="Times New Roman"/>
                <w:b/>
                <w:bCs/>
                <w:color w:val="000000"/>
                <w:sz w:val="20"/>
                <w:szCs w:val="20"/>
                <w:lang w:val="en-US"/>
              </w:rPr>
              <w:t>0,2916*</w:t>
            </w:r>
          </w:p>
        </w:tc>
        <w:tc>
          <w:tcPr>
            <w:tcW w:w="678" w:type="pct"/>
            <w:tcBorders>
              <w:top w:val="nil"/>
              <w:left w:val="nil"/>
              <w:right w:val="nil"/>
            </w:tcBorders>
            <w:shd w:val="clear" w:color="auto" w:fill="auto"/>
            <w:noWrap/>
            <w:vAlign w:val="center"/>
            <w:hideMark/>
          </w:tcPr>
          <w:p w:rsidR="00455DEE" w:rsidRPr="000A35EF" w:rsidRDefault="00455DEE" w:rsidP="00FA5866">
            <w:pPr>
              <w:spacing w:after="0" w:line="240" w:lineRule="auto"/>
              <w:ind w:firstLine="0"/>
              <w:jc w:val="center"/>
              <w:rPr>
                <w:rFonts w:eastAsia="Times New Roman"/>
                <w:b/>
                <w:bCs/>
                <w:color w:val="000000"/>
                <w:sz w:val="20"/>
                <w:szCs w:val="20"/>
                <w:lang w:val="en-US"/>
              </w:rPr>
            </w:pPr>
            <w:r w:rsidRPr="000A35EF">
              <w:rPr>
                <w:rFonts w:eastAsia="Times New Roman"/>
                <w:b/>
                <w:bCs/>
                <w:color w:val="000000"/>
                <w:sz w:val="20"/>
                <w:szCs w:val="20"/>
                <w:lang w:val="en-US"/>
              </w:rPr>
              <w:t>1,7622*</w:t>
            </w:r>
          </w:p>
        </w:tc>
        <w:tc>
          <w:tcPr>
            <w:tcW w:w="690" w:type="pct"/>
            <w:tcBorders>
              <w:top w:val="nil"/>
              <w:left w:val="nil"/>
              <w:right w:val="nil"/>
            </w:tcBorders>
            <w:shd w:val="clear" w:color="auto" w:fill="auto"/>
            <w:noWrap/>
            <w:vAlign w:val="center"/>
            <w:hideMark/>
          </w:tcPr>
          <w:p w:rsidR="00455DEE" w:rsidRPr="000A35EF" w:rsidRDefault="00455DEE" w:rsidP="00FA5866">
            <w:pPr>
              <w:spacing w:after="0" w:line="240" w:lineRule="auto"/>
              <w:ind w:firstLine="0"/>
              <w:jc w:val="center"/>
              <w:rPr>
                <w:rFonts w:eastAsia="Times New Roman"/>
                <w:b/>
                <w:bCs/>
                <w:color w:val="000000"/>
                <w:sz w:val="20"/>
                <w:szCs w:val="20"/>
                <w:lang w:val="en-US"/>
              </w:rPr>
            </w:pPr>
            <w:r w:rsidRPr="000A35EF">
              <w:rPr>
                <w:rFonts w:eastAsia="Times New Roman"/>
                <w:b/>
                <w:bCs/>
                <w:color w:val="000000"/>
                <w:sz w:val="20"/>
                <w:szCs w:val="20"/>
                <w:lang w:val="en-US"/>
              </w:rPr>
              <w:t>1,603***</w:t>
            </w:r>
          </w:p>
        </w:tc>
      </w:tr>
      <w:tr w:rsidR="00455DEE" w:rsidRPr="000A35EF" w:rsidTr="00455DEE">
        <w:trPr>
          <w:trHeight w:val="300"/>
        </w:trPr>
        <w:tc>
          <w:tcPr>
            <w:tcW w:w="1022" w:type="pct"/>
            <w:tcBorders>
              <w:left w:val="nil"/>
              <w:bottom w:val="nil"/>
            </w:tcBorders>
            <w:shd w:val="clear" w:color="auto" w:fill="auto"/>
            <w:noWrap/>
            <w:vAlign w:val="bottom"/>
            <w:hideMark/>
          </w:tcPr>
          <w:p w:rsidR="00455DEE" w:rsidRPr="002C7A67" w:rsidRDefault="00455DEE" w:rsidP="00FA5866">
            <w:pPr>
              <w:spacing w:after="0" w:line="240" w:lineRule="auto"/>
              <w:ind w:firstLine="0"/>
              <w:jc w:val="left"/>
              <w:rPr>
                <w:rFonts w:eastAsia="Times New Roman"/>
                <w:color w:val="000000"/>
                <w:sz w:val="22"/>
                <w:szCs w:val="22"/>
                <w:lang w:val="en-US"/>
              </w:rPr>
            </w:pPr>
            <w:proofErr w:type="spellStart"/>
            <w:r w:rsidRPr="002C7A67">
              <w:rPr>
                <w:rFonts w:eastAsia="Times New Roman"/>
                <w:color w:val="000000"/>
                <w:sz w:val="22"/>
                <w:szCs w:val="22"/>
                <w:lang w:val="en-US"/>
              </w:rPr>
              <w:t>Comp</w:t>
            </w:r>
            <w:r>
              <w:rPr>
                <w:rFonts w:eastAsia="Times New Roman"/>
                <w:color w:val="000000"/>
                <w:sz w:val="22"/>
                <w:szCs w:val="22"/>
                <w:lang w:val="en-US"/>
              </w:rPr>
              <w:t>etitiva</w:t>
            </w:r>
            <w:proofErr w:type="spellEnd"/>
          </w:p>
        </w:tc>
        <w:tc>
          <w:tcPr>
            <w:tcW w:w="1350" w:type="pct"/>
            <w:shd w:val="clear" w:color="auto" w:fill="auto"/>
            <w:noWrap/>
            <w:vAlign w:val="center"/>
            <w:hideMark/>
          </w:tcPr>
          <w:p w:rsidR="00455DEE" w:rsidRPr="000A35EF" w:rsidRDefault="00455DEE" w:rsidP="00FA5866">
            <w:pPr>
              <w:spacing w:after="0" w:line="240" w:lineRule="auto"/>
              <w:ind w:firstLine="0"/>
              <w:jc w:val="left"/>
              <w:rPr>
                <w:rFonts w:eastAsia="Times New Roman"/>
                <w:color w:val="000000"/>
                <w:sz w:val="20"/>
                <w:szCs w:val="20"/>
                <w:lang w:val="en-US"/>
              </w:rPr>
            </w:pPr>
            <m:oMathPara>
              <m:oMath>
                <m:r>
                  <w:rPr>
                    <w:rFonts w:ascii="Cambria Math" w:eastAsia="Times New Roman" w:hAnsi="Cambria Math"/>
                    <w:color w:val="000000"/>
                    <w:sz w:val="20"/>
                    <w:szCs w:val="20"/>
                  </w:rPr>
                  <m:t>∆</m:t>
                </m:r>
                <m:sSub>
                  <m:sSubPr>
                    <m:ctrlPr>
                      <w:rPr>
                        <w:rFonts w:ascii="Cambria Math" w:eastAsia="Times New Roman" w:hAnsi="Cambria Math"/>
                        <w:color w:val="000000"/>
                        <w:sz w:val="20"/>
                        <w:szCs w:val="20"/>
                      </w:rPr>
                    </m:ctrlPr>
                  </m:sSubPr>
                  <m:e>
                    <m:r>
                      <m:rPr>
                        <m:sty m:val="p"/>
                      </m:rPr>
                      <w:rPr>
                        <w:rFonts w:ascii="Cambria Math" w:eastAsia="Times New Roman" w:hAnsi="Cambria Math"/>
                        <w:color w:val="000000"/>
                        <w:sz w:val="20"/>
                        <w:szCs w:val="20"/>
                      </w:rPr>
                      <m:t>Π</m:t>
                    </m:r>
                    <m:ctrlPr>
                      <w:rPr>
                        <w:rFonts w:ascii="Cambria Math" w:eastAsia="Times New Roman" w:hAnsi="Cambria Math"/>
                        <w:i/>
                        <w:color w:val="000000"/>
                        <w:sz w:val="20"/>
                        <w:szCs w:val="20"/>
                      </w:rPr>
                    </m:ctrlPr>
                  </m:e>
                  <m:sub>
                    <m:r>
                      <w:rPr>
                        <w:rFonts w:ascii="Cambria Math" w:eastAsia="Times New Roman" w:hAnsi="Cambria Math"/>
                        <w:color w:val="000000"/>
                        <w:sz w:val="20"/>
                        <w:szCs w:val="20"/>
                      </w:rPr>
                      <m:t>t+</m:t>
                    </m:r>
                    <m:r>
                      <w:rPr>
                        <w:rFonts w:ascii="Cambria Math" w:eastAsia="Times New Roman"/>
                        <w:color w:val="000000"/>
                        <w:sz w:val="20"/>
                        <w:szCs w:val="20"/>
                      </w:rPr>
                      <m:t>10</m:t>
                    </m:r>
                    <m:ctrlPr>
                      <w:rPr>
                        <w:rFonts w:ascii="Cambria Math" w:eastAsia="Times New Roman" w:hAnsi="Cambria Math"/>
                        <w:i/>
                        <w:color w:val="000000"/>
                        <w:sz w:val="20"/>
                        <w:szCs w:val="20"/>
                      </w:rPr>
                    </m:ctrlPr>
                  </m:sub>
                </m:sSub>
              </m:oMath>
            </m:oMathPara>
          </w:p>
        </w:tc>
        <w:tc>
          <w:tcPr>
            <w:tcW w:w="630" w:type="pct"/>
            <w:tcBorders>
              <w:left w:val="nil"/>
              <w:bottom w:val="nil"/>
              <w:right w:val="nil"/>
            </w:tcBorders>
            <w:shd w:val="clear" w:color="auto" w:fill="auto"/>
            <w:noWrap/>
            <w:vAlign w:val="center"/>
            <w:hideMark/>
          </w:tcPr>
          <w:p w:rsidR="00455DEE" w:rsidRPr="000A35EF" w:rsidRDefault="00455DEE" w:rsidP="00FA5866">
            <w:pPr>
              <w:spacing w:after="0" w:line="240" w:lineRule="auto"/>
              <w:ind w:firstLine="0"/>
              <w:jc w:val="center"/>
              <w:rPr>
                <w:rFonts w:eastAsia="Times New Roman"/>
                <w:color w:val="000000"/>
                <w:sz w:val="20"/>
                <w:szCs w:val="20"/>
                <w:lang w:val="en-US"/>
              </w:rPr>
            </w:pPr>
            <w:r w:rsidRPr="000A35EF">
              <w:rPr>
                <w:rFonts w:eastAsia="Times New Roman"/>
                <w:color w:val="000000"/>
                <w:sz w:val="20"/>
                <w:szCs w:val="20"/>
                <w:lang w:val="en-US"/>
              </w:rPr>
              <w:t>-1.7717</w:t>
            </w:r>
          </w:p>
        </w:tc>
        <w:tc>
          <w:tcPr>
            <w:tcW w:w="630" w:type="pct"/>
            <w:tcBorders>
              <w:left w:val="nil"/>
              <w:bottom w:val="nil"/>
              <w:right w:val="nil"/>
            </w:tcBorders>
            <w:shd w:val="clear" w:color="auto" w:fill="auto"/>
            <w:noWrap/>
            <w:vAlign w:val="center"/>
            <w:hideMark/>
          </w:tcPr>
          <w:p w:rsidR="00455DEE" w:rsidRPr="000A35EF" w:rsidRDefault="00455DEE" w:rsidP="00FA5866">
            <w:pPr>
              <w:spacing w:after="0" w:line="240" w:lineRule="auto"/>
              <w:ind w:firstLine="0"/>
              <w:jc w:val="center"/>
              <w:rPr>
                <w:rFonts w:eastAsia="Times New Roman"/>
                <w:color w:val="000000"/>
                <w:sz w:val="20"/>
                <w:szCs w:val="20"/>
                <w:lang w:val="en-US"/>
              </w:rPr>
            </w:pPr>
            <w:r w:rsidRPr="000A35EF">
              <w:rPr>
                <w:rFonts w:eastAsia="Times New Roman"/>
                <w:color w:val="000000"/>
                <w:sz w:val="20"/>
                <w:szCs w:val="20"/>
                <w:lang w:val="en-US"/>
              </w:rPr>
              <w:t>-2.9312</w:t>
            </w:r>
          </w:p>
        </w:tc>
        <w:tc>
          <w:tcPr>
            <w:tcW w:w="678" w:type="pct"/>
            <w:tcBorders>
              <w:left w:val="nil"/>
              <w:bottom w:val="nil"/>
              <w:right w:val="nil"/>
            </w:tcBorders>
            <w:shd w:val="clear" w:color="auto" w:fill="auto"/>
            <w:noWrap/>
            <w:vAlign w:val="center"/>
            <w:hideMark/>
          </w:tcPr>
          <w:p w:rsidR="00455DEE" w:rsidRPr="000A35EF" w:rsidRDefault="00455DEE" w:rsidP="00FA5866">
            <w:pPr>
              <w:spacing w:after="0" w:line="240" w:lineRule="auto"/>
              <w:ind w:firstLine="0"/>
              <w:jc w:val="center"/>
              <w:rPr>
                <w:rFonts w:eastAsia="Times New Roman"/>
                <w:b/>
                <w:bCs/>
                <w:color w:val="000000"/>
                <w:sz w:val="20"/>
                <w:szCs w:val="20"/>
                <w:lang w:val="en-US"/>
              </w:rPr>
            </w:pPr>
            <w:r w:rsidRPr="000A35EF">
              <w:rPr>
                <w:rFonts w:eastAsia="Times New Roman"/>
                <w:b/>
                <w:bCs/>
                <w:color w:val="000000"/>
                <w:sz w:val="20"/>
                <w:szCs w:val="20"/>
                <w:lang w:val="en-US"/>
              </w:rPr>
              <w:t>0,4832**</w:t>
            </w:r>
          </w:p>
        </w:tc>
        <w:tc>
          <w:tcPr>
            <w:tcW w:w="690" w:type="pct"/>
            <w:tcBorders>
              <w:left w:val="nil"/>
              <w:bottom w:val="nil"/>
              <w:right w:val="nil"/>
            </w:tcBorders>
            <w:shd w:val="clear" w:color="auto" w:fill="auto"/>
            <w:noWrap/>
            <w:vAlign w:val="center"/>
            <w:hideMark/>
          </w:tcPr>
          <w:p w:rsidR="00455DEE" w:rsidRPr="000A35EF" w:rsidRDefault="00455DEE" w:rsidP="00FA5866">
            <w:pPr>
              <w:spacing w:after="0" w:line="240" w:lineRule="auto"/>
              <w:ind w:firstLine="0"/>
              <w:jc w:val="center"/>
              <w:rPr>
                <w:rFonts w:eastAsia="Times New Roman"/>
                <w:color w:val="000000"/>
                <w:sz w:val="20"/>
                <w:szCs w:val="20"/>
                <w:lang w:val="en-US"/>
              </w:rPr>
            </w:pPr>
            <w:r w:rsidRPr="000A35EF">
              <w:rPr>
                <w:rFonts w:eastAsia="Times New Roman"/>
                <w:color w:val="000000"/>
                <w:sz w:val="20"/>
                <w:szCs w:val="20"/>
                <w:lang w:val="en-US"/>
              </w:rPr>
              <w:t>-0.1618</w:t>
            </w:r>
          </w:p>
        </w:tc>
      </w:tr>
      <w:tr w:rsidR="00455DEE" w:rsidRPr="000A35EF" w:rsidTr="00455DEE">
        <w:trPr>
          <w:trHeight w:val="468"/>
        </w:trPr>
        <w:tc>
          <w:tcPr>
            <w:tcW w:w="1022" w:type="pct"/>
            <w:tcBorders>
              <w:top w:val="nil"/>
              <w:left w:val="nil"/>
              <w:bottom w:val="single" w:sz="4" w:space="0" w:color="auto"/>
            </w:tcBorders>
            <w:shd w:val="clear" w:color="auto" w:fill="auto"/>
            <w:noWrap/>
            <w:vAlign w:val="bottom"/>
            <w:hideMark/>
          </w:tcPr>
          <w:p w:rsidR="00455DEE" w:rsidRPr="002C7A67" w:rsidRDefault="00455DEE" w:rsidP="00FA5866">
            <w:pPr>
              <w:spacing w:after="0" w:line="240" w:lineRule="auto"/>
              <w:ind w:firstLine="0"/>
              <w:jc w:val="left"/>
              <w:rPr>
                <w:rFonts w:eastAsia="Times New Roman"/>
                <w:color w:val="000000"/>
                <w:sz w:val="22"/>
                <w:szCs w:val="22"/>
                <w:lang w:val="en-US"/>
              </w:rPr>
            </w:pPr>
          </w:p>
        </w:tc>
        <w:tc>
          <w:tcPr>
            <w:tcW w:w="1350" w:type="pct"/>
            <w:tcBorders>
              <w:bottom w:val="single" w:sz="4" w:space="0" w:color="auto"/>
            </w:tcBorders>
            <w:shd w:val="clear" w:color="auto" w:fill="auto"/>
            <w:noWrap/>
            <w:vAlign w:val="center"/>
            <w:hideMark/>
          </w:tcPr>
          <w:p w:rsidR="00455DEE" w:rsidRPr="000A35EF" w:rsidRDefault="006E76EF" w:rsidP="00FA5866">
            <w:pPr>
              <w:spacing w:after="0" w:line="240" w:lineRule="auto"/>
              <w:ind w:firstLine="0"/>
              <w:jc w:val="left"/>
              <w:rPr>
                <w:rFonts w:eastAsia="Times New Roman"/>
                <w:color w:val="000000"/>
                <w:sz w:val="20"/>
                <w:szCs w:val="20"/>
                <w:lang w:val="en-US"/>
              </w:rPr>
            </w:pPr>
            <m:oMathPara>
              <m:oMath>
                <m:sSub>
                  <m:sSubPr>
                    <m:ctrlPr>
                      <w:rPr>
                        <w:rFonts w:ascii="Cambria Math" w:eastAsia="Times New Roman" w:hAnsi="Cambria Math"/>
                        <w:i/>
                        <w:color w:val="000000"/>
                        <w:sz w:val="20"/>
                        <w:szCs w:val="20"/>
                      </w:rPr>
                    </m:ctrlPr>
                  </m:sSubPr>
                  <m:e>
                    <m:r>
                      <m:rPr>
                        <m:sty m:val="p"/>
                      </m:rPr>
                      <w:rPr>
                        <w:rFonts w:ascii="Cambria Math" w:eastAsia="Times New Roman" w:hAnsi="Cambria Math"/>
                        <w:color w:val="000000"/>
                        <w:sz w:val="20"/>
                        <w:szCs w:val="20"/>
                      </w:rPr>
                      <m:t>Π</m:t>
                    </m:r>
                    <m:ctrlPr>
                      <w:rPr>
                        <w:rFonts w:ascii="Cambria Math" w:eastAsia="Times New Roman" w:hAnsi="Cambria Math"/>
                        <w:color w:val="000000"/>
                        <w:sz w:val="20"/>
                        <w:szCs w:val="20"/>
                      </w:rPr>
                    </m:ctrlPr>
                  </m:e>
                  <m:sub>
                    <m:r>
                      <w:rPr>
                        <w:rFonts w:ascii="Cambria Math" w:eastAsia="Times New Roman" w:hAnsi="Cambria Math"/>
                        <w:color w:val="000000"/>
                        <w:sz w:val="20"/>
                        <w:szCs w:val="20"/>
                      </w:rPr>
                      <m:t>t-</m:t>
                    </m:r>
                    <m:r>
                      <w:rPr>
                        <w:rFonts w:ascii="Cambria Math" w:eastAsia="Times New Roman"/>
                        <w:color w:val="000000"/>
                        <w:sz w:val="20"/>
                        <w:szCs w:val="20"/>
                      </w:rPr>
                      <m:t>1</m:t>
                    </m:r>
                  </m:sub>
                </m:sSub>
              </m:oMath>
            </m:oMathPara>
          </w:p>
        </w:tc>
        <w:tc>
          <w:tcPr>
            <w:tcW w:w="630" w:type="pct"/>
            <w:tcBorders>
              <w:top w:val="nil"/>
              <w:left w:val="nil"/>
              <w:bottom w:val="single" w:sz="4" w:space="0" w:color="auto"/>
              <w:right w:val="nil"/>
            </w:tcBorders>
            <w:shd w:val="clear" w:color="auto" w:fill="auto"/>
            <w:noWrap/>
            <w:vAlign w:val="center"/>
            <w:hideMark/>
          </w:tcPr>
          <w:p w:rsidR="00455DEE" w:rsidRPr="000A35EF" w:rsidRDefault="00455DEE" w:rsidP="00FA5866">
            <w:pPr>
              <w:spacing w:after="0" w:line="240" w:lineRule="auto"/>
              <w:ind w:firstLine="0"/>
              <w:jc w:val="center"/>
              <w:rPr>
                <w:rFonts w:eastAsia="Times New Roman"/>
                <w:b/>
                <w:bCs/>
                <w:color w:val="000000"/>
                <w:sz w:val="20"/>
                <w:szCs w:val="20"/>
                <w:lang w:val="en-US"/>
              </w:rPr>
            </w:pPr>
            <w:r w:rsidRPr="000A35EF">
              <w:rPr>
                <w:rFonts w:eastAsia="Times New Roman"/>
                <w:b/>
                <w:bCs/>
                <w:color w:val="000000"/>
                <w:sz w:val="20"/>
                <w:szCs w:val="20"/>
                <w:lang w:val="en-US"/>
              </w:rPr>
              <w:t>-1,722**</w:t>
            </w:r>
          </w:p>
        </w:tc>
        <w:tc>
          <w:tcPr>
            <w:tcW w:w="630" w:type="pct"/>
            <w:tcBorders>
              <w:top w:val="nil"/>
              <w:left w:val="nil"/>
              <w:bottom w:val="single" w:sz="4" w:space="0" w:color="auto"/>
              <w:right w:val="nil"/>
            </w:tcBorders>
            <w:shd w:val="clear" w:color="auto" w:fill="auto"/>
            <w:noWrap/>
            <w:vAlign w:val="center"/>
            <w:hideMark/>
          </w:tcPr>
          <w:p w:rsidR="00455DEE" w:rsidRPr="000A35EF" w:rsidRDefault="00455DEE" w:rsidP="00FA5866">
            <w:pPr>
              <w:spacing w:after="0" w:line="240" w:lineRule="auto"/>
              <w:ind w:firstLine="0"/>
              <w:jc w:val="center"/>
              <w:rPr>
                <w:rFonts w:eastAsia="Times New Roman"/>
                <w:b/>
                <w:bCs/>
                <w:color w:val="000000"/>
                <w:sz w:val="20"/>
                <w:szCs w:val="20"/>
                <w:lang w:val="en-US"/>
              </w:rPr>
            </w:pPr>
            <w:r w:rsidRPr="000A35EF">
              <w:rPr>
                <w:rFonts w:eastAsia="Times New Roman"/>
                <w:b/>
                <w:bCs/>
                <w:color w:val="000000"/>
                <w:sz w:val="20"/>
                <w:szCs w:val="20"/>
                <w:lang w:val="en-US"/>
              </w:rPr>
              <w:t>-2,376**</w:t>
            </w:r>
          </w:p>
        </w:tc>
        <w:tc>
          <w:tcPr>
            <w:tcW w:w="678" w:type="pct"/>
            <w:tcBorders>
              <w:top w:val="nil"/>
              <w:left w:val="nil"/>
              <w:bottom w:val="single" w:sz="4" w:space="0" w:color="auto"/>
              <w:right w:val="nil"/>
            </w:tcBorders>
            <w:shd w:val="clear" w:color="auto" w:fill="auto"/>
            <w:noWrap/>
            <w:vAlign w:val="center"/>
            <w:hideMark/>
          </w:tcPr>
          <w:p w:rsidR="00455DEE" w:rsidRPr="000A35EF" w:rsidRDefault="00455DEE" w:rsidP="00FA5866">
            <w:pPr>
              <w:spacing w:after="0" w:line="240" w:lineRule="auto"/>
              <w:ind w:firstLine="0"/>
              <w:jc w:val="center"/>
              <w:rPr>
                <w:rFonts w:eastAsia="Times New Roman"/>
                <w:b/>
                <w:bCs/>
                <w:color w:val="000000"/>
                <w:sz w:val="20"/>
                <w:szCs w:val="20"/>
                <w:lang w:val="en-US"/>
              </w:rPr>
            </w:pPr>
            <w:r w:rsidRPr="000A35EF">
              <w:rPr>
                <w:rFonts w:eastAsia="Times New Roman"/>
                <w:b/>
                <w:bCs/>
                <w:color w:val="000000"/>
                <w:sz w:val="20"/>
                <w:szCs w:val="20"/>
                <w:lang w:val="en-US"/>
              </w:rPr>
              <w:t>-0,318**</w:t>
            </w:r>
          </w:p>
        </w:tc>
        <w:tc>
          <w:tcPr>
            <w:tcW w:w="690" w:type="pct"/>
            <w:tcBorders>
              <w:top w:val="nil"/>
              <w:left w:val="nil"/>
              <w:bottom w:val="single" w:sz="4" w:space="0" w:color="auto"/>
              <w:right w:val="nil"/>
            </w:tcBorders>
            <w:shd w:val="clear" w:color="auto" w:fill="auto"/>
            <w:noWrap/>
            <w:vAlign w:val="center"/>
            <w:hideMark/>
          </w:tcPr>
          <w:p w:rsidR="00455DEE" w:rsidRPr="000A35EF" w:rsidRDefault="00455DEE" w:rsidP="00FA5866">
            <w:pPr>
              <w:spacing w:after="0" w:line="240" w:lineRule="auto"/>
              <w:ind w:firstLine="0"/>
              <w:jc w:val="center"/>
              <w:rPr>
                <w:rFonts w:eastAsia="Times New Roman"/>
                <w:b/>
                <w:bCs/>
                <w:color w:val="000000"/>
                <w:sz w:val="20"/>
                <w:szCs w:val="20"/>
                <w:lang w:val="en-US"/>
              </w:rPr>
            </w:pPr>
            <w:r>
              <w:rPr>
                <w:rFonts w:eastAsia="Times New Roman"/>
                <w:b/>
                <w:bCs/>
                <w:color w:val="000000"/>
                <w:sz w:val="20"/>
                <w:szCs w:val="20"/>
                <w:lang w:val="en-US"/>
              </w:rPr>
              <w:t>-0,731</w:t>
            </w:r>
            <w:r w:rsidRPr="000A35EF">
              <w:rPr>
                <w:rFonts w:eastAsia="Times New Roman"/>
                <w:b/>
                <w:bCs/>
                <w:color w:val="000000"/>
                <w:sz w:val="20"/>
                <w:szCs w:val="20"/>
                <w:lang w:val="en-US"/>
              </w:rPr>
              <w:t>***</w:t>
            </w:r>
          </w:p>
        </w:tc>
      </w:tr>
      <w:tr w:rsidR="00455DEE" w:rsidRPr="000A35EF" w:rsidTr="00455DEE">
        <w:trPr>
          <w:trHeight w:val="883"/>
        </w:trPr>
        <w:tc>
          <w:tcPr>
            <w:tcW w:w="1022" w:type="pct"/>
            <w:tcBorders>
              <w:top w:val="single" w:sz="4" w:space="0" w:color="auto"/>
              <w:left w:val="nil"/>
              <w:bottom w:val="nil"/>
            </w:tcBorders>
            <w:shd w:val="clear" w:color="auto" w:fill="auto"/>
            <w:noWrap/>
            <w:vAlign w:val="bottom"/>
            <w:hideMark/>
          </w:tcPr>
          <w:p w:rsidR="00455DEE" w:rsidRPr="002C7A67" w:rsidRDefault="00455DEE" w:rsidP="00FA5866">
            <w:pPr>
              <w:spacing w:after="0" w:line="240" w:lineRule="auto"/>
              <w:ind w:firstLine="0"/>
              <w:jc w:val="left"/>
              <w:rPr>
                <w:rFonts w:eastAsia="Times New Roman"/>
                <w:color w:val="000000"/>
                <w:sz w:val="22"/>
                <w:szCs w:val="22"/>
                <w:lang w:val="en-US"/>
              </w:rPr>
            </w:pPr>
          </w:p>
        </w:tc>
        <w:tc>
          <w:tcPr>
            <w:tcW w:w="1350" w:type="pct"/>
            <w:tcBorders>
              <w:top w:val="single" w:sz="4" w:space="0" w:color="auto"/>
              <w:bottom w:val="single" w:sz="4" w:space="0" w:color="auto"/>
            </w:tcBorders>
            <w:shd w:val="clear" w:color="auto" w:fill="auto"/>
            <w:noWrap/>
            <w:vAlign w:val="center"/>
            <w:hideMark/>
          </w:tcPr>
          <w:p w:rsidR="00455DEE" w:rsidRPr="00FB1F53" w:rsidRDefault="00455DEE" w:rsidP="00FA5866">
            <w:pPr>
              <w:spacing w:after="0" w:line="240" w:lineRule="auto"/>
              <w:ind w:firstLine="0"/>
              <w:jc w:val="center"/>
              <w:rPr>
                <w:rFonts w:eastAsia="Times New Roman"/>
                <w:color w:val="000000"/>
                <w:lang w:val="en-US"/>
              </w:rPr>
            </w:pPr>
            <w:proofErr w:type="spellStart"/>
            <w:r w:rsidRPr="00FB1F53">
              <w:rPr>
                <w:rFonts w:eastAsia="Times New Roman"/>
                <w:color w:val="000000"/>
                <w:lang w:val="en-US"/>
              </w:rPr>
              <w:t>Fusionadas</w:t>
            </w:r>
            <w:proofErr w:type="spellEnd"/>
          </w:p>
        </w:tc>
        <w:tc>
          <w:tcPr>
            <w:tcW w:w="630" w:type="pct"/>
            <w:tcBorders>
              <w:top w:val="single" w:sz="4" w:space="0" w:color="auto"/>
              <w:left w:val="nil"/>
              <w:bottom w:val="single" w:sz="4" w:space="0" w:color="auto"/>
              <w:right w:val="nil"/>
            </w:tcBorders>
            <w:shd w:val="clear" w:color="auto" w:fill="auto"/>
            <w:noWrap/>
            <w:vAlign w:val="center"/>
            <w:hideMark/>
          </w:tcPr>
          <w:p w:rsidR="00455DEE" w:rsidRPr="000A35EF" w:rsidRDefault="00455DEE" w:rsidP="00FA5866">
            <w:pPr>
              <w:spacing w:after="0" w:line="240" w:lineRule="auto"/>
              <w:ind w:firstLine="0"/>
              <w:jc w:val="center"/>
              <w:rPr>
                <w:rFonts w:ascii="Calibri" w:eastAsia="Times New Roman" w:hAnsi="Calibri"/>
                <w:color w:val="000000"/>
                <w:sz w:val="22"/>
                <w:szCs w:val="22"/>
                <w:lang w:val="en-US"/>
              </w:rPr>
            </w:pPr>
          </w:p>
        </w:tc>
        <w:tc>
          <w:tcPr>
            <w:tcW w:w="630" w:type="pct"/>
            <w:tcBorders>
              <w:top w:val="single" w:sz="4" w:space="0" w:color="auto"/>
              <w:left w:val="nil"/>
              <w:bottom w:val="single" w:sz="4" w:space="0" w:color="auto"/>
              <w:right w:val="nil"/>
            </w:tcBorders>
            <w:shd w:val="clear" w:color="auto" w:fill="auto"/>
            <w:noWrap/>
            <w:vAlign w:val="center"/>
            <w:hideMark/>
          </w:tcPr>
          <w:p w:rsidR="00455DEE" w:rsidRPr="000A35EF" w:rsidRDefault="00455DEE" w:rsidP="00FA5866">
            <w:pPr>
              <w:spacing w:after="0" w:line="240" w:lineRule="auto"/>
              <w:ind w:firstLine="0"/>
              <w:jc w:val="center"/>
              <w:rPr>
                <w:rFonts w:ascii="Calibri" w:eastAsia="Times New Roman" w:hAnsi="Calibri"/>
                <w:color w:val="000000"/>
                <w:sz w:val="22"/>
                <w:szCs w:val="22"/>
                <w:lang w:val="en-US"/>
              </w:rPr>
            </w:pPr>
          </w:p>
        </w:tc>
        <w:tc>
          <w:tcPr>
            <w:tcW w:w="678" w:type="pct"/>
            <w:tcBorders>
              <w:top w:val="single" w:sz="4" w:space="0" w:color="auto"/>
              <w:left w:val="nil"/>
              <w:bottom w:val="single" w:sz="4" w:space="0" w:color="auto"/>
              <w:right w:val="nil"/>
            </w:tcBorders>
            <w:shd w:val="clear" w:color="auto" w:fill="auto"/>
            <w:noWrap/>
            <w:vAlign w:val="center"/>
            <w:hideMark/>
          </w:tcPr>
          <w:p w:rsidR="00455DEE" w:rsidRPr="000A35EF" w:rsidRDefault="00455DEE" w:rsidP="00FA5866">
            <w:pPr>
              <w:spacing w:after="0" w:line="240" w:lineRule="auto"/>
              <w:ind w:firstLine="0"/>
              <w:jc w:val="center"/>
              <w:rPr>
                <w:rFonts w:ascii="Calibri" w:eastAsia="Times New Roman" w:hAnsi="Calibri"/>
                <w:color w:val="000000"/>
                <w:sz w:val="22"/>
                <w:szCs w:val="22"/>
                <w:lang w:val="en-US"/>
              </w:rPr>
            </w:pPr>
          </w:p>
        </w:tc>
        <w:tc>
          <w:tcPr>
            <w:tcW w:w="690" w:type="pct"/>
            <w:tcBorders>
              <w:top w:val="single" w:sz="4" w:space="0" w:color="auto"/>
              <w:left w:val="nil"/>
              <w:bottom w:val="single" w:sz="4" w:space="0" w:color="auto"/>
              <w:right w:val="nil"/>
            </w:tcBorders>
            <w:shd w:val="clear" w:color="auto" w:fill="auto"/>
            <w:noWrap/>
            <w:vAlign w:val="center"/>
            <w:hideMark/>
          </w:tcPr>
          <w:p w:rsidR="00455DEE" w:rsidRPr="000A35EF" w:rsidRDefault="00455DEE" w:rsidP="00FA5866">
            <w:pPr>
              <w:spacing w:after="0" w:line="240" w:lineRule="auto"/>
              <w:ind w:firstLine="0"/>
              <w:jc w:val="center"/>
              <w:rPr>
                <w:rFonts w:ascii="Calibri" w:eastAsia="Times New Roman" w:hAnsi="Calibri"/>
                <w:color w:val="000000"/>
                <w:sz w:val="22"/>
                <w:szCs w:val="22"/>
                <w:lang w:val="en-US"/>
              </w:rPr>
            </w:pPr>
          </w:p>
        </w:tc>
      </w:tr>
      <w:tr w:rsidR="00455DEE" w:rsidRPr="000A35EF" w:rsidTr="00455DEE">
        <w:trPr>
          <w:gridAfter w:val="4"/>
          <w:wAfter w:w="2628" w:type="pct"/>
          <w:trHeight w:val="300"/>
        </w:trPr>
        <w:tc>
          <w:tcPr>
            <w:tcW w:w="1022" w:type="pct"/>
            <w:tcBorders>
              <w:top w:val="nil"/>
              <w:left w:val="nil"/>
              <w:bottom w:val="nil"/>
              <w:right w:val="nil"/>
            </w:tcBorders>
            <w:shd w:val="clear" w:color="auto" w:fill="auto"/>
            <w:noWrap/>
            <w:vAlign w:val="bottom"/>
            <w:hideMark/>
          </w:tcPr>
          <w:p w:rsidR="00455DEE" w:rsidRPr="002C7A67" w:rsidRDefault="00455DEE" w:rsidP="00FA5866">
            <w:pPr>
              <w:spacing w:after="0" w:line="240" w:lineRule="auto"/>
              <w:ind w:firstLine="0"/>
              <w:jc w:val="left"/>
              <w:rPr>
                <w:rFonts w:eastAsia="Times New Roman"/>
                <w:color w:val="000000"/>
                <w:sz w:val="22"/>
                <w:szCs w:val="22"/>
                <w:lang w:val="en-US"/>
              </w:rPr>
            </w:pPr>
          </w:p>
        </w:tc>
        <w:tc>
          <w:tcPr>
            <w:tcW w:w="1350" w:type="pct"/>
            <w:tcBorders>
              <w:top w:val="single" w:sz="4" w:space="0" w:color="auto"/>
              <w:left w:val="nil"/>
              <w:bottom w:val="nil"/>
              <w:right w:val="nil"/>
            </w:tcBorders>
            <w:shd w:val="clear" w:color="auto" w:fill="auto"/>
            <w:noWrap/>
            <w:vAlign w:val="bottom"/>
            <w:hideMark/>
          </w:tcPr>
          <w:p w:rsidR="00455DEE" w:rsidRPr="000A35EF" w:rsidRDefault="00455DEE" w:rsidP="00FA5866">
            <w:pPr>
              <w:spacing w:after="0" w:line="240" w:lineRule="auto"/>
              <w:ind w:firstLine="0"/>
              <w:jc w:val="left"/>
              <w:rPr>
                <w:rFonts w:ascii="Calibri" w:eastAsia="Times New Roman" w:hAnsi="Calibri"/>
                <w:color w:val="000000"/>
                <w:sz w:val="20"/>
                <w:szCs w:val="20"/>
                <w:lang w:val="en-US"/>
              </w:rPr>
            </w:pPr>
          </w:p>
        </w:tc>
      </w:tr>
      <w:tr w:rsidR="00455DEE" w:rsidRPr="000A35EF" w:rsidTr="00455DEE">
        <w:trPr>
          <w:trHeight w:val="300"/>
        </w:trPr>
        <w:tc>
          <w:tcPr>
            <w:tcW w:w="1022" w:type="pct"/>
            <w:tcBorders>
              <w:top w:val="nil"/>
              <w:left w:val="nil"/>
              <w:right w:val="nil"/>
            </w:tcBorders>
            <w:shd w:val="clear" w:color="auto" w:fill="auto"/>
            <w:noWrap/>
            <w:vAlign w:val="bottom"/>
            <w:hideMark/>
          </w:tcPr>
          <w:p w:rsidR="00455DEE" w:rsidRPr="002C7A67" w:rsidRDefault="00455DEE" w:rsidP="00FA5866">
            <w:pPr>
              <w:spacing w:after="0" w:line="240" w:lineRule="auto"/>
              <w:ind w:firstLine="0"/>
              <w:jc w:val="left"/>
              <w:rPr>
                <w:rFonts w:eastAsia="Times New Roman"/>
                <w:color w:val="000000"/>
                <w:sz w:val="22"/>
                <w:szCs w:val="22"/>
                <w:lang w:val="en-US"/>
              </w:rPr>
            </w:pPr>
          </w:p>
        </w:tc>
        <w:tc>
          <w:tcPr>
            <w:tcW w:w="1350" w:type="pct"/>
            <w:tcBorders>
              <w:top w:val="nil"/>
              <w:left w:val="nil"/>
              <w:right w:val="nil"/>
            </w:tcBorders>
            <w:shd w:val="clear" w:color="auto" w:fill="auto"/>
            <w:noWrap/>
            <w:vAlign w:val="center"/>
            <w:hideMark/>
          </w:tcPr>
          <w:p w:rsidR="00455DEE" w:rsidRPr="000A35EF" w:rsidRDefault="00455DEE" w:rsidP="00FA5866">
            <w:pPr>
              <w:spacing w:after="0" w:line="240" w:lineRule="auto"/>
              <w:ind w:firstLine="0"/>
              <w:jc w:val="center"/>
              <w:rPr>
                <w:rFonts w:eastAsia="Times New Roman"/>
                <w:color w:val="000000"/>
                <w:sz w:val="20"/>
                <w:szCs w:val="20"/>
                <w:lang w:val="en-US"/>
              </w:rPr>
            </w:pPr>
          </w:p>
        </w:tc>
        <w:tc>
          <w:tcPr>
            <w:tcW w:w="630" w:type="pct"/>
            <w:tcBorders>
              <w:top w:val="nil"/>
              <w:left w:val="nil"/>
              <w:bottom w:val="nil"/>
              <w:right w:val="nil"/>
            </w:tcBorders>
            <w:shd w:val="clear" w:color="auto" w:fill="auto"/>
            <w:noWrap/>
            <w:vAlign w:val="center"/>
            <w:hideMark/>
          </w:tcPr>
          <w:p w:rsidR="00455DEE" w:rsidRPr="000A35EF" w:rsidRDefault="00455DEE" w:rsidP="00FA5866">
            <w:pPr>
              <w:spacing w:after="0" w:line="240" w:lineRule="auto"/>
              <w:ind w:firstLine="0"/>
              <w:jc w:val="center"/>
              <w:rPr>
                <w:rFonts w:eastAsia="Times New Roman"/>
                <w:b/>
                <w:bCs/>
                <w:color w:val="000000"/>
                <w:sz w:val="20"/>
                <w:szCs w:val="20"/>
                <w:lang w:val="en-US"/>
              </w:rPr>
            </w:pPr>
            <w:r w:rsidRPr="000A35EF">
              <w:rPr>
                <w:rFonts w:eastAsia="Times New Roman"/>
                <w:b/>
                <w:bCs/>
                <w:color w:val="000000"/>
                <w:sz w:val="20"/>
                <w:szCs w:val="20"/>
                <w:lang w:val="en-US"/>
              </w:rPr>
              <w:t>CAR (2,2)</w:t>
            </w:r>
          </w:p>
        </w:tc>
        <w:tc>
          <w:tcPr>
            <w:tcW w:w="630" w:type="pct"/>
            <w:tcBorders>
              <w:top w:val="nil"/>
              <w:left w:val="nil"/>
              <w:bottom w:val="nil"/>
              <w:right w:val="nil"/>
            </w:tcBorders>
            <w:shd w:val="clear" w:color="auto" w:fill="auto"/>
            <w:noWrap/>
            <w:vAlign w:val="center"/>
            <w:hideMark/>
          </w:tcPr>
          <w:p w:rsidR="00455DEE" w:rsidRPr="000A35EF" w:rsidRDefault="00455DEE" w:rsidP="00FA5866">
            <w:pPr>
              <w:spacing w:after="0" w:line="240" w:lineRule="auto"/>
              <w:ind w:firstLine="0"/>
              <w:jc w:val="center"/>
              <w:rPr>
                <w:rFonts w:eastAsia="Times New Roman"/>
                <w:b/>
                <w:bCs/>
                <w:color w:val="000000"/>
                <w:sz w:val="20"/>
                <w:szCs w:val="20"/>
                <w:lang w:val="en-US"/>
              </w:rPr>
            </w:pPr>
            <w:r w:rsidRPr="000A35EF">
              <w:rPr>
                <w:rFonts w:eastAsia="Times New Roman"/>
                <w:b/>
                <w:bCs/>
                <w:color w:val="000000"/>
                <w:sz w:val="20"/>
                <w:szCs w:val="20"/>
                <w:lang w:val="en-US"/>
              </w:rPr>
              <w:t>CAR (5,5)</w:t>
            </w:r>
          </w:p>
        </w:tc>
        <w:tc>
          <w:tcPr>
            <w:tcW w:w="678" w:type="pct"/>
            <w:tcBorders>
              <w:top w:val="nil"/>
              <w:left w:val="nil"/>
              <w:bottom w:val="nil"/>
              <w:right w:val="nil"/>
            </w:tcBorders>
            <w:shd w:val="clear" w:color="auto" w:fill="auto"/>
            <w:noWrap/>
            <w:vAlign w:val="center"/>
            <w:hideMark/>
          </w:tcPr>
          <w:p w:rsidR="00455DEE" w:rsidRPr="000A35EF" w:rsidRDefault="00455DEE" w:rsidP="00FA5866">
            <w:pPr>
              <w:spacing w:after="0" w:line="240" w:lineRule="auto"/>
              <w:ind w:firstLine="0"/>
              <w:jc w:val="center"/>
              <w:rPr>
                <w:rFonts w:eastAsia="Times New Roman"/>
                <w:b/>
                <w:bCs/>
                <w:color w:val="000000"/>
                <w:sz w:val="20"/>
                <w:szCs w:val="20"/>
                <w:lang w:val="en-US"/>
              </w:rPr>
            </w:pPr>
            <w:r w:rsidRPr="000A35EF">
              <w:rPr>
                <w:rFonts w:eastAsia="Times New Roman"/>
                <w:b/>
                <w:bCs/>
                <w:color w:val="000000"/>
                <w:sz w:val="20"/>
                <w:szCs w:val="20"/>
                <w:lang w:val="en-US"/>
              </w:rPr>
              <w:t>CAR (25,5)</w:t>
            </w:r>
          </w:p>
        </w:tc>
        <w:tc>
          <w:tcPr>
            <w:tcW w:w="690" w:type="pct"/>
            <w:tcBorders>
              <w:top w:val="nil"/>
              <w:left w:val="nil"/>
              <w:bottom w:val="nil"/>
              <w:right w:val="nil"/>
            </w:tcBorders>
            <w:shd w:val="clear" w:color="auto" w:fill="auto"/>
            <w:noWrap/>
            <w:vAlign w:val="center"/>
            <w:hideMark/>
          </w:tcPr>
          <w:p w:rsidR="00455DEE" w:rsidRPr="000A35EF" w:rsidRDefault="00455DEE" w:rsidP="00FA5866">
            <w:pPr>
              <w:spacing w:after="0" w:line="240" w:lineRule="auto"/>
              <w:ind w:firstLine="0"/>
              <w:jc w:val="center"/>
              <w:rPr>
                <w:rFonts w:eastAsia="Times New Roman"/>
                <w:b/>
                <w:bCs/>
                <w:color w:val="000000"/>
                <w:sz w:val="20"/>
                <w:szCs w:val="20"/>
                <w:lang w:val="en-US"/>
              </w:rPr>
            </w:pPr>
            <w:r w:rsidRPr="000A35EF">
              <w:rPr>
                <w:rFonts w:eastAsia="Times New Roman"/>
                <w:b/>
                <w:bCs/>
                <w:color w:val="000000"/>
                <w:sz w:val="20"/>
                <w:szCs w:val="20"/>
                <w:lang w:val="en-US"/>
              </w:rPr>
              <w:t>CAR (50,5)</w:t>
            </w:r>
          </w:p>
        </w:tc>
      </w:tr>
      <w:tr w:rsidR="00455DEE" w:rsidRPr="000A35EF" w:rsidTr="00455DEE">
        <w:trPr>
          <w:trHeight w:val="336"/>
        </w:trPr>
        <w:tc>
          <w:tcPr>
            <w:tcW w:w="1022" w:type="pct"/>
            <w:tcBorders>
              <w:top w:val="nil"/>
              <w:left w:val="nil"/>
              <w:bottom w:val="single" w:sz="4" w:space="0" w:color="auto"/>
              <w:right w:val="nil"/>
            </w:tcBorders>
            <w:shd w:val="clear" w:color="auto" w:fill="auto"/>
            <w:noWrap/>
            <w:vAlign w:val="bottom"/>
            <w:hideMark/>
          </w:tcPr>
          <w:p w:rsidR="00455DEE" w:rsidRPr="002C7A67" w:rsidRDefault="00455DEE" w:rsidP="00FA5866">
            <w:pPr>
              <w:spacing w:after="0" w:line="240" w:lineRule="auto"/>
              <w:ind w:firstLine="0"/>
              <w:jc w:val="left"/>
              <w:rPr>
                <w:rFonts w:eastAsia="Times New Roman"/>
                <w:color w:val="000000"/>
                <w:sz w:val="22"/>
                <w:szCs w:val="22"/>
                <w:lang w:val="en-US"/>
              </w:rPr>
            </w:pPr>
          </w:p>
          <w:p w:rsidR="00455DEE" w:rsidRPr="002C7A67" w:rsidRDefault="00455DEE" w:rsidP="00FA5866">
            <w:pPr>
              <w:spacing w:after="0" w:line="240" w:lineRule="auto"/>
              <w:ind w:firstLine="0"/>
              <w:jc w:val="left"/>
              <w:rPr>
                <w:rFonts w:eastAsia="Times New Roman"/>
                <w:color w:val="000000"/>
                <w:sz w:val="22"/>
                <w:szCs w:val="22"/>
                <w:lang w:val="en-US"/>
              </w:rPr>
            </w:pPr>
          </w:p>
        </w:tc>
        <w:tc>
          <w:tcPr>
            <w:tcW w:w="1350" w:type="pct"/>
            <w:tcBorders>
              <w:top w:val="nil"/>
              <w:left w:val="nil"/>
              <w:bottom w:val="single" w:sz="4" w:space="0" w:color="auto"/>
              <w:right w:val="nil"/>
            </w:tcBorders>
            <w:shd w:val="clear" w:color="auto" w:fill="auto"/>
            <w:noWrap/>
            <w:vAlign w:val="center"/>
            <w:hideMark/>
          </w:tcPr>
          <w:p w:rsidR="00455DEE" w:rsidRPr="000A35EF" w:rsidRDefault="00455DEE" w:rsidP="00FA5866">
            <w:pPr>
              <w:spacing w:after="0" w:line="240" w:lineRule="auto"/>
              <w:ind w:firstLine="0"/>
              <w:jc w:val="center"/>
              <w:rPr>
                <w:rFonts w:eastAsia="Times New Roman"/>
                <w:color w:val="000000"/>
                <w:sz w:val="20"/>
                <w:szCs w:val="20"/>
                <w:lang w:val="en-US"/>
              </w:rPr>
            </w:pPr>
            <w:proofErr w:type="spellStart"/>
            <w:r>
              <w:rPr>
                <w:rFonts w:eastAsia="Times New Roman"/>
                <w:color w:val="000000"/>
                <w:sz w:val="20"/>
                <w:szCs w:val="20"/>
                <w:lang w:val="en-US"/>
              </w:rPr>
              <w:t>Variáveis</w:t>
            </w:r>
            <w:proofErr w:type="spellEnd"/>
          </w:p>
        </w:tc>
        <w:tc>
          <w:tcPr>
            <w:tcW w:w="630" w:type="pct"/>
            <w:tcBorders>
              <w:top w:val="nil"/>
              <w:left w:val="nil"/>
              <w:bottom w:val="single" w:sz="4" w:space="0" w:color="auto"/>
              <w:right w:val="nil"/>
            </w:tcBorders>
            <w:shd w:val="clear" w:color="auto" w:fill="auto"/>
            <w:noWrap/>
            <w:vAlign w:val="center"/>
            <w:hideMark/>
          </w:tcPr>
          <w:p w:rsidR="00455DEE" w:rsidRPr="000A35EF" w:rsidRDefault="00455DEE" w:rsidP="00FA5866">
            <w:pPr>
              <w:spacing w:after="0" w:line="240" w:lineRule="auto"/>
              <w:ind w:firstLine="0"/>
              <w:jc w:val="center"/>
              <w:rPr>
                <w:rFonts w:eastAsia="Times New Roman"/>
                <w:b/>
                <w:bCs/>
                <w:color w:val="000000"/>
                <w:sz w:val="20"/>
                <w:szCs w:val="20"/>
                <w:lang w:val="en-US"/>
              </w:rPr>
            </w:pPr>
            <w:r w:rsidRPr="000A35EF">
              <w:rPr>
                <w:rFonts w:eastAsia="Times New Roman"/>
                <w:b/>
                <w:bCs/>
                <w:color w:val="000000"/>
                <w:sz w:val="20"/>
                <w:szCs w:val="20"/>
                <w:lang w:val="en-US"/>
              </w:rPr>
              <w:t> </w:t>
            </w:r>
          </w:p>
        </w:tc>
        <w:tc>
          <w:tcPr>
            <w:tcW w:w="630" w:type="pct"/>
            <w:tcBorders>
              <w:top w:val="nil"/>
              <w:left w:val="nil"/>
              <w:bottom w:val="single" w:sz="4" w:space="0" w:color="auto"/>
              <w:right w:val="nil"/>
            </w:tcBorders>
            <w:shd w:val="clear" w:color="auto" w:fill="auto"/>
            <w:noWrap/>
            <w:vAlign w:val="center"/>
            <w:hideMark/>
          </w:tcPr>
          <w:p w:rsidR="00455DEE" w:rsidRPr="000A35EF" w:rsidRDefault="00455DEE" w:rsidP="00FA5866">
            <w:pPr>
              <w:spacing w:after="0" w:line="240" w:lineRule="auto"/>
              <w:ind w:firstLine="0"/>
              <w:jc w:val="center"/>
              <w:rPr>
                <w:rFonts w:eastAsia="Times New Roman"/>
                <w:b/>
                <w:bCs/>
                <w:color w:val="000000"/>
                <w:sz w:val="20"/>
                <w:szCs w:val="20"/>
                <w:lang w:val="en-US"/>
              </w:rPr>
            </w:pPr>
            <w:r w:rsidRPr="000A35EF">
              <w:rPr>
                <w:rFonts w:eastAsia="Times New Roman"/>
                <w:b/>
                <w:bCs/>
                <w:color w:val="000000"/>
                <w:sz w:val="20"/>
                <w:szCs w:val="20"/>
                <w:lang w:val="en-US"/>
              </w:rPr>
              <w:t> </w:t>
            </w:r>
          </w:p>
        </w:tc>
        <w:tc>
          <w:tcPr>
            <w:tcW w:w="678" w:type="pct"/>
            <w:tcBorders>
              <w:top w:val="nil"/>
              <w:left w:val="nil"/>
              <w:bottom w:val="single" w:sz="4" w:space="0" w:color="auto"/>
              <w:right w:val="nil"/>
            </w:tcBorders>
            <w:shd w:val="clear" w:color="auto" w:fill="auto"/>
            <w:noWrap/>
            <w:vAlign w:val="center"/>
            <w:hideMark/>
          </w:tcPr>
          <w:p w:rsidR="00455DEE" w:rsidRPr="000A35EF" w:rsidRDefault="00455DEE" w:rsidP="00FA5866">
            <w:pPr>
              <w:spacing w:after="0" w:line="240" w:lineRule="auto"/>
              <w:ind w:firstLine="0"/>
              <w:jc w:val="center"/>
              <w:rPr>
                <w:rFonts w:eastAsia="Times New Roman"/>
                <w:b/>
                <w:bCs/>
                <w:color w:val="000000"/>
                <w:sz w:val="20"/>
                <w:szCs w:val="20"/>
                <w:lang w:val="en-US"/>
              </w:rPr>
            </w:pPr>
            <w:r w:rsidRPr="000A35EF">
              <w:rPr>
                <w:rFonts w:eastAsia="Times New Roman"/>
                <w:b/>
                <w:bCs/>
                <w:color w:val="000000"/>
                <w:sz w:val="20"/>
                <w:szCs w:val="20"/>
                <w:lang w:val="en-US"/>
              </w:rPr>
              <w:t> </w:t>
            </w:r>
          </w:p>
        </w:tc>
        <w:tc>
          <w:tcPr>
            <w:tcW w:w="690" w:type="pct"/>
            <w:tcBorders>
              <w:top w:val="nil"/>
              <w:left w:val="nil"/>
              <w:bottom w:val="single" w:sz="4" w:space="0" w:color="auto"/>
              <w:right w:val="nil"/>
            </w:tcBorders>
            <w:shd w:val="clear" w:color="auto" w:fill="auto"/>
            <w:noWrap/>
            <w:vAlign w:val="center"/>
            <w:hideMark/>
          </w:tcPr>
          <w:p w:rsidR="00455DEE" w:rsidRPr="000A35EF" w:rsidRDefault="00455DEE" w:rsidP="00FA5866">
            <w:pPr>
              <w:spacing w:after="0" w:line="240" w:lineRule="auto"/>
              <w:ind w:firstLine="0"/>
              <w:jc w:val="center"/>
              <w:rPr>
                <w:rFonts w:eastAsia="Times New Roman"/>
                <w:b/>
                <w:bCs/>
                <w:color w:val="000000"/>
                <w:sz w:val="20"/>
                <w:szCs w:val="20"/>
                <w:lang w:val="en-US"/>
              </w:rPr>
            </w:pPr>
            <w:r w:rsidRPr="000A35EF">
              <w:rPr>
                <w:rFonts w:eastAsia="Times New Roman"/>
                <w:b/>
                <w:bCs/>
                <w:color w:val="000000"/>
                <w:sz w:val="20"/>
                <w:szCs w:val="20"/>
                <w:lang w:val="en-US"/>
              </w:rPr>
              <w:t> </w:t>
            </w:r>
          </w:p>
        </w:tc>
      </w:tr>
      <w:tr w:rsidR="00455DEE" w:rsidRPr="000A35EF" w:rsidTr="00455DEE">
        <w:trPr>
          <w:trHeight w:val="300"/>
        </w:trPr>
        <w:tc>
          <w:tcPr>
            <w:tcW w:w="1022" w:type="pct"/>
            <w:tcBorders>
              <w:top w:val="single" w:sz="4" w:space="0" w:color="auto"/>
              <w:left w:val="nil"/>
              <w:bottom w:val="nil"/>
              <w:right w:val="nil"/>
            </w:tcBorders>
            <w:shd w:val="clear" w:color="auto" w:fill="auto"/>
            <w:noWrap/>
            <w:vAlign w:val="bottom"/>
            <w:hideMark/>
          </w:tcPr>
          <w:p w:rsidR="00455DEE" w:rsidRPr="002C7A67" w:rsidRDefault="00455DEE" w:rsidP="00FA5866">
            <w:pPr>
              <w:spacing w:after="0" w:line="240" w:lineRule="auto"/>
              <w:ind w:firstLine="0"/>
              <w:jc w:val="left"/>
              <w:rPr>
                <w:rFonts w:eastAsia="Times New Roman"/>
                <w:color w:val="000000"/>
                <w:sz w:val="22"/>
                <w:szCs w:val="22"/>
                <w:lang w:val="en-US"/>
              </w:rPr>
            </w:pPr>
            <w:r>
              <w:rPr>
                <w:rFonts w:eastAsia="Times New Roman"/>
                <w:color w:val="000000"/>
                <w:sz w:val="22"/>
                <w:szCs w:val="22"/>
                <w:lang w:val="en-US"/>
              </w:rPr>
              <w:t>Total</w:t>
            </w:r>
          </w:p>
        </w:tc>
        <w:tc>
          <w:tcPr>
            <w:tcW w:w="1350" w:type="pct"/>
            <w:tcBorders>
              <w:top w:val="single" w:sz="4" w:space="0" w:color="auto"/>
              <w:left w:val="nil"/>
              <w:bottom w:val="nil"/>
              <w:right w:val="nil"/>
            </w:tcBorders>
            <w:shd w:val="clear" w:color="auto" w:fill="auto"/>
            <w:noWrap/>
            <w:vAlign w:val="bottom"/>
            <w:hideMark/>
          </w:tcPr>
          <w:p w:rsidR="00455DEE" w:rsidRPr="000A35EF" w:rsidRDefault="00455DEE" w:rsidP="00FA5866">
            <w:pPr>
              <w:spacing w:after="0" w:line="240" w:lineRule="auto"/>
              <w:ind w:firstLine="0"/>
              <w:jc w:val="left"/>
              <w:rPr>
                <w:rFonts w:eastAsia="Times New Roman"/>
                <w:color w:val="000000"/>
                <w:sz w:val="20"/>
                <w:szCs w:val="20"/>
                <w:lang w:val="en-US"/>
              </w:rPr>
            </w:pPr>
            <m:oMathPara>
              <m:oMath>
                <m:r>
                  <w:rPr>
                    <w:rFonts w:ascii="Cambria Math" w:eastAsia="Times New Roman" w:hAnsi="Cambria Math"/>
                    <w:color w:val="000000"/>
                    <w:sz w:val="20"/>
                    <w:szCs w:val="20"/>
                  </w:rPr>
                  <m:t>∆</m:t>
                </m:r>
                <m:sSub>
                  <m:sSubPr>
                    <m:ctrlPr>
                      <w:rPr>
                        <w:rFonts w:ascii="Cambria Math" w:eastAsia="Times New Roman" w:hAnsi="Cambria Math"/>
                        <w:color w:val="000000"/>
                        <w:sz w:val="20"/>
                        <w:szCs w:val="20"/>
                      </w:rPr>
                    </m:ctrlPr>
                  </m:sSubPr>
                  <m:e>
                    <m:r>
                      <m:rPr>
                        <m:sty m:val="p"/>
                      </m:rPr>
                      <w:rPr>
                        <w:rFonts w:ascii="Cambria Math" w:eastAsia="Times New Roman" w:hAnsi="Cambria Math"/>
                        <w:color w:val="000000"/>
                        <w:sz w:val="20"/>
                        <w:szCs w:val="20"/>
                      </w:rPr>
                      <m:t>Π</m:t>
                    </m:r>
                    <m:ctrlPr>
                      <w:rPr>
                        <w:rFonts w:ascii="Cambria Math" w:eastAsia="Times New Roman" w:hAnsi="Cambria Math"/>
                        <w:i/>
                        <w:color w:val="000000"/>
                        <w:sz w:val="20"/>
                        <w:szCs w:val="20"/>
                      </w:rPr>
                    </m:ctrlPr>
                  </m:e>
                  <m:sub>
                    <m:r>
                      <w:rPr>
                        <w:rFonts w:ascii="Cambria Math" w:eastAsia="Times New Roman" w:hAnsi="Cambria Math"/>
                        <w:color w:val="000000"/>
                        <w:sz w:val="20"/>
                        <w:szCs w:val="20"/>
                      </w:rPr>
                      <m:t>t+</m:t>
                    </m:r>
                    <m:r>
                      <w:rPr>
                        <w:rFonts w:ascii="Cambria Math" w:eastAsia="Times New Roman"/>
                        <w:color w:val="000000"/>
                        <w:sz w:val="20"/>
                        <w:szCs w:val="20"/>
                      </w:rPr>
                      <m:t>10</m:t>
                    </m:r>
                    <m:ctrlPr>
                      <w:rPr>
                        <w:rFonts w:ascii="Cambria Math" w:eastAsia="Times New Roman" w:hAnsi="Cambria Math"/>
                        <w:i/>
                        <w:color w:val="000000"/>
                        <w:sz w:val="20"/>
                        <w:szCs w:val="20"/>
                      </w:rPr>
                    </m:ctrlPr>
                  </m:sub>
                </m:sSub>
              </m:oMath>
            </m:oMathPara>
          </w:p>
        </w:tc>
        <w:tc>
          <w:tcPr>
            <w:tcW w:w="630" w:type="pct"/>
            <w:tcBorders>
              <w:top w:val="nil"/>
              <w:left w:val="nil"/>
              <w:bottom w:val="nil"/>
              <w:right w:val="nil"/>
            </w:tcBorders>
            <w:shd w:val="clear" w:color="auto" w:fill="auto"/>
            <w:noWrap/>
            <w:vAlign w:val="center"/>
            <w:hideMark/>
          </w:tcPr>
          <w:p w:rsidR="00455DEE" w:rsidRPr="000A35EF" w:rsidRDefault="00455DEE" w:rsidP="00FA5866">
            <w:pPr>
              <w:spacing w:after="0" w:line="240" w:lineRule="auto"/>
              <w:ind w:firstLine="0"/>
              <w:jc w:val="center"/>
              <w:rPr>
                <w:rFonts w:eastAsia="Times New Roman"/>
                <w:color w:val="000000"/>
                <w:sz w:val="20"/>
                <w:szCs w:val="20"/>
                <w:lang w:val="en-US"/>
              </w:rPr>
            </w:pPr>
            <w:r w:rsidRPr="000A35EF">
              <w:rPr>
                <w:rFonts w:eastAsia="Times New Roman"/>
                <w:color w:val="000000"/>
                <w:sz w:val="20"/>
                <w:szCs w:val="20"/>
                <w:lang w:val="en-US"/>
              </w:rPr>
              <w:t>0.1342</w:t>
            </w:r>
          </w:p>
        </w:tc>
        <w:tc>
          <w:tcPr>
            <w:tcW w:w="630" w:type="pct"/>
            <w:tcBorders>
              <w:top w:val="nil"/>
              <w:left w:val="nil"/>
              <w:bottom w:val="nil"/>
              <w:right w:val="nil"/>
            </w:tcBorders>
            <w:shd w:val="clear" w:color="auto" w:fill="auto"/>
            <w:noWrap/>
            <w:vAlign w:val="center"/>
            <w:hideMark/>
          </w:tcPr>
          <w:p w:rsidR="00455DEE" w:rsidRPr="000A35EF" w:rsidRDefault="00455DEE" w:rsidP="00FA5866">
            <w:pPr>
              <w:spacing w:after="0" w:line="240" w:lineRule="auto"/>
              <w:ind w:firstLine="0"/>
              <w:jc w:val="center"/>
              <w:rPr>
                <w:rFonts w:eastAsia="Times New Roman"/>
                <w:color w:val="000000"/>
                <w:sz w:val="20"/>
                <w:szCs w:val="20"/>
                <w:lang w:val="en-US"/>
              </w:rPr>
            </w:pPr>
            <w:r w:rsidRPr="000A35EF">
              <w:rPr>
                <w:rFonts w:eastAsia="Times New Roman"/>
                <w:color w:val="000000"/>
                <w:sz w:val="20"/>
                <w:szCs w:val="20"/>
                <w:lang w:val="en-US"/>
              </w:rPr>
              <w:t>0.1714</w:t>
            </w:r>
          </w:p>
        </w:tc>
        <w:tc>
          <w:tcPr>
            <w:tcW w:w="678" w:type="pct"/>
            <w:tcBorders>
              <w:top w:val="nil"/>
              <w:left w:val="nil"/>
              <w:bottom w:val="nil"/>
              <w:right w:val="nil"/>
            </w:tcBorders>
            <w:shd w:val="clear" w:color="auto" w:fill="auto"/>
            <w:noWrap/>
            <w:vAlign w:val="center"/>
            <w:hideMark/>
          </w:tcPr>
          <w:p w:rsidR="00455DEE" w:rsidRPr="000A35EF" w:rsidRDefault="00455DEE" w:rsidP="00FA5866">
            <w:pPr>
              <w:spacing w:after="0" w:line="240" w:lineRule="auto"/>
              <w:ind w:firstLine="0"/>
              <w:jc w:val="center"/>
              <w:rPr>
                <w:rFonts w:eastAsia="Times New Roman"/>
                <w:color w:val="000000"/>
                <w:sz w:val="20"/>
                <w:szCs w:val="20"/>
                <w:lang w:val="en-US"/>
              </w:rPr>
            </w:pPr>
            <w:r w:rsidRPr="000A35EF">
              <w:rPr>
                <w:rFonts w:eastAsia="Times New Roman"/>
                <w:color w:val="000000"/>
                <w:sz w:val="20"/>
                <w:szCs w:val="20"/>
                <w:lang w:val="en-US"/>
              </w:rPr>
              <w:t>0.043</w:t>
            </w:r>
          </w:p>
        </w:tc>
        <w:tc>
          <w:tcPr>
            <w:tcW w:w="690" w:type="pct"/>
            <w:tcBorders>
              <w:top w:val="nil"/>
              <w:left w:val="nil"/>
              <w:bottom w:val="nil"/>
              <w:right w:val="nil"/>
            </w:tcBorders>
            <w:shd w:val="clear" w:color="auto" w:fill="auto"/>
            <w:noWrap/>
            <w:vAlign w:val="center"/>
            <w:hideMark/>
          </w:tcPr>
          <w:p w:rsidR="00455DEE" w:rsidRPr="000A35EF" w:rsidRDefault="00455DEE" w:rsidP="00FA5866">
            <w:pPr>
              <w:spacing w:after="0" w:line="240" w:lineRule="auto"/>
              <w:ind w:firstLine="0"/>
              <w:jc w:val="center"/>
              <w:rPr>
                <w:rFonts w:eastAsia="Times New Roman"/>
                <w:color w:val="000000"/>
                <w:sz w:val="20"/>
                <w:szCs w:val="20"/>
                <w:lang w:val="en-US"/>
              </w:rPr>
            </w:pPr>
            <w:r w:rsidRPr="000A35EF">
              <w:rPr>
                <w:rFonts w:eastAsia="Times New Roman"/>
                <w:color w:val="000000"/>
                <w:sz w:val="20"/>
                <w:szCs w:val="20"/>
                <w:lang w:val="en-US"/>
              </w:rPr>
              <w:t>-0.1807</w:t>
            </w:r>
          </w:p>
        </w:tc>
      </w:tr>
      <w:tr w:rsidR="00455DEE" w:rsidRPr="000A35EF" w:rsidTr="00455DEE">
        <w:trPr>
          <w:trHeight w:val="300"/>
        </w:trPr>
        <w:tc>
          <w:tcPr>
            <w:tcW w:w="1022" w:type="pct"/>
            <w:tcBorders>
              <w:top w:val="nil"/>
              <w:left w:val="nil"/>
              <w:bottom w:val="nil"/>
              <w:right w:val="nil"/>
            </w:tcBorders>
            <w:shd w:val="clear" w:color="auto" w:fill="auto"/>
            <w:noWrap/>
            <w:vAlign w:val="bottom"/>
            <w:hideMark/>
          </w:tcPr>
          <w:p w:rsidR="00455DEE" w:rsidRPr="002C7A67" w:rsidRDefault="00455DEE" w:rsidP="00FA5866">
            <w:pPr>
              <w:spacing w:after="0" w:line="240" w:lineRule="auto"/>
              <w:ind w:firstLine="0"/>
              <w:jc w:val="left"/>
              <w:rPr>
                <w:rFonts w:eastAsia="Times New Roman"/>
                <w:color w:val="000000"/>
                <w:sz w:val="22"/>
                <w:szCs w:val="22"/>
                <w:lang w:val="en-US"/>
              </w:rPr>
            </w:pPr>
          </w:p>
        </w:tc>
        <w:tc>
          <w:tcPr>
            <w:tcW w:w="1350" w:type="pct"/>
            <w:tcBorders>
              <w:top w:val="nil"/>
              <w:left w:val="nil"/>
              <w:bottom w:val="nil"/>
              <w:right w:val="nil"/>
            </w:tcBorders>
            <w:shd w:val="clear" w:color="auto" w:fill="auto"/>
            <w:noWrap/>
            <w:vAlign w:val="bottom"/>
            <w:hideMark/>
          </w:tcPr>
          <w:p w:rsidR="00455DEE" w:rsidRPr="000A35EF" w:rsidRDefault="006E76EF" w:rsidP="00FA5866">
            <w:pPr>
              <w:spacing w:after="0" w:line="240" w:lineRule="auto"/>
              <w:ind w:firstLine="0"/>
              <w:jc w:val="left"/>
              <w:rPr>
                <w:rFonts w:eastAsia="Times New Roman"/>
                <w:color w:val="000000"/>
                <w:sz w:val="20"/>
                <w:szCs w:val="20"/>
                <w:lang w:val="en-US"/>
              </w:rPr>
            </w:pPr>
            <m:oMathPara>
              <m:oMath>
                <m:sSub>
                  <m:sSubPr>
                    <m:ctrlPr>
                      <w:rPr>
                        <w:rFonts w:ascii="Cambria Math" w:eastAsia="Times New Roman" w:hAnsi="Cambria Math"/>
                        <w:i/>
                        <w:color w:val="000000"/>
                        <w:sz w:val="20"/>
                        <w:szCs w:val="20"/>
                      </w:rPr>
                    </m:ctrlPr>
                  </m:sSubPr>
                  <m:e>
                    <m:r>
                      <m:rPr>
                        <m:sty m:val="p"/>
                      </m:rPr>
                      <w:rPr>
                        <w:rFonts w:ascii="Cambria Math" w:eastAsia="Times New Roman" w:hAnsi="Cambria Math"/>
                        <w:color w:val="000000"/>
                        <w:sz w:val="20"/>
                        <w:szCs w:val="20"/>
                      </w:rPr>
                      <m:t>Π</m:t>
                    </m:r>
                    <m:ctrlPr>
                      <w:rPr>
                        <w:rFonts w:ascii="Cambria Math" w:eastAsia="Times New Roman" w:hAnsi="Cambria Math"/>
                        <w:color w:val="000000"/>
                        <w:sz w:val="20"/>
                        <w:szCs w:val="20"/>
                      </w:rPr>
                    </m:ctrlPr>
                  </m:e>
                  <m:sub>
                    <m:r>
                      <w:rPr>
                        <w:rFonts w:ascii="Cambria Math" w:eastAsia="Times New Roman" w:hAnsi="Cambria Math"/>
                        <w:color w:val="000000"/>
                        <w:sz w:val="20"/>
                        <w:szCs w:val="20"/>
                      </w:rPr>
                      <m:t>t-</m:t>
                    </m:r>
                    <m:r>
                      <w:rPr>
                        <w:rFonts w:ascii="Cambria Math" w:eastAsia="Times New Roman"/>
                        <w:color w:val="000000"/>
                        <w:sz w:val="20"/>
                        <w:szCs w:val="20"/>
                      </w:rPr>
                      <m:t>1</m:t>
                    </m:r>
                  </m:sub>
                </m:sSub>
              </m:oMath>
            </m:oMathPara>
          </w:p>
        </w:tc>
        <w:tc>
          <w:tcPr>
            <w:tcW w:w="630" w:type="pct"/>
            <w:tcBorders>
              <w:top w:val="nil"/>
              <w:left w:val="nil"/>
              <w:bottom w:val="nil"/>
              <w:right w:val="nil"/>
            </w:tcBorders>
            <w:shd w:val="clear" w:color="auto" w:fill="auto"/>
            <w:noWrap/>
            <w:vAlign w:val="center"/>
            <w:hideMark/>
          </w:tcPr>
          <w:p w:rsidR="00455DEE" w:rsidRPr="000A35EF" w:rsidRDefault="00455DEE" w:rsidP="00FA5866">
            <w:pPr>
              <w:spacing w:after="0" w:line="240" w:lineRule="auto"/>
              <w:ind w:firstLine="0"/>
              <w:jc w:val="center"/>
              <w:rPr>
                <w:rFonts w:eastAsia="Times New Roman"/>
                <w:color w:val="000000"/>
                <w:sz w:val="20"/>
                <w:szCs w:val="20"/>
                <w:lang w:val="en-US"/>
              </w:rPr>
            </w:pPr>
            <w:r w:rsidRPr="000A35EF">
              <w:rPr>
                <w:rFonts w:eastAsia="Times New Roman"/>
                <w:color w:val="000000"/>
                <w:sz w:val="20"/>
                <w:szCs w:val="20"/>
                <w:lang w:val="en-US"/>
              </w:rPr>
              <w:t>0.5589</w:t>
            </w:r>
          </w:p>
        </w:tc>
        <w:tc>
          <w:tcPr>
            <w:tcW w:w="630" w:type="pct"/>
            <w:tcBorders>
              <w:top w:val="nil"/>
              <w:left w:val="nil"/>
              <w:bottom w:val="nil"/>
              <w:right w:val="nil"/>
            </w:tcBorders>
            <w:shd w:val="clear" w:color="auto" w:fill="auto"/>
            <w:noWrap/>
            <w:vAlign w:val="center"/>
            <w:hideMark/>
          </w:tcPr>
          <w:p w:rsidR="00455DEE" w:rsidRPr="000A35EF" w:rsidRDefault="00455DEE" w:rsidP="00FA5866">
            <w:pPr>
              <w:spacing w:after="0" w:line="240" w:lineRule="auto"/>
              <w:ind w:firstLine="0"/>
              <w:jc w:val="center"/>
              <w:rPr>
                <w:rFonts w:eastAsia="Times New Roman"/>
                <w:color w:val="000000"/>
                <w:sz w:val="20"/>
                <w:szCs w:val="20"/>
                <w:lang w:val="en-US"/>
              </w:rPr>
            </w:pPr>
            <w:r w:rsidRPr="000A35EF">
              <w:rPr>
                <w:rFonts w:eastAsia="Times New Roman"/>
                <w:color w:val="000000"/>
                <w:sz w:val="20"/>
                <w:szCs w:val="20"/>
                <w:lang w:val="en-US"/>
              </w:rPr>
              <w:t>-0.1601</w:t>
            </w:r>
          </w:p>
        </w:tc>
        <w:tc>
          <w:tcPr>
            <w:tcW w:w="678" w:type="pct"/>
            <w:tcBorders>
              <w:top w:val="nil"/>
              <w:left w:val="nil"/>
              <w:bottom w:val="nil"/>
              <w:right w:val="nil"/>
            </w:tcBorders>
            <w:shd w:val="clear" w:color="auto" w:fill="auto"/>
            <w:noWrap/>
            <w:vAlign w:val="center"/>
            <w:hideMark/>
          </w:tcPr>
          <w:p w:rsidR="00455DEE" w:rsidRPr="000A35EF" w:rsidRDefault="00455DEE" w:rsidP="00FA5866">
            <w:pPr>
              <w:spacing w:after="0" w:line="240" w:lineRule="auto"/>
              <w:ind w:firstLine="0"/>
              <w:jc w:val="center"/>
              <w:rPr>
                <w:rFonts w:eastAsia="Times New Roman"/>
                <w:color w:val="000000"/>
                <w:sz w:val="20"/>
                <w:szCs w:val="20"/>
                <w:lang w:val="en-US"/>
              </w:rPr>
            </w:pPr>
            <w:r w:rsidRPr="000A35EF">
              <w:rPr>
                <w:rFonts w:eastAsia="Times New Roman"/>
                <w:color w:val="000000"/>
                <w:sz w:val="20"/>
                <w:szCs w:val="20"/>
                <w:lang w:val="en-US"/>
              </w:rPr>
              <w:t>-0.261</w:t>
            </w:r>
          </w:p>
        </w:tc>
        <w:tc>
          <w:tcPr>
            <w:tcW w:w="690" w:type="pct"/>
            <w:tcBorders>
              <w:top w:val="nil"/>
              <w:left w:val="nil"/>
              <w:bottom w:val="nil"/>
              <w:right w:val="nil"/>
            </w:tcBorders>
            <w:shd w:val="clear" w:color="auto" w:fill="auto"/>
            <w:noWrap/>
            <w:vAlign w:val="center"/>
            <w:hideMark/>
          </w:tcPr>
          <w:p w:rsidR="00455DEE" w:rsidRPr="000A35EF" w:rsidRDefault="00455DEE" w:rsidP="00FA5866">
            <w:pPr>
              <w:spacing w:after="0" w:line="240" w:lineRule="auto"/>
              <w:ind w:firstLine="0"/>
              <w:jc w:val="center"/>
              <w:rPr>
                <w:rFonts w:eastAsia="Times New Roman"/>
                <w:color w:val="000000"/>
                <w:sz w:val="20"/>
                <w:szCs w:val="20"/>
                <w:lang w:val="en-US"/>
              </w:rPr>
            </w:pPr>
            <w:r w:rsidRPr="000A35EF">
              <w:rPr>
                <w:rFonts w:eastAsia="Times New Roman"/>
                <w:color w:val="000000"/>
                <w:sz w:val="20"/>
                <w:szCs w:val="20"/>
                <w:lang w:val="en-US"/>
              </w:rPr>
              <w:t>-3.4327</w:t>
            </w:r>
          </w:p>
        </w:tc>
      </w:tr>
      <w:tr w:rsidR="00455DEE" w:rsidRPr="000A35EF" w:rsidTr="00455DEE">
        <w:trPr>
          <w:trHeight w:val="300"/>
        </w:trPr>
        <w:tc>
          <w:tcPr>
            <w:tcW w:w="1022" w:type="pct"/>
            <w:tcBorders>
              <w:top w:val="nil"/>
              <w:left w:val="nil"/>
              <w:bottom w:val="nil"/>
              <w:right w:val="nil"/>
            </w:tcBorders>
            <w:shd w:val="clear" w:color="auto" w:fill="auto"/>
            <w:noWrap/>
            <w:vAlign w:val="bottom"/>
            <w:hideMark/>
          </w:tcPr>
          <w:p w:rsidR="00455DEE" w:rsidRPr="002C7A67" w:rsidRDefault="00455DEE" w:rsidP="00FA5866">
            <w:pPr>
              <w:spacing w:after="0" w:line="240" w:lineRule="auto"/>
              <w:ind w:firstLine="0"/>
              <w:jc w:val="left"/>
              <w:rPr>
                <w:rFonts w:eastAsia="Times New Roman"/>
                <w:color w:val="000000"/>
                <w:sz w:val="22"/>
                <w:szCs w:val="22"/>
                <w:lang w:val="en-US"/>
              </w:rPr>
            </w:pPr>
            <w:proofErr w:type="spellStart"/>
            <w:r w:rsidRPr="002C7A67">
              <w:rPr>
                <w:rFonts w:eastAsia="Times New Roman"/>
                <w:color w:val="000000"/>
                <w:sz w:val="22"/>
                <w:szCs w:val="22"/>
                <w:lang w:val="en-US"/>
              </w:rPr>
              <w:t>Anticomp</w:t>
            </w:r>
            <w:r>
              <w:rPr>
                <w:rFonts w:eastAsia="Times New Roman"/>
                <w:color w:val="000000"/>
                <w:sz w:val="22"/>
                <w:szCs w:val="22"/>
                <w:lang w:val="en-US"/>
              </w:rPr>
              <w:t>etitiva</w:t>
            </w:r>
            <w:proofErr w:type="spellEnd"/>
          </w:p>
        </w:tc>
        <w:tc>
          <w:tcPr>
            <w:tcW w:w="1350" w:type="pct"/>
            <w:tcBorders>
              <w:top w:val="nil"/>
              <w:left w:val="nil"/>
              <w:bottom w:val="nil"/>
              <w:right w:val="nil"/>
            </w:tcBorders>
            <w:shd w:val="clear" w:color="auto" w:fill="auto"/>
            <w:noWrap/>
            <w:vAlign w:val="bottom"/>
            <w:hideMark/>
          </w:tcPr>
          <w:p w:rsidR="00455DEE" w:rsidRPr="000A35EF" w:rsidRDefault="00455DEE" w:rsidP="00FA5866">
            <w:pPr>
              <w:spacing w:after="0" w:line="240" w:lineRule="auto"/>
              <w:ind w:firstLine="0"/>
              <w:jc w:val="left"/>
              <w:rPr>
                <w:rFonts w:eastAsia="Times New Roman"/>
                <w:color w:val="000000"/>
                <w:sz w:val="20"/>
                <w:szCs w:val="20"/>
                <w:lang w:val="en-US"/>
              </w:rPr>
            </w:pPr>
            <m:oMathPara>
              <m:oMath>
                <m:r>
                  <w:rPr>
                    <w:rFonts w:ascii="Cambria Math" w:eastAsia="Times New Roman" w:hAnsi="Cambria Math"/>
                    <w:color w:val="000000"/>
                    <w:sz w:val="20"/>
                    <w:szCs w:val="20"/>
                  </w:rPr>
                  <m:t>∆</m:t>
                </m:r>
                <m:sSub>
                  <m:sSubPr>
                    <m:ctrlPr>
                      <w:rPr>
                        <w:rFonts w:ascii="Cambria Math" w:eastAsia="Times New Roman" w:hAnsi="Cambria Math"/>
                        <w:color w:val="000000"/>
                        <w:sz w:val="20"/>
                        <w:szCs w:val="20"/>
                      </w:rPr>
                    </m:ctrlPr>
                  </m:sSubPr>
                  <m:e>
                    <m:r>
                      <m:rPr>
                        <m:sty m:val="p"/>
                      </m:rPr>
                      <w:rPr>
                        <w:rFonts w:ascii="Cambria Math" w:eastAsia="Times New Roman" w:hAnsi="Cambria Math"/>
                        <w:color w:val="000000"/>
                        <w:sz w:val="20"/>
                        <w:szCs w:val="20"/>
                      </w:rPr>
                      <m:t>Π</m:t>
                    </m:r>
                    <m:ctrlPr>
                      <w:rPr>
                        <w:rFonts w:ascii="Cambria Math" w:eastAsia="Times New Roman" w:hAnsi="Cambria Math"/>
                        <w:i/>
                        <w:color w:val="000000"/>
                        <w:sz w:val="20"/>
                        <w:szCs w:val="20"/>
                      </w:rPr>
                    </m:ctrlPr>
                  </m:e>
                  <m:sub>
                    <m:r>
                      <w:rPr>
                        <w:rFonts w:ascii="Cambria Math" w:eastAsia="Times New Roman" w:hAnsi="Cambria Math"/>
                        <w:color w:val="000000"/>
                        <w:sz w:val="20"/>
                        <w:szCs w:val="20"/>
                      </w:rPr>
                      <m:t>t+</m:t>
                    </m:r>
                    <m:r>
                      <w:rPr>
                        <w:rFonts w:ascii="Cambria Math" w:eastAsia="Times New Roman"/>
                        <w:color w:val="000000"/>
                        <w:sz w:val="20"/>
                        <w:szCs w:val="20"/>
                      </w:rPr>
                      <m:t>10</m:t>
                    </m:r>
                    <m:ctrlPr>
                      <w:rPr>
                        <w:rFonts w:ascii="Cambria Math" w:eastAsia="Times New Roman" w:hAnsi="Cambria Math"/>
                        <w:i/>
                        <w:color w:val="000000"/>
                        <w:sz w:val="20"/>
                        <w:szCs w:val="20"/>
                      </w:rPr>
                    </m:ctrlPr>
                  </m:sub>
                </m:sSub>
              </m:oMath>
            </m:oMathPara>
          </w:p>
        </w:tc>
        <w:tc>
          <w:tcPr>
            <w:tcW w:w="630" w:type="pct"/>
            <w:tcBorders>
              <w:top w:val="nil"/>
              <w:left w:val="nil"/>
              <w:bottom w:val="nil"/>
              <w:right w:val="nil"/>
            </w:tcBorders>
            <w:shd w:val="clear" w:color="auto" w:fill="auto"/>
            <w:noWrap/>
            <w:vAlign w:val="center"/>
            <w:hideMark/>
          </w:tcPr>
          <w:p w:rsidR="00455DEE" w:rsidRPr="000A35EF" w:rsidRDefault="00455DEE" w:rsidP="00FA5866">
            <w:pPr>
              <w:spacing w:after="0" w:line="240" w:lineRule="auto"/>
              <w:ind w:firstLine="0"/>
              <w:jc w:val="center"/>
              <w:rPr>
                <w:rFonts w:eastAsia="Times New Roman"/>
                <w:b/>
                <w:bCs/>
                <w:color w:val="000000"/>
                <w:sz w:val="20"/>
                <w:szCs w:val="20"/>
                <w:lang w:val="en-US"/>
              </w:rPr>
            </w:pPr>
            <w:r w:rsidRPr="000A35EF">
              <w:rPr>
                <w:rFonts w:eastAsia="Times New Roman"/>
                <w:b/>
                <w:bCs/>
                <w:color w:val="000000"/>
                <w:sz w:val="20"/>
                <w:szCs w:val="20"/>
                <w:lang w:val="en-US"/>
              </w:rPr>
              <w:t>8.2998*</w:t>
            </w:r>
          </w:p>
        </w:tc>
        <w:tc>
          <w:tcPr>
            <w:tcW w:w="630" w:type="pct"/>
            <w:tcBorders>
              <w:top w:val="nil"/>
              <w:left w:val="nil"/>
              <w:bottom w:val="nil"/>
              <w:right w:val="nil"/>
            </w:tcBorders>
            <w:shd w:val="clear" w:color="auto" w:fill="auto"/>
            <w:noWrap/>
            <w:vAlign w:val="center"/>
            <w:hideMark/>
          </w:tcPr>
          <w:p w:rsidR="00455DEE" w:rsidRPr="000A35EF" w:rsidRDefault="00455DEE" w:rsidP="00FA5866">
            <w:pPr>
              <w:spacing w:after="0" w:line="240" w:lineRule="auto"/>
              <w:ind w:firstLine="0"/>
              <w:jc w:val="center"/>
              <w:rPr>
                <w:rFonts w:eastAsia="Times New Roman"/>
                <w:color w:val="000000"/>
                <w:sz w:val="20"/>
                <w:szCs w:val="20"/>
                <w:lang w:val="en-US"/>
              </w:rPr>
            </w:pPr>
            <w:r w:rsidRPr="000A35EF">
              <w:rPr>
                <w:rFonts w:eastAsia="Times New Roman"/>
                <w:color w:val="000000"/>
                <w:sz w:val="20"/>
                <w:szCs w:val="20"/>
                <w:lang w:val="en-US"/>
              </w:rPr>
              <w:t>-0.1640</w:t>
            </w:r>
          </w:p>
        </w:tc>
        <w:tc>
          <w:tcPr>
            <w:tcW w:w="678" w:type="pct"/>
            <w:tcBorders>
              <w:top w:val="nil"/>
              <w:left w:val="nil"/>
              <w:bottom w:val="nil"/>
              <w:right w:val="nil"/>
            </w:tcBorders>
            <w:shd w:val="clear" w:color="auto" w:fill="auto"/>
            <w:noWrap/>
            <w:vAlign w:val="center"/>
            <w:hideMark/>
          </w:tcPr>
          <w:p w:rsidR="00455DEE" w:rsidRPr="000A35EF" w:rsidRDefault="00455DEE" w:rsidP="00FA5866">
            <w:pPr>
              <w:spacing w:after="0" w:line="240" w:lineRule="auto"/>
              <w:ind w:firstLine="0"/>
              <w:jc w:val="center"/>
              <w:rPr>
                <w:rFonts w:eastAsia="Times New Roman"/>
                <w:color w:val="000000"/>
                <w:sz w:val="20"/>
                <w:szCs w:val="20"/>
                <w:lang w:val="en-US"/>
              </w:rPr>
            </w:pPr>
            <w:r w:rsidRPr="000A35EF">
              <w:rPr>
                <w:rFonts w:eastAsia="Times New Roman"/>
                <w:color w:val="000000"/>
                <w:sz w:val="20"/>
                <w:szCs w:val="20"/>
                <w:lang w:val="en-US"/>
              </w:rPr>
              <w:t>0.0522</w:t>
            </w:r>
          </w:p>
        </w:tc>
        <w:tc>
          <w:tcPr>
            <w:tcW w:w="690" w:type="pct"/>
            <w:tcBorders>
              <w:top w:val="nil"/>
              <w:left w:val="nil"/>
              <w:bottom w:val="nil"/>
              <w:right w:val="nil"/>
            </w:tcBorders>
            <w:shd w:val="clear" w:color="auto" w:fill="auto"/>
            <w:noWrap/>
            <w:vAlign w:val="center"/>
            <w:hideMark/>
          </w:tcPr>
          <w:p w:rsidR="00455DEE" w:rsidRPr="000A35EF" w:rsidRDefault="00455DEE" w:rsidP="00FA5866">
            <w:pPr>
              <w:spacing w:after="0" w:line="240" w:lineRule="auto"/>
              <w:ind w:firstLine="0"/>
              <w:jc w:val="center"/>
              <w:rPr>
                <w:rFonts w:eastAsia="Times New Roman"/>
                <w:color w:val="000000"/>
                <w:sz w:val="20"/>
                <w:szCs w:val="20"/>
                <w:lang w:val="en-US"/>
              </w:rPr>
            </w:pPr>
            <w:r w:rsidRPr="000A35EF">
              <w:rPr>
                <w:rFonts w:eastAsia="Times New Roman"/>
                <w:color w:val="000000"/>
                <w:sz w:val="20"/>
                <w:szCs w:val="20"/>
                <w:lang w:val="en-US"/>
              </w:rPr>
              <w:t>-0.1162</w:t>
            </w:r>
          </w:p>
        </w:tc>
      </w:tr>
      <w:tr w:rsidR="00455DEE" w:rsidRPr="000A35EF" w:rsidTr="00455DEE">
        <w:trPr>
          <w:trHeight w:val="300"/>
        </w:trPr>
        <w:tc>
          <w:tcPr>
            <w:tcW w:w="1022" w:type="pct"/>
            <w:tcBorders>
              <w:top w:val="nil"/>
              <w:left w:val="nil"/>
              <w:bottom w:val="nil"/>
              <w:right w:val="nil"/>
            </w:tcBorders>
            <w:shd w:val="clear" w:color="auto" w:fill="auto"/>
            <w:noWrap/>
            <w:vAlign w:val="bottom"/>
            <w:hideMark/>
          </w:tcPr>
          <w:p w:rsidR="00455DEE" w:rsidRPr="002C7A67" w:rsidRDefault="00455DEE" w:rsidP="00FA5866">
            <w:pPr>
              <w:spacing w:after="0" w:line="240" w:lineRule="auto"/>
              <w:ind w:firstLine="0"/>
              <w:jc w:val="left"/>
              <w:rPr>
                <w:rFonts w:eastAsia="Times New Roman"/>
                <w:color w:val="000000"/>
                <w:sz w:val="22"/>
                <w:szCs w:val="22"/>
                <w:lang w:val="en-US"/>
              </w:rPr>
            </w:pPr>
          </w:p>
        </w:tc>
        <w:tc>
          <w:tcPr>
            <w:tcW w:w="1350" w:type="pct"/>
            <w:tcBorders>
              <w:top w:val="nil"/>
              <w:left w:val="nil"/>
              <w:bottom w:val="nil"/>
              <w:right w:val="nil"/>
            </w:tcBorders>
            <w:shd w:val="clear" w:color="auto" w:fill="auto"/>
            <w:noWrap/>
            <w:vAlign w:val="bottom"/>
            <w:hideMark/>
          </w:tcPr>
          <w:p w:rsidR="00455DEE" w:rsidRPr="000A35EF" w:rsidRDefault="006E76EF" w:rsidP="00FA5866">
            <w:pPr>
              <w:spacing w:after="0" w:line="240" w:lineRule="auto"/>
              <w:ind w:firstLine="0"/>
              <w:jc w:val="left"/>
              <w:rPr>
                <w:rFonts w:eastAsia="Times New Roman"/>
                <w:color w:val="000000"/>
                <w:sz w:val="20"/>
                <w:szCs w:val="20"/>
                <w:lang w:val="en-US"/>
              </w:rPr>
            </w:pPr>
            <m:oMathPara>
              <m:oMath>
                <m:sSub>
                  <m:sSubPr>
                    <m:ctrlPr>
                      <w:rPr>
                        <w:rFonts w:ascii="Cambria Math" w:eastAsia="Times New Roman" w:hAnsi="Cambria Math"/>
                        <w:i/>
                        <w:color w:val="000000"/>
                        <w:sz w:val="20"/>
                        <w:szCs w:val="20"/>
                      </w:rPr>
                    </m:ctrlPr>
                  </m:sSubPr>
                  <m:e>
                    <m:r>
                      <m:rPr>
                        <m:sty m:val="p"/>
                      </m:rPr>
                      <w:rPr>
                        <w:rFonts w:ascii="Cambria Math" w:eastAsia="Times New Roman" w:hAnsi="Cambria Math"/>
                        <w:color w:val="000000"/>
                        <w:sz w:val="20"/>
                        <w:szCs w:val="20"/>
                      </w:rPr>
                      <m:t>Π</m:t>
                    </m:r>
                    <m:ctrlPr>
                      <w:rPr>
                        <w:rFonts w:ascii="Cambria Math" w:eastAsia="Times New Roman" w:hAnsi="Cambria Math"/>
                        <w:color w:val="000000"/>
                        <w:sz w:val="20"/>
                        <w:szCs w:val="20"/>
                      </w:rPr>
                    </m:ctrlPr>
                  </m:e>
                  <m:sub>
                    <m:r>
                      <w:rPr>
                        <w:rFonts w:ascii="Cambria Math" w:eastAsia="Times New Roman" w:hAnsi="Cambria Math"/>
                        <w:color w:val="000000"/>
                        <w:sz w:val="20"/>
                        <w:szCs w:val="20"/>
                      </w:rPr>
                      <m:t>t-</m:t>
                    </m:r>
                    <m:r>
                      <w:rPr>
                        <w:rFonts w:ascii="Cambria Math" w:eastAsia="Times New Roman"/>
                        <w:color w:val="000000"/>
                        <w:sz w:val="20"/>
                        <w:szCs w:val="20"/>
                      </w:rPr>
                      <m:t>1</m:t>
                    </m:r>
                  </m:sub>
                </m:sSub>
              </m:oMath>
            </m:oMathPara>
          </w:p>
        </w:tc>
        <w:tc>
          <w:tcPr>
            <w:tcW w:w="630" w:type="pct"/>
            <w:tcBorders>
              <w:top w:val="nil"/>
              <w:left w:val="nil"/>
              <w:bottom w:val="nil"/>
              <w:right w:val="nil"/>
            </w:tcBorders>
            <w:shd w:val="clear" w:color="auto" w:fill="auto"/>
            <w:noWrap/>
            <w:vAlign w:val="center"/>
            <w:hideMark/>
          </w:tcPr>
          <w:p w:rsidR="00455DEE" w:rsidRPr="000A35EF" w:rsidRDefault="00455DEE" w:rsidP="00FA5866">
            <w:pPr>
              <w:spacing w:after="0" w:line="240" w:lineRule="auto"/>
              <w:ind w:firstLine="0"/>
              <w:jc w:val="center"/>
              <w:rPr>
                <w:rFonts w:eastAsia="Times New Roman"/>
                <w:color w:val="000000"/>
                <w:sz w:val="20"/>
                <w:szCs w:val="20"/>
                <w:lang w:val="en-US"/>
              </w:rPr>
            </w:pPr>
            <w:r w:rsidRPr="000A35EF">
              <w:rPr>
                <w:rFonts w:eastAsia="Times New Roman"/>
                <w:color w:val="000000"/>
                <w:sz w:val="20"/>
                <w:szCs w:val="20"/>
                <w:lang w:val="en-US"/>
              </w:rPr>
              <w:t>-46,521</w:t>
            </w:r>
          </w:p>
        </w:tc>
        <w:tc>
          <w:tcPr>
            <w:tcW w:w="630" w:type="pct"/>
            <w:tcBorders>
              <w:top w:val="nil"/>
              <w:left w:val="nil"/>
              <w:bottom w:val="nil"/>
              <w:right w:val="nil"/>
            </w:tcBorders>
            <w:shd w:val="clear" w:color="auto" w:fill="auto"/>
            <w:noWrap/>
            <w:vAlign w:val="center"/>
            <w:hideMark/>
          </w:tcPr>
          <w:p w:rsidR="00455DEE" w:rsidRPr="000A35EF" w:rsidRDefault="00455DEE" w:rsidP="00FA5866">
            <w:pPr>
              <w:spacing w:after="0" w:line="240" w:lineRule="auto"/>
              <w:ind w:firstLine="0"/>
              <w:jc w:val="center"/>
              <w:rPr>
                <w:rFonts w:eastAsia="Times New Roman"/>
                <w:b/>
                <w:bCs/>
                <w:color w:val="000000"/>
                <w:sz w:val="20"/>
                <w:szCs w:val="20"/>
                <w:lang w:val="en-US"/>
              </w:rPr>
            </w:pPr>
            <w:r w:rsidRPr="000A35EF">
              <w:rPr>
                <w:rFonts w:eastAsia="Times New Roman"/>
                <w:b/>
                <w:bCs/>
                <w:color w:val="000000"/>
                <w:sz w:val="20"/>
                <w:szCs w:val="20"/>
                <w:lang w:val="en-US"/>
              </w:rPr>
              <w:t>-0.3138*</w:t>
            </w:r>
          </w:p>
        </w:tc>
        <w:tc>
          <w:tcPr>
            <w:tcW w:w="678" w:type="pct"/>
            <w:tcBorders>
              <w:top w:val="nil"/>
              <w:left w:val="nil"/>
              <w:bottom w:val="nil"/>
              <w:right w:val="nil"/>
            </w:tcBorders>
            <w:shd w:val="clear" w:color="auto" w:fill="auto"/>
            <w:noWrap/>
            <w:vAlign w:val="center"/>
            <w:hideMark/>
          </w:tcPr>
          <w:p w:rsidR="00455DEE" w:rsidRPr="000A35EF" w:rsidRDefault="00455DEE" w:rsidP="00FA5866">
            <w:pPr>
              <w:spacing w:after="0" w:line="240" w:lineRule="auto"/>
              <w:ind w:firstLine="0"/>
              <w:jc w:val="center"/>
              <w:rPr>
                <w:rFonts w:eastAsia="Times New Roman"/>
                <w:b/>
                <w:bCs/>
                <w:color w:val="000000"/>
                <w:sz w:val="20"/>
                <w:szCs w:val="20"/>
                <w:lang w:val="en-US"/>
              </w:rPr>
            </w:pPr>
            <w:r w:rsidRPr="000A35EF">
              <w:rPr>
                <w:rFonts w:eastAsia="Times New Roman"/>
                <w:b/>
                <w:bCs/>
                <w:color w:val="000000"/>
                <w:sz w:val="20"/>
                <w:szCs w:val="20"/>
                <w:lang w:val="en-US"/>
              </w:rPr>
              <w:t>0.7223**</w:t>
            </w:r>
          </w:p>
        </w:tc>
        <w:tc>
          <w:tcPr>
            <w:tcW w:w="690" w:type="pct"/>
            <w:tcBorders>
              <w:top w:val="nil"/>
              <w:left w:val="nil"/>
              <w:bottom w:val="nil"/>
              <w:right w:val="nil"/>
            </w:tcBorders>
            <w:shd w:val="clear" w:color="auto" w:fill="auto"/>
            <w:noWrap/>
            <w:vAlign w:val="center"/>
            <w:hideMark/>
          </w:tcPr>
          <w:p w:rsidR="00455DEE" w:rsidRPr="000A35EF" w:rsidRDefault="00455DEE" w:rsidP="00FA5866">
            <w:pPr>
              <w:spacing w:after="0" w:line="240" w:lineRule="auto"/>
              <w:ind w:firstLine="0"/>
              <w:jc w:val="center"/>
              <w:rPr>
                <w:rFonts w:eastAsia="Times New Roman"/>
                <w:color w:val="000000"/>
                <w:sz w:val="20"/>
                <w:szCs w:val="20"/>
                <w:lang w:val="en-US"/>
              </w:rPr>
            </w:pPr>
            <w:r w:rsidRPr="000A35EF">
              <w:rPr>
                <w:rFonts w:eastAsia="Times New Roman"/>
                <w:color w:val="000000"/>
                <w:sz w:val="20"/>
                <w:szCs w:val="20"/>
                <w:lang w:val="en-US"/>
              </w:rPr>
              <w:t>-15,897</w:t>
            </w:r>
          </w:p>
        </w:tc>
      </w:tr>
      <w:tr w:rsidR="00455DEE" w:rsidRPr="000A35EF" w:rsidTr="00455DEE">
        <w:trPr>
          <w:trHeight w:val="300"/>
        </w:trPr>
        <w:tc>
          <w:tcPr>
            <w:tcW w:w="1022" w:type="pct"/>
            <w:tcBorders>
              <w:top w:val="nil"/>
              <w:left w:val="nil"/>
              <w:bottom w:val="nil"/>
              <w:right w:val="nil"/>
            </w:tcBorders>
            <w:shd w:val="clear" w:color="auto" w:fill="auto"/>
            <w:noWrap/>
            <w:vAlign w:val="bottom"/>
            <w:hideMark/>
          </w:tcPr>
          <w:p w:rsidR="00455DEE" w:rsidRPr="002C7A67" w:rsidRDefault="00455DEE" w:rsidP="00FA5866">
            <w:pPr>
              <w:spacing w:after="0" w:line="240" w:lineRule="auto"/>
              <w:ind w:firstLine="0"/>
              <w:jc w:val="left"/>
              <w:rPr>
                <w:rFonts w:eastAsia="Times New Roman"/>
                <w:color w:val="000000"/>
                <w:sz w:val="22"/>
                <w:szCs w:val="22"/>
                <w:lang w:val="en-US"/>
              </w:rPr>
            </w:pPr>
            <w:proofErr w:type="spellStart"/>
            <w:r w:rsidRPr="002C7A67">
              <w:rPr>
                <w:rFonts w:eastAsia="Times New Roman"/>
                <w:color w:val="000000"/>
                <w:sz w:val="22"/>
                <w:szCs w:val="22"/>
                <w:lang w:val="en-US"/>
              </w:rPr>
              <w:t>Comp</w:t>
            </w:r>
            <w:r>
              <w:rPr>
                <w:rFonts w:eastAsia="Times New Roman"/>
                <w:color w:val="000000"/>
                <w:sz w:val="22"/>
                <w:szCs w:val="22"/>
                <w:lang w:val="en-US"/>
              </w:rPr>
              <w:t>etitiva</w:t>
            </w:r>
            <w:proofErr w:type="spellEnd"/>
          </w:p>
        </w:tc>
        <w:tc>
          <w:tcPr>
            <w:tcW w:w="1350" w:type="pct"/>
            <w:tcBorders>
              <w:top w:val="nil"/>
              <w:left w:val="nil"/>
              <w:bottom w:val="nil"/>
              <w:right w:val="nil"/>
            </w:tcBorders>
            <w:shd w:val="clear" w:color="auto" w:fill="auto"/>
            <w:noWrap/>
            <w:vAlign w:val="center"/>
            <w:hideMark/>
          </w:tcPr>
          <w:p w:rsidR="00455DEE" w:rsidRPr="000A35EF" w:rsidRDefault="00455DEE" w:rsidP="00FA5866">
            <w:pPr>
              <w:spacing w:after="0" w:line="240" w:lineRule="auto"/>
              <w:ind w:firstLine="0"/>
              <w:jc w:val="left"/>
              <w:rPr>
                <w:rFonts w:eastAsia="Times New Roman"/>
                <w:color w:val="000000"/>
                <w:sz w:val="20"/>
                <w:szCs w:val="20"/>
                <w:lang w:val="en-US"/>
              </w:rPr>
            </w:pPr>
            <m:oMathPara>
              <m:oMath>
                <m:r>
                  <w:rPr>
                    <w:rFonts w:ascii="Cambria Math" w:eastAsia="Times New Roman" w:hAnsi="Cambria Math"/>
                    <w:color w:val="000000"/>
                    <w:sz w:val="20"/>
                    <w:szCs w:val="20"/>
                  </w:rPr>
                  <m:t>∆</m:t>
                </m:r>
                <m:sSub>
                  <m:sSubPr>
                    <m:ctrlPr>
                      <w:rPr>
                        <w:rFonts w:ascii="Cambria Math" w:eastAsia="Times New Roman" w:hAnsi="Cambria Math"/>
                        <w:color w:val="000000"/>
                        <w:sz w:val="20"/>
                        <w:szCs w:val="20"/>
                      </w:rPr>
                    </m:ctrlPr>
                  </m:sSubPr>
                  <m:e>
                    <m:r>
                      <m:rPr>
                        <m:sty m:val="p"/>
                      </m:rPr>
                      <w:rPr>
                        <w:rFonts w:ascii="Cambria Math" w:eastAsia="Times New Roman" w:hAnsi="Cambria Math"/>
                        <w:color w:val="000000"/>
                        <w:sz w:val="20"/>
                        <w:szCs w:val="20"/>
                      </w:rPr>
                      <m:t>Π</m:t>
                    </m:r>
                    <m:ctrlPr>
                      <w:rPr>
                        <w:rFonts w:ascii="Cambria Math" w:eastAsia="Times New Roman" w:hAnsi="Cambria Math"/>
                        <w:i/>
                        <w:color w:val="000000"/>
                        <w:sz w:val="20"/>
                        <w:szCs w:val="20"/>
                      </w:rPr>
                    </m:ctrlPr>
                  </m:e>
                  <m:sub>
                    <m:r>
                      <w:rPr>
                        <w:rFonts w:ascii="Cambria Math" w:eastAsia="Times New Roman" w:hAnsi="Cambria Math"/>
                        <w:color w:val="000000"/>
                        <w:sz w:val="20"/>
                        <w:szCs w:val="20"/>
                      </w:rPr>
                      <m:t>t+</m:t>
                    </m:r>
                    <m:r>
                      <w:rPr>
                        <w:rFonts w:ascii="Cambria Math" w:eastAsia="Times New Roman"/>
                        <w:color w:val="000000"/>
                        <w:sz w:val="20"/>
                        <w:szCs w:val="20"/>
                      </w:rPr>
                      <m:t>10</m:t>
                    </m:r>
                    <m:ctrlPr>
                      <w:rPr>
                        <w:rFonts w:ascii="Cambria Math" w:eastAsia="Times New Roman" w:hAnsi="Cambria Math"/>
                        <w:i/>
                        <w:color w:val="000000"/>
                        <w:sz w:val="20"/>
                        <w:szCs w:val="20"/>
                      </w:rPr>
                    </m:ctrlPr>
                  </m:sub>
                </m:sSub>
              </m:oMath>
            </m:oMathPara>
          </w:p>
        </w:tc>
        <w:tc>
          <w:tcPr>
            <w:tcW w:w="630" w:type="pct"/>
            <w:tcBorders>
              <w:top w:val="nil"/>
              <w:left w:val="nil"/>
              <w:bottom w:val="nil"/>
              <w:right w:val="nil"/>
            </w:tcBorders>
            <w:shd w:val="clear" w:color="auto" w:fill="auto"/>
            <w:noWrap/>
            <w:vAlign w:val="center"/>
            <w:hideMark/>
          </w:tcPr>
          <w:p w:rsidR="00455DEE" w:rsidRPr="000A35EF" w:rsidRDefault="00455DEE" w:rsidP="00FA5866">
            <w:pPr>
              <w:spacing w:after="0" w:line="240" w:lineRule="auto"/>
              <w:ind w:firstLine="0"/>
              <w:jc w:val="center"/>
              <w:rPr>
                <w:rFonts w:eastAsia="Times New Roman"/>
                <w:color w:val="000000"/>
                <w:sz w:val="20"/>
                <w:szCs w:val="20"/>
                <w:lang w:val="en-US"/>
              </w:rPr>
            </w:pPr>
            <w:r w:rsidRPr="000A35EF">
              <w:rPr>
                <w:rFonts w:eastAsia="Times New Roman"/>
                <w:color w:val="000000"/>
                <w:sz w:val="20"/>
                <w:szCs w:val="20"/>
                <w:lang w:val="en-US"/>
              </w:rPr>
              <w:t>0.1256</w:t>
            </w:r>
          </w:p>
        </w:tc>
        <w:tc>
          <w:tcPr>
            <w:tcW w:w="630" w:type="pct"/>
            <w:tcBorders>
              <w:top w:val="nil"/>
              <w:left w:val="nil"/>
              <w:bottom w:val="nil"/>
              <w:right w:val="nil"/>
            </w:tcBorders>
            <w:shd w:val="clear" w:color="auto" w:fill="auto"/>
            <w:noWrap/>
            <w:vAlign w:val="center"/>
            <w:hideMark/>
          </w:tcPr>
          <w:p w:rsidR="00455DEE" w:rsidRPr="000A35EF" w:rsidRDefault="00455DEE" w:rsidP="00FA5866">
            <w:pPr>
              <w:spacing w:after="0" w:line="240" w:lineRule="auto"/>
              <w:ind w:firstLine="0"/>
              <w:jc w:val="center"/>
              <w:rPr>
                <w:rFonts w:eastAsia="Times New Roman"/>
                <w:color w:val="000000"/>
                <w:sz w:val="20"/>
                <w:szCs w:val="20"/>
                <w:lang w:val="en-US"/>
              </w:rPr>
            </w:pPr>
            <w:r w:rsidRPr="000A35EF">
              <w:rPr>
                <w:rFonts w:eastAsia="Times New Roman"/>
                <w:color w:val="000000"/>
                <w:sz w:val="20"/>
                <w:szCs w:val="20"/>
                <w:lang w:val="en-US"/>
              </w:rPr>
              <w:t>0.2314</w:t>
            </w:r>
          </w:p>
        </w:tc>
        <w:tc>
          <w:tcPr>
            <w:tcW w:w="678" w:type="pct"/>
            <w:tcBorders>
              <w:top w:val="nil"/>
              <w:left w:val="nil"/>
              <w:bottom w:val="nil"/>
              <w:right w:val="nil"/>
            </w:tcBorders>
            <w:shd w:val="clear" w:color="auto" w:fill="auto"/>
            <w:noWrap/>
            <w:vAlign w:val="center"/>
            <w:hideMark/>
          </w:tcPr>
          <w:p w:rsidR="00455DEE" w:rsidRPr="000A35EF" w:rsidRDefault="00455DEE" w:rsidP="00FA5866">
            <w:pPr>
              <w:spacing w:after="0" w:line="240" w:lineRule="auto"/>
              <w:ind w:firstLine="0"/>
              <w:jc w:val="center"/>
              <w:rPr>
                <w:rFonts w:eastAsia="Times New Roman"/>
                <w:b/>
                <w:bCs/>
                <w:color w:val="000000"/>
                <w:sz w:val="20"/>
                <w:szCs w:val="20"/>
                <w:lang w:val="en-US"/>
              </w:rPr>
            </w:pPr>
            <w:r>
              <w:rPr>
                <w:rFonts w:eastAsia="Times New Roman"/>
                <w:b/>
                <w:bCs/>
                <w:color w:val="000000"/>
                <w:sz w:val="20"/>
                <w:szCs w:val="20"/>
                <w:lang w:val="en-US"/>
              </w:rPr>
              <w:t>-1.067</w:t>
            </w:r>
            <w:r w:rsidRPr="000A35EF">
              <w:rPr>
                <w:rFonts w:eastAsia="Times New Roman"/>
                <w:b/>
                <w:bCs/>
                <w:color w:val="000000"/>
                <w:sz w:val="20"/>
                <w:szCs w:val="20"/>
                <w:lang w:val="en-US"/>
              </w:rPr>
              <w:t>**</w:t>
            </w:r>
          </w:p>
        </w:tc>
        <w:tc>
          <w:tcPr>
            <w:tcW w:w="690" w:type="pct"/>
            <w:tcBorders>
              <w:top w:val="nil"/>
              <w:left w:val="nil"/>
              <w:bottom w:val="nil"/>
              <w:right w:val="nil"/>
            </w:tcBorders>
            <w:shd w:val="clear" w:color="auto" w:fill="auto"/>
            <w:noWrap/>
            <w:vAlign w:val="center"/>
            <w:hideMark/>
          </w:tcPr>
          <w:p w:rsidR="00455DEE" w:rsidRPr="000A35EF" w:rsidRDefault="00455DEE" w:rsidP="00FA5866">
            <w:pPr>
              <w:spacing w:after="0" w:line="240" w:lineRule="auto"/>
              <w:ind w:firstLine="0"/>
              <w:jc w:val="center"/>
              <w:rPr>
                <w:rFonts w:eastAsia="Times New Roman"/>
                <w:color w:val="000000"/>
                <w:sz w:val="20"/>
                <w:szCs w:val="20"/>
                <w:lang w:val="en-US"/>
              </w:rPr>
            </w:pPr>
            <w:r w:rsidRPr="000A35EF">
              <w:rPr>
                <w:rFonts w:eastAsia="Times New Roman"/>
                <w:color w:val="000000"/>
                <w:sz w:val="20"/>
                <w:szCs w:val="20"/>
                <w:lang w:val="en-US"/>
              </w:rPr>
              <w:t>-0.7014</w:t>
            </w:r>
          </w:p>
        </w:tc>
      </w:tr>
      <w:tr w:rsidR="00455DEE" w:rsidRPr="000A35EF" w:rsidTr="00455DEE">
        <w:trPr>
          <w:trHeight w:val="300"/>
        </w:trPr>
        <w:tc>
          <w:tcPr>
            <w:tcW w:w="1022" w:type="pct"/>
            <w:tcBorders>
              <w:top w:val="nil"/>
              <w:left w:val="nil"/>
              <w:bottom w:val="single" w:sz="4" w:space="0" w:color="auto"/>
              <w:right w:val="nil"/>
            </w:tcBorders>
            <w:shd w:val="clear" w:color="auto" w:fill="auto"/>
            <w:noWrap/>
            <w:vAlign w:val="bottom"/>
            <w:hideMark/>
          </w:tcPr>
          <w:p w:rsidR="00455DEE" w:rsidRPr="002C7A67" w:rsidRDefault="00455DEE" w:rsidP="00FA5866">
            <w:pPr>
              <w:spacing w:after="0" w:line="240" w:lineRule="auto"/>
              <w:ind w:firstLine="0"/>
              <w:jc w:val="left"/>
              <w:rPr>
                <w:rFonts w:eastAsia="Times New Roman"/>
                <w:color w:val="000000"/>
                <w:sz w:val="22"/>
                <w:szCs w:val="22"/>
                <w:lang w:val="en-US"/>
              </w:rPr>
            </w:pPr>
            <w:r w:rsidRPr="002C7A67">
              <w:rPr>
                <w:rFonts w:eastAsia="Times New Roman"/>
                <w:color w:val="000000"/>
                <w:sz w:val="22"/>
                <w:szCs w:val="22"/>
                <w:lang w:val="en-US"/>
              </w:rPr>
              <w:t> </w:t>
            </w:r>
          </w:p>
        </w:tc>
        <w:tc>
          <w:tcPr>
            <w:tcW w:w="1350" w:type="pct"/>
            <w:tcBorders>
              <w:top w:val="nil"/>
              <w:left w:val="nil"/>
              <w:bottom w:val="single" w:sz="4" w:space="0" w:color="auto"/>
              <w:right w:val="nil"/>
            </w:tcBorders>
            <w:shd w:val="clear" w:color="auto" w:fill="auto"/>
            <w:noWrap/>
            <w:vAlign w:val="center"/>
            <w:hideMark/>
          </w:tcPr>
          <w:p w:rsidR="00455DEE" w:rsidRPr="000A35EF" w:rsidRDefault="006E76EF" w:rsidP="00FA5866">
            <w:pPr>
              <w:spacing w:after="0" w:line="240" w:lineRule="auto"/>
              <w:ind w:firstLine="0"/>
              <w:jc w:val="left"/>
              <w:rPr>
                <w:rFonts w:eastAsia="Times New Roman"/>
                <w:color w:val="000000"/>
                <w:sz w:val="20"/>
                <w:szCs w:val="20"/>
                <w:lang w:val="en-US"/>
              </w:rPr>
            </w:pPr>
            <m:oMathPara>
              <m:oMath>
                <m:sSub>
                  <m:sSubPr>
                    <m:ctrlPr>
                      <w:rPr>
                        <w:rFonts w:ascii="Cambria Math" w:eastAsia="Times New Roman" w:hAnsi="Cambria Math"/>
                        <w:i/>
                        <w:color w:val="000000"/>
                        <w:sz w:val="20"/>
                        <w:szCs w:val="20"/>
                      </w:rPr>
                    </m:ctrlPr>
                  </m:sSubPr>
                  <m:e>
                    <m:r>
                      <m:rPr>
                        <m:sty m:val="p"/>
                      </m:rPr>
                      <w:rPr>
                        <w:rFonts w:ascii="Cambria Math" w:eastAsia="Times New Roman" w:hAnsi="Cambria Math"/>
                        <w:color w:val="000000"/>
                        <w:sz w:val="20"/>
                        <w:szCs w:val="20"/>
                      </w:rPr>
                      <m:t>Π</m:t>
                    </m:r>
                    <m:ctrlPr>
                      <w:rPr>
                        <w:rFonts w:ascii="Cambria Math" w:eastAsia="Times New Roman" w:hAnsi="Cambria Math"/>
                        <w:color w:val="000000"/>
                        <w:sz w:val="20"/>
                        <w:szCs w:val="20"/>
                      </w:rPr>
                    </m:ctrlPr>
                  </m:e>
                  <m:sub>
                    <m:r>
                      <w:rPr>
                        <w:rFonts w:ascii="Cambria Math" w:eastAsia="Times New Roman" w:hAnsi="Cambria Math"/>
                        <w:color w:val="000000"/>
                        <w:sz w:val="20"/>
                        <w:szCs w:val="20"/>
                      </w:rPr>
                      <m:t>t-</m:t>
                    </m:r>
                    <m:r>
                      <w:rPr>
                        <w:rFonts w:ascii="Cambria Math" w:eastAsia="Times New Roman"/>
                        <w:color w:val="000000"/>
                        <w:sz w:val="20"/>
                        <w:szCs w:val="20"/>
                      </w:rPr>
                      <m:t>1</m:t>
                    </m:r>
                  </m:sub>
                </m:sSub>
              </m:oMath>
            </m:oMathPara>
          </w:p>
        </w:tc>
        <w:tc>
          <w:tcPr>
            <w:tcW w:w="630" w:type="pct"/>
            <w:tcBorders>
              <w:top w:val="nil"/>
              <w:left w:val="nil"/>
              <w:bottom w:val="single" w:sz="4" w:space="0" w:color="auto"/>
              <w:right w:val="nil"/>
            </w:tcBorders>
            <w:shd w:val="clear" w:color="auto" w:fill="auto"/>
            <w:noWrap/>
            <w:vAlign w:val="center"/>
            <w:hideMark/>
          </w:tcPr>
          <w:p w:rsidR="00455DEE" w:rsidRPr="000A35EF" w:rsidRDefault="00455DEE" w:rsidP="00FA5866">
            <w:pPr>
              <w:spacing w:after="0" w:line="240" w:lineRule="auto"/>
              <w:ind w:firstLine="0"/>
              <w:jc w:val="center"/>
              <w:rPr>
                <w:rFonts w:eastAsia="Times New Roman"/>
                <w:color w:val="000000"/>
                <w:sz w:val="20"/>
                <w:szCs w:val="20"/>
                <w:lang w:val="en-US"/>
              </w:rPr>
            </w:pPr>
            <w:r w:rsidRPr="000A35EF">
              <w:rPr>
                <w:rFonts w:eastAsia="Times New Roman"/>
                <w:color w:val="000000"/>
                <w:sz w:val="20"/>
                <w:szCs w:val="20"/>
                <w:lang w:val="en-US"/>
              </w:rPr>
              <w:t>-0.1138</w:t>
            </w:r>
          </w:p>
        </w:tc>
        <w:tc>
          <w:tcPr>
            <w:tcW w:w="630" w:type="pct"/>
            <w:tcBorders>
              <w:top w:val="nil"/>
              <w:left w:val="nil"/>
              <w:bottom w:val="single" w:sz="4" w:space="0" w:color="auto"/>
              <w:right w:val="nil"/>
            </w:tcBorders>
            <w:shd w:val="clear" w:color="auto" w:fill="auto"/>
            <w:noWrap/>
            <w:vAlign w:val="center"/>
            <w:hideMark/>
          </w:tcPr>
          <w:p w:rsidR="00455DEE" w:rsidRPr="000A35EF" w:rsidRDefault="00455DEE" w:rsidP="00FA5866">
            <w:pPr>
              <w:spacing w:after="0" w:line="240" w:lineRule="auto"/>
              <w:ind w:firstLine="0"/>
              <w:jc w:val="center"/>
              <w:rPr>
                <w:rFonts w:eastAsia="Times New Roman"/>
                <w:color w:val="000000"/>
                <w:sz w:val="20"/>
                <w:szCs w:val="20"/>
                <w:lang w:val="en-US"/>
              </w:rPr>
            </w:pPr>
            <w:r w:rsidRPr="000A35EF">
              <w:rPr>
                <w:rFonts w:eastAsia="Times New Roman"/>
                <w:color w:val="000000"/>
                <w:sz w:val="20"/>
                <w:szCs w:val="20"/>
                <w:lang w:val="en-US"/>
              </w:rPr>
              <w:t>0.0191</w:t>
            </w:r>
          </w:p>
        </w:tc>
        <w:tc>
          <w:tcPr>
            <w:tcW w:w="678" w:type="pct"/>
            <w:tcBorders>
              <w:top w:val="nil"/>
              <w:left w:val="nil"/>
              <w:bottom w:val="single" w:sz="4" w:space="0" w:color="auto"/>
              <w:right w:val="nil"/>
            </w:tcBorders>
            <w:shd w:val="clear" w:color="auto" w:fill="auto"/>
            <w:noWrap/>
            <w:vAlign w:val="center"/>
            <w:hideMark/>
          </w:tcPr>
          <w:p w:rsidR="00455DEE" w:rsidRPr="000A35EF" w:rsidRDefault="00455DEE" w:rsidP="00FA5866">
            <w:pPr>
              <w:spacing w:after="0" w:line="240" w:lineRule="auto"/>
              <w:ind w:firstLine="0"/>
              <w:jc w:val="center"/>
              <w:rPr>
                <w:rFonts w:eastAsia="Times New Roman"/>
                <w:color w:val="000000"/>
                <w:sz w:val="20"/>
                <w:szCs w:val="20"/>
                <w:lang w:val="en-US"/>
              </w:rPr>
            </w:pPr>
            <w:r w:rsidRPr="000A35EF">
              <w:rPr>
                <w:rFonts w:eastAsia="Times New Roman"/>
                <w:color w:val="000000"/>
                <w:sz w:val="20"/>
                <w:szCs w:val="20"/>
                <w:lang w:val="en-US"/>
              </w:rPr>
              <w:t>-0.1330</w:t>
            </w:r>
          </w:p>
        </w:tc>
        <w:tc>
          <w:tcPr>
            <w:tcW w:w="690" w:type="pct"/>
            <w:tcBorders>
              <w:top w:val="nil"/>
              <w:left w:val="nil"/>
              <w:bottom w:val="single" w:sz="4" w:space="0" w:color="auto"/>
              <w:right w:val="nil"/>
            </w:tcBorders>
            <w:shd w:val="clear" w:color="auto" w:fill="auto"/>
            <w:noWrap/>
            <w:vAlign w:val="center"/>
            <w:hideMark/>
          </w:tcPr>
          <w:p w:rsidR="00455DEE" w:rsidRPr="000A35EF" w:rsidRDefault="00455DEE" w:rsidP="00FA5866">
            <w:pPr>
              <w:spacing w:after="0" w:line="240" w:lineRule="auto"/>
              <w:ind w:firstLine="0"/>
              <w:jc w:val="center"/>
              <w:rPr>
                <w:rFonts w:eastAsia="Times New Roman"/>
                <w:b/>
                <w:bCs/>
                <w:color w:val="000000"/>
                <w:sz w:val="20"/>
                <w:szCs w:val="20"/>
                <w:lang w:val="en-US"/>
              </w:rPr>
            </w:pPr>
            <w:r>
              <w:rPr>
                <w:rFonts w:eastAsia="Times New Roman"/>
                <w:b/>
                <w:bCs/>
                <w:color w:val="000000"/>
                <w:sz w:val="20"/>
                <w:szCs w:val="20"/>
                <w:lang w:val="en-US"/>
              </w:rPr>
              <w:t>-8.307</w:t>
            </w:r>
            <w:r w:rsidRPr="000A35EF">
              <w:rPr>
                <w:rFonts w:eastAsia="Times New Roman"/>
                <w:b/>
                <w:bCs/>
                <w:color w:val="000000"/>
                <w:sz w:val="20"/>
                <w:szCs w:val="20"/>
                <w:lang w:val="en-US"/>
              </w:rPr>
              <w:t>***</w:t>
            </w:r>
          </w:p>
        </w:tc>
      </w:tr>
    </w:tbl>
    <w:p w:rsidR="00455DEE" w:rsidRPr="00AB59EC" w:rsidRDefault="00455DEE" w:rsidP="00FA5866">
      <w:pPr>
        <w:spacing w:after="0" w:line="240" w:lineRule="auto"/>
        <w:ind w:firstLine="0"/>
        <w:jc w:val="left"/>
        <w:rPr>
          <w:sz w:val="20"/>
          <w:szCs w:val="20"/>
        </w:rPr>
      </w:pPr>
      <w:r>
        <w:rPr>
          <w:sz w:val="20"/>
          <w:szCs w:val="20"/>
        </w:rPr>
        <w:t>L</w:t>
      </w:r>
      <w:r w:rsidRPr="00AA282F">
        <w:rPr>
          <w:sz w:val="20"/>
          <w:szCs w:val="20"/>
        </w:rPr>
        <w:t>egenda: * p&lt;0.1, ** p &lt; 0.05, ***p &lt; 0.01</w:t>
      </w:r>
      <w:r>
        <w:rPr>
          <w:sz w:val="20"/>
          <w:szCs w:val="20"/>
        </w:rPr>
        <w:t xml:space="preserve">. </w:t>
      </w:r>
      <w:r w:rsidRPr="00AA282F">
        <w:rPr>
          <w:sz w:val="20"/>
          <w:szCs w:val="20"/>
        </w:rPr>
        <w:t>Fonte: Elaboração Própria</w:t>
      </w:r>
    </w:p>
    <w:p w:rsidR="00A83548" w:rsidRDefault="00A83548" w:rsidP="00FA5866">
      <w:pPr>
        <w:spacing w:after="0" w:line="240" w:lineRule="auto"/>
        <w:ind w:firstLine="720"/>
        <w:rPr>
          <w:rFonts w:eastAsia="GungsuhChe"/>
        </w:rPr>
      </w:pPr>
    </w:p>
    <w:p w:rsidR="00455DEE" w:rsidRDefault="00455DEE" w:rsidP="00FA5866">
      <w:pPr>
        <w:spacing w:after="0" w:line="240" w:lineRule="auto"/>
        <w:ind w:firstLine="720"/>
        <w:rPr>
          <w:rFonts w:eastAsia="GungsuhChe"/>
        </w:rPr>
      </w:pPr>
      <w:r w:rsidRPr="00181DC9">
        <w:rPr>
          <w:rFonts w:eastAsia="GungsuhChe"/>
        </w:rPr>
        <w:t>Percebe-se que, para as firmas fusionadas, o mercado antecipa melhor os efeitos das fusões</w:t>
      </w:r>
      <w:proofErr w:type="gramStart"/>
      <w:r w:rsidRPr="00181DC9">
        <w:rPr>
          <w:rFonts w:eastAsia="GungsuhChe"/>
        </w:rPr>
        <w:t xml:space="preserve">  </w:t>
      </w:r>
      <w:proofErr w:type="gramEnd"/>
      <w:r w:rsidRPr="00181DC9">
        <w:rPr>
          <w:rFonts w:eastAsia="GungsuhChe"/>
        </w:rPr>
        <w:t>competitivas.</w:t>
      </w:r>
      <w:r w:rsidR="005A57E6">
        <w:rPr>
          <w:rFonts w:eastAsia="GungsuhChe"/>
        </w:rPr>
        <w:t xml:space="preserve"> </w:t>
      </w:r>
      <w:r w:rsidRPr="00181DC9">
        <w:rPr>
          <w:rFonts w:eastAsia="GungsuhChe"/>
        </w:rPr>
        <w:t>Cabe a ressalva de que para as firmas fusionadas a divisão da amostra reduz significativamente o número de observações, perdendo-se propriedades de eficiência assintótica dos estimadores.</w:t>
      </w:r>
    </w:p>
    <w:p w:rsidR="00B61376" w:rsidRDefault="00B61376" w:rsidP="00FA5866">
      <w:pPr>
        <w:spacing w:after="0" w:line="240" w:lineRule="auto"/>
        <w:rPr>
          <w:highlight w:val="yellow"/>
        </w:rPr>
      </w:pPr>
    </w:p>
    <w:p w:rsidR="00A042AF" w:rsidRPr="00574DE0" w:rsidRDefault="00BE5002" w:rsidP="00FA5866">
      <w:pPr>
        <w:pStyle w:val="Ttulo1"/>
        <w:spacing w:before="0" w:after="0" w:line="240" w:lineRule="auto"/>
        <w:rPr>
          <w:sz w:val="24"/>
          <w:szCs w:val="24"/>
        </w:rPr>
      </w:pPr>
      <w:bookmarkStart w:id="14" w:name="_Toc379492298"/>
      <w:r w:rsidRPr="00574DE0">
        <w:rPr>
          <w:sz w:val="24"/>
          <w:szCs w:val="24"/>
        </w:rPr>
        <w:t xml:space="preserve">6 </w:t>
      </w:r>
      <w:r w:rsidR="00AB3C01" w:rsidRPr="00574DE0">
        <w:rPr>
          <w:sz w:val="24"/>
          <w:szCs w:val="24"/>
        </w:rPr>
        <w:t>–</w:t>
      </w:r>
      <w:r w:rsidRPr="00574DE0">
        <w:rPr>
          <w:sz w:val="24"/>
          <w:szCs w:val="24"/>
        </w:rPr>
        <w:t xml:space="preserve"> </w:t>
      </w:r>
      <w:r w:rsidR="00A042AF" w:rsidRPr="00574DE0">
        <w:rPr>
          <w:sz w:val="24"/>
          <w:szCs w:val="24"/>
        </w:rPr>
        <w:t>Con</w:t>
      </w:r>
      <w:r w:rsidR="00AB3C01" w:rsidRPr="00574DE0">
        <w:rPr>
          <w:sz w:val="24"/>
          <w:szCs w:val="24"/>
        </w:rPr>
        <w:t>siderações finais</w:t>
      </w:r>
      <w:bookmarkEnd w:id="14"/>
    </w:p>
    <w:p w:rsidR="00A042AF" w:rsidRDefault="00A042AF" w:rsidP="00FA5866">
      <w:pPr>
        <w:spacing w:after="0" w:line="240" w:lineRule="auto"/>
        <w:rPr>
          <w:rFonts w:eastAsia="GungsuhChe"/>
        </w:rPr>
      </w:pPr>
      <w:r>
        <w:rPr>
          <w:rFonts w:eastAsia="GungsuhChe"/>
        </w:rPr>
        <w:t>A avaliação dos efeitos competitivos das fusões é uma das questões centrais da p</w:t>
      </w:r>
      <w:r w:rsidR="00AF0FE2">
        <w:rPr>
          <w:rFonts w:eastAsia="GungsuhChe"/>
        </w:rPr>
        <w:t xml:space="preserve">olítica antitruste no Brasil e </w:t>
      </w:r>
      <w:r>
        <w:rPr>
          <w:rFonts w:eastAsia="GungsuhChe"/>
        </w:rPr>
        <w:t>no mundo</w:t>
      </w:r>
      <w:r w:rsidR="002B1E53">
        <w:rPr>
          <w:rFonts w:eastAsia="GungsuhChe"/>
        </w:rPr>
        <w:t>, não somente pelos grandes montantes financeiros que elas envolvem, mas também pelos danos ao bem-estar e aos consumidores decorrentes</w:t>
      </w:r>
      <w:r w:rsidR="00AF0FE2">
        <w:rPr>
          <w:rFonts w:eastAsia="GungsuhChe"/>
        </w:rPr>
        <w:t xml:space="preserve"> do aumento de poder de mercado. Entretanto, a capacidade de </w:t>
      </w:r>
      <w:r>
        <w:rPr>
          <w:rFonts w:eastAsia="GungsuhChe"/>
        </w:rPr>
        <w:t>me</w:t>
      </w:r>
      <w:r w:rsidR="002B1E53">
        <w:rPr>
          <w:rFonts w:eastAsia="GungsuhChe"/>
        </w:rPr>
        <w:t>n</w:t>
      </w:r>
      <w:r>
        <w:rPr>
          <w:rFonts w:eastAsia="GungsuhChe"/>
        </w:rPr>
        <w:t>surar esses efeitos no mo</w:t>
      </w:r>
      <w:r w:rsidR="00AF0FE2">
        <w:rPr>
          <w:rFonts w:eastAsia="GungsuhChe"/>
        </w:rPr>
        <w:t xml:space="preserve">mento em que se delibera sobre </w:t>
      </w:r>
      <w:r>
        <w:rPr>
          <w:rFonts w:eastAsia="GungsuhChe"/>
        </w:rPr>
        <w:t xml:space="preserve">restringir ou não a operação ainda permanece como um dos grandes desafios para </w:t>
      </w:r>
      <w:r w:rsidR="00AF0FE2">
        <w:rPr>
          <w:rFonts w:eastAsia="GungsuhChe"/>
        </w:rPr>
        <w:t xml:space="preserve">a </w:t>
      </w:r>
      <w:r>
        <w:rPr>
          <w:rFonts w:eastAsia="GungsuhChe"/>
        </w:rPr>
        <w:t xml:space="preserve">autoridade antitruste. </w:t>
      </w:r>
    </w:p>
    <w:p w:rsidR="00A042AF" w:rsidRDefault="00A042AF" w:rsidP="00FA5866">
      <w:pPr>
        <w:spacing w:after="0" w:line="240" w:lineRule="auto"/>
        <w:rPr>
          <w:rFonts w:eastAsia="GungsuhChe"/>
        </w:rPr>
      </w:pPr>
      <w:r>
        <w:rPr>
          <w:rFonts w:eastAsia="GungsuhChe"/>
        </w:rPr>
        <w:t>Dessa f</w:t>
      </w:r>
      <w:r w:rsidR="00574DE0">
        <w:rPr>
          <w:rFonts w:eastAsia="GungsuhChe"/>
        </w:rPr>
        <w:t>orma, neste trabalho</w:t>
      </w:r>
      <w:r w:rsidR="00AF0FE2">
        <w:rPr>
          <w:rFonts w:eastAsia="GungsuhChe"/>
        </w:rPr>
        <w:t xml:space="preserve"> buscou-se</w:t>
      </w:r>
      <w:r>
        <w:rPr>
          <w:rFonts w:eastAsia="GungsuhChe"/>
        </w:rPr>
        <w:t xml:space="preserve"> avaliar para o mercado brasileiro os efeitos competitivos das fusões tanto para as firmas fusionadas como para as firmas rivais</w:t>
      </w:r>
      <w:r w:rsidR="00AF0FE2">
        <w:rPr>
          <w:rFonts w:eastAsia="GungsuhChe"/>
        </w:rPr>
        <w:t>,</w:t>
      </w:r>
      <w:r>
        <w:rPr>
          <w:rFonts w:eastAsia="GungsuhChe"/>
        </w:rPr>
        <w:t xml:space="preserve"> bem como testar a eficácia da análise de estudo de eventos em antecipar os efeitos competitivos das fusões.      </w:t>
      </w:r>
    </w:p>
    <w:p w:rsidR="00A042AF" w:rsidRPr="00F34A68" w:rsidRDefault="00A042AF" w:rsidP="00FA5866">
      <w:pPr>
        <w:spacing w:after="0" w:line="240" w:lineRule="auto"/>
        <w:rPr>
          <w:rFonts w:eastAsia="GungsuhChe"/>
          <w:i/>
        </w:rPr>
      </w:pPr>
      <w:r>
        <w:rPr>
          <w:rFonts w:eastAsia="GungsuhChe"/>
        </w:rPr>
        <w:t>Para ta</w:t>
      </w:r>
      <w:r w:rsidR="00AF0FE2">
        <w:rPr>
          <w:rFonts w:eastAsia="GungsuhChe"/>
        </w:rPr>
        <w:t>nto, utilizaram-se</w:t>
      </w:r>
      <w:r>
        <w:rPr>
          <w:rFonts w:eastAsia="GungsuhChe"/>
        </w:rPr>
        <w:t xml:space="preserve"> duas metodologias para analisar os efeitos de uma fusão. Em uma análise de estudo de evento </w:t>
      </w:r>
      <w:r w:rsidR="00AF0FE2">
        <w:rPr>
          <w:rFonts w:eastAsia="GungsuhChe"/>
          <w:i/>
        </w:rPr>
        <w:t>ex</w:t>
      </w:r>
      <w:r w:rsidR="00574DE0">
        <w:rPr>
          <w:rFonts w:eastAsia="GungsuhChe"/>
          <w:i/>
        </w:rPr>
        <w:t xml:space="preserve"> </w:t>
      </w:r>
      <w:r w:rsidRPr="002B1E53">
        <w:rPr>
          <w:rFonts w:eastAsia="GungsuhChe"/>
          <w:i/>
        </w:rPr>
        <w:t>ante</w:t>
      </w:r>
      <w:r w:rsidR="00AF0FE2">
        <w:rPr>
          <w:rFonts w:eastAsia="GungsuhChe"/>
          <w:i/>
        </w:rPr>
        <w:t>,</w:t>
      </w:r>
      <w:r w:rsidR="00AF0FE2">
        <w:rPr>
          <w:rFonts w:eastAsia="GungsuhChe"/>
        </w:rPr>
        <w:t xml:space="preserve"> calcularam-se</w:t>
      </w:r>
      <w:r>
        <w:rPr>
          <w:rFonts w:eastAsia="GungsuhChe"/>
        </w:rPr>
        <w:t xml:space="preserve"> os retornos anormais das firmas rivais e das firmas fusionadas por meio das reações de suas ações </w:t>
      </w:r>
      <w:r w:rsidRPr="000F7360">
        <w:rPr>
          <w:rFonts w:eastAsia="GungsuhChe"/>
        </w:rPr>
        <w:t>ao anúncio da fusão. A partir da variação nos retornos</w:t>
      </w:r>
      <w:r w:rsidR="00822782" w:rsidRPr="000F7360">
        <w:rPr>
          <w:rFonts w:eastAsia="GungsuhChe"/>
        </w:rPr>
        <w:t xml:space="preserve"> das rivais e fusionadas</w:t>
      </w:r>
      <w:r w:rsidR="00AF0FE2" w:rsidRPr="000F7360">
        <w:rPr>
          <w:rFonts w:eastAsia="GungsuhChe"/>
        </w:rPr>
        <w:t>,</w:t>
      </w:r>
      <w:r w:rsidR="00822782" w:rsidRPr="000F7360">
        <w:rPr>
          <w:rFonts w:eastAsia="GungsuhChe"/>
        </w:rPr>
        <w:t xml:space="preserve"> obtive</w:t>
      </w:r>
      <w:r w:rsidR="00AF0FE2" w:rsidRPr="000F7360">
        <w:rPr>
          <w:rFonts w:eastAsia="GungsuhChe"/>
        </w:rPr>
        <w:t xml:space="preserve">ram-se indicativos da </w:t>
      </w:r>
      <w:r w:rsidRPr="000F7360">
        <w:rPr>
          <w:rFonts w:eastAsia="GungsuhChe"/>
        </w:rPr>
        <w:t xml:space="preserve">relação entre os efeitos anticompetitivos advindos </w:t>
      </w:r>
      <w:r w:rsidR="00AF0FE2" w:rsidRPr="000F7360">
        <w:rPr>
          <w:rFonts w:eastAsia="GungsuhChe"/>
        </w:rPr>
        <w:t>d</w:t>
      </w:r>
      <w:r w:rsidRPr="000F7360">
        <w:rPr>
          <w:rFonts w:eastAsia="GungsuhChe"/>
        </w:rPr>
        <w:t xml:space="preserve">o ganho de poder de mercado e os </w:t>
      </w:r>
      <w:r w:rsidR="00CF039A" w:rsidRPr="000F7360">
        <w:rPr>
          <w:rFonts w:eastAsia="GungsuhChe"/>
        </w:rPr>
        <w:t>retornos de mercado</w:t>
      </w:r>
      <w:r w:rsidRPr="000F7360">
        <w:rPr>
          <w:rFonts w:eastAsia="GungsuhChe"/>
        </w:rPr>
        <w:t>. Em seguida</w:t>
      </w:r>
      <w:r w:rsidR="00AF0FE2" w:rsidRPr="000F7360">
        <w:rPr>
          <w:rFonts w:eastAsia="GungsuhChe"/>
        </w:rPr>
        <w:t>,</w:t>
      </w:r>
      <w:r w:rsidR="005463A4">
        <w:rPr>
          <w:rFonts w:eastAsia="GungsuhChe"/>
        </w:rPr>
        <w:t xml:space="preserve"> </w:t>
      </w:r>
      <w:r w:rsidRPr="000F7360">
        <w:rPr>
          <w:rFonts w:eastAsia="GungsuhChe"/>
        </w:rPr>
        <w:t xml:space="preserve">pela metodologia </w:t>
      </w:r>
      <w:r w:rsidRPr="000F7360">
        <w:rPr>
          <w:rFonts w:eastAsia="GungsuhChe"/>
          <w:i/>
        </w:rPr>
        <w:t>ex</w:t>
      </w:r>
      <w:r w:rsidR="005463A4">
        <w:rPr>
          <w:rFonts w:eastAsia="GungsuhChe"/>
          <w:i/>
        </w:rPr>
        <w:t xml:space="preserve"> </w:t>
      </w:r>
      <w:proofErr w:type="spellStart"/>
      <w:r w:rsidR="00822782" w:rsidRPr="000F7360">
        <w:rPr>
          <w:rFonts w:eastAsia="GungsuhChe"/>
          <w:i/>
        </w:rPr>
        <w:t>post</w:t>
      </w:r>
      <w:proofErr w:type="spellEnd"/>
      <w:r w:rsidR="00AF0FE2" w:rsidRPr="000F7360">
        <w:rPr>
          <w:rFonts w:eastAsia="GungsuhChe"/>
        </w:rPr>
        <w:t>,</w:t>
      </w:r>
      <w:r w:rsidR="00822782" w:rsidRPr="000F7360">
        <w:rPr>
          <w:rFonts w:eastAsia="GungsuhChe"/>
        </w:rPr>
        <w:t xml:space="preserve"> foram</w:t>
      </w:r>
      <w:r w:rsidRPr="000F7360">
        <w:rPr>
          <w:rFonts w:eastAsia="GungsuhChe"/>
        </w:rPr>
        <w:t xml:space="preserve"> comparados os retornos </w:t>
      </w:r>
      <w:r w:rsidR="00526FD3" w:rsidRPr="000F7360">
        <w:rPr>
          <w:rFonts w:eastAsia="GungsuhChe"/>
        </w:rPr>
        <w:t>líquidos</w:t>
      </w:r>
      <w:r w:rsidRPr="000F7360">
        <w:rPr>
          <w:rFonts w:eastAsia="GungsuhChe"/>
        </w:rPr>
        <w:t xml:space="preserve"> das firmas fusionadas e de suas rivais em relação a</w:t>
      </w:r>
      <w:r w:rsidR="00526FD3" w:rsidRPr="000F7360">
        <w:rPr>
          <w:rFonts w:eastAsia="GungsuhChe"/>
        </w:rPr>
        <w:t xml:space="preserve"> um retorno esperado caso a fusão não tivesse ocorrido, encontrando-se retornos de fato superiores para ambas</w:t>
      </w:r>
      <w:r w:rsidR="00AF0FE2" w:rsidRPr="000F7360">
        <w:rPr>
          <w:rFonts w:eastAsia="GungsuhChe"/>
        </w:rPr>
        <w:t>.</w:t>
      </w:r>
    </w:p>
    <w:p w:rsidR="00A042AF" w:rsidRPr="000F7360" w:rsidRDefault="00AF0FE2" w:rsidP="00FA5866">
      <w:pPr>
        <w:spacing w:after="0" w:line="240" w:lineRule="auto"/>
        <w:rPr>
          <w:rFonts w:eastAsia="GungsuhChe"/>
        </w:rPr>
      </w:pPr>
      <w:r>
        <w:rPr>
          <w:rFonts w:eastAsia="GungsuhChe"/>
        </w:rPr>
        <w:t>Ess</w:t>
      </w:r>
      <w:r w:rsidR="00822782">
        <w:rPr>
          <w:rFonts w:eastAsia="GungsuhChe"/>
        </w:rPr>
        <w:t>as duas metodologias foram</w:t>
      </w:r>
      <w:r w:rsidR="00A042AF">
        <w:rPr>
          <w:rFonts w:eastAsia="GungsuhChe"/>
        </w:rPr>
        <w:t xml:space="preserve"> aplicadas em uma amostra de </w:t>
      </w:r>
      <w:r w:rsidR="00822782">
        <w:rPr>
          <w:rFonts w:eastAsia="GungsuhChe"/>
        </w:rPr>
        <w:t>4</w:t>
      </w:r>
      <w:r w:rsidR="004F3A34">
        <w:rPr>
          <w:rFonts w:eastAsia="GungsuhChe"/>
        </w:rPr>
        <w:t xml:space="preserve">3 </w:t>
      </w:r>
      <w:r w:rsidR="00A042AF">
        <w:rPr>
          <w:rFonts w:eastAsia="GungsuhChe"/>
        </w:rPr>
        <w:t>gr</w:t>
      </w:r>
      <w:r w:rsidR="00A042AF" w:rsidRPr="000F7360">
        <w:rPr>
          <w:rFonts w:eastAsia="GungsuhChe"/>
        </w:rPr>
        <w:t xml:space="preserve">andes fusões </w:t>
      </w:r>
      <w:r w:rsidR="00822782" w:rsidRPr="000F7360">
        <w:rPr>
          <w:rFonts w:eastAsia="GungsuhChe"/>
        </w:rPr>
        <w:t xml:space="preserve">horizontais </w:t>
      </w:r>
      <w:r w:rsidR="00A042AF" w:rsidRPr="000F7360">
        <w:rPr>
          <w:rFonts w:eastAsia="GungsuhChe"/>
        </w:rPr>
        <w:t>brasileiras</w:t>
      </w:r>
      <w:r w:rsidR="005463A4">
        <w:rPr>
          <w:rFonts w:eastAsia="GungsuhChe"/>
        </w:rPr>
        <w:t xml:space="preserve"> </w:t>
      </w:r>
      <w:r w:rsidRPr="000F7360">
        <w:rPr>
          <w:rFonts w:eastAsia="GungsuhChe"/>
        </w:rPr>
        <w:t>(</w:t>
      </w:r>
      <w:r w:rsidR="00822782" w:rsidRPr="000F7360">
        <w:rPr>
          <w:rFonts w:eastAsia="GungsuhChe"/>
        </w:rPr>
        <w:t>e suas rivais</w:t>
      </w:r>
      <w:r w:rsidRPr="000F7360">
        <w:rPr>
          <w:rFonts w:eastAsia="GungsuhChe"/>
        </w:rPr>
        <w:t>)</w:t>
      </w:r>
      <w:r w:rsidR="005463A4">
        <w:rPr>
          <w:rFonts w:eastAsia="GungsuhChe"/>
        </w:rPr>
        <w:t xml:space="preserve"> </w:t>
      </w:r>
      <w:r w:rsidR="009F3588" w:rsidRPr="000F7360">
        <w:rPr>
          <w:rFonts w:eastAsia="GungsuhChe"/>
        </w:rPr>
        <w:t>que possuíam</w:t>
      </w:r>
      <w:r w:rsidR="00A042AF" w:rsidRPr="000F7360">
        <w:rPr>
          <w:rFonts w:eastAsia="GungsuhChe"/>
        </w:rPr>
        <w:t xml:space="preserve"> ações cotadas na </w:t>
      </w:r>
      <w:proofErr w:type="spellStart"/>
      <w:r w:rsidR="00A042AF" w:rsidRPr="000F7360">
        <w:rPr>
          <w:rFonts w:eastAsia="GungsuhChe"/>
        </w:rPr>
        <w:t>BM&amp;FBOVESPA</w:t>
      </w:r>
      <w:proofErr w:type="spellEnd"/>
      <w:r w:rsidR="007D6CC0" w:rsidRPr="000F7360">
        <w:rPr>
          <w:rFonts w:eastAsia="GungsuhChe"/>
        </w:rPr>
        <w:t xml:space="preserve"> entre os anos de 1998 a 2011</w:t>
      </w:r>
      <w:r w:rsidR="00822782" w:rsidRPr="000F7360">
        <w:rPr>
          <w:rFonts w:eastAsia="GungsuhChe"/>
        </w:rPr>
        <w:t>.</w:t>
      </w:r>
    </w:p>
    <w:p w:rsidR="005D43AC" w:rsidRDefault="00A042AF" w:rsidP="00FA5866">
      <w:pPr>
        <w:spacing w:after="0" w:line="240" w:lineRule="auto"/>
        <w:rPr>
          <w:rFonts w:eastAsia="GungsuhChe"/>
        </w:rPr>
      </w:pPr>
      <w:r w:rsidRPr="000F7360">
        <w:rPr>
          <w:rFonts w:eastAsia="GungsuhChe"/>
        </w:rPr>
        <w:t>Os re</w:t>
      </w:r>
      <w:r w:rsidR="009F3588" w:rsidRPr="000F7360">
        <w:rPr>
          <w:rFonts w:eastAsia="GungsuhChe"/>
        </w:rPr>
        <w:t>sultados empíricos encontrados</w:t>
      </w:r>
      <w:r w:rsidR="005D43AC">
        <w:rPr>
          <w:rFonts w:eastAsia="GungsuhChe"/>
        </w:rPr>
        <w:t xml:space="preserve"> </w:t>
      </w:r>
      <w:r w:rsidR="009F3588" w:rsidRPr="000F7360">
        <w:rPr>
          <w:rFonts w:eastAsia="GungsuhChe"/>
        </w:rPr>
        <w:t>via metodologia de estudo de</w:t>
      </w:r>
      <w:r w:rsidR="005D43AC">
        <w:rPr>
          <w:rFonts w:eastAsia="GungsuhChe"/>
        </w:rPr>
        <w:t xml:space="preserve"> </w:t>
      </w:r>
      <w:r w:rsidR="009F3588" w:rsidRPr="000F7360">
        <w:rPr>
          <w:rFonts w:eastAsia="GungsuhChe"/>
        </w:rPr>
        <w:t xml:space="preserve">eventos indicam preponderância </w:t>
      </w:r>
      <w:r w:rsidRPr="000F7360">
        <w:rPr>
          <w:rFonts w:eastAsia="GungsuhChe"/>
        </w:rPr>
        <w:t>de efeitos anticompetitivos, evidenciados pelos retornos anormais positivos para as firmas rivais nas janelas de eventos longas</w:t>
      </w:r>
      <w:r w:rsidR="00526FD3" w:rsidRPr="000F7360">
        <w:rPr>
          <w:rFonts w:eastAsia="GungsuhChe"/>
        </w:rPr>
        <w:t xml:space="preserve"> e para as fusionadas em janelas mais curtas</w:t>
      </w:r>
      <w:r w:rsidR="00822782" w:rsidRPr="000F7360">
        <w:rPr>
          <w:rFonts w:eastAsia="GungsuhChe"/>
        </w:rPr>
        <w:t xml:space="preserve">. </w:t>
      </w:r>
      <w:r w:rsidRPr="000F7360">
        <w:rPr>
          <w:rFonts w:eastAsia="GungsuhChe"/>
        </w:rPr>
        <w:t>Outros resultados importantes foram encontrados</w:t>
      </w:r>
      <w:r w:rsidR="009F3588" w:rsidRPr="000F7360">
        <w:rPr>
          <w:rFonts w:eastAsia="GungsuhChe"/>
        </w:rPr>
        <w:t>, como</w:t>
      </w:r>
      <w:r w:rsidRPr="000F7360">
        <w:rPr>
          <w:rFonts w:eastAsia="GungsuhChe"/>
        </w:rPr>
        <w:t xml:space="preserve"> a presença de correlação positiva e significativ</w:t>
      </w:r>
      <w:r w:rsidR="00B3295E" w:rsidRPr="000F7360">
        <w:rPr>
          <w:rFonts w:eastAsia="GungsuhChe"/>
        </w:rPr>
        <w:t>a entre os retornos anormais e</w:t>
      </w:r>
      <w:r w:rsidRPr="000F7360">
        <w:rPr>
          <w:rFonts w:eastAsia="GungsuhChe"/>
        </w:rPr>
        <w:t xml:space="preserve"> o efeito na lucratividade </w:t>
      </w:r>
      <w:r w:rsidRPr="000F7360">
        <w:rPr>
          <w:rFonts w:eastAsia="GungsuhChe"/>
          <w:i/>
        </w:rPr>
        <w:t xml:space="preserve">ex </w:t>
      </w:r>
      <w:proofErr w:type="spellStart"/>
      <w:r w:rsidRPr="000F7360">
        <w:rPr>
          <w:rFonts w:eastAsia="GungsuhChe"/>
          <w:i/>
        </w:rPr>
        <w:t>post</w:t>
      </w:r>
      <w:proofErr w:type="spellEnd"/>
      <w:r w:rsidRPr="000F7360">
        <w:rPr>
          <w:rFonts w:eastAsia="GungsuhChe"/>
        </w:rPr>
        <w:t>, evidencia</w:t>
      </w:r>
      <w:r w:rsidR="00822782" w:rsidRPr="000F7360">
        <w:rPr>
          <w:rFonts w:eastAsia="GungsuhChe"/>
        </w:rPr>
        <w:t>n</w:t>
      </w:r>
      <w:r w:rsidRPr="000F7360">
        <w:rPr>
          <w:rFonts w:eastAsia="GungsuhChe"/>
        </w:rPr>
        <w:t xml:space="preserve">do a capacidade do mercado em antecipar os efeitos positivos das </w:t>
      </w:r>
      <w:r w:rsidR="002B1E53" w:rsidRPr="000F7360">
        <w:rPr>
          <w:rFonts w:eastAsia="GungsuhChe"/>
        </w:rPr>
        <w:t>fusões</w:t>
      </w:r>
      <w:r w:rsidR="001D483E" w:rsidRPr="000F7360">
        <w:rPr>
          <w:rFonts w:eastAsia="GungsuhChe"/>
        </w:rPr>
        <w:t xml:space="preserve"> para as rivais</w:t>
      </w:r>
      <w:r w:rsidR="00526FD3" w:rsidRPr="000F7360">
        <w:rPr>
          <w:rFonts w:eastAsia="GungsuhChe"/>
        </w:rPr>
        <w:t xml:space="preserve"> e para as fusionadas</w:t>
      </w:r>
      <w:r w:rsidR="009F3588" w:rsidRPr="000F7360">
        <w:rPr>
          <w:rFonts w:eastAsia="GungsuhChe"/>
        </w:rPr>
        <w:t>. E</w:t>
      </w:r>
      <w:r w:rsidRPr="000F7360">
        <w:rPr>
          <w:rFonts w:eastAsia="GungsuhChe"/>
        </w:rPr>
        <w:t xml:space="preserve">sses resultados também </w:t>
      </w:r>
      <w:r w:rsidR="00822782" w:rsidRPr="000F7360">
        <w:rPr>
          <w:rFonts w:eastAsia="GungsuhChe"/>
        </w:rPr>
        <w:t>são</w:t>
      </w:r>
      <w:r w:rsidR="005D43AC">
        <w:rPr>
          <w:rFonts w:eastAsia="GungsuhChe"/>
        </w:rPr>
        <w:t xml:space="preserve"> </w:t>
      </w:r>
      <w:r w:rsidR="000F7360" w:rsidRPr="000F7360">
        <w:rPr>
          <w:rFonts w:eastAsia="GungsuhChe"/>
        </w:rPr>
        <w:t xml:space="preserve">parcialmente </w:t>
      </w:r>
      <w:r w:rsidRPr="000F7360">
        <w:rPr>
          <w:rFonts w:eastAsia="GungsuhChe"/>
        </w:rPr>
        <w:t>corroborados pela análise de regressão</w:t>
      </w:r>
      <w:r w:rsidR="009F3588" w:rsidRPr="000F7360">
        <w:rPr>
          <w:rFonts w:eastAsia="GungsuhChe"/>
        </w:rPr>
        <w:t>,</w:t>
      </w:r>
      <w:r w:rsidRPr="000F7360">
        <w:rPr>
          <w:rFonts w:eastAsia="GungsuhChe"/>
        </w:rPr>
        <w:t xml:space="preserve"> evidenciando, assim, a utilidade da análise de estudo de eventos em capturar os efeitos </w:t>
      </w:r>
      <w:r w:rsidRPr="000F7360">
        <w:rPr>
          <w:rFonts w:eastAsia="GungsuhChe"/>
          <w:i/>
        </w:rPr>
        <w:t>ex</w:t>
      </w:r>
      <w:r w:rsidR="005463A4">
        <w:rPr>
          <w:rFonts w:eastAsia="GungsuhChe"/>
          <w:i/>
        </w:rPr>
        <w:t xml:space="preserve"> </w:t>
      </w:r>
      <w:proofErr w:type="spellStart"/>
      <w:r w:rsidR="001D483E" w:rsidRPr="000F7360">
        <w:rPr>
          <w:rFonts w:eastAsia="GungsuhChe"/>
          <w:i/>
        </w:rPr>
        <w:t>post</w:t>
      </w:r>
      <w:proofErr w:type="spellEnd"/>
      <w:r w:rsidRPr="000F7360">
        <w:rPr>
          <w:rFonts w:eastAsia="GungsuhChe"/>
        </w:rPr>
        <w:t xml:space="preserve"> das fusões. Além disso, após a divisão da amostra</w:t>
      </w:r>
      <w:r w:rsidR="009F3588" w:rsidRPr="000F7360">
        <w:rPr>
          <w:rFonts w:eastAsia="GungsuhChe"/>
        </w:rPr>
        <w:t>,</w:t>
      </w:r>
      <w:r w:rsidRPr="000F7360">
        <w:rPr>
          <w:rFonts w:eastAsia="GungsuhChe"/>
        </w:rPr>
        <w:t xml:space="preserve"> percebe-se que a análise de estudo de eventos é particularmente efetiva em capturar os efeitos das fusões anticompetitivas.</w:t>
      </w:r>
      <w:r w:rsidR="005D43AC">
        <w:rPr>
          <w:rFonts w:eastAsia="GungsuhChe"/>
        </w:rPr>
        <w:t xml:space="preserve"> </w:t>
      </w:r>
    </w:p>
    <w:p w:rsidR="00A83548" w:rsidRPr="00B40EDF" w:rsidRDefault="00A83548" w:rsidP="00FA5866">
      <w:pPr>
        <w:spacing w:after="0" w:line="240" w:lineRule="auto"/>
        <w:outlineLvl w:val="0"/>
        <w:rPr>
          <w:b/>
        </w:rPr>
      </w:pPr>
      <w:bookmarkStart w:id="15" w:name="_Toc379492299"/>
    </w:p>
    <w:p w:rsidR="008B2E88" w:rsidRPr="00D0242E" w:rsidRDefault="008B2E88" w:rsidP="00FA5866">
      <w:pPr>
        <w:spacing w:after="0" w:line="240" w:lineRule="auto"/>
        <w:outlineLvl w:val="0"/>
        <w:rPr>
          <w:b/>
          <w:lang w:val="en-US"/>
        </w:rPr>
      </w:pPr>
      <w:r w:rsidRPr="00D06C2F">
        <w:rPr>
          <w:b/>
          <w:lang w:val="en-US"/>
        </w:rPr>
        <w:t>R</w:t>
      </w:r>
      <w:r w:rsidR="000F2E75" w:rsidRPr="00D06C2F">
        <w:rPr>
          <w:b/>
          <w:lang w:val="en-US"/>
        </w:rPr>
        <w:t>EFE</w:t>
      </w:r>
      <w:r w:rsidR="000F2E75" w:rsidRPr="00D0242E">
        <w:rPr>
          <w:b/>
          <w:lang w:val="en-US"/>
        </w:rPr>
        <w:t>RÊNCIAS</w:t>
      </w:r>
      <w:bookmarkEnd w:id="15"/>
    </w:p>
    <w:p w:rsidR="003B7091" w:rsidRDefault="00FD712B" w:rsidP="00FA5866">
      <w:pPr>
        <w:spacing w:after="0" w:line="240" w:lineRule="auto"/>
        <w:rPr>
          <w:lang w:val="en-US"/>
        </w:rPr>
      </w:pPr>
      <w:proofErr w:type="gramStart"/>
      <w:r>
        <w:rPr>
          <w:lang w:val="en-US"/>
        </w:rPr>
        <w:t>BAKER J. B.;</w:t>
      </w:r>
      <w:r w:rsidRPr="00C15A81">
        <w:rPr>
          <w:lang w:val="en-US"/>
        </w:rPr>
        <w:t xml:space="preserve"> BRENAHAN, T. F</w:t>
      </w:r>
      <w:r w:rsidR="003B7091" w:rsidRPr="00C15A81">
        <w:rPr>
          <w:lang w:val="en-US"/>
        </w:rPr>
        <w:t xml:space="preserve">. </w:t>
      </w:r>
      <w:r w:rsidR="003B7091" w:rsidRPr="006C299E">
        <w:rPr>
          <w:lang w:val="en-US"/>
        </w:rPr>
        <w:t xml:space="preserve">Estimating the residual demand curve facing a single </w:t>
      </w:r>
      <w:proofErr w:type="spellStart"/>
      <w:r w:rsidR="003B7091" w:rsidRPr="006C299E">
        <w:rPr>
          <w:lang w:val="en-US"/>
        </w:rPr>
        <w:t>firm</w:t>
      </w:r>
      <w:r w:rsidR="003B7091" w:rsidRPr="00C15A81">
        <w:rPr>
          <w:lang w:val="en-US"/>
        </w:rPr>
        <w:t>.</w:t>
      </w:r>
      <w:r w:rsidR="003B7091" w:rsidRPr="006C299E">
        <w:rPr>
          <w:i/>
          <w:lang w:val="en-US"/>
        </w:rPr>
        <w:t>International</w:t>
      </w:r>
      <w:proofErr w:type="spellEnd"/>
      <w:r w:rsidR="003B7091" w:rsidRPr="006C299E">
        <w:rPr>
          <w:i/>
          <w:lang w:val="en-US"/>
        </w:rPr>
        <w:t xml:space="preserve"> Journal of Industrial Organization</w:t>
      </w:r>
      <w:r w:rsidR="003B7091">
        <w:rPr>
          <w:lang w:val="en-US"/>
        </w:rPr>
        <w:t>.</w:t>
      </w:r>
      <w:proofErr w:type="gramEnd"/>
    </w:p>
    <w:p w:rsidR="003B7091" w:rsidRPr="003F3823" w:rsidRDefault="006C299E" w:rsidP="00FA5866">
      <w:pPr>
        <w:spacing w:after="0" w:line="240" w:lineRule="auto"/>
      </w:pPr>
      <w:r>
        <w:rPr>
          <w:lang w:val="en-US"/>
        </w:rPr>
        <w:t>BARBER B. M.;</w:t>
      </w:r>
      <w:r w:rsidR="003B7091">
        <w:rPr>
          <w:lang w:val="en-US"/>
        </w:rPr>
        <w:t xml:space="preserve"> LYON J. D. Detecting abnormal operating performance: The empirical power and specification test statistics. </w:t>
      </w:r>
      <w:proofErr w:type="spellStart"/>
      <w:r w:rsidR="003B7091" w:rsidRPr="003F3823">
        <w:rPr>
          <w:i/>
        </w:rPr>
        <w:t>Journalof</w:t>
      </w:r>
      <w:proofErr w:type="spellEnd"/>
      <w:r w:rsidR="003B7091" w:rsidRPr="003F3823">
        <w:rPr>
          <w:i/>
        </w:rPr>
        <w:t xml:space="preserve"> Financial </w:t>
      </w:r>
      <w:proofErr w:type="spellStart"/>
      <w:r w:rsidR="003B7091" w:rsidRPr="003F3823">
        <w:rPr>
          <w:i/>
        </w:rPr>
        <w:t>Economics</w:t>
      </w:r>
      <w:proofErr w:type="spellEnd"/>
      <w:r w:rsidR="003B7091" w:rsidRPr="003F3823">
        <w:t>, 41, 359-399, 1996</w:t>
      </w:r>
      <w:r w:rsidRPr="003F3823">
        <w:t>.</w:t>
      </w:r>
    </w:p>
    <w:p w:rsidR="00E92045" w:rsidRDefault="00E92045" w:rsidP="00FA5866">
      <w:pPr>
        <w:spacing w:after="0" w:line="240" w:lineRule="auto"/>
      </w:pPr>
      <w:r w:rsidRPr="00E92045">
        <w:t xml:space="preserve">BARBOSA C. </w:t>
      </w:r>
      <w:proofErr w:type="gramStart"/>
      <w:r w:rsidRPr="004C474F">
        <w:rPr>
          <w:i/>
        </w:rPr>
        <w:t>Investigação econômico</w:t>
      </w:r>
      <w:proofErr w:type="gramEnd"/>
      <w:r w:rsidRPr="004C474F">
        <w:rPr>
          <w:i/>
        </w:rPr>
        <w:t xml:space="preserve"> sobre o sistema brasileiro de defesa da concorrência, 2000 a 2004</w:t>
      </w:r>
      <w:r>
        <w:t>.</w:t>
      </w:r>
      <w:r w:rsidR="004C474F">
        <w:t xml:space="preserve"> 2006. 206f. Tese </w:t>
      </w:r>
      <w:proofErr w:type="gramStart"/>
      <w:r w:rsidR="004C474F">
        <w:t xml:space="preserve">( </w:t>
      </w:r>
      <w:proofErr w:type="gramEnd"/>
      <w:r w:rsidR="004C474F">
        <w:t>Doutorando em Economia Aplicada) - Escola Superior de Agricultura Luiz de Queiroz, Piracicaba, 2006.</w:t>
      </w:r>
    </w:p>
    <w:p w:rsidR="00D72C0E" w:rsidRPr="00B40EDF" w:rsidRDefault="00BF20AE" w:rsidP="00FA5866">
      <w:pPr>
        <w:spacing w:after="0" w:line="240" w:lineRule="auto"/>
        <w:rPr>
          <w:color w:val="000000" w:themeColor="text1"/>
          <w:sz w:val="22"/>
          <w:szCs w:val="22"/>
          <w:lang w:val="en-US"/>
        </w:rPr>
      </w:pPr>
      <w:r>
        <w:rPr>
          <w:color w:val="000000" w:themeColor="text1"/>
          <w:sz w:val="22"/>
          <w:szCs w:val="22"/>
          <w:shd w:val="clear" w:color="auto" w:fill="FFFFFF"/>
        </w:rPr>
        <w:t>BATISTA, D. B.</w:t>
      </w:r>
      <w:r w:rsidR="00647938" w:rsidRPr="00647938">
        <w:rPr>
          <w:color w:val="000000" w:themeColor="text1"/>
          <w:sz w:val="22"/>
          <w:szCs w:val="22"/>
          <w:shd w:val="clear" w:color="auto" w:fill="FFFFFF"/>
        </w:rPr>
        <w:t>;</w:t>
      </w:r>
      <w:r w:rsidR="00647938" w:rsidRPr="00647938">
        <w:rPr>
          <w:rStyle w:val="apple-converted-space"/>
          <w:color w:val="000000" w:themeColor="text1"/>
          <w:sz w:val="22"/>
          <w:szCs w:val="22"/>
          <w:shd w:val="clear" w:color="auto" w:fill="FFFFFF"/>
        </w:rPr>
        <w:t> </w:t>
      </w:r>
      <w:r>
        <w:rPr>
          <w:bCs/>
          <w:color w:val="000000" w:themeColor="text1"/>
          <w:sz w:val="22"/>
          <w:szCs w:val="22"/>
          <w:bdr w:val="none" w:sz="0" w:space="0" w:color="auto" w:frame="1"/>
          <w:shd w:val="clear" w:color="auto" w:fill="FFFFFF"/>
        </w:rPr>
        <w:t>MINARDI, A. M. A.</w:t>
      </w:r>
      <w:r w:rsidR="00647938" w:rsidRPr="00647938">
        <w:rPr>
          <w:bCs/>
          <w:color w:val="000000" w:themeColor="text1"/>
          <w:sz w:val="22"/>
          <w:szCs w:val="22"/>
          <w:bdr w:val="none" w:sz="0" w:space="0" w:color="auto" w:frame="1"/>
          <w:shd w:val="clear" w:color="auto" w:fill="FFFFFF"/>
        </w:rPr>
        <w:t xml:space="preserve"> </w:t>
      </w:r>
      <w:proofErr w:type="gramStart"/>
      <w:r w:rsidR="00647938" w:rsidRPr="00647938">
        <w:rPr>
          <w:bCs/>
          <w:color w:val="000000" w:themeColor="text1"/>
          <w:sz w:val="22"/>
          <w:szCs w:val="22"/>
          <w:bdr w:val="none" w:sz="0" w:space="0" w:color="auto" w:frame="1"/>
          <w:shd w:val="clear" w:color="auto" w:fill="FFFFFF"/>
        </w:rPr>
        <w:t>F</w:t>
      </w:r>
      <w:r>
        <w:rPr>
          <w:bCs/>
          <w:color w:val="000000" w:themeColor="text1"/>
          <w:sz w:val="22"/>
          <w:szCs w:val="22"/>
          <w:bdr w:val="none" w:sz="0" w:space="0" w:color="auto" w:frame="1"/>
          <w:shd w:val="clear" w:color="auto" w:fill="FFFFFF"/>
        </w:rPr>
        <w:t>.</w:t>
      </w:r>
      <w:r w:rsidR="00647938" w:rsidRPr="00D72C0E">
        <w:rPr>
          <w:rStyle w:val="apple-converted-space"/>
          <w:color w:val="000000" w:themeColor="text1"/>
          <w:sz w:val="22"/>
          <w:szCs w:val="22"/>
          <w:shd w:val="clear" w:color="auto" w:fill="FFFFFF"/>
        </w:rPr>
        <w:t> </w:t>
      </w:r>
      <w:r w:rsidR="00D72C0E" w:rsidRPr="00D72C0E">
        <w:rPr>
          <w:color w:val="000000" w:themeColor="text1"/>
          <w:sz w:val="22"/>
          <w:szCs w:val="22"/>
          <w:shd w:val="clear" w:color="auto" w:fill="FFFFFF"/>
        </w:rPr>
        <w:t>.</w:t>
      </w:r>
      <w:proofErr w:type="gramEnd"/>
      <w:r w:rsidR="00D72C0E" w:rsidRPr="00D72C0E">
        <w:rPr>
          <w:color w:val="000000" w:themeColor="text1"/>
          <w:sz w:val="22"/>
          <w:szCs w:val="22"/>
          <w:shd w:val="clear" w:color="auto" w:fill="FFFFFF"/>
        </w:rPr>
        <w:t xml:space="preserve"> Uma Investigação Sobre Como a Valoração do Mercado (Momentos de Alta e de Baixa) Influencia o Desempenho das Operações de Fusões e Aquisições no Brasil. In: </w:t>
      </w:r>
      <w:r w:rsidR="00D72C0E" w:rsidRPr="00BF20AE">
        <w:rPr>
          <w:i/>
          <w:color w:val="000000" w:themeColor="text1"/>
          <w:sz w:val="22"/>
          <w:szCs w:val="22"/>
          <w:shd w:val="clear" w:color="auto" w:fill="FFFFFF"/>
        </w:rPr>
        <w:t>X Encontro Brasileiro de Finanças</w:t>
      </w:r>
      <w:r w:rsidR="00D72C0E" w:rsidRPr="00D72C0E">
        <w:rPr>
          <w:color w:val="000000" w:themeColor="text1"/>
          <w:sz w:val="22"/>
          <w:szCs w:val="22"/>
          <w:shd w:val="clear" w:color="auto" w:fill="FFFFFF"/>
        </w:rPr>
        <w:t xml:space="preserve">, 2010, São Paulo. </w:t>
      </w:r>
      <w:proofErr w:type="spellStart"/>
      <w:r w:rsidR="00D72C0E" w:rsidRPr="00B40EDF">
        <w:rPr>
          <w:color w:val="000000" w:themeColor="text1"/>
          <w:sz w:val="22"/>
          <w:szCs w:val="22"/>
          <w:shd w:val="clear" w:color="auto" w:fill="FFFFFF"/>
          <w:lang w:val="en-US"/>
        </w:rPr>
        <w:t>Anais</w:t>
      </w:r>
      <w:proofErr w:type="spellEnd"/>
      <w:r w:rsidR="00D72C0E" w:rsidRPr="00B40EDF">
        <w:rPr>
          <w:color w:val="000000" w:themeColor="text1"/>
          <w:sz w:val="22"/>
          <w:szCs w:val="22"/>
          <w:shd w:val="clear" w:color="auto" w:fill="FFFFFF"/>
          <w:lang w:val="en-US"/>
        </w:rPr>
        <w:t xml:space="preserve"> do X </w:t>
      </w:r>
      <w:proofErr w:type="spellStart"/>
      <w:r w:rsidR="00D72C0E" w:rsidRPr="00B40EDF">
        <w:rPr>
          <w:color w:val="000000" w:themeColor="text1"/>
          <w:sz w:val="22"/>
          <w:szCs w:val="22"/>
          <w:shd w:val="clear" w:color="auto" w:fill="FFFFFF"/>
          <w:lang w:val="en-US"/>
        </w:rPr>
        <w:t>EncontroBrasileiro</w:t>
      </w:r>
      <w:proofErr w:type="spellEnd"/>
      <w:r w:rsidR="00D72C0E" w:rsidRPr="00B40EDF">
        <w:rPr>
          <w:color w:val="000000" w:themeColor="text1"/>
          <w:sz w:val="22"/>
          <w:szCs w:val="22"/>
          <w:shd w:val="clear" w:color="auto" w:fill="FFFFFF"/>
          <w:lang w:val="en-US"/>
        </w:rPr>
        <w:t xml:space="preserve"> de </w:t>
      </w:r>
      <w:proofErr w:type="spellStart"/>
      <w:r w:rsidR="00D72C0E" w:rsidRPr="00B40EDF">
        <w:rPr>
          <w:color w:val="000000" w:themeColor="text1"/>
          <w:sz w:val="22"/>
          <w:szCs w:val="22"/>
          <w:shd w:val="clear" w:color="auto" w:fill="FFFFFF"/>
          <w:lang w:val="en-US"/>
        </w:rPr>
        <w:t>Finanças</w:t>
      </w:r>
      <w:proofErr w:type="spellEnd"/>
      <w:r w:rsidR="00D72C0E" w:rsidRPr="00B40EDF">
        <w:rPr>
          <w:color w:val="000000" w:themeColor="text1"/>
          <w:sz w:val="22"/>
          <w:szCs w:val="22"/>
          <w:shd w:val="clear" w:color="auto" w:fill="FFFFFF"/>
          <w:lang w:val="en-US"/>
        </w:rPr>
        <w:t>, 2010.</w:t>
      </w:r>
    </w:p>
    <w:p w:rsidR="003B7091" w:rsidRDefault="003B7091" w:rsidP="00FA5866">
      <w:pPr>
        <w:spacing w:after="0" w:line="240" w:lineRule="auto"/>
        <w:rPr>
          <w:lang w:val="en-US"/>
        </w:rPr>
      </w:pPr>
      <w:proofErr w:type="gramStart"/>
      <w:r>
        <w:rPr>
          <w:lang w:val="en-US"/>
        </w:rPr>
        <w:t>BERVERLEY L. Stock Market Event Studies and Competition Commission Inquiries.</w:t>
      </w:r>
      <w:proofErr w:type="gramEnd"/>
      <w:r>
        <w:rPr>
          <w:lang w:val="en-US"/>
        </w:rPr>
        <w:t xml:space="preserve"> Competition Commission: (http:// www.competition-commission.org.uk/our_role/analysis/topics.htm). 2007.</w:t>
      </w:r>
    </w:p>
    <w:p w:rsidR="00C42041" w:rsidRDefault="00A05EF6" w:rsidP="00FA5866">
      <w:pPr>
        <w:spacing w:after="0" w:line="240" w:lineRule="auto"/>
        <w:rPr>
          <w:lang w:val="en-US"/>
        </w:rPr>
      </w:pPr>
      <w:r>
        <w:rPr>
          <w:lang w:val="en-US"/>
        </w:rPr>
        <w:t>BROWN, S. J., WARNER J.</w:t>
      </w:r>
      <w:r w:rsidR="00C42041">
        <w:rPr>
          <w:lang w:val="en-US"/>
        </w:rPr>
        <w:t xml:space="preserve"> B. </w:t>
      </w:r>
      <w:r w:rsidR="003B7091" w:rsidRPr="00C36C1D">
        <w:rPr>
          <w:lang w:val="en-US"/>
        </w:rPr>
        <w:t xml:space="preserve">Measuring Security Price Performance. </w:t>
      </w:r>
      <w:r w:rsidR="003B7091" w:rsidRPr="006C299E">
        <w:rPr>
          <w:i/>
          <w:lang w:val="en-US"/>
        </w:rPr>
        <w:t>Journal of Financial Economics</w:t>
      </w:r>
      <w:r w:rsidR="003B7091" w:rsidRPr="00C36C1D">
        <w:rPr>
          <w:b/>
          <w:lang w:val="en-US"/>
        </w:rPr>
        <w:t>,</w:t>
      </w:r>
      <w:r w:rsidR="003B7091" w:rsidRPr="00C36C1D">
        <w:rPr>
          <w:lang w:val="en-US"/>
        </w:rPr>
        <w:t xml:space="preserve"> v. 8, n. 3, p.205-258, September 1980.</w:t>
      </w:r>
    </w:p>
    <w:p w:rsidR="00A05EF6" w:rsidRPr="00A05EF6" w:rsidRDefault="006C299E" w:rsidP="00FA5866">
      <w:pPr>
        <w:spacing w:after="0" w:line="240" w:lineRule="auto"/>
        <w:rPr>
          <w:lang w:val="en-US"/>
        </w:rPr>
      </w:pPr>
      <w:r>
        <w:rPr>
          <w:lang w:val="en-US"/>
        </w:rPr>
        <w:t>BROWN, S. J.;</w:t>
      </w:r>
      <w:r w:rsidR="00C42041">
        <w:rPr>
          <w:lang w:val="en-US"/>
        </w:rPr>
        <w:t xml:space="preserve"> WARNER </w:t>
      </w:r>
      <w:proofErr w:type="spellStart"/>
      <w:r w:rsidR="00C42041">
        <w:rPr>
          <w:lang w:val="en-US"/>
        </w:rPr>
        <w:t>J.</w:t>
      </w:r>
      <w:r w:rsidR="00C42041" w:rsidRPr="00C36C1D">
        <w:rPr>
          <w:lang w:val="en-US"/>
        </w:rPr>
        <w:t>B.</w:t>
      </w:r>
      <w:r w:rsidR="00A05EF6" w:rsidRPr="00A05EF6">
        <w:rPr>
          <w:lang w:val="en-US"/>
        </w:rPr>
        <w:t>Using</w:t>
      </w:r>
      <w:proofErr w:type="spellEnd"/>
      <w:r w:rsidR="00A05EF6" w:rsidRPr="00A05EF6">
        <w:rPr>
          <w:lang w:val="en-US"/>
        </w:rPr>
        <w:t xml:space="preserve"> Daily Stocks Returns: The Case of Event Studies. </w:t>
      </w:r>
      <w:r w:rsidR="00A05EF6" w:rsidRPr="006C299E">
        <w:rPr>
          <w:i/>
          <w:lang w:val="en-US"/>
        </w:rPr>
        <w:t>Journal of Financial Economics</w:t>
      </w:r>
      <w:r w:rsidR="00A05EF6" w:rsidRPr="00A05EF6">
        <w:rPr>
          <w:b/>
          <w:lang w:val="en-US"/>
        </w:rPr>
        <w:t>,</w:t>
      </w:r>
      <w:r w:rsidR="00A05EF6" w:rsidRPr="00A05EF6">
        <w:rPr>
          <w:lang w:val="en-US"/>
        </w:rPr>
        <w:t xml:space="preserve"> v. 14, n. 4, March 1985.</w:t>
      </w:r>
    </w:p>
    <w:p w:rsidR="003B7091" w:rsidRDefault="003B7091" w:rsidP="00FA5866">
      <w:pPr>
        <w:spacing w:after="0" w:line="240" w:lineRule="auto"/>
        <w:rPr>
          <w:lang w:val="en-US"/>
        </w:rPr>
      </w:pPr>
      <w:r>
        <w:rPr>
          <w:lang w:val="en-US"/>
        </w:rPr>
        <w:t>CAVES R. E. Mergers, takeovers, and economic efficiency: Foresights vs. hind-sights</w:t>
      </w:r>
      <w:r w:rsidRPr="0003705A">
        <w:rPr>
          <w:b/>
          <w:lang w:val="en-US"/>
        </w:rPr>
        <w:t xml:space="preserve">. </w:t>
      </w:r>
      <w:proofErr w:type="gramStart"/>
      <w:r w:rsidRPr="006C299E">
        <w:rPr>
          <w:i/>
          <w:lang w:val="en-US"/>
        </w:rPr>
        <w:t>International Journal of Industrial Organization</w:t>
      </w:r>
      <w:r>
        <w:rPr>
          <w:lang w:val="en-US"/>
        </w:rPr>
        <w:t>, 7, 157-154, 1989.</w:t>
      </w:r>
      <w:proofErr w:type="gramEnd"/>
    </w:p>
    <w:p w:rsidR="003D55E2" w:rsidRDefault="006C299E" w:rsidP="00FA5866">
      <w:pPr>
        <w:spacing w:after="0" w:line="240" w:lineRule="auto"/>
        <w:rPr>
          <w:lang w:val="en-US"/>
        </w:rPr>
      </w:pPr>
      <w:proofErr w:type="gramStart"/>
      <w:r>
        <w:rPr>
          <w:lang w:val="en-US"/>
        </w:rPr>
        <w:t>CROOKE P., FROEB L.; TSCHANTZ S.;</w:t>
      </w:r>
      <w:r w:rsidR="003D55E2">
        <w:rPr>
          <w:lang w:val="en-US"/>
        </w:rPr>
        <w:t xml:space="preserve"> WERDEN G. J. Properties of Computed Post Merger </w:t>
      </w:r>
      <w:proofErr w:type="spellStart"/>
      <w:r w:rsidR="003D55E2">
        <w:rPr>
          <w:lang w:val="en-US"/>
        </w:rPr>
        <w:t>Equilibria.</w:t>
      </w:r>
      <w:r w:rsidR="003D55E2" w:rsidRPr="006C299E">
        <w:rPr>
          <w:i/>
          <w:lang w:val="en-US"/>
        </w:rPr>
        <w:t>Vanderbilt</w:t>
      </w:r>
      <w:proofErr w:type="spellEnd"/>
      <w:r w:rsidR="003D55E2" w:rsidRPr="006C299E">
        <w:rPr>
          <w:i/>
          <w:lang w:val="en-US"/>
        </w:rPr>
        <w:t xml:space="preserve"> University Working Paper</w:t>
      </w:r>
      <w:r w:rsidR="003D55E2">
        <w:rPr>
          <w:lang w:val="en-US"/>
        </w:rPr>
        <w:t>.</w:t>
      </w:r>
      <w:proofErr w:type="gramEnd"/>
      <w:r w:rsidR="003D55E2">
        <w:rPr>
          <w:lang w:val="en-US"/>
        </w:rPr>
        <w:t xml:space="preserve"> 1997.</w:t>
      </w:r>
    </w:p>
    <w:p w:rsidR="003D55E2" w:rsidRDefault="003D55E2" w:rsidP="00FA5866">
      <w:pPr>
        <w:spacing w:after="0" w:line="240" w:lineRule="auto"/>
        <w:rPr>
          <w:lang w:val="en-US"/>
        </w:rPr>
      </w:pPr>
      <w:r>
        <w:rPr>
          <w:lang w:val="en-US"/>
        </w:rPr>
        <w:t>COX</w:t>
      </w:r>
      <w:r w:rsidR="006C299E">
        <w:rPr>
          <w:lang w:val="en-US"/>
        </w:rPr>
        <w:t xml:space="preserve"> A. J.;</w:t>
      </w:r>
      <w:r w:rsidR="0003705A">
        <w:rPr>
          <w:lang w:val="en-US"/>
        </w:rPr>
        <w:t xml:space="preserve"> PORTES J. Mergers in Regulated Industries: The uses and abuses of event studies. </w:t>
      </w:r>
      <w:proofErr w:type="gramStart"/>
      <w:r w:rsidR="0003705A" w:rsidRPr="006C299E">
        <w:rPr>
          <w:i/>
          <w:lang w:val="en-US"/>
        </w:rPr>
        <w:t>Journal of Regulatory Economics</w:t>
      </w:r>
      <w:r w:rsidR="0003705A">
        <w:rPr>
          <w:lang w:val="en-US"/>
        </w:rPr>
        <w:t>, 14 281-304, 1998.</w:t>
      </w:r>
      <w:proofErr w:type="gramEnd"/>
    </w:p>
    <w:p w:rsidR="003B7091" w:rsidRDefault="003B7091" w:rsidP="00FA5866">
      <w:pPr>
        <w:spacing w:after="0" w:line="240" w:lineRule="auto"/>
        <w:rPr>
          <w:lang w:val="en-US"/>
        </w:rPr>
      </w:pPr>
      <w:r w:rsidRPr="00BC5D92">
        <w:rPr>
          <w:lang w:val="en-US"/>
        </w:rPr>
        <w:t>DUSO T., NEVEN D., RÖLLER L. -</w:t>
      </w:r>
      <w:proofErr w:type="spellStart"/>
      <w:r w:rsidRPr="00BC5D92">
        <w:rPr>
          <w:lang w:val="en-US"/>
        </w:rPr>
        <w:t>H.</w:t>
      </w:r>
      <w:r>
        <w:rPr>
          <w:lang w:val="en-US"/>
        </w:rPr>
        <w:t>The</w:t>
      </w:r>
      <w:proofErr w:type="spellEnd"/>
      <w:r>
        <w:rPr>
          <w:lang w:val="en-US"/>
        </w:rPr>
        <w:t xml:space="preserve"> political economy of European merger </w:t>
      </w:r>
      <w:proofErr w:type="spellStart"/>
      <w:r>
        <w:rPr>
          <w:lang w:val="en-US"/>
        </w:rPr>
        <w:t>control.</w:t>
      </w:r>
      <w:r w:rsidRPr="006C299E">
        <w:rPr>
          <w:i/>
          <w:lang w:val="en-US"/>
        </w:rPr>
        <w:t>The</w:t>
      </w:r>
      <w:proofErr w:type="spellEnd"/>
      <w:r w:rsidRPr="006C299E">
        <w:rPr>
          <w:i/>
          <w:lang w:val="en-US"/>
        </w:rPr>
        <w:t xml:space="preserve"> Journal of Law and Economics</w:t>
      </w:r>
      <w:r>
        <w:rPr>
          <w:lang w:val="en-US"/>
        </w:rPr>
        <w:t>, 50(3), 455-489, 2007</w:t>
      </w:r>
      <w:r w:rsidR="006C299E">
        <w:rPr>
          <w:lang w:val="en-US"/>
        </w:rPr>
        <w:t>.</w:t>
      </w:r>
    </w:p>
    <w:p w:rsidR="003B7091" w:rsidRPr="00422E73" w:rsidRDefault="006C299E" w:rsidP="00FA5866">
      <w:pPr>
        <w:spacing w:after="0" w:line="240" w:lineRule="auto"/>
        <w:rPr>
          <w:lang w:val="en-US"/>
        </w:rPr>
      </w:pPr>
      <w:r>
        <w:rPr>
          <w:lang w:val="en-US"/>
        </w:rPr>
        <w:t>DIACOGIANISS G.;</w:t>
      </w:r>
      <w:r w:rsidR="003B7091" w:rsidRPr="003B7091">
        <w:rPr>
          <w:lang w:val="en-US"/>
        </w:rPr>
        <w:t xml:space="preserve"> MAKRI </w:t>
      </w:r>
      <w:proofErr w:type="gramStart"/>
      <w:r w:rsidR="003B7091" w:rsidRPr="003B7091">
        <w:rPr>
          <w:lang w:val="en-US"/>
        </w:rPr>
        <w:t>P..</w:t>
      </w:r>
      <w:r w:rsidR="003B7091" w:rsidRPr="00422E73">
        <w:rPr>
          <w:lang w:val="en-US"/>
        </w:rPr>
        <w:t>Estimating Betas in Thinner M</w:t>
      </w:r>
      <w:r w:rsidR="003B7091">
        <w:rPr>
          <w:lang w:val="en-US"/>
        </w:rPr>
        <w:t xml:space="preserve">arkets: The Case of the Athens Stock </w:t>
      </w:r>
      <w:proofErr w:type="spellStart"/>
      <w:r w:rsidR="003B7091">
        <w:rPr>
          <w:lang w:val="en-US"/>
        </w:rPr>
        <w:t>Exchange.</w:t>
      </w:r>
      <w:r w:rsidR="003B7091" w:rsidRPr="006C299E">
        <w:rPr>
          <w:i/>
          <w:lang w:val="en-US"/>
        </w:rPr>
        <w:t>International</w:t>
      </w:r>
      <w:proofErr w:type="spellEnd"/>
      <w:r w:rsidR="003B7091" w:rsidRPr="006C299E">
        <w:rPr>
          <w:i/>
          <w:lang w:val="en-US"/>
        </w:rPr>
        <w:t xml:space="preserve"> Research Journal of Finance and Economics</w:t>
      </w:r>
      <w:r w:rsidR="003B7091">
        <w:rPr>
          <w:lang w:val="en-US"/>
        </w:rPr>
        <w:t>, 13, 2008.</w:t>
      </w:r>
      <w:proofErr w:type="gramEnd"/>
    </w:p>
    <w:p w:rsidR="003B7091" w:rsidRDefault="006C299E" w:rsidP="00FA5866">
      <w:pPr>
        <w:spacing w:after="0" w:line="240" w:lineRule="auto"/>
        <w:rPr>
          <w:lang w:val="en-US"/>
        </w:rPr>
      </w:pPr>
      <w:r>
        <w:rPr>
          <w:lang w:val="en-US"/>
        </w:rPr>
        <w:t>DEATON A.;</w:t>
      </w:r>
      <w:r w:rsidR="003B7091">
        <w:rPr>
          <w:lang w:val="en-US"/>
        </w:rPr>
        <w:t xml:space="preserve"> MUELLBAUER </w:t>
      </w:r>
      <w:proofErr w:type="spellStart"/>
      <w:r w:rsidR="003B7091">
        <w:rPr>
          <w:lang w:val="en-US"/>
        </w:rPr>
        <w:t>J.An</w:t>
      </w:r>
      <w:proofErr w:type="spellEnd"/>
      <w:r w:rsidR="003B7091">
        <w:rPr>
          <w:lang w:val="en-US"/>
        </w:rPr>
        <w:t xml:space="preserve"> Almost Ideal Demand </w:t>
      </w:r>
      <w:proofErr w:type="spellStart"/>
      <w:r w:rsidR="003B7091">
        <w:rPr>
          <w:lang w:val="en-US"/>
        </w:rPr>
        <w:t>System.</w:t>
      </w:r>
      <w:r w:rsidR="003B7091" w:rsidRPr="0034487F">
        <w:rPr>
          <w:i/>
          <w:lang w:val="en-US"/>
        </w:rPr>
        <w:t>American</w:t>
      </w:r>
      <w:r w:rsidR="003B7091" w:rsidRPr="006C299E">
        <w:rPr>
          <w:i/>
          <w:lang w:val="en-US"/>
        </w:rPr>
        <w:t>Economic</w:t>
      </w:r>
      <w:proofErr w:type="spellEnd"/>
      <w:r w:rsidR="003B7091" w:rsidRPr="006C299E">
        <w:rPr>
          <w:i/>
          <w:lang w:val="en-US"/>
        </w:rPr>
        <w:t xml:space="preserve"> Review</w:t>
      </w:r>
      <w:r w:rsidR="003B7091">
        <w:rPr>
          <w:lang w:val="en-US"/>
        </w:rPr>
        <w:t xml:space="preserve">, </w:t>
      </w:r>
      <w:proofErr w:type="spellStart"/>
      <w:r w:rsidR="003B7091">
        <w:rPr>
          <w:lang w:val="en-US"/>
        </w:rPr>
        <w:t>Vol</w:t>
      </w:r>
      <w:proofErr w:type="spellEnd"/>
      <w:r w:rsidR="003B7091">
        <w:rPr>
          <w:lang w:val="en-US"/>
        </w:rPr>
        <w:t xml:space="preserve"> 70 (1980), pp. 312-326</w:t>
      </w:r>
    </w:p>
    <w:p w:rsidR="00707943" w:rsidRPr="00707943" w:rsidRDefault="00707943" w:rsidP="00FA5866">
      <w:pPr>
        <w:spacing w:after="0" w:line="240" w:lineRule="auto"/>
        <w:rPr>
          <w:lang w:val="en-US"/>
        </w:rPr>
      </w:pPr>
      <w:r w:rsidRPr="00707943">
        <w:rPr>
          <w:lang w:val="en-US"/>
        </w:rPr>
        <w:t xml:space="preserve">DUSO T., GUGLER K., YURTOGLU B. Is the event study useful for mergers </w:t>
      </w:r>
      <w:proofErr w:type="spellStart"/>
      <w:r w:rsidRPr="00707943">
        <w:rPr>
          <w:lang w:val="en-US"/>
        </w:rPr>
        <w:t>analysis</w:t>
      </w:r>
      <w:proofErr w:type="gramStart"/>
      <w:r w:rsidRPr="00707943">
        <w:rPr>
          <w:lang w:val="en-US"/>
        </w:rPr>
        <w:t>?</w:t>
      </w:r>
      <w:r>
        <w:rPr>
          <w:lang w:val="en-US"/>
        </w:rPr>
        <w:t>A</w:t>
      </w:r>
      <w:proofErr w:type="spellEnd"/>
      <w:proofErr w:type="gramEnd"/>
      <w:r>
        <w:rPr>
          <w:lang w:val="en-US"/>
        </w:rPr>
        <w:t xml:space="preserve"> comparison of stock market and accounting </w:t>
      </w:r>
      <w:proofErr w:type="spellStart"/>
      <w:r>
        <w:rPr>
          <w:lang w:val="en-US"/>
        </w:rPr>
        <w:t>data</w:t>
      </w:r>
      <w:r w:rsidRPr="006C299E">
        <w:rPr>
          <w:i/>
          <w:lang w:val="en-US"/>
        </w:rPr>
        <w:t>.International</w:t>
      </w:r>
      <w:proofErr w:type="spellEnd"/>
      <w:r w:rsidRPr="006C299E">
        <w:rPr>
          <w:i/>
          <w:lang w:val="en-US"/>
        </w:rPr>
        <w:t xml:space="preserve"> Review of Law and Economics</w:t>
      </w:r>
      <w:r>
        <w:rPr>
          <w:lang w:val="en-US"/>
        </w:rPr>
        <w:t>. 2010</w:t>
      </w:r>
    </w:p>
    <w:p w:rsidR="003B7091" w:rsidRPr="00BC71AE" w:rsidRDefault="003B7091" w:rsidP="00FA5866">
      <w:pPr>
        <w:spacing w:after="0" w:line="240" w:lineRule="auto"/>
      </w:pPr>
      <w:proofErr w:type="gramStart"/>
      <w:r w:rsidRPr="00BC5D92">
        <w:rPr>
          <w:lang w:val="en-US"/>
        </w:rPr>
        <w:t>ECKBO B. E. Horizontal mergers</w:t>
      </w:r>
      <w:r>
        <w:rPr>
          <w:lang w:val="en-US"/>
        </w:rPr>
        <w:t xml:space="preserve">, collusion, and stockholder </w:t>
      </w:r>
      <w:proofErr w:type="spellStart"/>
      <w:r>
        <w:rPr>
          <w:lang w:val="en-US"/>
        </w:rPr>
        <w:t>wealth.</w:t>
      </w:r>
      <w:r w:rsidRPr="006C299E">
        <w:rPr>
          <w:i/>
          <w:lang w:val="en-US"/>
        </w:rPr>
        <w:t>Journal</w:t>
      </w:r>
      <w:proofErr w:type="spellEnd"/>
      <w:r w:rsidRPr="006C299E">
        <w:rPr>
          <w:i/>
          <w:lang w:val="en-US"/>
        </w:rPr>
        <w:t xml:space="preserve"> of Financial Economics</w:t>
      </w:r>
      <w:r>
        <w:rPr>
          <w:lang w:val="en-US"/>
        </w:rPr>
        <w:t>, 11, 241-273.</w:t>
      </w:r>
      <w:proofErr w:type="gramEnd"/>
      <w:r>
        <w:rPr>
          <w:lang w:val="en-US"/>
        </w:rPr>
        <w:t xml:space="preserve"> </w:t>
      </w:r>
      <w:r w:rsidRPr="00BC71AE">
        <w:t>1983.</w:t>
      </w:r>
    </w:p>
    <w:p w:rsidR="003F3823" w:rsidRPr="00BC71AE" w:rsidRDefault="003F3823" w:rsidP="00FA5866">
      <w:pPr>
        <w:spacing w:after="0" w:line="240" w:lineRule="auto"/>
        <w:rPr>
          <w:lang w:val="en-US"/>
        </w:rPr>
      </w:pPr>
      <w:r w:rsidRPr="003F3823">
        <w:t>FAGUNDES, J</w:t>
      </w:r>
      <w:proofErr w:type="gramStart"/>
      <w:r w:rsidRPr="003F3823">
        <w:t>.;</w:t>
      </w:r>
      <w:proofErr w:type="gramEnd"/>
      <w:r w:rsidRPr="003F3823">
        <w:t xml:space="preserve"> PONDÉ, J. </w:t>
      </w:r>
      <w:proofErr w:type="gramStart"/>
      <w:r w:rsidRPr="003F3823">
        <w:t>L.;</w:t>
      </w:r>
      <w:proofErr w:type="gramEnd"/>
      <w:r>
        <w:t xml:space="preserve">POSSAS, M. L. </w:t>
      </w:r>
      <w:proofErr w:type="spellStart"/>
      <w:r>
        <w:t>Poilítica</w:t>
      </w:r>
      <w:proofErr w:type="spellEnd"/>
      <w:r>
        <w:t xml:space="preserve"> de Defesa da Concorrência e Práticas Restritivas Verticais. </w:t>
      </w:r>
      <w:proofErr w:type="gramStart"/>
      <w:r w:rsidR="00DD16F1" w:rsidRPr="00BC71AE">
        <w:rPr>
          <w:lang w:val="en-US"/>
        </w:rPr>
        <w:t>ANPEC.</w:t>
      </w:r>
      <w:proofErr w:type="gramEnd"/>
      <w:r w:rsidR="00DD16F1" w:rsidRPr="00BC71AE">
        <w:rPr>
          <w:lang w:val="en-US"/>
        </w:rPr>
        <w:t xml:space="preserve"> 2001.</w:t>
      </w:r>
    </w:p>
    <w:p w:rsidR="00A05EF6" w:rsidRDefault="00A05EF6" w:rsidP="00FA5866">
      <w:pPr>
        <w:spacing w:after="0" w:line="240" w:lineRule="auto"/>
        <w:rPr>
          <w:lang w:val="en-US"/>
        </w:rPr>
      </w:pPr>
      <w:proofErr w:type="gramStart"/>
      <w:r w:rsidRPr="00A05EF6">
        <w:rPr>
          <w:lang w:val="en-US"/>
        </w:rPr>
        <w:t>FAMA, E.</w:t>
      </w:r>
      <w:proofErr w:type="gramEnd"/>
      <w:r w:rsidRPr="00A05EF6">
        <w:rPr>
          <w:lang w:val="en-US"/>
        </w:rPr>
        <w:t xml:space="preserve">   Efficient Capital Markets: A Review of Theory and Empirical Work. </w:t>
      </w:r>
      <w:r w:rsidRPr="006C299E">
        <w:rPr>
          <w:i/>
          <w:lang w:val="en-US"/>
        </w:rPr>
        <w:t xml:space="preserve">The </w:t>
      </w:r>
      <w:proofErr w:type="spellStart"/>
      <w:r w:rsidRPr="006C299E">
        <w:rPr>
          <w:i/>
          <w:lang w:val="en-US"/>
        </w:rPr>
        <w:t>JournalofFinance</w:t>
      </w:r>
      <w:proofErr w:type="spellEnd"/>
      <w:r w:rsidRPr="00546CB5">
        <w:rPr>
          <w:b/>
          <w:lang w:val="en-US"/>
        </w:rPr>
        <w:t>,</w:t>
      </w:r>
      <w:r w:rsidRPr="00546CB5">
        <w:rPr>
          <w:lang w:val="en-US"/>
        </w:rPr>
        <w:t xml:space="preserve"> v. 25, n. 2, p.383-417, March 1970.</w:t>
      </w:r>
    </w:p>
    <w:p w:rsidR="003B7091" w:rsidRPr="003F3823" w:rsidRDefault="003B7091" w:rsidP="00FA5866">
      <w:pPr>
        <w:spacing w:after="0" w:line="240" w:lineRule="auto"/>
      </w:pPr>
      <w:r>
        <w:rPr>
          <w:lang w:val="en-US"/>
        </w:rPr>
        <w:t xml:space="preserve">FAMA </w:t>
      </w:r>
      <w:proofErr w:type="gramStart"/>
      <w:r>
        <w:rPr>
          <w:lang w:val="en-US"/>
        </w:rPr>
        <w:t xml:space="preserve">E..Market efficiency, long-term returns, and behavioral </w:t>
      </w:r>
      <w:proofErr w:type="spellStart"/>
      <w:r>
        <w:rPr>
          <w:lang w:val="en-US"/>
        </w:rPr>
        <w:t>finance.</w:t>
      </w:r>
      <w:r w:rsidRPr="00BC71AE">
        <w:rPr>
          <w:i/>
          <w:lang w:val="en-US"/>
        </w:rPr>
        <w:t>Journalof</w:t>
      </w:r>
      <w:proofErr w:type="spellEnd"/>
      <w:r w:rsidRPr="00BC71AE">
        <w:rPr>
          <w:i/>
          <w:lang w:val="en-US"/>
        </w:rPr>
        <w:t xml:space="preserve"> Financial Economics</w:t>
      </w:r>
      <w:r w:rsidRPr="00BC71AE">
        <w:rPr>
          <w:lang w:val="en-US"/>
        </w:rPr>
        <w:t>, 49, 283-306.</w:t>
      </w:r>
      <w:proofErr w:type="gramEnd"/>
      <w:r w:rsidRPr="00BC71AE">
        <w:rPr>
          <w:lang w:val="en-US"/>
        </w:rPr>
        <w:t xml:space="preserve"> </w:t>
      </w:r>
      <w:r w:rsidRPr="003F3823">
        <w:t>1998.</w:t>
      </w:r>
    </w:p>
    <w:p w:rsidR="004C474F" w:rsidRPr="004F3A34" w:rsidRDefault="004C474F" w:rsidP="00FA5866">
      <w:pPr>
        <w:spacing w:after="0" w:line="240" w:lineRule="auto"/>
        <w:rPr>
          <w:lang w:val="en-US"/>
        </w:rPr>
      </w:pPr>
      <w:r w:rsidRPr="004A2A80">
        <w:t xml:space="preserve">FARINA E. Política </w:t>
      </w:r>
      <w:r w:rsidR="004A2A80" w:rsidRPr="004A2A80">
        <w:t>Industrial e P</w:t>
      </w:r>
      <w:r w:rsidR="004A2A80">
        <w:t>olítica Antitruste: Uma Proposta de Conciliação</w:t>
      </w:r>
      <w:r w:rsidR="004F3A34">
        <w:t xml:space="preserve">. </w:t>
      </w:r>
      <w:proofErr w:type="spellStart"/>
      <w:r w:rsidR="004F3A34" w:rsidRPr="004F3A34">
        <w:rPr>
          <w:i/>
          <w:lang w:val="en-US"/>
        </w:rPr>
        <w:t>Revista</w:t>
      </w:r>
      <w:proofErr w:type="spellEnd"/>
      <w:r w:rsidR="004F3A34" w:rsidRPr="004F3A34">
        <w:rPr>
          <w:i/>
          <w:lang w:val="en-US"/>
        </w:rPr>
        <w:t xml:space="preserve"> do IBRAC</w:t>
      </w:r>
      <w:r w:rsidR="004F3A34">
        <w:rPr>
          <w:lang w:val="en-US"/>
        </w:rPr>
        <w:t>, 3, 8. 1996.</w:t>
      </w:r>
    </w:p>
    <w:p w:rsidR="003B7091" w:rsidRDefault="003B7091" w:rsidP="00FA5866">
      <w:pPr>
        <w:spacing w:after="0" w:line="240" w:lineRule="auto"/>
        <w:rPr>
          <w:lang w:val="en-US"/>
        </w:rPr>
      </w:pPr>
      <w:r w:rsidRPr="00C505C8">
        <w:rPr>
          <w:lang w:val="en-US"/>
        </w:rPr>
        <w:t xml:space="preserve">FROEB L., TSCHANTZ S. How Much Information Is Required to Accurately Predict </w:t>
      </w:r>
      <w:r>
        <w:rPr>
          <w:lang w:val="en-US"/>
        </w:rPr>
        <w:t xml:space="preserve">Merger Effects? </w:t>
      </w:r>
      <w:proofErr w:type="gramStart"/>
      <w:r w:rsidRPr="006C299E">
        <w:rPr>
          <w:i/>
          <w:lang w:val="en-US"/>
        </w:rPr>
        <w:t>Vanderbilt University Working Paper</w:t>
      </w:r>
      <w:r>
        <w:rPr>
          <w:lang w:val="en-US"/>
        </w:rPr>
        <w:t>.</w:t>
      </w:r>
      <w:proofErr w:type="gramEnd"/>
      <w:r>
        <w:rPr>
          <w:lang w:val="en-US"/>
        </w:rPr>
        <w:t xml:space="preserve"> 2001</w:t>
      </w:r>
    </w:p>
    <w:p w:rsidR="003B7091" w:rsidRDefault="003B7091" w:rsidP="00FA5866">
      <w:pPr>
        <w:spacing w:after="0" w:line="240" w:lineRule="auto"/>
        <w:rPr>
          <w:lang w:val="en-US"/>
        </w:rPr>
      </w:pPr>
      <w:r>
        <w:rPr>
          <w:lang w:val="en-US"/>
        </w:rPr>
        <w:t xml:space="preserve">GUGLER K., MUELLER D. C., YURTOGLU B. B., ZULEHNER </w:t>
      </w:r>
      <w:proofErr w:type="gramStart"/>
      <w:r>
        <w:rPr>
          <w:lang w:val="en-US"/>
        </w:rPr>
        <w:t>C..</w:t>
      </w:r>
      <w:proofErr w:type="gramEnd"/>
      <w:r>
        <w:rPr>
          <w:lang w:val="en-US"/>
        </w:rPr>
        <w:t xml:space="preserve"> The effects of mergers: An international comparison. </w:t>
      </w:r>
      <w:r w:rsidRPr="006C299E">
        <w:rPr>
          <w:i/>
          <w:lang w:val="en-US"/>
        </w:rPr>
        <w:t>International of Industrial Organization</w:t>
      </w:r>
      <w:r>
        <w:rPr>
          <w:lang w:val="en-US"/>
        </w:rPr>
        <w:t>, 21 625-653, 2003</w:t>
      </w:r>
    </w:p>
    <w:p w:rsidR="003B7091" w:rsidRDefault="006C299E" w:rsidP="00FA5866">
      <w:pPr>
        <w:spacing w:after="0" w:line="240" w:lineRule="auto"/>
        <w:rPr>
          <w:lang w:val="en-US"/>
        </w:rPr>
      </w:pPr>
      <w:r>
        <w:rPr>
          <w:lang w:val="en-US"/>
        </w:rPr>
        <w:t>HEALY P.; PALEPU K.;</w:t>
      </w:r>
      <w:r w:rsidR="003B7091">
        <w:rPr>
          <w:lang w:val="en-US"/>
        </w:rPr>
        <w:t xml:space="preserve"> RUBACK </w:t>
      </w:r>
      <w:proofErr w:type="gramStart"/>
      <w:r w:rsidR="003B7091">
        <w:rPr>
          <w:lang w:val="en-US"/>
        </w:rPr>
        <w:t>R..</w:t>
      </w:r>
      <w:proofErr w:type="gramEnd"/>
      <w:r w:rsidR="003B7091">
        <w:rPr>
          <w:lang w:val="en-US"/>
        </w:rPr>
        <w:t xml:space="preserve"> Does corporate performance improve after mergers? </w:t>
      </w:r>
      <w:proofErr w:type="gramStart"/>
      <w:r w:rsidR="003B7091" w:rsidRPr="006C299E">
        <w:rPr>
          <w:i/>
          <w:lang w:val="en-US"/>
        </w:rPr>
        <w:t>Journal of Financial Economics</w:t>
      </w:r>
      <w:r w:rsidR="003B7091">
        <w:rPr>
          <w:lang w:val="en-US"/>
        </w:rPr>
        <w:t>, 31, 135-175, 1992.</w:t>
      </w:r>
      <w:proofErr w:type="gramEnd"/>
    </w:p>
    <w:p w:rsidR="00A83E36" w:rsidRDefault="00A83E36" w:rsidP="00FA5866">
      <w:pPr>
        <w:autoSpaceDE w:val="0"/>
        <w:autoSpaceDN w:val="0"/>
        <w:adjustRightInd w:val="0"/>
        <w:spacing w:after="0" w:line="240" w:lineRule="auto"/>
        <w:rPr>
          <w:lang w:val="en-US"/>
        </w:rPr>
      </w:pPr>
      <w:r w:rsidRPr="00284584">
        <w:rPr>
          <w:lang w:val="en-US" w:eastAsia="pt-BR"/>
        </w:rPr>
        <w:t xml:space="preserve">HEIJ, C.; DE BOER, P.; FRANSES, P.; KLOEK, T.; VAN DIJK, H. </w:t>
      </w:r>
      <w:proofErr w:type="spellStart"/>
      <w:r w:rsidRPr="00284584">
        <w:rPr>
          <w:lang w:val="en-US" w:eastAsia="pt-BR"/>
        </w:rPr>
        <w:t>Econometric</w:t>
      </w:r>
      <w:r>
        <w:rPr>
          <w:lang w:val="en-US" w:eastAsia="pt-BR"/>
        </w:rPr>
        <w:t>methods</w:t>
      </w:r>
      <w:proofErr w:type="spellEnd"/>
      <w:r>
        <w:rPr>
          <w:lang w:val="en-US" w:eastAsia="pt-BR"/>
        </w:rPr>
        <w:t xml:space="preserve"> with applications in business and economics, </w:t>
      </w:r>
      <w:r>
        <w:rPr>
          <w:i/>
          <w:iCs/>
          <w:lang w:val="en-US" w:eastAsia="pt-BR"/>
        </w:rPr>
        <w:t>Oxford university Press</w:t>
      </w:r>
      <w:r>
        <w:rPr>
          <w:lang w:val="en-US" w:eastAsia="pt-BR"/>
        </w:rPr>
        <w:t>, p. 16, 59-60, 2004.</w:t>
      </w:r>
    </w:p>
    <w:p w:rsidR="003B7091" w:rsidRDefault="006C299E" w:rsidP="00FA5866">
      <w:pPr>
        <w:spacing w:after="0" w:line="240" w:lineRule="auto"/>
        <w:rPr>
          <w:lang w:val="en-US"/>
        </w:rPr>
      </w:pPr>
      <w:r>
        <w:rPr>
          <w:lang w:val="en-US"/>
        </w:rPr>
        <w:lastRenderedPageBreak/>
        <w:t>HOSKEN D.;</w:t>
      </w:r>
      <w:r w:rsidR="003B7091">
        <w:rPr>
          <w:lang w:val="en-US"/>
        </w:rPr>
        <w:t xml:space="preserve"> SIMPSON J. </w:t>
      </w:r>
      <w:proofErr w:type="gramStart"/>
      <w:r w:rsidR="003B7091">
        <w:rPr>
          <w:lang w:val="en-US"/>
        </w:rPr>
        <w:t>D..</w:t>
      </w:r>
      <w:proofErr w:type="gramEnd"/>
      <w:r w:rsidR="003B7091">
        <w:rPr>
          <w:lang w:val="en-US"/>
        </w:rPr>
        <w:t xml:space="preserve"> Are Retailing Mergers Anticompetitive? </w:t>
      </w:r>
      <w:proofErr w:type="gramStart"/>
      <w:r w:rsidR="003B7091">
        <w:rPr>
          <w:lang w:val="en-US"/>
        </w:rPr>
        <w:t xml:space="preserve">An Event Study </w:t>
      </w:r>
      <w:proofErr w:type="spellStart"/>
      <w:r w:rsidR="003B7091">
        <w:rPr>
          <w:lang w:val="en-US"/>
        </w:rPr>
        <w:t>Analysis.</w:t>
      </w:r>
      <w:r w:rsidR="003B7091" w:rsidRPr="006C299E">
        <w:rPr>
          <w:i/>
          <w:lang w:val="en-US"/>
        </w:rPr>
        <w:t>International</w:t>
      </w:r>
      <w:proofErr w:type="spellEnd"/>
      <w:r w:rsidR="003B7091" w:rsidRPr="006C299E">
        <w:rPr>
          <w:i/>
          <w:lang w:val="en-US"/>
        </w:rPr>
        <w:t xml:space="preserve"> Journal of the Economics of Business</w:t>
      </w:r>
      <w:r w:rsidR="003B7091">
        <w:rPr>
          <w:lang w:val="en-US"/>
        </w:rPr>
        <w:t>, 1998.</w:t>
      </w:r>
      <w:proofErr w:type="gramEnd"/>
    </w:p>
    <w:p w:rsidR="003B7091" w:rsidRPr="00BC71AE" w:rsidRDefault="003B7091" w:rsidP="00FA5866">
      <w:pPr>
        <w:spacing w:after="0" w:line="240" w:lineRule="auto"/>
      </w:pPr>
      <w:r>
        <w:rPr>
          <w:lang w:val="en-US"/>
        </w:rPr>
        <w:t>KAPLAN S., WEISBACH M</w:t>
      </w:r>
      <w:proofErr w:type="gramStart"/>
      <w:r>
        <w:rPr>
          <w:lang w:val="en-US"/>
        </w:rPr>
        <w:t>..</w:t>
      </w:r>
      <w:proofErr w:type="gramEnd"/>
      <w:r>
        <w:rPr>
          <w:lang w:val="en-US"/>
        </w:rPr>
        <w:t xml:space="preserve"> The success of </w:t>
      </w:r>
      <w:proofErr w:type="spellStart"/>
      <w:r>
        <w:rPr>
          <w:lang w:val="en-US"/>
        </w:rPr>
        <w:t>aquisitions</w:t>
      </w:r>
      <w:proofErr w:type="spellEnd"/>
      <w:r>
        <w:rPr>
          <w:lang w:val="en-US"/>
        </w:rPr>
        <w:t>: Evidence from divestitures</w:t>
      </w:r>
      <w:r w:rsidRPr="0003705A">
        <w:rPr>
          <w:b/>
          <w:lang w:val="en-US"/>
        </w:rPr>
        <w:t xml:space="preserve">. </w:t>
      </w:r>
      <w:proofErr w:type="spellStart"/>
      <w:proofErr w:type="gramStart"/>
      <w:r w:rsidRPr="00BC71AE">
        <w:rPr>
          <w:i/>
        </w:rPr>
        <w:t>JournalofFinance</w:t>
      </w:r>
      <w:proofErr w:type="spellEnd"/>
      <w:proofErr w:type="gramEnd"/>
      <w:r w:rsidRPr="00BC71AE">
        <w:t>, 47 107-138, 1992.</w:t>
      </w:r>
    </w:p>
    <w:p w:rsidR="003B7091" w:rsidRPr="00085823" w:rsidRDefault="003B7091" w:rsidP="00FA5866">
      <w:pPr>
        <w:spacing w:after="0" w:line="240" w:lineRule="auto"/>
      </w:pPr>
      <w:r w:rsidRPr="00BC71AE">
        <w:t>LI J. T. S., LUCINDA C. R</w:t>
      </w:r>
      <w:proofErr w:type="gramStart"/>
      <w:r w:rsidRPr="00BC71AE">
        <w:t>..</w:t>
      </w:r>
      <w:proofErr w:type="gramEnd"/>
      <w:r>
        <w:t xml:space="preserve">Uma Análise do Potencial Anticompetitivo da Fusão </w:t>
      </w:r>
      <w:proofErr w:type="spellStart"/>
      <w:r>
        <w:t>Oi-BrT</w:t>
      </w:r>
      <w:proofErr w:type="spellEnd"/>
      <w:r>
        <w:t xml:space="preserve"> usando informações do mercado de capitais</w:t>
      </w:r>
    </w:p>
    <w:p w:rsidR="003B7091" w:rsidRDefault="003B7091" w:rsidP="00FA5866">
      <w:pPr>
        <w:spacing w:after="0" w:line="240" w:lineRule="auto"/>
        <w:rPr>
          <w:lang w:val="en-US"/>
        </w:rPr>
      </w:pPr>
      <w:r w:rsidRPr="003B7091">
        <w:rPr>
          <w:lang w:val="en-US"/>
        </w:rPr>
        <w:t xml:space="preserve">MACKINLAY A. </w:t>
      </w:r>
      <w:proofErr w:type="gramStart"/>
      <w:r w:rsidRPr="003B7091">
        <w:rPr>
          <w:lang w:val="en-US"/>
        </w:rPr>
        <w:t>C..</w:t>
      </w:r>
      <w:r>
        <w:rPr>
          <w:lang w:val="en-US"/>
        </w:rPr>
        <w:t xml:space="preserve">Event Studies in Economics and </w:t>
      </w:r>
      <w:proofErr w:type="spellStart"/>
      <w:r>
        <w:rPr>
          <w:lang w:val="en-US"/>
        </w:rPr>
        <w:t>Finance.</w:t>
      </w:r>
      <w:r w:rsidRPr="006C299E">
        <w:rPr>
          <w:i/>
          <w:lang w:val="en-US"/>
        </w:rPr>
        <w:t>American</w:t>
      </w:r>
      <w:proofErr w:type="spellEnd"/>
      <w:r w:rsidRPr="006C299E">
        <w:rPr>
          <w:i/>
          <w:lang w:val="en-US"/>
        </w:rPr>
        <w:t xml:space="preserve"> Economic Association</w:t>
      </w:r>
      <w:r>
        <w:rPr>
          <w:lang w:val="en-US"/>
        </w:rPr>
        <w:t>, 35, 13-39, 1997.</w:t>
      </w:r>
      <w:proofErr w:type="gramEnd"/>
    </w:p>
    <w:p w:rsidR="003B7091" w:rsidRDefault="003B7091" w:rsidP="00FA5866">
      <w:pPr>
        <w:autoSpaceDE w:val="0"/>
        <w:autoSpaceDN w:val="0"/>
        <w:adjustRightInd w:val="0"/>
        <w:spacing w:after="0" w:line="240" w:lineRule="auto"/>
        <w:rPr>
          <w:lang w:val="en-US"/>
        </w:rPr>
      </w:pPr>
      <w:r>
        <w:rPr>
          <w:lang w:val="en-US"/>
        </w:rPr>
        <w:t xml:space="preserve">MOTTA, M. </w:t>
      </w:r>
      <w:r w:rsidRPr="006C299E">
        <w:rPr>
          <w:lang w:val="en-US"/>
        </w:rPr>
        <w:t xml:space="preserve">Competition </w:t>
      </w:r>
      <w:proofErr w:type="spellStart"/>
      <w:r w:rsidRPr="006C299E">
        <w:rPr>
          <w:lang w:val="en-US"/>
        </w:rPr>
        <w:t>Policy.Theory</w:t>
      </w:r>
      <w:proofErr w:type="spellEnd"/>
      <w:r w:rsidRPr="006C299E">
        <w:rPr>
          <w:lang w:val="en-US"/>
        </w:rPr>
        <w:t xml:space="preserve"> and </w:t>
      </w:r>
      <w:proofErr w:type="spellStart"/>
      <w:r w:rsidRPr="006C299E">
        <w:rPr>
          <w:lang w:val="en-US"/>
        </w:rPr>
        <w:t>Practice</w:t>
      </w:r>
      <w:r w:rsidRPr="004E5AFD">
        <w:rPr>
          <w:lang w:val="en-US"/>
        </w:rPr>
        <w:t>.</w:t>
      </w:r>
      <w:r>
        <w:rPr>
          <w:lang w:val="en-US"/>
        </w:rPr>
        <w:t>Cambridge</w:t>
      </w:r>
      <w:proofErr w:type="spellEnd"/>
      <w:r>
        <w:rPr>
          <w:lang w:val="en-US"/>
        </w:rPr>
        <w:t xml:space="preserve"> University Press, 2004.</w:t>
      </w:r>
    </w:p>
    <w:p w:rsidR="003B7091" w:rsidRDefault="003B7091" w:rsidP="00FA5866">
      <w:pPr>
        <w:autoSpaceDE w:val="0"/>
        <w:autoSpaceDN w:val="0"/>
        <w:adjustRightInd w:val="0"/>
        <w:spacing w:after="0" w:line="240" w:lineRule="auto"/>
        <w:rPr>
          <w:lang w:val="en-US"/>
        </w:rPr>
      </w:pPr>
      <w:proofErr w:type="gramStart"/>
      <w:r>
        <w:rPr>
          <w:lang w:val="en-US"/>
        </w:rPr>
        <w:t>MUELLER.</w:t>
      </w:r>
      <w:proofErr w:type="gramEnd"/>
      <w:r>
        <w:rPr>
          <w:lang w:val="en-US"/>
        </w:rPr>
        <w:t xml:space="preserve"> D. C.  The finance literature on mergers: A critical survey. Competition, monopoly and corporate governance, essays in honor of Keith Cowling, pp 161-205, 2003</w:t>
      </w:r>
    </w:p>
    <w:p w:rsidR="00552808" w:rsidRPr="00462D88" w:rsidRDefault="00552808" w:rsidP="00FA5866">
      <w:pPr>
        <w:autoSpaceDE w:val="0"/>
        <w:autoSpaceDN w:val="0"/>
        <w:adjustRightInd w:val="0"/>
        <w:spacing w:after="0" w:line="240" w:lineRule="auto"/>
        <w:rPr>
          <w:lang w:val="en-US"/>
        </w:rPr>
      </w:pPr>
      <w:r w:rsidRPr="0096010F">
        <w:rPr>
          <w:lang w:val="en-US"/>
        </w:rPr>
        <w:t>PERRY, M. K.</w:t>
      </w:r>
      <w:r>
        <w:rPr>
          <w:lang w:val="en-US"/>
        </w:rPr>
        <w:t>;</w:t>
      </w:r>
      <w:r w:rsidRPr="0096010F">
        <w:rPr>
          <w:lang w:val="en-US"/>
        </w:rPr>
        <w:t xml:space="preserve"> PORTER, R. </w:t>
      </w:r>
      <w:r w:rsidRPr="00865C0F">
        <w:rPr>
          <w:lang w:val="en-US"/>
        </w:rPr>
        <w:t xml:space="preserve">Oligopoly and the incentive for horizontal </w:t>
      </w:r>
      <w:proofErr w:type="spellStart"/>
      <w:r w:rsidRPr="00865C0F">
        <w:rPr>
          <w:lang w:val="en-US"/>
        </w:rPr>
        <w:t>mergers</w:t>
      </w:r>
      <w:r w:rsidRPr="0096010F">
        <w:rPr>
          <w:b/>
          <w:lang w:val="en-US"/>
        </w:rPr>
        <w:t>.</w:t>
      </w:r>
      <w:r w:rsidRPr="00462D88">
        <w:rPr>
          <w:i/>
          <w:lang w:val="en-US"/>
        </w:rPr>
        <w:t>American</w:t>
      </w:r>
      <w:proofErr w:type="spellEnd"/>
      <w:r w:rsidRPr="00462D88">
        <w:rPr>
          <w:i/>
          <w:lang w:val="en-US"/>
        </w:rPr>
        <w:t xml:space="preserve"> EconomicReview</w:t>
      </w:r>
      <w:r w:rsidRPr="00462D88">
        <w:rPr>
          <w:lang w:val="en-US"/>
        </w:rPr>
        <w:t>.1985</w:t>
      </w:r>
    </w:p>
    <w:p w:rsidR="00552808" w:rsidRPr="00552808" w:rsidRDefault="00552808" w:rsidP="00FA5866">
      <w:pPr>
        <w:autoSpaceDE w:val="0"/>
        <w:autoSpaceDN w:val="0"/>
        <w:adjustRightInd w:val="0"/>
        <w:spacing w:after="0" w:line="240" w:lineRule="auto"/>
      </w:pPr>
      <w:r w:rsidRPr="00552808">
        <w:t>PIERANTONI A.; NICCHERI, F.; MADASI, L.</w:t>
      </w:r>
      <w:r>
        <w:t xml:space="preserve">; GOLLO R. Fusões e Aquisições no Brasil. </w:t>
      </w:r>
      <w:proofErr w:type="spellStart"/>
      <w:proofErr w:type="gramStart"/>
      <w:r>
        <w:t>pwc</w:t>
      </w:r>
      <w:proofErr w:type="spellEnd"/>
      <w:r>
        <w:t xml:space="preserve"> ,</w:t>
      </w:r>
      <w:proofErr w:type="gramEnd"/>
      <w:r>
        <w:t xml:space="preserve"> 2011.</w:t>
      </w:r>
    </w:p>
    <w:p w:rsidR="003B7091" w:rsidRPr="00221EA7" w:rsidRDefault="003B7091" w:rsidP="00FA5866">
      <w:pPr>
        <w:autoSpaceDE w:val="0"/>
        <w:autoSpaceDN w:val="0"/>
        <w:adjustRightInd w:val="0"/>
        <w:spacing w:after="0" w:line="240" w:lineRule="auto"/>
        <w:rPr>
          <w:lang w:val="en-US"/>
        </w:rPr>
      </w:pPr>
      <w:r w:rsidRPr="003F3823">
        <w:t xml:space="preserve">PIONER. </w:t>
      </w:r>
      <w:r w:rsidRPr="00865C0F">
        <w:t>H. M. Modelos de Simulação de Fus</w:t>
      </w:r>
      <w:r>
        <w:t xml:space="preserve">ões: aplicação a casos brasileiros. </w:t>
      </w:r>
      <w:proofErr w:type="spellStart"/>
      <w:r w:rsidRPr="00221EA7">
        <w:rPr>
          <w:lang w:val="en-US"/>
        </w:rPr>
        <w:t>FundaçãoGetúlio</w:t>
      </w:r>
      <w:proofErr w:type="spellEnd"/>
      <w:r w:rsidRPr="00221EA7">
        <w:rPr>
          <w:lang w:val="en-US"/>
        </w:rPr>
        <w:t xml:space="preserve"> Vargas. 2001.</w:t>
      </w:r>
    </w:p>
    <w:p w:rsidR="003B7091" w:rsidRDefault="0034487F" w:rsidP="00FA5866">
      <w:pPr>
        <w:autoSpaceDE w:val="0"/>
        <w:autoSpaceDN w:val="0"/>
        <w:adjustRightInd w:val="0"/>
        <w:spacing w:after="0" w:line="240" w:lineRule="auto"/>
        <w:rPr>
          <w:lang w:val="en-US"/>
        </w:rPr>
      </w:pPr>
      <w:proofErr w:type="gramStart"/>
      <w:r>
        <w:rPr>
          <w:lang w:val="en-US"/>
        </w:rPr>
        <w:t>RAVENSCRAFT D.;</w:t>
      </w:r>
      <w:r w:rsidR="003B7091">
        <w:rPr>
          <w:lang w:val="en-US"/>
        </w:rPr>
        <w:t xml:space="preserve"> SCHERER F. M. Life after </w:t>
      </w:r>
      <w:proofErr w:type="spellStart"/>
      <w:r w:rsidR="003B7091">
        <w:rPr>
          <w:lang w:val="en-US"/>
        </w:rPr>
        <w:t>takeovers.Journal</w:t>
      </w:r>
      <w:proofErr w:type="spellEnd"/>
      <w:r w:rsidR="003B7091">
        <w:rPr>
          <w:lang w:val="en-US"/>
        </w:rPr>
        <w:t xml:space="preserve"> of Industrial Economics, 36, 147-156, 1987.</w:t>
      </w:r>
      <w:proofErr w:type="gramEnd"/>
    </w:p>
    <w:p w:rsidR="000C301B" w:rsidRPr="000C301B" w:rsidRDefault="0034487F" w:rsidP="00FA5866">
      <w:pPr>
        <w:autoSpaceDE w:val="0"/>
        <w:autoSpaceDN w:val="0"/>
        <w:adjustRightInd w:val="0"/>
        <w:spacing w:after="0" w:line="240" w:lineRule="auto"/>
        <w:rPr>
          <w:lang w:val="en-US"/>
        </w:rPr>
      </w:pPr>
      <w:r>
        <w:rPr>
          <w:lang w:val="en-US"/>
        </w:rPr>
        <w:t>SALANT S. W.; SWITZER S.;</w:t>
      </w:r>
      <w:r w:rsidR="000C301B" w:rsidRPr="000C301B">
        <w:rPr>
          <w:lang w:val="en-US"/>
        </w:rPr>
        <w:t xml:space="preserve"> RE</w:t>
      </w:r>
      <w:r w:rsidR="000C301B">
        <w:rPr>
          <w:lang w:val="en-US"/>
        </w:rPr>
        <w:t xml:space="preserve">YNOLDS R. </w:t>
      </w:r>
      <w:proofErr w:type="gramStart"/>
      <w:r w:rsidR="000C301B">
        <w:rPr>
          <w:lang w:val="en-US"/>
        </w:rPr>
        <w:t>J..</w:t>
      </w:r>
      <w:proofErr w:type="gramEnd"/>
      <w:r w:rsidR="00D81A86">
        <w:rPr>
          <w:lang w:val="en-US"/>
        </w:rPr>
        <w:t xml:space="preserve">Losses from horizontal mergers: </w:t>
      </w:r>
      <w:r w:rsidR="000C301B">
        <w:rPr>
          <w:lang w:val="en-US"/>
        </w:rPr>
        <w:t xml:space="preserve">The Effects of an Exogenous Change in Industry Structure on </w:t>
      </w:r>
      <w:proofErr w:type="spellStart"/>
      <w:r w:rsidR="000C301B">
        <w:rPr>
          <w:lang w:val="en-US"/>
        </w:rPr>
        <w:t>Cournot</w:t>
      </w:r>
      <w:proofErr w:type="spellEnd"/>
      <w:r w:rsidR="000C301B">
        <w:rPr>
          <w:lang w:val="en-US"/>
        </w:rPr>
        <w:t xml:space="preserve">-Nash Equilibrium. </w:t>
      </w:r>
      <w:proofErr w:type="gramStart"/>
      <w:r w:rsidR="000C301B" w:rsidRPr="0034487F">
        <w:rPr>
          <w:i/>
          <w:lang w:val="en-US"/>
        </w:rPr>
        <w:t xml:space="preserve">The </w:t>
      </w:r>
      <w:proofErr w:type="spellStart"/>
      <w:r w:rsidR="000C301B" w:rsidRPr="0034487F">
        <w:rPr>
          <w:i/>
          <w:lang w:val="en-US"/>
        </w:rPr>
        <w:t>Quaterly</w:t>
      </w:r>
      <w:proofErr w:type="spellEnd"/>
      <w:r w:rsidR="000C301B" w:rsidRPr="0034487F">
        <w:rPr>
          <w:i/>
          <w:lang w:val="en-US"/>
        </w:rPr>
        <w:t xml:space="preserve"> Journal of Economics</w:t>
      </w:r>
      <w:r w:rsidR="000C301B">
        <w:rPr>
          <w:lang w:val="en-US"/>
        </w:rPr>
        <w:t>, Vol. 98, No. 2, pp 185-199, 1983.</w:t>
      </w:r>
      <w:proofErr w:type="gramEnd"/>
    </w:p>
    <w:p w:rsidR="003B7091" w:rsidRDefault="003B7091" w:rsidP="00FA5866">
      <w:pPr>
        <w:autoSpaceDE w:val="0"/>
        <w:autoSpaceDN w:val="0"/>
        <w:adjustRightInd w:val="0"/>
        <w:spacing w:after="0" w:line="240" w:lineRule="auto"/>
        <w:rPr>
          <w:lang w:val="en-US"/>
        </w:rPr>
      </w:pPr>
      <w:r>
        <w:rPr>
          <w:lang w:val="en-US"/>
        </w:rPr>
        <w:t xml:space="preserve">SCHWERT </w:t>
      </w:r>
      <w:proofErr w:type="gramStart"/>
      <w:r>
        <w:rPr>
          <w:lang w:val="en-US"/>
        </w:rPr>
        <w:t xml:space="preserve">W..Markup pricing in mergers and </w:t>
      </w:r>
      <w:proofErr w:type="spellStart"/>
      <w:r>
        <w:rPr>
          <w:lang w:val="en-US"/>
        </w:rPr>
        <w:t>acquisitions.</w:t>
      </w:r>
      <w:r w:rsidRPr="0034487F">
        <w:rPr>
          <w:i/>
          <w:lang w:val="en-US"/>
        </w:rPr>
        <w:t>Journal</w:t>
      </w:r>
      <w:proofErr w:type="spellEnd"/>
      <w:r w:rsidRPr="0034487F">
        <w:rPr>
          <w:i/>
          <w:lang w:val="en-US"/>
        </w:rPr>
        <w:t xml:space="preserve"> of Financial Economics</w:t>
      </w:r>
      <w:r>
        <w:rPr>
          <w:lang w:val="en-US"/>
        </w:rPr>
        <w:t>, 41, 153-192, 1996.</w:t>
      </w:r>
      <w:proofErr w:type="gramEnd"/>
    </w:p>
    <w:p w:rsidR="003B7091" w:rsidRDefault="003B7091" w:rsidP="00FA5866">
      <w:pPr>
        <w:autoSpaceDE w:val="0"/>
        <w:autoSpaceDN w:val="0"/>
        <w:adjustRightInd w:val="0"/>
        <w:spacing w:after="0" w:line="240" w:lineRule="auto"/>
        <w:rPr>
          <w:lang w:val="en-US"/>
        </w:rPr>
      </w:pPr>
      <w:r>
        <w:rPr>
          <w:lang w:val="en-US"/>
        </w:rPr>
        <w:t>RUBINFIELD, D. L</w:t>
      </w:r>
      <w:r w:rsidR="0034487F">
        <w:rPr>
          <w:lang w:val="en-US"/>
        </w:rPr>
        <w:t>.;</w:t>
      </w:r>
      <w:r>
        <w:rPr>
          <w:lang w:val="en-US"/>
        </w:rPr>
        <w:t xml:space="preserve"> EPSTEIN, R. J. Merger Simulation: A Simplified Approach with New Applications. </w:t>
      </w:r>
      <w:proofErr w:type="spellStart"/>
      <w:r w:rsidRPr="0034487F">
        <w:rPr>
          <w:i/>
          <w:lang w:val="en-US"/>
        </w:rPr>
        <w:t>Competion</w:t>
      </w:r>
      <w:proofErr w:type="spellEnd"/>
      <w:r w:rsidRPr="0034487F">
        <w:rPr>
          <w:i/>
          <w:lang w:val="en-US"/>
        </w:rPr>
        <w:t xml:space="preserve"> Policy Center UC Berkeley</w:t>
      </w:r>
      <w:r>
        <w:rPr>
          <w:lang w:val="en-US"/>
        </w:rPr>
        <w:t>. 2001</w:t>
      </w:r>
      <w:r w:rsidR="0034487F">
        <w:rPr>
          <w:lang w:val="en-US"/>
        </w:rPr>
        <w:t>.</w:t>
      </w:r>
    </w:p>
    <w:p w:rsidR="003B7091" w:rsidRDefault="003B7091" w:rsidP="00FA5866">
      <w:pPr>
        <w:autoSpaceDE w:val="0"/>
        <w:autoSpaceDN w:val="0"/>
        <w:adjustRightInd w:val="0"/>
        <w:spacing w:after="0" w:line="240" w:lineRule="auto"/>
        <w:rPr>
          <w:lang w:val="en-US"/>
        </w:rPr>
      </w:pPr>
      <w:r>
        <w:rPr>
          <w:lang w:val="en-US"/>
        </w:rPr>
        <w:t xml:space="preserve">SCHOLES M. WILLIAMS </w:t>
      </w:r>
      <w:proofErr w:type="gramStart"/>
      <w:r>
        <w:rPr>
          <w:lang w:val="en-US"/>
        </w:rPr>
        <w:t xml:space="preserve">J..Estimating betas from non-synchronous </w:t>
      </w:r>
      <w:proofErr w:type="spellStart"/>
      <w:r>
        <w:rPr>
          <w:lang w:val="en-US"/>
        </w:rPr>
        <w:t>data.</w:t>
      </w:r>
      <w:r w:rsidRPr="0034487F">
        <w:rPr>
          <w:i/>
          <w:lang w:val="en-US"/>
        </w:rPr>
        <w:t>Journal</w:t>
      </w:r>
      <w:proofErr w:type="spellEnd"/>
      <w:r w:rsidRPr="0034487F">
        <w:rPr>
          <w:i/>
          <w:lang w:val="en-US"/>
        </w:rPr>
        <w:t xml:space="preserve"> of Financial Economics</w:t>
      </w:r>
      <w:r>
        <w:rPr>
          <w:lang w:val="en-US"/>
        </w:rPr>
        <w:t>, 5, 309-327, 1977.</w:t>
      </w:r>
      <w:proofErr w:type="gramEnd"/>
    </w:p>
    <w:p w:rsidR="003B7091" w:rsidRDefault="003B7091" w:rsidP="00FA5866">
      <w:pPr>
        <w:autoSpaceDE w:val="0"/>
        <w:autoSpaceDN w:val="0"/>
        <w:adjustRightInd w:val="0"/>
        <w:spacing w:after="0" w:line="240" w:lineRule="auto"/>
        <w:rPr>
          <w:lang w:val="en-US"/>
        </w:rPr>
      </w:pPr>
      <w:r>
        <w:rPr>
          <w:lang w:val="en-US"/>
        </w:rPr>
        <w:t xml:space="preserve">STILLMAN R. Examining Antitrust Policy </w:t>
      </w:r>
      <w:proofErr w:type="gramStart"/>
      <w:r>
        <w:rPr>
          <w:lang w:val="en-US"/>
        </w:rPr>
        <w:t>Towards</w:t>
      </w:r>
      <w:proofErr w:type="gramEnd"/>
      <w:r>
        <w:rPr>
          <w:lang w:val="en-US"/>
        </w:rPr>
        <w:t xml:space="preserve"> Horizontal </w:t>
      </w:r>
      <w:proofErr w:type="spellStart"/>
      <w:r>
        <w:rPr>
          <w:lang w:val="en-US"/>
        </w:rPr>
        <w:t>Mergers.</w:t>
      </w:r>
      <w:r w:rsidRPr="0034487F">
        <w:rPr>
          <w:i/>
          <w:lang w:val="en-US"/>
        </w:rPr>
        <w:t>Journal</w:t>
      </w:r>
      <w:proofErr w:type="spellEnd"/>
      <w:r w:rsidRPr="0034487F">
        <w:rPr>
          <w:i/>
          <w:lang w:val="en-US"/>
        </w:rPr>
        <w:t xml:space="preserve"> of Financial </w:t>
      </w:r>
      <w:proofErr w:type="spellStart"/>
      <w:r w:rsidRPr="0034487F">
        <w:rPr>
          <w:i/>
          <w:lang w:val="en-US"/>
        </w:rPr>
        <w:t>Economics</w:t>
      </w:r>
      <w:r>
        <w:rPr>
          <w:lang w:val="en-US"/>
        </w:rPr>
        <w:t>.Vol</w:t>
      </w:r>
      <w:proofErr w:type="spellEnd"/>
      <w:r>
        <w:rPr>
          <w:lang w:val="en-US"/>
        </w:rPr>
        <w:t xml:space="preserve"> 11 pp 225-240. 1983.</w:t>
      </w:r>
    </w:p>
    <w:p w:rsidR="003B7091" w:rsidRDefault="003B7091" w:rsidP="00FA5866">
      <w:pPr>
        <w:autoSpaceDE w:val="0"/>
        <w:autoSpaceDN w:val="0"/>
        <w:adjustRightInd w:val="0"/>
        <w:spacing w:after="0" w:line="240" w:lineRule="auto"/>
        <w:rPr>
          <w:lang w:val="en-US"/>
        </w:rPr>
      </w:pPr>
      <w:r>
        <w:rPr>
          <w:lang w:val="en-US"/>
        </w:rPr>
        <w:t xml:space="preserve">SIROWER M., O' BYRNE </w:t>
      </w:r>
      <w:proofErr w:type="gramStart"/>
      <w:r>
        <w:rPr>
          <w:lang w:val="en-US"/>
        </w:rPr>
        <w:t>S..</w:t>
      </w:r>
      <w:proofErr w:type="gramEnd"/>
      <w:r>
        <w:rPr>
          <w:lang w:val="en-US"/>
        </w:rPr>
        <w:t xml:space="preserve"> The measurement of post-acquisition performance: Towards a value-based benchmarking methodology. </w:t>
      </w:r>
      <w:proofErr w:type="gramStart"/>
      <w:r w:rsidRPr="0034487F">
        <w:rPr>
          <w:i/>
          <w:lang w:val="en-US"/>
        </w:rPr>
        <w:t>Journal of Applied Corporate Finance</w:t>
      </w:r>
      <w:r>
        <w:rPr>
          <w:lang w:val="en-US"/>
        </w:rPr>
        <w:t>, 11, 107-121, 1998.</w:t>
      </w:r>
      <w:proofErr w:type="gramEnd"/>
    </w:p>
    <w:p w:rsidR="003B7091" w:rsidRDefault="00FD712B" w:rsidP="00FA5866">
      <w:pPr>
        <w:autoSpaceDE w:val="0"/>
        <w:autoSpaceDN w:val="0"/>
        <w:adjustRightInd w:val="0"/>
        <w:spacing w:after="0" w:line="240" w:lineRule="auto"/>
        <w:rPr>
          <w:lang w:val="en-US"/>
        </w:rPr>
      </w:pPr>
      <w:r w:rsidRPr="00BD7560">
        <w:rPr>
          <w:lang w:val="en-US"/>
        </w:rPr>
        <w:t>VISCUSI, K. W., VERNON, J. M., HARRINGTON JR.</w:t>
      </w:r>
      <w:r>
        <w:rPr>
          <w:lang w:val="en-US"/>
        </w:rPr>
        <w:t>, J</w:t>
      </w:r>
      <w:r w:rsidR="003B7091">
        <w:rPr>
          <w:lang w:val="en-US"/>
        </w:rPr>
        <w:t xml:space="preserve">. E. </w:t>
      </w:r>
      <w:r w:rsidR="003B7091" w:rsidRPr="0034487F">
        <w:rPr>
          <w:i/>
          <w:lang w:val="en-US"/>
        </w:rPr>
        <w:t xml:space="preserve">Economics of Regulation and </w:t>
      </w:r>
      <w:proofErr w:type="spellStart"/>
      <w:r w:rsidR="003B7091" w:rsidRPr="0034487F">
        <w:rPr>
          <w:i/>
          <w:lang w:val="en-US"/>
        </w:rPr>
        <w:t>Antitrus</w:t>
      </w:r>
      <w:proofErr w:type="spellEnd"/>
      <w:r w:rsidR="003B7091">
        <w:rPr>
          <w:lang w:val="en-US"/>
        </w:rPr>
        <w:t>. 2000.</w:t>
      </w:r>
    </w:p>
    <w:p w:rsidR="003B7091" w:rsidRDefault="003B7091" w:rsidP="00FA5866">
      <w:pPr>
        <w:autoSpaceDE w:val="0"/>
        <w:autoSpaceDN w:val="0"/>
        <w:adjustRightInd w:val="0"/>
        <w:spacing w:after="0" w:line="240" w:lineRule="auto"/>
        <w:rPr>
          <w:lang w:val="en-US"/>
        </w:rPr>
      </w:pPr>
      <w:r>
        <w:rPr>
          <w:lang w:val="en-US"/>
        </w:rPr>
        <w:t xml:space="preserve">WERDEN G. J., FROEB L. M. The effects of Mergers in Differentiated Products Industries: </w:t>
      </w:r>
      <w:proofErr w:type="spellStart"/>
      <w:r>
        <w:rPr>
          <w:lang w:val="en-US"/>
        </w:rPr>
        <w:t>Logit</w:t>
      </w:r>
      <w:proofErr w:type="spellEnd"/>
      <w:r>
        <w:rPr>
          <w:lang w:val="en-US"/>
        </w:rPr>
        <w:t xml:space="preserve"> Demand and Merger Policy. </w:t>
      </w:r>
      <w:proofErr w:type="gramStart"/>
      <w:r w:rsidRPr="0034487F">
        <w:rPr>
          <w:i/>
          <w:lang w:val="en-US"/>
        </w:rPr>
        <w:t>Journal of Law, Economics, &amp;Organization</w:t>
      </w:r>
      <w:r>
        <w:rPr>
          <w:lang w:val="en-US"/>
        </w:rPr>
        <w:t>.Vol.10, No. 2.</w:t>
      </w:r>
      <w:proofErr w:type="gramEnd"/>
      <w:r>
        <w:rPr>
          <w:lang w:val="en-US"/>
        </w:rPr>
        <w:t xml:space="preserve"> 1994</w:t>
      </w:r>
    </w:p>
    <w:p w:rsidR="003B7091" w:rsidRDefault="003B7091" w:rsidP="00FA5866">
      <w:pPr>
        <w:autoSpaceDE w:val="0"/>
        <w:autoSpaceDN w:val="0"/>
        <w:adjustRightInd w:val="0"/>
        <w:spacing w:after="0" w:line="240" w:lineRule="auto"/>
        <w:rPr>
          <w:lang w:val="en-US"/>
        </w:rPr>
      </w:pPr>
      <w:proofErr w:type="gramStart"/>
      <w:r>
        <w:rPr>
          <w:lang w:val="en-US"/>
        </w:rPr>
        <w:t>WHINSTON.</w:t>
      </w:r>
      <w:proofErr w:type="gramEnd"/>
      <w:r>
        <w:rPr>
          <w:lang w:val="en-US"/>
        </w:rPr>
        <w:t xml:space="preserve"> M. D. </w:t>
      </w:r>
      <w:r w:rsidRPr="0034487F">
        <w:rPr>
          <w:lang w:val="en-US"/>
        </w:rPr>
        <w:t xml:space="preserve">Antitrust Policy </w:t>
      </w:r>
      <w:proofErr w:type="gramStart"/>
      <w:r w:rsidRPr="0034487F">
        <w:rPr>
          <w:lang w:val="en-US"/>
        </w:rPr>
        <w:t>Toward</w:t>
      </w:r>
      <w:proofErr w:type="gramEnd"/>
      <w:r w:rsidRPr="0034487F">
        <w:rPr>
          <w:lang w:val="en-US"/>
        </w:rPr>
        <w:t xml:space="preserve"> Horizontal </w:t>
      </w:r>
      <w:proofErr w:type="spellStart"/>
      <w:r w:rsidRPr="0034487F">
        <w:rPr>
          <w:lang w:val="en-US"/>
        </w:rPr>
        <w:t>Mergers</w:t>
      </w:r>
      <w:r>
        <w:rPr>
          <w:lang w:val="en-US"/>
        </w:rPr>
        <w:t>.Handbook</w:t>
      </w:r>
      <w:proofErr w:type="spellEnd"/>
      <w:r>
        <w:rPr>
          <w:lang w:val="en-US"/>
        </w:rPr>
        <w:t xml:space="preserve"> </w:t>
      </w:r>
      <w:r w:rsidRPr="0034487F">
        <w:rPr>
          <w:i/>
          <w:lang w:val="en-US"/>
        </w:rPr>
        <w:t>of Industrial Organization</w:t>
      </w:r>
      <w:r>
        <w:rPr>
          <w:lang w:val="en-US"/>
        </w:rPr>
        <w:t>, Volume 3, 2007</w:t>
      </w:r>
      <w:r w:rsidR="0034487F">
        <w:rPr>
          <w:lang w:val="en-US"/>
        </w:rPr>
        <w:t>.</w:t>
      </w:r>
    </w:p>
    <w:p w:rsidR="00592DD6" w:rsidRPr="004E5AFD" w:rsidRDefault="00592DD6" w:rsidP="00FA5866">
      <w:pPr>
        <w:autoSpaceDE w:val="0"/>
        <w:autoSpaceDN w:val="0"/>
        <w:adjustRightInd w:val="0"/>
        <w:spacing w:after="0" w:line="240" w:lineRule="auto"/>
        <w:rPr>
          <w:lang w:val="en-US"/>
        </w:rPr>
      </w:pPr>
    </w:p>
    <w:p w:rsidR="008B2E88" w:rsidRPr="0096010F" w:rsidRDefault="008B2E88" w:rsidP="00FA5866">
      <w:pPr>
        <w:spacing w:after="0" w:line="240" w:lineRule="auto"/>
        <w:rPr>
          <w:lang w:val="en-US"/>
        </w:rPr>
      </w:pPr>
    </w:p>
    <w:p w:rsidR="00944A9B" w:rsidRPr="0096010F" w:rsidRDefault="00944A9B" w:rsidP="00FA5866">
      <w:pPr>
        <w:spacing w:after="0" w:line="240" w:lineRule="auto"/>
        <w:rPr>
          <w:lang w:val="en-US"/>
        </w:rPr>
      </w:pPr>
    </w:p>
    <w:p w:rsidR="005F6898" w:rsidRPr="0096010F" w:rsidRDefault="005F6898" w:rsidP="00FA5866">
      <w:pPr>
        <w:spacing w:after="0" w:line="240" w:lineRule="auto"/>
        <w:rPr>
          <w:lang w:val="en-US"/>
        </w:rPr>
      </w:pPr>
    </w:p>
    <w:p w:rsidR="005F6898" w:rsidRPr="0096010F" w:rsidRDefault="005F6898" w:rsidP="00FA5866">
      <w:pPr>
        <w:spacing w:after="0" w:line="240" w:lineRule="auto"/>
        <w:rPr>
          <w:lang w:val="en-US"/>
        </w:rPr>
      </w:pPr>
    </w:p>
    <w:p w:rsidR="005F6898" w:rsidRPr="0096010F" w:rsidRDefault="005F6898" w:rsidP="00FA5866">
      <w:pPr>
        <w:spacing w:after="0" w:line="240" w:lineRule="auto"/>
        <w:rPr>
          <w:lang w:val="en-US"/>
        </w:rPr>
      </w:pPr>
    </w:p>
    <w:sectPr w:rsidR="005F6898" w:rsidRPr="0096010F" w:rsidSect="00FA5866">
      <w:footerReference w:type="default" r:id="rId8"/>
      <w:pgSz w:w="11906" w:h="16838"/>
      <w:pgMar w:top="1134" w:right="851" w:bottom="1134" w:left="85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45FF2" w:rsidRDefault="00345FF2" w:rsidP="00ED387A">
      <w:r>
        <w:separator/>
      </w:r>
    </w:p>
  </w:endnote>
  <w:endnote w:type="continuationSeparator" w:id="0">
    <w:p w:rsidR="00345FF2" w:rsidRDefault="00345FF2" w:rsidP="00ED387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Code">
    <w:altName w:val="Code"/>
    <w:panose1 w:val="00000000000000000000"/>
    <w:charset w:val="00"/>
    <w:family w:val="swiss"/>
    <w:notTrueType/>
    <w:pitch w:val="default"/>
    <w:sig w:usb0="00000003" w:usb1="00000000" w:usb2="00000000" w:usb3="00000000" w:csb0="00000001" w:csb1="00000000"/>
  </w:font>
  <w:font w:name="GungsuhChe">
    <w:panose1 w:val="02030609000101010101"/>
    <w:charset w:val="81"/>
    <w:family w:val="modern"/>
    <w:pitch w:val="fixed"/>
    <w:sig w:usb0="B00002AF" w:usb1="69D77CFB" w:usb2="00000030" w:usb3="00000000" w:csb0="0008009F" w:csb1="00000000"/>
  </w:font>
  <w:font w:name="Times">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940282"/>
      <w:docPartObj>
        <w:docPartGallery w:val="Page Numbers (Bottom of Page)"/>
        <w:docPartUnique/>
      </w:docPartObj>
    </w:sdtPr>
    <w:sdtContent>
      <w:p w:rsidR="00345FF2" w:rsidRDefault="006E76EF">
        <w:pPr>
          <w:pStyle w:val="Rodap"/>
          <w:jc w:val="right"/>
        </w:pPr>
        <w:r>
          <w:fldChar w:fldCharType="begin"/>
        </w:r>
        <w:r w:rsidR="00345FF2">
          <w:instrText xml:space="preserve"> PAGE   \* MERGEFORMAT </w:instrText>
        </w:r>
        <w:r>
          <w:fldChar w:fldCharType="separate"/>
        </w:r>
        <w:r w:rsidR="00583767">
          <w:rPr>
            <w:noProof/>
          </w:rPr>
          <w:t>20</w:t>
        </w:r>
        <w:r>
          <w:rPr>
            <w:noProof/>
          </w:rPr>
          <w:fldChar w:fldCharType="end"/>
        </w:r>
      </w:p>
    </w:sdtContent>
  </w:sdt>
  <w:p w:rsidR="00345FF2" w:rsidRDefault="00345FF2">
    <w:pPr>
      <w:pStyle w:val="Rodap"/>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45FF2" w:rsidRDefault="00345FF2" w:rsidP="00ED387A">
      <w:r>
        <w:separator/>
      </w:r>
    </w:p>
  </w:footnote>
  <w:footnote w:type="continuationSeparator" w:id="0">
    <w:p w:rsidR="00345FF2" w:rsidRDefault="00345FF2" w:rsidP="00ED387A">
      <w:r>
        <w:continuationSeparator/>
      </w:r>
    </w:p>
  </w:footnote>
  <w:footnote w:id="1">
    <w:p w:rsidR="00345FF2" w:rsidRPr="006316FA" w:rsidRDefault="00345FF2" w:rsidP="00345FF2">
      <w:pPr>
        <w:pStyle w:val="Textodenotaderodap"/>
      </w:pPr>
      <w:r>
        <w:rPr>
          <w:rStyle w:val="Refdenotaderodap"/>
        </w:rPr>
        <w:footnoteRef/>
      </w:r>
      <w:r w:rsidRPr="00C40B6B">
        <w:t xml:space="preserve">Como exemplo, em uma concentração vertical, consumidores podem perder tanto quanto as firmas rivais se a fusão impedir a entrada de novos competidores. Assim, perde-se o </w:t>
      </w:r>
      <w:proofErr w:type="spellStart"/>
      <w:r w:rsidRPr="00C40B6B">
        <w:rPr>
          <w:i/>
        </w:rPr>
        <w:t>trade-</w:t>
      </w:r>
      <w:proofErr w:type="gramStart"/>
      <w:r w:rsidRPr="00C40B6B">
        <w:rPr>
          <w:i/>
        </w:rPr>
        <w:t>off</w:t>
      </w:r>
      <w:proofErr w:type="spellEnd"/>
      <w:proofErr w:type="gramEnd"/>
      <w:r w:rsidRPr="00C40B6B">
        <w:t xml:space="preserve"> entre aumento do retorno das firmas rivais e queda no excedente do consumidor</w:t>
      </w:r>
      <w:r>
        <w:t xml:space="preserve"> necessário à análise dos efeitos </w:t>
      </w:r>
      <w:proofErr w:type="spellStart"/>
      <w:r>
        <w:t>anti-competitivos</w:t>
      </w:r>
      <w:proofErr w:type="spellEnd"/>
      <w:r>
        <w:t xml:space="preserve"> das fusões</w:t>
      </w:r>
      <w:r w:rsidRPr="00C40B6B">
        <w:t>.</w:t>
      </w:r>
    </w:p>
  </w:footnote>
  <w:footnote w:id="2">
    <w:p w:rsidR="00345FF2" w:rsidRPr="00F24859" w:rsidRDefault="00345FF2" w:rsidP="00345FF2">
      <w:pPr>
        <w:pStyle w:val="Textodenotaderodap"/>
      </w:pPr>
      <w:r>
        <w:rPr>
          <w:rStyle w:val="Refdenotaderodap"/>
        </w:rPr>
        <w:footnoteRef/>
      </w:r>
      <w:r w:rsidRPr="00F24859">
        <w:t>Entende-se como poder de mercado o ato de uma empresa unilateralmente, ou de um grupo de empresas coor</w:t>
      </w:r>
      <w:r>
        <w:t>denadamente, aumentar os preços</w:t>
      </w:r>
      <w:r w:rsidRPr="00F24859">
        <w:t xml:space="preserve"> (ou diminuir </w:t>
      </w:r>
      <w:r>
        <w:t xml:space="preserve">as </w:t>
      </w:r>
      <w:r w:rsidRPr="00F24859">
        <w:t>quantidades</w:t>
      </w:r>
      <w:r>
        <w:t xml:space="preserve"> produzidas</w:t>
      </w:r>
      <w:r w:rsidRPr="00F24859">
        <w:t xml:space="preserve">), diminuir a qualidade ou a variedade dos produtos ou serviços, ou ainda, reduzir o ritmo de inovações com relação aos níveis que vigorariam </w:t>
      </w:r>
      <w:proofErr w:type="gramStart"/>
      <w:r w:rsidRPr="00F24859">
        <w:t>sob condi</w:t>
      </w:r>
      <w:r>
        <w:t>ções</w:t>
      </w:r>
      <w:proofErr w:type="gramEnd"/>
      <w:r>
        <w:t xml:space="preserve"> de concorrência irrestrita</w:t>
      </w:r>
      <w:r w:rsidRPr="00F24859">
        <w:t>, por um período razoável de tempo com a finalidade de aumentar seus lucros (Portaria Conjunta SEAE/SDE N° 50).</w:t>
      </w:r>
    </w:p>
  </w:footnote>
  <w:footnote w:id="3">
    <w:p w:rsidR="00345FF2" w:rsidRPr="00D77666" w:rsidRDefault="00345FF2" w:rsidP="00345FF2">
      <w:pPr>
        <w:pStyle w:val="NormalWeb"/>
        <w:shd w:val="clear" w:color="auto" w:fill="FFFFFF"/>
        <w:spacing w:before="0" w:beforeAutospacing="0" w:after="0" w:afterAutospacing="0"/>
        <w:rPr>
          <w:sz w:val="20"/>
          <w:szCs w:val="20"/>
        </w:rPr>
      </w:pPr>
      <w:r>
        <w:rPr>
          <w:rStyle w:val="Refdenotaderodap"/>
        </w:rPr>
        <w:footnoteRef/>
      </w:r>
      <w:r w:rsidRPr="00F33ADE">
        <w:rPr>
          <w:rStyle w:val="apple-converted-space"/>
          <w:color w:val="000000"/>
          <w:sz w:val="20"/>
          <w:szCs w:val="20"/>
          <w:shd w:val="clear" w:color="auto" w:fill="FFFFFF"/>
        </w:rPr>
        <w:t> </w:t>
      </w:r>
      <w:r w:rsidRPr="00D77666">
        <w:rPr>
          <w:sz w:val="20"/>
          <w:szCs w:val="20"/>
        </w:rPr>
        <w:t>I - fixar ou praticar, em acordo com concorrente, sob qualquer forma, preços e condições de venda de bens ou de prestação de serviços;</w:t>
      </w:r>
      <w:r>
        <w:rPr>
          <w:sz w:val="20"/>
          <w:szCs w:val="20"/>
        </w:rPr>
        <w:t xml:space="preserve"> </w:t>
      </w:r>
      <w:r w:rsidRPr="00D77666">
        <w:rPr>
          <w:sz w:val="20"/>
          <w:szCs w:val="20"/>
        </w:rPr>
        <w:t>II - obter ou influenciar a adoção de conduta comercial uniforme o</w:t>
      </w:r>
      <w:r>
        <w:rPr>
          <w:sz w:val="20"/>
          <w:szCs w:val="20"/>
        </w:rPr>
        <w:t>u concertada entre concorrentes</w:t>
      </w:r>
      <w:r w:rsidRPr="00D77666">
        <w:rPr>
          <w:sz w:val="20"/>
          <w:szCs w:val="20"/>
        </w:rPr>
        <w:t xml:space="preserve"> (incisos I e II do artigo 21 da lei 8.884/94).</w:t>
      </w:r>
    </w:p>
    <w:p w:rsidR="00345FF2" w:rsidRPr="009D579F" w:rsidRDefault="00345FF2" w:rsidP="00345FF2">
      <w:pPr>
        <w:pStyle w:val="Textodenotaderodap"/>
      </w:pPr>
    </w:p>
  </w:footnote>
  <w:footnote w:id="4">
    <w:p w:rsidR="00345FF2" w:rsidRPr="006316FA" w:rsidRDefault="00345FF2" w:rsidP="00345FF2">
      <w:pPr>
        <w:pStyle w:val="Textodenotaderodap"/>
      </w:pPr>
      <w:r>
        <w:rPr>
          <w:rStyle w:val="Refdenotaderodap"/>
        </w:rPr>
        <w:footnoteRef/>
      </w:r>
      <w:r w:rsidRPr="006316FA">
        <w:t>Via redução de custos de produção, por</w:t>
      </w:r>
      <w:r>
        <w:t xml:space="preserve"> </w:t>
      </w:r>
      <w:r w:rsidRPr="006316FA">
        <w:t>exemplo.</w:t>
      </w:r>
    </w:p>
  </w:footnote>
  <w:footnote w:id="5">
    <w:p w:rsidR="00345FF2" w:rsidRPr="006316FA" w:rsidRDefault="00345FF2" w:rsidP="00345FF2">
      <w:pPr>
        <w:pStyle w:val="Textodenotaderodap"/>
      </w:pPr>
      <w:r>
        <w:rPr>
          <w:rStyle w:val="Refdenotaderodap"/>
        </w:rPr>
        <w:footnoteRef/>
      </w:r>
      <w:r w:rsidRPr="006316FA">
        <w:t>Via redução de preços</w:t>
      </w:r>
      <w:r>
        <w:t xml:space="preserve"> </w:t>
      </w:r>
      <w:r w:rsidRPr="006316FA">
        <w:t>ao</w:t>
      </w:r>
      <w:r>
        <w:t xml:space="preserve"> </w:t>
      </w:r>
      <w:r w:rsidRPr="006316FA">
        <w:t>consumidor.</w:t>
      </w:r>
    </w:p>
  </w:footnote>
  <w:footnote w:id="6">
    <w:p w:rsidR="00345FF2" w:rsidRPr="00F07920" w:rsidRDefault="00345FF2" w:rsidP="00345FF2">
      <w:pPr>
        <w:pStyle w:val="Textodenotaderodap"/>
      </w:pPr>
      <w:r>
        <w:rPr>
          <w:rStyle w:val="Refdenotaderodap"/>
        </w:rPr>
        <w:footnoteRef/>
      </w:r>
      <w:proofErr w:type="gramStart"/>
      <w:r>
        <w:t>Ofertas não hostis</w:t>
      </w:r>
      <w:proofErr w:type="gramEnd"/>
      <w:r>
        <w:t>.</w:t>
      </w:r>
    </w:p>
  </w:footnote>
  <w:footnote w:id="7">
    <w:p w:rsidR="00345FF2" w:rsidRPr="00FE1E5D" w:rsidRDefault="00345FF2" w:rsidP="00345FF2">
      <w:pPr>
        <w:pStyle w:val="Textodenotaderodap"/>
      </w:pPr>
      <w:r>
        <w:rPr>
          <w:rStyle w:val="Refdenotaderodap"/>
        </w:rPr>
        <w:footnoteRef/>
      </w:r>
      <w:proofErr w:type="spellStart"/>
      <w:r w:rsidRPr="00074C44">
        <w:t>Healy</w:t>
      </w:r>
      <w:proofErr w:type="spellEnd"/>
      <w:r>
        <w:t xml:space="preserve"> </w:t>
      </w:r>
      <w:proofErr w:type="spellStart"/>
      <w:proofErr w:type="gramStart"/>
      <w:r w:rsidRPr="00074C44">
        <w:rPr>
          <w:i/>
        </w:rPr>
        <w:t>et</w:t>
      </w:r>
      <w:proofErr w:type="spellEnd"/>
      <w:proofErr w:type="gramEnd"/>
      <w:r w:rsidRPr="00074C44">
        <w:rPr>
          <w:i/>
        </w:rPr>
        <w:t xml:space="preserve"> al.</w:t>
      </w:r>
      <w:r>
        <w:t>(1992) definem fluxo de caixa operacional como vendas menos custo da mercadoria vendida e despesas administrativas mais depreciação.</w:t>
      </w:r>
    </w:p>
  </w:footnote>
  <w:footnote w:id="8">
    <w:p w:rsidR="00345FF2" w:rsidRPr="00E930A7" w:rsidRDefault="00345FF2" w:rsidP="00345FF2">
      <w:pPr>
        <w:pStyle w:val="Textodenotaderodap"/>
      </w:pPr>
      <w:r>
        <w:rPr>
          <w:rStyle w:val="Refdenotaderodap"/>
        </w:rPr>
        <w:footnoteRef/>
      </w:r>
      <w:r w:rsidRPr="00E930A7">
        <w:t>Fluxo</w:t>
      </w:r>
      <w:r>
        <w:t>s</w:t>
      </w:r>
      <w:r w:rsidRPr="00E930A7">
        <w:t xml:space="preserve"> de caixa ajustado</w:t>
      </w:r>
      <w:r>
        <w:t>s</w:t>
      </w:r>
      <w:r w:rsidRPr="00E930A7">
        <w:t xml:space="preserve"> da ind</w:t>
      </w:r>
      <w:r>
        <w:t xml:space="preserve">ústria </w:t>
      </w:r>
      <w:proofErr w:type="gramStart"/>
      <w:r>
        <w:t>são</w:t>
      </w:r>
      <w:proofErr w:type="gramEnd"/>
      <w:r>
        <w:t xml:space="preserve"> a diferença entre os valores da firma fusionada e os valores médios estimados</w:t>
      </w:r>
      <w:r w:rsidRPr="00E930A7">
        <w:t xml:space="preserve"> da indústria</w:t>
      </w:r>
      <w:r>
        <w:t xml:space="preserve"> (</w:t>
      </w:r>
      <w:proofErr w:type="spellStart"/>
      <w:r>
        <w:t>Healy</w:t>
      </w:r>
      <w:proofErr w:type="spellEnd"/>
      <w:r>
        <w:t xml:space="preserve"> </w:t>
      </w:r>
      <w:proofErr w:type="spellStart"/>
      <w:r w:rsidRPr="00025F46">
        <w:rPr>
          <w:i/>
        </w:rPr>
        <w:t>et</w:t>
      </w:r>
      <w:proofErr w:type="spellEnd"/>
      <w:r>
        <w:rPr>
          <w:i/>
        </w:rPr>
        <w:t xml:space="preserve"> </w:t>
      </w:r>
      <w:r w:rsidRPr="00025F46">
        <w:rPr>
          <w:i/>
        </w:rPr>
        <w:t>al</w:t>
      </w:r>
      <w:r>
        <w:t>.,1992).</w:t>
      </w:r>
    </w:p>
  </w:footnote>
  <w:footnote w:id="9">
    <w:p w:rsidR="00345FF2" w:rsidRPr="00025F46" w:rsidRDefault="00345FF2" w:rsidP="00345FF2">
      <w:pPr>
        <w:pStyle w:val="Textodenotaderodap"/>
        <w:rPr>
          <w:color w:val="FF0000"/>
        </w:rPr>
      </w:pPr>
      <w:r>
        <w:rPr>
          <w:rStyle w:val="Refdenotaderodap"/>
        </w:rPr>
        <w:footnoteRef/>
      </w:r>
      <w:r w:rsidRPr="00316A90">
        <w:t xml:space="preserve">EVA é </w:t>
      </w:r>
      <w:proofErr w:type="gramStart"/>
      <w:r w:rsidRPr="00316A90">
        <w:t>definido</w:t>
      </w:r>
      <w:proofErr w:type="gramEnd"/>
      <w:r w:rsidRPr="00316A90">
        <w:t xml:space="preserve"> como lucro operacional l</w:t>
      </w:r>
      <w:r>
        <w:t>íquido depois dos impostos menos os encargos de capital.</w:t>
      </w:r>
    </w:p>
  </w:footnote>
  <w:footnote w:id="10">
    <w:p w:rsidR="00345FF2" w:rsidRPr="002F6636" w:rsidRDefault="00345FF2" w:rsidP="00345FF2">
      <w:pPr>
        <w:pStyle w:val="Textodenotaderodap"/>
      </w:pPr>
      <w:r>
        <w:rPr>
          <w:rStyle w:val="Refdenotaderodap"/>
        </w:rPr>
        <w:footnoteRef/>
      </w:r>
      <m:oMath>
        <m:r>
          <m:rPr>
            <m:sty m:val="p"/>
          </m:rPr>
          <w:rPr>
            <w:rFonts w:ascii="Cambria Math" w:hAnsi="Cambria Math"/>
          </w:rPr>
          <m:t xml:space="preserve"> Δ</m:t>
        </m:r>
        <m:r>
          <w:rPr>
            <w:rFonts w:ascii="Cambria Math" w:hAnsi="Cambria Math"/>
          </w:rPr>
          <m:t>EV</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=[(c×c)/(1+</m:t>
        </m:r>
        <m:r>
          <w:rPr>
            <w:rFonts w:ascii="Cambria Math" w:hAnsi="Cambria Math"/>
            <w:lang w:val="en-US"/>
          </w:rPr>
          <m:t>c</m:t>
        </m:r>
        <m:r>
          <w:rPr>
            <w:rFonts w:ascii="Cambria Math" w:hAnsi="Cambria Math"/>
          </w:rPr>
          <m:t>)]×</m:t>
        </m:r>
        <m:r>
          <w:rPr>
            <w:rFonts w:ascii="Cambria Math" w:hAnsi="Cambria Math"/>
            <w:lang w:val="en-US"/>
          </w:rPr>
          <m:t>FG</m:t>
        </m:r>
        <m:sSub>
          <m:sSubPr>
            <m:ctrlPr>
              <w:rPr>
                <w:rFonts w:ascii="Cambria Math" w:hAnsi="Cambria Math"/>
                <w:i/>
                <w:lang w:val="en-US"/>
              </w:rPr>
            </m:ctrlPr>
          </m:sSubPr>
          <m:e>
            <m:r>
              <w:rPr>
                <w:rFonts w:ascii="Cambria Math" w:hAnsi="Cambria Math"/>
                <w:lang w:val="en-US"/>
              </w:rPr>
              <m:t>V</m:t>
            </m:r>
          </m:e>
          <m:sub>
            <m:r>
              <w:rPr>
                <w:rFonts w:ascii="Cambria Math" w:hAnsi="Cambria Math"/>
              </w:rPr>
              <m:t>0</m:t>
            </m:r>
          </m:sub>
        </m:sSub>
      </m:oMath>
      <w:proofErr w:type="gramStart"/>
      <w:r w:rsidRPr="002F6636">
        <w:t>em</w:t>
      </w:r>
      <w:proofErr w:type="gramEnd"/>
      <w:r w:rsidRPr="002F6636">
        <w:t xml:space="preserve"> que </w:t>
      </w:r>
      <m:oMath>
        <m:r>
          <w:rPr>
            <w:rFonts w:ascii="Cambria Math" w:hAnsi="Cambria Math"/>
            <w:lang w:val="en-US"/>
          </w:rPr>
          <m:t>FG</m:t>
        </m:r>
        <m:sSub>
          <m:sSubPr>
            <m:ctrlPr>
              <w:rPr>
                <w:rFonts w:ascii="Cambria Math" w:hAnsi="Cambria Math"/>
                <w:i/>
                <w:lang w:val="en-US"/>
              </w:rPr>
            </m:ctrlPr>
          </m:sSubPr>
          <m:e>
            <m:r>
              <w:rPr>
                <w:rFonts w:ascii="Cambria Math" w:hAnsi="Cambria Math"/>
                <w:lang w:val="en-US"/>
              </w:rPr>
              <m:t>V</m:t>
            </m:r>
          </m:e>
          <m:sub>
            <m:r>
              <w:rPr>
                <w:rFonts w:ascii="Cambria Math" w:hAnsi="Cambria Math"/>
              </w:rPr>
              <m:t>0</m:t>
            </m:r>
          </m:sub>
        </m:sSub>
      </m:oMath>
      <w:r w:rsidRPr="002F6636">
        <w:t xml:space="preserve"> é o "valor de crescimento futuro"</w:t>
      </w:r>
      <m:oMath>
        <m:r>
          <w:rPr>
            <w:rFonts w:ascii="Cambria Math" w:hAnsi="Cambria Math"/>
          </w:rPr>
          <m:t xml:space="preserve"> </m:t>
        </m:r>
        <m:r>
          <w:rPr>
            <w:rFonts w:ascii="Cambria Math" w:hAnsi="Cambria Math"/>
            <w:lang w:val="en-US"/>
          </w:rPr>
          <m:t>FG</m:t>
        </m:r>
        <m:sSub>
          <m:sSubPr>
            <m:ctrlPr>
              <w:rPr>
                <w:rFonts w:ascii="Cambria Math" w:hAnsi="Cambria Math"/>
                <w:i/>
                <w:lang w:val="en-US"/>
              </w:rPr>
            </m:ctrlPr>
          </m:sSubPr>
          <m:e>
            <m:r>
              <w:rPr>
                <w:rFonts w:ascii="Cambria Math" w:hAnsi="Cambria Math"/>
                <w:lang w:val="en-US"/>
              </w:rPr>
              <m:t>V</m:t>
            </m:r>
          </m:e>
          <m:sub>
            <m:r>
              <w:rPr>
                <w:rFonts w:ascii="Cambria Math" w:hAnsi="Cambria Math"/>
              </w:rPr>
              <m:t>0</m:t>
            </m:r>
          </m:sub>
        </m:sSub>
        <m:r>
          <w:rPr>
            <w:rFonts w:ascii="Cambria Math" w:hAnsi="Cambria Math"/>
          </w:rPr>
          <m:t>=((1+</m:t>
        </m:r>
        <m:r>
          <w:rPr>
            <w:rFonts w:ascii="Cambria Math" w:hAnsi="Cambria Math"/>
            <w:lang w:val="en-US"/>
          </w:rPr>
          <m:t>c</m:t>
        </m:r>
        <m:r>
          <w:rPr>
            <w:rFonts w:ascii="Cambria Math" w:hAnsi="Cambria Math"/>
          </w:rPr>
          <m:t>)/</m:t>
        </m:r>
        <m:r>
          <w:rPr>
            <w:rFonts w:ascii="Cambria Math" w:hAnsi="Cambria Math"/>
            <w:lang w:val="en-US"/>
          </w:rPr>
          <m:t>c</m:t>
        </m:r>
        <m:r>
          <w:rPr>
            <w:rFonts w:ascii="Cambria Math" w:hAnsi="Cambria Math"/>
          </w:rPr>
          <m:t>)*</m:t>
        </m:r>
        <m:nary>
          <m:naryPr>
            <m:chr m:val="∑"/>
            <m:limLoc m:val="subSup"/>
            <m:ctrlPr>
              <w:rPr>
                <w:rFonts w:ascii="Cambria Math" w:hAnsi="Cambria Math"/>
                <w:i/>
                <w:lang w:val="en-US"/>
              </w:rPr>
            </m:ctrlPr>
          </m:naryPr>
          <m:sub>
            <m:r>
              <w:rPr>
                <w:rFonts w:ascii="Cambria Math" w:hAnsi="Cambria Math"/>
                <w:lang w:val="en-US"/>
              </w:rPr>
              <m:t>t</m:t>
            </m:r>
            <m:r>
              <w:rPr>
                <w:rFonts w:ascii="Cambria Math" w:hAnsi="Cambria Math"/>
              </w:rPr>
              <m:t>=1</m:t>
            </m:r>
          </m:sub>
          <m:sup>
            <m:r>
              <w:rPr>
                <w:rFonts w:ascii="Cambria Math" w:hAnsi="Cambria Math"/>
              </w:rPr>
              <m:t>∞</m:t>
            </m:r>
          </m:sup>
          <m:e>
            <m:r>
              <w:rPr>
                <w:rFonts w:ascii="Cambria Math" w:hAnsi="Cambria Math"/>
              </w:rPr>
              <m:t>∆</m:t>
            </m:r>
            <m:r>
              <w:rPr>
                <w:rFonts w:ascii="Cambria Math" w:hAnsi="Cambria Math"/>
                <w:lang w:val="en-US"/>
              </w:rPr>
              <m:t>EV</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t</m:t>
                </m:r>
              </m:sub>
            </m:sSub>
            <m:r>
              <w:rPr>
                <w:rFonts w:ascii="Cambria Math" w:hAnsi="Cambria Math"/>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rPr>
                      <m:t>1+</m:t>
                    </m:r>
                    <m:r>
                      <w:rPr>
                        <w:rFonts w:ascii="Cambria Math" w:hAnsi="Cambria Math"/>
                        <w:lang w:val="en-US"/>
                      </w:rPr>
                      <m:t>c</m:t>
                    </m:r>
                  </m:e>
                </m:d>
              </m:e>
              <m:sup>
                <m:r>
                  <w:rPr>
                    <w:rFonts w:ascii="Cambria Math" w:hAnsi="Cambria Math"/>
                    <w:lang w:val="en-US"/>
                  </w:rPr>
                  <m:t>t</m:t>
                </m:r>
              </m:sup>
            </m:sSup>
          </m:e>
        </m:nary>
      </m:oMath>
      <w:r w:rsidRPr="002F6636">
        <w:t xml:space="preserve"> e </w:t>
      </w:r>
      <m:oMath>
        <m:r>
          <w:rPr>
            <w:rFonts w:ascii="Cambria Math" w:hAnsi="Cambria Math"/>
            <w:lang w:val="en-US"/>
          </w:rPr>
          <m:t>c</m:t>
        </m:r>
      </m:oMath>
      <w:r w:rsidRPr="00DC5508">
        <w:t xml:space="preserve"> é o custo de capital</w:t>
      </w:r>
      <w:r w:rsidRPr="002F6636">
        <w:t xml:space="preserve"> .</w:t>
      </w:r>
    </w:p>
  </w:footnote>
  <w:footnote w:id="11">
    <w:p w:rsidR="00345FF2" w:rsidRPr="00422C85" w:rsidRDefault="00345FF2" w:rsidP="00345FF2">
      <w:pPr>
        <w:pStyle w:val="Textodenotaderodap"/>
      </w:pPr>
      <w:r w:rsidRPr="0035647F">
        <w:rPr>
          <w:rStyle w:val="Refdenotaderodap"/>
        </w:rPr>
        <w:footnoteRef/>
      </w:r>
      <w:r w:rsidRPr="0035647F">
        <w:t xml:space="preserve">Para modificações do teste acima, ver </w:t>
      </w:r>
      <w:proofErr w:type="spellStart"/>
      <w:r w:rsidRPr="0035647F">
        <w:t>Patell</w:t>
      </w:r>
      <w:proofErr w:type="spellEnd"/>
      <w:r w:rsidRPr="0035647F">
        <w:t xml:space="preserve"> (1976) ou Brown e Warner (1980).</w:t>
      </w:r>
    </w:p>
  </w:footnote>
  <w:footnote w:id="12">
    <w:p w:rsidR="00345FF2" w:rsidRPr="00860633" w:rsidRDefault="00345FF2" w:rsidP="00345FF2">
      <w:pPr>
        <w:pStyle w:val="Textodenotaderodap"/>
      </w:pPr>
      <w:r w:rsidRPr="00B90CCB">
        <w:rPr>
          <w:rStyle w:val="Refdenotaderodap"/>
        </w:rPr>
        <w:footnoteRef/>
      </w:r>
      <w:r w:rsidRPr="00B90CCB">
        <w:t xml:space="preserve"> Seguiu-se a discriminação feita pelo CADE em relação à caracterização de uma fusão como horizontal ou vertical.</w:t>
      </w:r>
    </w:p>
  </w:footnote>
  <w:footnote w:id="13">
    <w:p w:rsidR="00345FF2" w:rsidRPr="006373B0" w:rsidRDefault="00345FF2" w:rsidP="00345FF2">
      <w:pPr>
        <w:spacing w:after="0" w:line="240" w:lineRule="auto"/>
        <w:ind w:firstLine="708"/>
        <w:rPr>
          <w:rFonts w:eastAsia="Times New Roman"/>
          <w:color w:val="000000"/>
          <w:sz w:val="20"/>
          <w:szCs w:val="20"/>
        </w:rPr>
      </w:pPr>
      <w:r w:rsidRPr="006373B0">
        <w:rPr>
          <w:rStyle w:val="Refdenotaderodap"/>
          <w:sz w:val="20"/>
          <w:szCs w:val="20"/>
        </w:rPr>
        <w:footnoteRef/>
      </w:r>
      <w:r>
        <w:rPr>
          <w:rFonts w:eastAsia="Times New Roman"/>
          <w:color w:val="000000"/>
          <w:sz w:val="20"/>
          <w:szCs w:val="20"/>
        </w:rPr>
        <w:t xml:space="preserve"> Sigla para "</w:t>
      </w:r>
      <w:r w:rsidRPr="00F70E85">
        <w:rPr>
          <w:rFonts w:eastAsia="Times New Roman"/>
          <w:color w:val="000000"/>
          <w:sz w:val="20"/>
          <w:szCs w:val="20"/>
        </w:rPr>
        <w:t xml:space="preserve">North America Industrial </w:t>
      </w:r>
      <w:proofErr w:type="spellStart"/>
      <w:r w:rsidRPr="00F70E85">
        <w:rPr>
          <w:rFonts w:eastAsia="Times New Roman"/>
          <w:color w:val="000000"/>
          <w:sz w:val="20"/>
          <w:szCs w:val="20"/>
        </w:rPr>
        <w:t>Classification</w:t>
      </w:r>
      <w:proofErr w:type="spellEnd"/>
      <w:r>
        <w:rPr>
          <w:rFonts w:eastAsia="Times New Roman"/>
          <w:color w:val="000000"/>
          <w:sz w:val="20"/>
          <w:szCs w:val="20"/>
        </w:rPr>
        <w:t>".</w:t>
      </w:r>
      <w:r w:rsidRPr="00F70E85">
        <w:rPr>
          <w:rFonts w:eastAsia="Times New Roman"/>
          <w:color w:val="000000"/>
          <w:sz w:val="20"/>
          <w:szCs w:val="20"/>
        </w:rPr>
        <w:t xml:space="preserve"> Trata-se de uma classificação setorial internacional e</w:t>
      </w:r>
      <w:r>
        <w:rPr>
          <w:rFonts w:eastAsia="Times New Roman"/>
          <w:color w:val="000000"/>
          <w:sz w:val="20"/>
          <w:szCs w:val="20"/>
        </w:rPr>
        <w:t>struturada em três níveis. No</w:t>
      </w:r>
      <w:r w:rsidRPr="00F70E85">
        <w:rPr>
          <w:rFonts w:eastAsia="Times New Roman"/>
          <w:color w:val="000000"/>
          <w:sz w:val="20"/>
          <w:szCs w:val="20"/>
        </w:rPr>
        <w:t xml:space="preserve"> primeiro nível</w:t>
      </w:r>
      <w:r>
        <w:rPr>
          <w:rFonts w:eastAsia="Times New Roman"/>
          <w:color w:val="000000"/>
          <w:sz w:val="20"/>
          <w:szCs w:val="20"/>
        </w:rPr>
        <w:t>,</w:t>
      </w:r>
      <w:r w:rsidRPr="00F70E85">
        <w:rPr>
          <w:rFonts w:eastAsia="Times New Roman"/>
          <w:color w:val="000000"/>
          <w:sz w:val="20"/>
          <w:szCs w:val="20"/>
        </w:rPr>
        <w:t xml:space="preserve"> as empresa</w:t>
      </w:r>
      <w:r>
        <w:rPr>
          <w:rFonts w:eastAsia="Times New Roman"/>
          <w:color w:val="000000"/>
          <w:sz w:val="20"/>
          <w:szCs w:val="20"/>
        </w:rPr>
        <w:t xml:space="preserve">s são divididas </w:t>
      </w:r>
      <w:r w:rsidRPr="00F70E85">
        <w:rPr>
          <w:rFonts w:eastAsia="Times New Roman"/>
          <w:color w:val="000000"/>
          <w:sz w:val="20"/>
          <w:szCs w:val="20"/>
        </w:rPr>
        <w:t xml:space="preserve">em 20 </w:t>
      </w:r>
      <w:r>
        <w:rPr>
          <w:rFonts w:eastAsia="Times New Roman"/>
          <w:color w:val="000000"/>
          <w:sz w:val="20"/>
          <w:szCs w:val="20"/>
        </w:rPr>
        <w:t>mercados diferentes. Cada um destes subdivide-se em mercados</w:t>
      </w:r>
      <w:r w:rsidRPr="00F70E85">
        <w:rPr>
          <w:rFonts w:eastAsia="Times New Roman"/>
          <w:color w:val="000000"/>
          <w:sz w:val="20"/>
          <w:szCs w:val="20"/>
        </w:rPr>
        <w:t xml:space="preserve"> de segundo nível. Por sua vez, cada uma destas categorias de segundo nível subdivide-se em categorias de terceiro nível. No total</w:t>
      </w:r>
      <w:r>
        <w:rPr>
          <w:rFonts w:eastAsia="Times New Roman"/>
          <w:color w:val="000000"/>
          <w:sz w:val="20"/>
          <w:szCs w:val="20"/>
        </w:rPr>
        <w:t>,</w:t>
      </w:r>
      <w:r w:rsidRPr="00F70E85">
        <w:rPr>
          <w:rFonts w:eastAsia="Times New Roman"/>
          <w:color w:val="000000"/>
          <w:sz w:val="20"/>
          <w:szCs w:val="20"/>
        </w:rPr>
        <w:t xml:space="preserve"> existem 313 categorias de terceiro nível.</w:t>
      </w:r>
    </w:p>
  </w:footnote>
  <w:footnote w:id="14">
    <w:p w:rsidR="00345FF2" w:rsidRPr="009A2D88" w:rsidRDefault="00345FF2" w:rsidP="00345FF2">
      <w:pPr>
        <w:pStyle w:val="Textodenotaderodap"/>
        <w:ind w:firstLine="708"/>
      </w:pPr>
      <w:r>
        <w:rPr>
          <w:rStyle w:val="Refdenotaderodap"/>
        </w:rPr>
        <w:footnoteRef/>
      </w:r>
      <w:r w:rsidRPr="00413453">
        <w:t>Foram consideradas como datas de evento a</w:t>
      </w:r>
      <w:r>
        <w:t>s</w:t>
      </w:r>
      <w:r w:rsidRPr="00413453">
        <w:t xml:space="preserve"> primeira</w:t>
      </w:r>
      <w:r>
        <w:t>s notícias divulgadas sobre a fusão. Como fonte, foi utilizada a seção de informações relevantes da ferramenta ECONOMÁTICA.</w:t>
      </w:r>
    </w:p>
    <w:p w:rsidR="00345FF2" w:rsidRPr="006316FA" w:rsidRDefault="00345FF2" w:rsidP="00345FF2">
      <w:pPr>
        <w:pStyle w:val="Textodenotaderodap"/>
      </w:pPr>
    </w:p>
  </w:footnote>
  <w:footnote w:id="15">
    <w:p w:rsidR="00345FF2" w:rsidRPr="006316FA" w:rsidRDefault="00345FF2" w:rsidP="00345FF2">
      <w:pPr>
        <w:pStyle w:val="Textodenotaderodap"/>
      </w:pPr>
      <w:r>
        <w:rPr>
          <w:rStyle w:val="Refdenotaderodap"/>
        </w:rPr>
        <w:footnoteRef/>
      </w:r>
      <w:r w:rsidRPr="006316FA">
        <w:t>Ajustado</w:t>
      </w:r>
      <w:r>
        <w:t xml:space="preserve"> </w:t>
      </w:r>
      <w:r w:rsidRPr="006316FA">
        <w:t>por</w:t>
      </w:r>
      <w:r>
        <w:t xml:space="preserve"> </w:t>
      </w:r>
      <w:r w:rsidRPr="006316FA">
        <w:t>inflação e consolidado.</w:t>
      </w:r>
    </w:p>
  </w:footnote>
  <w:footnote w:id="16">
    <w:p w:rsidR="00345FF2" w:rsidRPr="006316FA" w:rsidRDefault="00345FF2" w:rsidP="00345FF2">
      <w:pPr>
        <w:pStyle w:val="Textodenotaderodap"/>
      </w:pPr>
      <w:r>
        <w:rPr>
          <w:rStyle w:val="Refdenotaderodap"/>
        </w:rPr>
        <w:footnoteRef/>
      </w:r>
      <w:r w:rsidRPr="006316FA">
        <w:t>Em</w:t>
      </w:r>
      <w:r>
        <w:t xml:space="preserve"> </w:t>
      </w:r>
      <w:proofErr w:type="gramStart"/>
      <w:r w:rsidRPr="006316FA">
        <w:t>moeda original e consolidado</w:t>
      </w:r>
      <w:proofErr w:type="gramEnd"/>
      <w:r w:rsidRPr="006316FA">
        <w:t>.</w:t>
      </w:r>
    </w:p>
  </w:footnote>
  <w:footnote w:id="17">
    <w:p w:rsidR="00345FF2" w:rsidRPr="00FD62A4" w:rsidRDefault="00345FF2" w:rsidP="00345FF2">
      <w:pPr>
        <w:pStyle w:val="Textodenotaderodap"/>
      </w:pPr>
      <w:r>
        <w:rPr>
          <w:rStyle w:val="Refdenotaderodap"/>
        </w:rPr>
        <w:footnoteRef/>
      </w:r>
      <w:proofErr w:type="gramStart"/>
      <w:r w:rsidRPr="001E7D08">
        <w:t>O fórmula</w:t>
      </w:r>
      <w:proofErr w:type="gramEnd"/>
      <w:r w:rsidRPr="001E7D08">
        <w:t xml:space="preserve"> do valor de mercado calculado pela empresa é quantidade de ações multiplicadas pelo preço das ações em determinado período.</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EF4592"/>
    <w:multiLevelType w:val="hybridMultilevel"/>
    <w:tmpl w:val="8E96B39A"/>
    <w:lvl w:ilvl="0" w:tplc="0416000F">
      <w:start w:val="1"/>
      <w:numFmt w:val="decimal"/>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1">
    <w:nsid w:val="125A4CE1"/>
    <w:multiLevelType w:val="hybridMultilevel"/>
    <w:tmpl w:val="D632BC56"/>
    <w:lvl w:ilvl="0" w:tplc="C6428362">
      <w:start w:val="1"/>
      <w:numFmt w:val="decimal"/>
      <w:lvlText w:val="(%1)"/>
      <w:lvlJc w:val="left"/>
      <w:pPr>
        <w:ind w:left="1769" w:hanging="10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
    <w:nsid w:val="15580A20"/>
    <w:multiLevelType w:val="multilevel"/>
    <w:tmpl w:val="32A0767C"/>
    <w:lvl w:ilvl="0">
      <w:start w:val="3"/>
      <w:numFmt w:val="decimal"/>
      <w:lvlText w:val="%1"/>
      <w:lvlJc w:val="left"/>
      <w:pPr>
        <w:ind w:left="360" w:hanging="360"/>
      </w:pPr>
      <w:rPr>
        <w:rFonts w:hint="default"/>
      </w:rPr>
    </w:lvl>
    <w:lvl w:ilvl="1">
      <w:start w:val="2"/>
      <w:numFmt w:val="decimal"/>
      <w:lvlText w:val="%1.%2"/>
      <w:lvlJc w:val="left"/>
      <w:pPr>
        <w:ind w:left="2149" w:hanging="360"/>
      </w:pPr>
      <w:rPr>
        <w:rFonts w:hint="default"/>
      </w:rPr>
    </w:lvl>
    <w:lvl w:ilvl="2">
      <w:start w:val="1"/>
      <w:numFmt w:val="decimal"/>
      <w:lvlText w:val="%1.%2.%3"/>
      <w:lvlJc w:val="left"/>
      <w:pPr>
        <w:ind w:left="4298" w:hanging="720"/>
      </w:pPr>
      <w:rPr>
        <w:rFonts w:hint="default"/>
      </w:rPr>
    </w:lvl>
    <w:lvl w:ilvl="3">
      <w:start w:val="1"/>
      <w:numFmt w:val="decimal"/>
      <w:lvlText w:val="%1.%2.%3.%4"/>
      <w:lvlJc w:val="left"/>
      <w:pPr>
        <w:ind w:left="6087" w:hanging="720"/>
      </w:pPr>
      <w:rPr>
        <w:rFonts w:hint="default"/>
      </w:rPr>
    </w:lvl>
    <w:lvl w:ilvl="4">
      <w:start w:val="1"/>
      <w:numFmt w:val="decimal"/>
      <w:lvlText w:val="%1.%2.%3.%4.%5"/>
      <w:lvlJc w:val="left"/>
      <w:pPr>
        <w:ind w:left="8236" w:hanging="1080"/>
      </w:pPr>
      <w:rPr>
        <w:rFonts w:hint="default"/>
      </w:rPr>
    </w:lvl>
    <w:lvl w:ilvl="5">
      <w:start w:val="1"/>
      <w:numFmt w:val="decimal"/>
      <w:lvlText w:val="%1.%2.%3.%4.%5.%6"/>
      <w:lvlJc w:val="left"/>
      <w:pPr>
        <w:ind w:left="10025" w:hanging="1080"/>
      </w:pPr>
      <w:rPr>
        <w:rFonts w:hint="default"/>
      </w:rPr>
    </w:lvl>
    <w:lvl w:ilvl="6">
      <w:start w:val="1"/>
      <w:numFmt w:val="decimal"/>
      <w:lvlText w:val="%1.%2.%3.%4.%5.%6.%7"/>
      <w:lvlJc w:val="left"/>
      <w:pPr>
        <w:ind w:left="12174" w:hanging="1440"/>
      </w:pPr>
      <w:rPr>
        <w:rFonts w:hint="default"/>
      </w:rPr>
    </w:lvl>
    <w:lvl w:ilvl="7">
      <w:start w:val="1"/>
      <w:numFmt w:val="decimal"/>
      <w:lvlText w:val="%1.%2.%3.%4.%5.%6.%7.%8"/>
      <w:lvlJc w:val="left"/>
      <w:pPr>
        <w:ind w:left="13963" w:hanging="1440"/>
      </w:pPr>
      <w:rPr>
        <w:rFonts w:hint="default"/>
      </w:rPr>
    </w:lvl>
    <w:lvl w:ilvl="8">
      <w:start w:val="1"/>
      <w:numFmt w:val="decimal"/>
      <w:lvlText w:val="%1.%2.%3.%4.%5.%6.%7.%8.%9"/>
      <w:lvlJc w:val="left"/>
      <w:pPr>
        <w:ind w:left="16112" w:hanging="1800"/>
      </w:pPr>
      <w:rPr>
        <w:rFonts w:hint="default"/>
      </w:rPr>
    </w:lvl>
  </w:abstractNum>
  <w:abstractNum w:abstractNumId="3">
    <w:nsid w:val="16823A26"/>
    <w:multiLevelType w:val="hybridMultilevel"/>
    <w:tmpl w:val="479EE70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1DF32714"/>
    <w:multiLevelType w:val="hybridMultilevel"/>
    <w:tmpl w:val="5E30BF66"/>
    <w:lvl w:ilvl="0" w:tplc="EBD4A4E2">
      <w:start w:val="1"/>
      <w:numFmt w:val="lowerRoman"/>
      <w:lvlText w:val="(%1)"/>
      <w:lvlJc w:val="left"/>
      <w:pPr>
        <w:ind w:left="1440" w:hanging="720"/>
      </w:pPr>
      <w:rPr>
        <w:rFonts w:hint="default"/>
      </w:rPr>
    </w:lvl>
    <w:lvl w:ilvl="1" w:tplc="7AF6D368">
      <w:start w:val="1"/>
      <w:numFmt w:val="upperRoman"/>
      <w:lvlText w:val="%2."/>
      <w:lvlJc w:val="left"/>
      <w:pPr>
        <w:ind w:left="2160" w:hanging="720"/>
      </w:pPr>
      <w:rPr>
        <w:rFonts w:hint="default"/>
      </w:r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5">
    <w:nsid w:val="23CC7E04"/>
    <w:multiLevelType w:val="hybridMultilevel"/>
    <w:tmpl w:val="4728437E"/>
    <w:lvl w:ilvl="0" w:tplc="659A355A">
      <w:start w:val="1"/>
      <w:numFmt w:val="decimal"/>
      <w:lvlText w:val="(%1)"/>
      <w:lvlJc w:val="left"/>
      <w:pPr>
        <w:ind w:left="1729" w:hanging="102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6">
    <w:nsid w:val="29E31BF3"/>
    <w:multiLevelType w:val="hybridMultilevel"/>
    <w:tmpl w:val="D58AC088"/>
    <w:lvl w:ilvl="0" w:tplc="0416000F">
      <w:start w:val="1"/>
      <w:numFmt w:val="decimal"/>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7">
    <w:nsid w:val="29EC038C"/>
    <w:multiLevelType w:val="hybridMultilevel"/>
    <w:tmpl w:val="8E96B39A"/>
    <w:lvl w:ilvl="0" w:tplc="0416000F">
      <w:start w:val="1"/>
      <w:numFmt w:val="decimal"/>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8">
    <w:nsid w:val="2B2A1C32"/>
    <w:multiLevelType w:val="hybridMultilevel"/>
    <w:tmpl w:val="899CACFE"/>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9">
    <w:nsid w:val="3DF469AF"/>
    <w:multiLevelType w:val="hybridMultilevel"/>
    <w:tmpl w:val="8080437E"/>
    <w:lvl w:ilvl="0" w:tplc="563CD2CC">
      <w:start w:val="1"/>
      <w:numFmt w:val="lowerRoman"/>
      <w:lvlText w:val="(%1)"/>
      <w:lvlJc w:val="left"/>
      <w:pPr>
        <w:ind w:left="1729" w:hanging="102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0">
    <w:nsid w:val="66B27DF0"/>
    <w:multiLevelType w:val="hybridMultilevel"/>
    <w:tmpl w:val="399473EA"/>
    <w:lvl w:ilvl="0" w:tplc="AF12F972">
      <w:start w:val="1"/>
      <w:numFmt w:val="lowerRoman"/>
      <w:lvlText w:val="(%1)"/>
      <w:lvlJc w:val="left"/>
      <w:pPr>
        <w:ind w:left="1429" w:hanging="72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11">
    <w:nsid w:val="680D062C"/>
    <w:multiLevelType w:val="multilevel"/>
    <w:tmpl w:val="A0C40738"/>
    <w:lvl w:ilvl="0">
      <w:start w:val="1"/>
      <w:numFmt w:val="decimal"/>
      <w:lvlText w:val="%1."/>
      <w:lvlJc w:val="left"/>
      <w:pPr>
        <w:ind w:left="1789" w:hanging="360"/>
      </w:pPr>
      <w:rPr>
        <w:rFonts w:hint="default"/>
      </w:rPr>
    </w:lvl>
    <w:lvl w:ilvl="1">
      <w:start w:val="3"/>
      <w:numFmt w:val="decimal"/>
      <w:isLgl/>
      <w:lvlText w:val="%1.%2."/>
      <w:lvlJc w:val="left"/>
      <w:pPr>
        <w:ind w:left="1789" w:hanging="360"/>
      </w:pPr>
      <w:rPr>
        <w:rFonts w:hint="default"/>
      </w:rPr>
    </w:lvl>
    <w:lvl w:ilvl="2">
      <w:start w:val="1"/>
      <w:numFmt w:val="decimal"/>
      <w:isLgl/>
      <w:lvlText w:val="%1.%2.%3."/>
      <w:lvlJc w:val="left"/>
      <w:pPr>
        <w:ind w:left="2149" w:hanging="720"/>
      </w:pPr>
      <w:rPr>
        <w:rFonts w:hint="default"/>
      </w:rPr>
    </w:lvl>
    <w:lvl w:ilvl="3">
      <w:start w:val="1"/>
      <w:numFmt w:val="decimal"/>
      <w:isLgl/>
      <w:lvlText w:val="%1.%2.%3.%4."/>
      <w:lvlJc w:val="left"/>
      <w:pPr>
        <w:ind w:left="2149" w:hanging="720"/>
      </w:pPr>
      <w:rPr>
        <w:rFonts w:hint="default"/>
      </w:rPr>
    </w:lvl>
    <w:lvl w:ilvl="4">
      <w:start w:val="1"/>
      <w:numFmt w:val="decimal"/>
      <w:isLgl/>
      <w:lvlText w:val="%1.%2.%3.%4.%5."/>
      <w:lvlJc w:val="left"/>
      <w:pPr>
        <w:ind w:left="2509" w:hanging="1080"/>
      </w:pPr>
      <w:rPr>
        <w:rFonts w:hint="default"/>
      </w:rPr>
    </w:lvl>
    <w:lvl w:ilvl="5">
      <w:start w:val="1"/>
      <w:numFmt w:val="decimal"/>
      <w:isLgl/>
      <w:lvlText w:val="%1.%2.%3.%4.%5.%6."/>
      <w:lvlJc w:val="left"/>
      <w:pPr>
        <w:ind w:left="2509" w:hanging="1080"/>
      </w:pPr>
      <w:rPr>
        <w:rFonts w:hint="default"/>
      </w:rPr>
    </w:lvl>
    <w:lvl w:ilvl="6">
      <w:start w:val="1"/>
      <w:numFmt w:val="decimal"/>
      <w:isLgl/>
      <w:lvlText w:val="%1.%2.%3.%4.%5.%6.%7."/>
      <w:lvlJc w:val="left"/>
      <w:pPr>
        <w:ind w:left="2869" w:hanging="1440"/>
      </w:pPr>
      <w:rPr>
        <w:rFonts w:hint="default"/>
      </w:rPr>
    </w:lvl>
    <w:lvl w:ilvl="7">
      <w:start w:val="1"/>
      <w:numFmt w:val="decimal"/>
      <w:isLgl/>
      <w:lvlText w:val="%1.%2.%3.%4.%5.%6.%7.%8."/>
      <w:lvlJc w:val="left"/>
      <w:pPr>
        <w:ind w:left="2869" w:hanging="1440"/>
      </w:pPr>
      <w:rPr>
        <w:rFonts w:hint="default"/>
      </w:rPr>
    </w:lvl>
    <w:lvl w:ilvl="8">
      <w:start w:val="1"/>
      <w:numFmt w:val="decimal"/>
      <w:isLgl/>
      <w:lvlText w:val="%1.%2.%3.%4.%5.%6.%7.%8.%9."/>
      <w:lvlJc w:val="left"/>
      <w:pPr>
        <w:ind w:left="3229" w:hanging="1800"/>
      </w:pPr>
      <w:rPr>
        <w:rFonts w:hint="default"/>
      </w:rPr>
    </w:lvl>
  </w:abstractNum>
  <w:abstractNum w:abstractNumId="12">
    <w:nsid w:val="69151FFA"/>
    <w:multiLevelType w:val="hybridMultilevel"/>
    <w:tmpl w:val="CD7CB502"/>
    <w:lvl w:ilvl="0" w:tplc="0416000F">
      <w:start w:val="1"/>
      <w:numFmt w:val="decimal"/>
      <w:lvlText w:val="%1."/>
      <w:lvlJc w:val="left"/>
      <w:pPr>
        <w:ind w:left="1467" w:hanging="360"/>
      </w:pPr>
    </w:lvl>
    <w:lvl w:ilvl="1" w:tplc="04160019" w:tentative="1">
      <w:start w:val="1"/>
      <w:numFmt w:val="lowerLetter"/>
      <w:lvlText w:val="%2."/>
      <w:lvlJc w:val="left"/>
      <w:pPr>
        <w:ind w:left="2187" w:hanging="360"/>
      </w:pPr>
    </w:lvl>
    <w:lvl w:ilvl="2" w:tplc="0416001B" w:tentative="1">
      <w:start w:val="1"/>
      <w:numFmt w:val="lowerRoman"/>
      <w:lvlText w:val="%3."/>
      <w:lvlJc w:val="right"/>
      <w:pPr>
        <w:ind w:left="2907" w:hanging="180"/>
      </w:pPr>
    </w:lvl>
    <w:lvl w:ilvl="3" w:tplc="0416000F" w:tentative="1">
      <w:start w:val="1"/>
      <w:numFmt w:val="decimal"/>
      <w:lvlText w:val="%4."/>
      <w:lvlJc w:val="left"/>
      <w:pPr>
        <w:ind w:left="3627" w:hanging="360"/>
      </w:pPr>
    </w:lvl>
    <w:lvl w:ilvl="4" w:tplc="04160019" w:tentative="1">
      <w:start w:val="1"/>
      <w:numFmt w:val="lowerLetter"/>
      <w:lvlText w:val="%5."/>
      <w:lvlJc w:val="left"/>
      <w:pPr>
        <w:ind w:left="4347" w:hanging="360"/>
      </w:pPr>
    </w:lvl>
    <w:lvl w:ilvl="5" w:tplc="0416001B" w:tentative="1">
      <w:start w:val="1"/>
      <w:numFmt w:val="lowerRoman"/>
      <w:lvlText w:val="%6."/>
      <w:lvlJc w:val="right"/>
      <w:pPr>
        <w:ind w:left="5067" w:hanging="180"/>
      </w:pPr>
    </w:lvl>
    <w:lvl w:ilvl="6" w:tplc="0416000F" w:tentative="1">
      <w:start w:val="1"/>
      <w:numFmt w:val="decimal"/>
      <w:lvlText w:val="%7."/>
      <w:lvlJc w:val="left"/>
      <w:pPr>
        <w:ind w:left="5787" w:hanging="360"/>
      </w:pPr>
    </w:lvl>
    <w:lvl w:ilvl="7" w:tplc="04160019" w:tentative="1">
      <w:start w:val="1"/>
      <w:numFmt w:val="lowerLetter"/>
      <w:lvlText w:val="%8."/>
      <w:lvlJc w:val="left"/>
      <w:pPr>
        <w:ind w:left="6507" w:hanging="360"/>
      </w:pPr>
    </w:lvl>
    <w:lvl w:ilvl="8" w:tplc="0416001B" w:tentative="1">
      <w:start w:val="1"/>
      <w:numFmt w:val="lowerRoman"/>
      <w:lvlText w:val="%9."/>
      <w:lvlJc w:val="right"/>
      <w:pPr>
        <w:ind w:left="7227" w:hanging="180"/>
      </w:pPr>
    </w:lvl>
  </w:abstractNum>
  <w:abstractNum w:abstractNumId="13">
    <w:nsid w:val="700D6A0A"/>
    <w:multiLevelType w:val="hybridMultilevel"/>
    <w:tmpl w:val="710EC1EA"/>
    <w:lvl w:ilvl="0" w:tplc="0416000F">
      <w:start w:val="1"/>
      <w:numFmt w:val="decimal"/>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14">
    <w:nsid w:val="77D61E68"/>
    <w:multiLevelType w:val="hybridMultilevel"/>
    <w:tmpl w:val="57861820"/>
    <w:lvl w:ilvl="0" w:tplc="4DDC4744">
      <w:start w:val="1"/>
      <w:numFmt w:val="decimal"/>
      <w:lvlText w:val="%1."/>
      <w:lvlJc w:val="right"/>
      <w:pPr>
        <w:ind w:left="1429" w:hanging="360"/>
      </w:pPr>
      <w:rPr>
        <w:rFonts w:hint="default"/>
      </w:r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num w:numId="1">
    <w:abstractNumId w:val="0"/>
  </w:num>
  <w:num w:numId="2">
    <w:abstractNumId w:val="7"/>
  </w:num>
  <w:num w:numId="3">
    <w:abstractNumId w:val="4"/>
  </w:num>
  <w:num w:numId="4">
    <w:abstractNumId w:val="12"/>
  </w:num>
  <w:num w:numId="5">
    <w:abstractNumId w:val="3"/>
  </w:num>
  <w:num w:numId="6">
    <w:abstractNumId w:val="11"/>
  </w:num>
  <w:num w:numId="7">
    <w:abstractNumId w:val="6"/>
  </w:num>
  <w:num w:numId="8">
    <w:abstractNumId w:val="14"/>
  </w:num>
  <w:num w:numId="9">
    <w:abstractNumId w:val="13"/>
  </w:num>
  <w:num w:numId="10">
    <w:abstractNumId w:val="1"/>
  </w:num>
  <w:num w:numId="11">
    <w:abstractNumId w:val="2"/>
  </w:num>
  <w:num w:numId="12">
    <w:abstractNumId w:val="10"/>
  </w:num>
  <w:num w:numId="13">
    <w:abstractNumId w:val="5"/>
  </w:num>
  <w:num w:numId="14">
    <w:abstractNumId w:val="8"/>
  </w:num>
  <w:num w:numId="15">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hideGrammaticalErrors/>
  <w:activeWritingStyle w:appName="MSWord" w:lang="pt-BR" w:vendorID="1" w:dllVersion="513" w:checkStyle="1"/>
  <w:activeWritingStyle w:appName="MSWord" w:lang="pt-PT" w:vendorID="1" w:dllVersion="513" w:checkStyle="1"/>
  <w:proofState w:spelling="clean" w:grammar="clean"/>
  <w:defaultTabStop w:val="708"/>
  <w:hyphenationZone w:val="425"/>
  <w:characterSpacingControl w:val="doNotCompress"/>
  <w:footnotePr>
    <w:footnote w:id="-1"/>
    <w:footnote w:id="0"/>
  </w:footnotePr>
  <w:endnotePr>
    <w:endnote w:id="-1"/>
    <w:endnote w:id="0"/>
  </w:endnotePr>
  <w:compat/>
  <w:rsids>
    <w:rsidRoot w:val="002E7694"/>
    <w:rsid w:val="00000CEA"/>
    <w:rsid w:val="00003CC8"/>
    <w:rsid w:val="00004DAF"/>
    <w:rsid w:val="000056D3"/>
    <w:rsid w:val="0000583F"/>
    <w:rsid w:val="00006E6C"/>
    <w:rsid w:val="00010303"/>
    <w:rsid w:val="00010A07"/>
    <w:rsid w:val="00010FA5"/>
    <w:rsid w:val="00010FF7"/>
    <w:rsid w:val="00012A33"/>
    <w:rsid w:val="00014657"/>
    <w:rsid w:val="00016853"/>
    <w:rsid w:val="00016CA8"/>
    <w:rsid w:val="0002107F"/>
    <w:rsid w:val="0002192E"/>
    <w:rsid w:val="0002195E"/>
    <w:rsid w:val="000225C3"/>
    <w:rsid w:val="00022DD4"/>
    <w:rsid w:val="00023E02"/>
    <w:rsid w:val="000245B4"/>
    <w:rsid w:val="00025F46"/>
    <w:rsid w:val="00027AF9"/>
    <w:rsid w:val="000306F9"/>
    <w:rsid w:val="00031BEE"/>
    <w:rsid w:val="00032D48"/>
    <w:rsid w:val="00033C2A"/>
    <w:rsid w:val="0003426D"/>
    <w:rsid w:val="00034CAC"/>
    <w:rsid w:val="00034ED7"/>
    <w:rsid w:val="0003705A"/>
    <w:rsid w:val="00037A6B"/>
    <w:rsid w:val="00040412"/>
    <w:rsid w:val="0004446F"/>
    <w:rsid w:val="00044BE6"/>
    <w:rsid w:val="00046532"/>
    <w:rsid w:val="00047694"/>
    <w:rsid w:val="00052A2E"/>
    <w:rsid w:val="0005583A"/>
    <w:rsid w:val="00056B85"/>
    <w:rsid w:val="000604EE"/>
    <w:rsid w:val="00064B16"/>
    <w:rsid w:val="00064C0D"/>
    <w:rsid w:val="000650EC"/>
    <w:rsid w:val="0006554B"/>
    <w:rsid w:val="0006619D"/>
    <w:rsid w:val="00070219"/>
    <w:rsid w:val="00070C8E"/>
    <w:rsid w:val="0007124D"/>
    <w:rsid w:val="00071328"/>
    <w:rsid w:val="00071CA7"/>
    <w:rsid w:val="00072D97"/>
    <w:rsid w:val="00074342"/>
    <w:rsid w:val="00074C44"/>
    <w:rsid w:val="00074E37"/>
    <w:rsid w:val="0007647D"/>
    <w:rsid w:val="00076A99"/>
    <w:rsid w:val="00080EAB"/>
    <w:rsid w:val="00081599"/>
    <w:rsid w:val="00086542"/>
    <w:rsid w:val="00086BDC"/>
    <w:rsid w:val="00090763"/>
    <w:rsid w:val="00093FB8"/>
    <w:rsid w:val="00094378"/>
    <w:rsid w:val="00095D29"/>
    <w:rsid w:val="00095DEB"/>
    <w:rsid w:val="000A2909"/>
    <w:rsid w:val="000A4CC2"/>
    <w:rsid w:val="000A78E6"/>
    <w:rsid w:val="000B1718"/>
    <w:rsid w:val="000B1F27"/>
    <w:rsid w:val="000B3B80"/>
    <w:rsid w:val="000B5EA6"/>
    <w:rsid w:val="000B6748"/>
    <w:rsid w:val="000C08D9"/>
    <w:rsid w:val="000C301B"/>
    <w:rsid w:val="000C3C58"/>
    <w:rsid w:val="000C6211"/>
    <w:rsid w:val="000C63A3"/>
    <w:rsid w:val="000C6D0E"/>
    <w:rsid w:val="000D3264"/>
    <w:rsid w:val="000D3D23"/>
    <w:rsid w:val="000D4A3B"/>
    <w:rsid w:val="000D6D31"/>
    <w:rsid w:val="000D7072"/>
    <w:rsid w:val="000E2107"/>
    <w:rsid w:val="000E2516"/>
    <w:rsid w:val="000E48A4"/>
    <w:rsid w:val="000E561E"/>
    <w:rsid w:val="000E6243"/>
    <w:rsid w:val="000E7834"/>
    <w:rsid w:val="000F2E75"/>
    <w:rsid w:val="000F3FEA"/>
    <w:rsid w:val="000F4C47"/>
    <w:rsid w:val="000F5F7D"/>
    <w:rsid w:val="000F7360"/>
    <w:rsid w:val="00101CF6"/>
    <w:rsid w:val="001057BE"/>
    <w:rsid w:val="001069E7"/>
    <w:rsid w:val="001074DC"/>
    <w:rsid w:val="00110D27"/>
    <w:rsid w:val="00110D35"/>
    <w:rsid w:val="001130A1"/>
    <w:rsid w:val="00115BDD"/>
    <w:rsid w:val="00116750"/>
    <w:rsid w:val="00120872"/>
    <w:rsid w:val="001214FD"/>
    <w:rsid w:val="00121550"/>
    <w:rsid w:val="0012326C"/>
    <w:rsid w:val="0012348A"/>
    <w:rsid w:val="0012359B"/>
    <w:rsid w:val="00126098"/>
    <w:rsid w:val="00130348"/>
    <w:rsid w:val="00131C8A"/>
    <w:rsid w:val="00132ED5"/>
    <w:rsid w:val="001352CC"/>
    <w:rsid w:val="001362F4"/>
    <w:rsid w:val="00136682"/>
    <w:rsid w:val="00137859"/>
    <w:rsid w:val="00140B31"/>
    <w:rsid w:val="001415C3"/>
    <w:rsid w:val="001426EC"/>
    <w:rsid w:val="00143141"/>
    <w:rsid w:val="00143AE7"/>
    <w:rsid w:val="00143FAA"/>
    <w:rsid w:val="0014438A"/>
    <w:rsid w:val="0014795F"/>
    <w:rsid w:val="001512EE"/>
    <w:rsid w:val="00151BDA"/>
    <w:rsid w:val="00155AA3"/>
    <w:rsid w:val="00157153"/>
    <w:rsid w:val="00157619"/>
    <w:rsid w:val="00160572"/>
    <w:rsid w:val="00160DFC"/>
    <w:rsid w:val="00161945"/>
    <w:rsid w:val="00163D11"/>
    <w:rsid w:val="001642EF"/>
    <w:rsid w:val="0016595A"/>
    <w:rsid w:val="00171EDF"/>
    <w:rsid w:val="0017244D"/>
    <w:rsid w:val="0017336B"/>
    <w:rsid w:val="001756C3"/>
    <w:rsid w:val="00176020"/>
    <w:rsid w:val="001760EA"/>
    <w:rsid w:val="0017621B"/>
    <w:rsid w:val="00181DC9"/>
    <w:rsid w:val="00185F0A"/>
    <w:rsid w:val="0018716C"/>
    <w:rsid w:val="0018780B"/>
    <w:rsid w:val="001900AB"/>
    <w:rsid w:val="001906B2"/>
    <w:rsid w:val="00192B14"/>
    <w:rsid w:val="0019391C"/>
    <w:rsid w:val="00193FC2"/>
    <w:rsid w:val="001971E6"/>
    <w:rsid w:val="00197672"/>
    <w:rsid w:val="001A0396"/>
    <w:rsid w:val="001A08AC"/>
    <w:rsid w:val="001A0C54"/>
    <w:rsid w:val="001A0E38"/>
    <w:rsid w:val="001A0F8E"/>
    <w:rsid w:val="001A3B28"/>
    <w:rsid w:val="001A612A"/>
    <w:rsid w:val="001B03FF"/>
    <w:rsid w:val="001B117C"/>
    <w:rsid w:val="001B1DBE"/>
    <w:rsid w:val="001B1EBB"/>
    <w:rsid w:val="001B2341"/>
    <w:rsid w:val="001B2E0D"/>
    <w:rsid w:val="001B4575"/>
    <w:rsid w:val="001B53A2"/>
    <w:rsid w:val="001B5827"/>
    <w:rsid w:val="001B5842"/>
    <w:rsid w:val="001B5A95"/>
    <w:rsid w:val="001B5C96"/>
    <w:rsid w:val="001C19FA"/>
    <w:rsid w:val="001C33D6"/>
    <w:rsid w:val="001C3430"/>
    <w:rsid w:val="001C4312"/>
    <w:rsid w:val="001C51CB"/>
    <w:rsid w:val="001C56A4"/>
    <w:rsid w:val="001D16A8"/>
    <w:rsid w:val="001D430B"/>
    <w:rsid w:val="001D483E"/>
    <w:rsid w:val="001D61CA"/>
    <w:rsid w:val="001D62E0"/>
    <w:rsid w:val="001E0317"/>
    <w:rsid w:val="001E1D01"/>
    <w:rsid w:val="001E2C50"/>
    <w:rsid w:val="001E3342"/>
    <w:rsid w:val="001E3FCB"/>
    <w:rsid w:val="001E4765"/>
    <w:rsid w:val="001E55C9"/>
    <w:rsid w:val="001E6DE6"/>
    <w:rsid w:val="001E7D08"/>
    <w:rsid w:val="001F0D06"/>
    <w:rsid w:val="001F30AC"/>
    <w:rsid w:val="001F3FDA"/>
    <w:rsid w:val="001F5A37"/>
    <w:rsid w:val="001F685F"/>
    <w:rsid w:val="001F71A1"/>
    <w:rsid w:val="001F7926"/>
    <w:rsid w:val="00200C38"/>
    <w:rsid w:val="00202F4B"/>
    <w:rsid w:val="00206D43"/>
    <w:rsid w:val="00212A3B"/>
    <w:rsid w:val="00213221"/>
    <w:rsid w:val="002167CE"/>
    <w:rsid w:val="00221C8E"/>
    <w:rsid w:val="00221EA7"/>
    <w:rsid w:val="00222032"/>
    <w:rsid w:val="00222179"/>
    <w:rsid w:val="00225B16"/>
    <w:rsid w:val="00226A76"/>
    <w:rsid w:val="00231682"/>
    <w:rsid w:val="00232907"/>
    <w:rsid w:val="00234149"/>
    <w:rsid w:val="002343B6"/>
    <w:rsid w:val="002413AD"/>
    <w:rsid w:val="0024327A"/>
    <w:rsid w:val="00243900"/>
    <w:rsid w:val="00245449"/>
    <w:rsid w:val="0024716D"/>
    <w:rsid w:val="00247222"/>
    <w:rsid w:val="0025002B"/>
    <w:rsid w:val="002507B5"/>
    <w:rsid w:val="002512E2"/>
    <w:rsid w:val="00252836"/>
    <w:rsid w:val="0025404D"/>
    <w:rsid w:val="00254640"/>
    <w:rsid w:val="00255605"/>
    <w:rsid w:val="00257C64"/>
    <w:rsid w:val="00257CA7"/>
    <w:rsid w:val="002604B8"/>
    <w:rsid w:val="00261780"/>
    <w:rsid w:val="00261811"/>
    <w:rsid w:val="00261B67"/>
    <w:rsid w:val="00261BE1"/>
    <w:rsid w:val="00263FB9"/>
    <w:rsid w:val="0026483F"/>
    <w:rsid w:val="00264F52"/>
    <w:rsid w:val="00265300"/>
    <w:rsid w:val="00266237"/>
    <w:rsid w:val="0026631A"/>
    <w:rsid w:val="0026715C"/>
    <w:rsid w:val="00267877"/>
    <w:rsid w:val="00270641"/>
    <w:rsid w:val="0027113E"/>
    <w:rsid w:val="00271B98"/>
    <w:rsid w:val="00271D53"/>
    <w:rsid w:val="00271EB9"/>
    <w:rsid w:val="00272394"/>
    <w:rsid w:val="00273846"/>
    <w:rsid w:val="00273E67"/>
    <w:rsid w:val="002746C4"/>
    <w:rsid w:val="00277C0A"/>
    <w:rsid w:val="0028037A"/>
    <w:rsid w:val="002810CC"/>
    <w:rsid w:val="0028162F"/>
    <w:rsid w:val="0028177F"/>
    <w:rsid w:val="00282B8E"/>
    <w:rsid w:val="002835D1"/>
    <w:rsid w:val="00284244"/>
    <w:rsid w:val="00284584"/>
    <w:rsid w:val="00284728"/>
    <w:rsid w:val="00285C03"/>
    <w:rsid w:val="002865FE"/>
    <w:rsid w:val="00293A14"/>
    <w:rsid w:val="00297240"/>
    <w:rsid w:val="00297D9F"/>
    <w:rsid w:val="002A0069"/>
    <w:rsid w:val="002A0F1B"/>
    <w:rsid w:val="002A17CB"/>
    <w:rsid w:val="002A1EE3"/>
    <w:rsid w:val="002A2465"/>
    <w:rsid w:val="002A408D"/>
    <w:rsid w:val="002A41E3"/>
    <w:rsid w:val="002A4366"/>
    <w:rsid w:val="002A7222"/>
    <w:rsid w:val="002B14C2"/>
    <w:rsid w:val="002B1E53"/>
    <w:rsid w:val="002B3D08"/>
    <w:rsid w:val="002B4F1D"/>
    <w:rsid w:val="002B693F"/>
    <w:rsid w:val="002C14FD"/>
    <w:rsid w:val="002C3276"/>
    <w:rsid w:val="002C4665"/>
    <w:rsid w:val="002C647B"/>
    <w:rsid w:val="002C75E4"/>
    <w:rsid w:val="002C7D46"/>
    <w:rsid w:val="002D1AD4"/>
    <w:rsid w:val="002D1FED"/>
    <w:rsid w:val="002D2308"/>
    <w:rsid w:val="002D3232"/>
    <w:rsid w:val="002D3B9A"/>
    <w:rsid w:val="002E1E49"/>
    <w:rsid w:val="002E244F"/>
    <w:rsid w:val="002E4A13"/>
    <w:rsid w:val="002E4FAD"/>
    <w:rsid w:val="002E5EDF"/>
    <w:rsid w:val="002E7694"/>
    <w:rsid w:val="002E78AA"/>
    <w:rsid w:val="002F010F"/>
    <w:rsid w:val="002F06D6"/>
    <w:rsid w:val="002F0C34"/>
    <w:rsid w:val="002F1283"/>
    <w:rsid w:val="002F6636"/>
    <w:rsid w:val="002F6655"/>
    <w:rsid w:val="003015F8"/>
    <w:rsid w:val="0030287E"/>
    <w:rsid w:val="0030297D"/>
    <w:rsid w:val="00303394"/>
    <w:rsid w:val="00303624"/>
    <w:rsid w:val="00305033"/>
    <w:rsid w:val="0031021C"/>
    <w:rsid w:val="0031057F"/>
    <w:rsid w:val="003111C4"/>
    <w:rsid w:val="00311537"/>
    <w:rsid w:val="00311DD2"/>
    <w:rsid w:val="003142DA"/>
    <w:rsid w:val="003200EE"/>
    <w:rsid w:val="0032333D"/>
    <w:rsid w:val="0032373D"/>
    <w:rsid w:val="0032435D"/>
    <w:rsid w:val="00324D47"/>
    <w:rsid w:val="0032795B"/>
    <w:rsid w:val="00330813"/>
    <w:rsid w:val="00330BF2"/>
    <w:rsid w:val="00330BFA"/>
    <w:rsid w:val="00331602"/>
    <w:rsid w:val="003318B2"/>
    <w:rsid w:val="00331F02"/>
    <w:rsid w:val="00334CC9"/>
    <w:rsid w:val="00336B3D"/>
    <w:rsid w:val="00336C25"/>
    <w:rsid w:val="003374F1"/>
    <w:rsid w:val="003407F1"/>
    <w:rsid w:val="00340F6B"/>
    <w:rsid w:val="00341472"/>
    <w:rsid w:val="0034487F"/>
    <w:rsid w:val="00345CE4"/>
    <w:rsid w:val="00345FF2"/>
    <w:rsid w:val="0034787A"/>
    <w:rsid w:val="00352258"/>
    <w:rsid w:val="00352B7C"/>
    <w:rsid w:val="003542D7"/>
    <w:rsid w:val="003545C5"/>
    <w:rsid w:val="003555CA"/>
    <w:rsid w:val="00355F74"/>
    <w:rsid w:val="0035647F"/>
    <w:rsid w:val="00361530"/>
    <w:rsid w:val="00362B94"/>
    <w:rsid w:val="003632B9"/>
    <w:rsid w:val="00364272"/>
    <w:rsid w:val="0036535E"/>
    <w:rsid w:val="00367BA7"/>
    <w:rsid w:val="00371468"/>
    <w:rsid w:val="00375B9D"/>
    <w:rsid w:val="00376EB5"/>
    <w:rsid w:val="00380CC4"/>
    <w:rsid w:val="00382534"/>
    <w:rsid w:val="003827C3"/>
    <w:rsid w:val="00384D66"/>
    <w:rsid w:val="0038546D"/>
    <w:rsid w:val="003867FF"/>
    <w:rsid w:val="00390CFB"/>
    <w:rsid w:val="00390ED7"/>
    <w:rsid w:val="003916AC"/>
    <w:rsid w:val="00392347"/>
    <w:rsid w:val="00393375"/>
    <w:rsid w:val="0039337D"/>
    <w:rsid w:val="003948BF"/>
    <w:rsid w:val="00394BC7"/>
    <w:rsid w:val="0039548C"/>
    <w:rsid w:val="00395B20"/>
    <w:rsid w:val="00396510"/>
    <w:rsid w:val="003973A4"/>
    <w:rsid w:val="003A003A"/>
    <w:rsid w:val="003A1123"/>
    <w:rsid w:val="003A12C3"/>
    <w:rsid w:val="003A1368"/>
    <w:rsid w:val="003A31B9"/>
    <w:rsid w:val="003A40AA"/>
    <w:rsid w:val="003A4391"/>
    <w:rsid w:val="003A6BF3"/>
    <w:rsid w:val="003A71E5"/>
    <w:rsid w:val="003B067B"/>
    <w:rsid w:val="003B314C"/>
    <w:rsid w:val="003B3987"/>
    <w:rsid w:val="003B4767"/>
    <w:rsid w:val="003B49D2"/>
    <w:rsid w:val="003B4ABA"/>
    <w:rsid w:val="003B7091"/>
    <w:rsid w:val="003C053C"/>
    <w:rsid w:val="003C2F86"/>
    <w:rsid w:val="003C3C28"/>
    <w:rsid w:val="003C4E2E"/>
    <w:rsid w:val="003C5F75"/>
    <w:rsid w:val="003C7F0E"/>
    <w:rsid w:val="003D55E2"/>
    <w:rsid w:val="003D562F"/>
    <w:rsid w:val="003D56D3"/>
    <w:rsid w:val="003D7B80"/>
    <w:rsid w:val="003E0B1B"/>
    <w:rsid w:val="003E2B58"/>
    <w:rsid w:val="003E3C80"/>
    <w:rsid w:val="003E54FE"/>
    <w:rsid w:val="003F16C7"/>
    <w:rsid w:val="003F191A"/>
    <w:rsid w:val="003F2B98"/>
    <w:rsid w:val="003F3823"/>
    <w:rsid w:val="003F3B09"/>
    <w:rsid w:val="003F3DA3"/>
    <w:rsid w:val="003F768F"/>
    <w:rsid w:val="0040068F"/>
    <w:rsid w:val="00400B95"/>
    <w:rsid w:val="0040435F"/>
    <w:rsid w:val="004046C0"/>
    <w:rsid w:val="00404FA6"/>
    <w:rsid w:val="00406F12"/>
    <w:rsid w:val="004073C6"/>
    <w:rsid w:val="00410408"/>
    <w:rsid w:val="004119D7"/>
    <w:rsid w:val="004127E9"/>
    <w:rsid w:val="00412B7F"/>
    <w:rsid w:val="00413453"/>
    <w:rsid w:val="0041723A"/>
    <w:rsid w:val="004203FE"/>
    <w:rsid w:val="0042049A"/>
    <w:rsid w:val="00421E6B"/>
    <w:rsid w:val="00422C85"/>
    <w:rsid w:val="004232E5"/>
    <w:rsid w:val="00427AC6"/>
    <w:rsid w:val="00431C29"/>
    <w:rsid w:val="00433C01"/>
    <w:rsid w:val="00435273"/>
    <w:rsid w:val="004411D6"/>
    <w:rsid w:val="00441A4E"/>
    <w:rsid w:val="004434FD"/>
    <w:rsid w:val="00444F44"/>
    <w:rsid w:val="00445013"/>
    <w:rsid w:val="00446744"/>
    <w:rsid w:val="00446BEF"/>
    <w:rsid w:val="00447AEB"/>
    <w:rsid w:val="00450D04"/>
    <w:rsid w:val="00452111"/>
    <w:rsid w:val="00454548"/>
    <w:rsid w:val="004559FD"/>
    <w:rsid w:val="00455DEE"/>
    <w:rsid w:val="00456546"/>
    <w:rsid w:val="0045738E"/>
    <w:rsid w:val="004576E5"/>
    <w:rsid w:val="0046034D"/>
    <w:rsid w:val="00461B0E"/>
    <w:rsid w:val="004627DA"/>
    <w:rsid w:val="00462D88"/>
    <w:rsid w:val="00463659"/>
    <w:rsid w:val="00463780"/>
    <w:rsid w:val="00463DFE"/>
    <w:rsid w:val="00464DA4"/>
    <w:rsid w:val="00464DA8"/>
    <w:rsid w:val="00466B47"/>
    <w:rsid w:val="00466CE1"/>
    <w:rsid w:val="00466D8E"/>
    <w:rsid w:val="00470053"/>
    <w:rsid w:val="00470F3F"/>
    <w:rsid w:val="0047396B"/>
    <w:rsid w:val="00474886"/>
    <w:rsid w:val="00474A7F"/>
    <w:rsid w:val="00474BF2"/>
    <w:rsid w:val="004770D9"/>
    <w:rsid w:val="00481AD1"/>
    <w:rsid w:val="00485D7F"/>
    <w:rsid w:val="00486996"/>
    <w:rsid w:val="00486C4B"/>
    <w:rsid w:val="00490381"/>
    <w:rsid w:val="00490DF6"/>
    <w:rsid w:val="00490E35"/>
    <w:rsid w:val="00490FE6"/>
    <w:rsid w:val="004960EB"/>
    <w:rsid w:val="004A0B70"/>
    <w:rsid w:val="004A1AD9"/>
    <w:rsid w:val="004A2A80"/>
    <w:rsid w:val="004A480D"/>
    <w:rsid w:val="004A7218"/>
    <w:rsid w:val="004A7248"/>
    <w:rsid w:val="004A7542"/>
    <w:rsid w:val="004B12BD"/>
    <w:rsid w:val="004B3D6B"/>
    <w:rsid w:val="004B4945"/>
    <w:rsid w:val="004B4BE9"/>
    <w:rsid w:val="004B760A"/>
    <w:rsid w:val="004C0013"/>
    <w:rsid w:val="004C1A2C"/>
    <w:rsid w:val="004C1CB6"/>
    <w:rsid w:val="004C3EA0"/>
    <w:rsid w:val="004C4699"/>
    <w:rsid w:val="004C474F"/>
    <w:rsid w:val="004C58AF"/>
    <w:rsid w:val="004D17F8"/>
    <w:rsid w:val="004D52C4"/>
    <w:rsid w:val="004D5512"/>
    <w:rsid w:val="004D58CF"/>
    <w:rsid w:val="004D5D9D"/>
    <w:rsid w:val="004D6112"/>
    <w:rsid w:val="004D6403"/>
    <w:rsid w:val="004D7656"/>
    <w:rsid w:val="004E01EA"/>
    <w:rsid w:val="004E2627"/>
    <w:rsid w:val="004E7E09"/>
    <w:rsid w:val="004F0E7B"/>
    <w:rsid w:val="004F12DF"/>
    <w:rsid w:val="004F3318"/>
    <w:rsid w:val="004F3A34"/>
    <w:rsid w:val="005002C2"/>
    <w:rsid w:val="00500580"/>
    <w:rsid w:val="005011E8"/>
    <w:rsid w:val="005028C8"/>
    <w:rsid w:val="00502AE2"/>
    <w:rsid w:val="00504773"/>
    <w:rsid w:val="00505BA1"/>
    <w:rsid w:val="00507035"/>
    <w:rsid w:val="00512789"/>
    <w:rsid w:val="00514416"/>
    <w:rsid w:val="00514FAB"/>
    <w:rsid w:val="00516767"/>
    <w:rsid w:val="005202D5"/>
    <w:rsid w:val="00520777"/>
    <w:rsid w:val="005207C5"/>
    <w:rsid w:val="00521C7B"/>
    <w:rsid w:val="00526FD3"/>
    <w:rsid w:val="00527AA9"/>
    <w:rsid w:val="00527FCA"/>
    <w:rsid w:val="005323B0"/>
    <w:rsid w:val="0053242E"/>
    <w:rsid w:val="00532A62"/>
    <w:rsid w:val="00532C60"/>
    <w:rsid w:val="00532F42"/>
    <w:rsid w:val="005337FC"/>
    <w:rsid w:val="00535BA5"/>
    <w:rsid w:val="0053603F"/>
    <w:rsid w:val="00537F7E"/>
    <w:rsid w:val="00541380"/>
    <w:rsid w:val="005426E1"/>
    <w:rsid w:val="00543937"/>
    <w:rsid w:val="00544F23"/>
    <w:rsid w:val="00545A5C"/>
    <w:rsid w:val="005463A4"/>
    <w:rsid w:val="00546CB5"/>
    <w:rsid w:val="00547D6E"/>
    <w:rsid w:val="005500BB"/>
    <w:rsid w:val="0055018C"/>
    <w:rsid w:val="005518C9"/>
    <w:rsid w:val="00551FEB"/>
    <w:rsid w:val="00552808"/>
    <w:rsid w:val="005544C4"/>
    <w:rsid w:val="0055587F"/>
    <w:rsid w:val="005562AB"/>
    <w:rsid w:val="00561104"/>
    <w:rsid w:val="00561C13"/>
    <w:rsid w:val="005631EA"/>
    <w:rsid w:val="00563A95"/>
    <w:rsid w:val="00563D6F"/>
    <w:rsid w:val="0056580B"/>
    <w:rsid w:val="00565F74"/>
    <w:rsid w:val="005701DA"/>
    <w:rsid w:val="00570A6B"/>
    <w:rsid w:val="0057130D"/>
    <w:rsid w:val="00572805"/>
    <w:rsid w:val="00572ADA"/>
    <w:rsid w:val="00572BAC"/>
    <w:rsid w:val="00573D3A"/>
    <w:rsid w:val="00574DE0"/>
    <w:rsid w:val="005763B8"/>
    <w:rsid w:val="00581A17"/>
    <w:rsid w:val="00583767"/>
    <w:rsid w:val="00585B6B"/>
    <w:rsid w:val="0059017D"/>
    <w:rsid w:val="00590C0D"/>
    <w:rsid w:val="00592DD6"/>
    <w:rsid w:val="00595DD6"/>
    <w:rsid w:val="00597599"/>
    <w:rsid w:val="005978A8"/>
    <w:rsid w:val="00597CB8"/>
    <w:rsid w:val="005A1246"/>
    <w:rsid w:val="005A1CCD"/>
    <w:rsid w:val="005A2A18"/>
    <w:rsid w:val="005A4C13"/>
    <w:rsid w:val="005A57E6"/>
    <w:rsid w:val="005B093A"/>
    <w:rsid w:val="005B2D38"/>
    <w:rsid w:val="005B35B6"/>
    <w:rsid w:val="005B6D04"/>
    <w:rsid w:val="005B76F1"/>
    <w:rsid w:val="005B7ACB"/>
    <w:rsid w:val="005B7F96"/>
    <w:rsid w:val="005C135C"/>
    <w:rsid w:val="005C2BC3"/>
    <w:rsid w:val="005C5AC9"/>
    <w:rsid w:val="005C6A80"/>
    <w:rsid w:val="005C7FA6"/>
    <w:rsid w:val="005D03B5"/>
    <w:rsid w:val="005D0F10"/>
    <w:rsid w:val="005D1482"/>
    <w:rsid w:val="005D22D7"/>
    <w:rsid w:val="005D2466"/>
    <w:rsid w:val="005D2E0C"/>
    <w:rsid w:val="005D43AC"/>
    <w:rsid w:val="005D4A50"/>
    <w:rsid w:val="005D74A9"/>
    <w:rsid w:val="005D7BAC"/>
    <w:rsid w:val="005E21B8"/>
    <w:rsid w:val="005E25E1"/>
    <w:rsid w:val="005E25E8"/>
    <w:rsid w:val="005E2AC7"/>
    <w:rsid w:val="005E2FC4"/>
    <w:rsid w:val="005E73CD"/>
    <w:rsid w:val="005E7ED6"/>
    <w:rsid w:val="005F1236"/>
    <w:rsid w:val="005F6898"/>
    <w:rsid w:val="005F7440"/>
    <w:rsid w:val="005F75A8"/>
    <w:rsid w:val="00600732"/>
    <w:rsid w:val="0060160A"/>
    <w:rsid w:val="0060221E"/>
    <w:rsid w:val="00604D54"/>
    <w:rsid w:val="00605B25"/>
    <w:rsid w:val="006066FB"/>
    <w:rsid w:val="006078A4"/>
    <w:rsid w:val="006108D7"/>
    <w:rsid w:val="006112B1"/>
    <w:rsid w:val="0061227A"/>
    <w:rsid w:val="0061251E"/>
    <w:rsid w:val="00612854"/>
    <w:rsid w:val="00613B7D"/>
    <w:rsid w:val="006159A4"/>
    <w:rsid w:val="00616CDB"/>
    <w:rsid w:val="0062098B"/>
    <w:rsid w:val="00620D8F"/>
    <w:rsid w:val="006213D8"/>
    <w:rsid w:val="00621766"/>
    <w:rsid w:val="00621F70"/>
    <w:rsid w:val="00622AFE"/>
    <w:rsid w:val="006245BB"/>
    <w:rsid w:val="0062556D"/>
    <w:rsid w:val="0062583E"/>
    <w:rsid w:val="00625A77"/>
    <w:rsid w:val="00626211"/>
    <w:rsid w:val="006265A5"/>
    <w:rsid w:val="00626B96"/>
    <w:rsid w:val="006316FA"/>
    <w:rsid w:val="0063307D"/>
    <w:rsid w:val="00633AE2"/>
    <w:rsid w:val="00635D1B"/>
    <w:rsid w:val="006373B0"/>
    <w:rsid w:val="00637565"/>
    <w:rsid w:val="00637F9B"/>
    <w:rsid w:val="0064042F"/>
    <w:rsid w:val="0064050F"/>
    <w:rsid w:val="006425AF"/>
    <w:rsid w:val="0064277B"/>
    <w:rsid w:val="00642944"/>
    <w:rsid w:val="00642BD7"/>
    <w:rsid w:val="00643BE0"/>
    <w:rsid w:val="00644452"/>
    <w:rsid w:val="006452BA"/>
    <w:rsid w:val="00647938"/>
    <w:rsid w:val="00651151"/>
    <w:rsid w:val="006518F9"/>
    <w:rsid w:val="00653C62"/>
    <w:rsid w:val="00653EAD"/>
    <w:rsid w:val="006552F2"/>
    <w:rsid w:val="0065583B"/>
    <w:rsid w:val="00661332"/>
    <w:rsid w:val="00661B67"/>
    <w:rsid w:val="00661DEE"/>
    <w:rsid w:val="006646F0"/>
    <w:rsid w:val="00664E2D"/>
    <w:rsid w:val="00665F57"/>
    <w:rsid w:val="0066681D"/>
    <w:rsid w:val="00666BC7"/>
    <w:rsid w:val="00670F87"/>
    <w:rsid w:val="00671D8F"/>
    <w:rsid w:val="0067314F"/>
    <w:rsid w:val="00673DCE"/>
    <w:rsid w:val="00673E3E"/>
    <w:rsid w:val="0067603E"/>
    <w:rsid w:val="006766D1"/>
    <w:rsid w:val="00677294"/>
    <w:rsid w:val="00677678"/>
    <w:rsid w:val="0068092B"/>
    <w:rsid w:val="00681A1E"/>
    <w:rsid w:val="006830CB"/>
    <w:rsid w:val="006844F3"/>
    <w:rsid w:val="00685BC7"/>
    <w:rsid w:val="006900C1"/>
    <w:rsid w:val="00691117"/>
    <w:rsid w:val="0069327C"/>
    <w:rsid w:val="00693451"/>
    <w:rsid w:val="00694A22"/>
    <w:rsid w:val="00697017"/>
    <w:rsid w:val="006A0355"/>
    <w:rsid w:val="006A3BA2"/>
    <w:rsid w:val="006A53F7"/>
    <w:rsid w:val="006B1B51"/>
    <w:rsid w:val="006B26AB"/>
    <w:rsid w:val="006B2A4D"/>
    <w:rsid w:val="006B4AC4"/>
    <w:rsid w:val="006B5C37"/>
    <w:rsid w:val="006B68C4"/>
    <w:rsid w:val="006C058E"/>
    <w:rsid w:val="006C1C7D"/>
    <w:rsid w:val="006C1CFD"/>
    <w:rsid w:val="006C299E"/>
    <w:rsid w:val="006C3131"/>
    <w:rsid w:val="006C324B"/>
    <w:rsid w:val="006C6CB1"/>
    <w:rsid w:val="006C7F32"/>
    <w:rsid w:val="006D033A"/>
    <w:rsid w:val="006D5FFF"/>
    <w:rsid w:val="006E04B0"/>
    <w:rsid w:val="006E0EEF"/>
    <w:rsid w:val="006E1987"/>
    <w:rsid w:val="006E48F9"/>
    <w:rsid w:val="006E6836"/>
    <w:rsid w:val="006E76EF"/>
    <w:rsid w:val="006E784C"/>
    <w:rsid w:val="006F0655"/>
    <w:rsid w:val="006F128D"/>
    <w:rsid w:val="006F2B69"/>
    <w:rsid w:val="006F4015"/>
    <w:rsid w:val="006F4DCA"/>
    <w:rsid w:val="006F5460"/>
    <w:rsid w:val="006F78C5"/>
    <w:rsid w:val="00703073"/>
    <w:rsid w:val="0070457A"/>
    <w:rsid w:val="00705071"/>
    <w:rsid w:val="00705130"/>
    <w:rsid w:val="00705D8B"/>
    <w:rsid w:val="00706E98"/>
    <w:rsid w:val="00707943"/>
    <w:rsid w:val="00711255"/>
    <w:rsid w:val="00711725"/>
    <w:rsid w:val="00711ACD"/>
    <w:rsid w:val="00712112"/>
    <w:rsid w:val="007129DB"/>
    <w:rsid w:val="00712BBA"/>
    <w:rsid w:val="00712D82"/>
    <w:rsid w:val="00713ABE"/>
    <w:rsid w:val="007143EB"/>
    <w:rsid w:val="0071487D"/>
    <w:rsid w:val="007157E5"/>
    <w:rsid w:val="00715B6B"/>
    <w:rsid w:val="007163C3"/>
    <w:rsid w:val="007166F1"/>
    <w:rsid w:val="00716FDB"/>
    <w:rsid w:val="00717717"/>
    <w:rsid w:val="0071798B"/>
    <w:rsid w:val="007211C7"/>
    <w:rsid w:val="00721730"/>
    <w:rsid w:val="007231DD"/>
    <w:rsid w:val="00723A07"/>
    <w:rsid w:val="00724530"/>
    <w:rsid w:val="007251B4"/>
    <w:rsid w:val="007276D8"/>
    <w:rsid w:val="007301D5"/>
    <w:rsid w:val="00730526"/>
    <w:rsid w:val="007311F6"/>
    <w:rsid w:val="007314CC"/>
    <w:rsid w:val="007341C7"/>
    <w:rsid w:val="00735F5A"/>
    <w:rsid w:val="0073756C"/>
    <w:rsid w:val="00742E2B"/>
    <w:rsid w:val="0074395C"/>
    <w:rsid w:val="007468D7"/>
    <w:rsid w:val="00746F8A"/>
    <w:rsid w:val="0075271A"/>
    <w:rsid w:val="00753789"/>
    <w:rsid w:val="00754480"/>
    <w:rsid w:val="00754545"/>
    <w:rsid w:val="00755045"/>
    <w:rsid w:val="0075747F"/>
    <w:rsid w:val="00760E41"/>
    <w:rsid w:val="007636C7"/>
    <w:rsid w:val="0076373D"/>
    <w:rsid w:val="00763FB1"/>
    <w:rsid w:val="00764444"/>
    <w:rsid w:val="00764C56"/>
    <w:rsid w:val="00764F07"/>
    <w:rsid w:val="00765301"/>
    <w:rsid w:val="00765F8A"/>
    <w:rsid w:val="007673F0"/>
    <w:rsid w:val="007706AC"/>
    <w:rsid w:val="007719C0"/>
    <w:rsid w:val="0077326A"/>
    <w:rsid w:val="007753A1"/>
    <w:rsid w:val="007812DF"/>
    <w:rsid w:val="0078744C"/>
    <w:rsid w:val="0078779E"/>
    <w:rsid w:val="00790EF7"/>
    <w:rsid w:val="00791BBB"/>
    <w:rsid w:val="0079271D"/>
    <w:rsid w:val="0079287A"/>
    <w:rsid w:val="00797FD8"/>
    <w:rsid w:val="007A0DD8"/>
    <w:rsid w:val="007A6F62"/>
    <w:rsid w:val="007A7877"/>
    <w:rsid w:val="007A7B30"/>
    <w:rsid w:val="007B06FB"/>
    <w:rsid w:val="007B0705"/>
    <w:rsid w:val="007B12ED"/>
    <w:rsid w:val="007B2007"/>
    <w:rsid w:val="007B370B"/>
    <w:rsid w:val="007B4E66"/>
    <w:rsid w:val="007B652B"/>
    <w:rsid w:val="007C0719"/>
    <w:rsid w:val="007C2B10"/>
    <w:rsid w:val="007D2781"/>
    <w:rsid w:val="007D5F19"/>
    <w:rsid w:val="007D694D"/>
    <w:rsid w:val="007D6CC0"/>
    <w:rsid w:val="007E27CA"/>
    <w:rsid w:val="007E308E"/>
    <w:rsid w:val="007E417E"/>
    <w:rsid w:val="007E6386"/>
    <w:rsid w:val="007F0902"/>
    <w:rsid w:val="007F13BD"/>
    <w:rsid w:val="007F174E"/>
    <w:rsid w:val="007F1C45"/>
    <w:rsid w:val="007F3E97"/>
    <w:rsid w:val="007F412A"/>
    <w:rsid w:val="007F50AC"/>
    <w:rsid w:val="007F6451"/>
    <w:rsid w:val="007F6A21"/>
    <w:rsid w:val="008018E5"/>
    <w:rsid w:val="0080500C"/>
    <w:rsid w:val="0080599F"/>
    <w:rsid w:val="00805C86"/>
    <w:rsid w:val="00806438"/>
    <w:rsid w:val="00807BA3"/>
    <w:rsid w:val="00811CAC"/>
    <w:rsid w:val="0081262C"/>
    <w:rsid w:val="008153EF"/>
    <w:rsid w:val="00815517"/>
    <w:rsid w:val="0082178F"/>
    <w:rsid w:val="00822632"/>
    <w:rsid w:val="00822782"/>
    <w:rsid w:val="00824619"/>
    <w:rsid w:val="008259F3"/>
    <w:rsid w:val="0082746F"/>
    <w:rsid w:val="0083368E"/>
    <w:rsid w:val="008347AA"/>
    <w:rsid w:val="008357A5"/>
    <w:rsid w:val="0083618C"/>
    <w:rsid w:val="008433B9"/>
    <w:rsid w:val="00845FC3"/>
    <w:rsid w:val="00846791"/>
    <w:rsid w:val="00846FA0"/>
    <w:rsid w:val="00851B77"/>
    <w:rsid w:val="00854BA3"/>
    <w:rsid w:val="00856438"/>
    <w:rsid w:val="00856621"/>
    <w:rsid w:val="008601A9"/>
    <w:rsid w:val="00860633"/>
    <w:rsid w:val="008619E9"/>
    <w:rsid w:val="00863C6C"/>
    <w:rsid w:val="00865C0F"/>
    <w:rsid w:val="00866B02"/>
    <w:rsid w:val="00870BB9"/>
    <w:rsid w:val="008752C2"/>
    <w:rsid w:val="008809D2"/>
    <w:rsid w:val="00881818"/>
    <w:rsid w:val="00882CF6"/>
    <w:rsid w:val="008839EC"/>
    <w:rsid w:val="00885C50"/>
    <w:rsid w:val="00890321"/>
    <w:rsid w:val="00890960"/>
    <w:rsid w:val="00890A95"/>
    <w:rsid w:val="00893B92"/>
    <w:rsid w:val="00897BE4"/>
    <w:rsid w:val="008A19A7"/>
    <w:rsid w:val="008A310E"/>
    <w:rsid w:val="008A334F"/>
    <w:rsid w:val="008A6142"/>
    <w:rsid w:val="008A6D73"/>
    <w:rsid w:val="008A7ED9"/>
    <w:rsid w:val="008B2223"/>
    <w:rsid w:val="008B2E88"/>
    <w:rsid w:val="008B30E4"/>
    <w:rsid w:val="008B3144"/>
    <w:rsid w:val="008B38BD"/>
    <w:rsid w:val="008B3AF5"/>
    <w:rsid w:val="008B4AA3"/>
    <w:rsid w:val="008B4C17"/>
    <w:rsid w:val="008B730C"/>
    <w:rsid w:val="008C2026"/>
    <w:rsid w:val="008C4A04"/>
    <w:rsid w:val="008C51B0"/>
    <w:rsid w:val="008C59B0"/>
    <w:rsid w:val="008C6200"/>
    <w:rsid w:val="008C6587"/>
    <w:rsid w:val="008C68B5"/>
    <w:rsid w:val="008C6F63"/>
    <w:rsid w:val="008D0BF2"/>
    <w:rsid w:val="008D1075"/>
    <w:rsid w:val="008D193D"/>
    <w:rsid w:val="008D1F3B"/>
    <w:rsid w:val="008D205A"/>
    <w:rsid w:val="008D3104"/>
    <w:rsid w:val="008D36E7"/>
    <w:rsid w:val="008D3E20"/>
    <w:rsid w:val="008D5CC7"/>
    <w:rsid w:val="008D6333"/>
    <w:rsid w:val="008D641E"/>
    <w:rsid w:val="008E0B70"/>
    <w:rsid w:val="008E3EAE"/>
    <w:rsid w:val="008E5DE2"/>
    <w:rsid w:val="008E6E5D"/>
    <w:rsid w:val="008F03A5"/>
    <w:rsid w:val="008F15D0"/>
    <w:rsid w:val="008F315B"/>
    <w:rsid w:val="008F6032"/>
    <w:rsid w:val="008F63E1"/>
    <w:rsid w:val="008F6443"/>
    <w:rsid w:val="008F6927"/>
    <w:rsid w:val="00900AC8"/>
    <w:rsid w:val="0090113A"/>
    <w:rsid w:val="00901E1C"/>
    <w:rsid w:val="00903A35"/>
    <w:rsid w:val="009067F7"/>
    <w:rsid w:val="00906D0D"/>
    <w:rsid w:val="0090703F"/>
    <w:rsid w:val="009074FD"/>
    <w:rsid w:val="00912280"/>
    <w:rsid w:val="009131AB"/>
    <w:rsid w:val="009149C4"/>
    <w:rsid w:val="00914A99"/>
    <w:rsid w:val="0092095C"/>
    <w:rsid w:val="009221F7"/>
    <w:rsid w:val="00922768"/>
    <w:rsid w:val="009246A3"/>
    <w:rsid w:val="00930272"/>
    <w:rsid w:val="0093183D"/>
    <w:rsid w:val="0093187E"/>
    <w:rsid w:val="00932DD9"/>
    <w:rsid w:val="00936045"/>
    <w:rsid w:val="009375AC"/>
    <w:rsid w:val="00940184"/>
    <w:rsid w:val="00941148"/>
    <w:rsid w:val="009414D4"/>
    <w:rsid w:val="00941A27"/>
    <w:rsid w:val="009439B5"/>
    <w:rsid w:val="00943C14"/>
    <w:rsid w:val="009444C3"/>
    <w:rsid w:val="00944A9B"/>
    <w:rsid w:val="00947B12"/>
    <w:rsid w:val="00947EB6"/>
    <w:rsid w:val="00950461"/>
    <w:rsid w:val="00950C56"/>
    <w:rsid w:val="00952864"/>
    <w:rsid w:val="009567D4"/>
    <w:rsid w:val="0095791A"/>
    <w:rsid w:val="0096010F"/>
    <w:rsid w:val="00961D02"/>
    <w:rsid w:val="00962685"/>
    <w:rsid w:val="00963354"/>
    <w:rsid w:val="0096441B"/>
    <w:rsid w:val="009648EB"/>
    <w:rsid w:val="00964952"/>
    <w:rsid w:val="0096584D"/>
    <w:rsid w:val="0096631E"/>
    <w:rsid w:val="009663A2"/>
    <w:rsid w:val="00966D88"/>
    <w:rsid w:val="00966EA0"/>
    <w:rsid w:val="00967561"/>
    <w:rsid w:val="009708FB"/>
    <w:rsid w:val="0097148B"/>
    <w:rsid w:val="00972681"/>
    <w:rsid w:val="00977256"/>
    <w:rsid w:val="00982F68"/>
    <w:rsid w:val="00983417"/>
    <w:rsid w:val="00983E0A"/>
    <w:rsid w:val="0098468A"/>
    <w:rsid w:val="00984767"/>
    <w:rsid w:val="00985336"/>
    <w:rsid w:val="00985597"/>
    <w:rsid w:val="00985FEA"/>
    <w:rsid w:val="00991689"/>
    <w:rsid w:val="00993B45"/>
    <w:rsid w:val="009956A5"/>
    <w:rsid w:val="00996DD6"/>
    <w:rsid w:val="009A1EC0"/>
    <w:rsid w:val="009A2D88"/>
    <w:rsid w:val="009A3115"/>
    <w:rsid w:val="009A430C"/>
    <w:rsid w:val="009A6933"/>
    <w:rsid w:val="009B00D1"/>
    <w:rsid w:val="009B1ED4"/>
    <w:rsid w:val="009B2A2E"/>
    <w:rsid w:val="009B3ECB"/>
    <w:rsid w:val="009B461C"/>
    <w:rsid w:val="009B5797"/>
    <w:rsid w:val="009B7FD9"/>
    <w:rsid w:val="009B7FE0"/>
    <w:rsid w:val="009C1C35"/>
    <w:rsid w:val="009C25A3"/>
    <w:rsid w:val="009C3F84"/>
    <w:rsid w:val="009C5FC0"/>
    <w:rsid w:val="009D14CF"/>
    <w:rsid w:val="009D3011"/>
    <w:rsid w:val="009D41C9"/>
    <w:rsid w:val="009D579F"/>
    <w:rsid w:val="009D5935"/>
    <w:rsid w:val="009D6345"/>
    <w:rsid w:val="009E3343"/>
    <w:rsid w:val="009E4BB3"/>
    <w:rsid w:val="009E65A6"/>
    <w:rsid w:val="009E75EE"/>
    <w:rsid w:val="009F0468"/>
    <w:rsid w:val="009F229E"/>
    <w:rsid w:val="009F2C1F"/>
    <w:rsid w:val="009F3588"/>
    <w:rsid w:val="009F39F9"/>
    <w:rsid w:val="009F60AC"/>
    <w:rsid w:val="009F7656"/>
    <w:rsid w:val="009F7FBA"/>
    <w:rsid w:val="00A02E4F"/>
    <w:rsid w:val="00A042AF"/>
    <w:rsid w:val="00A046B4"/>
    <w:rsid w:val="00A05EF6"/>
    <w:rsid w:val="00A07721"/>
    <w:rsid w:val="00A10794"/>
    <w:rsid w:val="00A10ED2"/>
    <w:rsid w:val="00A131A0"/>
    <w:rsid w:val="00A1436B"/>
    <w:rsid w:val="00A147EB"/>
    <w:rsid w:val="00A148B7"/>
    <w:rsid w:val="00A15C9E"/>
    <w:rsid w:val="00A160A1"/>
    <w:rsid w:val="00A176BB"/>
    <w:rsid w:val="00A2385D"/>
    <w:rsid w:val="00A239CC"/>
    <w:rsid w:val="00A24C11"/>
    <w:rsid w:val="00A265BF"/>
    <w:rsid w:val="00A26F50"/>
    <w:rsid w:val="00A301FA"/>
    <w:rsid w:val="00A30C73"/>
    <w:rsid w:val="00A3207A"/>
    <w:rsid w:val="00A324FD"/>
    <w:rsid w:val="00A32ACD"/>
    <w:rsid w:val="00A40356"/>
    <w:rsid w:val="00A40EE1"/>
    <w:rsid w:val="00A419ED"/>
    <w:rsid w:val="00A431F3"/>
    <w:rsid w:val="00A442F9"/>
    <w:rsid w:val="00A464E6"/>
    <w:rsid w:val="00A51B98"/>
    <w:rsid w:val="00A5358B"/>
    <w:rsid w:val="00A53870"/>
    <w:rsid w:val="00A5690D"/>
    <w:rsid w:val="00A57CC4"/>
    <w:rsid w:val="00A64614"/>
    <w:rsid w:val="00A654F9"/>
    <w:rsid w:val="00A65C57"/>
    <w:rsid w:val="00A6724D"/>
    <w:rsid w:val="00A70488"/>
    <w:rsid w:val="00A713D5"/>
    <w:rsid w:val="00A7213D"/>
    <w:rsid w:val="00A74A12"/>
    <w:rsid w:val="00A76D21"/>
    <w:rsid w:val="00A76F18"/>
    <w:rsid w:val="00A774C3"/>
    <w:rsid w:val="00A81B3B"/>
    <w:rsid w:val="00A83548"/>
    <w:rsid w:val="00A83E36"/>
    <w:rsid w:val="00A83ECC"/>
    <w:rsid w:val="00A84427"/>
    <w:rsid w:val="00A87E88"/>
    <w:rsid w:val="00A91C8A"/>
    <w:rsid w:val="00A928CC"/>
    <w:rsid w:val="00A93647"/>
    <w:rsid w:val="00A95B18"/>
    <w:rsid w:val="00A97788"/>
    <w:rsid w:val="00AA03D4"/>
    <w:rsid w:val="00AA2752"/>
    <w:rsid w:val="00AA282F"/>
    <w:rsid w:val="00AA4632"/>
    <w:rsid w:val="00AA4C50"/>
    <w:rsid w:val="00AA6843"/>
    <w:rsid w:val="00AB00CC"/>
    <w:rsid w:val="00AB12CB"/>
    <w:rsid w:val="00AB3C01"/>
    <w:rsid w:val="00AB42AB"/>
    <w:rsid w:val="00AB569C"/>
    <w:rsid w:val="00AB58A3"/>
    <w:rsid w:val="00AB59EC"/>
    <w:rsid w:val="00AB5E0B"/>
    <w:rsid w:val="00AC2BE9"/>
    <w:rsid w:val="00AC396C"/>
    <w:rsid w:val="00AD0464"/>
    <w:rsid w:val="00AD1959"/>
    <w:rsid w:val="00AD1C83"/>
    <w:rsid w:val="00AD2AEA"/>
    <w:rsid w:val="00AD3A10"/>
    <w:rsid w:val="00AD44FC"/>
    <w:rsid w:val="00AD674F"/>
    <w:rsid w:val="00AD77E2"/>
    <w:rsid w:val="00AE0B95"/>
    <w:rsid w:val="00AE18E4"/>
    <w:rsid w:val="00AE2EE8"/>
    <w:rsid w:val="00AE3EE1"/>
    <w:rsid w:val="00AE5557"/>
    <w:rsid w:val="00AF0358"/>
    <w:rsid w:val="00AF0DDA"/>
    <w:rsid w:val="00AF0FE2"/>
    <w:rsid w:val="00AF566C"/>
    <w:rsid w:val="00AF62DA"/>
    <w:rsid w:val="00AF798E"/>
    <w:rsid w:val="00B00B82"/>
    <w:rsid w:val="00B02049"/>
    <w:rsid w:val="00B021D1"/>
    <w:rsid w:val="00B07817"/>
    <w:rsid w:val="00B078FF"/>
    <w:rsid w:val="00B11ADF"/>
    <w:rsid w:val="00B11E44"/>
    <w:rsid w:val="00B12D1E"/>
    <w:rsid w:val="00B146DC"/>
    <w:rsid w:val="00B16238"/>
    <w:rsid w:val="00B23B57"/>
    <w:rsid w:val="00B25469"/>
    <w:rsid w:val="00B254BF"/>
    <w:rsid w:val="00B275F7"/>
    <w:rsid w:val="00B2771E"/>
    <w:rsid w:val="00B31AC6"/>
    <w:rsid w:val="00B31BB7"/>
    <w:rsid w:val="00B3295E"/>
    <w:rsid w:val="00B3359C"/>
    <w:rsid w:val="00B341DB"/>
    <w:rsid w:val="00B34BB8"/>
    <w:rsid w:val="00B34D28"/>
    <w:rsid w:val="00B361A6"/>
    <w:rsid w:val="00B361E6"/>
    <w:rsid w:val="00B36684"/>
    <w:rsid w:val="00B37FA4"/>
    <w:rsid w:val="00B40EDF"/>
    <w:rsid w:val="00B4150D"/>
    <w:rsid w:val="00B41823"/>
    <w:rsid w:val="00B43594"/>
    <w:rsid w:val="00B456D4"/>
    <w:rsid w:val="00B457DB"/>
    <w:rsid w:val="00B4654F"/>
    <w:rsid w:val="00B46A0A"/>
    <w:rsid w:val="00B46BC5"/>
    <w:rsid w:val="00B47A7D"/>
    <w:rsid w:val="00B5199E"/>
    <w:rsid w:val="00B53DA7"/>
    <w:rsid w:val="00B54D83"/>
    <w:rsid w:val="00B55418"/>
    <w:rsid w:val="00B55F17"/>
    <w:rsid w:val="00B57888"/>
    <w:rsid w:val="00B57B59"/>
    <w:rsid w:val="00B601D6"/>
    <w:rsid w:val="00B608C5"/>
    <w:rsid w:val="00B61376"/>
    <w:rsid w:val="00B6175F"/>
    <w:rsid w:val="00B62E5A"/>
    <w:rsid w:val="00B664EE"/>
    <w:rsid w:val="00B722B3"/>
    <w:rsid w:val="00B74697"/>
    <w:rsid w:val="00B7518D"/>
    <w:rsid w:val="00B75257"/>
    <w:rsid w:val="00B755A2"/>
    <w:rsid w:val="00B768B8"/>
    <w:rsid w:val="00B76BEF"/>
    <w:rsid w:val="00B85A8D"/>
    <w:rsid w:val="00B8677B"/>
    <w:rsid w:val="00B87BB7"/>
    <w:rsid w:val="00B90CCB"/>
    <w:rsid w:val="00B90D1A"/>
    <w:rsid w:val="00BA16D0"/>
    <w:rsid w:val="00BA5CB4"/>
    <w:rsid w:val="00BA6122"/>
    <w:rsid w:val="00BA794E"/>
    <w:rsid w:val="00BB0152"/>
    <w:rsid w:val="00BB17E2"/>
    <w:rsid w:val="00BB1C1B"/>
    <w:rsid w:val="00BB283D"/>
    <w:rsid w:val="00BB307B"/>
    <w:rsid w:val="00BB413D"/>
    <w:rsid w:val="00BB4AEC"/>
    <w:rsid w:val="00BB53C6"/>
    <w:rsid w:val="00BB5CBD"/>
    <w:rsid w:val="00BC0DFB"/>
    <w:rsid w:val="00BC4000"/>
    <w:rsid w:val="00BC46FA"/>
    <w:rsid w:val="00BC5F00"/>
    <w:rsid w:val="00BC6E05"/>
    <w:rsid w:val="00BC71AE"/>
    <w:rsid w:val="00BC7C16"/>
    <w:rsid w:val="00BD0353"/>
    <w:rsid w:val="00BD11B5"/>
    <w:rsid w:val="00BD11B7"/>
    <w:rsid w:val="00BD24CA"/>
    <w:rsid w:val="00BD28B0"/>
    <w:rsid w:val="00BD2D17"/>
    <w:rsid w:val="00BD4548"/>
    <w:rsid w:val="00BD70A1"/>
    <w:rsid w:val="00BD7560"/>
    <w:rsid w:val="00BE153F"/>
    <w:rsid w:val="00BE3049"/>
    <w:rsid w:val="00BE5002"/>
    <w:rsid w:val="00BE5055"/>
    <w:rsid w:val="00BE65A3"/>
    <w:rsid w:val="00BE6B96"/>
    <w:rsid w:val="00BE7001"/>
    <w:rsid w:val="00BE7532"/>
    <w:rsid w:val="00BF20AE"/>
    <w:rsid w:val="00BF2DB3"/>
    <w:rsid w:val="00BF45D4"/>
    <w:rsid w:val="00BF4B99"/>
    <w:rsid w:val="00BF5CD0"/>
    <w:rsid w:val="00BF6D90"/>
    <w:rsid w:val="00BF7702"/>
    <w:rsid w:val="00C045E9"/>
    <w:rsid w:val="00C06AC9"/>
    <w:rsid w:val="00C07530"/>
    <w:rsid w:val="00C11165"/>
    <w:rsid w:val="00C1209E"/>
    <w:rsid w:val="00C14C35"/>
    <w:rsid w:val="00C15A81"/>
    <w:rsid w:val="00C1655D"/>
    <w:rsid w:val="00C17623"/>
    <w:rsid w:val="00C20DFD"/>
    <w:rsid w:val="00C21970"/>
    <w:rsid w:val="00C219FB"/>
    <w:rsid w:val="00C221BF"/>
    <w:rsid w:val="00C22F40"/>
    <w:rsid w:val="00C22FAB"/>
    <w:rsid w:val="00C2384D"/>
    <w:rsid w:val="00C2496C"/>
    <w:rsid w:val="00C24FF1"/>
    <w:rsid w:val="00C26BFC"/>
    <w:rsid w:val="00C30BBF"/>
    <w:rsid w:val="00C33862"/>
    <w:rsid w:val="00C35F5F"/>
    <w:rsid w:val="00C3681C"/>
    <w:rsid w:val="00C377D6"/>
    <w:rsid w:val="00C40B6B"/>
    <w:rsid w:val="00C42041"/>
    <w:rsid w:val="00C427AF"/>
    <w:rsid w:val="00C42CB7"/>
    <w:rsid w:val="00C44CC6"/>
    <w:rsid w:val="00C44D27"/>
    <w:rsid w:val="00C45184"/>
    <w:rsid w:val="00C47115"/>
    <w:rsid w:val="00C473D1"/>
    <w:rsid w:val="00C475B2"/>
    <w:rsid w:val="00C478FF"/>
    <w:rsid w:val="00C505C8"/>
    <w:rsid w:val="00C50D76"/>
    <w:rsid w:val="00C51724"/>
    <w:rsid w:val="00C5200E"/>
    <w:rsid w:val="00C52C74"/>
    <w:rsid w:val="00C53556"/>
    <w:rsid w:val="00C543EA"/>
    <w:rsid w:val="00C579CF"/>
    <w:rsid w:val="00C606ED"/>
    <w:rsid w:val="00C61594"/>
    <w:rsid w:val="00C61E89"/>
    <w:rsid w:val="00C6282A"/>
    <w:rsid w:val="00C638DB"/>
    <w:rsid w:val="00C64604"/>
    <w:rsid w:val="00C648B9"/>
    <w:rsid w:val="00C655A3"/>
    <w:rsid w:val="00C67A23"/>
    <w:rsid w:val="00C73EC5"/>
    <w:rsid w:val="00C74415"/>
    <w:rsid w:val="00C7478A"/>
    <w:rsid w:val="00C76885"/>
    <w:rsid w:val="00C7782E"/>
    <w:rsid w:val="00C77F2B"/>
    <w:rsid w:val="00C83756"/>
    <w:rsid w:val="00C843AF"/>
    <w:rsid w:val="00C84907"/>
    <w:rsid w:val="00C85F0F"/>
    <w:rsid w:val="00C87F8E"/>
    <w:rsid w:val="00C9221E"/>
    <w:rsid w:val="00C923B4"/>
    <w:rsid w:val="00C9313E"/>
    <w:rsid w:val="00C93234"/>
    <w:rsid w:val="00C944D0"/>
    <w:rsid w:val="00C96CFC"/>
    <w:rsid w:val="00C971A8"/>
    <w:rsid w:val="00CA087E"/>
    <w:rsid w:val="00CA1921"/>
    <w:rsid w:val="00CA23F3"/>
    <w:rsid w:val="00CA37CB"/>
    <w:rsid w:val="00CB2C22"/>
    <w:rsid w:val="00CB345A"/>
    <w:rsid w:val="00CB3B87"/>
    <w:rsid w:val="00CB7E43"/>
    <w:rsid w:val="00CC0DEF"/>
    <w:rsid w:val="00CC110C"/>
    <w:rsid w:val="00CC13FF"/>
    <w:rsid w:val="00CC187E"/>
    <w:rsid w:val="00CC7075"/>
    <w:rsid w:val="00CD0619"/>
    <w:rsid w:val="00CD206B"/>
    <w:rsid w:val="00CD2979"/>
    <w:rsid w:val="00CD567C"/>
    <w:rsid w:val="00CD5C49"/>
    <w:rsid w:val="00CD7774"/>
    <w:rsid w:val="00CE0D70"/>
    <w:rsid w:val="00CE1036"/>
    <w:rsid w:val="00CE19A9"/>
    <w:rsid w:val="00CE19AE"/>
    <w:rsid w:val="00CE1F50"/>
    <w:rsid w:val="00CE4C8C"/>
    <w:rsid w:val="00CE5A7B"/>
    <w:rsid w:val="00CE6C0C"/>
    <w:rsid w:val="00CF039A"/>
    <w:rsid w:val="00CF0BFB"/>
    <w:rsid w:val="00CF0D59"/>
    <w:rsid w:val="00CF1947"/>
    <w:rsid w:val="00CF3C86"/>
    <w:rsid w:val="00CF50A6"/>
    <w:rsid w:val="00CF5952"/>
    <w:rsid w:val="00CF6CAF"/>
    <w:rsid w:val="00CF7448"/>
    <w:rsid w:val="00D00252"/>
    <w:rsid w:val="00D023C4"/>
    <w:rsid w:val="00D0242E"/>
    <w:rsid w:val="00D03128"/>
    <w:rsid w:val="00D06C2F"/>
    <w:rsid w:val="00D12F43"/>
    <w:rsid w:val="00D130ED"/>
    <w:rsid w:val="00D14E5E"/>
    <w:rsid w:val="00D163F8"/>
    <w:rsid w:val="00D174A5"/>
    <w:rsid w:val="00D20A03"/>
    <w:rsid w:val="00D22108"/>
    <w:rsid w:val="00D225CB"/>
    <w:rsid w:val="00D239C9"/>
    <w:rsid w:val="00D25516"/>
    <w:rsid w:val="00D26EA3"/>
    <w:rsid w:val="00D30429"/>
    <w:rsid w:val="00D306A0"/>
    <w:rsid w:val="00D306C5"/>
    <w:rsid w:val="00D32B0C"/>
    <w:rsid w:val="00D32EC4"/>
    <w:rsid w:val="00D33B80"/>
    <w:rsid w:val="00D33DC0"/>
    <w:rsid w:val="00D34B26"/>
    <w:rsid w:val="00D34D3A"/>
    <w:rsid w:val="00D34F30"/>
    <w:rsid w:val="00D356F7"/>
    <w:rsid w:val="00D362D2"/>
    <w:rsid w:val="00D36EE1"/>
    <w:rsid w:val="00D40C2C"/>
    <w:rsid w:val="00D45B1B"/>
    <w:rsid w:val="00D522A8"/>
    <w:rsid w:val="00D543BC"/>
    <w:rsid w:val="00D554AE"/>
    <w:rsid w:val="00D55E77"/>
    <w:rsid w:val="00D61E87"/>
    <w:rsid w:val="00D61F9D"/>
    <w:rsid w:val="00D64AC6"/>
    <w:rsid w:val="00D66F89"/>
    <w:rsid w:val="00D671AD"/>
    <w:rsid w:val="00D7111F"/>
    <w:rsid w:val="00D72C0E"/>
    <w:rsid w:val="00D73075"/>
    <w:rsid w:val="00D736C7"/>
    <w:rsid w:val="00D748B1"/>
    <w:rsid w:val="00D755BD"/>
    <w:rsid w:val="00D758F0"/>
    <w:rsid w:val="00D769C1"/>
    <w:rsid w:val="00D76E49"/>
    <w:rsid w:val="00D77666"/>
    <w:rsid w:val="00D81084"/>
    <w:rsid w:val="00D81A86"/>
    <w:rsid w:val="00D82682"/>
    <w:rsid w:val="00D85262"/>
    <w:rsid w:val="00D85378"/>
    <w:rsid w:val="00D862B6"/>
    <w:rsid w:val="00D87B22"/>
    <w:rsid w:val="00D91017"/>
    <w:rsid w:val="00D914F9"/>
    <w:rsid w:val="00D93380"/>
    <w:rsid w:val="00D93A1A"/>
    <w:rsid w:val="00D9531C"/>
    <w:rsid w:val="00D97645"/>
    <w:rsid w:val="00DA3326"/>
    <w:rsid w:val="00DA3C30"/>
    <w:rsid w:val="00DA6A1B"/>
    <w:rsid w:val="00DB0C4F"/>
    <w:rsid w:val="00DB1724"/>
    <w:rsid w:val="00DB3542"/>
    <w:rsid w:val="00DB4F3E"/>
    <w:rsid w:val="00DC1611"/>
    <w:rsid w:val="00DC173F"/>
    <w:rsid w:val="00DC20EA"/>
    <w:rsid w:val="00DC2E65"/>
    <w:rsid w:val="00DC2F2A"/>
    <w:rsid w:val="00DC3DA3"/>
    <w:rsid w:val="00DC5508"/>
    <w:rsid w:val="00DD16F1"/>
    <w:rsid w:val="00DD2875"/>
    <w:rsid w:val="00DD4004"/>
    <w:rsid w:val="00DD44A7"/>
    <w:rsid w:val="00DD4D78"/>
    <w:rsid w:val="00DD6BAF"/>
    <w:rsid w:val="00DD7627"/>
    <w:rsid w:val="00DD7686"/>
    <w:rsid w:val="00DE1551"/>
    <w:rsid w:val="00DE28F0"/>
    <w:rsid w:val="00DE4EBF"/>
    <w:rsid w:val="00DE5D4A"/>
    <w:rsid w:val="00DE6549"/>
    <w:rsid w:val="00DE73CE"/>
    <w:rsid w:val="00DF1446"/>
    <w:rsid w:val="00DF14BD"/>
    <w:rsid w:val="00DF1D41"/>
    <w:rsid w:val="00DF273E"/>
    <w:rsid w:val="00DF3DEA"/>
    <w:rsid w:val="00DF428A"/>
    <w:rsid w:val="00DF4B63"/>
    <w:rsid w:val="00DF4F89"/>
    <w:rsid w:val="00DF54CB"/>
    <w:rsid w:val="00DF5E5A"/>
    <w:rsid w:val="00DF64E9"/>
    <w:rsid w:val="00DF67CC"/>
    <w:rsid w:val="00E01886"/>
    <w:rsid w:val="00E03585"/>
    <w:rsid w:val="00E04E8C"/>
    <w:rsid w:val="00E0600C"/>
    <w:rsid w:val="00E06282"/>
    <w:rsid w:val="00E127FA"/>
    <w:rsid w:val="00E1387B"/>
    <w:rsid w:val="00E13CF9"/>
    <w:rsid w:val="00E1714F"/>
    <w:rsid w:val="00E20AA0"/>
    <w:rsid w:val="00E21DD0"/>
    <w:rsid w:val="00E23207"/>
    <w:rsid w:val="00E2531A"/>
    <w:rsid w:val="00E25485"/>
    <w:rsid w:val="00E266CF"/>
    <w:rsid w:val="00E27050"/>
    <w:rsid w:val="00E303E6"/>
    <w:rsid w:val="00E316AD"/>
    <w:rsid w:val="00E31724"/>
    <w:rsid w:val="00E35311"/>
    <w:rsid w:val="00E36415"/>
    <w:rsid w:val="00E36423"/>
    <w:rsid w:val="00E36A67"/>
    <w:rsid w:val="00E3737F"/>
    <w:rsid w:val="00E43EAA"/>
    <w:rsid w:val="00E460EB"/>
    <w:rsid w:val="00E4611C"/>
    <w:rsid w:val="00E47684"/>
    <w:rsid w:val="00E50474"/>
    <w:rsid w:val="00E51B8E"/>
    <w:rsid w:val="00E53BD6"/>
    <w:rsid w:val="00E5455D"/>
    <w:rsid w:val="00E556B2"/>
    <w:rsid w:val="00E55BA1"/>
    <w:rsid w:val="00E57C06"/>
    <w:rsid w:val="00E6058C"/>
    <w:rsid w:val="00E62722"/>
    <w:rsid w:val="00E6404C"/>
    <w:rsid w:val="00E64245"/>
    <w:rsid w:val="00E647B3"/>
    <w:rsid w:val="00E66BC5"/>
    <w:rsid w:val="00E66C86"/>
    <w:rsid w:val="00E712E3"/>
    <w:rsid w:val="00E722E5"/>
    <w:rsid w:val="00E72ADC"/>
    <w:rsid w:val="00E73C61"/>
    <w:rsid w:val="00E75143"/>
    <w:rsid w:val="00E81A00"/>
    <w:rsid w:val="00E81F13"/>
    <w:rsid w:val="00E82836"/>
    <w:rsid w:val="00E84572"/>
    <w:rsid w:val="00E84EF3"/>
    <w:rsid w:val="00E85D4E"/>
    <w:rsid w:val="00E90634"/>
    <w:rsid w:val="00E909E1"/>
    <w:rsid w:val="00E910BF"/>
    <w:rsid w:val="00E91EC4"/>
    <w:rsid w:val="00E92045"/>
    <w:rsid w:val="00E932C2"/>
    <w:rsid w:val="00E93B63"/>
    <w:rsid w:val="00E96B22"/>
    <w:rsid w:val="00EA0909"/>
    <w:rsid w:val="00EA291D"/>
    <w:rsid w:val="00EA30F0"/>
    <w:rsid w:val="00EA4FF3"/>
    <w:rsid w:val="00EA5FE2"/>
    <w:rsid w:val="00EA6484"/>
    <w:rsid w:val="00EB00CE"/>
    <w:rsid w:val="00EB5FB9"/>
    <w:rsid w:val="00EC06EB"/>
    <w:rsid w:val="00EC31AC"/>
    <w:rsid w:val="00ED387A"/>
    <w:rsid w:val="00ED5D9B"/>
    <w:rsid w:val="00ED66AA"/>
    <w:rsid w:val="00EE133B"/>
    <w:rsid w:val="00EE1BD9"/>
    <w:rsid w:val="00EE288E"/>
    <w:rsid w:val="00EE4F39"/>
    <w:rsid w:val="00EE6E9A"/>
    <w:rsid w:val="00EF3369"/>
    <w:rsid w:val="00EF3E73"/>
    <w:rsid w:val="00EF703D"/>
    <w:rsid w:val="00F01E83"/>
    <w:rsid w:val="00F02A2D"/>
    <w:rsid w:val="00F03F5F"/>
    <w:rsid w:val="00F07096"/>
    <w:rsid w:val="00F07562"/>
    <w:rsid w:val="00F07920"/>
    <w:rsid w:val="00F13F1F"/>
    <w:rsid w:val="00F168AF"/>
    <w:rsid w:val="00F225E9"/>
    <w:rsid w:val="00F227B7"/>
    <w:rsid w:val="00F22F94"/>
    <w:rsid w:val="00F234DA"/>
    <w:rsid w:val="00F23E7B"/>
    <w:rsid w:val="00F24859"/>
    <w:rsid w:val="00F26617"/>
    <w:rsid w:val="00F26828"/>
    <w:rsid w:val="00F268CE"/>
    <w:rsid w:val="00F27AA4"/>
    <w:rsid w:val="00F30CF7"/>
    <w:rsid w:val="00F31925"/>
    <w:rsid w:val="00F329B3"/>
    <w:rsid w:val="00F32BCC"/>
    <w:rsid w:val="00F33ADE"/>
    <w:rsid w:val="00F3482B"/>
    <w:rsid w:val="00F34A68"/>
    <w:rsid w:val="00F34C15"/>
    <w:rsid w:val="00F3656B"/>
    <w:rsid w:val="00F37CA8"/>
    <w:rsid w:val="00F37CCC"/>
    <w:rsid w:val="00F40148"/>
    <w:rsid w:val="00F40298"/>
    <w:rsid w:val="00F40332"/>
    <w:rsid w:val="00F44148"/>
    <w:rsid w:val="00F45C75"/>
    <w:rsid w:val="00F502DE"/>
    <w:rsid w:val="00F5117D"/>
    <w:rsid w:val="00F53DD5"/>
    <w:rsid w:val="00F547CB"/>
    <w:rsid w:val="00F54BDC"/>
    <w:rsid w:val="00F60CC8"/>
    <w:rsid w:val="00F61ADF"/>
    <w:rsid w:val="00F626E1"/>
    <w:rsid w:val="00F62A65"/>
    <w:rsid w:val="00F64287"/>
    <w:rsid w:val="00F65444"/>
    <w:rsid w:val="00F66079"/>
    <w:rsid w:val="00F6718A"/>
    <w:rsid w:val="00F67485"/>
    <w:rsid w:val="00F70E85"/>
    <w:rsid w:val="00F72331"/>
    <w:rsid w:val="00F72F61"/>
    <w:rsid w:val="00F73221"/>
    <w:rsid w:val="00F773E4"/>
    <w:rsid w:val="00F82D15"/>
    <w:rsid w:val="00F84174"/>
    <w:rsid w:val="00F85082"/>
    <w:rsid w:val="00F86024"/>
    <w:rsid w:val="00F86115"/>
    <w:rsid w:val="00F900C8"/>
    <w:rsid w:val="00F9076A"/>
    <w:rsid w:val="00F909E4"/>
    <w:rsid w:val="00F90B2C"/>
    <w:rsid w:val="00F90DB2"/>
    <w:rsid w:val="00F91913"/>
    <w:rsid w:val="00F93732"/>
    <w:rsid w:val="00F93F0B"/>
    <w:rsid w:val="00F94566"/>
    <w:rsid w:val="00F9597C"/>
    <w:rsid w:val="00F978DA"/>
    <w:rsid w:val="00F97B47"/>
    <w:rsid w:val="00FA12FD"/>
    <w:rsid w:val="00FA5656"/>
    <w:rsid w:val="00FA5866"/>
    <w:rsid w:val="00FB0444"/>
    <w:rsid w:val="00FB1088"/>
    <w:rsid w:val="00FB7FC4"/>
    <w:rsid w:val="00FC0D80"/>
    <w:rsid w:val="00FC0DFB"/>
    <w:rsid w:val="00FC1993"/>
    <w:rsid w:val="00FC48C0"/>
    <w:rsid w:val="00FC61D9"/>
    <w:rsid w:val="00FC64D7"/>
    <w:rsid w:val="00FD0C75"/>
    <w:rsid w:val="00FD2A6C"/>
    <w:rsid w:val="00FD2E86"/>
    <w:rsid w:val="00FD2EA0"/>
    <w:rsid w:val="00FD33C3"/>
    <w:rsid w:val="00FD353C"/>
    <w:rsid w:val="00FD4DA0"/>
    <w:rsid w:val="00FD62A4"/>
    <w:rsid w:val="00FD712B"/>
    <w:rsid w:val="00FE23C0"/>
    <w:rsid w:val="00FE298A"/>
    <w:rsid w:val="00FE7600"/>
    <w:rsid w:val="00FF1D77"/>
    <w:rsid w:val="00FF71D1"/>
    <w:rsid w:val="00FF7868"/>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387A"/>
    <w:pPr>
      <w:spacing w:after="200" w:line="360" w:lineRule="auto"/>
      <w:ind w:firstLine="709"/>
      <w:jc w:val="both"/>
    </w:pPr>
    <w:rPr>
      <w:rFonts w:ascii="Times New Roman" w:hAnsi="Times New Roman"/>
      <w:sz w:val="24"/>
      <w:szCs w:val="24"/>
      <w:lang w:eastAsia="en-US"/>
    </w:rPr>
  </w:style>
  <w:style w:type="paragraph" w:styleId="Ttulo1">
    <w:name w:val="heading 1"/>
    <w:basedOn w:val="Normal"/>
    <w:next w:val="Normal"/>
    <w:link w:val="Ttulo1Char"/>
    <w:uiPriority w:val="9"/>
    <w:qFormat/>
    <w:rsid w:val="003B7091"/>
    <w:pPr>
      <w:keepNext/>
      <w:keepLines/>
      <w:spacing w:before="840" w:after="360"/>
      <w:outlineLvl w:val="0"/>
    </w:pPr>
    <w:rPr>
      <w:rFonts w:eastAsiaTheme="majorEastAsia" w:cstheme="majorBidi"/>
      <w:b/>
      <w:bCs/>
      <w:color w:val="000000" w:themeColor="text1"/>
      <w:sz w:val="32"/>
      <w:szCs w:val="28"/>
    </w:rPr>
  </w:style>
  <w:style w:type="paragraph" w:styleId="Ttulo2">
    <w:name w:val="heading 2"/>
    <w:basedOn w:val="Normal"/>
    <w:next w:val="Normal"/>
    <w:link w:val="Ttulo2Char"/>
    <w:uiPriority w:val="9"/>
    <w:unhideWhenUsed/>
    <w:qFormat/>
    <w:rsid w:val="003B7091"/>
    <w:pPr>
      <w:keepNext/>
      <w:keepLines/>
      <w:spacing w:before="560" w:after="360"/>
      <w:outlineLvl w:val="1"/>
    </w:pPr>
    <w:rPr>
      <w:rFonts w:eastAsiaTheme="majorEastAsia" w:cstheme="majorBidi"/>
      <w:b/>
      <w:bCs/>
      <w:sz w:val="28"/>
      <w:szCs w:val="26"/>
    </w:rPr>
  </w:style>
  <w:style w:type="paragraph" w:styleId="Ttulo3">
    <w:name w:val="heading 3"/>
    <w:basedOn w:val="Normal"/>
    <w:next w:val="Normal"/>
    <w:link w:val="Ttulo3Char"/>
    <w:uiPriority w:val="9"/>
    <w:unhideWhenUsed/>
    <w:qFormat/>
    <w:rsid w:val="00620D8F"/>
    <w:pPr>
      <w:spacing w:before="240" w:after="240"/>
      <w:outlineLvl w:val="2"/>
    </w:pPr>
    <w:rPr>
      <w:b/>
    </w:rPr>
  </w:style>
  <w:style w:type="paragraph" w:styleId="Ttulo4">
    <w:name w:val="heading 4"/>
    <w:basedOn w:val="Normal"/>
    <w:link w:val="Ttulo4Char"/>
    <w:uiPriority w:val="9"/>
    <w:qFormat/>
    <w:rsid w:val="00620D8F"/>
    <w:pPr>
      <w:spacing w:before="100" w:beforeAutospacing="1" w:after="100" w:afterAutospacing="1" w:line="240" w:lineRule="auto"/>
      <w:outlineLvl w:val="3"/>
    </w:pPr>
    <w:rPr>
      <w:rFonts w:eastAsia="Times New Roman"/>
      <w:b/>
      <w:bCs/>
      <w:i/>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4Char">
    <w:name w:val="Título 4 Char"/>
    <w:link w:val="Ttulo4"/>
    <w:uiPriority w:val="9"/>
    <w:rsid w:val="00620D8F"/>
    <w:rPr>
      <w:rFonts w:ascii="Times New Roman" w:eastAsia="Times New Roman" w:hAnsi="Times New Roman"/>
      <w:b/>
      <w:bCs/>
      <w:i/>
      <w:sz w:val="24"/>
      <w:szCs w:val="24"/>
    </w:rPr>
  </w:style>
  <w:style w:type="character" w:styleId="TextodoEspaoReservado">
    <w:name w:val="Placeholder Text"/>
    <w:uiPriority w:val="99"/>
    <w:semiHidden/>
    <w:rsid w:val="00516767"/>
    <w:rPr>
      <w:color w:val="808080"/>
    </w:rPr>
  </w:style>
  <w:style w:type="paragraph" w:styleId="Textodebalo">
    <w:name w:val="Balloon Text"/>
    <w:basedOn w:val="Normal"/>
    <w:link w:val="TextodebaloChar"/>
    <w:uiPriority w:val="99"/>
    <w:semiHidden/>
    <w:unhideWhenUsed/>
    <w:rsid w:val="00516767"/>
    <w:pPr>
      <w:spacing w:after="0" w:line="240" w:lineRule="auto"/>
    </w:pPr>
    <w:rPr>
      <w:rFonts w:ascii="Tahoma" w:hAnsi="Tahoma" w:cs="Tahoma"/>
      <w:sz w:val="16"/>
      <w:szCs w:val="16"/>
    </w:rPr>
  </w:style>
  <w:style w:type="character" w:customStyle="1" w:styleId="TextodebaloChar">
    <w:name w:val="Texto de balão Char"/>
    <w:link w:val="Textodebalo"/>
    <w:uiPriority w:val="99"/>
    <w:semiHidden/>
    <w:rsid w:val="00516767"/>
    <w:rPr>
      <w:rFonts w:ascii="Tahoma" w:hAnsi="Tahoma" w:cs="Tahoma"/>
      <w:sz w:val="16"/>
      <w:szCs w:val="16"/>
    </w:rPr>
  </w:style>
  <w:style w:type="paragraph" w:styleId="Textodenotaderodap">
    <w:name w:val="footnote text"/>
    <w:basedOn w:val="Normal"/>
    <w:link w:val="TextodenotaderodapChar"/>
    <w:uiPriority w:val="99"/>
    <w:unhideWhenUsed/>
    <w:rsid w:val="00FA5656"/>
    <w:pPr>
      <w:spacing w:after="0" w:line="240" w:lineRule="auto"/>
    </w:pPr>
    <w:rPr>
      <w:sz w:val="20"/>
      <w:szCs w:val="20"/>
    </w:rPr>
  </w:style>
  <w:style w:type="character" w:customStyle="1" w:styleId="TextodenotaderodapChar">
    <w:name w:val="Texto de nota de rodapé Char"/>
    <w:link w:val="Textodenotaderodap"/>
    <w:uiPriority w:val="99"/>
    <w:rsid w:val="00FA5656"/>
    <w:rPr>
      <w:sz w:val="20"/>
      <w:szCs w:val="20"/>
    </w:rPr>
  </w:style>
  <w:style w:type="character" w:styleId="Refdenotaderodap">
    <w:name w:val="footnote reference"/>
    <w:uiPriority w:val="99"/>
    <w:unhideWhenUsed/>
    <w:rsid w:val="00FA5656"/>
    <w:rPr>
      <w:vertAlign w:val="superscript"/>
    </w:rPr>
  </w:style>
  <w:style w:type="paragraph" w:styleId="PargrafodaLista">
    <w:name w:val="List Paragraph"/>
    <w:basedOn w:val="Normal"/>
    <w:uiPriority w:val="34"/>
    <w:qFormat/>
    <w:rsid w:val="00BE5055"/>
    <w:pPr>
      <w:ind w:left="720"/>
      <w:contextualSpacing/>
    </w:pPr>
  </w:style>
  <w:style w:type="paragraph" w:customStyle="1" w:styleId="ecxmsonormal">
    <w:name w:val="ecxmsonormal"/>
    <w:basedOn w:val="Normal"/>
    <w:rsid w:val="00E3737F"/>
    <w:pPr>
      <w:spacing w:before="100" w:beforeAutospacing="1" w:after="100" w:afterAutospacing="1" w:line="240" w:lineRule="auto"/>
      <w:ind w:firstLine="0"/>
    </w:pPr>
    <w:rPr>
      <w:rFonts w:ascii="Verdana" w:eastAsia="Times New Roman" w:hAnsi="Verdana"/>
      <w:color w:val="000000"/>
      <w:sz w:val="18"/>
      <w:szCs w:val="18"/>
      <w:lang w:val="en-US"/>
    </w:rPr>
  </w:style>
  <w:style w:type="paragraph" w:styleId="NormalWeb">
    <w:name w:val="Normal (Web)"/>
    <w:basedOn w:val="Normal"/>
    <w:uiPriority w:val="99"/>
    <w:rsid w:val="00D914F9"/>
    <w:pPr>
      <w:spacing w:before="100" w:beforeAutospacing="1" w:after="100" w:afterAutospacing="1" w:line="240" w:lineRule="auto"/>
    </w:pPr>
    <w:rPr>
      <w:rFonts w:eastAsia="Times New Roman"/>
      <w:lang w:eastAsia="pt-BR"/>
    </w:rPr>
  </w:style>
  <w:style w:type="character" w:customStyle="1" w:styleId="ceztfont17">
    <w:name w:val="ceztfont17"/>
    <w:rsid w:val="00D914F9"/>
    <w:rPr>
      <w:rFonts w:ascii="Verdana" w:hAnsi="Verdana" w:hint="default"/>
      <w:strike w:val="0"/>
      <w:dstrike w:val="0"/>
      <w:color w:val="666666"/>
      <w:sz w:val="17"/>
      <w:szCs w:val="17"/>
      <w:u w:val="none"/>
      <w:effect w:val="none"/>
    </w:rPr>
  </w:style>
  <w:style w:type="paragraph" w:customStyle="1" w:styleId="Default">
    <w:name w:val="Default"/>
    <w:rsid w:val="0083618C"/>
    <w:pPr>
      <w:autoSpaceDE w:val="0"/>
      <w:autoSpaceDN w:val="0"/>
      <w:adjustRightInd w:val="0"/>
    </w:pPr>
    <w:rPr>
      <w:rFonts w:ascii="Code" w:hAnsi="Code" w:cs="Code"/>
      <w:color w:val="000000"/>
      <w:sz w:val="24"/>
      <w:szCs w:val="24"/>
      <w:lang w:eastAsia="en-US"/>
    </w:rPr>
  </w:style>
  <w:style w:type="character" w:styleId="Hyperlink">
    <w:name w:val="Hyperlink"/>
    <w:uiPriority w:val="99"/>
    <w:unhideWhenUsed/>
    <w:rsid w:val="0083618C"/>
    <w:rPr>
      <w:color w:val="036DAA"/>
      <w:u w:val="single"/>
    </w:rPr>
  </w:style>
  <w:style w:type="character" w:styleId="Refdecomentrio">
    <w:name w:val="annotation reference"/>
    <w:uiPriority w:val="99"/>
    <w:semiHidden/>
    <w:unhideWhenUsed/>
    <w:rsid w:val="003B4ABA"/>
    <w:rPr>
      <w:sz w:val="16"/>
      <w:szCs w:val="16"/>
    </w:rPr>
  </w:style>
  <w:style w:type="paragraph" w:styleId="Textodecomentrio">
    <w:name w:val="annotation text"/>
    <w:basedOn w:val="Normal"/>
    <w:link w:val="TextodecomentrioChar"/>
    <w:uiPriority w:val="99"/>
    <w:semiHidden/>
    <w:unhideWhenUsed/>
    <w:rsid w:val="003B4ABA"/>
    <w:pPr>
      <w:spacing w:line="240" w:lineRule="auto"/>
    </w:pPr>
    <w:rPr>
      <w:sz w:val="20"/>
      <w:szCs w:val="20"/>
    </w:rPr>
  </w:style>
  <w:style w:type="character" w:customStyle="1" w:styleId="TextodecomentrioChar">
    <w:name w:val="Texto de comentário Char"/>
    <w:link w:val="Textodecomentrio"/>
    <w:uiPriority w:val="99"/>
    <w:semiHidden/>
    <w:rsid w:val="003B4ABA"/>
    <w:rPr>
      <w:rFonts w:ascii="Times New Roman" w:hAnsi="Times New Roman" w:cs="Times New Roman"/>
      <w:sz w:val="20"/>
      <w:szCs w:val="20"/>
    </w:rPr>
  </w:style>
  <w:style w:type="paragraph" w:styleId="Assuntodocomentrio">
    <w:name w:val="annotation subject"/>
    <w:basedOn w:val="Textodecomentrio"/>
    <w:next w:val="Textodecomentrio"/>
    <w:link w:val="AssuntodocomentrioChar"/>
    <w:uiPriority w:val="99"/>
    <w:semiHidden/>
    <w:unhideWhenUsed/>
    <w:rsid w:val="003B4ABA"/>
    <w:rPr>
      <w:b/>
      <w:bCs/>
    </w:rPr>
  </w:style>
  <w:style w:type="character" w:customStyle="1" w:styleId="AssuntodocomentrioChar">
    <w:name w:val="Assunto do comentário Char"/>
    <w:link w:val="Assuntodocomentrio"/>
    <w:uiPriority w:val="99"/>
    <w:semiHidden/>
    <w:rsid w:val="003B4ABA"/>
    <w:rPr>
      <w:rFonts w:ascii="Times New Roman" w:hAnsi="Times New Roman" w:cs="Times New Roman"/>
      <w:b/>
      <w:bCs/>
      <w:sz w:val="20"/>
      <w:szCs w:val="20"/>
    </w:rPr>
  </w:style>
  <w:style w:type="paragraph" w:styleId="Textodenotadefim">
    <w:name w:val="endnote text"/>
    <w:basedOn w:val="Normal"/>
    <w:link w:val="TextodenotadefimChar"/>
    <w:uiPriority w:val="99"/>
    <w:semiHidden/>
    <w:unhideWhenUsed/>
    <w:rsid w:val="00232907"/>
    <w:pPr>
      <w:spacing w:after="0" w:line="240" w:lineRule="auto"/>
    </w:pPr>
    <w:rPr>
      <w:sz w:val="20"/>
      <w:szCs w:val="20"/>
    </w:rPr>
  </w:style>
  <w:style w:type="character" w:customStyle="1" w:styleId="TextodenotadefimChar">
    <w:name w:val="Texto de nota de fim Char"/>
    <w:link w:val="Textodenotadefim"/>
    <w:uiPriority w:val="99"/>
    <w:semiHidden/>
    <w:rsid w:val="00232907"/>
    <w:rPr>
      <w:rFonts w:ascii="Times New Roman" w:hAnsi="Times New Roman" w:cs="Times New Roman"/>
      <w:sz w:val="20"/>
      <w:szCs w:val="20"/>
    </w:rPr>
  </w:style>
  <w:style w:type="character" w:styleId="Refdenotadefim">
    <w:name w:val="endnote reference"/>
    <w:uiPriority w:val="99"/>
    <w:semiHidden/>
    <w:unhideWhenUsed/>
    <w:rsid w:val="00232907"/>
    <w:rPr>
      <w:vertAlign w:val="superscript"/>
    </w:rPr>
  </w:style>
  <w:style w:type="character" w:customStyle="1" w:styleId="apple-converted-space">
    <w:name w:val="apple-converted-space"/>
    <w:basedOn w:val="Fontepargpadro"/>
    <w:rsid w:val="00A40EE1"/>
  </w:style>
  <w:style w:type="character" w:customStyle="1" w:styleId="highlightedsearchterm">
    <w:name w:val="highlightedsearchterm"/>
    <w:basedOn w:val="Fontepargpadro"/>
    <w:rsid w:val="00A40EE1"/>
  </w:style>
  <w:style w:type="table" w:styleId="Tabelacomgrade">
    <w:name w:val="Table Grid"/>
    <w:basedOn w:val="Tabelanormal"/>
    <w:uiPriority w:val="59"/>
    <w:rsid w:val="00A51B98"/>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egenda">
    <w:name w:val="caption"/>
    <w:basedOn w:val="Normal"/>
    <w:next w:val="Normal"/>
    <w:uiPriority w:val="35"/>
    <w:unhideWhenUsed/>
    <w:qFormat/>
    <w:rsid w:val="00311DD2"/>
    <w:pPr>
      <w:spacing w:line="240" w:lineRule="auto"/>
    </w:pPr>
    <w:rPr>
      <w:b/>
      <w:bCs/>
      <w:color w:val="4F81BD"/>
      <w:sz w:val="18"/>
      <w:szCs w:val="18"/>
    </w:rPr>
  </w:style>
  <w:style w:type="paragraph" w:customStyle="1" w:styleId="EquationNumberStyle">
    <w:name w:val="Equation Number Style"/>
    <w:basedOn w:val="Normal"/>
    <w:link w:val="EquationNumberStyleChar"/>
    <w:rsid w:val="009149C4"/>
    <w:pPr>
      <w:spacing w:line="288" w:lineRule="auto"/>
      <w:jc w:val="right"/>
    </w:pPr>
    <w:rPr>
      <w:rFonts w:eastAsia="Times New Roman"/>
    </w:rPr>
  </w:style>
  <w:style w:type="character" w:customStyle="1" w:styleId="EquationNumberStyleChar">
    <w:name w:val="Equation Number Style Char"/>
    <w:link w:val="EquationNumberStyle"/>
    <w:rsid w:val="009149C4"/>
    <w:rPr>
      <w:rFonts w:ascii="Times New Roman" w:eastAsia="Times New Roman" w:hAnsi="Times New Roman" w:cs="Times New Roman"/>
      <w:sz w:val="24"/>
      <w:szCs w:val="24"/>
    </w:rPr>
  </w:style>
  <w:style w:type="paragraph" w:styleId="SemEspaamento">
    <w:name w:val="No Spacing"/>
    <w:uiPriority w:val="1"/>
    <w:qFormat/>
    <w:rsid w:val="00764C56"/>
    <w:pPr>
      <w:ind w:firstLine="709"/>
      <w:jc w:val="both"/>
    </w:pPr>
    <w:rPr>
      <w:rFonts w:ascii="Times New Roman" w:hAnsi="Times New Roman"/>
      <w:sz w:val="24"/>
      <w:szCs w:val="24"/>
      <w:lang w:eastAsia="en-US"/>
    </w:rPr>
  </w:style>
  <w:style w:type="paragraph" w:styleId="Cabealho">
    <w:name w:val="header"/>
    <w:basedOn w:val="Normal"/>
    <w:link w:val="CabealhoChar"/>
    <w:uiPriority w:val="99"/>
    <w:semiHidden/>
    <w:unhideWhenUsed/>
    <w:rsid w:val="003C2F86"/>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C2F86"/>
    <w:rPr>
      <w:rFonts w:ascii="Times New Roman" w:hAnsi="Times New Roman"/>
      <w:sz w:val="24"/>
      <w:szCs w:val="24"/>
      <w:lang w:eastAsia="en-US"/>
    </w:rPr>
  </w:style>
  <w:style w:type="paragraph" w:styleId="Rodap">
    <w:name w:val="footer"/>
    <w:basedOn w:val="Normal"/>
    <w:link w:val="RodapChar"/>
    <w:uiPriority w:val="99"/>
    <w:unhideWhenUsed/>
    <w:rsid w:val="003C2F86"/>
    <w:pPr>
      <w:tabs>
        <w:tab w:val="center" w:pos="4252"/>
        <w:tab w:val="right" w:pos="8504"/>
      </w:tabs>
      <w:spacing w:after="0" w:line="240" w:lineRule="auto"/>
    </w:pPr>
  </w:style>
  <w:style w:type="character" w:customStyle="1" w:styleId="RodapChar">
    <w:name w:val="Rodapé Char"/>
    <w:basedOn w:val="Fontepargpadro"/>
    <w:link w:val="Rodap"/>
    <w:uiPriority w:val="99"/>
    <w:rsid w:val="003C2F86"/>
    <w:rPr>
      <w:rFonts w:ascii="Times New Roman" w:hAnsi="Times New Roman"/>
      <w:sz w:val="24"/>
      <w:szCs w:val="24"/>
      <w:lang w:eastAsia="en-US"/>
    </w:rPr>
  </w:style>
  <w:style w:type="character" w:customStyle="1" w:styleId="hps">
    <w:name w:val="hps"/>
    <w:basedOn w:val="Fontepargpadro"/>
    <w:rsid w:val="00A928CC"/>
  </w:style>
  <w:style w:type="paragraph" w:styleId="Reviso">
    <w:name w:val="Revision"/>
    <w:hidden/>
    <w:uiPriority w:val="99"/>
    <w:semiHidden/>
    <w:rsid w:val="00330BF2"/>
    <w:rPr>
      <w:rFonts w:ascii="Times New Roman" w:hAnsi="Times New Roman"/>
      <w:sz w:val="24"/>
      <w:szCs w:val="24"/>
      <w:lang w:eastAsia="en-US"/>
    </w:rPr>
  </w:style>
  <w:style w:type="paragraph" w:styleId="MapadoDocumento">
    <w:name w:val="Document Map"/>
    <w:basedOn w:val="Normal"/>
    <w:link w:val="MapadoDocumentoChar"/>
    <w:uiPriority w:val="99"/>
    <w:semiHidden/>
    <w:unhideWhenUsed/>
    <w:rsid w:val="009956A5"/>
    <w:pPr>
      <w:spacing w:after="0" w:line="240" w:lineRule="auto"/>
    </w:pPr>
    <w:rPr>
      <w:rFonts w:ascii="Tahoma" w:hAnsi="Tahoma" w:cs="Tahoma"/>
      <w:sz w:val="16"/>
      <w:szCs w:val="16"/>
    </w:rPr>
  </w:style>
  <w:style w:type="character" w:customStyle="1" w:styleId="MapadoDocumentoChar">
    <w:name w:val="Mapa do Documento Char"/>
    <w:basedOn w:val="Fontepargpadro"/>
    <w:link w:val="MapadoDocumento"/>
    <w:uiPriority w:val="99"/>
    <w:semiHidden/>
    <w:rsid w:val="009956A5"/>
    <w:rPr>
      <w:rFonts w:ascii="Tahoma" w:hAnsi="Tahoma" w:cs="Tahoma"/>
      <w:sz w:val="16"/>
      <w:szCs w:val="16"/>
      <w:lang w:eastAsia="en-US"/>
    </w:rPr>
  </w:style>
  <w:style w:type="paragraph" w:styleId="ndicedeilustraes">
    <w:name w:val="table of figures"/>
    <w:basedOn w:val="Normal"/>
    <w:next w:val="Normal"/>
    <w:link w:val="ndicedeilustraesChar"/>
    <w:uiPriority w:val="99"/>
    <w:unhideWhenUsed/>
    <w:rsid w:val="00F93F0B"/>
    <w:pPr>
      <w:spacing w:after="0" w:line="276" w:lineRule="auto"/>
      <w:ind w:firstLine="0"/>
      <w:jc w:val="left"/>
    </w:pPr>
    <w:rPr>
      <w:rFonts w:asciiTheme="minorHAnsi" w:eastAsiaTheme="minorHAnsi" w:hAnsiTheme="minorHAnsi" w:cstheme="minorBidi"/>
      <w:sz w:val="22"/>
      <w:szCs w:val="22"/>
    </w:rPr>
  </w:style>
  <w:style w:type="character" w:customStyle="1" w:styleId="Ttulo1Char">
    <w:name w:val="Título 1 Char"/>
    <w:basedOn w:val="Fontepargpadro"/>
    <w:link w:val="Ttulo1"/>
    <w:uiPriority w:val="9"/>
    <w:rsid w:val="003B7091"/>
    <w:rPr>
      <w:rFonts w:ascii="Times New Roman" w:eastAsiaTheme="majorEastAsia" w:hAnsi="Times New Roman" w:cstheme="majorBidi"/>
      <w:b/>
      <w:bCs/>
      <w:color w:val="000000" w:themeColor="text1"/>
      <w:sz w:val="32"/>
      <w:szCs w:val="28"/>
      <w:lang w:eastAsia="en-US"/>
    </w:rPr>
  </w:style>
  <w:style w:type="paragraph" w:styleId="CabealhodoSumrio">
    <w:name w:val="TOC Heading"/>
    <w:basedOn w:val="Ttulo1"/>
    <w:next w:val="Normal"/>
    <w:uiPriority w:val="39"/>
    <w:unhideWhenUsed/>
    <w:qFormat/>
    <w:rsid w:val="00F93F0B"/>
    <w:pPr>
      <w:spacing w:line="276" w:lineRule="auto"/>
      <w:ind w:firstLine="0"/>
      <w:jc w:val="left"/>
      <w:outlineLvl w:val="9"/>
    </w:pPr>
  </w:style>
  <w:style w:type="paragraph" w:styleId="Sumrio1">
    <w:name w:val="toc 1"/>
    <w:basedOn w:val="Normal"/>
    <w:next w:val="Normal"/>
    <w:autoRedefine/>
    <w:uiPriority w:val="39"/>
    <w:unhideWhenUsed/>
    <w:rsid w:val="00C7478A"/>
    <w:pPr>
      <w:tabs>
        <w:tab w:val="right" w:leader="dot" w:pos="8494"/>
      </w:tabs>
      <w:spacing w:after="100" w:line="276" w:lineRule="auto"/>
      <w:ind w:firstLine="0"/>
      <w:jc w:val="left"/>
    </w:pPr>
    <w:rPr>
      <w:rFonts w:eastAsiaTheme="minorHAnsi"/>
      <w:b/>
      <w:noProof/>
      <w:lang w:val="en-US"/>
    </w:rPr>
  </w:style>
  <w:style w:type="paragraph" w:customStyle="1" w:styleId="normaldiss">
    <w:name w:val="normal diss"/>
    <w:basedOn w:val="Normal"/>
    <w:link w:val="normaldissChar"/>
    <w:qFormat/>
    <w:rsid w:val="00F93F0B"/>
    <w:pPr>
      <w:autoSpaceDE w:val="0"/>
      <w:autoSpaceDN w:val="0"/>
      <w:adjustRightInd w:val="0"/>
      <w:spacing w:after="0"/>
      <w:ind w:firstLine="851"/>
    </w:pPr>
    <w:rPr>
      <w:rFonts w:eastAsiaTheme="minorHAnsi" w:cstheme="minorBidi"/>
    </w:rPr>
  </w:style>
  <w:style w:type="character" w:customStyle="1" w:styleId="normaldissChar">
    <w:name w:val="normal diss Char"/>
    <w:basedOn w:val="Fontepargpadro"/>
    <w:link w:val="normaldiss"/>
    <w:rsid w:val="00F93F0B"/>
    <w:rPr>
      <w:rFonts w:ascii="Times New Roman" w:eastAsiaTheme="minorHAnsi" w:hAnsi="Times New Roman" w:cstheme="minorBidi"/>
      <w:sz w:val="24"/>
      <w:szCs w:val="24"/>
      <w:lang w:eastAsia="en-US"/>
    </w:rPr>
  </w:style>
  <w:style w:type="paragraph" w:customStyle="1" w:styleId="listas">
    <w:name w:val="listas"/>
    <w:basedOn w:val="ndicedeilustraes"/>
    <w:link w:val="listasChar"/>
    <w:qFormat/>
    <w:rsid w:val="00F93F0B"/>
    <w:pPr>
      <w:tabs>
        <w:tab w:val="right" w:leader="dot" w:pos="9072"/>
      </w:tabs>
      <w:ind w:left="993" w:right="566" w:hanging="993"/>
    </w:pPr>
    <w:rPr>
      <w:rFonts w:ascii="Times New Roman" w:hAnsi="Times New Roman" w:cs="Times New Roman"/>
      <w:noProof/>
      <w:lang w:val="pt-PT"/>
    </w:rPr>
  </w:style>
  <w:style w:type="character" w:customStyle="1" w:styleId="ndicedeilustraesChar">
    <w:name w:val="Índice de ilustrações Char"/>
    <w:basedOn w:val="Fontepargpadro"/>
    <w:link w:val="ndicedeilustraes"/>
    <w:uiPriority w:val="99"/>
    <w:rsid w:val="00F93F0B"/>
    <w:rPr>
      <w:rFonts w:asciiTheme="minorHAnsi" w:eastAsiaTheme="minorHAnsi" w:hAnsiTheme="minorHAnsi" w:cstheme="minorBidi"/>
      <w:sz w:val="22"/>
      <w:szCs w:val="22"/>
      <w:lang w:eastAsia="en-US"/>
    </w:rPr>
  </w:style>
  <w:style w:type="character" w:customStyle="1" w:styleId="listasChar">
    <w:name w:val="listas Char"/>
    <w:basedOn w:val="ndicedeilustraesChar"/>
    <w:link w:val="listas"/>
    <w:rsid w:val="00F93F0B"/>
    <w:rPr>
      <w:rFonts w:ascii="Times New Roman" w:eastAsiaTheme="minorHAnsi" w:hAnsi="Times New Roman" w:cstheme="minorBidi"/>
      <w:noProof/>
      <w:sz w:val="22"/>
      <w:szCs w:val="22"/>
      <w:lang w:val="pt-PT" w:eastAsia="en-US"/>
    </w:rPr>
  </w:style>
  <w:style w:type="character" w:customStyle="1" w:styleId="Ttulo2Char">
    <w:name w:val="Título 2 Char"/>
    <w:basedOn w:val="Fontepargpadro"/>
    <w:link w:val="Ttulo2"/>
    <w:uiPriority w:val="9"/>
    <w:rsid w:val="003B7091"/>
    <w:rPr>
      <w:rFonts w:ascii="Times New Roman" w:eastAsiaTheme="majorEastAsia" w:hAnsi="Times New Roman" w:cstheme="majorBidi"/>
      <w:b/>
      <w:bCs/>
      <w:sz w:val="28"/>
      <w:szCs w:val="26"/>
      <w:lang w:eastAsia="en-US"/>
    </w:rPr>
  </w:style>
  <w:style w:type="character" w:customStyle="1" w:styleId="Ttulo3Char">
    <w:name w:val="Título 3 Char"/>
    <w:basedOn w:val="Fontepargpadro"/>
    <w:link w:val="Ttulo3"/>
    <w:uiPriority w:val="9"/>
    <w:rsid w:val="00620D8F"/>
    <w:rPr>
      <w:rFonts w:ascii="Times New Roman" w:hAnsi="Times New Roman"/>
      <w:b/>
      <w:sz w:val="24"/>
      <w:szCs w:val="24"/>
      <w:lang w:eastAsia="en-US"/>
    </w:rPr>
  </w:style>
  <w:style w:type="paragraph" w:styleId="Sumrio2">
    <w:name w:val="toc 2"/>
    <w:basedOn w:val="Normal"/>
    <w:next w:val="Normal"/>
    <w:autoRedefine/>
    <w:uiPriority w:val="39"/>
    <w:unhideWhenUsed/>
    <w:rsid w:val="006066FB"/>
    <w:pPr>
      <w:spacing w:after="100"/>
      <w:ind w:left="240"/>
    </w:pPr>
  </w:style>
  <w:style w:type="paragraph" w:styleId="Sumrio3">
    <w:name w:val="toc 3"/>
    <w:basedOn w:val="Normal"/>
    <w:next w:val="Normal"/>
    <w:autoRedefine/>
    <w:uiPriority w:val="39"/>
    <w:unhideWhenUsed/>
    <w:rsid w:val="006066FB"/>
    <w:pPr>
      <w:spacing w:after="100"/>
      <w:ind w:left="480"/>
    </w:pPr>
  </w:style>
  <w:style w:type="character" w:styleId="Forte">
    <w:name w:val="Strong"/>
    <w:basedOn w:val="Fontepargpadro"/>
    <w:uiPriority w:val="22"/>
    <w:qFormat/>
    <w:rsid w:val="00C7478A"/>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387A"/>
    <w:pPr>
      <w:spacing w:after="200" w:line="360" w:lineRule="auto"/>
      <w:ind w:firstLine="709"/>
      <w:jc w:val="both"/>
    </w:pPr>
    <w:rPr>
      <w:rFonts w:ascii="Times New Roman" w:hAnsi="Times New Roman"/>
      <w:sz w:val="24"/>
      <w:szCs w:val="24"/>
      <w:lang w:eastAsia="en-US"/>
    </w:rPr>
  </w:style>
  <w:style w:type="paragraph" w:styleId="Heading1">
    <w:name w:val="heading 1"/>
    <w:basedOn w:val="Normal"/>
    <w:next w:val="Normal"/>
    <w:link w:val="Heading1Char"/>
    <w:uiPriority w:val="9"/>
    <w:qFormat/>
    <w:rsid w:val="003B7091"/>
    <w:pPr>
      <w:keepNext/>
      <w:keepLines/>
      <w:spacing w:before="840" w:after="360"/>
      <w:outlineLvl w:val="0"/>
    </w:pPr>
    <w:rPr>
      <w:rFonts w:eastAsiaTheme="majorEastAsia" w:cstheme="majorBidi"/>
      <w:b/>
      <w:bCs/>
      <w:color w:val="000000" w:themeColor="text1"/>
      <w:sz w:val="32"/>
      <w:szCs w:val="28"/>
    </w:rPr>
  </w:style>
  <w:style w:type="paragraph" w:styleId="Heading2">
    <w:name w:val="heading 2"/>
    <w:basedOn w:val="Normal"/>
    <w:next w:val="Normal"/>
    <w:link w:val="Heading2Char"/>
    <w:uiPriority w:val="9"/>
    <w:unhideWhenUsed/>
    <w:qFormat/>
    <w:rsid w:val="003B7091"/>
    <w:pPr>
      <w:keepNext/>
      <w:keepLines/>
      <w:spacing w:before="560" w:after="360"/>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620D8F"/>
    <w:pPr>
      <w:spacing w:before="240" w:after="240"/>
      <w:outlineLvl w:val="2"/>
    </w:pPr>
    <w:rPr>
      <w:b/>
    </w:rPr>
  </w:style>
  <w:style w:type="paragraph" w:styleId="Heading4">
    <w:name w:val="heading 4"/>
    <w:basedOn w:val="Normal"/>
    <w:link w:val="Heading4Char"/>
    <w:uiPriority w:val="9"/>
    <w:qFormat/>
    <w:rsid w:val="00620D8F"/>
    <w:pPr>
      <w:spacing w:before="100" w:beforeAutospacing="1" w:after="100" w:afterAutospacing="1" w:line="240" w:lineRule="auto"/>
      <w:outlineLvl w:val="3"/>
    </w:pPr>
    <w:rPr>
      <w:rFonts w:eastAsia="Times New Roman"/>
      <w:b/>
      <w:bCs/>
      <w:i/>
      <w:lang w:eastAsia="pt-B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uiPriority w:val="9"/>
    <w:rsid w:val="00620D8F"/>
    <w:rPr>
      <w:rFonts w:ascii="Times New Roman" w:eastAsia="Times New Roman" w:hAnsi="Times New Roman"/>
      <w:b/>
      <w:bCs/>
      <w:i/>
      <w:sz w:val="24"/>
      <w:szCs w:val="24"/>
    </w:rPr>
  </w:style>
  <w:style w:type="character" w:styleId="PlaceholderText">
    <w:name w:val="Placeholder Text"/>
    <w:uiPriority w:val="99"/>
    <w:semiHidden/>
    <w:rsid w:val="00516767"/>
    <w:rPr>
      <w:color w:val="808080"/>
    </w:rPr>
  </w:style>
  <w:style w:type="paragraph" w:styleId="BalloonText">
    <w:name w:val="Balloon Text"/>
    <w:basedOn w:val="Normal"/>
    <w:link w:val="BalloonTextChar"/>
    <w:uiPriority w:val="99"/>
    <w:semiHidden/>
    <w:unhideWhenUsed/>
    <w:rsid w:val="00516767"/>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516767"/>
    <w:rPr>
      <w:rFonts w:ascii="Tahoma" w:hAnsi="Tahoma" w:cs="Tahoma"/>
      <w:sz w:val="16"/>
      <w:szCs w:val="16"/>
    </w:rPr>
  </w:style>
  <w:style w:type="paragraph" w:styleId="FootnoteText">
    <w:name w:val="footnote text"/>
    <w:basedOn w:val="Normal"/>
    <w:link w:val="FootnoteTextChar"/>
    <w:uiPriority w:val="99"/>
    <w:unhideWhenUsed/>
    <w:rsid w:val="00FA5656"/>
    <w:pPr>
      <w:spacing w:after="0" w:line="240" w:lineRule="auto"/>
    </w:pPr>
    <w:rPr>
      <w:sz w:val="20"/>
      <w:szCs w:val="20"/>
    </w:rPr>
  </w:style>
  <w:style w:type="character" w:customStyle="1" w:styleId="FootnoteTextChar">
    <w:name w:val="Footnote Text Char"/>
    <w:link w:val="FootnoteText"/>
    <w:uiPriority w:val="99"/>
    <w:rsid w:val="00FA5656"/>
    <w:rPr>
      <w:sz w:val="20"/>
      <w:szCs w:val="20"/>
    </w:rPr>
  </w:style>
  <w:style w:type="character" w:styleId="FootnoteReference">
    <w:name w:val="footnote reference"/>
    <w:uiPriority w:val="99"/>
    <w:unhideWhenUsed/>
    <w:rsid w:val="00FA5656"/>
    <w:rPr>
      <w:vertAlign w:val="superscript"/>
    </w:rPr>
  </w:style>
  <w:style w:type="paragraph" w:styleId="ListParagraph">
    <w:name w:val="List Paragraph"/>
    <w:basedOn w:val="Normal"/>
    <w:uiPriority w:val="34"/>
    <w:qFormat/>
    <w:rsid w:val="00BE5055"/>
    <w:pPr>
      <w:ind w:left="720"/>
      <w:contextualSpacing/>
    </w:pPr>
  </w:style>
  <w:style w:type="paragraph" w:customStyle="1" w:styleId="ecxmsonormal">
    <w:name w:val="ecxmsonormal"/>
    <w:basedOn w:val="Normal"/>
    <w:rsid w:val="00E3737F"/>
    <w:pPr>
      <w:spacing w:before="100" w:beforeAutospacing="1" w:after="100" w:afterAutospacing="1" w:line="240" w:lineRule="auto"/>
      <w:ind w:firstLine="0"/>
    </w:pPr>
    <w:rPr>
      <w:rFonts w:ascii="Verdana" w:eastAsia="Times New Roman" w:hAnsi="Verdana"/>
      <w:color w:val="000000"/>
      <w:sz w:val="18"/>
      <w:szCs w:val="18"/>
      <w:lang w:val="en-US"/>
    </w:rPr>
  </w:style>
  <w:style w:type="paragraph" w:styleId="NormalWeb">
    <w:name w:val="Normal (Web)"/>
    <w:basedOn w:val="Normal"/>
    <w:uiPriority w:val="99"/>
    <w:rsid w:val="00D914F9"/>
    <w:pPr>
      <w:spacing w:before="100" w:beforeAutospacing="1" w:after="100" w:afterAutospacing="1" w:line="240" w:lineRule="auto"/>
    </w:pPr>
    <w:rPr>
      <w:rFonts w:eastAsia="Times New Roman"/>
      <w:lang w:eastAsia="pt-BR"/>
    </w:rPr>
  </w:style>
  <w:style w:type="character" w:customStyle="1" w:styleId="ceztfont17">
    <w:name w:val="ceztfont17"/>
    <w:rsid w:val="00D914F9"/>
    <w:rPr>
      <w:rFonts w:ascii="Verdana" w:hAnsi="Verdana" w:hint="default"/>
      <w:strike w:val="0"/>
      <w:dstrike w:val="0"/>
      <w:color w:val="666666"/>
      <w:sz w:val="17"/>
      <w:szCs w:val="17"/>
      <w:u w:val="none"/>
      <w:effect w:val="none"/>
    </w:rPr>
  </w:style>
  <w:style w:type="paragraph" w:customStyle="1" w:styleId="Default">
    <w:name w:val="Default"/>
    <w:rsid w:val="0083618C"/>
    <w:pPr>
      <w:autoSpaceDE w:val="0"/>
      <w:autoSpaceDN w:val="0"/>
      <w:adjustRightInd w:val="0"/>
    </w:pPr>
    <w:rPr>
      <w:rFonts w:ascii="Code" w:hAnsi="Code" w:cs="Code"/>
      <w:color w:val="000000"/>
      <w:sz w:val="24"/>
      <w:szCs w:val="24"/>
      <w:lang w:eastAsia="en-US"/>
    </w:rPr>
  </w:style>
  <w:style w:type="character" w:styleId="Hyperlink">
    <w:name w:val="Hyperlink"/>
    <w:uiPriority w:val="99"/>
    <w:unhideWhenUsed/>
    <w:rsid w:val="0083618C"/>
    <w:rPr>
      <w:color w:val="036DAA"/>
      <w:u w:val="single"/>
    </w:rPr>
  </w:style>
  <w:style w:type="character" w:styleId="CommentReference">
    <w:name w:val="annotation reference"/>
    <w:uiPriority w:val="99"/>
    <w:semiHidden/>
    <w:unhideWhenUsed/>
    <w:rsid w:val="003B4ABA"/>
    <w:rPr>
      <w:sz w:val="16"/>
      <w:szCs w:val="16"/>
    </w:rPr>
  </w:style>
  <w:style w:type="paragraph" w:styleId="CommentText">
    <w:name w:val="annotation text"/>
    <w:basedOn w:val="Normal"/>
    <w:link w:val="CommentTextChar"/>
    <w:uiPriority w:val="99"/>
    <w:semiHidden/>
    <w:unhideWhenUsed/>
    <w:rsid w:val="003B4ABA"/>
    <w:pPr>
      <w:spacing w:line="240" w:lineRule="auto"/>
    </w:pPr>
    <w:rPr>
      <w:sz w:val="20"/>
      <w:szCs w:val="20"/>
    </w:rPr>
  </w:style>
  <w:style w:type="character" w:customStyle="1" w:styleId="CommentTextChar">
    <w:name w:val="Comment Text Char"/>
    <w:link w:val="CommentText"/>
    <w:uiPriority w:val="99"/>
    <w:semiHidden/>
    <w:rsid w:val="003B4ABA"/>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B4ABA"/>
    <w:rPr>
      <w:b/>
      <w:bCs/>
    </w:rPr>
  </w:style>
  <w:style w:type="character" w:customStyle="1" w:styleId="CommentSubjectChar">
    <w:name w:val="Comment Subject Char"/>
    <w:link w:val="CommentSubject"/>
    <w:uiPriority w:val="99"/>
    <w:semiHidden/>
    <w:rsid w:val="003B4ABA"/>
    <w:rPr>
      <w:rFonts w:ascii="Times New Roman" w:hAnsi="Times New Roman" w:cs="Times New Roman"/>
      <w:b/>
      <w:bCs/>
      <w:sz w:val="20"/>
      <w:szCs w:val="20"/>
    </w:rPr>
  </w:style>
  <w:style w:type="paragraph" w:styleId="EndnoteText">
    <w:name w:val="endnote text"/>
    <w:basedOn w:val="Normal"/>
    <w:link w:val="EndnoteTextChar"/>
    <w:uiPriority w:val="99"/>
    <w:semiHidden/>
    <w:unhideWhenUsed/>
    <w:rsid w:val="00232907"/>
    <w:pPr>
      <w:spacing w:after="0" w:line="240" w:lineRule="auto"/>
    </w:pPr>
    <w:rPr>
      <w:sz w:val="20"/>
      <w:szCs w:val="20"/>
    </w:rPr>
  </w:style>
  <w:style w:type="character" w:customStyle="1" w:styleId="EndnoteTextChar">
    <w:name w:val="Endnote Text Char"/>
    <w:link w:val="EndnoteText"/>
    <w:uiPriority w:val="99"/>
    <w:semiHidden/>
    <w:rsid w:val="00232907"/>
    <w:rPr>
      <w:rFonts w:ascii="Times New Roman" w:hAnsi="Times New Roman" w:cs="Times New Roman"/>
      <w:sz w:val="20"/>
      <w:szCs w:val="20"/>
    </w:rPr>
  </w:style>
  <w:style w:type="character" w:styleId="EndnoteReference">
    <w:name w:val="endnote reference"/>
    <w:uiPriority w:val="99"/>
    <w:semiHidden/>
    <w:unhideWhenUsed/>
    <w:rsid w:val="00232907"/>
    <w:rPr>
      <w:vertAlign w:val="superscript"/>
    </w:rPr>
  </w:style>
  <w:style w:type="character" w:customStyle="1" w:styleId="apple-converted-space">
    <w:name w:val="apple-converted-space"/>
    <w:basedOn w:val="DefaultParagraphFont"/>
    <w:rsid w:val="00A40EE1"/>
  </w:style>
  <w:style w:type="character" w:customStyle="1" w:styleId="highlightedsearchterm">
    <w:name w:val="highlightedsearchterm"/>
    <w:basedOn w:val="DefaultParagraphFont"/>
    <w:rsid w:val="00A40EE1"/>
  </w:style>
  <w:style w:type="table" w:styleId="TableGrid">
    <w:name w:val="Table Grid"/>
    <w:basedOn w:val="TableNormal"/>
    <w:uiPriority w:val="59"/>
    <w:rsid w:val="00A51B98"/>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311DD2"/>
    <w:pPr>
      <w:spacing w:line="240" w:lineRule="auto"/>
    </w:pPr>
    <w:rPr>
      <w:b/>
      <w:bCs/>
      <w:color w:val="4F81BD"/>
      <w:sz w:val="18"/>
      <w:szCs w:val="18"/>
    </w:rPr>
  </w:style>
  <w:style w:type="paragraph" w:customStyle="1" w:styleId="EquationNumberStyle">
    <w:name w:val="Equation Number Style"/>
    <w:basedOn w:val="Normal"/>
    <w:link w:val="EquationNumberStyleChar"/>
    <w:rsid w:val="009149C4"/>
    <w:pPr>
      <w:spacing w:line="288" w:lineRule="auto"/>
      <w:jc w:val="right"/>
    </w:pPr>
    <w:rPr>
      <w:rFonts w:eastAsia="Times New Roman"/>
    </w:rPr>
  </w:style>
  <w:style w:type="character" w:customStyle="1" w:styleId="EquationNumberStyleChar">
    <w:name w:val="Equation Number Style Char"/>
    <w:link w:val="EquationNumberStyle"/>
    <w:rsid w:val="009149C4"/>
    <w:rPr>
      <w:rFonts w:ascii="Times New Roman" w:eastAsia="Times New Roman" w:hAnsi="Times New Roman" w:cs="Times New Roman"/>
      <w:sz w:val="24"/>
      <w:szCs w:val="24"/>
    </w:rPr>
  </w:style>
  <w:style w:type="paragraph" w:styleId="NoSpacing">
    <w:name w:val="No Spacing"/>
    <w:uiPriority w:val="1"/>
    <w:qFormat/>
    <w:rsid w:val="00764C56"/>
    <w:pPr>
      <w:ind w:firstLine="709"/>
      <w:jc w:val="both"/>
    </w:pPr>
    <w:rPr>
      <w:rFonts w:ascii="Times New Roman" w:hAnsi="Times New Roman"/>
      <w:sz w:val="24"/>
      <w:szCs w:val="24"/>
      <w:lang w:eastAsia="en-US"/>
    </w:rPr>
  </w:style>
  <w:style w:type="paragraph" w:styleId="Header">
    <w:name w:val="header"/>
    <w:basedOn w:val="Normal"/>
    <w:link w:val="HeaderChar"/>
    <w:uiPriority w:val="99"/>
    <w:semiHidden/>
    <w:unhideWhenUsed/>
    <w:rsid w:val="003C2F86"/>
    <w:pPr>
      <w:tabs>
        <w:tab w:val="center" w:pos="4252"/>
        <w:tab w:val="right" w:pos="8504"/>
      </w:tabs>
      <w:spacing w:after="0" w:line="240" w:lineRule="auto"/>
    </w:pPr>
  </w:style>
  <w:style w:type="character" w:customStyle="1" w:styleId="HeaderChar">
    <w:name w:val="Header Char"/>
    <w:basedOn w:val="DefaultParagraphFont"/>
    <w:link w:val="Header"/>
    <w:uiPriority w:val="99"/>
    <w:semiHidden/>
    <w:rsid w:val="003C2F86"/>
    <w:rPr>
      <w:rFonts w:ascii="Times New Roman" w:hAnsi="Times New Roman"/>
      <w:sz w:val="24"/>
      <w:szCs w:val="24"/>
      <w:lang w:eastAsia="en-US"/>
    </w:rPr>
  </w:style>
  <w:style w:type="paragraph" w:styleId="Footer">
    <w:name w:val="footer"/>
    <w:basedOn w:val="Normal"/>
    <w:link w:val="FooterChar"/>
    <w:uiPriority w:val="99"/>
    <w:unhideWhenUsed/>
    <w:rsid w:val="003C2F86"/>
    <w:pPr>
      <w:tabs>
        <w:tab w:val="center" w:pos="4252"/>
        <w:tab w:val="right" w:pos="8504"/>
      </w:tabs>
      <w:spacing w:after="0" w:line="240" w:lineRule="auto"/>
    </w:pPr>
  </w:style>
  <w:style w:type="character" w:customStyle="1" w:styleId="FooterChar">
    <w:name w:val="Footer Char"/>
    <w:basedOn w:val="DefaultParagraphFont"/>
    <w:link w:val="Footer"/>
    <w:uiPriority w:val="99"/>
    <w:rsid w:val="003C2F86"/>
    <w:rPr>
      <w:rFonts w:ascii="Times New Roman" w:hAnsi="Times New Roman"/>
      <w:sz w:val="24"/>
      <w:szCs w:val="24"/>
      <w:lang w:eastAsia="en-US"/>
    </w:rPr>
  </w:style>
  <w:style w:type="character" w:customStyle="1" w:styleId="hps">
    <w:name w:val="hps"/>
    <w:basedOn w:val="DefaultParagraphFont"/>
    <w:rsid w:val="00A928CC"/>
  </w:style>
  <w:style w:type="paragraph" w:styleId="Revision">
    <w:name w:val="Revision"/>
    <w:hidden/>
    <w:uiPriority w:val="99"/>
    <w:semiHidden/>
    <w:rsid w:val="00330BF2"/>
    <w:rPr>
      <w:rFonts w:ascii="Times New Roman" w:hAnsi="Times New Roman"/>
      <w:sz w:val="24"/>
      <w:szCs w:val="24"/>
      <w:lang w:eastAsia="en-US"/>
    </w:rPr>
  </w:style>
  <w:style w:type="paragraph" w:styleId="DocumentMap">
    <w:name w:val="Document Map"/>
    <w:basedOn w:val="Normal"/>
    <w:link w:val="DocumentMapChar"/>
    <w:uiPriority w:val="99"/>
    <w:semiHidden/>
    <w:unhideWhenUsed/>
    <w:rsid w:val="009956A5"/>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9956A5"/>
    <w:rPr>
      <w:rFonts w:ascii="Tahoma" w:hAnsi="Tahoma" w:cs="Tahoma"/>
      <w:sz w:val="16"/>
      <w:szCs w:val="16"/>
      <w:lang w:eastAsia="en-US"/>
    </w:rPr>
  </w:style>
  <w:style w:type="paragraph" w:styleId="TableofFigures">
    <w:name w:val="table of figures"/>
    <w:basedOn w:val="Normal"/>
    <w:next w:val="Normal"/>
    <w:link w:val="TableofFiguresChar"/>
    <w:uiPriority w:val="99"/>
    <w:unhideWhenUsed/>
    <w:rsid w:val="00F93F0B"/>
    <w:pPr>
      <w:spacing w:after="0" w:line="276" w:lineRule="auto"/>
      <w:ind w:firstLine="0"/>
      <w:jc w:val="left"/>
    </w:pPr>
    <w:rPr>
      <w:rFonts w:asciiTheme="minorHAnsi" w:eastAsiaTheme="minorHAnsi" w:hAnsiTheme="minorHAnsi" w:cstheme="minorBidi"/>
      <w:sz w:val="22"/>
      <w:szCs w:val="22"/>
    </w:rPr>
  </w:style>
  <w:style w:type="character" w:customStyle="1" w:styleId="Heading1Char">
    <w:name w:val="Heading 1 Char"/>
    <w:basedOn w:val="DefaultParagraphFont"/>
    <w:link w:val="Heading1"/>
    <w:uiPriority w:val="9"/>
    <w:rsid w:val="003B7091"/>
    <w:rPr>
      <w:rFonts w:ascii="Times New Roman" w:eastAsiaTheme="majorEastAsia" w:hAnsi="Times New Roman" w:cstheme="majorBidi"/>
      <w:b/>
      <w:bCs/>
      <w:color w:val="000000" w:themeColor="text1"/>
      <w:sz w:val="32"/>
      <w:szCs w:val="28"/>
      <w:lang w:eastAsia="en-US"/>
    </w:rPr>
  </w:style>
  <w:style w:type="paragraph" w:styleId="TOCHeading">
    <w:name w:val="TOC Heading"/>
    <w:basedOn w:val="Heading1"/>
    <w:next w:val="Normal"/>
    <w:uiPriority w:val="39"/>
    <w:unhideWhenUsed/>
    <w:qFormat/>
    <w:rsid w:val="00F93F0B"/>
    <w:pPr>
      <w:spacing w:line="276" w:lineRule="auto"/>
      <w:ind w:firstLine="0"/>
      <w:jc w:val="left"/>
      <w:outlineLvl w:val="9"/>
    </w:pPr>
  </w:style>
  <w:style w:type="paragraph" w:styleId="TOC1">
    <w:name w:val="toc 1"/>
    <w:basedOn w:val="Normal"/>
    <w:next w:val="Normal"/>
    <w:autoRedefine/>
    <w:uiPriority w:val="39"/>
    <w:unhideWhenUsed/>
    <w:rsid w:val="00C7478A"/>
    <w:pPr>
      <w:tabs>
        <w:tab w:val="right" w:leader="dot" w:pos="8494"/>
      </w:tabs>
      <w:spacing w:after="100" w:line="276" w:lineRule="auto"/>
      <w:ind w:firstLine="0"/>
      <w:jc w:val="left"/>
    </w:pPr>
    <w:rPr>
      <w:rFonts w:eastAsiaTheme="minorHAnsi"/>
      <w:b/>
      <w:noProof/>
      <w:lang w:val="en-US"/>
    </w:rPr>
  </w:style>
  <w:style w:type="paragraph" w:customStyle="1" w:styleId="normaldiss">
    <w:name w:val="normal diss"/>
    <w:basedOn w:val="Normal"/>
    <w:link w:val="normaldissChar"/>
    <w:qFormat/>
    <w:rsid w:val="00F93F0B"/>
    <w:pPr>
      <w:autoSpaceDE w:val="0"/>
      <w:autoSpaceDN w:val="0"/>
      <w:adjustRightInd w:val="0"/>
      <w:spacing w:after="0"/>
      <w:ind w:firstLine="851"/>
    </w:pPr>
    <w:rPr>
      <w:rFonts w:eastAsiaTheme="minorHAnsi" w:cstheme="minorBidi"/>
    </w:rPr>
  </w:style>
  <w:style w:type="character" w:customStyle="1" w:styleId="normaldissChar">
    <w:name w:val="normal diss Char"/>
    <w:basedOn w:val="DefaultParagraphFont"/>
    <w:link w:val="normaldiss"/>
    <w:rsid w:val="00F93F0B"/>
    <w:rPr>
      <w:rFonts w:ascii="Times New Roman" w:eastAsiaTheme="minorHAnsi" w:hAnsi="Times New Roman" w:cstheme="minorBidi"/>
      <w:sz w:val="24"/>
      <w:szCs w:val="24"/>
      <w:lang w:eastAsia="en-US"/>
    </w:rPr>
  </w:style>
  <w:style w:type="paragraph" w:customStyle="1" w:styleId="listas">
    <w:name w:val="listas"/>
    <w:basedOn w:val="TableofFigures"/>
    <w:link w:val="listasChar"/>
    <w:qFormat/>
    <w:rsid w:val="00F93F0B"/>
    <w:pPr>
      <w:tabs>
        <w:tab w:val="right" w:leader="dot" w:pos="9072"/>
      </w:tabs>
      <w:ind w:left="993" w:right="566" w:hanging="993"/>
    </w:pPr>
    <w:rPr>
      <w:rFonts w:ascii="Times New Roman" w:hAnsi="Times New Roman" w:cs="Times New Roman"/>
      <w:noProof/>
      <w:lang w:val="pt-PT"/>
    </w:rPr>
  </w:style>
  <w:style w:type="character" w:customStyle="1" w:styleId="TableofFiguresChar">
    <w:name w:val="Table of Figures Char"/>
    <w:basedOn w:val="DefaultParagraphFont"/>
    <w:link w:val="TableofFigures"/>
    <w:uiPriority w:val="99"/>
    <w:rsid w:val="00F93F0B"/>
    <w:rPr>
      <w:rFonts w:asciiTheme="minorHAnsi" w:eastAsiaTheme="minorHAnsi" w:hAnsiTheme="minorHAnsi" w:cstheme="minorBidi"/>
      <w:sz w:val="22"/>
      <w:szCs w:val="22"/>
      <w:lang w:eastAsia="en-US"/>
    </w:rPr>
  </w:style>
  <w:style w:type="character" w:customStyle="1" w:styleId="listasChar">
    <w:name w:val="listas Char"/>
    <w:basedOn w:val="TableofFiguresChar"/>
    <w:link w:val="listas"/>
    <w:rsid w:val="00F93F0B"/>
    <w:rPr>
      <w:rFonts w:ascii="Times New Roman" w:eastAsiaTheme="minorHAnsi" w:hAnsi="Times New Roman" w:cstheme="minorBidi"/>
      <w:noProof/>
      <w:sz w:val="22"/>
      <w:szCs w:val="22"/>
      <w:lang w:val="pt-PT" w:eastAsia="en-US"/>
    </w:rPr>
  </w:style>
  <w:style w:type="character" w:customStyle="1" w:styleId="Heading2Char">
    <w:name w:val="Heading 2 Char"/>
    <w:basedOn w:val="DefaultParagraphFont"/>
    <w:link w:val="Heading2"/>
    <w:uiPriority w:val="9"/>
    <w:rsid w:val="003B7091"/>
    <w:rPr>
      <w:rFonts w:ascii="Times New Roman" w:eastAsiaTheme="majorEastAsia" w:hAnsi="Times New Roman" w:cstheme="majorBidi"/>
      <w:b/>
      <w:bCs/>
      <w:sz w:val="28"/>
      <w:szCs w:val="26"/>
      <w:lang w:eastAsia="en-US"/>
    </w:rPr>
  </w:style>
  <w:style w:type="character" w:customStyle="1" w:styleId="Heading3Char">
    <w:name w:val="Heading 3 Char"/>
    <w:basedOn w:val="DefaultParagraphFont"/>
    <w:link w:val="Heading3"/>
    <w:uiPriority w:val="9"/>
    <w:rsid w:val="00620D8F"/>
    <w:rPr>
      <w:rFonts w:ascii="Times New Roman" w:hAnsi="Times New Roman"/>
      <w:b/>
      <w:sz w:val="24"/>
      <w:szCs w:val="24"/>
      <w:lang w:eastAsia="en-US"/>
    </w:rPr>
  </w:style>
  <w:style w:type="paragraph" w:styleId="TOC2">
    <w:name w:val="toc 2"/>
    <w:basedOn w:val="Normal"/>
    <w:next w:val="Normal"/>
    <w:autoRedefine/>
    <w:uiPriority w:val="39"/>
    <w:unhideWhenUsed/>
    <w:rsid w:val="006066FB"/>
    <w:pPr>
      <w:spacing w:after="100"/>
      <w:ind w:left="240"/>
    </w:pPr>
  </w:style>
  <w:style w:type="paragraph" w:styleId="TOC3">
    <w:name w:val="toc 3"/>
    <w:basedOn w:val="Normal"/>
    <w:next w:val="Normal"/>
    <w:autoRedefine/>
    <w:uiPriority w:val="39"/>
    <w:unhideWhenUsed/>
    <w:rsid w:val="006066FB"/>
    <w:pPr>
      <w:spacing w:after="100"/>
      <w:ind w:left="480"/>
    </w:pPr>
  </w:style>
  <w:style w:type="character" w:styleId="Strong">
    <w:name w:val="Strong"/>
    <w:basedOn w:val="DefaultParagraphFont"/>
    <w:uiPriority w:val="22"/>
    <w:qFormat/>
    <w:rsid w:val="00C7478A"/>
    <w:rPr>
      <w:b/>
      <w:bCs/>
    </w:rPr>
  </w:style>
</w:styles>
</file>

<file path=word/webSettings.xml><?xml version="1.0" encoding="utf-8"?>
<w:webSettings xmlns:r="http://schemas.openxmlformats.org/officeDocument/2006/relationships" xmlns:w="http://schemas.openxmlformats.org/wordprocessingml/2006/main">
  <w:divs>
    <w:div w:id="94831915">
      <w:bodyDiv w:val="1"/>
      <w:marLeft w:val="0"/>
      <w:marRight w:val="0"/>
      <w:marTop w:val="0"/>
      <w:marBottom w:val="0"/>
      <w:divBdr>
        <w:top w:val="none" w:sz="0" w:space="0" w:color="auto"/>
        <w:left w:val="none" w:sz="0" w:space="0" w:color="auto"/>
        <w:bottom w:val="none" w:sz="0" w:space="0" w:color="auto"/>
        <w:right w:val="none" w:sz="0" w:space="0" w:color="auto"/>
      </w:divBdr>
    </w:div>
    <w:div w:id="557519668">
      <w:bodyDiv w:val="1"/>
      <w:marLeft w:val="0"/>
      <w:marRight w:val="0"/>
      <w:marTop w:val="0"/>
      <w:marBottom w:val="0"/>
      <w:divBdr>
        <w:top w:val="none" w:sz="0" w:space="0" w:color="auto"/>
        <w:left w:val="none" w:sz="0" w:space="0" w:color="auto"/>
        <w:bottom w:val="none" w:sz="0" w:space="0" w:color="auto"/>
        <w:right w:val="none" w:sz="0" w:space="0" w:color="auto"/>
      </w:divBdr>
    </w:div>
    <w:div w:id="900822017">
      <w:bodyDiv w:val="1"/>
      <w:marLeft w:val="0"/>
      <w:marRight w:val="0"/>
      <w:marTop w:val="0"/>
      <w:marBottom w:val="0"/>
      <w:divBdr>
        <w:top w:val="none" w:sz="0" w:space="0" w:color="auto"/>
        <w:left w:val="none" w:sz="0" w:space="0" w:color="auto"/>
        <w:bottom w:val="none" w:sz="0" w:space="0" w:color="auto"/>
        <w:right w:val="none" w:sz="0" w:space="0" w:color="auto"/>
      </w:divBdr>
    </w:div>
    <w:div w:id="1196503333">
      <w:bodyDiv w:val="1"/>
      <w:marLeft w:val="0"/>
      <w:marRight w:val="0"/>
      <w:marTop w:val="0"/>
      <w:marBottom w:val="0"/>
      <w:divBdr>
        <w:top w:val="none" w:sz="0" w:space="0" w:color="auto"/>
        <w:left w:val="none" w:sz="0" w:space="0" w:color="auto"/>
        <w:bottom w:val="none" w:sz="0" w:space="0" w:color="auto"/>
        <w:right w:val="none" w:sz="0" w:space="0" w:color="auto"/>
      </w:divBdr>
    </w:div>
    <w:div w:id="1223178530">
      <w:bodyDiv w:val="1"/>
      <w:marLeft w:val="0"/>
      <w:marRight w:val="0"/>
      <w:marTop w:val="0"/>
      <w:marBottom w:val="0"/>
      <w:divBdr>
        <w:top w:val="none" w:sz="0" w:space="0" w:color="auto"/>
        <w:left w:val="none" w:sz="0" w:space="0" w:color="auto"/>
        <w:bottom w:val="none" w:sz="0" w:space="0" w:color="auto"/>
        <w:right w:val="none" w:sz="0" w:space="0" w:color="auto"/>
      </w:divBdr>
    </w:div>
    <w:div w:id="1271359761">
      <w:bodyDiv w:val="1"/>
      <w:marLeft w:val="0"/>
      <w:marRight w:val="0"/>
      <w:marTop w:val="0"/>
      <w:marBottom w:val="0"/>
      <w:divBdr>
        <w:top w:val="none" w:sz="0" w:space="0" w:color="auto"/>
        <w:left w:val="none" w:sz="0" w:space="0" w:color="auto"/>
        <w:bottom w:val="none" w:sz="0" w:space="0" w:color="auto"/>
        <w:right w:val="none" w:sz="0" w:space="0" w:color="auto"/>
      </w:divBdr>
    </w:div>
    <w:div w:id="1464352639">
      <w:bodyDiv w:val="1"/>
      <w:marLeft w:val="0"/>
      <w:marRight w:val="0"/>
      <w:marTop w:val="0"/>
      <w:marBottom w:val="0"/>
      <w:divBdr>
        <w:top w:val="none" w:sz="0" w:space="0" w:color="auto"/>
        <w:left w:val="none" w:sz="0" w:space="0" w:color="auto"/>
        <w:bottom w:val="none" w:sz="0" w:space="0" w:color="auto"/>
        <w:right w:val="none" w:sz="0" w:space="0" w:color="auto"/>
      </w:divBdr>
    </w:div>
    <w:div w:id="1473674150">
      <w:bodyDiv w:val="1"/>
      <w:marLeft w:val="0"/>
      <w:marRight w:val="0"/>
      <w:marTop w:val="0"/>
      <w:marBottom w:val="0"/>
      <w:divBdr>
        <w:top w:val="none" w:sz="0" w:space="0" w:color="auto"/>
        <w:left w:val="none" w:sz="0" w:space="0" w:color="auto"/>
        <w:bottom w:val="none" w:sz="0" w:space="0" w:color="auto"/>
        <w:right w:val="none" w:sz="0" w:space="0" w:color="auto"/>
      </w:divBdr>
    </w:div>
    <w:div w:id="1552690559">
      <w:bodyDiv w:val="1"/>
      <w:marLeft w:val="0"/>
      <w:marRight w:val="0"/>
      <w:marTop w:val="0"/>
      <w:marBottom w:val="0"/>
      <w:divBdr>
        <w:top w:val="none" w:sz="0" w:space="0" w:color="auto"/>
        <w:left w:val="none" w:sz="0" w:space="0" w:color="auto"/>
        <w:bottom w:val="none" w:sz="0" w:space="0" w:color="auto"/>
        <w:right w:val="none" w:sz="0" w:space="0" w:color="auto"/>
      </w:divBdr>
    </w:div>
    <w:div w:id="1604797269">
      <w:bodyDiv w:val="1"/>
      <w:marLeft w:val="0"/>
      <w:marRight w:val="0"/>
      <w:marTop w:val="0"/>
      <w:marBottom w:val="0"/>
      <w:divBdr>
        <w:top w:val="none" w:sz="0" w:space="0" w:color="auto"/>
        <w:left w:val="none" w:sz="0" w:space="0" w:color="auto"/>
        <w:bottom w:val="none" w:sz="0" w:space="0" w:color="auto"/>
        <w:right w:val="none" w:sz="0" w:space="0" w:color="auto"/>
      </w:divBdr>
    </w:div>
    <w:div w:id="1674527058">
      <w:bodyDiv w:val="1"/>
      <w:marLeft w:val="0"/>
      <w:marRight w:val="0"/>
      <w:marTop w:val="0"/>
      <w:marBottom w:val="0"/>
      <w:divBdr>
        <w:top w:val="none" w:sz="0" w:space="0" w:color="auto"/>
        <w:left w:val="none" w:sz="0" w:space="0" w:color="auto"/>
        <w:bottom w:val="none" w:sz="0" w:space="0" w:color="auto"/>
        <w:right w:val="none" w:sz="0" w:space="0" w:color="auto"/>
      </w:divBdr>
    </w:div>
    <w:div w:id="1732388666">
      <w:bodyDiv w:val="1"/>
      <w:marLeft w:val="0"/>
      <w:marRight w:val="0"/>
      <w:marTop w:val="0"/>
      <w:marBottom w:val="0"/>
      <w:divBdr>
        <w:top w:val="none" w:sz="0" w:space="0" w:color="auto"/>
        <w:left w:val="none" w:sz="0" w:space="0" w:color="auto"/>
        <w:bottom w:val="none" w:sz="0" w:space="0" w:color="auto"/>
        <w:right w:val="none" w:sz="0" w:space="0" w:color="auto"/>
      </w:divBdr>
    </w:div>
    <w:div w:id="1839271616">
      <w:bodyDiv w:val="1"/>
      <w:marLeft w:val="0"/>
      <w:marRight w:val="0"/>
      <w:marTop w:val="0"/>
      <w:marBottom w:val="0"/>
      <w:divBdr>
        <w:top w:val="none" w:sz="0" w:space="0" w:color="auto"/>
        <w:left w:val="none" w:sz="0" w:space="0" w:color="auto"/>
        <w:bottom w:val="none" w:sz="0" w:space="0" w:color="auto"/>
        <w:right w:val="none" w:sz="0" w:space="0" w:color="auto"/>
      </w:divBdr>
    </w:div>
    <w:div w:id="1921518849">
      <w:bodyDiv w:val="1"/>
      <w:marLeft w:val="0"/>
      <w:marRight w:val="0"/>
      <w:marTop w:val="0"/>
      <w:marBottom w:val="0"/>
      <w:divBdr>
        <w:top w:val="none" w:sz="0" w:space="0" w:color="auto"/>
        <w:left w:val="none" w:sz="0" w:space="0" w:color="auto"/>
        <w:bottom w:val="none" w:sz="0" w:space="0" w:color="auto"/>
        <w:right w:val="none" w:sz="0" w:space="0" w:color="auto"/>
      </w:divBdr>
    </w:div>
    <w:div w:id="2094931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EF25E6-1C9E-428C-8938-BC13394AEA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20</Pages>
  <Words>10949</Words>
  <Characters>59125</Characters>
  <Application>Microsoft Office Word</Application>
  <DocSecurity>0</DocSecurity>
  <Lines>492</Lines>
  <Paragraphs>139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69935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Gabriel</dc:creator>
  <cp:lastModifiedBy>silvinha.vasconcelos</cp:lastModifiedBy>
  <cp:revision>2</cp:revision>
  <cp:lastPrinted>2013-08-07T02:11:00Z</cp:lastPrinted>
  <dcterms:created xsi:type="dcterms:W3CDTF">2014-07-23T13:14:00Z</dcterms:created>
  <dcterms:modified xsi:type="dcterms:W3CDTF">2014-07-23T13:14:00Z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quationNumberFormat">
    <vt:lpwstr>EquationNumberOnly</vt:lpwstr>
  </property>
</Properties>
</file>