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4FC577" w14:textId="77777777" w:rsidR="004B7E30" w:rsidRDefault="00C56A24" w:rsidP="0061628E">
      <w:pPr>
        <w:jc w:val="center"/>
        <w:rPr>
          <w:b/>
        </w:rPr>
      </w:pPr>
      <w:r>
        <w:rPr>
          <w:b/>
        </w:rPr>
        <w:t>S</w:t>
      </w:r>
      <w:r w:rsidR="00F633C9">
        <w:rPr>
          <w:b/>
        </w:rPr>
        <w:t>egurança d</w:t>
      </w:r>
      <w:r w:rsidR="00F04C92">
        <w:rPr>
          <w:b/>
        </w:rPr>
        <w:t>o a</w:t>
      </w:r>
      <w:r w:rsidR="00F633C9" w:rsidRPr="00F633C9">
        <w:rPr>
          <w:b/>
        </w:rPr>
        <w:t xml:space="preserve">limento </w:t>
      </w:r>
      <w:r w:rsidR="00F633C9">
        <w:rPr>
          <w:b/>
        </w:rPr>
        <w:t>e</w:t>
      </w:r>
      <w:r w:rsidR="00F633C9" w:rsidRPr="00F633C9">
        <w:rPr>
          <w:b/>
        </w:rPr>
        <w:t xml:space="preserve"> </w:t>
      </w:r>
      <w:r w:rsidR="00F633C9">
        <w:rPr>
          <w:b/>
        </w:rPr>
        <w:t>a d</w:t>
      </w:r>
      <w:r w:rsidR="00F633C9" w:rsidRPr="00F633C9">
        <w:rPr>
          <w:b/>
        </w:rPr>
        <w:t xml:space="preserve">emanda </w:t>
      </w:r>
      <w:r w:rsidR="00F633C9">
        <w:rPr>
          <w:b/>
        </w:rPr>
        <w:t>p</w:t>
      </w:r>
      <w:r w:rsidR="00F04C92">
        <w:rPr>
          <w:b/>
        </w:rPr>
        <w:t>or c</w:t>
      </w:r>
      <w:r w:rsidR="00F633C9" w:rsidRPr="00F633C9">
        <w:rPr>
          <w:b/>
        </w:rPr>
        <w:t>arne</w:t>
      </w:r>
      <w:r w:rsidR="00F633C9">
        <w:rPr>
          <w:b/>
        </w:rPr>
        <w:t>s n</w:t>
      </w:r>
      <w:r w:rsidR="00F633C9" w:rsidRPr="00F633C9">
        <w:rPr>
          <w:b/>
        </w:rPr>
        <w:t>o Brasil</w:t>
      </w:r>
      <w:r w:rsidR="00983A09" w:rsidRPr="003332A8">
        <w:rPr>
          <w:rStyle w:val="FootnoteReference"/>
        </w:rPr>
        <w:footnoteReference w:id="1"/>
      </w:r>
    </w:p>
    <w:p w14:paraId="75571DAD" w14:textId="77777777" w:rsidR="007D6B63" w:rsidRDefault="007D6B63" w:rsidP="007D6B63">
      <w:pPr>
        <w:jc w:val="center"/>
        <w:rPr>
          <w:b/>
        </w:rPr>
      </w:pPr>
    </w:p>
    <w:p w14:paraId="2A1A5F93" w14:textId="77777777" w:rsidR="002D0217" w:rsidRDefault="002D0217" w:rsidP="002D0217">
      <w:pPr>
        <w:jc w:val="right"/>
      </w:pPr>
      <w:r>
        <w:t>Moisés de Andrade Resende Filho</w:t>
      </w:r>
      <w:r>
        <w:rPr>
          <w:rStyle w:val="FootnoteReference"/>
        </w:rPr>
        <w:footnoteReference w:id="2"/>
      </w:r>
    </w:p>
    <w:p w14:paraId="50D14944" w14:textId="77777777" w:rsidR="002D0217" w:rsidRDefault="002D0217" w:rsidP="002D0217">
      <w:pPr>
        <w:jc w:val="right"/>
      </w:pPr>
      <w:r>
        <w:t>Karina Junqueira de Souza</w:t>
      </w:r>
      <w:r>
        <w:rPr>
          <w:rStyle w:val="FootnoteReference"/>
        </w:rPr>
        <w:footnoteReference w:id="3"/>
      </w:r>
    </w:p>
    <w:p w14:paraId="07F49EC2" w14:textId="77777777" w:rsidR="002D0217" w:rsidRDefault="002D0217" w:rsidP="002D0217">
      <w:pPr>
        <w:jc w:val="right"/>
      </w:pPr>
      <w:r w:rsidRPr="00361030">
        <w:t>Luís Cristóvão Ferreira L</w:t>
      </w:r>
      <w:r>
        <w:t>ima</w:t>
      </w:r>
      <w:r>
        <w:rPr>
          <w:rStyle w:val="FootnoteReference"/>
        </w:rPr>
        <w:footnoteReference w:id="4"/>
      </w:r>
    </w:p>
    <w:p w14:paraId="4E7B1EEA" w14:textId="77777777" w:rsidR="00E56A54" w:rsidRPr="00B127A8" w:rsidRDefault="00E56A54" w:rsidP="00BC6645">
      <w:pPr>
        <w:jc w:val="both"/>
        <w:rPr>
          <w:b/>
        </w:rPr>
      </w:pPr>
      <w:r w:rsidRPr="00B127A8">
        <w:rPr>
          <w:b/>
        </w:rPr>
        <w:t>Resumo</w:t>
      </w:r>
    </w:p>
    <w:p w14:paraId="645DD7D0" w14:textId="77777777" w:rsidR="000407FD" w:rsidRDefault="008434DB" w:rsidP="00BC6645">
      <w:pPr>
        <w:jc w:val="both"/>
      </w:pPr>
      <w:r>
        <w:t>I</w:t>
      </w:r>
      <w:r w:rsidR="008A11B6">
        <w:t>nvestiga</w:t>
      </w:r>
      <w:r>
        <w:t>-se</w:t>
      </w:r>
      <w:r w:rsidR="0055362B">
        <w:t xml:space="preserve"> </w:t>
      </w:r>
      <w:r w:rsidR="00B5248C">
        <w:t xml:space="preserve">se </w:t>
      </w:r>
      <w:r w:rsidR="0055362B">
        <w:t>crises de segurança do alimento a</w:t>
      </w:r>
      <w:r w:rsidR="00B5248C">
        <w:t>fetam as demandas por carne bov</w:t>
      </w:r>
      <w:r>
        <w:t>ina, suína e de frango no Brasil</w:t>
      </w:r>
      <w:r w:rsidR="00B5248C">
        <w:t xml:space="preserve">. Constroem-se </w:t>
      </w:r>
      <w:r>
        <w:t xml:space="preserve">séries de </w:t>
      </w:r>
      <w:r w:rsidR="00B5248C" w:rsidRPr="007641F8">
        <w:t>índices de segurança do alimento</w:t>
      </w:r>
      <w:r>
        <w:t>,</w:t>
      </w:r>
      <w:r w:rsidR="00B5248C" w:rsidRPr="007641F8">
        <w:t xml:space="preserve"> </w:t>
      </w:r>
      <w:r w:rsidR="00B5248C">
        <w:t xml:space="preserve">para cada </w:t>
      </w:r>
      <w:r w:rsidR="0055362B">
        <w:t xml:space="preserve">tipo de </w:t>
      </w:r>
      <w:r w:rsidR="00B5248C">
        <w:t>carne</w:t>
      </w:r>
      <w:r>
        <w:t>,</w:t>
      </w:r>
      <w:r w:rsidR="00B5248C">
        <w:t xml:space="preserve"> </w:t>
      </w:r>
      <w:r>
        <w:t xml:space="preserve">contabilizando </w:t>
      </w:r>
      <w:r w:rsidR="00B5248C" w:rsidRPr="007641F8">
        <w:t xml:space="preserve">o </w:t>
      </w:r>
      <w:r>
        <w:t xml:space="preserve">total </w:t>
      </w:r>
      <w:r w:rsidR="00B5248C" w:rsidRPr="007641F8">
        <w:t xml:space="preserve">de páginas da </w:t>
      </w:r>
      <w:r w:rsidR="00B5248C">
        <w:t>Folha de São Paulo</w:t>
      </w:r>
      <w:r w:rsidR="008A11B6">
        <w:t>,</w:t>
      </w:r>
      <w:r w:rsidR="00B5248C" w:rsidRPr="007641F8">
        <w:t xml:space="preserve"> que atend</w:t>
      </w:r>
      <w:r w:rsidR="00B5248C">
        <w:t>em a</w:t>
      </w:r>
      <w:r w:rsidR="00B5248C" w:rsidRPr="007641F8">
        <w:t xml:space="preserve"> critérios </w:t>
      </w:r>
      <w:r w:rsidR="00B5248C">
        <w:t xml:space="preserve">predefinidos </w:t>
      </w:r>
      <w:r w:rsidR="00B5248C" w:rsidRPr="007641F8">
        <w:t>d</w:t>
      </w:r>
      <w:r w:rsidR="00B5248C">
        <w:t>e</w:t>
      </w:r>
      <w:r w:rsidR="00B5248C" w:rsidRPr="007641F8">
        <w:t xml:space="preserve"> busca</w:t>
      </w:r>
      <w:r w:rsidR="00B5248C">
        <w:t xml:space="preserve">. </w:t>
      </w:r>
      <w:r>
        <w:t>Utilizam-se os</w:t>
      </w:r>
      <w:r w:rsidR="00C56A24">
        <w:t xml:space="preserve"> </w:t>
      </w:r>
      <w:r w:rsidR="00965B15">
        <w:t xml:space="preserve">três </w:t>
      </w:r>
      <w:r w:rsidR="00F04C92">
        <w:t>índices</w:t>
      </w:r>
      <w:r>
        <w:t xml:space="preserve"> de segurança do alimento</w:t>
      </w:r>
      <w:r w:rsidR="00F04C92">
        <w:t xml:space="preserve">, </w:t>
      </w:r>
      <w:r>
        <w:t>os</w:t>
      </w:r>
      <w:r w:rsidR="00B5248C">
        <w:t xml:space="preserve"> preço</w:t>
      </w:r>
      <w:r>
        <w:t>s</w:t>
      </w:r>
      <w:r w:rsidR="00B5248C">
        <w:t xml:space="preserve"> d</w:t>
      </w:r>
      <w:r>
        <w:t>e</w:t>
      </w:r>
      <w:r w:rsidR="00B5248C">
        <w:t xml:space="preserve"> cada carne</w:t>
      </w:r>
      <w:r>
        <w:t xml:space="preserve"> e </w:t>
      </w:r>
      <w:r w:rsidR="00B5248C">
        <w:t xml:space="preserve">de um bem composto e </w:t>
      </w:r>
      <w:r w:rsidR="00F04C92">
        <w:t xml:space="preserve">o </w:t>
      </w:r>
      <w:r w:rsidR="00B5248C" w:rsidRPr="00094D3F">
        <w:t>gasto per capita com consumo</w:t>
      </w:r>
      <w:r w:rsidR="008A11B6">
        <w:t>,</w:t>
      </w:r>
      <w:r w:rsidR="00AE5476">
        <w:t xml:space="preserve"> </w:t>
      </w:r>
      <w:r w:rsidR="00B5248C">
        <w:t>como variáveis explicativas em seis especificações alternativas de um sistem</w:t>
      </w:r>
      <w:r w:rsidR="00EC4269">
        <w:t>a de quatro equações de demanda. Seleciona</w:t>
      </w:r>
      <w:r w:rsidR="00774622">
        <w:t>-se</w:t>
      </w:r>
      <w:r w:rsidR="00B33B18">
        <w:t xml:space="preserve"> </w:t>
      </w:r>
      <w:r w:rsidR="00F04C92">
        <w:t>a</w:t>
      </w:r>
      <w:r w:rsidR="00774622">
        <w:t xml:space="preserve"> melhor</w:t>
      </w:r>
      <w:r w:rsidR="00F04C92">
        <w:t xml:space="preserve"> especificação </w:t>
      </w:r>
      <w:r w:rsidR="00774622">
        <w:t>d</w:t>
      </w:r>
      <w:r w:rsidR="00F04C92">
        <w:t xml:space="preserve">o modelo com base em </w:t>
      </w:r>
      <w:r w:rsidR="00B33B18">
        <w:t xml:space="preserve">testes de </w:t>
      </w:r>
      <w:r w:rsidR="00B33B18" w:rsidRPr="00115F65">
        <w:t>razão de verossimilhança</w:t>
      </w:r>
      <w:r>
        <w:t>. O</w:t>
      </w:r>
      <w:r w:rsidR="00F04C92">
        <w:t xml:space="preserve"> </w:t>
      </w:r>
      <w:r>
        <w:t xml:space="preserve">modelo preferido </w:t>
      </w:r>
      <w:r w:rsidR="00965B15">
        <w:t>não permite rejeitar a hipótese de</w:t>
      </w:r>
      <w:r w:rsidR="00B33B18">
        <w:t xml:space="preserve"> </w:t>
      </w:r>
      <w:r w:rsidR="00320AFD">
        <w:t xml:space="preserve">que as demandas por carnes não são afetadas por </w:t>
      </w:r>
      <w:r w:rsidR="00B5248C" w:rsidRPr="00CF470D">
        <w:t xml:space="preserve">crises de </w:t>
      </w:r>
      <w:r w:rsidR="00320AFD">
        <w:t>segurança do alimento</w:t>
      </w:r>
      <w:r w:rsidR="00965B15">
        <w:t xml:space="preserve">. Com isto, é improvável </w:t>
      </w:r>
      <w:r w:rsidR="00AA534E">
        <w:t xml:space="preserve">a </w:t>
      </w:r>
      <w:r w:rsidR="008A11B6">
        <w:t xml:space="preserve">internalização </w:t>
      </w:r>
      <w:r w:rsidR="002C3904">
        <w:t xml:space="preserve">pelo setor produtivo de carnes </w:t>
      </w:r>
      <w:r w:rsidR="00EC4269">
        <w:t>de</w:t>
      </w:r>
      <w:r w:rsidR="008A11B6">
        <w:t xml:space="preserve"> </w:t>
      </w:r>
      <w:r w:rsidR="00965B15">
        <w:t xml:space="preserve">parte das </w:t>
      </w:r>
      <w:r w:rsidR="008A11B6">
        <w:t xml:space="preserve">externalidades negativas geradas </w:t>
      </w:r>
      <w:r w:rsidR="00E65803">
        <w:t xml:space="preserve">por </w:t>
      </w:r>
      <w:r w:rsidR="008A11B6">
        <w:t>crises de segurança do alimento</w:t>
      </w:r>
      <w:r w:rsidR="002C3904">
        <w:t xml:space="preserve">. </w:t>
      </w:r>
      <w:r w:rsidR="00965B15">
        <w:t>Ou seja</w:t>
      </w:r>
      <w:r w:rsidR="002C3904">
        <w:t>,</w:t>
      </w:r>
      <w:r w:rsidR="00320AFD">
        <w:t xml:space="preserve"> </w:t>
      </w:r>
      <w:r w:rsidR="007E20FC">
        <w:t>falha</w:t>
      </w:r>
      <w:r w:rsidR="002C3904">
        <w:t>s</w:t>
      </w:r>
      <w:r w:rsidR="00AE302A">
        <w:t xml:space="preserve"> </w:t>
      </w:r>
      <w:r w:rsidR="002C3904">
        <w:t xml:space="preserve">nos </w:t>
      </w:r>
      <w:r w:rsidR="00AE302A">
        <w:t>mercado</w:t>
      </w:r>
      <w:r w:rsidR="002C3904">
        <w:t>s de carnes</w:t>
      </w:r>
      <w:r w:rsidR="00AE302A">
        <w:t xml:space="preserve"> </w:t>
      </w:r>
      <w:r w:rsidR="007E20FC">
        <w:t>associada</w:t>
      </w:r>
      <w:r w:rsidR="002C3904">
        <w:t>s</w:t>
      </w:r>
      <w:r w:rsidR="007E20FC">
        <w:t xml:space="preserve"> </w:t>
      </w:r>
      <w:r w:rsidR="00AE302A">
        <w:t xml:space="preserve">à </w:t>
      </w:r>
      <w:r w:rsidR="008A11B6">
        <w:t xml:space="preserve">falta de </w:t>
      </w:r>
      <w:r w:rsidR="00AE302A">
        <w:t>segurança do alimento</w:t>
      </w:r>
      <w:r w:rsidR="00D41F01">
        <w:t>, caso existam,</w:t>
      </w:r>
      <w:r w:rsidR="00AE302A">
        <w:t xml:space="preserve"> </w:t>
      </w:r>
      <w:r w:rsidR="008D25AF">
        <w:t xml:space="preserve">não </w:t>
      </w:r>
      <w:r w:rsidR="00D41F01">
        <w:t>são</w:t>
      </w:r>
      <w:r w:rsidR="002C3904">
        <w:t xml:space="preserve"> </w:t>
      </w:r>
      <w:r w:rsidR="008A11B6">
        <w:t>mitigada</w:t>
      </w:r>
      <w:r w:rsidR="002C3904">
        <w:t>s</w:t>
      </w:r>
      <w:r w:rsidR="008A11B6">
        <w:t xml:space="preserve"> por reações da</w:t>
      </w:r>
      <w:r w:rsidR="00D41F01">
        <w:t>s</w:t>
      </w:r>
      <w:r w:rsidR="008A11B6">
        <w:t xml:space="preserve"> demanda</w:t>
      </w:r>
      <w:r w:rsidR="00D41F01">
        <w:t>s</w:t>
      </w:r>
      <w:r w:rsidR="00AE302A">
        <w:t xml:space="preserve">. </w:t>
      </w:r>
    </w:p>
    <w:p w14:paraId="7F2D3A79" w14:textId="77777777" w:rsidR="00B5248C" w:rsidRDefault="00B5248C" w:rsidP="00BC6645">
      <w:pPr>
        <w:jc w:val="both"/>
        <w:rPr>
          <w:b/>
        </w:rPr>
      </w:pPr>
      <w:r w:rsidRPr="00192D3A">
        <w:rPr>
          <w:b/>
        </w:rPr>
        <w:t>Palavras</w:t>
      </w:r>
      <w:r>
        <w:rPr>
          <w:b/>
        </w:rPr>
        <w:t>-C</w:t>
      </w:r>
      <w:r w:rsidRPr="00192D3A">
        <w:rPr>
          <w:b/>
        </w:rPr>
        <w:t>have</w:t>
      </w:r>
    </w:p>
    <w:p w14:paraId="05293417" w14:textId="77777777" w:rsidR="00B5248C" w:rsidRDefault="00F04C92" w:rsidP="00BC6645">
      <w:pPr>
        <w:autoSpaceDE w:val="0"/>
        <w:autoSpaceDN w:val="0"/>
        <w:adjustRightInd w:val="0"/>
        <w:jc w:val="both"/>
      </w:pPr>
      <w:r>
        <w:t>s</w:t>
      </w:r>
      <w:r w:rsidR="00B5248C" w:rsidRPr="00AA00CB">
        <w:t xml:space="preserve">egurança </w:t>
      </w:r>
      <w:r w:rsidR="00D41F01">
        <w:t>do alimento, sistemas de equações</w:t>
      </w:r>
      <w:r w:rsidR="00B5248C" w:rsidRPr="00AA00CB">
        <w:t xml:space="preserve"> de demanda, </w:t>
      </w:r>
      <w:r w:rsidR="00B5248C">
        <w:t>setor de carnes, Brasil</w:t>
      </w:r>
      <w:r w:rsidR="00B5248C" w:rsidRPr="00AA00CB">
        <w:t>.</w:t>
      </w:r>
    </w:p>
    <w:p w14:paraId="18BFFAD9" w14:textId="77777777" w:rsidR="00B5248C" w:rsidRPr="00AA00CB" w:rsidRDefault="00B5248C" w:rsidP="00BC6645">
      <w:pPr>
        <w:autoSpaceDE w:val="0"/>
        <w:autoSpaceDN w:val="0"/>
        <w:adjustRightInd w:val="0"/>
        <w:jc w:val="both"/>
      </w:pPr>
      <w:r w:rsidRPr="00F04C92">
        <w:rPr>
          <w:b/>
        </w:rPr>
        <w:t>Classificação JEL</w:t>
      </w:r>
      <w:r>
        <w:t xml:space="preserve"> </w:t>
      </w:r>
      <w:r>
        <w:rPr>
          <w:rFonts w:ascii="Times-Roman" w:hAnsi="Times-Roman" w:cs="Times-Roman"/>
          <w:lang w:val="fr-FR"/>
        </w:rPr>
        <w:t>C32</w:t>
      </w:r>
      <w:r w:rsidRPr="00AA00CB">
        <w:rPr>
          <w:rFonts w:ascii="Times-Roman" w:hAnsi="Times-Roman" w:cs="Times-Roman"/>
          <w:lang w:val="fr-FR"/>
        </w:rPr>
        <w:t>, Q11, Q13, Q18.</w:t>
      </w:r>
    </w:p>
    <w:p w14:paraId="18071BEB" w14:textId="77777777" w:rsidR="00E56A54" w:rsidRPr="00B127A8" w:rsidRDefault="00E56A54" w:rsidP="00BC6645">
      <w:pPr>
        <w:jc w:val="both"/>
      </w:pPr>
    </w:p>
    <w:p w14:paraId="63C6CBFA" w14:textId="77777777" w:rsidR="00F04C92" w:rsidRDefault="00A857E2" w:rsidP="00BC6645">
      <w:pPr>
        <w:rPr>
          <w:b/>
          <w:lang w:val="en-US"/>
        </w:rPr>
      </w:pPr>
      <w:r>
        <w:rPr>
          <w:b/>
          <w:lang w:val="en-US"/>
        </w:rPr>
        <w:t xml:space="preserve">Food safety </w:t>
      </w:r>
      <w:r w:rsidR="00F04C92">
        <w:rPr>
          <w:b/>
          <w:lang w:val="en-US"/>
        </w:rPr>
        <w:t>and the demand for meat in Brazil</w:t>
      </w:r>
    </w:p>
    <w:p w14:paraId="5C8C2C35" w14:textId="77777777" w:rsidR="00E56A54" w:rsidRPr="003612F0" w:rsidRDefault="00E56A54" w:rsidP="00BC6645">
      <w:pPr>
        <w:pStyle w:val="BodyText"/>
        <w:rPr>
          <w:rFonts w:ascii="Times New Roman" w:hAnsi="Times New Roman" w:cs="Times New Roman"/>
          <w:b/>
          <w:lang w:val="en-US"/>
        </w:rPr>
      </w:pPr>
      <w:r w:rsidRPr="003612F0">
        <w:rPr>
          <w:rFonts w:ascii="Times New Roman" w:hAnsi="Times New Roman" w:cs="Times New Roman"/>
          <w:b/>
          <w:lang w:val="en-US"/>
        </w:rPr>
        <w:t>Abstract</w:t>
      </w:r>
    </w:p>
    <w:p w14:paraId="0888C6CC" w14:textId="77777777" w:rsidR="002C3904" w:rsidRDefault="00592E94" w:rsidP="00BC6645">
      <w:pPr>
        <w:jc w:val="both"/>
        <w:rPr>
          <w:lang w:val="en-US"/>
        </w:rPr>
      </w:pPr>
      <w:r>
        <w:rPr>
          <w:lang w:val="en-US"/>
        </w:rPr>
        <w:t xml:space="preserve">We investigate </w:t>
      </w:r>
      <w:r w:rsidRPr="00F942C9">
        <w:rPr>
          <w:lang w:val="en-US"/>
        </w:rPr>
        <w:t xml:space="preserve">whether </w:t>
      </w:r>
      <w:r w:rsidR="00C11026">
        <w:rPr>
          <w:lang w:val="en-US"/>
        </w:rPr>
        <w:t>food security crise</w:t>
      </w:r>
      <w:r>
        <w:rPr>
          <w:lang w:val="en-US"/>
        </w:rPr>
        <w:t>s affect</w:t>
      </w:r>
      <w:r w:rsidRPr="00F942C9">
        <w:rPr>
          <w:lang w:val="en-US"/>
        </w:rPr>
        <w:t xml:space="preserve"> the demand for b</w:t>
      </w:r>
      <w:r>
        <w:rPr>
          <w:lang w:val="en-US"/>
        </w:rPr>
        <w:t>eef, pork and chicken in Brazil</w:t>
      </w:r>
      <w:r w:rsidRPr="00F942C9">
        <w:rPr>
          <w:lang w:val="en-US"/>
        </w:rPr>
        <w:t xml:space="preserve">. </w:t>
      </w:r>
      <w:r>
        <w:rPr>
          <w:lang w:val="en-US"/>
        </w:rPr>
        <w:t>We c</w:t>
      </w:r>
      <w:r w:rsidRPr="00F942C9">
        <w:rPr>
          <w:lang w:val="en-US"/>
        </w:rPr>
        <w:t>onstruct food safety ind</w:t>
      </w:r>
      <w:r w:rsidR="0012515A">
        <w:rPr>
          <w:lang w:val="en-US"/>
        </w:rPr>
        <w:t>ices</w:t>
      </w:r>
      <w:r w:rsidR="00EC4269">
        <w:rPr>
          <w:lang w:val="en-US"/>
        </w:rPr>
        <w:t xml:space="preserve"> </w:t>
      </w:r>
      <w:r w:rsidR="002C3904">
        <w:rPr>
          <w:lang w:val="en-US"/>
        </w:rPr>
        <w:t>for</w:t>
      </w:r>
      <w:r w:rsidRPr="00F942C9">
        <w:rPr>
          <w:lang w:val="en-US"/>
        </w:rPr>
        <w:t xml:space="preserve"> </w:t>
      </w:r>
      <w:r>
        <w:rPr>
          <w:lang w:val="en-US"/>
        </w:rPr>
        <w:t xml:space="preserve">each </w:t>
      </w:r>
      <w:r w:rsidR="00EC4269">
        <w:rPr>
          <w:lang w:val="en-US"/>
        </w:rPr>
        <w:t xml:space="preserve">type of </w:t>
      </w:r>
      <w:r w:rsidRPr="00F942C9">
        <w:rPr>
          <w:lang w:val="en-US"/>
        </w:rPr>
        <w:t xml:space="preserve">meat </w:t>
      </w:r>
      <w:r w:rsidR="0012515A">
        <w:rPr>
          <w:lang w:val="en-US"/>
        </w:rPr>
        <w:t xml:space="preserve">(beef, pork and chicken) </w:t>
      </w:r>
      <w:r>
        <w:rPr>
          <w:lang w:val="en-US"/>
        </w:rPr>
        <w:t>on the basis of t</w:t>
      </w:r>
      <w:r w:rsidRPr="00F942C9">
        <w:rPr>
          <w:lang w:val="en-US"/>
        </w:rPr>
        <w:t xml:space="preserve">he total number of pages </w:t>
      </w:r>
      <w:r w:rsidR="00D41F01">
        <w:rPr>
          <w:lang w:val="en-US"/>
        </w:rPr>
        <w:t>of</w:t>
      </w:r>
      <w:r w:rsidRPr="00F942C9">
        <w:rPr>
          <w:lang w:val="en-US"/>
        </w:rPr>
        <w:t xml:space="preserve"> </w:t>
      </w:r>
      <w:r w:rsidR="00D41F01">
        <w:rPr>
          <w:lang w:val="en-US"/>
        </w:rPr>
        <w:t xml:space="preserve">the </w:t>
      </w:r>
      <w:r>
        <w:rPr>
          <w:lang w:val="en-US"/>
        </w:rPr>
        <w:t>‘</w:t>
      </w:r>
      <w:proofErr w:type="spellStart"/>
      <w:r w:rsidRPr="00F942C9">
        <w:rPr>
          <w:lang w:val="en-US"/>
        </w:rPr>
        <w:t>Folha</w:t>
      </w:r>
      <w:proofErr w:type="spellEnd"/>
      <w:r w:rsidRPr="00F942C9">
        <w:rPr>
          <w:lang w:val="en-US"/>
        </w:rPr>
        <w:t xml:space="preserve"> de São Paulo</w:t>
      </w:r>
      <w:r>
        <w:rPr>
          <w:lang w:val="en-US"/>
        </w:rPr>
        <w:t>’ newspaper that fit</w:t>
      </w:r>
      <w:r w:rsidRPr="00F942C9">
        <w:rPr>
          <w:lang w:val="en-US"/>
        </w:rPr>
        <w:t xml:space="preserve"> predefined search criteria</w:t>
      </w:r>
      <w:r w:rsidR="00774622">
        <w:rPr>
          <w:lang w:val="en-US"/>
        </w:rPr>
        <w:t>.</w:t>
      </w:r>
      <w:r w:rsidRPr="00F942C9">
        <w:rPr>
          <w:lang w:val="en-US"/>
        </w:rPr>
        <w:t xml:space="preserve"> </w:t>
      </w:r>
      <w:r w:rsidR="00D41F01">
        <w:rPr>
          <w:lang w:val="en-US"/>
        </w:rPr>
        <w:t>We use the series of food safety indices</w:t>
      </w:r>
      <w:r w:rsidRPr="00F942C9">
        <w:rPr>
          <w:lang w:val="en-US"/>
        </w:rPr>
        <w:t>, the retail price</w:t>
      </w:r>
      <w:r>
        <w:rPr>
          <w:lang w:val="en-US"/>
        </w:rPr>
        <w:t>s</w:t>
      </w:r>
      <w:r w:rsidRPr="00F942C9">
        <w:rPr>
          <w:lang w:val="en-US"/>
        </w:rPr>
        <w:t xml:space="preserve"> of each </w:t>
      </w:r>
      <w:r w:rsidR="00100F6F">
        <w:rPr>
          <w:lang w:val="en-US"/>
        </w:rPr>
        <w:t xml:space="preserve">meat and </w:t>
      </w:r>
      <w:r>
        <w:rPr>
          <w:lang w:val="en-US"/>
        </w:rPr>
        <w:t>a composite</w:t>
      </w:r>
      <w:r w:rsidRPr="00F942C9">
        <w:rPr>
          <w:lang w:val="en-US"/>
        </w:rPr>
        <w:t xml:space="preserve"> </w:t>
      </w:r>
      <w:r>
        <w:rPr>
          <w:lang w:val="en-US"/>
        </w:rPr>
        <w:t>good and per capita expenditure</w:t>
      </w:r>
      <w:r w:rsidR="00774622">
        <w:rPr>
          <w:lang w:val="en-US"/>
        </w:rPr>
        <w:t xml:space="preserve"> on consumption </w:t>
      </w:r>
      <w:r w:rsidR="00100F6F">
        <w:rPr>
          <w:lang w:val="en-US"/>
        </w:rPr>
        <w:t xml:space="preserve">as explanatory variables in six </w:t>
      </w:r>
      <w:r w:rsidR="00100F6F" w:rsidRPr="00F942C9">
        <w:rPr>
          <w:lang w:val="en-US"/>
        </w:rPr>
        <w:t>specifications</w:t>
      </w:r>
      <w:r w:rsidR="00100F6F">
        <w:rPr>
          <w:lang w:val="en-US"/>
        </w:rPr>
        <w:t xml:space="preserve"> of a</w:t>
      </w:r>
      <w:r>
        <w:rPr>
          <w:lang w:val="en-US"/>
        </w:rPr>
        <w:t xml:space="preserve"> </w:t>
      </w:r>
      <w:r w:rsidR="00D41F01">
        <w:rPr>
          <w:lang w:val="en-US"/>
        </w:rPr>
        <w:t xml:space="preserve">four equation </w:t>
      </w:r>
      <w:r w:rsidR="00100F6F">
        <w:rPr>
          <w:lang w:val="en-US"/>
        </w:rPr>
        <w:t xml:space="preserve">demand </w:t>
      </w:r>
      <w:r>
        <w:rPr>
          <w:lang w:val="en-US"/>
        </w:rPr>
        <w:t>system</w:t>
      </w:r>
      <w:r w:rsidR="00774622">
        <w:rPr>
          <w:lang w:val="en-US"/>
        </w:rPr>
        <w:t xml:space="preserve">, </w:t>
      </w:r>
      <w:r>
        <w:rPr>
          <w:lang w:val="en-US"/>
        </w:rPr>
        <w:t>select</w:t>
      </w:r>
      <w:r w:rsidR="00100F6F">
        <w:rPr>
          <w:lang w:val="en-US"/>
        </w:rPr>
        <w:t>ing</w:t>
      </w:r>
      <w:r>
        <w:rPr>
          <w:lang w:val="en-US"/>
        </w:rPr>
        <w:t xml:space="preserve"> </w:t>
      </w:r>
      <w:r w:rsidR="00100F6F">
        <w:rPr>
          <w:lang w:val="en-US"/>
        </w:rPr>
        <w:t xml:space="preserve">the preferred </w:t>
      </w:r>
      <w:r w:rsidRPr="00F942C9">
        <w:rPr>
          <w:lang w:val="en-US"/>
        </w:rPr>
        <w:t xml:space="preserve">specification </w:t>
      </w:r>
      <w:r w:rsidR="00100F6F">
        <w:rPr>
          <w:lang w:val="en-US"/>
        </w:rPr>
        <w:t xml:space="preserve">based on adjusted </w:t>
      </w:r>
      <w:r w:rsidRPr="00F942C9">
        <w:rPr>
          <w:lang w:val="en-US"/>
        </w:rPr>
        <w:t xml:space="preserve">likelihood ratio </w:t>
      </w:r>
      <w:r w:rsidR="00100F6F">
        <w:rPr>
          <w:lang w:val="en-US"/>
        </w:rPr>
        <w:t xml:space="preserve">tests. Tests based on the </w:t>
      </w:r>
      <w:r w:rsidR="00965B15">
        <w:rPr>
          <w:lang w:val="en-US"/>
        </w:rPr>
        <w:t>preferred model</w:t>
      </w:r>
      <w:r w:rsidR="00100F6F">
        <w:rPr>
          <w:lang w:val="en-US"/>
        </w:rPr>
        <w:t xml:space="preserve"> do not </w:t>
      </w:r>
      <w:r w:rsidR="00965B15">
        <w:rPr>
          <w:lang w:val="en-US"/>
        </w:rPr>
        <w:t xml:space="preserve">allow to </w:t>
      </w:r>
      <w:r w:rsidR="00100F6F">
        <w:rPr>
          <w:lang w:val="en-US"/>
        </w:rPr>
        <w:t>reject</w:t>
      </w:r>
      <w:r w:rsidR="00965B15">
        <w:rPr>
          <w:lang w:val="en-US"/>
        </w:rPr>
        <w:t>ing</w:t>
      </w:r>
      <w:r w:rsidR="00100F6F">
        <w:rPr>
          <w:lang w:val="en-US"/>
        </w:rPr>
        <w:t xml:space="preserve"> the hypothesis</w:t>
      </w:r>
      <w:r w:rsidRPr="00F942C9">
        <w:rPr>
          <w:lang w:val="en-US"/>
        </w:rPr>
        <w:t xml:space="preserve"> </w:t>
      </w:r>
      <w:r w:rsidR="00965B15">
        <w:rPr>
          <w:lang w:val="en-US"/>
        </w:rPr>
        <w:t xml:space="preserve">by which </w:t>
      </w:r>
      <w:r w:rsidRPr="00F942C9">
        <w:rPr>
          <w:lang w:val="en-US"/>
        </w:rPr>
        <w:t>food safety crises do not affect</w:t>
      </w:r>
      <w:r w:rsidR="002C3904">
        <w:rPr>
          <w:lang w:val="en-US"/>
        </w:rPr>
        <w:t xml:space="preserve"> the demand for meat in Brazil. </w:t>
      </w:r>
      <w:r w:rsidR="00965B15">
        <w:rPr>
          <w:lang w:val="en-US"/>
        </w:rPr>
        <w:t>Therefore</w:t>
      </w:r>
      <w:r w:rsidR="002C3904" w:rsidRPr="002C3904">
        <w:rPr>
          <w:lang w:val="en-US"/>
        </w:rPr>
        <w:t>, the potential internalization by the meat production sector of the nega</w:t>
      </w:r>
      <w:r w:rsidR="00D41F01">
        <w:rPr>
          <w:lang w:val="en-US"/>
        </w:rPr>
        <w:t xml:space="preserve">tive externalities </w:t>
      </w:r>
      <w:r w:rsidR="00100F6F">
        <w:rPr>
          <w:lang w:val="en-US"/>
        </w:rPr>
        <w:t xml:space="preserve">caused </w:t>
      </w:r>
      <w:r w:rsidR="00D41F01">
        <w:rPr>
          <w:lang w:val="en-US"/>
        </w:rPr>
        <w:t>by meat</w:t>
      </w:r>
      <w:r w:rsidR="00D41F01" w:rsidRPr="002C3904">
        <w:rPr>
          <w:lang w:val="en-US"/>
        </w:rPr>
        <w:t xml:space="preserve"> safety </w:t>
      </w:r>
      <w:r w:rsidR="00D41F01">
        <w:rPr>
          <w:lang w:val="en-US"/>
        </w:rPr>
        <w:t>crisi</w:t>
      </w:r>
      <w:r w:rsidR="002C3904" w:rsidRPr="002C3904">
        <w:rPr>
          <w:lang w:val="en-US"/>
        </w:rPr>
        <w:t xml:space="preserve">s </w:t>
      </w:r>
      <w:r w:rsidR="00100F6F">
        <w:rPr>
          <w:lang w:val="en-US"/>
        </w:rPr>
        <w:t xml:space="preserve">does not </w:t>
      </w:r>
      <w:r w:rsidR="00965B15">
        <w:rPr>
          <w:lang w:val="en-US"/>
        </w:rPr>
        <w:t xml:space="preserve">seem plausible </w:t>
      </w:r>
      <w:r w:rsidR="00100F6F">
        <w:rPr>
          <w:lang w:val="en-US"/>
        </w:rPr>
        <w:t xml:space="preserve">in Brazil. </w:t>
      </w:r>
      <w:r w:rsidR="00965B15">
        <w:rPr>
          <w:lang w:val="en-US"/>
        </w:rPr>
        <w:t>In other words</w:t>
      </w:r>
      <w:r w:rsidR="00100F6F">
        <w:rPr>
          <w:lang w:val="en-US"/>
        </w:rPr>
        <w:t xml:space="preserve">, if there are </w:t>
      </w:r>
      <w:r w:rsidR="00965B15">
        <w:rPr>
          <w:lang w:val="en-US"/>
        </w:rPr>
        <w:t>markets failures</w:t>
      </w:r>
      <w:r w:rsidR="00D41F01">
        <w:rPr>
          <w:lang w:val="en-US"/>
        </w:rPr>
        <w:t xml:space="preserve"> caused by </w:t>
      </w:r>
      <w:r w:rsidR="002C3904" w:rsidRPr="002C3904">
        <w:rPr>
          <w:lang w:val="en-US"/>
        </w:rPr>
        <w:t xml:space="preserve">unsafe </w:t>
      </w:r>
      <w:r w:rsidR="00D41F01">
        <w:rPr>
          <w:lang w:val="en-US"/>
        </w:rPr>
        <w:t xml:space="preserve">meat </w:t>
      </w:r>
      <w:r w:rsidR="00100F6F">
        <w:rPr>
          <w:lang w:val="en-US"/>
        </w:rPr>
        <w:t xml:space="preserve">in Brazil </w:t>
      </w:r>
      <w:r w:rsidR="00AA534E">
        <w:rPr>
          <w:lang w:val="en-US"/>
        </w:rPr>
        <w:t>they are not</w:t>
      </w:r>
      <w:r w:rsidR="00100F6F">
        <w:rPr>
          <w:lang w:val="en-US"/>
        </w:rPr>
        <w:t xml:space="preserve"> </w:t>
      </w:r>
      <w:r w:rsidR="00D41F01">
        <w:rPr>
          <w:lang w:val="en-US"/>
        </w:rPr>
        <w:t xml:space="preserve">mitigated by </w:t>
      </w:r>
      <w:r w:rsidR="00AA534E">
        <w:rPr>
          <w:lang w:val="en-US"/>
        </w:rPr>
        <w:t>demands’</w:t>
      </w:r>
      <w:r w:rsidR="00AA534E" w:rsidRPr="002C3904">
        <w:rPr>
          <w:lang w:val="en-US"/>
        </w:rPr>
        <w:t xml:space="preserve"> </w:t>
      </w:r>
      <w:r w:rsidR="002C3904" w:rsidRPr="002C3904">
        <w:rPr>
          <w:lang w:val="en-US"/>
        </w:rPr>
        <w:t>reactions.</w:t>
      </w:r>
    </w:p>
    <w:p w14:paraId="023F35E9" w14:textId="77777777" w:rsidR="00F04C92" w:rsidRDefault="00B5248C" w:rsidP="00BC6645">
      <w:pPr>
        <w:jc w:val="both"/>
        <w:rPr>
          <w:b/>
          <w:lang w:val="en-US"/>
        </w:rPr>
      </w:pPr>
      <w:r w:rsidRPr="007E204B">
        <w:rPr>
          <w:b/>
          <w:lang w:val="en-US"/>
        </w:rPr>
        <w:t>Key Words</w:t>
      </w:r>
    </w:p>
    <w:p w14:paraId="4E03EF28" w14:textId="77777777" w:rsidR="00B5248C" w:rsidRPr="007E204B" w:rsidRDefault="00B5248C" w:rsidP="00BC6645">
      <w:pPr>
        <w:rPr>
          <w:rFonts w:ascii="Times-Roman" w:hAnsi="Times-Roman" w:cs="Times-Roman"/>
          <w:lang w:val="en-US"/>
        </w:rPr>
      </w:pPr>
      <w:proofErr w:type="gramStart"/>
      <w:r w:rsidRPr="007E204B">
        <w:rPr>
          <w:rFonts w:ascii="Times-Roman" w:hAnsi="Times-Roman" w:cs="Times-Roman"/>
          <w:lang w:val="en-US"/>
        </w:rPr>
        <w:t>food</w:t>
      </w:r>
      <w:proofErr w:type="gramEnd"/>
      <w:r w:rsidRPr="007E204B">
        <w:rPr>
          <w:rFonts w:ascii="Times-Roman" w:hAnsi="Times-Roman" w:cs="Times-Roman"/>
          <w:lang w:val="en-US"/>
        </w:rPr>
        <w:t xml:space="preserve"> safe</w:t>
      </w:r>
      <w:r w:rsidR="00F9539B">
        <w:rPr>
          <w:rFonts w:ascii="Times-Roman" w:hAnsi="Times-Roman" w:cs="Times-Roman"/>
          <w:lang w:val="en-US"/>
        </w:rPr>
        <w:t>ty, system of demand equations</w:t>
      </w:r>
      <w:r>
        <w:rPr>
          <w:rFonts w:ascii="Times-Roman" w:hAnsi="Times-Roman" w:cs="Times-Roman"/>
          <w:lang w:val="en-US"/>
        </w:rPr>
        <w:t xml:space="preserve">, </w:t>
      </w:r>
      <w:r w:rsidRPr="007E204B">
        <w:rPr>
          <w:rFonts w:ascii="Times-Roman" w:hAnsi="Times-Roman" w:cs="Times-Roman"/>
          <w:lang w:val="en-US"/>
        </w:rPr>
        <w:t>meat industry, Brazil.</w:t>
      </w:r>
    </w:p>
    <w:p w14:paraId="07FA9E44" w14:textId="77777777" w:rsidR="00B5248C" w:rsidRDefault="00B5248C" w:rsidP="00BC6645">
      <w:pPr>
        <w:rPr>
          <w:rFonts w:ascii="Times-Roman" w:hAnsi="Times-Roman" w:cs="Times-Roman"/>
          <w:lang w:val="fr-FR"/>
        </w:rPr>
      </w:pPr>
      <w:r w:rsidRPr="00F04C92">
        <w:rPr>
          <w:b/>
          <w:lang w:val="fr-FR"/>
        </w:rPr>
        <w:t>JEL Classification</w:t>
      </w:r>
      <w:r>
        <w:rPr>
          <w:lang w:val="fr-FR"/>
        </w:rPr>
        <w:t xml:space="preserve">  </w:t>
      </w:r>
      <w:r>
        <w:rPr>
          <w:rFonts w:ascii="Times-Roman" w:hAnsi="Times-Roman" w:cs="Times-Roman"/>
          <w:lang w:val="fr-FR"/>
        </w:rPr>
        <w:t>C32</w:t>
      </w:r>
      <w:r w:rsidRPr="00AA00CB">
        <w:rPr>
          <w:rFonts w:ascii="Times-Roman" w:hAnsi="Times-Roman" w:cs="Times-Roman"/>
          <w:lang w:val="fr-FR"/>
        </w:rPr>
        <w:t>, Q11, Q13, Q18.</w:t>
      </w:r>
    </w:p>
    <w:p w14:paraId="34963AD2" w14:textId="77777777" w:rsidR="00BC6645" w:rsidRPr="00014470" w:rsidRDefault="00BC6645" w:rsidP="00BC6645">
      <w:pPr>
        <w:rPr>
          <w:lang w:val="fr-FR"/>
        </w:rPr>
      </w:pPr>
    </w:p>
    <w:p w14:paraId="025B52E6" w14:textId="77777777" w:rsidR="00F14FEE" w:rsidRDefault="00F14FEE">
      <w:pPr>
        <w:rPr>
          <w:b/>
        </w:rPr>
      </w:pPr>
      <w:r>
        <w:rPr>
          <w:b/>
        </w:rPr>
        <w:br w:type="page"/>
      </w:r>
    </w:p>
    <w:p w14:paraId="0487F569" w14:textId="77777777" w:rsidR="000E2DE2" w:rsidRPr="00702AD3" w:rsidRDefault="000E2DE2" w:rsidP="00BC6645">
      <w:pPr>
        <w:numPr>
          <w:ilvl w:val="0"/>
          <w:numId w:val="2"/>
        </w:numPr>
        <w:jc w:val="both"/>
        <w:rPr>
          <w:b/>
        </w:rPr>
      </w:pPr>
      <w:r w:rsidRPr="00702AD3">
        <w:rPr>
          <w:b/>
        </w:rPr>
        <w:lastRenderedPageBreak/>
        <w:t>Introdução</w:t>
      </w:r>
    </w:p>
    <w:p w14:paraId="6EDE64EE" w14:textId="77777777" w:rsidR="00C67237" w:rsidRDefault="004C6925" w:rsidP="00BC6645">
      <w:pPr>
        <w:jc w:val="both"/>
      </w:pPr>
      <w:r>
        <w:t>Todo alimento apresenta características</w:t>
      </w:r>
      <w:r w:rsidR="00C67237">
        <w:t xml:space="preserve"> de bem privado, pois o consumidor, ao ingerir uma unidade de alimento, recebe todo o benefício deste e, ao mesmo tempo, elimina a possibilidade de alguém mais consumi</w:t>
      </w:r>
      <w:r w:rsidR="00753C74">
        <w:t>r esta mesma unidade. Contudo,</w:t>
      </w:r>
      <w:r w:rsidR="00C67237">
        <w:t xml:space="preserve"> todo alimento também possui atributo</w:t>
      </w:r>
      <w:r w:rsidR="00FF4758">
        <w:t>s de ma</w:t>
      </w:r>
      <w:r w:rsidR="00126B1D">
        <w:t>u</w:t>
      </w:r>
      <w:r w:rsidR="00C67237">
        <w:t xml:space="preserve"> público, pois custos externos são gerados </w:t>
      </w:r>
      <w:r w:rsidR="008434DB">
        <w:t xml:space="preserve">quando </w:t>
      </w:r>
      <w:r w:rsidR="00C67237">
        <w:t>alguém adoece ou morre</w:t>
      </w:r>
      <w:r w:rsidR="00D255B0">
        <w:t xml:space="preserve"> ao c</w:t>
      </w:r>
      <w:r w:rsidR="00753C74">
        <w:t xml:space="preserve">onsumir uma unidade de alimento. </w:t>
      </w:r>
      <w:r w:rsidR="00F37188">
        <w:t>A razão para isto é que os</w:t>
      </w:r>
      <w:r w:rsidR="00C67237">
        <w:t xml:space="preserve"> custos </w:t>
      </w:r>
      <w:r w:rsidR="00D255B0">
        <w:t xml:space="preserve">advindos </w:t>
      </w:r>
      <w:r w:rsidR="00C67237">
        <w:t xml:space="preserve">da redução da produtividade </w:t>
      </w:r>
      <w:r w:rsidR="00F37188">
        <w:t>e força de</w:t>
      </w:r>
      <w:r w:rsidR="00C67237">
        <w:t xml:space="preserve"> trabalho e/ou dos procedimentos necessários ao restabelecimento da saúde do indivídu</w:t>
      </w:r>
      <w:r w:rsidR="00846461">
        <w:t>o não são</w:t>
      </w:r>
      <w:r w:rsidR="00F37188">
        <w:t>,</w:t>
      </w:r>
      <w:r w:rsidR="00846461">
        <w:t xml:space="preserve"> </w:t>
      </w:r>
      <w:r w:rsidR="00D255B0">
        <w:t>necessariamente</w:t>
      </w:r>
      <w:r w:rsidR="00F37188">
        <w:t>,</w:t>
      </w:r>
      <w:r w:rsidR="00D255B0">
        <w:t xml:space="preserve"> </w:t>
      </w:r>
      <w:r w:rsidR="00846461">
        <w:t xml:space="preserve">pagos por </w:t>
      </w:r>
      <w:r w:rsidR="00F37188">
        <w:t xml:space="preserve">quem </w:t>
      </w:r>
      <w:r w:rsidR="00C67237">
        <w:t>produzi</w:t>
      </w:r>
      <w:r w:rsidR="00F37188">
        <w:t xml:space="preserve">u </w:t>
      </w:r>
      <w:r w:rsidR="00C67237">
        <w:t xml:space="preserve">o alimento impróprio ao consumo humano. Em última instância, serão </w:t>
      </w:r>
      <w:r w:rsidR="00D255B0">
        <w:t>os contribuintes</w:t>
      </w:r>
      <w:r w:rsidR="00C67237">
        <w:t xml:space="preserve"> </w:t>
      </w:r>
      <w:r w:rsidR="00D255B0">
        <w:t xml:space="preserve">via </w:t>
      </w:r>
      <w:r w:rsidR="00C67237">
        <w:t>sistema público de s</w:t>
      </w:r>
      <w:r>
        <w:t>aúde e de seguridade social que</w:t>
      </w:r>
      <w:r w:rsidR="00C67237">
        <w:t xml:space="preserve"> arcarão com tais custos e, por conseguinte, toda a sociedade. </w:t>
      </w:r>
      <w:r w:rsidR="00846461">
        <w:t>Em outras palavras</w:t>
      </w:r>
      <w:r w:rsidR="00FB70BA">
        <w:t>, o consumo de alimentos cria</w:t>
      </w:r>
      <w:r w:rsidR="00533223">
        <w:t xml:space="preserve"> </w:t>
      </w:r>
      <w:r w:rsidR="00C67237">
        <w:t>externalidade</w:t>
      </w:r>
      <w:r w:rsidR="00716CA8">
        <w:t>s</w:t>
      </w:r>
      <w:r w:rsidR="00C67237">
        <w:t xml:space="preserve"> negativa</w:t>
      </w:r>
      <w:r w:rsidR="00716CA8">
        <w:t>s</w:t>
      </w:r>
      <w:r w:rsidR="00C67237">
        <w:t xml:space="preserve">. </w:t>
      </w:r>
    </w:p>
    <w:p w14:paraId="64D3009A" w14:textId="77777777" w:rsidR="00716CA8" w:rsidRDefault="00C67237" w:rsidP="00BC6645">
      <w:pPr>
        <w:ind w:firstLine="540"/>
        <w:jc w:val="both"/>
      </w:pPr>
      <w:r>
        <w:t xml:space="preserve">A Figura 1 representa </w:t>
      </w:r>
      <w:r w:rsidR="004C6925">
        <w:t xml:space="preserve">esquematicamente </w:t>
      </w:r>
      <w:r>
        <w:t>essa ideia. Tem-se no ponto M o equilíbrio competitivo de mercado, resultado d</w:t>
      </w:r>
      <w:r w:rsidR="00716CA8">
        <w:t>a interseção da curva de oferta</w:t>
      </w:r>
      <w:r>
        <w:t>, CMP (Custo Marginal Pr</w:t>
      </w:r>
      <w:r w:rsidR="00716CA8">
        <w:t>ivado), com a curva de demanda d</w:t>
      </w:r>
      <w:r>
        <w:t xml:space="preserve">o setor, BMP (Benefício Marginal Privado). O equilíbrio Pareto eficiente se dá no ponto E, </w:t>
      </w:r>
      <w:r w:rsidR="008434DB">
        <w:t xml:space="preserve">onde há </w:t>
      </w:r>
      <w:r>
        <w:t>a interseção entre a curva CMS (Custo Marginal Social), que é a soma das curvas de Custo Marginal Privado (CMP) e Custo Marginal Externo (CME), e a curva de demanda, BMP. Portanto, no equilíbrio de mercado há um consumo de alimento maior e a um preço menor do que o nível eficiente.</w:t>
      </w:r>
    </w:p>
    <w:p w14:paraId="0DCAF222" w14:textId="77777777" w:rsidR="00C67237" w:rsidRDefault="00C67237" w:rsidP="00BC6645">
      <w:pPr>
        <w:ind w:firstLine="540"/>
        <w:jc w:val="both"/>
      </w:pPr>
      <w:r>
        <w:t xml:space="preserve"> </w:t>
      </w:r>
      <w:r w:rsidR="009A22CB" w:rsidRPr="009A22CB">
        <w:rPr>
          <w:noProof/>
          <w:lang w:val="en-US" w:eastAsia="en-US"/>
        </w:rPr>
        <w:drawing>
          <wp:inline distT="0" distB="0" distL="0" distR="0" wp14:anchorId="3F89332C" wp14:editId="0D7CE353">
            <wp:extent cx="4743034" cy="1918728"/>
            <wp:effectExtent l="19050" t="0" r="416" b="0"/>
            <wp:docPr id="1"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cstate="print"/>
                    <a:srcRect/>
                    <a:stretch>
                      <a:fillRect/>
                    </a:stretch>
                  </pic:blipFill>
                  <pic:spPr bwMode="auto">
                    <a:xfrm>
                      <a:off x="0" y="0"/>
                      <a:ext cx="4743034" cy="1918728"/>
                    </a:xfrm>
                    <a:prstGeom prst="rect">
                      <a:avLst/>
                    </a:prstGeom>
                    <a:noFill/>
                    <a:ln w="9525">
                      <a:noFill/>
                      <a:miter lim="800000"/>
                      <a:headEnd/>
                      <a:tailEnd/>
                    </a:ln>
                  </pic:spPr>
                </pic:pic>
              </a:graphicData>
            </a:graphic>
          </wp:inline>
        </w:drawing>
      </w:r>
    </w:p>
    <w:p w14:paraId="3DB7C231" w14:textId="77777777" w:rsidR="00C67237" w:rsidRDefault="009A22CB" w:rsidP="00BC6645">
      <w:pPr>
        <w:jc w:val="both"/>
      </w:pPr>
      <w:r w:rsidRPr="009B06B0">
        <w:rPr>
          <w:b/>
          <w:bCs/>
        </w:rPr>
        <w:t xml:space="preserve">Figura 1 </w:t>
      </w:r>
      <w:r>
        <w:rPr>
          <w:b/>
          <w:bCs/>
        </w:rPr>
        <w:t>-</w:t>
      </w:r>
      <w:r w:rsidR="00C67237">
        <w:t xml:space="preserve"> Equilíbrio em um mercado competitivo </w:t>
      </w:r>
      <w:r w:rsidR="004C7FC0">
        <w:t xml:space="preserve">de alimento </w:t>
      </w:r>
      <w:r w:rsidR="00C67237">
        <w:t>em presença de exte</w:t>
      </w:r>
      <w:r>
        <w:t>r</w:t>
      </w:r>
      <w:r w:rsidR="00C67237">
        <w:t xml:space="preserve">nalidade negativa </w:t>
      </w:r>
      <w:r w:rsidR="00D255B0">
        <w:t xml:space="preserve">gerada por </w:t>
      </w:r>
      <w:r w:rsidR="00C67237">
        <w:t>crises de segurança do alimento.</w:t>
      </w:r>
    </w:p>
    <w:p w14:paraId="4DA1A259" w14:textId="77777777" w:rsidR="004C6925" w:rsidRDefault="00C67237" w:rsidP="00BC6645">
      <w:pPr>
        <w:ind w:firstLine="540"/>
        <w:jc w:val="both"/>
      </w:pPr>
      <w:r>
        <w:t>Contudo, se os consumidores reagem a crises de segurança do alimento</w:t>
      </w:r>
      <w:r w:rsidR="004C6925">
        <w:rPr>
          <w:rStyle w:val="FootnoteReference"/>
        </w:rPr>
        <w:footnoteReference w:id="5"/>
      </w:r>
      <w:r w:rsidR="000B4080">
        <w:t>,</w:t>
      </w:r>
      <w:r w:rsidR="004C6925" w:rsidRPr="00EC0325">
        <w:t xml:space="preserve"> </w:t>
      </w:r>
      <w:r>
        <w:t>reduzindo inespera</w:t>
      </w:r>
      <w:r w:rsidR="00716CA8">
        <w:t>damente o consumo</w:t>
      </w:r>
      <w:r w:rsidR="000B4080">
        <w:t xml:space="preserve">, </w:t>
      </w:r>
      <w:r>
        <w:t xml:space="preserve">parte do custo da crise passa </w:t>
      </w:r>
      <w:r w:rsidR="004C7FC0">
        <w:t xml:space="preserve">para </w:t>
      </w:r>
      <w:r w:rsidR="000B4080">
        <w:t>o setor produtor do</w:t>
      </w:r>
      <w:r>
        <w:t xml:space="preserve"> alimento</w:t>
      </w:r>
      <w:r w:rsidR="002F0B3C">
        <w:t xml:space="preserve"> na forma de redução inesperada da receita (preço e quantidade vendida pelo setor diminuem)</w:t>
      </w:r>
      <w:r>
        <w:t xml:space="preserve">. Por exemplo, na Figura 1, </w:t>
      </w:r>
      <w:r w:rsidR="00E4643E">
        <w:t xml:space="preserve">isto </w:t>
      </w:r>
      <w:r w:rsidR="002F0B3C">
        <w:t>poderia ser</w:t>
      </w:r>
      <w:r>
        <w:t xml:space="preserve"> representado pela curva </w:t>
      </w:r>
      <w:proofErr w:type="spellStart"/>
      <w:r>
        <w:t>CMP+CM</w:t>
      </w:r>
      <w:r w:rsidR="004C7FC0">
        <w:t>P</w:t>
      </w:r>
      <w:r>
        <w:t>CSA</w:t>
      </w:r>
      <w:proofErr w:type="spellEnd"/>
      <w:r w:rsidR="0012165C">
        <w:t xml:space="preserve"> (</w:t>
      </w:r>
      <w:r>
        <w:t xml:space="preserve">soma do Custo Marginal Privado </w:t>
      </w:r>
      <w:r w:rsidR="000B4080">
        <w:t xml:space="preserve">(CMP) </w:t>
      </w:r>
      <w:r>
        <w:t>com o Custo Marginal Privado da Crise de Segurança do Alimento (</w:t>
      </w:r>
      <w:proofErr w:type="spellStart"/>
      <w:r>
        <w:t>CM</w:t>
      </w:r>
      <w:r w:rsidR="00651567">
        <w:t>P</w:t>
      </w:r>
      <w:r>
        <w:t>CSA</w:t>
      </w:r>
      <w:proofErr w:type="spellEnd"/>
      <w:r>
        <w:t>)</w:t>
      </w:r>
      <w:r w:rsidR="0012165C">
        <w:t>)</w:t>
      </w:r>
      <w:r>
        <w:t>. Sendo assim, é possí</w:t>
      </w:r>
      <w:r w:rsidR="00BA0CB8">
        <w:t>vel que a reação do consumidor a</w:t>
      </w:r>
      <w:r>
        <w:t xml:space="preserve"> crises de segurança do alimento faça com que o setor internalize </w:t>
      </w:r>
      <w:r w:rsidR="006F7CD8">
        <w:t>parte da externalidade negativa</w:t>
      </w:r>
      <w:r w:rsidR="000B4080">
        <w:t xml:space="preserve"> gerada com a crise</w:t>
      </w:r>
      <w:r>
        <w:t xml:space="preserve">, tornando o equilíbrio de mercado (ponto A) mais próximo do equilíbrio eficiente (ponto E). </w:t>
      </w:r>
    </w:p>
    <w:p w14:paraId="4CDE1449" w14:textId="77777777" w:rsidR="00DE015B" w:rsidRDefault="00C67237" w:rsidP="00BC6645">
      <w:pPr>
        <w:ind w:firstLine="540"/>
        <w:jc w:val="both"/>
      </w:pPr>
      <w:r>
        <w:t>O objetivo principal do presente artigo é investigar se os consumidores das carnes bovina, suína e de frango no Brasil reagem a crises de segurança do alimento</w:t>
      </w:r>
      <w:r w:rsidR="00A9799A">
        <w:t xml:space="preserve"> e, assim, impõem um Custo Marginal Privado da Crise de Segurança do Alimento (CMPCSA) ao setor produtor de carnes</w:t>
      </w:r>
      <w:r>
        <w:t>. Para tanto, estima</w:t>
      </w:r>
      <w:r w:rsidR="004C6925">
        <w:t>m-se</w:t>
      </w:r>
      <w:r>
        <w:t xml:space="preserve"> e testa</w:t>
      </w:r>
      <w:r w:rsidR="004C6925">
        <w:t>m-se</w:t>
      </w:r>
      <w:r>
        <w:t xml:space="preserve"> os impactos de crises de segurança sobre as demandas agregadas por carne bovina, carne suína e carne de frango no Brasil. </w:t>
      </w:r>
    </w:p>
    <w:p w14:paraId="7EBD1A32" w14:textId="77777777" w:rsidR="00C67237" w:rsidRDefault="00C67237" w:rsidP="00BC6645">
      <w:pPr>
        <w:ind w:firstLine="540"/>
        <w:jc w:val="both"/>
      </w:pPr>
      <w:r>
        <w:t xml:space="preserve">Em específico, </w:t>
      </w:r>
      <w:r w:rsidR="001454FA">
        <w:t>o presente tr</w:t>
      </w:r>
      <w:r w:rsidR="004472EE">
        <w:t>abalho</w:t>
      </w:r>
      <w:r>
        <w:t xml:space="preserve"> </w:t>
      </w:r>
      <w:r w:rsidR="004472EE">
        <w:t xml:space="preserve">objetiva: </w:t>
      </w:r>
      <w:r>
        <w:t>(i) especifica</w:t>
      </w:r>
      <w:r w:rsidR="004472EE">
        <w:t>r e estimar</w:t>
      </w:r>
      <w:r>
        <w:t xml:space="preserve"> </w:t>
      </w:r>
      <w:r w:rsidR="004472EE">
        <w:t xml:space="preserve">seis </w:t>
      </w:r>
      <w:r>
        <w:t xml:space="preserve">sistemas </w:t>
      </w:r>
      <w:r w:rsidR="00DE015B">
        <w:t xml:space="preserve">alternativos </w:t>
      </w:r>
      <w:r>
        <w:t xml:space="preserve">de </w:t>
      </w:r>
      <w:r w:rsidR="00DE015B">
        <w:t xml:space="preserve">quatro </w:t>
      </w:r>
      <w:r>
        <w:t xml:space="preserve">equações de demanda para as principais carnes consumidas no mercado brasileiro (carne bovina, suína e de frango), incorporando </w:t>
      </w:r>
      <w:r w:rsidR="004472EE">
        <w:t>í</w:t>
      </w:r>
      <w:r>
        <w:t>ndices que capt</w:t>
      </w:r>
      <w:r w:rsidR="00DE015B">
        <w:t>em</w:t>
      </w:r>
      <w:r>
        <w:t xml:space="preserve"> o</w:t>
      </w:r>
      <w:r w:rsidR="00DE015B">
        <w:t>s</w:t>
      </w:r>
      <w:r>
        <w:t xml:space="preserve"> eventos negativos veiculados na mídia sobre problemas </w:t>
      </w:r>
      <w:r w:rsidR="003B40B3">
        <w:t xml:space="preserve">de </w:t>
      </w:r>
      <w:r>
        <w:t xml:space="preserve">segurança do alimento </w:t>
      </w:r>
      <w:r w:rsidR="00CF090E">
        <w:t xml:space="preserve">relacionados a </w:t>
      </w:r>
      <w:r>
        <w:t>estas carnes; (ii) efetuar teste</w:t>
      </w:r>
      <w:r w:rsidR="00CF090E">
        <w:t xml:space="preserve">s estatísticos </w:t>
      </w:r>
      <w:r>
        <w:t xml:space="preserve">de modo a detectar, dentre as </w:t>
      </w:r>
      <w:r w:rsidR="004472EE">
        <w:t xml:space="preserve">seis </w:t>
      </w:r>
      <w:r>
        <w:t>especificações dos</w:t>
      </w:r>
      <w:r w:rsidR="004472EE">
        <w:t xml:space="preserve"> sistemas de equações</w:t>
      </w:r>
      <w:r w:rsidR="00BD289D">
        <w:t xml:space="preserve"> de demanda</w:t>
      </w:r>
      <w:r w:rsidR="00A9799A">
        <w:t>, a preferível</w:t>
      </w:r>
      <w:r>
        <w:t xml:space="preserve">; (iii) utilizar a </w:t>
      </w:r>
      <w:r>
        <w:lastRenderedPageBreak/>
        <w:t>especificação escolhida para testar se crises de segurança do alimento afetam a</w:t>
      </w:r>
      <w:r w:rsidR="00CF090E">
        <w:t>s</w:t>
      </w:r>
      <w:r>
        <w:t xml:space="preserve"> demanda</w:t>
      </w:r>
      <w:r w:rsidR="00CF090E">
        <w:t>s</w:t>
      </w:r>
      <w:r>
        <w:t xml:space="preserve"> </w:t>
      </w:r>
      <w:r w:rsidR="00CF090E">
        <w:t>por</w:t>
      </w:r>
      <w:r>
        <w:t xml:space="preserve"> carnes no Brasil; </w:t>
      </w:r>
      <w:r w:rsidR="00A9799A">
        <w:t xml:space="preserve">e </w:t>
      </w:r>
      <w:r>
        <w:t xml:space="preserve">(iv) estimar elasticidades </w:t>
      </w:r>
      <w:r w:rsidR="00A9799A">
        <w:t xml:space="preserve">atualizadas </w:t>
      </w:r>
      <w:r>
        <w:t>da demanda por carne bovina, suína e de frango</w:t>
      </w:r>
      <w:r w:rsidR="004472EE">
        <w:t xml:space="preserve"> no Brasil</w:t>
      </w:r>
      <w:r>
        <w:t>.</w:t>
      </w:r>
    </w:p>
    <w:p w14:paraId="37A2DCA9" w14:textId="77777777" w:rsidR="002F0B3C" w:rsidRDefault="008B315C" w:rsidP="002F0B3C">
      <w:pPr>
        <w:ind w:firstLine="540"/>
        <w:jc w:val="both"/>
      </w:pPr>
      <w:r>
        <w:t>Com base na revisão de literatura apresentada na próxima seção, o presente estudo</w:t>
      </w:r>
      <w:r w:rsidR="002F0B3C">
        <w:t xml:space="preserve"> parece ser o primeiro no Brasil a investigar se a percepção do consumidor com respeito à segurança do alimento afeta as suas decisões de consumo com respeito às carnes bovina, suína e de frango e está organizado em seis seções. Além dessa seção introdutória, a segunda seção apresenta uma revisão da literatura recente sobre a detecção de efeitos de crises de segurança do alimento sobre a demanda por alimentos. A terceira seção descreve os dados e os procedimentos utilizados para obtenção das séries de índices de segurança do alimento. A quarta seção apresenta as etapas seguidas na especificação dos modelos econométricos e os testes utilizados na escolha do melhor modelo. A quinta seção apresenta os resultados das estimações dos modelos, as estimativas das elasticidades e analisa os resultados. A seção final traz o sumário dos principais resultados obtidos ao longo do relatório e discute implicações dos mesmos para a formulação de políticas públicas.</w:t>
      </w:r>
    </w:p>
    <w:p w14:paraId="7DF819D4" w14:textId="77777777" w:rsidR="002F0B3C" w:rsidRDefault="002F0B3C" w:rsidP="00BC6645">
      <w:pPr>
        <w:ind w:firstLine="540"/>
        <w:jc w:val="both"/>
      </w:pPr>
    </w:p>
    <w:p w14:paraId="3203E36F" w14:textId="77777777" w:rsidR="002F0B3C" w:rsidRPr="002F0B3C" w:rsidRDefault="002F0B3C" w:rsidP="002F0B3C">
      <w:pPr>
        <w:numPr>
          <w:ilvl w:val="0"/>
          <w:numId w:val="2"/>
        </w:numPr>
        <w:jc w:val="both"/>
        <w:rPr>
          <w:b/>
        </w:rPr>
      </w:pPr>
      <w:r>
        <w:rPr>
          <w:b/>
        </w:rPr>
        <w:t>Revisão de</w:t>
      </w:r>
      <w:r w:rsidRPr="002F0B3C">
        <w:rPr>
          <w:b/>
        </w:rPr>
        <w:t xml:space="preserve"> Literatura</w:t>
      </w:r>
    </w:p>
    <w:p w14:paraId="5A38F842" w14:textId="77777777" w:rsidR="002F0B3C" w:rsidRDefault="00C67237" w:rsidP="002F0B3C">
      <w:pPr>
        <w:jc w:val="both"/>
      </w:pPr>
      <w:r>
        <w:t xml:space="preserve">Há um grande número de trabalhos dedicados a detectar os impactos de crises de segurança do alimento na demanda por alimentos em países outros que não o Brasil. </w:t>
      </w:r>
    </w:p>
    <w:p w14:paraId="5698DB22" w14:textId="77777777" w:rsidR="006C04D6" w:rsidRDefault="00C67237" w:rsidP="002F0B3C">
      <w:pPr>
        <w:jc w:val="both"/>
      </w:pPr>
      <w:r>
        <w:t xml:space="preserve">No Reino Unido, Burton et al. (1999) estimaram uma versão estática modificada do modelo </w:t>
      </w:r>
      <w:proofErr w:type="spellStart"/>
      <w:r w:rsidR="00ED5F3A" w:rsidRPr="00BD289D">
        <w:rPr>
          <w:i/>
        </w:rPr>
        <w:t>Almost</w:t>
      </w:r>
      <w:proofErr w:type="spellEnd"/>
      <w:r w:rsidR="00ED5F3A" w:rsidRPr="00BD289D">
        <w:rPr>
          <w:i/>
        </w:rPr>
        <w:t xml:space="preserve"> Ideal </w:t>
      </w:r>
      <w:proofErr w:type="spellStart"/>
      <w:r w:rsidR="00ED5F3A" w:rsidRPr="00BD289D">
        <w:rPr>
          <w:i/>
        </w:rPr>
        <w:t>Demand</w:t>
      </w:r>
      <w:proofErr w:type="spellEnd"/>
      <w:r w:rsidR="00ED5F3A" w:rsidRPr="00BD289D">
        <w:rPr>
          <w:i/>
        </w:rPr>
        <w:t xml:space="preserve"> System</w:t>
      </w:r>
      <w:r w:rsidR="00ED5F3A">
        <w:t xml:space="preserve"> (</w:t>
      </w:r>
      <w:r>
        <w:t>AIDS</w:t>
      </w:r>
      <w:r w:rsidR="00ED5F3A">
        <w:t>)</w:t>
      </w:r>
      <w:r w:rsidR="002240C1">
        <w:t xml:space="preserve"> </w:t>
      </w:r>
      <w:r>
        <w:t xml:space="preserve">para estudar o efeito de eventos noticiados na mídia sobre BSE sobre o consumo de carne bovina. Na Bélgica, </w:t>
      </w:r>
      <w:proofErr w:type="spellStart"/>
      <w:r>
        <w:t>Verbeke</w:t>
      </w:r>
      <w:proofErr w:type="spellEnd"/>
      <w:r>
        <w:t xml:space="preserve"> e Ward (2001) estimaram um sistema de equações de demanda do tipo AIDS, incorporando variáveis explicativas para o gasto com propaganda com a carne bovina/vitelo e carne suína/misturas e também uma variável para o número de notícias negativas veiculadas na mídia sobre estas mesmas carnes. Na Itália, </w:t>
      </w:r>
      <w:proofErr w:type="spellStart"/>
      <w:r>
        <w:t>Mazzocchi</w:t>
      </w:r>
      <w:proofErr w:type="spellEnd"/>
      <w:r>
        <w:t xml:space="preserve"> et al. (2004) utilizaram um modelo de equações de demanda dinâmico do tipo </w:t>
      </w:r>
      <w:r w:rsidR="002240C1">
        <w:t>AIDS</w:t>
      </w:r>
      <w:r>
        <w:t xml:space="preserve"> para estimar a redução no bem estar do consumidor </w:t>
      </w:r>
      <w:r w:rsidR="0018477C">
        <w:t xml:space="preserve">devido </w:t>
      </w:r>
      <w:r>
        <w:t xml:space="preserve">a não divulgação da informação de que poderia haver uma ligação entre o consumo de carne bovina e a doença </w:t>
      </w:r>
      <w:proofErr w:type="spellStart"/>
      <w:r>
        <w:t>Creutzfeldt</w:t>
      </w:r>
      <w:proofErr w:type="spellEnd"/>
      <w:r>
        <w:t>-Jakob (</w:t>
      </w:r>
      <w:proofErr w:type="spellStart"/>
      <w:r>
        <w:t>vCJD</w:t>
      </w:r>
      <w:proofErr w:type="spellEnd"/>
      <w:r>
        <w:t xml:space="preserve">) em humanos. </w:t>
      </w:r>
    </w:p>
    <w:p w14:paraId="411B9B6A" w14:textId="77777777" w:rsidR="006C04D6" w:rsidRDefault="006C04D6" w:rsidP="002A7058">
      <w:pPr>
        <w:ind w:firstLine="540"/>
        <w:jc w:val="both"/>
      </w:pPr>
      <w:r>
        <w:t xml:space="preserve">Os estudos para </w:t>
      </w:r>
      <w:r w:rsidR="00C67237">
        <w:t>os EUA</w:t>
      </w:r>
      <w:r>
        <w:t xml:space="preserve"> são os de maior número.</w:t>
      </w:r>
      <w:r w:rsidR="00C67237">
        <w:t xml:space="preserve"> Carter e Smith (2007) desenvolveram um método econométrico capaz de detectar</w:t>
      </w:r>
      <w:r w:rsidR="000752C6">
        <w:t xml:space="preserve"> e mensurar o impacto </w:t>
      </w:r>
      <w:r w:rsidR="00C67237">
        <w:t xml:space="preserve">da contaminação da produção de milho americana com uma variedade geneticamente modificada chamada </w:t>
      </w:r>
      <w:proofErr w:type="spellStart"/>
      <w:r w:rsidR="00C67237">
        <w:t>Starlink</w:t>
      </w:r>
      <w:proofErr w:type="spellEnd"/>
      <w:r w:rsidR="000752C6">
        <w:t xml:space="preserve"> sobre o preço do milho nos EUA</w:t>
      </w:r>
      <w:r>
        <w:t>.</w:t>
      </w:r>
      <w:r w:rsidR="00BD289D">
        <w:t xml:space="preserve"> </w:t>
      </w:r>
      <w:r w:rsidR="00C67237">
        <w:t xml:space="preserve">Resende Filho e </w:t>
      </w:r>
      <w:proofErr w:type="spellStart"/>
      <w:r w:rsidR="00C67237">
        <w:t>Buhr</w:t>
      </w:r>
      <w:proofErr w:type="spellEnd"/>
      <w:r w:rsidR="00C67237">
        <w:t xml:space="preserve"> (2011) e </w:t>
      </w:r>
      <w:proofErr w:type="spellStart"/>
      <w:r w:rsidR="00C67237">
        <w:t>Piggott</w:t>
      </w:r>
      <w:proofErr w:type="spellEnd"/>
      <w:r w:rsidR="00C67237">
        <w:t xml:space="preserve"> e </w:t>
      </w:r>
      <w:proofErr w:type="spellStart"/>
      <w:r w:rsidR="00C67237">
        <w:t>Marsh</w:t>
      </w:r>
      <w:proofErr w:type="spellEnd"/>
      <w:r w:rsidR="00C67237">
        <w:t xml:space="preserve"> (2004) estimaram sistemas de e</w:t>
      </w:r>
      <w:r w:rsidR="00BD289D">
        <w:t>quações de demanda e detectaram</w:t>
      </w:r>
      <w:r w:rsidR="00C67237">
        <w:t xml:space="preserve"> </w:t>
      </w:r>
      <w:r w:rsidR="00FD5A1F">
        <w:t>o</w:t>
      </w:r>
      <w:r w:rsidR="00C67237">
        <w:t xml:space="preserve"> efeito neg</w:t>
      </w:r>
      <w:r w:rsidR="00FD5A1F">
        <w:t xml:space="preserve">ativo </w:t>
      </w:r>
      <w:r w:rsidR="00C67237">
        <w:t>de notícias envolvendo surtos de zoonoses (gripe suína e mal da vaca louca), enfermidades ou doenças transmitidas por alimentos contaminados com</w:t>
      </w:r>
      <w:r w:rsidR="00786992">
        <w:t xml:space="preserve"> Salmonela, L</w:t>
      </w:r>
      <w:r w:rsidR="00C67237">
        <w:t>isteria, E. coli</w:t>
      </w:r>
      <w:r w:rsidR="00786992">
        <w:t>, Trichinae e S</w:t>
      </w:r>
      <w:r w:rsidR="00FD5A1F">
        <w:t>taphylococcus e</w:t>
      </w:r>
      <w:r w:rsidR="00C67237">
        <w:t xml:space="preserve"> casos de uso ilegal ou excessivo de hormônios e </w:t>
      </w:r>
      <w:r w:rsidR="00FD5A1F">
        <w:t>antibióticos na produção animal sobre a demanda de carnes.</w:t>
      </w:r>
      <w:r>
        <w:t xml:space="preserve"> </w:t>
      </w:r>
      <w:proofErr w:type="spellStart"/>
      <w:r w:rsidR="002A7058" w:rsidRPr="000A7BA4">
        <w:t>Tonsor</w:t>
      </w:r>
      <w:proofErr w:type="spellEnd"/>
      <w:r w:rsidR="002A7058" w:rsidRPr="000A7BA4">
        <w:t xml:space="preserve"> et al. (2010)</w:t>
      </w:r>
      <w:r w:rsidR="002A7058" w:rsidRPr="000A7BA4">
        <w:rPr>
          <w:b/>
        </w:rPr>
        <w:t xml:space="preserve"> </w:t>
      </w:r>
      <w:r w:rsidR="002A7058" w:rsidRPr="000A7BA4">
        <w:t xml:space="preserve">constroem um modelo Rotterdam com cinco equações, uma para </w:t>
      </w:r>
      <w:r w:rsidR="002A7058">
        <w:t xml:space="preserve">cada demanda de carne (bovina, </w:t>
      </w:r>
      <w:r w:rsidR="002A7058" w:rsidRPr="000A7BA4">
        <w:t>suína e de frango</w:t>
      </w:r>
      <w:r w:rsidR="002A7058">
        <w:t>), uma para a demanda pelos demais a</w:t>
      </w:r>
      <w:r w:rsidR="002A7058" w:rsidRPr="000A7BA4">
        <w:t xml:space="preserve">limentos e outra </w:t>
      </w:r>
      <w:r w:rsidR="002A7058">
        <w:t xml:space="preserve">para </w:t>
      </w:r>
      <w:r w:rsidR="002A7058" w:rsidRPr="000A7BA4">
        <w:t xml:space="preserve">os </w:t>
      </w:r>
      <w:r w:rsidR="002A7058">
        <w:t>bens não alimentícios, com dados trimestrais de 1982 a 2007. Estes autores</w:t>
      </w:r>
      <w:r>
        <w:t xml:space="preserve"> </w:t>
      </w:r>
      <w:r w:rsidRPr="000A7BA4">
        <w:t>busca</w:t>
      </w:r>
      <w:r w:rsidR="002A7058">
        <w:t xml:space="preserve">m detectar </w:t>
      </w:r>
      <w:r w:rsidRPr="000A7BA4">
        <w:t xml:space="preserve">o </w:t>
      </w:r>
      <w:r w:rsidR="002A7058">
        <w:t xml:space="preserve">efeito </w:t>
      </w:r>
      <w:r w:rsidRPr="000A7BA4">
        <w:t>de d</w:t>
      </w:r>
      <w:r>
        <w:t xml:space="preserve">ois </w:t>
      </w:r>
      <w:r w:rsidR="002A7058">
        <w:t xml:space="preserve">fatores </w:t>
      </w:r>
      <w:r>
        <w:t>pouco explorados</w:t>
      </w:r>
      <w:r w:rsidR="002A7058">
        <w:t xml:space="preserve"> nesse tipo de estudo</w:t>
      </w:r>
      <w:r w:rsidRPr="000A7BA4">
        <w:t xml:space="preserve">: o dinamismo das famílias </w:t>
      </w:r>
      <w:r>
        <w:t>(por exemplo, o hábito de</w:t>
      </w:r>
      <w:r w:rsidRPr="000A7BA4">
        <w:t xml:space="preserve"> comer fora e </w:t>
      </w:r>
      <w:r>
        <w:t xml:space="preserve">se </w:t>
      </w:r>
      <w:r w:rsidRPr="000A7BA4">
        <w:t xml:space="preserve">a mulher trabalha </w:t>
      </w:r>
      <w:r>
        <w:t xml:space="preserve">fora) </w:t>
      </w:r>
      <w:r w:rsidRPr="000A7BA4">
        <w:t>e as infor</w:t>
      </w:r>
      <w:r>
        <w:t>mações relacionadas aos efeitos</w:t>
      </w:r>
      <w:r w:rsidRPr="000A7BA4">
        <w:t xml:space="preserve"> </w:t>
      </w:r>
      <w:r>
        <w:t xml:space="preserve">de atributos </w:t>
      </w:r>
      <w:r w:rsidRPr="000A7BA4">
        <w:t>d</w:t>
      </w:r>
      <w:r>
        <w:t>os alimentos sobre</w:t>
      </w:r>
      <w:r w:rsidRPr="000A7BA4">
        <w:t xml:space="preserve"> a saúde. </w:t>
      </w:r>
      <w:r w:rsidR="002A7058">
        <w:t xml:space="preserve">Para tanto, </w:t>
      </w:r>
      <w:r w:rsidRPr="000A7BA4">
        <w:t>constroem três índices, um para artigos científicos relacionando gordura, colesterol ou doenças no coração com a dieta do indivíduo (</w:t>
      </w:r>
      <w:proofErr w:type="spellStart"/>
      <w:r w:rsidRPr="000A7BA4">
        <w:t>FCHA</w:t>
      </w:r>
      <w:proofErr w:type="spellEnd"/>
      <w:r w:rsidRPr="000A7BA4">
        <w:t>), outro índice para artigos científicos relacionando zinco, ferro ou proteína à melhor saúde (ZIP) e por último um índice com os recalls de carne (</w:t>
      </w:r>
      <w:proofErr w:type="spellStart"/>
      <w:r w:rsidRPr="000A7BA4">
        <w:t>nAtk</w:t>
      </w:r>
      <w:proofErr w:type="spellEnd"/>
      <w:r w:rsidRPr="000A7BA4">
        <w:t>).</w:t>
      </w:r>
      <w:r>
        <w:t xml:space="preserve"> </w:t>
      </w:r>
      <w:r w:rsidR="002A7058">
        <w:t xml:space="preserve">Finalmente, observaram que </w:t>
      </w:r>
      <w:r w:rsidR="002A7058" w:rsidRPr="000A7BA4">
        <w:t>as variávei</w:t>
      </w:r>
      <w:r w:rsidR="002A7058">
        <w:t>s mais significativas para a demanda de</w:t>
      </w:r>
      <w:r w:rsidR="002A7058" w:rsidRPr="000A7BA4">
        <w:t xml:space="preserve"> carne </w:t>
      </w:r>
      <w:r w:rsidR="002A7058">
        <w:t xml:space="preserve">são </w:t>
      </w:r>
      <w:r w:rsidR="002A7058" w:rsidRPr="000A7BA4">
        <w:t>o</w:t>
      </w:r>
      <w:r w:rsidR="002A7058">
        <w:t xml:space="preserve"> próprio-preço</w:t>
      </w:r>
      <w:r w:rsidR="002A7058" w:rsidRPr="000A7BA4">
        <w:t xml:space="preserve">, o índice </w:t>
      </w:r>
      <w:proofErr w:type="spellStart"/>
      <w:r w:rsidR="002A7058" w:rsidRPr="000A7BA4">
        <w:t>FCHA</w:t>
      </w:r>
      <w:proofErr w:type="spellEnd"/>
      <w:r w:rsidR="002A7058" w:rsidRPr="000A7BA4">
        <w:t xml:space="preserve"> e a proporção de pessoas que se alimentam fora de casa. </w:t>
      </w:r>
      <w:r w:rsidR="002A7058">
        <w:t xml:space="preserve">Também </w:t>
      </w:r>
      <w:proofErr w:type="spellStart"/>
      <w:r w:rsidRPr="000A7BA4">
        <w:t>Glynn</w:t>
      </w:r>
      <w:proofErr w:type="spellEnd"/>
      <w:r w:rsidRPr="000A7BA4">
        <w:t xml:space="preserve"> e </w:t>
      </w:r>
      <w:proofErr w:type="spellStart"/>
      <w:r w:rsidRPr="000A7BA4">
        <w:t>Olynk</w:t>
      </w:r>
      <w:proofErr w:type="spellEnd"/>
      <w:r w:rsidRPr="000A7BA4">
        <w:t xml:space="preserve"> (2010)</w:t>
      </w:r>
      <w:r w:rsidR="002A7058">
        <w:t xml:space="preserve">, para </w:t>
      </w:r>
      <w:r>
        <w:t>analisa</w:t>
      </w:r>
      <w:r w:rsidR="002A7058">
        <w:t>r</w:t>
      </w:r>
      <w:r w:rsidRPr="000A7BA4">
        <w:t xml:space="preserve"> os impactos de informações sobre o tratamento dado aos animais </w:t>
      </w:r>
      <w:r>
        <w:t xml:space="preserve">sobre </w:t>
      </w:r>
      <w:r w:rsidRPr="000A7BA4">
        <w:t>a</w:t>
      </w:r>
      <w:r>
        <w:t>s</w:t>
      </w:r>
      <w:r w:rsidRPr="000A7BA4">
        <w:t xml:space="preserve"> demanda</w:t>
      </w:r>
      <w:r>
        <w:t>s</w:t>
      </w:r>
      <w:r w:rsidRPr="000A7BA4">
        <w:t xml:space="preserve"> </w:t>
      </w:r>
      <w:r>
        <w:t>por suas carnes</w:t>
      </w:r>
      <w:r w:rsidR="002A7058">
        <w:t>,</w:t>
      </w:r>
      <w:r>
        <w:t xml:space="preserve"> </w:t>
      </w:r>
      <w:r w:rsidR="002A7058">
        <w:t xml:space="preserve">construíram </w:t>
      </w:r>
      <w:r w:rsidRPr="000A7BA4">
        <w:t xml:space="preserve">um índice </w:t>
      </w:r>
      <w:r w:rsidR="002A7058">
        <w:t xml:space="preserve">trimestral </w:t>
      </w:r>
      <w:r w:rsidRPr="000A7BA4">
        <w:t>com as notícias relacionadas ao tema publicadas nos maiores jo</w:t>
      </w:r>
      <w:r>
        <w:t>rnais e revistas norte-americanas entr</w:t>
      </w:r>
      <w:r w:rsidR="002A7058">
        <w:t>e 1982 e 2008</w:t>
      </w:r>
      <w:r w:rsidRPr="000A7BA4">
        <w:t xml:space="preserve">. </w:t>
      </w:r>
    </w:p>
    <w:p w14:paraId="5B261935" w14:textId="77777777" w:rsidR="00786992" w:rsidRDefault="00786992" w:rsidP="00786992">
      <w:pPr>
        <w:ind w:firstLine="540"/>
        <w:jc w:val="both"/>
      </w:pPr>
      <w:r>
        <w:t xml:space="preserve">Na Holanda, </w:t>
      </w:r>
      <w:proofErr w:type="spellStart"/>
      <w:r w:rsidRPr="008806B7">
        <w:t>Jonge</w:t>
      </w:r>
      <w:proofErr w:type="spellEnd"/>
      <w:r w:rsidRPr="008806B7">
        <w:t xml:space="preserve"> et al. (2010) investiga</w:t>
      </w:r>
      <w:r>
        <w:t>ram</w:t>
      </w:r>
      <w:r w:rsidRPr="008806B7">
        <w:t xml:space="preserve"> o nível de confiança do</w:t>
      </w:r>
      <w:r>
        <w:t>s</w:t>
      </w:r>
      <w:r w:rsidRPr="008806B7">
        <w:t xml:space="preserve"> consumidor</w:t>
      </w:r>
      <w:r>
        <w:t>es holandeses</w:t>
      </w:r>
      <w:r w:rsidRPr="008806B7">
        <w:t xml:space="preserve"> em relação </w:t>
      </w:r>
      <w:r>
        <w:t>ao alimento que consomem, utilizando da</w:t>
      </w:r>
      <w:r w:rsidRPr="008806B7">
        <w:t xml:space="preserve">dos obtidos </w:t>
      </w:r>
      <w:r>
        <w:t xml:space="preserve">por meio </w:t>
      </w:r>
      <w:r w:rsidRPr="008806B7">
        <w:t>de questionários aplicados pela internet</w:t>
      </w:r>
      <w:r>
        <w:t xml:space="preserve"> a diferentes</w:t>
      </w:r>
      <w:r w:rsidRPr="008806B7">
        <w:t xml:space="preserve"> pessoas em cada ano </w:t>
      </w:r>
      <w:r>
        <w:t>d</w:t>
      </w:r>
      <w:r w:rsidRPr="008806B7">
        <w:t xml:space="preserve">o período de 2003 a 2006. </w:t>
      </w:r>
      <w:r w:rsidR="006C04D6">
        <w:t>Com base em u</w:t>
      </w:r>
      <w:r>
        <w:t xml:space="preserve">m modelo </w:t>
      </w:r>
      <w:r w:rsidR="006C04D6">
        <w:t xml:space="preserve">com </w:t>
      </w:r>
      <w:r>
        <w:t>a</w:t>
      </w:r>
      <w:r w:rsidRPr="008806B7">
        <w:t xml:space="preserve"> percepção do consumidor quanto </w:t>
      </w:r>
      <w:r>
        <w:t xml:space="preserve">ao alimento </w:t>
      </w:r>
      <w:r w:rsidR="006C04D6">
        <w:t xml:space="preserve">representada </w:t>
      </w:r>
      <w:r>
        <w:t xml:space="preserve">por uma variável dependente binária </w:t>
      </w:r>
      <w:r w:rsidR="006C04D6">
        <w:t>(</w:t>
      </w:r>
      <w:r>
        <w:t xml:space="preserve">um se é </w:t>
      </w:r>
      <w:r w:rsidR="006C04D6">
        <w:t xml:space="preserve">otimista e zero, caso contrário, os </w:t>
      </w:r>
      <w:r>
        <w:t xml:space="preserve">autores </w:t>
      </w:r>
      <w:r w:rsidR="006C04D6">
        <w:t xml:space="preserve">constataram </w:t>
      </w:r>
      <w:r w:rsidRPr="008806B7">
        <w:t>que incidentes anteriores reduzem</w:t>
      </w:r>
      <w:r>
        <w:t>,</w:t>
      </w:r>
      <w:r w:rsidRPr="008806B7">
        <w:t xml:space="preserve"> </w:t>
      </w:r>
      <w:r w:rsidRPr="008806B7">
        <w:lastRenderedPageBreak/>
        <w:t>significativamente</w:t>
      </w:r>
      <w:r>
        <w:t>,</w:t>
      </w:r>
      <w:r w:rsidRPr="008806B7">
        <w:t xml:space="preserve"> a</w:t>
      </w:r>
      <w:r>
        <w:t xml:space="preserve"> probabilidade</w:t>
      </w:r>
      <w:r w:rsidRPr="008806B7">
        <w:t xml:space="preserve"> de o consumidor estar otimista.</w:t>
      </w:r>
      <w:r>
        <w:t xml:space="preserve"> Na segunda parte do trabalho, </w:t>
      </w:r>
      <w:proofErr w:type="spellStart"/>
      <w:r w:rsidRPr="008806B7">
        <w:t>Jonge</w:t>
      </w:r>
      <w:proofErr w:type="spellEnd"/>
      <w:r w:rsidRPr="008806B7">
        <w:t xml:space="preserve"> et al. (2010</w:t>
      </w:r>
      <w:r>
        <w:t>)</w:t>
      </w:r>
      <w:r w:rsidRPr="008806B7">
        <w:t xml:space="preserve"> analisa</w:t>
      </w:r>
      <w:r>
        <w:t>m</w:t>
      </w:r>
      <w:r w:rsidRPr="008806B7">
        <w:t xml:space="preserve"> </w:t>
      </w:r>
      <w:r>
        <w:t xml:space="preserve">o efeito </w:t>
      </w:r>
      <w:r w:rsidRPr="008806B7">
        <w:t xml:space="preserve">de notícias </w:t>
      </w:r>
      <w:r>
        <w:t xml:space="preserve">a respeito da </w:t>
      </w:r>
      <w:r w:rsidRPr="008806B7">
        <w:t>s</w:t>
      </w:r>
      <w:r>
        <w:t xml:space="preserve">egurança do </w:t>
      </w:r>
      <w:r w:rsidRPr="008806B7">
        <w:t>aliment</w:t>
      </w:r>
      <w:r>
        <w:t>o</w:t>
      </w:r>
      <w:r w:rsidRPr="008806B7">
        <w:t xml:space="preserve"> e </w:t>
      </w:r>
      <w:r>
        <w:t xml:space="preserve">do </w:t>
      </w:r>
      <w:r w:rsidRPr="008806B7">
        <w:t xml:space="preserve">número de recalls reportados. </w:t>
      </w:r>
      <w:r>
        <w:t xml:space="preserve">Para tanto, utilizam </w:t>
      </w:r>
      <w:r w:rsidRPr="008806B7">
        <w:t>quatro grandes jornais holandeses no período de novemb</w:t>
      </w:r>
      <w:r>
        <w:t xml:space="preserve">ro de 2003 até novembro de 2006, selecionando </w:t>
      </w:r>
      <w:r w:rsidRPr="008806B7">
        <w:t>reportage</w:t>
      </w:r>
      <w:r>
        <w:t>ns que incluíam palavras relacionadas a crises de segurança do alimento e ao setor alimentício</w:t>
      </w:r>
      <w:r w:rsidRPr="008806B7">
        <w:t xml:space="preserve">. </w:t>
      </w:r>
    </w:p>
    <w:p w14:paraId="5FA1EF14" w14:textId="77777777" w:rsidR="00786992" w:rsidRPr="004D4BDD" w:rsidRDefault="002F0B3C" w:rsidP="00786992">
      <w:pPr>
        <w:ind w:firstLine="432"/>
        <w:jc w:val="both"/>
      </w:pPr>
      <w:r>
        <w:t>A</w:t>
      </w:r>
      <w:r w:rsidR="006D4631">
        <w:t xml:space="preserve"> literatura </w:t>
      </w:r>
      <w:r>
        <w:t xml:space="preserve">recente </w:t>
      </w:r>
      <w:r w:rsidR="006D4631">
        <w:t xml:space="preserve">mostra que </w:t>
      </w:r>
      <w:r w:rsidR="00786992" w:rsidRPr="004D4BDD">
        <w:t>ainda é importante re</w:t>
      </w:r>
      <w:r w:rsidR="00786992">
        <w:t>alizar trabalhos econométricos com</w:t>
      </w:r>
      <w:r w:rsidR="00786992" w:rsidRPr="004D4BDD">
        <w:t xml:space="preserve"> dados </w:t>
      </w:r>
      <w:r w:rsidR="006D4631">
        <w:t xml:space="preserve">agregados </w:t>
      </w:r>
      <w:r w:rsidR="00786992" w:rsidRPr="004D4BDD">
        <w:t>de consumo (</w:t>
      </w:r>
      <w:proofErr w:type="spellStart"/>
      <w:r w:rsidR="00786992" w:rsidRPr="004D4BDD">
        <w:t>TONSOR</w:t>
      </w:r>
      <w:proofErr w:type="spellEnd"/>
      <w:r w:rsidR="00786992" w:rsidRPr="004D4BDD">
        <w:t xml:space="preserve"> et al., </w:t>
      </w:r>
      <w:r w:rsidR="00786992">
        <w:t xml:space="preserve">2010; </w:t>
      </w:r>
      <w:proofErr w:type="spellStart"/>
      <w:r w:rsidR="00786992">
        <w:t>GLYNN</w:t>
      </w:r>
      <w:proofErr w:type="spellEnd"/>
      <w:r w:rsidR="00786992">
        <w:t xml:space="preserve"> e </w:t>
      </w:r>
      <w:proofErr w:type="spellStart"/>
      <w:r w:rsidR="00786992">
        <w:t>OLYNK</w:t>
      </w:r>
      <w:proofErr w:type="spellEnd"/>
      <w:r w:rsidR="00786992">
        <w:t>, 2010</w:t>
      </w:r>
      <w:r w:rsidR="006D4631">
        <w:t xml:space="preserve">; RESENDE FILHO e </w:t>
      </w:r>
      <w:proofErr w:type="spellStart"/>
      <w:r w:rsidR="006D4631">
        <w:t>BUHR</w:t>
      </w:r>
      <w:proofErr w:type="spellEnd"/>
      <w:r w:rsidR="006D4631">
        <w:t xml:space="preserve">, 2011; </w:t>
      </w:r>
      <w:proofErr w:type="spellStart"/>
      <w:r w:rsidR="006D4631">
        <w:t>PIGGOTT</w:t>
      </w:r>
      <w:proofErr w:type="spellEnd"/>
      <w:r w:rsidR="006D4631">
        <w:t xml:space="preserve"> e </w:t>
      </w:r>
      <w:proofErr w:type="spellStart"/>
      <w:r w:rsidR="006D4631">
        <w:t>MARSH</w:t>
      </w:r>
      <w:proofErr w:type="spellEnd"/>
      <w:r w:rsidR="006D4631">
        <w:t>, 2004</w:t>
      </w:r>
      <w:r w:rsidR="00786992">
        <w:t xml:space="preserve">); e </w:t>
      </w:r>
      <w:r w:rsidR="00786992" w:rsidRPr="004D4BDD">
        <w:t>é fundamental incluir em mo</w:t>
      </w:r>
      <w:r w:rsidR="00786992">
        <w:t xml:space="preserve">delos de demanda por alimentos </w:t>
      </w:r>
      <w:r w:rsidR="00786992" w:rsidRPr="004D4BDD">
        <w:t xml:space="preserve">variáveis </w:t>
      </w:r>
      <w:r w:rsidR="00786992">
        <w:t xml:space="preserve">que capturem </w:t>
      </w:r>
      <w:r w:rsidR="00786992" w:rsidRPr="004D4BDD">
        <w:t>o nível de confiança do</w:t>
      </w:r>
      <w:r w:rsidR="00786992">
        <w:t>s</w:t>
      </w:r>
      <w:r w:rsidR="00786992" w:rsidRPr="004D4BDD">
        <w:t xml:space="preserve"> consumidor</w:t>
      </w:r>
      <w:r w:rsidR="00786992">
        <w:t>es</w:t>
      </w:r>
      <w:r w:rsidR="00786992" w:rsidRPr="004D4BDD">
        <w:t xml:space="preserve"> com relação ao alimento que consome</w:t>
      </w:r>
      <w:r w:rsidR="00786992">
        <w:t>m. E</w:t>
      </w:r>
      <w:r w:rsidR="00786992" w:rsidRPr="004D4BDD">
        <w:t>m especial</w:t>
      </w:r>
      <w:r w:rsidR="00786992">
        <w:t>,</w:t>
      </w:r>
      <w:r w:rsidR="00786992" w:rsidRPr="004D4BDD">
        <w:t xml:space="preserve"> </w:t>
      </w:r>
      <w:r w:rsidR="00786992">
        <w:t xml:space="preserve">é importante incluir </w:t>
      </w:r>
      <w:r w:rsidR="00786992" w:rsidRPr="004D4BDD">
        <w:t xml:space="preserve">algum índice </w:t>
      </w:r>
      <w:r w:rsidR="00786992">
        <w:t xml:space="preserve">construído com base em </w:t>
      </w:r>
      <w:r w:rsidR="00786992" w:rsidRPr="004D4BDD">
        <w:t>notícias sobre crises de segurança do alimento (</w:t>
      </w:r>
      <w:proofErr w:type="spellStart"/>
      <w:r w:rsidR="00786992" w:rsidRPr="004D4BDD">
        <w:t>JONGE</w:t>
      </w:r>
      <w:proofErr w:type="spellEnd"/>
      <w:r w:rsidR="00786992" w:rsidRPr="004D4BDD">
        <w:t xml:space="preserve"> et al., 2010</w:t>
      </w:r>
      <w:r w:rsidR="006D4631">
        <w:t xml:space="preserve">; </w:t>
      </w:r>
      <w:proofErr w:type="spellStart"/>
      <w:r w:rsidR="006D4631">
        <w:t>GLYNN</w:t>
      </w:r>
      <w:proofErr w:type="spellEnd"/>
      <w:r w:rsidR="006D4631">
        <w:t xml:space="preserve"> e </w:t>
      </w:r>
      <w:proofErr w:type="spellStart"/>
      <w:r w:rsidR="006D4631">
        <w:t>OLYNK</w:t>
      </w:r>
      <w:proofErr w:type="spellEnd"/>
      <w:r w:rsidR="006D4631">
        <w:t xml:space="preserve">, 2010; RESENDE FILHO e </w:t>
      </w:r>
      <w:proofErr w:type="spellStart"/>
      <w:r w:rsidR="006D4631">
        <w:t>BUHR</w:t>
      </w:r>
      <w:proofErr w:type="spellEnd"/>
      <w:r w:rsidR="006D4631">
        <w:t xml:space="preserve">, 2011; </w:t>
      </w:r>
      <w:proofErr w:type="spellStart"/>
      <w:r w:rsidR="006D4631">
        <w:t>PIGGOTT</w:t>
      </w:r>
      <w:proofErr w:type="spellEnd"/>
      <w:r w:rsidR="006D4631">
        <w:t xml:space="preserve"> e </w:t>
      </w:r>
      <w:proofErr w:type="spellStart"/>
      <w:r w:rsidR="006D4631">
        <w:t>MARSH</w:t>
      </w:r>
      <w:proofErr w:type="spellEnd"/>
      <w:r w:rsidR="006D4631">
        <w:t>, 2004</w:t>
      </w:r>
      <w:r w:rsidR="00786992" w:rsidRPr="004D4BDD">
        <w:t>) ou a partir do</w:t>
      </w:r>
      <w:r w:rsidR="00786992">
        <w:t xml:space="preserve"> número de </w:t>
      </w:r>
      <w:r w:rsidR="00786992" w:rsidRPr="004D4BDD">
        <w:rPr>
          <w:i/>
        </w:rPr>
        <w:t>recall</w:t>
      </w:r>
      <w:r w:rsidR="00786992">
        <w:t xml:space="preserve"> de </w:t>
      </w:r>
      <w:r w:rsidR="00786992" w:rsidRPr="004D4BDD">
        <w:t>alimentos (</w:t>
      </w:r>
      <w:proofErr w:type="spellStart"/>
      <w:r w:rsidR="00786992" w:rsidRPr="004D4BDD">
        <w:t>TONSOR</w:t>
      </w:r>
      <w:proofErr w:type="spellEnd"/>
      <w:r w:rsidR="00786992" w:rsidRPr="004D4BDD">
        <w:t xml:space="preserve"> et al., 2010).</w:t>
      </w:r>
    </w:p>
    <w:p w14:paraId="625DB086" w14:textId="77777777" w:rsidR="00C67237" w:rsidRDefault="00C67237" w:rsidP="00BC6645">
      <w:pPr>
        <w:ind w:firstLine="540"/>
        <w:jc w:val="both"/>
      </w:pPr>
      <w:r>
        <w:t xml:space="preserve">Trabalhos que se dedicam ao estudo da reação dos consumidores a crises de segurança do alimento no Brasil são escassos. Os poucos </w:t>
      </w:r>
      <w:r w:rsidR="004472EE">
        <w:t xml:space="preserve">estudos </w:t>
      </w:r>
      <w:r>
        <w:t xml:space="preserve">disponíveis se restringem a pesquisas de opinião </w:t>
      </w:r>
      <w:r w:rsidR="00192C99">
        <w:t xml:space="preserve">com base </w:t>
      </w:r>
      <w:r>
        <w:t xml:space="preserve">em amostras </w:t>
      </w:r>
      <w:r w:rsidR="00A9799A">
        <w:t>pequenas de consumidores (SPERS, 2003;</w:t>
      </w:r>
      <w:r>
        <w:t xml:space="preserve"> FONSECA, 2004). </w:t>
      </w:r>
      <w:r w:rsidR="00A9799A">
        <w:t xml:space="preserve">Mais recentemente, </w:t>
      </w:r>
      <w:proofErr w:type="spellStart"/>
      <w:r>
        <w:t>Behrens</w:t>
      </w:r>
      <w:proofErr w:type="spellEnd"/>
      <w:r>
        <w:t xml:space="preserve"> et al. (2010) avaliaram as atitude dos consumidores com relação à segurança do alimento na cidade de </w:t>
      </w:r>
      <w:r w:rsidR="002340EE">
        <w:t>São Paulo, utilizando</w:t>
      </w:r>
      <w:r>
        <w:t xml:space="preserve"> </w:t>
      </w:r>
      <w:r w:rsidR="00047AD8">
        <w:t>grupo focal</w:t>
      </w:r>
      <w:r w:rsidR="00A9799A">
        <w:t xml:space="preserve"> para uma</w:t>
      </w:r>
      <w:r w:rsidR="002340EE">
        <w:t xml:space="preserve"> amostra de </w:t>
      </w:r>
      <w:r>
        <w:t xml:space="preserve">trinta adultos responsáveis pela </w:t>
      </w:r>
      <w:r w:rsidR="002340EE">
        <w:t>escolha e compra de alimentos em seus</w:t>
      </w:r>
      <w:r>
        <w:t xml:space="preserve"> domicílios.</w:t>
      </w:r>
    </w:p>
    <w:p w14:paraId="3F49F1DA" w14:textId="77777777" w:rsidR="00BE631A" w:rsidRPr="00C735A5" w:rsidRDefault="00BE631A" w:rsidP="00444070">
      <w:pPr>
        <w:jc w:val="both"/>
      </w:pPr>
    </w:p>
    <w:p w14:paraId="12D004A0" w14:textId="77777777" w:rsidR="000E2DE2" w:rsidRPr="00702AD3" w:rsidRDefault="000E2DE2" w:rsidP="00BC6645">
      <w:pPr>
        <w:numPr>
          <w:ilvl w:val="0"/>
          <w:numId w:val="2"/>
        </w:numPr>
        <w:jc w:val="both"/>
        <w:rPr>
          <w:b/>
        </w:rPr>
      </w:pPr>
      <w:r w:rsidRPr="00702AD3">
        <w:rPr>
          <w:b/>
        </w:rPr>
        <w:t xml:space="preserve">Descrição </w:t>
      </w:r>
      <w:r w:rsidR="005322D6" w:rsidRPr="00702AD3">
        <w:rPr>
          <w:b/>
        </w:rPr>
        <w:t>das Variáveis e Dados</w:t>
      </w:r>
    </w:p>
    <w:p w14:paraId="514E2C17" w14:textId="77777777" w:rsidR="003E5571" w:rsidRDefault="003E5571" w:rsidP="000A73A2">
      <w:pPr>
        <w:jc w:val="both"/>
      </w:pPr>
      <w:r>
        <w:t>Nesta seção, faz-se a descrição dos procedimentos utilizados na construção das variáveis e na coleta e manipulação dos dados, os quais foram coletados para o período de 1975 a 2011</w:t>
      </w:r>
      <w:r w:rsidRPr="007E3D33">
        <w:t xml:space="preserve">. </w:t>
      </w:r>
      <w:r>
        <w:t xml:space="preserve"> </w:t>
      </w:r>
    </w:p>
    <w:p w14:paraId="3EFE5083" w14:textId="77777777" w:rsidR="0006510B" w:rsidRDefault="0006510B" w:rsidP="00BC6645">
      <w:pPr>
        <w:ind w:firstLine="432"/>
        <w:jc w:val="both"/>
      </w:pPr>
    </w:p>
    <w:p w14:paraId="3D63897B" w14:textId="77777777" w:rsidR="00C36700" w:rsidRPr="00F32C25" w:rsidRDefault="00C36700" w:rsidP="00BC6645">
      <w:pPr>
        <w:jc w:val="both"/>
        <w:rPr>
          <w:b/>
          <w:i/>
        </w:rPr>
      </w:pPr>
      <w:r w:rsidRPr="00F32C25">
        <w:rPr>
          <w:b/>
          <w:i/>
        </w:rPr>
        <w:t>Séries dos Índices de Segurança do Alimento</w:t>
      </w:r>
    </w:p>
    <w:p w14:paraId="2E9E0FFF" w14:textId="77777777" w:rsidR="00C36700" w:rsidRDefault="00C36700" w:rsidP="00BC6645">
      <w:pPr>
        <w:ind w:firstLine="432"/>
        <w:jc w:val="both"/>
      </w:pPr>
      <w:r>
        <w:t>Três séries de</w:t>
      </w:r>
      <w:r w:rsidRPr="004F017F">
        <w:t xml:space="preserve"> índices </w:t>
      </w:r>
      <w:r>
        <w:t>de segurança do alimento foram construída</w:t>
      </w:r>
      <w:r w:rsidRPr="004F017F">
        <w:t>s</w:t>
      </w:r>
      <w:r w:rsidR="00F1799D">
        <w:t>,</w:t>
      </w:r>
      <w:r>
        <w:t xml:space="preserve"> uma para cada tipo de carne. Para tanto, utilizou-se o acervo on-line da Folha de São Paulo, disponível </w:t>
      </w:r>
      <w:r w:rsidR="00F1799D">
        <w:t>no sítio web</w:t>
      </w:r>
      <w:r>
        <w:t xml:space="preserve"> </w:t>
      </w:r>
      <w:hyperlink r:id="rId10" w:history="1">
        <w:r w:rsidRPr="00D95C14">
          <w:rPr>
            <w:rStyle w:val="Hyperlink"/>
          </w:rPr>
          <w:t>http://acervo.folha.com.br/busca_detalhada</w:t>
        </w:r>
      </w:hyperlink>
      <w:r>
        <w:t xml:space="preserve">, por </w:t>
      </w:r>
      <w:r w:rsidR="00F1799D">
        <w:t xml:space="preserve">ser </w:t>
      </w:r>
      <w:r>
        <w:t xml:space="preserve">o único acervo de um jornal </w:t>
      </w:r>
      <w:r w:rsidR="00F1799D">
        <w:t>de circulação nacional</w:t>
      </w:r>
      <w:r>
        <w:t xml:space="preserve"> </w:t>
      </w:r>
      <w:r w:rsidR="00F1799D">
        <w:t xml:space="preserve">brasileiro </w:t>
      </w:r>
      <w:r w:rsidR="00D66FA5">
        <w:t xml:space="preserve">que está </w:t>
      </w:r>
      <w:r>
        <w:t>inteiramente e gratuitamente disponível na Internet. As</w:t>
      </w:r>
      <w:r w:rsidRPr="004F017F">
        <w:t xml:space="preserve"> </w:t>
      </w:r>
      <w:r>
        <w:t xml:space="preserve">buscas </w:t>
      </w:r>
      <w:r w:rsidRPr="004F017F">
        <w:t>fo</w:t>
      </w:r>
      <w:r>
        <w:t>ram</w:t>
      </w:r>
      <w:r w:rsidRPr="004F017F">
        <w:t xml:space="preserve"> realizada</w:t>
      </w:r>
      <w:r>
        <w:t>s</w:t>
      </w:r>
      <w:r w:rsidRPr="004F017F">
        <w:t xml:space="preserve"> </w:t>
      </w:r>
      <w:r>
        <w:t xml:space="preserve">de forma </w:t>
      </w:r>
      <w:r w:rsidRPr="004F017F">
        <w:t xml:space="preserve">que </w:t>
      </w:r>
      <w:r>
        <w:t xml:space="preserve">os </w:t>
      </w:r>
      <w:r w:rsidRPr="004F017F">
        <w:t xml:space="preserve">artigos </w:t>
      </w:r>
      <w:r>
        <w:t xml:space="preserve">sobre </w:t>
      </w:r>
      <w:r w:rsidRPr="004F017F">
        <w:t xml:space="preserve">problemas </w:t>
      </w:r>
      <w:r w:rsidR="00D66FA5">
        <w:t>e/</w:t>
      </w:r>
      <w:r>
        <w:t xml:space="preserve">ou crises </w:t>
      </w:r>
      <w:r w:rsidRPr="004F017F">
        <w:t xml:space="preserve">de segurança do alimento </w:t>
      </w:r>
      <w:r>
        <w:t xml:space="preserve">fossem, </w:t>
      </w:r>
      <w:r w:rsidRPr="004F017F">
        <w:t>separadamente</w:t>
      </w:r>
      <w:r>
        <w:t>, contabilizado</w:t>
      </w:r>
      <w:r w:rsidRPr="004F017F">
        <w:t xml:space="preserve">s para </w:t>
      </w:r>
      <w:r>
        <w:t>cada tipo de</w:t>
      </w:r>
      <w:r w:rsidRPr="004F017F">
        <w:t xml:space="preserve"> carne.</w:t>
      </w:r>
    </w:p>
    <w:p w14:paraId="00D87B17" w14:textId="77777777" w:rsidR="00C36700" w:rsidRDefault="00C36700" w:rsidP="00BC6645">
      <w:pPr>
        <w:ind w:firstLine="432"/>
        <w:jc w:val="both"/>
      </w:pPr>
      <w:r>
        <w:t>As buscas foram efetuadas inserindo-se</w:t>
      </w:r>
      <w:r w:rsidR="0006510B">
        <w:t>,</w:t>
      </w:r>
      <w:r>
        <w:t xml:space="preserve"> individualmente</w:t>
      </w:r>
      <w:r w:rsidR="0006510B">
        <w:t>,</w:t>
      </w:r>
      <w:r>
        <w:t xml:space="preserve"> no campo “com todas as palavras” do formulário de consulta (vide Figura 2), cada uma das seguintes palavras-chave</w:t>
      </w:r>
      <w:r w:rsidRPr="004F017F">
        <w:t xml:space="preserve">: </w:t>
      </w:r>
      <w:r w:rsidRPr="00F2391F">
        <w:rPr>
          <w:i/>
        </w:rPr>
        <w:t>segurança alimentar</w:t>
      </w:r>
      <w:r>
        <w:t>,</w:t>
      </w:r>
      <w:r w:rsidRPr="004F017F">
        <w:t xml:space="preserve"> </w:t>
      </w:r>
      <w:r w:rsidRPr="00F2391F">
        <w:rPr>
          <w:i/>
        </w:rPr>
        <w:t>contaminação</w:t>
      </w:r>
      <w:r>
        <w:t xml:space="preserve">, </w:t>
      </w:r>
      <w:r w:rsidRPr="00F2391F">
        <w:rPr>
          <w:i/>
        </w:rPr>
        <w:t>recall de produtos</w:t>
      </w:r>
      <w:r>
        <w:t xml:space="preserve"> ou </w:t>
      </w:r>
      <w:r w:rsidRPr="00F2391F">
        <w:rPr>
          <w:i/>
        </w:rPr>
        <w:t>recall</w:t>
      </w:r>
      <w:r>
        <w:t xml:space="preserve"> ou </w:t>
      </w:r>
      <w:r w:rsidRPr="00F2391F">
        <w:rPr>
          <w:i/>
        </w:rPr>
        <w:t>recolha de produtos</w:t>
      </w:r>
      <w:r>
        <w:t>,</w:t>
      </w:r>
      <w:r w:rsidRPr="004F017F">
        <w:t xml:space="preserve"> </w:t>
      </w:r>
      <w:r w:rsidRPr="00F2391F">
        <w:rPr>
          <w:i/>
        </w:rPr>
        <w:t>surto</w:t>
      </w:r>
      <w:r>
        <w:t xml:space="preserve">, </w:t>
      </w:r>
      <w:proofErr w:type="spellStart"/>
      <w:r>
        <w:rPr>
          <w:i/>
        </w:rPr>
        <w:t>S</w:t>
      </w:r>
      <w:r w:rsidRPr="00F2391F">
        <w:rPr>
          <w:i/>
        </w:rPr>
        <w:t>almonella</w:t>
      </w:r>
      <w:proofErr w:type="spellEnd"/>
      <w:r>
        <w:t xml:space="preserve">, </w:t>
      </w:r>
      <w:r>
        <w:rPr>
          <w:i/>
        </w:rPr>
        <w:t>L</w:t>
      </w:r>
      <w:r w:rsidRPr="00F2391F">
        <w:rPr>
          <w:i/>
        </w:rPr>
        <w:t>isteria</w:t>
      </w:r>
      <w:r>
        <w:t xml:space="preserve">, </w:t>
      </w:r>
      <w:r w:rsidRPr="00F2391F">
        <w:rPr>
          <w:i/>
        </w:rPr>
        <w:t>E. coli</w:t>
      </w:r>
      <w:r>
        <w:t xml:space="preserve">, </w:t>
      </w:r>
      <w:r w:rsidRPr="00F2391F">
        <w:rPr>
          <w:i/>
        </w:rPr>
        <w:t>triquinose</w:t>
      </w:r>
      <w:r>
        <w:rPr>
          <w:i/>
        </w:rPr>
        <w:t>,</w:t>
      </w:r>
      <w:r>
        <w:t xml:space="preserve"> </w:t>
      </w:r>
      <w:r w:rsidRPr="00F2391F">
        <w:rPr>
          <w:i/>
        </w:rPr>
        <w:t>estafilococos</w:t>
      </w:r>
      <w:r>
        <w:t xml:space="preserve"> ou </w:t>
      </w:r>
      <w:r w:rsidRPr="00F2391F">
        <w:rPr>
          <w:i/>
        </w:rPr>
        <w:t>staphylococcus</w:t>
      </w:r>
      <w:r>
        <w:t xml:space="preserve"> e </w:t>
      </w:r>
      <w:r w:rsidRPr="00F2391F">
        <w:rPr>
          <w:i/>
        </w:rPr>
        <w:t>intoxicação alimentar</w:t>
      </w:r>
      <w:r w:rsidRPr="004F017F">
        <w:t xml:space="preserve">. </w:t>
      </w:r>
      <w:r>
        <w:t xml:space="preserve">Essas palavras-chave são as mesmas utilizadas por </w:t>
      </w:r>
      <w:proofErr w:type="spellStart"/>
      <w:r>
        <w:t>Piggott</w:t>
      </w:r>
      <w:proofErr w:type="spellEnd"/>
      <w:r>
        <w:t xml:space="preserve"> e</w:t>
      </w:r>
      <w:r w:rsidRPr="00F32C25">
        <w:t xml:space="preserve"> </w:t>
      </w:r>
      <w:proofErr w:type="spellStart"/>
      <w:r w:rsidRPr="00F32C25">
        <w:t>Marsh</w:t>
      </w:r>
      <w:proofErr w:type="spellEnd"/>
      <w:r w:rsidRPr="00F32C25">
        <w:t xml:space="preserve"> (2004)</w:t>
      </w:r>
      <w:r>
        <w:t>, mas traduzidas para o português com o uso d</w:t>
      </w:r>
      <w:r w:rsidRPr="003074BD">
        <w:t xml:space="preserve">a ferramenta Google </w:t>
      </w:r>
      <w:r w:rsidRPr="00FC6771">
        <w:t>Tra</w:t>
      </w:r>
      <w:r>
        <w:t xml:space="preserve">dutor </w:t>
      </w:r>
      <w:r w:rsidRPr="003074BD">
        <w:t xml:space="preserve">disponível em </w:t>
      </w:r>
      <w:hyperlink r:id="rId11" w:history="1">
        <w:r w:rsidRPr="0074237E">
          <w:rPr>
            <w:rStyle w:val="Hyperlink"/>
          </w:rPr>
          <w:t>www.google.com.br</w:t>
        </w:r>
      </w:hyperlink>
      <w:r>
        <w:t xml:space="preserve"> e </w:t>
      </w:r>
      <w:r w:rsidR="00E36718">
        <w:t>o sítio web</w:t>
      </w:r>
      <w:r w:rsidRPr="003074BD">
        <w:t xml:space="preserve"> </w:t>
      </w:r>
      <w:hyperlink r:id="rId12" w:history="1">
        <w:r w:rsidRPr="00046F86">
          <w:rPr>
            <w:rStyle w:val="Hyperlink"/>
          </w:rPr>
          <w:t>www.wikipedia.org</w:t>
        </w:r>
      </w:hyperlink>
      <w:r>
        <w:t>, sendo que o</w:t>
      </w:r>
      <w:r w:rsidRPr="003074BD">
        <w:t>s nomes científico</w:t>
      </w:r>
      <w:r>
        <w:t xml:space="preserve">s em latim não foram traduzidos (vide Tabela 1 para maiores detalhes). </w:t>
      </w:r>
    </w:p>
    <w:p w14:paraId="0BF6BF7B" w14:textId="77777777" w:rsidR="0006510B" w:rsidRDefault="0006510B" w:rsidP="00BC6645">
      <w:pPr>
        <w:keepNext/>
        <w:jc w:val="both"/>
        <w:rPr>
          <w:b/>
        </w:rPr>
      </w:pPr>
    </w:p>
    <w:p w14:paraId="141C85EA" w14:textId="77777777" w:rsidR="00C36700" w:rsidRPr="005C587A" w:rsidRDefault="00C36700" w:rsidP="00BC6645">
      <w:pPr>
        <w:keepNext/>
        <w:jc w:val="both"/>
      </w:pPr>
      <w:r w:rsidRPr="002B3155">
        <w:rPr>
          <w:b/>
        </w:rPr>
        <w:t>Tabela 1</w:t>
      </w:r>
      <w:r>
        <w:t xml:space="preserve"> -</w:t>
      </w:r>
      <w:r w:rsidRPr="002B3155">
        <w:t xml:space="preserve"> Palavras-chave utilizadas por </w:t>
      </w:r>
      <w:proofErr w:type="spellStart"/>
      <w:r w:rsidRPr="002B3155">
        <w:t>Piggott</w:t>
      </w:r>
      <w:proofErr w:type="spellEnd"/>
      <w:r w:rsidRPr="002B3155">
        <w:t xml:space="preserve"> e </w:t>
      </w:r>
      <w:proofErr w:type="spellStart"/>
      <w:r w:rsidRPr="002B3155">
        <w:t>Marsh</w:t>
      </w:r>
      <w:proofErr w:type="spellEnd"/>
      <w:r w:rsidRPr="002B3155">
        <w:t xml:space="preserve"> (2004) e suas correspondentes traduções para o português.</w:t>
      </w:r>
    </w:p>
    <w:tbl>
      <w:tblPr>
        <w:tblStyle w:val="TableGrid"/>
        <w:tblW w:w="0" w:type="auto"/>
        <w:tblLook w:val="04A0" w:firstRow="1" w:lastRow="0" w:firstColumn="1" w:lastColumn="0" w:noHBand="0" w:noVBand="1"/>
      </w:tblPr>
      <w:tblGrid>
        <w:gridCol w:w="1709"/>
        <w:gridCol w:w="4250"/>
        <w:gridCol w:w="4461"/>
      </w:tblGrid>
      <w:tr w:rsidR="00C36700" w14:paraId="135B04FD" w14:textId="77777777" w:rsidTr="00EF5A02">
        <w:tc>
          <w:tcPr>
            <w:tcW w:w="0" w:type="auto"/>
            <w:tcBorders>
              <w:left w:val="nil"/>
              <w:bottom w:val="single" w:sz="4" w:space="0" w:color="auto"/>
              <w:right w:val="single" w:sz="4" w:space="0" w:color="auto"/>
            </w:tcBorders>
          </w:tcPr>
          <w:p w14:paraId="254A11C7" w14:textId="77777777" w:rsidR="00C36700" w:rsidRPr="00764647" w:rsidRDefault="00C36700" w:rsidP="00BC6645">
            <w:pPr>
              <w:jc w:val="center"/>
              <w:rPr>
                <w:b/>
                <w:i/>
                <w:lang w:val="en-US"/>
              </w:rPr>
            </w:pPr>
            <w:r w:rsidRPr="00764647">
              <w:rPr>
                <w:b/>
                <w:i/>
                <w:lang w:val="en-US"/>
              </w:rPr>
              <w:t>Keyword</w:t>
            </w:r>
          </w:p>
        </w:tc>
        <w:tc>
          <w:tcPr>
            <w:tcW w:w="0" w:type="auto"/>
            <w:tcBorders>
              <w:left w:val="single" w:sz="4" w:space="0" w:color="auto"/>
              <w:bottom w:val="single" w:sz="4" w:space="0" w:color="auto"/>
              <w:right w:val="single" w:sz="4" w:space="0" w:color="auto"/>
            </w:tcBorders>
          </w:tcPr>
          <w:p w14:paraId="2598BE1F" w14:textId="77777777" w:rsidR="00C36700" w:rsidRPr="00E636BF" w:rsidRDefault="00C36700" w:rsidP="00BC6645">
            <w:pPr>
              <w:jc w:val="center"/>
              <w:rPr>
                <w:b/>
              </w:rPr>
            </w:pPr>
            <w:r w:rsidRPr="00E636BF">
              <w:rPr>
                <w:b/>
              </w:rPr>
              <w:t>Palavra-chave</w:t>
            </w:r>
          </w:p>
        </w:tc>
        <w:tc>
          <w:tcPr>
            <w:tcW w:w="0" w:type="auto"/>
            <w:tcBorders>
              <w:left w:val="single" w:sz="4" w:space="0" w:color="auto"/>
              <w:bottom w:val="single" w:sz="4" w:space="0" w:color="auto"/>
              <w:right w:val="nil"/>
            </w:tcBorders>
          </w:tcPr>
          <w:p w14:paraId="6FC27DA5" w14:textId="77777777" w:rsidR="00C36700" w:rsidRPr="00E636BF" w:rsidRDefault="00C36700" w:rsidP="00BC6645">
            <w:pPr>
              <w:jc w:val="center"/>
              <w:rPr>
                <w:b/>
              </w:rPr>
            </w:pPr>
            <w:r w:rsidRPr="00E636BF">
              <w:rPr>
                <w:b/>
              </w:rPr>
              <w:t>Fonte da Tradução para o Português</w:t>
            </w:r>
          </w:p>
        </w:tc>
      </w:tr>
      <w:tr w:rsidR="00C36700" w14:paraId="610FBD30" w14:textId="77777777" w:rsidTr="00EF5A02">
        <w:tc>
          <w:tcPr>
            <w:tcW w:w="0" w:type="auto"/>
            <w:tcBorders>
              <w:left w:val="nil"/>
              <w:right w:val="single" w:sz="4" w:space="0" w:color="auto"/>
            </w:tcBorders>
          </w:tcPr>
          <w:p w14:paraId="25DB1848" w14:textId="77777777" w:rsidR="00C36700" w:rsidRPr="00764647" w:rsidRDefault="00C36700" w:rsidP="00BC6645">
            <w:pPr>
              <w:jc w:val="center"/>
              <w:rPr>
                <w:i/>
                <w:lang w:val="en-US"/>
              </w:rPr>
            </w:pPr>
            <w:r>
              <w:rPr>
                <w:i/>
                <w:lang w:val="en-US"/>
              </w:rPr>
              <w:t>Food safety</w:t>
            </w:r>
          </w:p>
        </w:tc>
        <w:tc>
          <w:tcPr>
            <w:tcW w:w="0" w:type="auto"/>
            <w:tcBorders>
              <w:left w:val="single" w:sz="4" w:space="0" w:color="auto"/>
              <w:right w:val="single" w:sz="4" w:space="0" w:color="auto"/>
            </w:tcBorders>
          </w:tcPr>
          <w:p w14:paraId="613F48BD" w14:textId="77777777" w:rsidR="00C36700" w:rsidRPr="00E636BF" w:rsidRDefault="00C36700" w:rsidP="00BC6645">
            <w:pPr>
              <w:jc w:val="center"/>
            </w:pPr>
            <w:r w:rsidRPr="00E636BF">
              <w:t>Segurança alimentar, segurança do alimento</w:t>
            </w:r>
          </w:p>
        </w:tc>
        <w:tc>
          <w:tcPr>
            <w:tcW w:w="0" w:type="auto"/>
            <w:tcBorders>
              <w:left w:val="single" w:sz="4" w:space="0" w:color="auto"/>
              <w:right w:val="nil"/>
            </w:tcBorders>
          </w:tcPr>
          <w:p w14:paraId="53D6588B" w14:textId="77777777" w:rsidR="00C36700" w:rsidRPr="00E636BF" w:rsidRDefault="00C36700" w:rsidP="00BC6645">
            <w:pPr>
              <w:jc w:val="center"/>
            </w:pPr>
            <w:r w:rsidRPr="00E636BF">
              <w:t>Google tradutor, tradução livre</w:t>
            </w:r>
          </w:p>
        </w:tc>
      </w:tr>
      <w:tr w:rsidR="00C36700" w14:paraId="15684C75" w14:textId="77777777" w:rsidTr="00EF5A02">
        <w:tc>
          <w:tcPr>
            <w:tcW w:w="0" w:type="auto"/>
            <w:tcBorders>
              <w:left w:val="nil"/>
              <w:right w:val="single" w:sz="4" w:space="0" w:color="auto"/>
            </w:tcBorders>
          </w:tcPr>
          <w:p w14:paraId="33D9BB79" w14:textId="77777777" w:rsidR="00C36700" w:rsidRDefault="00C36700" w:rsidP="00BC6645">
            <w:pPr>
              <w:jc w:val="center"/>
              <w:rPr>
                <w:i/>
                <w:lang w:val="en-US"/>
              </w:rPr>
            </w:pPr>
            <w:r>
              <w:rPr>
                <w:i/>
                <w:lang w:val="en-US"/>
              </w:rPr>
              <w:t>Contamination</w:t>
            </w:r>
          </w:p>
        </w:tc>
        <w:tc>
          <w:tcPr>
            <w:tcW w:w="0" w:type="auto"/>
            <w:tcBorders>
              <w:left w:val="single" w:sz="4" w:space="0" w:color="auto"/>
              <w:right w:val="single" w:sz="4" w:space="0" w:color="auto"/>
            </w:tcBorders>
          </w:tcPr>
          <w:p w14:paraId="42F9CD0D" w14:textId="77777777" w:rsidR="00C36700" w:rsidRPr="00E636BF" w:rsidRDefault="00C36700" w:rsidP="00BC6645">
            <w:pPr>
              <w:jc w:val="center"/>
            </w:pPr>
            <w:r w:rsidRPr="00E636BF">
              <w:t>Contaminação</w:t>
            </w:r>
          </w:p>
        </w:tc>
        <w:tc>
          <w:tcPr>
            <w:tcW w:w="0" w:type="auto"/>
            <w:tcBorders>
              <w:left w:val="single" w:sz="4" w:space="0" w:color="auto"/>
              <w:right w:val="nil"/>
            </w:tcBorders>
          </w:tcPr>
          <w:p w14:paraId="043C3921" w14:textId="77777777" w:rsidR="00C36700" w:rsidRPr="00E636BF" w:rsidRDefault="00C36700" w:rsidP="00BC6645">
            <w:pPr>
              <w:jc w:val="center"/>
            </w:pPr>
            <w:r w:rsidRPr="00E636BF">
              <w:t>Tradução livre</w:t>
            </w:r>
          </w:p>
        </w:tc>
      </w:tr>
      <w:tr w:rsidR="00C36700" w14:paraId="71CEB8EC" w14:textId="77777777" w:rsidTr="00EF5A02">
        <w:tc>
          <w:tcPr>
            <w:tcW w:w="0" w:type="auto"/>
            <w:tcBorders>
              <w:left w:val="nil"/>
              <w:right w:val="single" w:sz="4" w:space="0" w:color="auto"/>
            </w:tcBorders>
          </w:tcPr>
          <w:p w14:paraId="5D49D116" w14:textId="77777777" w:rsidR="00C36700" w:rsidRPr="00764647" w:rsidRDefault="00C36700" w:rsidP="00BC6645">
            <w:pPr>
              <w:jc w:val="center"/>
              <w:rPr>
                <w:i/>
                <w:lang w:val="en-US"/>
              </w:rPr>
            </w:pPr>
            <w:r>
              <w:rPr>
                <w:i/>
                <w:lang w:val="en-US"/>
              </w:rPr>
              <w:t>Product recall</w:t>
            </w:r>
          </w:p>
        </w:tc>
        <w:tc>
          <w:tcPr>
            <w:tcW w:w="0" w:type="auto"/>
            <w:tcBorders>
              <w:left w:val="single" w:sz="4" w:space="0" w:color="auto"/>
              <w:right w:val="single" w:sz="4" w:space="0" w:color="auto"/>
            </w:tcBorders>
          </w:tcPr>
          <w:p w14:paraId="73E715C0" w14:textId="77777777" w:rsidR="00C36700" w:rsidRPr="00E636BF" w:rsidRDefault="00C36700" w:rsidP="00BC6645">
            <w:pPr>
              <w:jc w:val="center"/>
            </w:pPr>
            <w:r w:rsidRPr="00E636BF">
              <w:t>Recall de produtos, recall, recolha de produtos</w:t>
            </w:r>
          </w:p>
        </w:tc>
        <w:tc>
          <w:tcPr>
            <w:tcW w:w="0" w:type="auto"/>
            <w:tcBorders>
              <w:left w:val="single" w:sz="4" w:space="0" w:color="auto"/>
              <w:right w:val="nil"/>
            </w:tcBorders>
          </w:tcPr>
          <w:p w14:paraId="033A6203" w14:textId="77777777" w:rsidR="00C36700" w:rsidRPr="00E636BF" w:rsidRDefault="00C36700" w:rsidP="00BC6645">
            <w:pPr>
              <w:jc w:val="center"/>
            </w:pPr>
            <w:r w:rsidRPr="00E636BF">
              <w:t xml:space="preserve">Google tradutor e </w:t>
            </w:r>
            <w:proofErr w:type="spellStart"/>
            <w:r w:rsidRPr="00E636BF">
              <w:t>Wikipedia</w:t>
            </w:r>
            <w:proofErr w:type="spellEnd"/>
          </w:p>
        </w:tc>
      </w:tr>
      <w:tr w:rsidR="00C36700" w14:paraId="34DB72C4" w14:textId="77777777" w:rsidTr="00EF5A02">
        <w:tc>
          <w:tcPr>
            <w:tcW w:w="0" w:type="auto"/>
            <w:tcBorders>
              <w:left w:val="nil"/>
              <w:right w:val="single" w:sz="4" w:space="0" w:color="auto"/>
            </w:tcBorders>
          </w:tcPr>
          <w:p w14:paraId="2299198B" w14:textId="77777777" w:rsidR="00C36700" w:rsidRPr="00764647" w:rsidRDefault="00C36700" w:rsidP="00BC6645">
            <w:pPr>
              <w:jc w:val="center"/>
              <w:rPr>
                <w:i/>
                <w:lang w:val="en-US"/>
              </w:rPr>
            </w:pPr>
            <w:r>
              <w:rPr>
                <w:i/>
                <w:lang w:val="en-US"/>
              </w:rPr>
              <w:t>O</w:t>
            </w:r>
            <w:r w:rsidRPr="00764647">
              <w:rPr>
                <w:i/>
                <w:lang w:val="en-US"/>
              </w:rPr>
              <w:t>utbreak</w:t>
            </w:r>
          </w:p>
        </w:tc>
        <w:tc>
          <w:tcPr>
            <w:tcW w:w="0" w:type="auto"/>
            <w:tcBorders>
              <w:left w:val="single" w:sz="4" w:space="0" w:color="auto"/>
              <w:right w:val="single" w:sz="4" w:space="0" w:color="auto"/>
            </w:tcBorders>
          </w:tcPr>
          <w:p w14:paraId="6675B1F3" w14:textId="77777777" w:rsidR="00C36700" w:rsidRPr="00E636BF" w:rsidRDefault="00C36700" w:rsidP="00BC6645">
            <w:pPr>
              <w:jc w:val="center"/>
            </w:pPr>
            <w:r w:rsidRPr="00E636BF">
              <w:t>Surto</w:t>
            </w:r>
          </w:p>
        </w:tc>
        <w:tc>
          <w:tcPr>
            <w:tcW w:w="0" w:type="auto"/>
            <w:tcBorders>
              <w:left w:val="single" w:sz="4" w:space="0" w:color="auto"/>
              <w:right w:val="nil"/>
            </w:tcBorders>
          </w:tcPr>
          <w:p w14:paraId="4C38A9EB" w14:textId="77777777" w:rsidR="00C36700" w:rsidRPr="00E636BF" w:rsidRDefault="00C36700" w:rsidP="00BC6645">
            <w:pPr>
              <w:jc w:val="center"/>
            </w:pPr>
            <w:r w:rsidRPr="00E636BF">
              <w:t>Google tradutor</w:t>
            </w:r>
          </w:p>
        </w:tc>
      </w:tr>
      <w:tr w:rsidR="00C36700" w14:paraId="03AC074E" w14:textId="77777777" w:rsidTr="00EF5A02">
        <w:tc>
          <w:tcPr>
            <w:tcW w:w="0" w:type="auto"/>
            <w:tcBorders>
              <w:left w:val="nil"/>
              <w:right w:val="single" w:sz="4" w:space="0" w:color="auto"/>
            </w:tcBorders>
          </w:tcPr>
          <w:p w14:paraId="61CE8D3C" w14:textId="77777777" w:rsidR="00C36700" w:rsidRPr="00764647" w:rsidRDefault="00C36700" w:rsidP="00BC6645">
            <w:pPr>
              <w:jc w:val="center"/>
              <w:rPr>
                <w:i/>
                <w:lang w:val="en-US"/>
              </w:rPr>
            </w:pPr>
            <w:r w:rsidRPr="00764647">
              <w:rPr>
                <w:i/>
                <w:lang w:val="en-US"/>
              </w:rPr>
              <w:t>Salmonella</w:t>
            </w:r>
          </w:p>
        </w:tc>
        <w:tc>
          <w:tcPr>
            <w:tcW w:w="0" w:type="auto"/>
            <w:tcBorders>
              <w:left w:val="single" w:sz="4" w:space="0" w:color="auto"/>
              <w:right w:val="single" w:sz="4" w:space="0" w:color="auto"/>
            </w:tcBorders>
          </w:tcPr>
          <w:p w14:paraId="4C0D344D" w14:textId="77777777" w:rsidR="00C36700" w:rsidRPr="00E636BF" w:rsidRDefault="00C36700" w:rsidP="00BC6645">
            <w:pPr>
              <w:jc w:val="center"/>
              <w:rPr>
                <w:i/>
              </w:rPr>
            </w:pPr>
            <w:proofErr w:type="spellStart"/>
            <w:r w:rsidRPr="00E636BF">
              <w:rPr>
                <w:i/>
              </w:rPr>
              <w:t>Salmonella</w:t>
            </w:r>
            <w:proofErr w:type="spellEnd"/>
          </w:p>
        </w:tc>
        <w:tc>
          <w:tcPr>
            <w:tcW w:w="0" w:type="auto"/>
            <w:vMerge w:val="restart"/>
            <w:tcBorders>
              <w:left w:val="single" w:sz="4" w:space="0" w:color="auto"/>
              <w:right w:val="nil"/>
            </w:tcBorders>
          </w:tcPr>
          <w:p w14:paraId="319C5154" w14:textId="77777777" w:rsidR="00C36700" w:rsidRPr="00E636BF" w:rsidRDefault="00C36700" w:rsidP="00BC6645">
            <w:pPr>
              <w:jc w:val="center"/>
            </w:pPr>
          </w:p>
          <w:p w14:paraId="54E8D7CF" w14:textId="77777777" w:rsidR="00C36700" w:rsidRPr="00E636BF" w:rsidRDefault="00C36700" w:rsidP="00BC6645">
            <w:pPr>
              <w:jc w:val="center"/>
            </w:pPr>
            <w:r w:rsidRPr="00E636BF">
              <w:t>Palavras em Latim, portanto não foram traduzidas</w:t>
            </w:r>
          </w:p>
        </w:tc>
      </w:tr>
      <w:tr w:rsidR="00C36700" w14:paraId="1CD01EEB" w14:textId="77777777" w:rsidTr="00EF5A02">
        <w:tc>
          <w:tcPr>
            <w:tcW w:w="0" w:type="auto"/>
            <w:tcBorders>
              <w:left w:val="nil"/>
              <w:right w:val="single" w:sz="4" w:space="0" w:color="auto"/>
            </w:tcBorders>
          </w:tcPr>
          <w:p w14:paraId="79A0EC69" w14:textId="77777777" w:rsidR="00C36700" w:rsidRPr="00764647" w:rsidRDefault="00C36700" w:rsidP="00BC6645">
            <w:pPr>
              <w:jc w:val="center"/>
              <w:rPr>
                <w:i/>
                <w:lang w:val="en-US"/>
              </w:rPr>
            </w:pPr>
            <w:r w:rsidRPr="00764647">
              <w:rPr>
                <w:i/>
                <w:lang w:val="en-US"/>
              </w:rPr>
              <w:t>Listeria</w:t>
            </w:r>
          </w:p>
        </w:tc>
        <w:tc>
          <w:tcPr>
            <w:tcW w:w="0" w:type="auto"/>
            <w:tcBorders>
              <w:left w:val="single" w:sz="4" w:space="0" w:color="auto"/>
              <w:right w:val="single" w:sz="4" w:space="0" w:color="auto"/>
            </w:tcBorders>
          </w:tcPr>
          <w:p w14:paraId="2D9A7760" w14:textId="77777777" w:rsidR="00C36700" w:rsidRPr="00E636BF" w:rsidRDefault="00C36700" w:rsidP="00BC6645">
            <w:pPr>
              <w:jc w:val="center"/>
              <w:rPr>
                <w:i/>
              </w:rPr>
            </w:pPr>
            <w:r w:rsidRPr="00E636BF">
              <w:rPr>
                <w:i/>
              </w:rPr>
              <w:t>Listeria</w:t>
            </w:r>
          </w:p>
        </w:tc>
        <w:tc>
          <w:tcPr>
            <w:tcW w:w="0" w:type="auto"/>
            <w:vMerge/>
            <w:tcBorders>
              <w:left w:val="single" w:sz="4" w:space="0" w:color="auto"/>
              <w:right w:val="nil"/>
            </w:tcBorders>
          </w:tcPr>
          <w:p w14:paraId="19E261D6" w14:textId="77777777" w:rsidR="00C36700" w:rsidRPr="00E636BF" w:rsidRDefault="00C36700" w:rsidP="00BC6645">
            <w:pPr>
              <w:jc w:val="center"/>
            </w:pPr>
          </w:p>
        </w:tc>
      </w:tr>
      <w:tr w:rsidR="00C36700" w14:paraId="64ACDCBD" w14:textId="77777777" w:rsidTr="00EF5A02">
        <w:tc>
          <w:tcPr>
            <w:tcW w:w="0" w:type="auto"/>
            <w:tcBorders>
              <w:left w:val="nil"/>
              <w:right w:val="single" w:sz="4" w:space="0" w:color="auto"/>
            </w:tcBorders>
          </w:tcPr>
          <w:p w14:paraId="773EDE7B" w14:textId="77777777" w:rsidR="00C36700" w:rsidRPr="00764647" w:rsidRDefault="00C36700" w:rsidP="00BC6645">
            <w:pPr>
              <w:jc w:val="center"/>
              <w:rPr>
                <w:i/>
                <w:lang w:val="en-US"/>
              </w:rPr>
            </w:pPr>
            <w:r w:rsidRPr="00764647">
              <w:rPr>
                <w:i/>
                <w:lang w:val="en-US"/>
              </w:rPr>
              <w:t>E. coli</w:t>
            </w:r>
          </w:p>
        </w:tc>
        <w:tc>
          <w:tcPr>
            <w:tcW w:w="0" w:type="auto"/>
            <w:tcBorders>
              <w:left w:val="single" w:sz="4" w:space="0" w:color="auto"/>
              <w:right w:val="single" w:sz="4" w:space="0" w:color="auto"/>
            </w:tcBorders>
          </w:tcPr>
          <w:p w14:paraId="41EA0EF7" w14:textId="77777777" w:rsidR="00C36700" w:rsidRPr="00E636BF" w:rsidRDefault="00C36700" w:rsidP="00BC6645">
            <w:pPr>
              <w:jc w:val="center"/>
              <w:rPr>
                <w:i/>
              </w:rPr>
            </w:pPr>
            <w:r w:rsidRPr="00E636BF">
              <w:rPr>
                <w:i/>
              </w:rPr>
              <w:t>E. coli</w:t>
            </w:r>
          </w:p>
        </w:tc>
        <w:tc>
          <w:tcPr>
            <w:tcW w:w="0" w:type="auto"/>
            <w:vMerge/>
            <w:tcBorders>
              <w:left w:val="single" w:sz="4" w:space="0" w:color="auto"/>
              <w:right w:val="nil"/>
            </w:tcBorders>
          </w:tcPr>
          <w:p w14:paraId="4B4D045A" w14:textId="77777777" w:rsidR="00C36700" w:rsidRPr="00E636BF" w:rsidRDefault="00C36700" w:rsidP="00BC6645">
            <w:pPr>
              <w:jc w:val="center"/>
            </w:pPr>
          </w:p>
        </w:tc>
      </w:tr>
      <w:tr w:rsidR="00C36700" w14:paraId="0F2F3637" w14:textId="77777777" w:rsidTr="00EF5A02">
        <w:tc>
          <w:tcPr>
            <w:tcW w:w="0" w:type="auto"/>
            <w:tcBorders>
              <w:left w:val="nil"/>
              <w:right w:val="single" w:sz="4" w:space="0" w:color="auto"/>
            </w:tcBorders>
          </w:tcPr>
          <w:p w14:paraId="569D3C04" w14:textId="77777777" w:rsidR="00C36700" w:rsidRPr="00764647" w:rsidRDefault="00C36700" w:rsidP="00BC6645">
            <w:pPr>
              <w:jc w:val="center"/>
              <w:rPr>
                <w:i/>
                <w:lang w:val="en-US"/>
              </w:rPr>
            </w:pPr>
            <w:r w:rsidRPr="00764647">
              <w:rPr>
                <w:i/>
                <w:lang w:val="en-US"/>
              </w:rPr>
              <w:t>Trichinae</w:t>
            </w:r>
          </w:p>
        </w:tc>
        <w:tc>
          <w:tcPr>
            <w:tcW w:w="0" w:type="auto"/>
            <w:tcBorders>
              <w:left w:val="single" w:sz="4" w:space="0" w:color="auto"/>
              <w:right w:val="single" w:sz="4" w:space="0" w:color="auto"/>
            </w:tcBorders>
          </w:tcPr>
          <w:p w14:paraId="69143ADF" w14:textId="77777777" w:rsidR="00C36700" w:rsidRPr="00E636BF" w:rsidRDefault="00C36700" w:rsidP="00BC6645">
            <w:pPr>
              <w:jc w:val="center"/>
            </w:pPr>
            <w:r w:rsidRPr="00E636BF">
              <w:t xml:space="preserve">Triquinose (doença causada pela </w:t>
            </w:r>
            <w:r w:rsidRPr="00E636BF">
              <w:lastRenderedPageBreak/>
              <w:t>trichinae)</w:t>
            </w:r>
          </w:p>
        </w:tc>
        <w:tc>
          <w:tcPr>
            <w:tcW w:w="0" w:type="auto"/>
            <w:tcBorders>
              <w:left w:val="single" w:sz="4" w:space="0" w:color="auto"/>
              <w:right w:val="nil"/>
            </w:tcBorders>
          </w:tcPr>
          <w:p w14:paraId="4823598C" w14:textId="77777777" w:rsidR="00C36700" w:rsidRPr="00E636BF" w:rsidRDefault="00C36700" w:rsidP="00BC6645">
            <w:pPr>
              <w:jc w:val="center"/>
            </w:pPr>
            <w:r w:rsidRPr="00E636BF">
              <w:lastRenderedPageBreak/>
              <w:t>Google tradutor</w:t>
            </w:r>
          </w:p>
        </w:tc>
      </w:tr>
      <w:tr w:rsidR="00C36700" w14:paraId="2A68DD75" w14:textId="77777777" w:rsidTr="00EF5A02">
        <w:tc>
          <w:tcPr>
            <w:tcW w:w="0" w:type="auto"/>
            <w:tcBorders>
              <w:left w:val="nil"/>
              <w:right w:val="single" w:sz="4" w:space="0" w:color="auto"/>
            </w:tcBorders>
          </w:tcPr>
          <w:p w14:paraId="213F941B" w14:textId="77777777" w:rsidR="00C36700" w:rsidRPr="00764647" w:rsidRDefault="00C36700" w:rsidP="00BC6645">
            <w:pPr>
              <w:jc w:val="center"/>
              <w:rPr>
                <w:i/>
                <w:lang w:val="en-US"/>
              </w:rPr>
            </w:pPr>
            <w:r w:rsidRPr="00764647">
              <w:rPr>
                <w:i/>
                <w:lang w:val="en-US"/>
              </w:rPr>
              <w:lastRenderedPageBreak/>
              <w:t>Staphylococcus</w:t>
            </w:r>
          </w:p>
        </w:tc>
        <w:tc>
          <w:tcPr>
            <w:tcW w:w="0" w:type="auto"/>
            <w:tcBorders>
              <w:left w:val="single" w:sz="4" w:space="0" w:color="auto"/>
              <w:right w:val="single" w:sz="4" w:space="0" w:color="auto"/>
            </w:tcBorders>
          </w:tcPr>
          <w:p w14:paraId="1F218529" w14:textId="77777777" w:rsidR="00C36700" w:rsidRPr="00E636BF" w:rsidRDefault="00C36700" w:rsidP="00BC6645">
            <w:pPr>
              <w:jc w:val="center"/>
            </w:pPr>
            <w:r w:rsidRPr="00E636BF">
              <w:t>Staphylococcus, Estafilococos</w:t>
            </w:r>
          </w:p>
        </w:tc>
        <w:tc>
          <w:tcPr>
            <w:tcW w:w="0" w:type="auto"/>
            <w:tcBorders>
              <w:left w:val="single" w:sz="4" w:space="0" w:color="auto"/>
              <w:right w:val="nil"/>
            </w:tcBorders>
          </w:tcPr>
          <w:p w14:paraId="63FE35F5" w14:textId="77777777" w:rsidR="00C36700" w:rsidRPr="00E636BF" w:rsidRDefault="00C36700" w:rsidP="00BC6645">
            <w:pPr>
              <w:jc w:val="center"/>
            </w:pPr>
            <w:r w:rsidRPr="00E636BF">
              <w:t xml:space="preserve">Google tradutor e </w:t>
            </w:r>
            <w:proofErr w:type="spellStart"/>
            <w:r w:rsidRPr="00E636BF">
              <w:t>Wikipedia</w:t>
            </w:r>
            <w:proofErr w:type="spellEnd"/>
          </w:p>
        </w:tc>
      </w:tr>
      <w:tr w:rsidR="00C36700" w14:paraId="56B7EE3C" w14:textId="77777777" w:rsidTr="00EF5A02">
        <w:tc>
          <w:tcPr>
            <w:tcW w:w="0" w:type="auto"/>
            <w:tcBorders>
              <w:left w:val="nil"/>
              <w:right w:val="single" w:sz="4" w:space="0" w:color="auto"/>
            </w:tcBorders>
          </w:tcPr>
          <w:p w14:paraId="1404A919" w14:textId="77777777" w:rsidR="00C36700" w:rsidRPr="00764647" w:rsidRDefault="00C36700" w:rsidP="00BC6645">
            <w:pPr>
              <w:jc w:val="center"/>
              <w:rPr>
                <w:i/>
                <w:lang w:val="en-US"/>
              </w:rPr>
            </w:pPr>
            <w:proofErr w:type="spellStart"/>
            <w:r w:rsidRPr="00764647">
              <w:rPr>
                <w:i/>
                <w:lang w:val="en-US"/>
              </w:rPr>
              <w:t>Foodbone</w:t>
            </w:r>
            <w:proofErr w:type="spellEnd"/>
            <w:r w:rsidRPr="00764647">
              <w:rPr>
                <w:i/>
                <w:lang w:val="en-US"/>
              </w:rPr>
              <w:t xml:space="preserve"> </w:t>
            </w:r>
          </w:p>
        </w:tc>
        <w:tc>
          <w:tcPr>
            <w:tcW w:w="0" w:type="auto"/>
            <w:tcBorders>
              <w:left w:val="single" w:sz="4" w:space="0" w:color="auto"/>
              <w:right w:val="single" w:sz="4" w:space="0" w:color="auto"/>
            </w:tcBorders>
          </w:tcPr>
          <w:p w14:paraId="11D7E486" w14:textId="77777777" w:rsidR="00C36700" w:rsidRPr="00E636BF" w:rsidRDefault="00C36700" w:rsidP="00BC6645">
            <w:pPr>
              <w:jc w:val="center"/>
            </w:pPr>
            <w:r w:rsidRPr="00E636BF">
              <w:t>Intoxicação alimentar</w:t>
            </w:r>
          </w:p>
        </w:tc>
        <w:tc>
          <w:tcPr>
            <w:tcW w:w="0" w:type="auto"/>
            <w:tcBorders>
              <w:left w:val="single" w:sz="4" w:space="0" w:color="auto"/>
              <w:right w:val="nil"/>
            </w:tcBorders>
          </w:tcPr>
          <w:p w14:paraId="2266A440" w14:textId="77777777" w:rsidR="00C36700" w:rsidRPr="00E636BF" w:rsidRDefault="00C36700" w:rsidP="00BC6645">
            <w:pPr>
              <w:jc w:val="center"/>
            </w:pPr>
            <w:proofErr w:type="spellStart"/>
            <w:r w:rsidRPr="00E636BF">
              <w:t>Wikipedia</w:t>
            </w:r>
            <w:proofErr w:type="spellEnd"/>
          </w:p>
        </w:tc>
      </w:tr>
    </w:tbl>
    <w:p w14:paraId="693B5C78" w14:textId="77777777" w:rsidR="00C36700" w:rsidRDefault="00ED1E76" w:rsidP="00BC6645">
      <w:pPr>
        <w:rPr>
          <w:lang w:val="en-US"/>
        </w:rPr>
      </w:pPr>
      <w:proofErr w:type="spellStart"/>
      <w:r>
        <w:rPr>
          <w:lang w:val="en-US"/>
        </w:rPr>
        <w:t>Fonte</w:t>
      </w:r>
      <w:proofErr w:type="spellEnd"/>
      <w:r>
        <w:rPr>
          <w:lang w:val="en-US"/>
        </w:rPr>
        <w:t xml:space="preserve">: </w:t>
      </w:r>
      <w:proofErr w:type="spellStart"/>
      <w:r>
        <w:rPr>
          <w:lang w:val="en-US"/>
        </w:rPr>
        <w:t>Elaboração</w:t>
      </w:r>
      <w:proofErr w:type="spellEnd"/>
      <w:r>
        <w:rPr>
          <w:lang w:val="en-US"/>
        </w:rPr>
        <w:t xml:space="preserve"> </w:t>
      </w:r>
      <w:proofErr w:type="spellStart"/>
      <w:r>
        <w:rPr>
          <w:lang w:val="en-US"/>
        </w:rPr>
        <w:t>própria</w:t>
      </w:r>
      <w:proofErr w:type="spellEnd"/>
      <w:r>
        <w:rPr>
          <w:lang w:val="en-US"/>
        </w:rPr>
        <w:t>.</w:t>
      </w:r>
    </w:p>
    <w:p w14:paraId="25575E48" w14:textId="77777777" w:rsidR="000A73A2" w:rsidRDefault="000A73A2" w:rsidP="00BC6645">
      <w:pPr>
        <w:rPr>
          <w:lang w:val="en-US"/>
        </w:rPr>
      </w:pPr>
    </w:p>
    <w:p w14:paraId="23C8BF35" w14:textId="77777777" w:rsidR="00C36700" w:rsidRPr="00297EDD" w:rsidRDefault="00C36700" w:rsidP="00BC6645">
      <w:pPr>
        <w:keepNext/>
        <w:jc w:val="both"/>
      </w:pPr>
      <w:r>
        <w:rPr>
          <w:b/>
        </w:rPr>
        <w:t>Figura 2 -</w:t>
      </w:r>
      <w:r w:rsidRPr="00297EDD">
        <w:rPr>
          <w:b/>
        </w:rPr>
        <w:t xml:space="preserve"> </w:t>
      </w:r>
      <w:r w:rsidRPr="00297EDD">
        <w:t xml:space="preserve">Imagem da tela de abertura da ferramenta de busca da Folha de São Paulo disponível em </w:t>
      </w:r>
      <w:hyperlink r:id="rId13" w:history="1">
        <w:r w:rsidRPr="00297EDD">
          <w:rPr>
            <w:rStyle w:val="Hyperlink"/>
          </w:rPr>
          <w:t>http://acervo.folha.com.br/busca_detalhada</w:t>
        </w:r>
      </w:hyperlink>
      <w:r w:rsidRPr="00297EDD">
        <w:t>.</w:t>
      </w:r>
    </w:p>
    <w:p w14:paraId="675C1FEE" w14:textId="77777777" w:rsidR="00C36700" w:rsidRDefault="00C36700" w:rsidP="00BC6645">
      <w:pPr>
        <w:jc w:val="both"/>
      </w:pPr>
      <w:r w:rsidRPr="000B784A">
        <w:rPr>
          <w:noProof/>
          <w:lang w:val="en-US" w:eastAsia="en-US"/>
        </w:rPr>
        <w:drawing>
          <wp:inline distT="0" distB="0" distL="0" distR="0" wp14:anchorId="0B298D72" wp14:editId="5423FAEC">
            <wp:extent cx="3000375" cy="1652588"/>
            <wp:effectExtent l="19050" t="0" r="9525" b="0"/>
            <wp:docPr id="3" name="Imagem 1" descr="busca avanç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ca avançada"/>
                    <pic:cNvPicPr>
                      <a:picLocks noChangeAspect="1" noChangeArrowheads="1"/>
                    </pic:cNvPicPr>
                  </pic:nvPicPr>
                  <pic:blipFill>
                    <a:blip r:embed="rId14" cstate="print"/>
                    <a:srcRect/>
                    <a:stretch>
                      <a:fillRect/>
                    </a:stretch>
                  </pic:blipFill>
                  <pic:spPr bwMode="auto">
                    <a:xfrm>
                      <a:off x="0" y="0"/>
                      <a:ext cx="3000375" cy="1652588"/>
                    </a:xfrm>
                    <a:prstGeom prst="rect">
                      <a:avLst/>
                    </a:prstGeom>
                    <a:noFill/>
                    <a:ln w="9525">
                      <a:noFill/>
                      <a:miter lim="800000"/>
                      <a:headEnd/>
                      <a:tailEnd/>
                    </a:ln>
                  </pic:spPr>
                </pic:pic>
              </a:graphicData>
            </a:graphic>
          </wp:inline>
        </w:drawing>
      </w:r>
    </w:p>
    <w:p w14:paraId="5441D8D5" w14:textId="77777777" w:rsidR="00C36700" w:rsidRDefault="00C36700" w:rsidP="00BC6645">
      <w:pPr>
        <w:ind w:firstLine="432"/>
        <w:jc w:val="both"/>
      </w:pPr>
      <w:r>
        <w:t xml:space="preserve">Adicionalmente àquelas palavras-chave propostas por </w:t>
      </w:r>
      <w:proofErr w:type="spellStart"/>
      <w:r>
        <w:t>Piggott</w:t>
      </w:r>
      <w:proofErr w:type="spellEnd"/>
      <w:r>
        <w:t xml:space="preserve"> e </w:t>
      </w:r>
      <w:proofErr w:type="spellStart"/>
      <w:r>
        <w:t>Marsh</w:t>
      </w:r>
      <w:proofErr w:type="spellEnd"/>
      <w:r>
        <w:t xml:space="preserve"> (2004), </w:t>
      </w:r>
      <w:r w:rsidR="00D66FA5">
        <w:t xml:space="preserve">utilizou-se </w:t>
      </w:r>
      <w:r>
        <w:t xml:space="preserve">as palavras-chave: </w:t>
      </w:r>
      <w:r w:rsidRPr="00F2391F">
        <w:rPr>
          <w:i/>
        </w:rPr>
        <w:t>BSE</w:t>
      </w:r>
      <w:r>
        <w:t xml:space="preserve"> ou </w:t>
      </w:r>
      <w:r w:rsidRPr="00F2391F">
        <w:rPr>
          <w:i/>
        </w:rPr>
        <w:t>Encefalopatia Espongiforme Bovina</w:t>
      </w:r>
      <w:r>
        <w:t xml:space="preserve"> ou </w:t>
      </w:r>
      <w:r w:rsidRPr="00F2391F">
        <w:rPr>
          <w:i/>
        </w:rPr>
        <w:t xml:space="preserve">vaca </w:t>
      </w:r>
      <w:r>
        <w:rPr>
          <w:i/>
        </w:rPr>
        <w:t>l</w:t>
      </w:r>
      <w:r w:rsidRPr="00F2391F">
        <w:rPr>
          <w:i/>
        </w:rPr>
        <w:t>ouca</w:t>
      </w:r>
      <w:r>
        <w:t xml:space="preserve"> ou</w:t>
      </w:r>
      <w:r w:rsidRPr="00127840">
        <w:rPr>
          <w:b/>
        </w:rPr>
        <w:t xml:space="preserve"> </w:t>
      </w:r>
      <w:r w:rsidRPr="00F2391F">
        <w:rPr>
          <w:i/>
        </w:rPr>
        <w:t>febre aftosa</w:t>
      </w:r>
      <w:r w:rsidRPr="00F2391F">
        <w:t xml:space="preserve">, como </w:t>
      </w:r>
      <w:r>
        <w:t xml:space="preserve">proposto </w:t>
      </w:r>
      <w:r w:rsidRPr="00F2391F">
        <w:t>por</w:t>
      </w:r>
      <w:r>
        <w:rPr>
          <w:b/>
        </w:rPr>
        <w:t xml:space="preserve"> </w:t>
      </w:r>
      <w:r>
        <w:t>Resende Filho (2008).</w:t>
      </w:r>
    </w:p>
    <w:p w14:paraId="7D284861" w14:textId="77777777" w:rsidR="00DC68C5" w:rsidRDefault="005A5D08" w:rsidP="00BC6645">
      <w:pPr>
        <w:ind w:firstLine="432"/>
        <w:jc w:val="both"/>
      </w:pPr>
      <w:r>
        <w:t xml:space="preserve">Em cada busca, </w:t>
      </w:r>
      <w:r w:rsidR="00B76C90">
        <w:t>a fim de</w:t>
      </w:r>
      <w:r w:rsidR="00C36700" w:rsidRPr="00E54502">
        <w:t xml:space="preserve"> separar os resultados por tipo de carne, foi inserido no campo “com pelo menos uma das palavras” (vide Figura </w:t>
      </w:r>
      <w:r w:rsidR="00C36700">
        <w:t>2</w:t>
      </w:r>
      <w:r w:rsidR="00C36700" w:rsidRPr="00E54502">
        <w:t>)</w:t>
      </w:r>
      <w:r w:rsidR="00C36700">
        <w:t>,</w:t>
      </w:r>
      <w:r w:rsidR="00C36700" w:rsidRPr="00E54502">
        <w:t xml:space="preserve"> separadamente</w:t>
      </w:r>
      <w:r w:rsidR="00C36700">
        <w:t>,</w:t>
      </w:r>
      <w:r w:rsidR="00C36700" w:rsidRPr="00E54502">
        <w:t xml:space="preserve"> </w:t>
      </w:r>
      <w:r w:rsidR="00C36700">
        <w:t>cada um d</w:t>
      </w:r>
      <w:r w:rsidR="00C36700" w:rsidRPr="00E54502">
        <w:t>os três conjuntos de palavras a seguir: carne hambúrguer; porco presunto; frango. Por exemplo, em uma busca foi utilizada a palavra-chave “c</w:t>
      </w:r>
      <w:r>
        <w:t xml:space="preserve">ontaminação” </w:t>
      </w:r>
      <w:r w:rsidR="00C36700" w:rsidRPr="00E54502">
        <w:t>no campo “com a frase exata”</w:t>
      </w:r>
      <w:r w:rsidR="00786992">
        <w:t>,</w:t>
      </w:r>
      <w:r w:rsidR="00C36700" w:rsidRPr="00E54502">
        <w:t xml:space="preserve"> juntamente com as palavras “carne</w:t>
      </w:r>
      <w:r w:rsidR="00786992">
        <w:t xml:space="preserve"> ou hambúrguer” </w:t>
      </w:r>
      <w:r w:rsidR="00C36700" w:rsidRPr="00E54502">
        <w:t xml:space="preserve">no campo “com pelo menos uma das palavras”. Os resultados eram agrupados e apresentados pela ferramenta de busca da Folha de São Paulo por mês do período de janeiro de </w:t>
      </w:r>
      <w:r w:rsidR="00C36700">
        <w:t>1975</w:t>
      </w:r>
      <w:r>
        <w:t xml:space="preserve"> </w:t>
      </w:r>
      <w:r w:rsidR="00B76C90">
        <w:t>a</w:t>
      </w:r>
      <w:r w:rsidR="00C36700" w:rsidRPr="00E54502">
        <w:t xml:space="preserve"> dezembro de 2011. Em seguida, </w:t>
      </w:r>
      <w:r w:rsidR="00DC68C5">
        <w:t xml:space="preserve">contabilizava-se </w:t>
      </w:r>
      <w:r w:rsidR="00C36700">
        <w:t>o número de páginas da F</w:t>
      </w:r>
      <w:r w:rsidR="00C36700" w:rsidRPr="00E54502">
        <w:t xml:space="preserve">olha de São Paulo que atendiam aos critérios da busca. </w:t>
      </w:r>
    </w:p>
    <w:p w14:paraId="0D6DABC0" w14:textId="77777777" w:rsidR="00C36700" w:rsidRDefault="008776C0" w:rsidP="00BC6645">
      <w:pPr>
        <w:ind w:firstLine="432"/>
        <w:jc w:val="both"/>
      </w:pPr>
      <w:r>
        <w:t xml:space="preserve">Foram ainda </w:t>
      </w:r>
      <w:r w:rsidR="00F83977">
        <w:t xml:space="preserve">separadamente </w:t>
      </w:r>
      <w:r w:rsidR="00D976CE">
        <w:t>pesquisado</w:t>
      </w:r>
      <w:r>
        <w:t xml:space="preserve">s </w:t>
      </w:r>
      <w:r w:rsidR="00F83977">
        <w:t xml:space="preserve">os termos </w:t>
      </w:r>
      <w:r w:rsidR="00C36700" w:rsidRPr="00670198">
        <w:rPr>
          <w:i/>
        </w:rPr>
        <w:t>bactéria</w:t>
      </w:r>
      <w:r w:rsidR="00F83977">
        <w:t>,</w:t>
      </w:r>
      <w:r w:rsidR="00DC68C5">
        <w:t xml:space="preserve"> </w:t>
      </w:r>
      <w:r w:rsidR="00C36700" w:rsidRPr="00670198">
        <w:rPr>
          <w:i/>
        </w:rPr>
        <w:t>moléstia</w:t>
      </w:r>
      <w:r w:rsidR="00F83977">
        <w:t xml:space="preserve">, </w:t>
      </w:r>
      <w:r w:rsidR="00F83977" w:rsidRPr="00670198">
        <w:rPr>
          <w:i/>
        </w:rPr>
        <w:t>gripe suína</w:t>
      </w:r>
      <w:r w:rsidR="00F83977" w:rsidRPr="00F83977">
        <w:t xml:space="preserve"> e </w:t>
      </w:r>
      <w:r w:rsidR="00F83977" w:rsidRPr="00670198">
        <w:rPr>
          <w:i/>
        </w:rPr>
        <w:t>gripe aviária</w:t>
      </w:r>
      <w:r>
        <w:t xml:space="preserve"> no campo </w:t>
      </w:r>
      <w:r w:rsidRPr="00E54502">
        <w:t>“com a frase exata”</w:t>
      </w:r>
      <w:r w:rsidR="00F83977">
        <w:t xml:space="preserve">, inserindo-se </w:t>
      </w:r>
      <w:r w:rsidRPr="00E54502">
        <w:t xml:space="preserve">no campo “com pelo menos uma das palavras” (vide Figura </w:t>
      </w:r>
      <w:r>
        <w:t>2</w:t>
      </w:r>
      <w:r w:rsidRPr="00E54502">
        <w:t>)</w:t>
      </w:r>
      <w:r>
        <w:t>,</w:t>
      </w:r>
      <w:r w:rsidRPr="00E54502">
        <w:t xml:space="preserve"> separadamente</w:t>
      </w:r>
      <w:r>
        <w:t>,</w:t>
      </w:r>
      <w:r w:rsidRPr="00E54502">
        <w:t xml:space="preserve"> </w:t>
      </w:r>
      <w:r>
        <w:t>cada um d</w:t>
      </w:r>
      <w:r w:rsidRPr="00E54502">
        <w:t>os três conjuntos de palavras: carne hambúrguer; porco presunto; frango.</w:t>
      </w:r>
      <w:r w:rsidR="00C36700" w:rsidRPr="00E54502">
        <w:t xml:space="preserve"> Cada pesquisa retornava, em média, </w:t>
      </w:r>
      <w:r w:rsidR="00D976CE">
        <w:t>300 resultados, que eram avaliados</w:t>
      </w:r>
      <w:r w:rsidR="00C36700" w:rsidRPr="00E54502">
        <w:t xml:space="preserve"> individualmente </w:t>
      </w:r>
      <w:r w:rsidR="00D976CE">
        <w:t xml:space="preserve">de modo a atestar </w:t>
      </w:r>
      <w:r w:rsidR="00C36700" w:rsidRPr="00E54502">
        <w:t xml:space="preserve">se a notícia realmente se enquadrava no tema pesquisado (a proporção </w:t>
      </w:r>
      <w:r w:rsidR="007469CE">
        <w:t xml:space="preserve">média foi </w:t>
      </w:r>
      <w:r w:rsidR="00B76C90">
        <w:t>de uma</w:t>
      </w:r>
      <w:r w:rsidR="00C36700" w:rsidRPr="00E54502">
        <w:t xml:space="preserve"> </w:t>
      </w:r>
      <w:r w:rsidR="00D976CE">
        <w:t xml:space="preserve">notícia relevante para cada </w:t>
      </w:r>
      <w:r w:rsidR="00B76C90">
        <w:t>cinco</w:t>
      </w:r>
      <w:r w:rsidR="00D976CE">
        <w:t xml:space="preserve"> notícias avaliadas</w:t>
      </w:r>
      <w:r w:rsidR="00C36700" w:rsidRPr="00E54502">
        <w:t xml:space="preserve">). A pesquisa </w:t>
      </w:r>
      <w:r w:rsidR="00C36700" w:rsidRPr="00E54502">
        <w:rPr>
          <w:i/>
        </w:rPr>
        <w:t xml:space="preserve">surto + carne </w:t>
      </w:r>
      <w:r w:rsidR="00C36700" w:rsidRPr="00E54502">
        <w:t>não foi contabilizada, pois retornou mais de 6000 resultados, sendo que pouquíssimos se relacionavam à segurança do alimento e</w:t>
      </w:r>
      <w:r w:rsidR="00C36700">
        <w:t>,</w:t>
      </w:r>
      <w:r w:rsidR="00C36700" w:rsidRPr="00E54502">
        <w:t xml:space="preserve"> os que o faziam</w:t>
      </w:r>
      <w:r w:rsidR="00C36700">
        <w:t>,</w:t>
      </w:r>
      <w:r w:rsidR="00C36700" w:rsidRPr="00E54502">
        <w:t xml:space="preserve"> já haviam sido contabilizado</w:t>
      </w:r>
      <w:r w:rsidR="00C36700">
        <w:t>s</w:t>
      </w:r>
      <w:r w:rsidR="00C36700" w:rsidRPr="00E54502">
        <w:t xml:space="preserve"> em buscas anteriores. </w:t>
      </w:r>
    </w:p>
    <w:p w14:paraId="436297A0" w14:textId="77777777" w:rsidR="00C36700" w:rsidRPr="002C798A" w:rsidRDefault="00C36700" w:rsidP="00BC6645">
      <w:pPr>
        <w:keepNext/>
        <w:jc w:val="both"/>
      </w:pPr>
      <w:r w:rsidRPr="002C798A">
        <w:rPr>
          <w:b/>
        </w:rPr>
        <w:lastRenderedPageBreak/>
        <w:t xml:space="preserve">Figura </w:t>
      </w:r>
      <w:r>
        <w:rPr>
          <w:b/>
        </w:rPr>
        <w:t xml:space="preserve">3 </w:t>
      </w:r>
      <w:r>
        <w:t>-</w:t>
      </w:r>
      <w:r w:rsidRPr="002C798A">
        <w:rPr>
          <w:b/>
          <w:bCs/>
        </w:rPr>
        <w:t xml:space="preserve"> </w:t>
      </w:r>
      <w:r w:rsidR="007E0A0C">
        <w:rPr>
          <w:bCs/>
        </w:rPr>
        <w:t>Número de páginas d</w:t>
      </w:r>
      <w:r w:rsidRPr="002C798A">
        <w:rPr>
          <w:bCs/>
        </w:rPr>
        <w:t>a Folha d</w:t>
      </w:r>
      <w:r w:rsidR="007E0A0C">
        <w:rPr>
          <w:bCs/>
        </w:rPr>
        <w:t>e São Paulo relacionada</w:t>
      </w:r>
      <w:r w:rsidR="007469CE">
        <w:rPr>
          <w:bCs/>
        </w:rPr>
        <w:t>s a crises/problemas</w:t>
      </w:r>
      <w:r w:rsidRPr="002C798A">
        <w:rPr>
          <w:bCs/>
        </w:rPr>
        <w:t xml:space="preserve"> de segurança do alimento para carne bovina, carne suína e c</w:t>
      </w:r>
      <w:r w:rsidR="007E0A0C">
        <w:rPr>
          <w:bCs/>
        </w:rPr>
        <w:t>arne de frango de</w:t>
      </w:r>
      <w:r w:rsidRPr="002C798A">
        <w:rPr>
          <w:bCs/>
        </w:rPr>
        <w:t xml:space="preserve"> janeiro de </w:t>
      </w:r>
      <w:r>
        <w:rPr>
          <w:bCs/>
        </w:rPr>
        <w:t>1975</w:t>
      </w:r>
      <w:r w:rsidRPr="002C798A">
        <w:rPr>
          <w:bCs/>
        </w:rPr>
        <w:t xml:space="preserve"> a dezembro de 2011.</w:t>
      </w:r>
    </w:p>
    <w:p w14:paraId="385FBBC7" w14:textId="77777777" w:rsidR="00C36700" w:rsidRDefault="00C36700" w:rsidP="00BC6645">
      <w:pPr>
        <w:jc w:val="both"/>
      </w:pPr>
      <w:r w:rsidRPr="003544EB">
        <w:rPr>
          <w:noProof/>
          <w:lang w:val="en-US" w:eastAsia="en-US"/>
        </w:rPr>
        <w:drawing>
          <wp:inline distT="0" distB="0" distL="0" distR="0" wp14:anchorId="035E0588" wp14:editId="4906E50F">
            <wp:extent cx="3669030" cy="2708910"/>
            <wp:effectExtent l="19050" t="0" r="762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srcRect/>
                    <a:stretch>
                      <a:fillRect/>
                    </a:stretch>
                  </pic:blipFill>
                  <pic:spPr bwMode="auto">
                    <a:xfrm>
                      <a:off x="0" y="0"/>
                      <a:ext cx="3669030" cy="2708910"/>
                    </a:xfrm>
                    <a:prstGeom prst="rect">
                      <a:avLst/>
                    </a:prstGeom>
                    <a:noFill/>
                    <a:ln w="9525">
                      <a:noFill/>
                      <a:miter lim="800000"/>
                      <a:headEnd/>
                      <a:tailEnd/>
                    </a:ln>
                  </pic:spPr>
                </pic:pic>
              </a:graphicData>
            </a:graphic>
          </wp:inline>
        </w:drawing>
      </w:r>
    </w:p>
    <w:p w14:paraId="4BB3954A" w14:textId="77777777" w:rsidR="00C36700" w:rsidRPr="0021433C" w:rsidRDefault="00BC6645" w:rsidP="00BC6645">
      <w:pPr>
        <w:jc w:val="both"/>
        <w:rPr>
          <w:lang w:val="en-US"/>
        </w:rPr>
      </w:pPr>
      <w:r>
        <w:rPr>
          <w:bCs/>
        </w:rPr>
        <w:t>Fonte:</w:t>
      </w:r>
      <w:r w:rsidR="00C36700">
        <w:rPr>
          <w:bCs/>
        </w:rPr>
        <w:t xml:space="preserve"> </w:t>
      </w:r>
      <w:hyperlink r:id="rId16" w:history="1">
        <w:r w:rsidR="00C36700" w:rsidRPr="00D95C14">
          <w:rPr>
            <w:rStyle w:val="Hyperlink"/>
          </w:rPr>
          <w:t>http://acervo.folha.com.br/busca_detalhada</w:t>
        </w:r>
      </w:hyperlink>
      <w:r w:rsidR="00C36700" w:rsidRPr="00C74F43">
        <w:rPr>
          <w:lang w:val="en-US"/>
        </w:rPr>
        <w:t>.</w:t>
      </w:r>
    </w:p>
    <w:p w14:paraId="4373031C" w14:textId="77777777" w:rsidR="00C36700" w:rsidRPr="007641F8" w:rsidRDefault="00C36700" w:rsidP="00BC6645">
      <w:pPr>
        <w:ind w:firstLine="432"/>
        <w:jc w:val="both"/>
      </w:pPr>
      <w:r w:rsidRPr="007641F8">
        <w:t>Analisando</w:t>
      </w:r>
      <w:r w:rsidR="007E0A0C">
        <w:t>-se</w:t>
      </w:r>
      <w:r w:rsidRPr="007641F8">
        <w:t xml:space="preserve"> os </w:t>
      </w:r>
      <w:r w:rsidR="007E0A0C">
        <w:t xml:space="preserve">gráficos gerados a partir dos </w:t>
      </w:r>
      <w:r>
        <w:t xml:space="preserve">dados dos </w:t>
      </w:r>
      <w:r w:rsidRPr="007641F8">
        <w:t xml:space="preserve">índices de segurança do alimento </w:t>
      </w:r>
      <w:r>
        <w:t>para cada tipo de carne (Figura 3)</w:t>
      </w:r>
      <w:r w:rsidR="007E0A0C">
        <w:t>,</w:t>
      </w:r>
      <w:r>
        <w:t xml:space="preserve"> </w:t>
      </w:r>
      <w:r w:rsidR="007E0A0C">
        <w:t>os quais</w:t>
      </w:r>
      <w:r w:rsidRPr="007641F8">
        <w:t xml:space="preserve"> são o resultado da soma do número de páginas da </w:t>
      </w:r>
      <w:r>
        <w:t>Folha de São Paulo</w:t>
      </w:r>
      <w:r w:rsidRPr="007641F8">
        <w:t xml:space="preserve"> que atend</w:t>
      </w:r>
      <w:r>
        <w:t>eram a</w:t>
      </w:r>
      <w:r w:rsidRPr="007641F8">
        <w:t>os critérios d</w:t>
      </w:r>
      <w:r w:rsidR="007E0A0C">
        <w:t>e</w:t>
      </w:r>
      <w:r w:rsidRPr="007641F8">
        <w:t xml:space="preserve"> busca</w:t>
      </w:r>
      <w:r w:rsidR="007E0A0C">
        <w:t xml:space="preserve">, </w:t>
      </w:r>
      <w:r w:rsidR="00C555C4">
        <w:t>pode</w:t>
      </w:r>
      <w:r w:rsidR="00C555C4" w:rsidRPr="007641F8">
        <w:t>m-se</w:t>
      </w:r>
      <w:r w:rsidRPr="007641F8">
        <w:t xml:space="preserve"> destacar quatro grandes </w:t>
      </w:r>
      <w:r w:rsidR="007E0A0C">
        <w:t>picos</w:t>
      </w:r>
      <w:r w:rsidR="00155E45">
        <w:t xml:space="preserve">: </w:t>
      </w:r>
      <w:r w:rsidR="00670198">
        <w:t>o primeiro</w:t>
      </w:r>
      <w:r w:rsidR="00670198" w:rsidRPr="007641F8">
        <w:t xml:space="preserve"> </w:t>
      </w:r>
      <w:r w:rsidR="00670198">
        <w:t xml:space="preserve">pico </w:t>
      </w:r>
      <w:r w:rsidR="00670198" w:rsidRPr="007641F8">
        <w:t xml:space="preserve">ocorre </w:t>
      </w:r>
      <w:r w:rsidR="00670198">
        <w:t xml:space="preserve">devido a </w:t>
      </w:r>
      <w:r w:rsidR="00670198" w:rsidRPr="007641F8">
        <w:t>um surto de peste suína nos rebanhos brasileiros em junho e julho de 1978</w:t>
      </w:r>
      <w:r w:rsidR="00C555C4">
        <w:t>; o segundo</w:t>
      </w:r>
      <w:r w:rsidR="00C555C4" w:rsidRPr="007641F8">
        <w:t xml:space="preserve"> </w:t>
      </w:r>
      <w:r w:rsidR="00C555C4">
        <w:t>pico ocorre</w:t>
      </w:r>
      <w:r w:rsidR="00C555C4" w:rsidRPr="00155E45">
        <w:t xml:space="preserve"> </w:t>
      </w:r>
      <w:r w:rsidR="00BB630E">
        <w:t>entre janeiro e março de 2003</w:t>
      </w:r>
      <w:r w:rsidR="00C555C4">
        <w:t xml:space="preserve"> e está associado ao termo </w:t>
      </w:r>
      <w:r w:rsidR="00C555C4" w:rsidRPr="007641F8">
        <w:t>vaca louca</w:t>
      </w:r>
      <w:r w:rsidR="00AA6E7C">
        <w:t xml:space="preserve"> (primeiro caso de BSE no Canadá)</w:t>
      </w:r>
      <w:r w:rsidR="00C555C4">
        <w:t>;</w:t>
      </w:r>
      <w:r w:rsidR="00C555C4" w:rsidRPr="007641F8">
        <w:t xml:space="preserve"> </w:t>
      </w:r>
      <w:r w:rsidR="00C555C4">
        <w:t>o terceiro</w:t>
      </w:r>
      <w:r w:rsidR="00C555C4" w:rsidRPr="007641F8">
        <w:t xml:space="preserve"> </w:t>
      </w:r>
      <w:r w:rsidR="00C555C4">
        <w:t>pico ocorre</w:t>
      </w:r>
      <w:r w:rsidR="00C555C4" w:rsidRPr="007641F8">
        <w:t xml:space="preserve"> nos três primeiros meses de 2006 por </w:t>
      </w:r>
      <w:r w:rsidR="00C555C4">
        <w:t xml:space="preserve">conta do termo </w:t>
      </w:r>
      <w:r w:rsidR="00C555C4" w:rsidRPr="007641F8">
        <w:t>gripe aviária</w:t>
      </w:r>
      <w:r w:rsidR="00C555C4">
        <w:t xml:space="preserve">; e </w:t>
      </w:r>
      <w:r w:rsidR="00155E45">
        <w:t>o</w:t>
      </w:r>
      <w:r w:rsidRPr="007641F8">
        <w:t xml:space="preserve"> </w:t>
      </w:r>
      <w:r w:rsidR="00C555C4">
        <w:t>quarto</w:t>
      </w:r>
      <w:r w:rsidR="00155E45">
        <w:t xml:space="preserve"> pico ocorre </w:t>
      </w:r>
      <w:r w:rsidR="00155E45" w:rsidRPr="007641F8">
        <w:t>entre julho e outubro de 2009</w:t>
      </w:r>
      <w:r w:rsidR="00C555C4">
        <w:t xml:space="preserve"> e</w:t>
      </w:r>
      <w:r w:rsidR="00155E45">
        <w:t xml:space="preserve"> refere-se ao termo</w:t>
      </w:r>
      <w:r w:rsidRPr="007641F8">
        <w:t xml:space="preserve"> gripe suína.</w:t>
      </w:r>
    </w:p>
    <w:p w14:paraId="2E4B3119" w14:textId="77777777" w:rsidR="00C36700" w:rsidRPr="00F32C25" w:rsidRDefault="00C36700" w:rsidP="00BC6645">
      <w:pPr>
        <w:keepNext/>
        <w:jc w:val="both"/>
        <w:rPr>
          <w:b/>
          <w:i/>
        </w:rPr>
      </w:pPr>
      <w:r>
        <w:rPr>
          <w:b/>
          <w:i/>
        </w:rPr>
        <w:t>Séries das Quantidades Consumidas</w:t>
      </w:r>
    </w:p>
    <w:p w14:paraId="15A76374" w14:textId="77777777" w:rsidR="00C36700" w:rsidRDefault="00C36700" w:rsidP="00BC6645">
      <w:pPr>
        <w:ind w:firstLine="432"/>
        <w:jc w:val="both"/>
      </w:pPr>
      <w:r w:rsidRPr="006A7093">
        <w:t xml:space="preserve">As séries das quantidades consumidas das carnes </w:t>
      </w:r>
      <w:r>
        <w:t>bovina, suína e de frango são as reportadas pelo USDA/FAS (2012</w:t>
      </w:r>
      <w:r w:rsidRPr="006A7093">
        <w:t xml:space="preserve">) e correspondem ao consumo aparente per capita ao nível de varejo, calculado para cada ano segundo a identidade: consumo aparente da i-ésima carne </w:t>
      </w:r>
      <w:r w:rsidRPr="006A7093">
        <w:rPr>
          <w:i/>
        </w:rPr>
        <w:t xml:space="preserve">≡ </w:t>
      </w:r>
      <w:r w:rsidRPr="006A7093">
        <w:t xml:space="preserve">produção da carne </w:t>
      </w:r>
      <w:r w:rsidRPr="006A7093">
        <w:rPr>
          <w:i/>
        </w:rPr>
        <w:t>i</w:t>
      </w:r>
      <w:r w:rsidRPr="006A7093">
        <w:rPr>
          <w:i/>
          <w:vertAlign w:val="subscript"/>
        </w:rPr>
        <w:t xml:space="preserve">  </w:t>
      </w:r>
      <w:r w:rsidRPr="006A7093">
        <w:t xml:space="preserve">+ estoque inicial da carne </w:t>
      </w:r>
      <w:r w:rsidRPr="006A7093">
        <w:rPr>
          <w:i/>
        </w:rPr>
        <w:t xml:space="preserve">i </w:t>
      </w:r>
      <w:r w:rsidRPr="006A7093">
        <w:t xml:space="preserve">+ quantidade importada da carne </w:t>
      </w:r>
      <w:r w:rsidRPr="006A7093">
        <w:rPr>
          <w:i/>
        </w:rPr>
        <w:t>i</w:t>
      </w:r>
      <w:r w:rsidRPr="006A7093">
        <w:t xml:space="preserve"> – estoque final da carne </w:t>
      </w:r>
      <w:r w:rsidRPr="006A7093">
        <w:rPr>
          <w:i/>
        </w:rPr>
        <w:t>i</w:t>
      </w:r>
      <w:r w:rsidRPr="006A7093">
        <w:rPr>
          <w:i/>
          <w:vertAlign w:val="subscript"/>
        </w:rPr>
        <w:t xml:space="preserve"> </w:t>
      </w:r>
      <w:r w:rsidRPr="006A7093">
        <w:t xml:space="preserve">– exportações da carne </w:t>
      </w:r>
      <w:r w:rsidRPr="006A7093">
        <w:rPr>
          <w:i/>
        </w:rPr>
        <w:t>i</w:t>
      </w:r>
      <w:r w:rsidRPr="006A7093">
        <w:t xml:space="preserve"> .</w:t>
      </w:r>
      <w:r w:rsidRPr="00EB3330">
        <w:t xml:space="preserve"> </w:t>
      </w:r>
      <w:r w:rsidRPr="006A7093">
        <w:t>Em seguida, o consumo aparente por carne foi dividido pela população residente no Brasil em 1</w:t>
      </w:r>
      <w:r w:rsidRPr="006A7093">
        <w:rPr>
          <w:strike/>
          <w:vertAlign w:val="superscript"/>
        </w:rPr>
        <w:t>º</w:t>
      </w:r>
      <w:r w:rsidRPr="006A7093">
        <w:t xml:space="preserve"> de julho de cada ano </w:t>
      </w:r>
      <w:r>
        <w:t>d</w:t>
      </w:r>
      <w:r w:rsidRPr="006A7093">
        <w:t xml:space="preserve">o IBGE e obtida no </w:t>
      </w:r>
      <w:proofErr w:type="spellStart"/>
      <w:r>
        <w:t>Ipeadata</w:t>
      </w:r>
      <w:proofErr w:type="spellEnd"/>
      <w:r>
        <w:t xml:space="preserve"> (2012</w:t>
      </w:r>
      <w:r w:rsidRPr="006A7093">
        <w:t xml:space="preserve">), de modo a gerar as séries de consumo aparente per capita para cada tipo de carne </w:t>
      </w:r>
      <w:r w:rsidR="0081239C" w:rsidRPr="006A7093">
        <w:t xml:space="preserve">de </w:t>
      </w:r>
      <w:r w:rsidR="0081239C">
        <w:t>1975</w:t>
      </w:r>
      <w:r w:rsidR="0081239C" w:rsidRPr="006A7093">
        <w:t xml:space="preserve"> a 20</w:t>
      </w:r>
      <w:r w:rsidR="0081239C">
        <w:t>11</w:t>
      </w:r>
      <w:r w:rsidR="00FB1DC9">
        <w:t xml:space="preserve"> no Brasil. O</w:t>
      </w:r>
      <w:r w:rsidR="0081239C">
        <w:t xml:space="preserve">s gráficos </w:t>
      </w:r>
      <w:r w:rsidR="00FB1DC9">
        <w:t xml:space="preserve">destas séries são </w:t>
      </w:r>
      <w:r w:rsidR="0081239C">
        <w:t>apresentados na F</w:t>
      </w:r>
      <w:r w:rsidRPr="006A7093">
        <w:t xml:space="preserve">igura </w:t>
      </w:r>
      <w:r>
        <w:t>4</w:t>
      </w:r>
      <w:r w:rsidRPr="006A7093">
        <w:t>.</w:t>
      </w:r>
      <w:r w:rsidRPr="00AC2DBD">
        <w:t xml:space="preserve"> </w:t>
      </w:r>
    </w:p>
    <w:p w14:paraId="519F04AC" w14:textId="77777777" w:rsidR="00C36700" w:rsidRDefault="00C36700" w:rsidP="00BC6645">
      <w:pPr>
        <w:keepNext/>
        <w:jc w:val="both"/>
      </w:pPr>
      <w:r>
        <w:rPr>
          <w:b/>
        </w:rPr>
        <w:t>Figura 4 -</w:t>
      </w:r>
      <w:r w:rsidRPr="00AC2DBD">
        <w:rPr>
          <w:b/>
        </w:rPr>
        <w:t xml:space="preserve"> </w:t>
      </w:r>
      <w:r w:rsidRPr="00AC2DBD">
        <w:t xml:space="preserve">Consumo aparente </w:t>
      </w:r>
      <w:r>
        <w:t>per capita das carnes bovina, suína,</w:t>
      </w:r>
      <w:r w:rsidRPr="00AC2DBD">
        <w:t xml:space="preserve"> </w:t>
      </w:r>
      <w:r>
        <w:t>de frango</w:t>
      </w:r>
      <w:r w:rsidRPr="00AC2DBD">
        <w:t xml:space="preserve"> </w:t>
      </w:r>
      <w:r>
        <w:t>e total.</w:t>
      </w:r>
    </w:p>
    <w:p w14:paraId="5C8328C7" w14:textId="77777777" w:rsidR="00C36700" w:rsidRPr="00AC2DBD" w:rsidRDefault="00C36700" w:rsidP="00BC6645">
      <w:pPr>
        <w:jc w:val="both"/>
      </w:pPr>
      <w:r w:rsidRPr="004A57C9">
        <w:rPr>
          <w:noProof/>
          <w:lang w:val="en-US" w:eastAsia="en-US"/>
        </w:rPr>
        <w:drawing>
          <wp:inline distT="0" distB="0" distL="0" distR="0" wp14:anchorId="288E4233" wp14:editId="748E5885">
            <wp:extent cx="4114800" cy="2623185"/>
            <wp:effectExtent l="1905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srcRect/>
                    <a:stretch>
                      <a:fillRect/>
                    </a:stretch>
                  </pic:blipFill>
                  <pic:spPr bwMode="auto">
                    <a:xfrm>
                      <a:off x="0" y="0"/>
                      <a:ext cx="4114800" cy="2623185"/>
                    </a:xfrm>
                    <a:prstGeom prst="rect">
                      <a:avLst/>
                    </a:prstGeom>
                    <a:noFill/>
                    <a:ln w="9525">
                      <a:noFill/>
                      <a:miter lim="800000"/>
                      <a:headEnd/>
                      <a:tailEnd/>
                    </a:ln>
                  </pic:spPr>
                </pic:pic>
              </a:graphicData>
            </a:graphic>
          </wp:inline>
        </w:drawing>
      </w:r>
    </w:p>
    <w:p w14:paraId="2EC04285" w14:textId="77777777" w:rsidR="00C36700" w:rsidRPr="00094D3F" w:rsidRDefault="00C36700" w:rsidP="00BC6645">
      <w:pPr>
        <w:jc w:val="both"/>
      </w:pPr>
      <w:r w:rsidRPr="00094D3F">
        <w:t xml:space="preserve">Fonte: </w:t>
      </w:r>
      <w:proofErr w:type="spellStart"/>
      <w:r>
        <w:t>USDA</w:t>
      </w:r>
      <w:proofErr w:type="spellEnd"/>
      <w:r>
        <w:t>/</w:t>
      </w:r>
      <w:proofErr w:type="spellStart"/>
      <w:r>
        <w:t>FAS</w:t>
      </w:r>
      <w:proofErr w:type="spellEnd"/>
      <w:r>
        <w:t xml:space="preserve"> (2012) e </w:t>
      </w:r>
      <w:proofErr w:type="spellStart"/>
      <w:r>
        <w:t>Ipeadata</w:t>
      </w:r>
      <w:proofErr w:type="spellEnd"/>
      <w:r>
        <w:t xml:space="preserve"> (2012</w:t>
      </w:r>
      <w:r w:rsidRPr="00094D3F">
        <w:t>).</w:t>
      </w:r>
    </w:p>
    <w:p w14:paraId="20C4B532" w14:textId="77777777" w:rsidR="00C36700" w:rsidRDefault="00C36700" w:rsidP="00BC6645">
      <w:pPr>
        <w:ind w:firstLine="432"/>
        <w:jc w:val="both"/>
      </w:pPr>
      <w:r>
        <w:lastRenderedPageBreak/>
        <w:t>Pela</w:t>
      </w:r>
      <w:r w:rsidRPr="00AC2DBD">
        <w:t xml:space="preserve"> </w:t>
      </w:r>
      <w:r>
        <w:t>Figura</w:t>
      </w:r>
      <w:r w:rsidRPr="00AC2DBD">
        <w:t xml:space="preserve"> </w:t>
      </w:r>
      <w:r w:rsidR="00FB1DC9">
        <w:t xml:space="preserve">4 percebe-se que </w:t>
      </w:r>
      <w:r>
        <w:t>as séries de consumo aparente per capita de cada carne</w:t>
      </w:r>
      <w:r w:rsidR="00FB1DC9">
        <w:t xml:space="preserve"> apresenta</w:t>
      </w:r>
      <w:r>
        <w:t>m tendências</w:t>
      </w:r>
      <w:r w:rsidRPr="00F20B03">
        <w:t xml:space="preserve"> </w:t>
      </w:r>
      <w:r w:rsidR="00FB1DC9">
        <w:t>diferentes</w:t>
      </w:r>
      <w:r w:rsidR="00B76C90">
        <w:t>, mas</w:t>
      </w:r>
      <w:r w:rsidR="00FB1DC9">
        <w:t xml:space="preserve"> </w:t>
      </w:r>
      <w:r w:rsidRPr="00AC2DBD">
        <w:t>crescent</w:t>
      </w:r>
      <w:r>
        <w:t>es. Além disso, observa-se que o consumo de carne de frango ultrapassa o consumo de carne suína a partir de 1979. Já o consumo aparente de carne de frango, que era de 4</w:t>
      </w:r>
      <w:r w:rsidRPr="00AC2DBD">
        <w:t>,5</w:t>
      </w:r>
      <w:r>
        <w:t>1</w:t>
      </w:r>
      <w:r w:rsidRPr="00AC2DBD">
        <w:t xml:space="preserve"> kg/</w:t>
      </w:r>
      <w:r>
        <w:t xml:space="preserve">pessoa em 1975, portanto, quatro vezes ou mais inferior ao </w:t>
      </w:r>
      <w:r w:rsidRPr="00AC2DBD">
        <w:t xml:space="preserve">consumo </w:t>
      </w:r>
      <w:r>
        <w:t xml:space="preserve">aparente </w:t>
      </w:r>
      <w:r w:rsidRPr="00AC2DBD">
        <w:t>de carne bovina</w:t>
      </w:r>
      <w:r>
        <w:t xml:space="preserve"> (19</w:t>
      </w:r>
      <w:r w:rsidRPr="00AC2DBD">
        <w:t>,</w:t>
      </w:r>
      <w:r>
        <w:t>71</w:t>
      </w:r>
      <w:r w:rsidRPr="00AC2DBD">
        <w:t xml:space="preserve"> kg/pessoa</w:t>
      </w:r>
      <w:r>
        <w:t xml:space="preserve">), ultrapassa o consumo aparente de carne bovina a partir de 2007. </w:t>
      </w:r>
      <w:r w:rsidR="00FB1DC9">
        <w:t>E</w:t>
      </w:r>
      <w:r>
        <w:t>sse mesmo fenômeno ocorre</w:t>
      </w:r>
      <w:r w:rsidRPr="00F20B03">
        <w:t xml:space="preserve"> nos EUA por volta d</w:t>
      </w:r>
      <w:r>
        <w:t>e</w:t>
      </w:r>
      <w:r w:rsidRPr="00F20B03">
        <w:t xml:space="preserve"> 19</w:t>
      </w:r>
      <w:r>
        <w:t>91 (</w:t>
      </w:r>
      <w:r w:rsidRPr="00C35866">
        <w:t>SCHROEDER</w:t>
      </w:r>
      <w:r>
        <w:t xml:space="preserve"> et al., 2000).</w:t>
      </w:r>
    </w:p>
    <w:p w14:paraId="35680094" w14:textId="77777777" w:rsidR="00C36700" w:rsidRPr="00B76C90" w:rsidRDefault="00B76C90" w:rsidP="00BC6645">
      <w:pPr>
        <w:jc w:val="both"/>
        <w:rPr>
          <w:b/>
          <w:i/>
        </w:rPr>
      </w:pPr>
      <w:r w:rsidRPr="00B76C90">
        <w:rPr>
          <w:b/>
          <w:i/>
        </w:rPr>
        <w:t>Séries dos Preços e Gastos com</w:t>
      </w:r>
      <w:r>
        <w:rPr>
          <w:b/>
          <w:i/>
        </w:rPr>
        <w:t xml:space="preserve"> T</w:t>
      </w:r>
      <w:r w:rsidRPr="00B76C90">
        <w:rPr>
          <w:b/>
          <w:i/>
        </w:rPr>
        <w:t xml:space="preserve">odos os </w:t>
      </w:r>
      <w:r>
        <w:rPr>
          <w:b/>
          <w:i/>
        </w:rPr>
        <w:t>Outros B</w:t>
      </w:r>
      <w:r w:rsidRPr="00B76C90">
        <w:rPr>
          <w:b/>
          <w:i/>
        </w:rPr>
        <w:t xml:space="preserve">ens de </w:t>
      </w:r>
      <w:r>
        <w:rPr>
          <w:b/>
          <w:i/>
        </w:rPr>
        <w:t>C</w:t>
      </w:r>
      <w:r w:rsidRPr="00B76C90">
        <w:rPr>
          <w:b/>
          <w:i/>
        </w:rPr>
        <w:t>onsumo</w:t>
      </w:r>
    </w:p>
    <w:p w14:paraId="71EAF731" w14:textId="77777777" w:rsidR="00CB6842" w:rsidRDefault="00C36700" w:rsidP="00BC6645">
      <w:pPr>
        <w:ind w:firstLine="432"/>
        <w:jc w:val="both"/>
      </w:pPr>
      <w:r w:rsidRPr="00094D3F">
        <w:t>As séries dos preços das carnes bovina, suína e de frango correspondem aos preços no varejo da cidade de Sã</w:t>
      </w:r>
      <w:r>
        <w:t>o</w:t>
      </w:r>
      <w:r w:rsidR="006B6050">
        <w:t xml:space="preserve"> Paulo em R$ por kg, obtidos do</w:t>
      </w:r>
      <w:r w:rsidRPr="00094D3F">
        <w:t xml:space="preserve"> Instituto de Econom</w:t>
      </w:r>
      <w:r>
        <w:t>ia Aplicada de São Paulo (</w:t>
      </w:r>
      <w:r w:rsidRPr="00094D3F">
        <w:t>IEA/SP</w:t>
      </w:r>
      <w:r>
        <w:t>, 2012)</w:t>
      </w:r>
      <w:r w:rsidRPr="00094D3F">
        <w:t xml:space="preserve">. </w:t>
      </w:r>
      <w:r w:rsidR="00B76C90">
        <w:t>Vale mencionar</w:t>
      </w:r>
      <w:r w:rsidR="006B6050">
        <w:t xml:space="preserve"> </w:t>
      </w:r>
      <w:r>
        <w:t>que n</w:t>
      </w:r>
      <w:r w:rsidRPr="00094D3F">
        <w:t xml:space="preserve">ão </w:t>
      </w:r>
      <w:r w:rsidR="006B6050">
        <w:t xml:space="preserve">foi possível </w:t>
      </w:r>
      <w:r w:rsidR="00B76C90">
        <w:t xml:space="preserve">obter </w:t>
      </w:r>
      <w:r w:rsidRPr="00094D3F">
        <w:t xml:space="preserve">séries de preços de carnes no varejo </w:t>
      </w:r>
      <w:r>
        <w:t>n</w:t>
      </w:r>
      <w:r w:rsidRPr="00094D3F">
        <w:t>o Brasil, o que justifica a utilização das séri</w:t>
      </w:r>
      <w:r w:rsidR="00CB6842">
        <w:t>es na cidade de São Paulo, que</w:t>
      </w:r>
      <w:r w:rsidRPr="00094D3F">
        <w:t xml:space="preserve"> seguramente </w:t>
      </w:r>
      <w:r w:rsidR="00CB6842">
        <w:t xml:space="preserve">é </w:t>
      </w:r>
      <w:r w:rsidRPr="00094D3F">
        <w:t xml:space="preserve">o maior centro consumidor brasileiro. </w:t>
      </w:r>
    </w:p>
    <w:p w14:paraId="5E1A134D" w14:textId="77777777" w:rsidR="00C36700" w:rsidRDefault="00C36700" w:rsidP="00BC6645">
      <w:pPr>
        <w:ind w:firstLine="432"/>
        <w:jc w:val="both"/>
      </w:pPr>
      <w:r w:rsidRPr="00094D3F">
        <w:t xml:space="preserve">Utilizou-se a série do IGP-DI (Índice Geral de Preços – Disponibilidade Interna) da Fundação Getúlio Vargas, disponível no </w:t>
      </w:r>
      <w:proofErr w:type="spellStart"/>
      <w:r w:rsidRPr="00094D3F">
        <w:t>Ipeadata</w:t>
      </w:r>
      <w:proofErr w:type="spellEnd"/>
      <w:r w:rsidRPr="00094D3F">
        <w:t xml:space="preserve"> (20</w:t>
      </w:r>
      <w:r>
        <w:t>12</w:t>
      </w:r>
      <w:r w:rsidRPr="00094D3F">
        <w:t>), para def</w:t>
      </w:r>
      <w:r w:rsidR="00CB6842">
        <w:t xml:space="preserve">lacionar cada série de preço de modo </w:t>
      </w:r>
      <w:r w:rsidRPr="00094D3F">
        <w:t>a</w:t>
      </w:r>
      <w:r w:rsidR="00CB6842">
        <w:t xml:space="preserve"> mensurá-las </w:t>
      </w:r>
      <w:r w:rsidRPr="00094D3F">
        <w:t>em valores cons</w:t>
      </w:r>
      <w:r>
        <w:t>tantes de R$ de dezembro de 2011</w:t>
      </w:r>
      <w:r w:rsidRPr="00F20B03">
        <w:rPr>
          <w:color w:val="232021"/>
        </w:rPr>
        <w:t>.</w:t>
      </w:r>
      <w:r>
        <w:rPr>
          <w:color w:val="232021"/>
        </w:rPr>
        <w:t xml:space="preserve"> </w:t>
      </w:r>
      <w:r w:rsidR="00CB6842">
        <w:rPr>
          <w:color w:val="232021"/>
        </w:rPr>
        <w:t xml:space="preserve">Os gráficos destas séries de preços reais são apresentados na </w:t>
      </w:r>
      <w:r w:rsidRPr="00337EDD">
        <w:t xml:space="preserve">Figura </w:t>
      </w:r>
      <w:r>
        <w:t>5</w:t>
      </w:r>
      <w:r w:rsidRPr="00337EDD">
        <w:t xml:space="preserve">. </w:t>
      </w:r>
    </w:p>
    <w:p w14:paraId="29635E98" w14:textId="77777777" w:rsidR="00C36700" w:rsidRDefault="00C36700" w:rsidP="00BC6645">
      <w:pPr>
        <w:keepNext/>
        <w:jc w:val="both"/>
      </w:pPr>
      <w:r>
        <w:rPr>
          <w:b/>
        </w:rPr>
        <w:t>Figura 5 -</w:t>
      </w:r>
      <w:r w:rsidRPr="00337EDD">
        <w:rPr>
          <w:b/>
        </w:rPr>
        <w:t xml:space="preserve"> </w:t>
      </w:r>
      <w:r>
        <w:t>S</w:t>
      </w:r>
      <w:r w:rsidRPr="00337EDD">
        <w:t xml:space="preserve">éries de preços no varejo </w:t>
      </w:r>
      <w:r>
        <w:t>d</w:t>
      </w:r>
      <w:r w:rsidRPr="00337EDD">
        <w:t>as carnes bovina, su</w:t>
      </w:r>
      <w:r>
        <w:t>ína e d</w:t>
      </w:r>
      <w:r w:rsidR="00CB6842">
        <w:t>e frango na cidade de São Paulo</w:t>
      </w:r>
      <w:r>
        <w:t xml:space="preserve"> em </w:t>
      </w:r>
      <w:r w:rsidRPr="00337EDD">
        <w:t xml:space="preserve">R$ </w:t>
      </w:r>
      <w:r>
        <w:t>de dezembro de 2011.</w:t>
      </w:r>
    </w:p>
    <w:p w14:paraId="6430BD17" w14:textId="77777777" w:rsidR="00C36700" w:rsidRPr="00337EDD" w:rsidRDefault="00C36700" w:rsidP="00BC6645">
      <w:pPr>
        <w:jc w:val="both"/>
      </w:pPr>
      <w:r w:rsidRPr="004A57C9">
        <w:rPr>
          <w:noProof/>
          <w:lang w:val="en-US" w:eastAsia="en-US"/>
        </w:rPr>
        <w:drawing>
          <wp:inline distT="0" distB="0" distL="0" distR="0" wp14:anchorId="13E6D6C9" wp14:editId="19CAA939">
            <wp:extent cx="4343400" cy="2834640"/>
            <wp:effectExtent l="1905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cstate="print"/>
                    <a:srcRect/>
                    <a:stretch>
                      <a:fillRect/>
                    </a:stretch>
                  </pic:blipFill>
                  <pic:spPr bwMode="auto">
                    <a:xfrm>
                      <a:off x="0" y="0"/>
                      <a:ext cx="4343400" cy="2834640"/>
                    </a:xfrm>
                    <a:prstGeom prst="rect">
                      <a:avLst/>
                    </a:prstGeom>
                    <a:noFill/>
                    <a:ln w="9525">
                      <a:noFill/>
                      <a:miter lim="800000"/>
                      <a:headEnd/>
                      <a:tailEnd/>
                    </a:ln>
                  </pic:spPr>
                </pic:pic>
              </a:graphicData>
            </a:graphic>
          </wp:inline>
        </w:drawing>
      </w:r>
    </w:p>
    <w:p w14:paraId="3CD30D52" w14:textId="77777777" w:rsidR="00C36700" w:rsidRPr="00094D3F" w:rsidRDefault="00C36700" w:rsidP="00BC6645">
      <w:pPr>
        <w:jc w:val="both"/>
      </w:pPr>
      <w:r>
        <w:t xml:space="preserve">Fonte: </w:t>
      </w:r>
      <w:proofErr w:type="spellStart"/>
      <w:r>
        <w:t>IEA</w:t>
      </w:r>
      <w:proofErr w:type="spellEnd"/>
      <w:r>
        <w:t xml:space="preserve">/SP (2012) e </w:t>
      </w:r>
      <w:proofErr w:type="spellStart"/>
      <w:r>
        <w:t>Ipeadata</w:t>
      </w:r>
      <w:proofErr w:type="spellEnd"/>
      <w:r>
        <w:t xml:space="preserve"> (2012</w:t>
      </w:r>
      <w:r w:rsidRPr="00094D3F">
        <w:t>).</w:t>
      </w:r>
    </w:p>
    <w:p w14:paraId="07B2E732" w14:textId="77777777" w:rsidR="00C36700" w:rsidRDefault="00C36700" w:rsidP="00BC6645">
      <w:pPr>
        <w:ind w:firstLine="432"/>
        <w:jc w:val="both"/>
      </w:pPr>
      <w:r>
        <w:t>Pela Figura 5</w:t>
      </w:r>
      <w:r w:rsidRPr="002B0F1D">
        <w:t xml:space="preserve"> </w:t>
      </w:r>
      <w:r>
        <w:t xml:space="preserve">é possível observar </w:t>
      </w:r>
      <w:r w:rsidRPr="002B0F1D">
        <w:t>a tendência</w:t>
      </w:r>
      <w:r>
        <w:t xml:space="preserve"> declinante dos preços de cada tipo de carne e a aparente redução d</w:t>
      </w:r>
      <w:r w:rsidRPr="00337EDD">
        <w:t xml:space="preserve">a volatilidade </w:t>
      </w:r>
      <w:r>
        <w:t>dos preços após 1994, ano em que o Plano Real se inicia.</w:t>
      </w:r>
      <w:r w:rsidRPr="00337EDD">
        <w:t xml:space="preserve"> </w:t>
      </w:r>
    </w:p>
    <w:p w14:paraId="755C2BEC" w14:textId="77777777" w:rsidR="00C36700" w:rsidRDefault="00C36700" w:rsidP="00BC6645">
      <w:pPr>
        <w:ind w:firstLine="432"/>
        <w:jc w:val="both"/>
      </w:pPr>
      <w:r w:rsidRPr="00094D3F">
        <w:t xml:space="preserve">Seguindo </w:t>
      </w:r>
      <w:proofErr w:type="spellStart"/>
      <w:r w:rsidRPr="00094D3F">
        <w:t>Brester</w:t>
      </w:r>
      <w:proofErr w:type="spellEnd"/>
      <w:r w:rsidRPr="00094D3F">
        <w:t xml:space="preserve"> e Schroeder (1995), gerou-se a série de preços </w:t>
      </w:r>
      <w:r w:rsidR="002C63D4">
        <w:t xml:space="preserve">do bem composto, </w:t>
      </w:r>
      <w:r>
        <w:t>“</w:t>
      </w:r>
      <w:r w:rsidRPr="00094D3F">
        <w:t>outros bens de consumo</w:t>
      </w:r>
      <w:r>
        <w:t>”</w:t>
      </w:r>
      <w:r w:rsidRPr="00094D3F">
        <w:t xml:space="preserve">, </w:t>
      </w:r>
      <w:r w:rsidR="002C63D4">
        <w:t xml:space="preserve">utilizando-se </w:t>
      </w:r>
      <w:r w:rsidRPr="00094D3F">
        <w:t xml:space="preserve">a série anual do IGP-DI da seguinte maneira: primeiro, gerou-se a série do </w:t>
      </w:r>
      <w:r w:rsidRPr="00B76C90">
        <w:rPr>
          <w:i/>
        </w:rPr>
        <w:t>gasto com</w:t>
      </w:r>
      <w:r w:rsidR="002C63D4" w:rsidRPr="00B76C90">
        <w:rPr>
          <w:i/>
        </w:rPr>
        <w:t xml:space="preserve"> todos os outros bens de consumo</w:t>
      </w:r>
      <w:r w:rsidRPr="00094D3F">
        <w:t>, subtraindo-se o gasto per capita com carnes do gasto per capita com consumo</w:t>
      </w:r>
      <w:r w:rsidR="002C63D4">
        <w:t>,</w:t>
      </w:r>
      <w:r w:rsidRPr="00094D3F">
        <w:t xml:space="preserve"> </w:t>
      </w:r>
      <w:r w:rsidR="002C63D4">
        <w:t>o qual f</w:t>
      </w:r>
      <w:r w:rsidRPr="00094D3F">
        <w:t xml:space="preserve">oi gerado </w:t>
      </w:r>
      <w:r w:rsidR="002C63D4">
        <w:t>dividindo-se a série do</w:t>
      </w:r>
      <w:r w:rsidRPr="00094D3F">
        <w:t xml:space="preserve"> consumo das famílias </w:t>
      </w:r>
      <w:r w:rsidR="002C63D4">
        <w:t>pela série da</w:t>
      </w:r>
      <w:r w:rsidR="002C63D4" w:rsidRPr="006A7093">
        <w:t xml:space="preserve"> população residente no Brasil em 1</w:t>
      </w:r>
      <w:r w:rsidR="002C63D4" w:rsidRPr="006A7093">
        <w:rPr>
          <w:strike/>
          <w:vertAlign w:val="superscript"/>
        </w:rPr>
        <w:t>º</w:t>
      </w:r>
      <w:r w:rsidR="002C63D4" w:rsidRPr="006A7093">
        <w:t xml:space="preserve"> de julho de cada ano </w:t>
      </w:r>
      <w:r w:rsidR="002C63D4">
        <w:t>d</w:t>
      </w:r>
      <w:r w:rsidR="002C63D4" w:rsidRPr="006A7093">
        <w:t>o IBGE</w:t>
      </w:r>
      <w:r w:rsidR="002C63D4">
        <w:t>,</w:t>
      </w:r>
      <w:r w:rsidR="002C63D4" w:rsidRPr="006A7093">
        <w:t xml:space="preserve"> </w:t>
      </w:r>
      <w:r w:rsidR="002C63D4">
        <w:t xml:space="preserve">ambas obtidas no </w:t>
      </w:r>
      <w:proofErr w:type="spellStart"/>
      <w:r>
        <w:t>Ipeadata</w:t>
      </w:r>
      <w:proofErr w:type="spellEnd"/>
      <w:r>
        <w:t xml:space="preserve"> (2012</w:t>
      </w:r>
      <w:r w:rsidRPr="00094D3F">
        <w:t xml:space="preserve">). Segundo, tendo-se as séries das parcelas do gasto referentes ao gasto com carne bovina, suína, de frango e com os outros bens de consumo, gerou-se a série de preços deflacionados dos outros bens de consumo (série </w:t>
      </w:r>
      <w:r w:rsidRPr="00094D3F">
        <w:rPr>
          <w:i/>
        </w:rPr>
        <w:t>p</w:t>
      </w:r>
      <w:r w:rsidRPr="00094D3F">
        <w:rPr>
          <w:vertAlign w:val="subscript"/>
        </w:rPr>
        <w:t>4</w:t>
      </w:r>
      <w:r w:rsidRPr="00094D3F">
        <w:t xml:space="preserve">), resolvendo a igualdade </w:t>
      </w:r>
      <w:r w:rsidRPr="00094D3F">
        <w:rPr>
          <w:position w:val="-16"/>
        </w:rPr>
        <w:object w:dxaOrig="1920" w:dyaOrig="460" w14:anchorId="0ECABF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65pt;height:22.65pt" o:ole="">
            <v:imagedata r:id="rId19" o:title=""/>
          </v:shape>
          <o:OLEObject Type="Embed" ProgID="Equation.DSMT4" ShapeID="_x0000_i1025" DrawAspect="Content" ObjectID="_1341397205" r:id="rId20"/>
        </w:object>
      </w:r>
      <w:r w:rsidRPr="00094D3F">
        <w:t xml:space="preserve">para </w:t>
      </w:r>
      <w:r w:rsidRPr="00094D3F">
        <w:rPr>
          <w:i/>
        </w:rPr>
        <w:t>p</w:t>
      </w:r>
      <w:r w:rsidRPr="00094D3F">
        <w:rPr>
          <w:vertAlign w:val="subscript"/>
        </w:rPr>
        <w:t>4</w:t>
      </w:r>
      <w:r w:rsidRPr="00094D3F">
        <w:rPr>
          <w:i/>
          <w:vertAlign w:val="subscript"/>
        </w:rPr>
        <w:t>t</w:t>
      </w:r>
      <w:r w:rsidR="005D2D90">
        <w:t>, onde</w:t>
      </w:r>
      <w:r w:rsidRPr="00094D3F">
        <w:t xml:space="preserve"> </w:t>
      </w:r>
      <w:r w:rsidRPr="00094D3F">
        <w:rPr>
          <w:i/>
        </w:rPr>
        <w:t>p</w:t>
      </w:r>
      <w:r w:rsidRPr="00094D3F">
        <w:rPr>
          <w:i/>
          <w:vertAlign w:val="subscript"/>
        </w:rPr>
        <w:t>it</w:t>
      </w:r>
      <w:r w:rsidRPr="00094D3F">
        <w:t xml:space="preserve"> e </w:t>
      </w:r>
      <w:proofErr w:type="spellStart"/>
      <w:r w:rsidRPr="00094D3F">
        <w:rPr>
          <w:i/>
        </w:rPr>
        <w:t>w</w:t>
      </w:r>
      <w:r w:rsidRPr="00094D3F">
        <w:rPr>
          <w:i/>
          <w:vertAlign w:val="subscript"/>
        </w:rPr>
        <w:t>it</w:t>
      </w:r>
      <w:proofErr w:type="spellEnd"/>
      <w:r w:rsidRPr="00094D3F">
        <w:t xml:space="preserve"> são o preço e a parcela do gasto do </w:t>
      </w:r>
      <w:r w:rsidRPr="00094D3F">
        <w:rPr>
          <w:i/>
        </w:rPr>
        <w:t>i</w:t>
      </w:r>
      <w:r w:rsidRPr="00094D3F">
        <w:t>-</w:t>
      </w:r>
      <w:proofErr w:type="spellStart"/>
      <w:r w:rsidRPr="00094D3F">
        <w:t>ésimo</w:t>
      </w:r>
      <w:proofErr w:type="spellEnd"/>
      <w:r w:rsidRPr="00094D3F">
        <w:t xml:space="preserve"> bem no tempo </w:t>
      </w:r>
      <w:r w:rsidRPr="00094D3F">
        <w:rPr>
          <w:i/>
        </w:rPr>
        <w:t>t</w:t>
      </w:r>
      <w:r w:rsidRPr="00094D3F">
        <w:t>.</w:t>
      </w:r>
    </w:p>
    <w:p w14:paraId="6C0DF6DD" w14:textId="77777777" w:rsidR="00C36700" w:rsidRPr="006A7093" w:rsidRDefault="00C36700" w:rsidP="00BC6645">
      <w:pPr>
        <w:ind w:firstLine="432"/>
        <w:jc w:val="both"/>
      </w:pPr>
      <w:r w:rsidRPr="006A7093">
        <w:t>As estatísticas descritivas das séries utilizadas são apresentadas na Tabela</w:t>
      </w:r>
      <w:r>
        <w:t>2</w:t>
      </w:r>
      <w:r w:rsidRPr="006A7093">
        <w:t xml:space="preserve">. </w:t>
      </w:r>
    </w:p>
    <w:p w14:paraId="6EC47F7B" w14:textId="77777777" w:rsidR="00C36700" w:rsidRPr="00DB4F1E" w:rsidRDefault="00C36700" w:rsidP="00BC6645">
      <w:pPr>
        <w:keepNext/>
        <w:rPr>
          <w:b/>
        </w:rPr>
      </w:pPr>
      <w:r>
        <w:rPr>
          <w:b/>
        </w:rPr>
        <w:lastRenderedPageBreak/>
        <w:t>Tabela 2</w:t>
      </w:r>
      <w:r w:rsidR="00FE7FDA">
        <w:rPr>
          <w:b/>
        </w:rPr>
        <w:t xml:space="preserve"> -</w:t>
      </w:r>
      <w:r w:rsidRPr="006A7093">
        <w:rPr>
          <w:b/>
        </w:rPr>
        <w:t xml:space="preserve"> </w:t>
      </w:r>
      <w:r w:rsidRPr="006A7093">
        <w:t>Estatíst</w:t>
      </w:r>
      <w:r>
        <w:t>icas descritivas dos dados, 1975 a 2011.</w:t>
      </w:r>
    </w:p>
    <w:tbl>
      <w:tblPr>
        <w:tblW w:w="5000" w:type="pct"/>
        <w:tblCellMar>
          <w:left w:w="70" w:type="dxa"/>
          <w:right w:w="70" w:type="dxa"/>
        </w:tblCellMar>
        <w:tblLook w:val="0000" w:firstRow="0" w:lastRow="0" w:firstColumn="0" w:lastColumn="0" w:noHBand="0" w:noVBand="0"/>
      </w:tblPr>
      <w:tblGrid>
        <w:gridCol w:w="5466"/>
        <w:gridCol w:w="1241"/>
        <w:gridCol w:w="1107"/>
        <w:gridCol w:w="1243"/>
        <w:gridCol w:w="1287"/>
      </w:tblGrid>
      <w:tr w:rsidR="00C36700" w:rsidRPr="00413218" w14:paraId="5A7F9F0D" w14:textId="77777777" w:rsidTr="00B803AC">
        <w:trPr>
          <w:trHeight w:val="152"/>
        </w:trPr>
        <w:tc>
          <w:tcPr>
            <w:tcW w:w="2642" w:type="pct"/>
            <w:tcBorders>
              <w:top w:val="single" w:sz="2" w:space="0" w:color="000000"/>
              <w:bottom w:val="single" w:sz="6" w:space="0" w:color="auto"/>
            </w:tcBorders>
            <w:shd w:val="solid" w:color="FFFFFF" w:fill="auto"/>
          </w:tcPr>
          <w:p w14:paraId="035B93FD" w14:textId="77777777" w:rsidR="00C36700" w:rsidRPr="00413218" w:rsidRDefault="00C36700" w:rsidP="00BC6645">
            <w:pPr>
              <w:keepNext/>
              <w:autoSpaceDE w:val="0"/>
              <w:autoSpaceDN w:val="0"/>
              <w:adjustRightInd w:val="0"/>
              <w:jc w:val="center"/>
            </w:pPr>
            <w:r w:rsidRPr="006A7093">
              <w:t>Variável</w:t>
            </w:r>
          </w:p>
        </w:tc>
        <w:tc>
          <w:tcPr>
            <w:tcW w:w="600" w:type="pct"/>
            <w:tcBorders>
              <w:top w:val="single" w:sz="2" w:space="0" w:color="000000"/>
              <w:bottom w:val="single" w:sz="6" w:space="0" w:color="auto"/>
            </w:tcBorders>
            <w:shd w:val="solid" w:color="FFFFFF" w:fill="auto"/>
          </w:tcPr>
          <w:p w14:paraId="6B48FF97" w14:textId="77777777" w:rsidR="00C36700" w:rsidRPr="00413218" w:rsidRDefault="00C36700" w:rsidP="00BC6645">
            <w:pPr>
              <w:keepNext/>
              <w:autoSpaceDE w:val="0"/>
              <w:autoSpaceDN w:val="0"/>
              <w:adjustRightInd w:val="0"/>
              <w:jc w:val="center"/>
            </w:pPr>
            <w:r w:rsidRPr="006A7093">
              <w:t>Média</w:t>
            </w:r>
          </w:p>
        </w:tc>
        <w:tc>
          <w:tcPr>
            <w:tcW w:w="535" w:type="pct"/>
            <w:tcBorders>
              <w:top w:val="single" w:sz="2" w:space="0" w:color="000000"/>
              <w:bottom w:val="single" w:sz="6" w:space="0" w:color="auto"/>
            </w:tcBorders>
            <w:shd w:val="solid" w:color="FFFFFF" w:fill="auto"/>
          </w:tcPr>
          <w:p w14:paraId="6A8223E9" w14:textId="77777777" w:rsidR="00C36700" w:rsidRPr="006A7093" w:rsidRDefault="00C36700" w:rsidP="00BC6645">
            <w:pPr>
              <w:keepNext/>
              <w:autoSpaceDE w:val="0"/>
              <w:autoSpaceDN w:val="0"/>
              <w:adjustRightInd w:val="0"/>
              <w:jc w:val="center"/>
            </w:pPr>
            <w:r w:rsidRPr="006A7093">
              <w:t>Desvio</w:t>
            </w:r>
          </w:p>
          <w:p w14:paraId="1DA89CC1" w14:textId="77777777" w:rsidR="00C36700" w:rsidRPr="00413218" w:rsidRDefault="00C36700" w:rsidP="00BC6645">
            <w:pPr>
              <w:keepNext/>
              <w:autoSpaceDE w:val="0"/>
              <w:autoSpaceDN w:val="0"/>
              <w:adjustRightInd w:val="0"/>
              <w:jc w:val="center"/>
            </w:pPr>
            <w:r w:rsidRPr="006A7093">
              <w:t>Padrão</w:t>
            </w:r>
          </w:p>
        </w:tc>
        <w:tc>
          <w:tcPr>
            <w:tcW w:w="601" w:type="pct"/>
            <w:tcBorders>
              <w:top w:val="single" w:sz="2" w:space="0" w:color="000000"/>
              <w:bottom w:val="single" w:sz="6" w:space="0" w:color="auto"/>
            </w:tcBorders>
            <w:shd w:val="solid" w:color="FFFFFF" w:fill="auto"/>
          </w:tcPr>
          <w:p w14:paraId="68925C4C" w14:textId="77777777" w:rsidR="00C36700" w:rsidRPr="00413218" w:rsidRDefault="00C36700" w:rsidP="00BC6645">
            <w:pPr>
              <w:keepNext/>
              <w:autoSpaceDE w:val="0"/>
              <w:autoSpaceDN w:val="0"/>
              <w:adjustRightInd w:val="0"/>
              <w:jc w:val="center"/>
            </w:pPr>
            <w:r w:rsidRPr="006A7093">
              <w:t>Mínimo</w:t>
            </w:r>
          </w:p>
        </w:tc>
        <w:tc>
          <w:tcPr>
            <w:tcW w:w="622" w:type="pct"/>
            <w:tcBorders>
              <w:top w:val="single" w:sz="2" w:space="0" w:color="000000"/>
              <w:bottom w:val="single" w:sz="6" w:space="0" w:color="auto"/>
            </w:tcBorders>
            <w:shd w:val="solid" w:color="FFFFFF" w:fill="auto"/>
          </w:tcPr>
          <w:p w14:paraId="51EBB4B0" w14:textId="77777777" w:rsidR="00C36700" w:rsidRPr="00413218" w:rsidRDefault="00C36700" w:rsidP="00BC6645">
            <w:pPr>
              <w:keepNext/>
              <w:autoSpaceDE w:val="0"/>
              <w:autoSpaceDN w:val="0"/>
              <w:adjustRightInd w:val="0"/>
              <w:jc w:val="center"/>
            </w:pPr>
            <w:r w:rsidRPr="00413218">
              <w:t>M</w:t>
            </w:r>
            <w:r>
              <w:t>áximo</w:t>
            </w:r>
          </w:p>
        </w:tc>
      </w:tr>
      <w:tr w:rsidR="00C36700" w:rsidRPr="00413218" w14:paraId="71D783B5" w14:textId="77777777" w:rsidTr="00B803AC">
        <w:trPr>
          <w:trHeight w:val="152"/>
        </w:trPr>
        <w:tc>
          <w:tcPr>
            <w:tcW w:w="2642" w:type="pct"/>
            <w:tcBorders>
              <w:top w:val="single" w:sz="6" w:space="0" w:color="auto"/>
            </w:tcBorders>
            <w:shd w:val="solid" w:color="FFFFFF" w:fill="auto"/>
          </w:tcPr>
          <w:p w14:paraId="6D058AC4" w14:textId="77777777" w:rsidR="00C36700" w:rsidRPr="00413218" w:rsidRDefault="00C36700" w:rsidP="00BC6645">
            <w:pPr>
              <w:keepNext/>
              <w:autoSpaceDE w:val="0"/>
              <w:autoSpaceDN w:val="0"/>
              <w:adjustRightInd w:val="0"/>
            </w:pPr>
            <w:r w:rsidRPr="006A7093">
              <w:t>Consumo</w:t>
            </w:r>
            <w:r>
              <w:t xml:space="preserve"> de carne bovina (kg/pessoa</w:t>
            </w:r>
            <w:r w:rsidRPr="00413218">
              <w:t>)</w:t>
            </w:r>
          </w:p>
        </w:tc>
        <w:tc>
          <w:tcPr>
            <w:tcW w:w="600" w:type="pct"/>
            <w:tcBorders>
              <w:top w:val="single" w:sz="6" w:space="0" w:color="auto"/>
            </w:tcBorders>
            <w:shd w:val="solid" w:color="FFFFFF" w:fill="auto"/>
          </w:tcPr>
          <w:p w14:paraId="08A96144" w14:textId="77777777" w:rsidR="00C36700" w:rsidRPr="00413218" w:rsidRDefault="00C36700" w:rsidP="00BC6645">
            <w:pPr>
              <w:keepNext/>
              <w:autoSpaceDE w:val="0"/>
              <w:autoSpaceDN w:val="0"/>
              <w:adjustRightInd w:val="0"/>
              <w:jc w:val="right"/>
            </w:pPr>
            <w:r>
              <w:t>32,23</w:t>
            </w:r>
          </w:p>
        </w:tc>
        <w:tc>
          <w:tcPr>
            <w:tcW w:w="535" w:type="pct"/>
            <w:tcBorders>
              <w:top w:val="single" w:sz="6" w:space="0" w:color="auto"/>
            </w:tcBorders>
            <w:shd w:val="solid" w:color="FFFFFF" w:fill="auto"/>
          </w:tcPr>
          <w:p w14:paraId="65051C15" w14:textId="77777777" w:rsidR="00C36700" w:rsidRPr="00413218" w:rsidRDefault="00C36700" w:rsidP="00BC6645">
            <w:pPr>
              <w:keepNext/>
              <w:autoSpaceDE w:val="0"/>
              <w:autoSpaceDN w:val="0"/>
              <w:adjustRightInd w:val="0"/>
              <w:jc w:val="right"/>
            </w:pPr>
            <w:r>
              <w:t>6,95</w:t>
            </w:r>
          </w:p>
        </w:tc>
        <w:tc>
          <w:tcPr>
            <w:tcW w:w="601" w:type="pct"/>
            <w:tcBorders>
              <w:top w:val="single" w:sz="6" w:space="0" w:color="auto"/>
            </w:tcBorders>
            <w:shd w:val="solid" w:color="FFFFFF" w:fill="auto"/>
          </w:tcPr>
          <w:p w14:paraId="10133C2E" w14:textId="77777777" w:rsidR="00C36700" w:rsidRPr="00413218" w:rsidRDefault="00C36700" w:rsidP="00BC6645">
            <w:pPr>
              <w:keepNext/>
              <w:autoSpaceDE w:val="0"/>
              <w:autoSpaceDN w:val="0"/>
              <w:adjustRightInd w:val="0"/>
              <w:jc w:val="right"/>
            </w:pPr>
            <w:r>
              <w:t>18,09</w:t>
            </w:r>
          </w:p>
        </w:tc>
        <w:tc>
          <w:tcPr>
            <w:tcW w:w="622" w:type="pct"/>
            <w:tcBorders>
              <w:top w:val="single" w:sz="6" w:space="0" w:color="auto"/>
            </w:tcBorders>
            <w:shd w:val="solid" w:color="FFFFFF" w:fill="auto"/>
          </w:tcPr>
          <w:p w14:paraId="4CF86F6D" w14:textId="77777777" w:rsidR="00C36700" w:rsidRPr="00413218" w:rsidRDefault="00C36700" w:rsidP="00BC6645">
            <w:pPr>
              <w:keepNext/>
              <w:autoSpaceDE w:val="0"/>
              <w:autoSpaceDN w:val="0"/>
              <w:adjustRightInd w:val="0"/>
              <w:jc w:val="right"/>
            </w:pPr>
            <w:r>
              <w:t>40,18</w:t>
            </w:r>
          </w:p>
        </w:tc>
      </w:tr>
      <w:tr w:rsidR="00C36700" w:rsidRPr="00413218" w14:paraId="1E57AF62" w14:textId="77777777" w:rsidTr="00B803AC">
        <w:trPr>
          <w:trHeight w:val="152"/>
        </w:trPr>
        <w:tc>
          <w:tcPr>
            <w:tcW w:w="2642" w:type="pct"/>
            <w:shd w:val="solid" w:color="FFFFFF" w:fill="auto"/>
          </w:tcPr>
          <w:p w14:paraId="73E4B228" w14:textId="77777777" w:rsidR="00C36700" w:rsidRPr="00413218" w:rsidRDefault="00C36700" w:rsidP="00BC6645">
            <w:pPr>
              <w:keepNext/>
              <w:autoSpaceDE w:val="0"/>
              <w:autoSpaceDN w:val="0"/>
              <w:adjustRightInd w:val="0"/>
            </w:pPr>
            <w:r>
              <w:t>Consumo</w:t>
            </w:r>
            <w:r w:rsidRPr="006A7093">
              <w:t xml:space="preserve"> de carne suína (kg/pessoa)</w:t>
            </w:r>
          </w:p>
        </w:tc>
        <w:tc>
          <w:tcPr>
            <w:tcW w:w="600" w:type="pct"/>
            <w:shd w:val="solid" w:color="FFFFFF" w:fill="auto"/>
          </w:tcPr>
          <w:p w14:paraId="2793AF08" w14:textId="77777777" w:rsidR="00C36700" w:rsidRPr="00413218" w:rsidRDefault="00C36700" w:rsidP="00BC6645">
            <w:pPr>
              <w:keepNext/>
              <w:autoSpaceDE w:val="0"/>
              <w:autoSpaceDN w:val="0"/>
              <w:adjustRightInd w:val="0"/>
              <w:jc w:val="right"/>
            </w:pPr>
            <w:r>
              <w:t>9,30</w:t>
            </w:r>
          </w:p>
        </w:tc>
        <w:tc>
          <w:tcPr>
            <w:tcW w:w="535" w:type="pct"/>
            <w:shd w:val="solid" w:color="FFFFFF" w:fill="auto"/>
          </w:tcPr>
          <w:p w14:paraId="67AE7B2E" w14:textId="77777777" w:rsidR="00C36700" w:rsidRPr="00413218" w:rsidRDefault="00C36700" w:rsidP="00BC6645">
            <w:pPr>
              <w:keepNext/>
              <w:autoSpaceDE w:val="0"/>
              <w:autoSpaceDN w:val="0"/>
              <w:adjustRightInd w:val="0"/>
              <w:jc w:val="right"/>
            </w:pPr>
            <w:r w:rsidRPr="00413218">
              <w:t>2</w:t>
            </w:r>
            <w:r>
              <w:t>,09</w:t>
            </w:r>
          </w:p>
        </w:tc>
        <w:tc>
          <w:tcPr>
            <w:tcW w:w="601" w:type="pct"/>
            <w:shd w:val="solid" w:color="FFFFFF" w:fill="auto"/>
          </w:tcPr>
          <w:p w14:paraId="2BB8732C" w14:textId="77777777" w:rsidR="00C36700" w:rsidRPr="00413218" w:rsidRDefault="00C36700" w:rsidP="00BC6645">
            <w:pPr>
              <w:keepNext/>
              <w:autoSpaceDE w:val="0"/>
              <w:autoSpaceDN w:val="0"/>
              <w:adjustRightInd w:val="0"/>
              <w:jc w:val="right"/>
            </w:pPr>
            <w:r w:rsidRPr="00413218">
              <w:t>6</w:t>
            </w:r>
            <w:r>
              <w:t>7</w:t>
            </w:r>
            <w:r w:rsidRPr="00413218">
              <w:t>13</w:t>
            </w:r>
          </w:p>
        </w:tc>
        <w:tc>
          <w:tcPr>
            <w:tcW w:w="622" w:type="pct"/>
            <w:shd w:val="solid" w:color="FFFFFF" w:fill="auto"/>
          </w:tcPr>
          <w:p w14:paraId="5E272232" w14:textId="77777777" w:rsidR="00C36700" w:rsidRPr="00413218" w:rsidRDefault="00C36700" w:rsidP="00BC6645">
            <w:pPr>
              <w:keepNext/>
              <w:autoSpaceDE w:val="0"/>
              <w:autoSpaceDN w:val="0"/>
              <w:adjustRightInd w:val="0"/>
              <w:jc w:val="right"/>
            </w:pPr>
            <w:r w:rsidRPr="00413218">
              <w:t>13</w:t>
            </w:r>
            <w:r>
              <w:t>,74</w:t>
            </w:r>
          </w:p>
        </w:tc>
      </w:tr>
      <w:tr w:rsidR="00C36700" w:rsidRPr="00413218" w14:paraId="55B2F4F0" w14:textId="77777777" w:rsidTr="00B803AC">
        <w:trPr>
          <w:trHeight w:val="152"/>
        </w:trPr>
        <w:tc>
          <w:tcPr>
            <w:tcW w:w="2642" w:type="pct"/>
            <w:shd w:val="solid" w:color="FFFFFF" w:fill="auto"/>
          </w:tcPr>
          <w:p w14:paraId="24F00690" w14:textId="77777777" w:rsidR="00C36700" w:rsidRPr="00413218" w:rsidRDefault="00C36700" w:rsidP="00BC6645">
            <w:pPr>
              <w:keepNext/>
              <w:autoSpaceDE w:val="0"/>
              <w:autoSpaceDN w:val="0"/>
              <w:adjustRightInd w:val="0"/>
            </w:pPr>
            <w:r w:rsidRPr="006A7093">
              <w:t>Consumo de carne de frango (kg/pessoa)</w:t>
            </w:r>
          </w:p>
        </w:tc>
        <w:tc>
          <w:tcPr>
            <w:tcW w:w="600" w:type="pct"/>
            <w:shd w:val="solid" w:color="FFFFFF" w:fill="auto"/>
          </w:tcPr>
          <w:p w14:paraId="2738927D" w14:textId="77777777" w:rsidR="00C36700" w:rsidRPr="00413218" w:rsidRDefault="00C36700" w:rsidP="00BC6645">
            <w:pPr>
              <w:keepNext/>
              <w:autoSpaceDE w:val="0"/>
              <w:autoSpaceDN w:val="0"/>
              <w:adjustRightInd w:val="0"/>
              <w:jc w:val="right"/>
            </w:pPr>
            <w:r>
              <w:t>21,49</w:t>
            </w:r>
          </w:p>
        </w:tc>
        <w:tc>
          <w:tcPr>
            <w:tcW w:w="535" w:type="pct"/>
            <w:shd w:val="solid" w:color="FFFFFF" w:fill="auto"/>
          </w:tcPr>
          <w:p w14:paraId="40588686" w14:textId="77777777" w:rsidR="00C36700" w:rsidRPr="00413218" w:rsidRDefault="00C36700" w:rsidP="00BC6645">
            <w:pPr>
              <w:keepNext/>
              <w:autoSpaceDE w:val="0"/>
              <w:autoSpaceDN w:val="0"/>
              <w:adjustRightInd w:val="0"/>
              <w:jc w:val="right"/>
            </w:pPr>
            <w:r w:rsidRPr="00413218">
              <w:t>13</w:t>
            </w:r>
            <w:r>
              <w:t>,46</w:t>
            </w:r>
          </w:p>
        </w:tc>
        <w:tc>
          <w:tcPr>
            <w:tcW w:w="601" w:type="pct"/>
            <w:shd w:val="solid" w:color="FFFFFF" w:fill="auto"/>
          </w:tcPr>
          <w:p w14:paraId="1F2D969A" w14:textId="77777777" w:rsidR="00C36700" w:rsidRPr="00413218" w:rsidRDefault="00C36700" w:rsidP="00BC6645">
            <w:pPr>
              <w:keepNext/>
              <w:autoSpaceDE w:val="0"/>
              <w:autoSpaceDN w:val="0"/>
              <w:adjustRightInd w:val="0"/>
              <w:jc w:val="right"/>
            </w:pPr>
            <w:r>
              <w:t>4,49</w:t>
            </w:r>
          </w:p>
        </w:tc>
        <w:tc>
          <w:tcPr>
            <w:tcW w:w="622" w:type="pct"/>
            <w:shd w:val="solid" w:color="FFFFFF" w:fill="auto"/>
          </w:tcPr>
          <w:p w14:paraId="32F75635" w14:textId="77777777" w:rsidR="00C36700" w:rsidRPr="00413218" w:rsidRDefault="00C36700" w:rsidP="00BC6645">
            <w:pPr>
              <w:keepNext/>
              <w:autoSpaceDE w:val="0"/>
              <w:autoSpaceDN w:val="0"/>
              <w:adjustRightInd w:val="0"/>
              <w:jc w:val="right"/>
            </w:pPr>
            <w:r>
              <w:t>50,14</w:t>
            </w:r>
          </w:p>
        </w:tc>
      </w:tr>
      <w:tr w:rsidR="00C36700" w:rsidRPr="00413218" w14:paraId="065C820B" w14:textId="77777777" w:rsidTr="00B803AC">
        <w:trPr>
          <w:trHeight w:val="152"/>
        </w:trPr>
        <w:tc>
          <w:tcPr>
            <w:tcW w:w="2642" w:type="pct"/>
            <w:shd w:val="solid" w:color="FFFFFF" w:fill="auto"/>
          </w:tcPr>
          <w:p w14:paraId="4D6B722E" w14:textId="77777777" w:rsidR="00C36700" w:rsidRPr="00413218" w:rsidRDefault="00C36700" w:rsidP="00BC6645">
            <w:pPr>
              <w:keepNext/>
              <w:autoSpaceDE w:val="0"/>
              <w:autoSpaceDN w:val="0"/>
              <w:adjustRightInd w:val="0"/>
            </w:pPr>
            <w:r w:rsidRPr="006A7093">
              <w:t>Preço da carne bovina no varejo (R$/kg)*</w:t>
            </w:r>
          </w:p>
        </w:tc>
        <w:tc>
          <w:tcPr>
            <w:tcW w:w="600" w:type="pct"/>
            <w:shd w:val="solid" w:color="FFFFFF" w:fill="auto"/>
          </w:tcPr>
          <w:p w14:paraId="2E082421" w14:textId="77777777" w:rsidR="00C36700" w:rsidRPr="00413218" w:rsidRDefault="00C36700" w:rsidP="00BC6645">
            <w:pPr>
              <w:keepNext/>
              <w:autoSpaceDE w:val="0"/>
              <w:autoSpaceDN w:val="0"/>
              <w:adjustRightInd w:val="0"/>
              <w:jc w:val="right"/>
            </w:pPr>
            <w:r w:rsidRPr="00413218">
              <w:t>17</w:t>
            </w:r>
            <w:r>
              <w:t>,01</w:t>
            </w:r>
          </w:p>
        </w:tc>
        <w:tc>
          <w:tcPr>
            <w:tcW w:w="535" w:type="pct"/>
            <w:shd w:val="solid" w:color="FFFFFF" w:fill="auto"/>
          </w:tcPr>
          <w:p w14:paraId="095EE287" w14:textId="77777777" w:rsidR="00C36700" w:rsidRPr="00413218" w:rsidRDefault="00C36700" w:rsidP="00BC6645">
            <w:pPr>
              <w:keepNext/>
              <w:autoSpaceDE w:val="0"/>
              <w:autoSpaceDN w:val="0"/>
              <w:adjustRightInd w:val="0"/>
              <w:jc w:val="right"/>
            </w:pPr>
            <w:r w:rsidRPr="00413218">
              <w:t>5</w:t>
            </w:r>
            <w:r>
              <w:t>,</w:t>
            </w:r>
            <w:r w:rsidRPr="00413218">
              <w:t>5</w:t>
            </w:r>
            <w:r>
              <w:t>9</w:t>
            </w:r>
          </w:p>
        </w:tc>
        <w:tc>
          <w:tcPr>
            <w:tcW w:w="601" w:type="pct"/>
            <w:shd w:val="solid" w:color="FFFFFF" w:fill="auto"/>
          </w:tcPr>
          <w:p w14:paraId="18251509" w14:textId="77777777" w:rsidR="00C36700" w:rsidRPr="00413218" w:rsidRDefault="00C36700" w:rsidP="00BC6645">
            <w:pPr>
              <w:keepNext/>
              <w:autoSpaceDE w:val="0"/>
              <w:autoSpaceDN w:val="0"/>
              <w:adjustRightInd w:val="0"/>
              <w:jc w:val="right"/>
            </w:pPr>
            <w:r w:rsidRPr="00413218">
              <w:t>10</w:t>
            </w:r>
            <w:r>
              <w:t>,</w:t>
            </w:r>
            <w:r w:rsidRPr="00413218">
              <w:t>13</w:t>
            </w:r>
          </w:p>
        </w:tc>
        <w:tc>
          <w:tcPr>
            <w:tcW w:w="622" w:type="pct"/>
            <w:shd w:val="solid" w:color="FFFFFF" w:fill="auto"/>
          </w:tcPr>
          <w:p w14:paraId="61A4B264" w14:textId="77777777" w:rsidR="00C36700" w:rsidRPr="00413218" w:rsidRDefault="00C36700" w:rsidP="00BC6645">
            <w:pPr>
              <w:keepNext/>
              <w:autoSpaceDE w:val="0"/>
              <w:autoSpaceDN w:val="0"/>
              <w:adjustRightInd w:val="0"/>
              <w:jc w:val="right"/>
            </w:pPr>
            <w:r w:rsidRPr="00413218">
              <w:t>30</w:t>
            </w:r>
            <w:r>
              <w:t>,</w:t>
            </w:r>
            <w:r w:rsidRPr="00413218">
              <w:t>91</w:t>
            </w:r>
          </w:p>
        </w:tc>
      </w:tr>
      <w:tr w:rsidR="00C36700" w:rsidRPr="00413218" w14:paraId="525C404E" w14:textId="77777777" w:rsidTr="00B803AC">
        <w:trPr>
          <w:trHeight w:val="152"/>
        </w:trPr>
        <w:tc>
          <w:tcPr>
            <w:tcW w:w="2642" w:type="pct"/>
            <w:shd w:val="solid" w:color="FFFFFF" w:fill="auto"/>
          </w:tcPr>
          <w:p w14:paraId="25F5A010" w14:textId="77777777" w:rsidR="00C36700" w:rsidRPr="00413218" w:rsidRDefault="00C36700" w:rsidP="00BC6645">
            <w:pPr>
              <w:keepNext/>
              <w:autoSpaceDE w:val="0"/>
              <w:autoSpaceDN w:val="0"/>
              <w:adjustRightInd w:val="0"/>
            </w:pPr>
            <w:r>
              <w:t>Preço da carne de frango</w:t>
            </w:r>
            <w:r w:rsidRPr="006A7093">
              <w:t xml:space="preserve"> no varejo (R$/kg)*</w:t>
            </w:r>
          </w:p>
        </w:tc>
        <w:tc>
          <w:tcPr>
            <w:tcW w:w="600" w:type="pct"/>
            <w:shd w:val="solid" w:color="FFFFFF" w:fill="auto"/>
          </w:tcPr>
          <w:p w14:paraId="5B0A44E7" w14:textId="77777777" w:rsidR="00C36700" w:rsidRPr="00413218" w:rsidRDefault="00C36700" w:rsidP="00BC6645">
            <w:pPr>
              <w:keepNext/>
              <w:autoSpaceDE w:val="0"/>
              <w:autoSpaceDN w:val="0"/>
              <w:adjustRightInd w:val="0"/>
              <w:jc w:val="right"/>
            </w:pPr>
            <w:r>
              <w:t>8,63</w:t>
            </w:r>
          </w:p>
        </w:tc>
        <w:tc>
          <w:tcPr>
            <w:tcW w:w="535" w:type="pct"/>
            <w:shd w:val="solid" w:color="FFFFFF" w:fill="auto"/>
          </w:tcPr>
          <w:p w14:paraId="34022983" w14:textId="77777777" w:rsidR="00C36700" w:rsidRPr="00413218" w:rsidRDefault="00C36700" w:rsidP="00BC6645">
            <w:pPr>
              <w:keepNext/>
              <w:autoSpaceDE w:val="0"/>
              <w:autoSpaceDN w:val="0"/>
              <w:adjustRightInd w:val="0"/>
              <w:jc w:val="right"/>
            </w:pPr>
            <w:r>
              <w:t>4,66</w:t>
            </w:r>
          </w:p>
        </w:tc>
        <w:tc>
          <w:tcPr>
            <w:tcW w:w="601" w:type="pct"/>
            <w:shd w:val="solid" w:color="FFFFFF" w:fill="auto"/>
          </w:tcPr>
          <w:p w14:paraId="51FF4707" w14:textId="77777777" w:rsidR="00C36700" w:rsidRPr="00413218" w:rsidRDefault="00C36700" w:rsidP="00BC6645">
            <w:pPr>
              <w:keepNext/>
              <w:autoSpaceDE w:val="0"/>
              <w:autoSpaceDN w:val="0"/>
              <w:adjustRightInd w:val="0"/>
              <w:jc w:val="right"/>
            </w:pPr>
            <w:r>
              <w:t>3,</w:t>
            </w:r>
            <w:r w:rsidRPr="00413218">
              <w:t>6</w:t>
            </w:r>
            <w:r>
              <w:t>1</w:t>
            </w:r>
          </w:p>
        </w:tc>
        <w:tc>
          <w:tcPr>
            <w:tcW w:w="622" w:type="pct"/>
            <w:shd w:val="solid" w:color="FFFFFF" w:fill="auto"/>
          </w:tcPr>
          <w:p w14:paraId="4954B979" w14:textId="77777777" w:rsidR="00C36700" w:rsidRPr="00413218" w:rsidRDefault="00C36700" w:rsidP="00BC6645">
            <w:pPr>
              <w:keepNext/>
              <w:autoSpaceDE w:val="0"/>
              <w:autoSpaceDN w:val="0"/>
              <w:adjustRightInd w:val="0"/>
              <w:jc w:val="right"/>
            </w:pPr>
            <w:r>
              <w:t>17,68</w:t>
            </w:r>
          </w:p>
        </w:tc>
      </w:tr>
      <w:tr w:rsidR="00C36700" w:rsidRPr="00413218" w14:paraId="0E42ABF6" w14:textId="77777777" w:rsidTr="00B803AC">
        <w:trPr>
          <w:trHeight w:val="152"/>
        </w:trPr>
        <w:tc>
          <w:tcPr>
            <w:tcW w:w="2642" w:type="pct"/>
            <w:shd w:val="solid" w:color="FFFFFF" w:fill="auto"/>
          </w:tcPr>
          <w:p w14:paraId="381BD903" w14:textId="77777777" w:rsidR="00C36700" w:rsidRPr="00413218" w:rsidRDefault="00C36700" w:rsidP="00BC6645">
            <w:pPr>
              <w:keepNext/>
              <w:autoSpaceDE w:val="0"/>
              <w:autoSpaceDN w:val="0"/>
              <w:adjustRightInd w:val="0"/>
            </w:pPr>
            <w:r>
              <w:t>Preço da carne suína</w:t>
            </w:r>
            <w:r w:rsidRPr="006A7093">
              <w:t xml:space="preserve"> no varejo (R$/kg)*</w:t>
            </w:r>
          </w:p>
        </w:tc>
        <w:tc>
          <w:tcPr>
            <w:tcW w:w="600" w:type="pct"/>
            <w:shd w:val="solid" w:color="FFFFFF" w:fill="auto"/>
          </w:tcPr>
          <w:p w14:paraId="1F61186A" w14:textId="77777777" w:rsidR="00C36700" w:rsidRPr="00413218" w:rsidRDefault="00C36700" w:rsidP="00BC6645">
            <w:pPr>
              <w:keepNext/>
              <w:autoSpaceDE w:val="0"/>
              <w:autoSpaceDN w:val="0"/>
              <w:adjustRightInd w:val="0"/>
              <w:jc w:val="right"/>
            </w:pPr>
            <w:r>
              <w:t>17,80</w:t>
            </w:r>
          </w:p>
        </w:tc>
        <w:tc>
          <w:tcPr>
            <w:tcW w:w="535" w:type="pct"/>
            <w:shd w:val="solid" w:color="FFFFFF" w:fill="auto"/>
          </w:tcPr>
          <w:p w14:paraId="6AF2698E" w14:textId="77777777" w:rsidR="00C36700" w:rsidRPr="00413218" w:rsidRDefault="00C36700" w:rsidP="00BC6645">
            <w:pPr>
              <w:keepNext/>
              <w:autoSpaceDE w:val="0"/>
              <w:autoSpaceDN w:val="0"/>
              <w:adjustRightInd w:val="0"/>
              <w:jc w:val="right"/>
            </w:pPr>
            <w:r>
              <w:t>6,86</w:t>
            </w:r>
          </w:p>
        </w:tc>
        <w:tc>
          <w:tcPr>
            <w:tcW w:w="601" w:type="pct"/>
            <w:shd w:val="solid" w:color="FFFFFF" w:fill="auto"/>
          </w:tcPr>
          <w:p w14:paraId="70C85EA0" w14:textId="77777777" w:rsidR="00C36700" w:rsidRPr="00413218" w:rsidRDefault="00C36700" w:rsidP="00BC6645">
            <w:pPr>
              <w:keepNext/>
              <w:autoSpaceDE w:val="0"/>
              <w:autoSpaceDN w:val="0"/>
              <w:adjustRightInd w:val="0"/>
              <w:jc w:val="right"/>
            </w:pPr>
            <w:r>
              <w:t>9,46</w:t>
            </w:r>
          </w:p>
        </w:tc>
        <w:tc>
          <w:tcPr>
            <w:tcW w:w="622" w:type="pct"/>
            <w:shd w:val="solid" w:color="FFFFFF" w:fill="auto"/>
          </w:tcPr>
          <w:p w14:paraId="51E30BA5" w14:textId="77777777" w:rsidR="00C36700" w:rsidRPr="00413218" w:rsidRDefault="00C36700" w:rsidP="00BC6645">
            <w:pPr>
              <w:keepNext/>
              <w:autoSpaceDE w:val="0"/>
              <w:autoSpaceDN w:val="0"/>
              <w:adjustRightInd w:val="0"/>
              <w:jc w:val="right"/>
            </w:pPr>
            <w:r>
              <w:t>31,14</w:t>
            </w:r>
          </w:p>
        </w:tc>
      </w:tr>
      <w:tr w:rsidR="00C36700" w:rsidRPr="00413218" w14:paraId="54BA11AC" w14:textId="77777777" w:rsidTr="00B803AC">
        <w:trPr>
          <w:trHeight w:val="152"/>
        </w:trPr>
        <w:tc>
          <w:tcPr>
            <w:tcW w:w="2642" w:type="pct"/>
            <w:shd w:val="solid" w:color="FFFFFF" w:fill="auto"/>
          </w:tcPr>
          <w:p w14:paraId="2ECBA8E0" w14:textId="77777777" w:rsidR="00C36700" w:rsidRPr="00413218" w:rsidRDefault="00C36700" w:rsidP="00BC6645">
            <w:pPr>
              <w:keepNext/>
              <w:autoSpaceDE w:val="0"/>
              <w:autoSpaceDN w:val="0"/>
              <w:adjustRightInd w:val="0"/>
            </w:pPr>
            <w:r w:rsidRPr="006A7093">
              <w:t>Gasto com carne</w:t>
            </w:r>
            <w:r>
              <w:t>s (R$/pessoa</w:t>
            </w:r>
            <w:r w:rsidRPr="006A7093">
              <w:t>)*</w:t>
            </w:r>
          </w:p>
        </w:tc>
        <w:tc>
          <w:tcPr>
            <w:tcW w:w="600" w:type="pct"/>
            <w:shd w:val="solid" w:color="FFFFFF" w:fill="auto"/>
          </w:tcPr>
          <w:p w14:paraId="561A6F2B" w14:textId="77777777" w:rsidR="00C36700" w:rsidRPr="00413218" w:rsidRDefault="00C36700" w:rsidP="00BC6645">
            <w:pPr>
              <w:keepNext/>
              <w:autoSpaceDE w:val="0"/>
              <w:autoSpaceDN w:val="0"/>
              <w:adjustRightInd w:val="0"/>
              <w:jc w:val="right"/>
            </w:pPr>
            <w:r>
              <w:t>801,67</w:t>
            </w:r>
          </w:p>
        </w:tc>
        <w:tc>
          <w:tcPr>
            <w:tcW w:w="535" w:type="pct"/>
            <w:shd w:val="solid" w:color="FFFFFF" w:fill="auto"/>
          </w:tcPr>
          <w:p w14:paraId="4F279DA3" w14:textId="77777777" w:rsidR="00C36700" w:rsidRPr="00413218" w:rsidRDefault="00C36700" w:rsidP="00BC6645">
            <w:pPr>
              <w:keepNext/>
              <w:autoSpaceDE w:val="0"/>
              <w:autoSpaceDN w:val="0"/>
              <w:adjustRightInd w:val="0"/>
              <w:jc w:val="right"/>
            </w:pPr>
            <w:r>
              <w:t>118,25</w:t>
            </w:r>
          </w:p>
        </w:tc>
        <w:tc>
          <w:tcPr>
            <w:tcW w:w="601" w:type="pct"/>
            <w:shd w:val="solid" w:color="FFFFFF" w:fill="auto"/>
          </w:tcPr>
          <w:p w14:paraId="3DD747F6" w14:textId="77777777" w:rsidR="00C36700" w:rsidRPr="00413218" w:rsidRDefault="00C36700" w:rsidP="00BC6645">
            <w:pPr>
              <w:keepNext/>
              <w:autoSpaceDE w:val="0"/>
              <w:autoSpaceDN w:val="0"/>
              <w:adjustRightInd w:val="0"/>
              <w:jc w:val="right"/>
            </w:pPr>
            <w:r>
              <w:t>638,4</w:t>
            </w:r>
            <w:r w:rsidRPr="00413218">
              <w:t>1</w:t>
            </w:r>
          </w:p>
        </w:tc>
        <w:tc>
          <w:tcPr>
            <w:tcW w:w="622" w:type="pct"/>
            <w:shd w:val="solid" w:color="FFFFFF" w:fill="auto"/>
          </w:tcPr>
          <w:p w14:paraId="06F088BB" w14:textId="77777777" w:rsidR="00C36700" w:rsidRPr="00413218" w:rsidRDefault="00C36700" w:rsidP="00BC6645">
            <w:pPr>
              <w:keepNext/>
              <w:autoSpaceDE w:val="0"/>
              <w:autoSpaceDN w:val="0"/>
              <w:adjustRightInd w:val="0"/>
              <w:jc w:val="right"/>
            </w:pPr>
            <w:r>
              <w:t>1.</w:t>
            </w:r>
            <w:r w:rsidRPr="00413218">
              <w:t>104</w:t>
            </w:r>
            <w:r>
              <w:t>,04</w:t>
            </w:r>
          </w:p>
        </w:tc>
      </w:tr>
      <w:tr w:rsidR="00C36700" w:rsidRPr="00413218" w14:paraId="25C24469" w14:textId="77777777" w:rsidTr="00B803AC">
        <w:trPr>
          <w:trHeight w:val="152"/>
        </w:trPr>
        <w:tc>
          <w:tcPr>
            <w:tcW w:w="2642" w:type="pct"/>
            <w:shd w:val="solid" w:color="FFFFFF" w:fill="auto"/>
          </w:tcPr>
          <w:p w14:paraId="0144E5FB" w14:textId="77777777" w:rsidR="00C36700" w:rsidRPr="00413218" w:rsidRDefault="00C36700" w:rsidP="00BC6645">
            <w:pPr>
              <w:keepNext/>
              <w:autoSpaceDE w:val="0"/>
              <w:autoSpaceDN w:val="0"/>
              <w:adjustRightInd w:val="0"/>
            </w:pPr>
            <w:r w:rsidRPr="006A7093">
              <w:t>Gasto com outros bens</w:t>
            </w:r>
            <w:r>
              <w:t xml:space="preserve"> (R$/pessoa</w:t>
            </w:r>
            <w:r w:rsidRPr="006A7093">
              <w:t>)*</w:t>
            </w:r>
          </w:p>
        </w:tc>
        <w:tc>
          <w:tcPr>
            <w:tcW w:w="600" w:type="pct"/>
            <w:shd w:val="solid" w:color="FFFFFF" w:fill="auto"/>
          </w:tcPr>
          <w:p w14:paraId="4B377047" w14:textId="77777777" w:rsidR="00C36700" w:rsidRPr="00413218" w:rsidRDefault="00C36700" w:rsidP="00BC6645">
            <w:pPr>
              <w:keepNext/>
              <w:autoSpaceDE w:val="0"/>
              <w:autoSpaceDN w:val="0"/>
              <w:adjustRightInd w:val="0"/>
              <w:jc w:val="right"/>
            </w:pPr>
            <w:r>
              <w:t>11.243,07</w:t>
            </w:r>
          </w:p>
        </w:tc>
        <w:tc>
          <w:tcPr>
            <w:tcW w:w="535" w:type="pct"/>
            <w:shd w:val="solid" w:color="FFFFFF" w:fill="auto"/>
          </w:tcPr>
          <w:p w14:paraId="28DB2013" w14:textId="77777777" w:rsidR="00C36700" w:rsidRPr="00413218" w:rsidRDefault="00C36700" w:rsidP="00BC6645">
            <w:pPr>
              <w:keepNext/>
              <w:autoSpaceDE w:val="0"/>
              <w:autoSpaceDN w:val="0"/>
              <w:adjustRightInd w:val="0"/>
              <w:jc w:val="right"/>
            </w:pPr>
            <w:r>
              <w:t>1.518,41</w:t>
            </w:r>
          </w:p>
        </w:tc>
        <w:tc>
          <w:tcPr>
            <w:tcW w:w="601" w:type="pct"/>
            <w:shd w:val="solid" w:color="FFFFFF" w:fill="auto"/>
          </w:tcPr>
          <w:p w14:paraId="796A3464" w14:textId="77777777" w:rsidR="00C36700" w:rsidRPr="00413218" w:rsidRDefault="00C36700" w:rsidP="00BC6645">
            <w:pPr>
              <w:keepNext/>
              <w:autoSpaceDE w:val="0"/>
              <w:autoSpaceDN w:val="0"/>
              <w:adjustRightInd w:val="0"/>
              <w:jc w:val="right"/>
            </w:pPr>
            <w:r>
              <w:t>8.661,69</w:t>
            </w:r>
          </w:p>
        </w:tc>
        <w:tc>
          <w:tcPr>
            <w:tcW w:w="622" w:type="pct"/>
            <w:shd w:val="solid" w:color="FFFFFF" w:fill="auto"/>
          </w:tcPr>
          <w:p w14:paraId="7A68E912" w14:textId="77777777" w:rsidR="00C36700" w:rsidRPr="00413218" w:rsidRDefault="00C36700" w:rsidP="00BC6645">
            <w:pPr>
              <w:keepNext/>
              <w:autoSpaceDE w:val="0"/>
              <w:autoSpaceDN w:val="0"/>
              <w:adjustRightInd w:val="0"/>
              <w:jc w:val="right"/>
            </w:pPr>
            <w:r>
              <w:t>14.292,62</w:t>
            </w:r>
          </w:p>
        </w:tc>
      </w:tr>
      <w:tr w:rsidR="00C36700" w:rsidRPr="00413218" w14:paraId="005B7D11" w14:textId="77777777" w:rsidTr="00B803AC">
        <w:trPr>
          <w:trHeight w:val="152"/>
        </w:trPr>
        <w:tc>
          <w:tcPr>
            <w:tcW w:w="2642" w:type="pct"/>
            <w:shd w:val="solid" w:color="FFFFFF" w:fill="auto"/>
          </w:tcPr>
          <w:p w14:paraId="28C74723" w14:textId="77777777" w:rsidR="00C36700" w:rsidRPr="00413218" w:rsidRDefault="00C36700" w:rsidP="00BC6645">
            <w:pPr>
              <w:keepNext/>
              <w:autoSpaceDE w:val="0"/>
              <w:autoSpaceDN w:val="0"/>
              <w:adjustRightInd w:val="0"/>
            </w:pPr>
            <w:r w:rsidRPr="006A7093">
              <w:t>Parcela do gasto com carne bovina</w:t>
            </w:r>
          </w:p>
        </w:tc>
        <w:tc>
          <w:tcPr>
            <w:tcW w:w="600" w:type="pct"/>
            <w:shd w:val="solid" w:color="FFFFFF" w:fill="auto"/>
          </w:tcPr>
          <w:p w14:paraId="0000DF23" w14:textId="77777777" w:rsidR="00C36700" w:rsidRPr="00413218" w:rsidRDefault="00C36700" w:rsidP="00BC6645">
            <w:pPr>
              <w:keepNext/>
              <w:autoSpaceDE w:val="0"/>
              <w:autoSpaceDN w:val="0"/>
              <w:adjustRightInd w:val="0"/>
              <w:jc w:val="right"/>
            </w:pPr>
            <w:r w:rsidRPr="00413218">
              <w:t>0</w:t>
            </w:r>
            <w:r>
              <w:t>,</w:t>
            </w:r>
            <w:r w:rsidRPr="00413218">
              <w:t>04</w:t>
            </w:r>
            <w:r>
              <w:t>3</w:t>
            </w:r>
          </w:p>
        </w:tc>
        <w:tc>
          <w:tcPr>
            <w:tcW w:w="535" w:type="pct"/>
            <w:shd w:val="solid" w:color="FFFFFF" w:fill="auto"/>
          </w:tcPr>
          <w:p w14:paraId="3C7CF7E3" w14:textId="77777777" w:rsidR="00C36700" w:rsidRPr="00413218" w:rsidRDefault="00C36700" w:rsidP="00BC6645">
            <w:pPr>
              <w:keepNext/>
              <w:autoSpaceDE w:val="0"/>
              <w:autoSpaceDN w:val="0"/>
              <w:adjustRightInd w:val="0"/>
              <w:jc w:val="right"/>
            </w:pPr>
            <w:r w:rsidRPr="00413218">
              <w:t>0</w:t>
            </w:r>
            <w:r>
              <w:t>,</w:t>
            </w:r>
            <w:r w:rsidRPr="00413218">
              <w:t>01</w:t>
            </w:r>
          </w:p>
        </w:tc>
        <w:tc>
          <w:tcPr>
            <w:tcW w:w="601" w:type="pct"/>
            <w:shd w:val="solid" w:color="FFFFFF" w:fill="auto"/>
          </w:tcPr>
          <w:p w14:paraId="213EA5D2" w14:textId="77777777" w:rsidR="00C36700" w:rsidRPr="00413218" w:rsidRDefault="00C36700" w:rsidP="00BC6645">
            <w:pPr>
              <w:keepNext/>
              <w:autoSpaceDE w:val="0"/>
              <w:autoSpaceDN w:val="0"/>
              <w:adjustRightInd w:val="0"/>
              <w:jc w:val="right"/>
            </w:pPr>
            <w:r w:rsidRPr="00413218">
              <w:t>0</w:t>
            </w:r>
            <w:r>
              <w:t>,</w:t>
            </w:r>
            <w:r w:rsidRPr="00413218">
              <w:t>03</w:t>
            </w:r>
          </w:p>
        </w:tc>
        <w:tc>
          <w:tcPr>
            <w:tcW w:w="622" w:type="pct"/>
            <w:shd w:val="solid" w:color="FFFFFF" w:fill="auto"/>
          </w:tcPr>
          <w:p w14:paraId="7B6C2F32" w14:textId="77777777" w:rsidR="00C36700" w:rsidRPr="00413218" w:rsidRDefault="00C36700" w:rsidP="00BC6645">
            <w:pPr>
              <w:keepNext/>
              <w:autoSpaceDE w:val="0"/>
              <w:autoSpaceDN w:val="0"/>
              <w:adjustRightInd w:val="0"/>
              <w:jc w:val="right"/>
            </w:pPr>
            <w:r w:rsidRPr="00413218">
              <w:t>0</w:t>
            </w:r>
            <w:r>
              <w:t>,</w:t>
            </w:r>
            <w:r w:rsidRPr="00413218">
              <w:t>0</w:t>
            </w:r>
            <w:r>
              <w:t>6</w:t>
            </w:r>
          </w:p>
        </w:tc>
      </w:tr>
      <w:tr w:rsidR="00C36700" w:rsidRPr="00413218" w14:paraId="36FB5793" w14:textId="77777777" w:rsidTr="00B803AC">
        <w:trPr>
          <w:trHeight w:val="152"/>
        </w:trPr>
        <w:tc>
          <w:tcPr>
            <w:tcW w:w="2642" w:type="pct"/>
            <w:shd w:val="solid" w:color="FFFFFF" w:fill="auto"/>
          </w:tcPr>
          <w:p w14:paraId="50D997DE" w14:textId="77777777" w:rsidR="00C36700" w:rsidRPr="00413218" w:rsidRDefault="00C36700" w:rsidP="00BC6645">
            <w:pPr>
              <w:keepNext/>
              <w:autoSpaceDE w:val="0"/>
              <w:autoSpaceDN w:val="0"/>
              <w:adjustRightInd w:val="0"/>
            </w:pPr>
            <w:r w:rsidRPr="006A7093">
              <w:t xml:space="preserve">Parcela do gasto com carne </w:t>
            </w:r>
            <w:r>
              <w:t>suína</w:t>
            </w:r>
          </w:p>
        </w:tc>
        <w:tc>
          <w:tcPr>
            <w:tcW w:w="600" w:type="pct"/>
            <w:shd w:val="solid" w:color="FFFFFF" w:fill="auto"/>
          </w:tcPr>
          <w:p w14:paraId="46A3FD4F" w14:textId="77777777" w:rsidR="00C36700" w:rsidRPr="00413218" w:rsidRDefault="00C36700" w:rsidP="00BC6645">
            <w:pPr>
              <w:keepNext/>
              <w:autoSpaceDE w:val="0"/>
              <w:autoSpaceDN w:val="0"/>
              <w:adjustRightInd w:val="0"/>
              <w:jc w:val="right"/>
            </w:pPr>
            <w:r w:rsidRPr="00413218">
              <w:t>0</w:t>
            </w:r>
            <w:r>
              <w:t>,</w:t>
            </w:r>
            <w:r w:rsidRPr="00413218">
              <w:t>01</w:t>
            </w:r>
            <w:r>
              <w:t>3</w:t>
            </w:r>
          </w:p>
        </w:tc>
        <w:tc>
          <w:tcPr>
            <w:tcW w:w="535" w:type="pct"/>
            <w:shd w:val="solid" w:color="FFFFFF" w:fill="auto"/>
          </w:tcPr>
          <w:p w14:paraId="1C39A9E0" w14:textId="77777777" w:rsidR="00C36700" w:rsidRPr="00413218" w:rsidRDefault="00C36700" w:rsidP="00BC6645">
            <w:pPr>
              <w:keepNext/>
              <w:autoSpaceDE w:val="0"/>
              <w:autoSpaceDN w:val="0"/>
              <w:adjustRightInd w:val="0"/>
              <w:jc w:val="right"/>
            </w:pPr>
            <w:r w:rsidRPr="00413218">
              <w:t>0</w:t>
            </w:r>
            <w:r>
              <w:t>,</w:t>
            </w:r>
            <w:r w:rsidRPr="00413218">
              <w:t>00</w:t>
            </w:r>
          </w:p>
        </w:tc>
        <w:tc>
          <w:tcPr>
            <w:tcW w:w="601" w:type="pct"/>
            <w:shd w:val="solid" w:color="FFFFFF" w:fill="auto"/>
          </w:tcPr>
          <w:p w14:paraId="6B36B89C" w14:textId="77777777" w:rsidR="00C36700" w:rsidRPr="00413218" w:rsidRDefault="00C36700" w:rsidP="00BC6645">
            <w:pPr>
              <w:keepNext/>
              <w:autoSpaceDE w:val="0"/>
              <w:autoSpaceDN w:val="0"/>
              <w:adjustRightInd w:val="0"/>
              <w:jc w:val="right"/>
            </w:pPr>
            <w:r w:rsidRPr="00413218">
              <w:t>0</w:t>
            </w:r>
            <w:r>
              <w:t>,</w:t>
            </w:r>
            <w:r w:rsidRPr="00413218">
              <w:t>01</w:t>
            </w:r>
          </w:p>
        </w:tc>
        <w:tc>
          <w:tcPr>
            <w:tcW w:w="622" w:type="pct"/>
            <w:shd w:val="solid" w:color="FFFFFF" w:fill="auto"/>
          </w:tcPr>
          <w:p w14:paraId="2D552864" w14:textId="77777777" w:rsidR="00C36700" w:rsidRPr="00413218" w:rsidRDefault="00C36700" w:rsidP="00BC6645">
            <w:pPr>
              <w:keepNext/>
              <w:autoSpaceDE w:val="0"/>
              <w:autoSpaceDN w:val="0"/>
              <w:adjustRightInd w:val="0"/>
              <w:jc w:val="right"/>
            </w:pPr>
            <w:r w:rsidRPr="00413218">
              <w:t>0</w:t>
            </w:r>
            <w:r>
              <w:t>,02</w:t>
            </w:r>
          </w:p>
        </w:tc>
      </w:tr>
      <w:tr w:rsidR="00C36700" w:rsidRPr="00413218" w14:paraId="28171CDB" w14:textId="77777777" w:rsidTr="00B803AC">
        <w:trPr>
          <w:trHeight w:val="152"/>
        </w:trPr>
        <w:tc>
          <w:tcPr>
            <w:tcW w:w="2642" w:type="pct"/>
            <w:shd w:val="solid" w:color="FFFFFF" w:fill="auto"/>
          </w:tcPr>
          <w:p w14:paraId="635B74AC" w14:textId="77777777" w:rsidR="00C36700" w:rsidRPr="00413218" w:rsidRDefault="00C36700" w:rsidP="00BC6645">
            <w:pPr>
              <w:keepNext/>
              <w:autoSpaceDE w:val="0"/>
              <w:autoSpaceDN w:val="0"/>
              <w:adjustRightInd w:val="0"/>
            </w:pPr>
            <w:r w:rsidRPr="006A7093">
              <w:t xml:space="preserve">Parcela do gasto com carne </w:t>
            </w:r>
            <w:r>
              <w:t>de frango</w:t>
            </w:r>
          </w:p>
        </w:tc>
        <w:tc>
          <w:tcPr>
            <w:tcW w:w="600" w:type="pct"/>
            <w:shd w:val="solid" w:color="FFFFFF" w:fill="auto"/>
          </w:tcPr>
          <w:p w14:paraId="4697D542" w14:textId="77777777" w:rsidR="00C36700" w:rsidRPr="00413218" w:rsidRDefault="00C36700" w:rsidP="00BC6645">
            <w:pPr>
              <w:keepNext/>
              <w:autoSpaceDE w:val="0"/>
              <w:autoSpaceDN w:val="0"/>
              <w:adjustRightInd w:val="0"/>
              <w:jc w:val="right"/>
            </w:pPr>
            <w:r w:rsidRPr="00413218">
              <w:t>0</w:t>
            </w:r>
            <w:r>
              <w:t>,</w:t>
            </w:r>
            <w:r w:rsidRPr="00413218">
              <w:t>011</w:t>
            </w:r>
          </w:p>
        </w:tc>
        <w:tc>
          <w:tcPr>
            <w:tcW w:w="535" w:type="pct"/>
            <w:shd w:val="solid" w:color="FFFFFF" w:fill="auto"/>
          </w:tcPr>
          <w:p w14:paraId="49DD1899" w14:textId="77777777" w:rsidR="00C36700" w:rsidRPr="00413218" w:rsidRDefault="00C36700" w:rsidP="00BC6645">
            <w:pPr>
              <w:keepNext/>
              <w:autoSpaceDE w:val="0"/>
              <w:autoSpaceDN w:val="0"/>
              <w:adjustRightInd w:val="0"/>
              <w:jc w:val="right"/>
            </w:pPr>
            <w:r w:rsidRPr="00413218">
              <w:t>0</w:t>
            </w:r>
            <w:r>
              <w:t>,</w:t>
            </w:r>
            <w:r w:rsidRPr="00413218">
              <w:t>00</w:t>
            </w:r>
          </w:p>
        </w:tc>
        <w:tc>
          <w:tcPr>
            <w:tcW w:w="601" w:type="pct"/>
            <w:shd w:val="solid" w:color="FFFFFF" w:fill="auto"/>
          </w:tcPr>
          <w:p w14:paraId="42057455" w14:textId="77777777" w:rsidR="00C36700" w:rsidRPr="00413218" w:rsidRDefault="00C36700" w:rsidP="00BC6645">
            <w:pPr>
              <w:keepNext/>
              <w:autoSpaceDE w:val="0"/>
              <w:autoSpaceDN w:val="0"/>
              <w:adjustRightInd w:val="0"/>
              <w:jc w:val="right"/>
            </w:pPr>
            <w:r w:rsidRPr="00413218">
              <w:t>0</w:t>
            </w:r>
            <w:r>
              <w:t>,</w:t>
            </w:r>
            <w:r w:rsidRPr="00413218">
              <w:t>01</w:t>
            </w:r>
          </w:p>
        </w:tc>
        <w:tc>
          <w:tcPr>
            <w:tcW w:w="622" w:type="pct"/>
            <w:shd w:val="solid" w:color="FFFFFF" w:fill="auto"/>
          </w:tcPr>
          <w:p w14:paraId="664CB70B" w14:textId="77777777" w:rsidR="00C36700" w:rsidRPr="00413218" w:rsidRDefault="00C36700" w:rsidP="00BC6645">
            <w:pPr>
              <w:keepNext/>
              <w:autoSpaceDE w:val="0"/>
              <w:autoSpaceDN w:val="0"/>
              <w:adjustRightInd w:val="0"/>
              <w:jc w:val="right"/>
            </w:pPr>
            <w:r w:rsidRPr="00413218">
              <w:t>0</w:t>
            </w:r>
            <w:r>
              <w:t>,</w:t>
            </w:r>
            <w:r w:rsidRPr="00413218">
              <w:t>02</w:t>
            </w:r>
          </w:p>
        </w:tc>
      </w:tr>
      <w:tr w:rsidR="00C36700" w:rsidRPr="00413218" w14:paraId="61DA2D44" w14:textId="77777777" w:rsidTr="00B803AC">
        <w:trPr>
          <w:trHeight w:val="152"/>
        </w:trPr>
        <w:tc>
          <w:tcPr>
            <w:tcW w:w="2642" w:type="pct"/>
            <w:shd w:val="solid" w:color="FFFFFF" w:fill="auto"/>
          </w:tcPr>
          <w:p w14:paraId="19BABAB4" w14:textId="77777777" w:rsidR="00C36700" w:rsidRPr="00413218" w:rsidRDefault="00C36700" w:rsidP="00BC6645">
            <w:pPr>
              <w:keepNext/>
              <w:autoSpaceDE w:val="0"/>
              <w:autoSpaceDN w:val="0"/>
              <w:adjustRightInd w:val="0"/>
            </w:pPr>
            <w:r w:rsidRPr="006A7093">
              <w:t>Parcela do gasto com outros bens</w:t>
            </w:r>
          </w:p>
        </w:tc>
        <w:tc>
          <w:tcPr>
            <w:tcW w:w="600" w:type="pct"/>
            <w:shd w:val="solid" w:color="FFFFFF" w:fill="auto"/>
          </w:tcPr>
          <w:p w14:paraId="2B994743" w14:textId="77777777" w:rsidR="00C36700" w:rsidRPr="00413218" w:rsidRDefault="00C36700" w:rsidP="00BC6645">
            <w:pPr>
              <w:keepNext/>
              <w:autoSpaceDE w:val="0"/>
              <w:autoSpaceDN w:val="0"/>
              <w:adjustRightInd w:val="0"/>
              <w:jc w:val="right"/>
            </w:pPr>
            <w:r w:rsidRPr="00413218">
              <w:t>0</w:t>
            </w:r>
            <w:r>
              <w:t>,</w:t>
            </w:r>
            <w:r w:rsidRPr="00413218">
              <w:t>9</w:t>
            </w:r>
            <w:r>
              <w:t>33</w:t>
            </w:r>
          </w:p>
        </w:tc>
        <w:tc>
          <w:tcPr>
            <w:tcW w:w="535" w:type="pct"/>
            <w:shd w:val="solid" w:color="FFFFFF" w:fill="auto"/>
          </w:tcPr>
          <w:p w14:paraId="324F8DD6" w14:textId="77777777" w:rsidR="00C36700" w:rsidRPr="00413218" w:rsidRDefault="00C36700" w:rsidP="00BC6645">
            <w:pPr>
              <w:keepNext/>
              <w:autoSpaceDE w:val="0"/>
              <w:autoSpaceDN w:val="0"/>
              <w:adjustRightInd w:val="0"/>
              <w:jc w:val="right"/>
            </w:pPr>
            <w:r w:rsidRPr="00413218">
              <w:t>0</w:t>
            </w:r>
            <w:r>
              <w:t>,</w:t>
            </w:r>
            <w:r w:rsidRPr="00413218">
              <w:t>01</w:t>
            </w:r>
          </w:p>
        </w:tc>
        <w:tc>
          <w:tcPr>
            <w:tcW w:w="601" w:type="pct"/>
            <w:shd w:val="solid" w:color="FFFFFF" w:fill="auto"/>
          </w:tcPr>
          <w:p w14:paraId="310122EF" w14:textId="77777777" w:rsidR="00C36700" w:rsidRPr="00413218" w:rsidRDefault="00C36700" w:rsidP="00BC6645">
            <w:pPr>
              <w:keepNext/>
              <w:autoSpaceDE w:val="0"/>
              <w:autoSpaceDN w:val="0"/>
              <w:adjustRightInd w:val="0"/>
              <w:jc w:val="right"/>
            </w:pPr>
            <w:r w:rsidRPr="00413218">
              <w:t>0</w:t>
            </w:r>
            <w:r>
              <w:t>,</w:t>
            </w:r>
            <w:r w:rsidRPr="00413218">
              <w:t>90</w:t>
            </w:r>
          </w:p>
        </w:tc>
        <w:tc>
          <w:tcPr>
            <w:tcW w:w="622" w:type="pct"/>
            <w:shd w:val="solid" w:color="FFFFFF" w:fill="auto"/>
          </w:tcPr>
          <w:p w14:paraId="13A5FCA6" w14:textId="77777777" w:rsidR="00C36700" w:rsidRPr="00413218" w:rsidRDefault="00C36700" w:rsidP="00BC6645">
            <w:pPr>
              <w:keepNext/>
              <w:autoSpaceDE w:val="0"/>
              <w:autoSpaceDN w:val="0"/>
              <w:adjustRightInd w:val="0"/>
              <w:jc w:val="right"/>
            </w:pPr>
            <w:r w:rsidRPr="00413218">
              <w:t>0</w:t>
            </w:r>
            <w:r>
              <w:t>,</w:t>
            </w:r>
            <w:r w:rsidRPr="00413218">
              <w:t>95</w:t>
            </w:r>
          </w:p>
        </w:tc>
      </w:tr>
      <w:tr w:rsidR="00C36700" w:rsidRPr="00413218" w14:paraId="6171BE94" w14:textId="77777777" w:rsidTr="00B803AC">
        <w:trPr>
          <w:trHeight w:val="152"/>
        </w:trPr>
        <w:tc>
          <w:tcPr>
            <w:tcW w:w="2642" w:type="pct"/>
            <w:shd w:val="solid" w:color="FFFFFF" w:fill="auto"/>
          </w:tcPr>
          <w:p w14:paraId="0A07760E" w14:textId="77777777" w:rsidR="00C36700" w:rsidRPr="00DD351F" w:rsidRDefault="00C36700" w:rsidP="00BC6645">
            <w:pPr>
              <w:keepNext/>
              <w:autoSpaceDE w:val="0"/>
              <w:autoSpaceDN w:val="0"/>
              <w:adjustRightInd w:val="0"/>
              <w:ind w:right="-48"/>
            </w:pPr>
            <w:r w:rsidRPr="00DD351F">
              <w:t>Índice de segurança da carne bovina (páginas)</w:t>
            </w:r>
          </w:p>
        </w:tc>
        <w:tc>
          <w:tcPr>
            <w:tcW w:w="600" w:type="pct"/>
            <w:shd w:val="solid" w:color="FFFFFF" w:fill="auto"/>
          </w:tcPr>
          <w:p w14:paraId="5B489D39" w14:textId="77777777" w:rsidR="00C36700" w:rsidRPr="00413218" w:rsidRDefault="00C36700" w:rsidP="00BC6645">
            <w:pPr>
              <w:keepNext/>
              <w:autoSpaceDE w:val="0"/>
              <w:autoSpaceDN w:val="0"/>
              <w:adjustRightInd w:val="0"/>
              <w:jc w:val="right"/>
            </w:pPr>
            <w:r w:rsidRPr="00413218">
              <w:t>1</w:t>
            </w:r>
            <w:r>
              <w:t>,865</w:t>
            </w:r>
          </w:p>
        </w:tc>
        <w:tc>
          <w:tcPr>
            <w:tcW w:w="535" w:type="pct"/>
            <w:shd w:val="solid" w:color="FFFFFF" w:fill="auto"/>
          </w:tcPr>
          <w:p w14:paraId="0BC47F02" w14:textId="77777777" w:rsidR="00C36700" w:rsidRPr="00413218" w:rsidRDefault="00C36700" w:rsidP="00BC6645">
            <w:pPr>
              <w:keepNext/>
              <w:autoSpaceDE w:val="0"/>
              <w:autoSpaceDN w:val="0"/>
              <w:adjustRightInd w:val="0"/>
              <w:jc w:val="right"/>
            </w:pPr>
            <w:r w:rsidRPr="00413218">
              <w:t>2</w:t>
            </w:r>
            <w:r>
              <w:t>,14</w:t>
            </w:r>
          </w:p>
        </w:tc>
        <w:tc>
          <w:tcPr>
            <w:tcW w:w="601" w:type="pct"/>
            <w:shd w:val="solid" w:color="FFFFFF" w:fill="auto"/>
          </w:tcPr>
          <w:p w14:paraId="0C492767" w14:textId="77777777" w:rsidR="00C36700" w:rsidRPr="00413218" w:rsidRDefault="00C36700" w:rsidP="00BC6645">
            <w:pPr>
              <w:keepNext/>
              <w:autoSpaceDE w:val="0"/>
              <w:autoSpaceDN w:val="0"/>
              <w:adjustRightInd w:val="0"/>
              <w:jc w:val="right"/>
            </w:pPr>
            <w:r w:rsidRPr="00413218">
              <w:t>0</w:t>
            </w:r>
            <w:r>
              <w:t>,</w:t>
            </w:r>
            <w:r w:rsidRPr="00413218">
              <w:t>00</w:t>
            </w:r>
          </w:p>
        </w:tc>
        <w:tc>
          <w:tcPr>
            <w:tcW w:w="622" w:type="pct"/>
            <w:shd w:val="solid" w:color="FFFFFF" w:fill="auto"/>
          </w:tcPr>
          <w:p w14:paraId="6D794C51" w14:textId="77777777" w:rsidR="00C36700" w:rsidRPr="00413218" w:rsidRDefault="00C36700" w:rsidP="00BC6645">
            <w:pPr>
              <w:keepNext/>
              <w:autoSpaceDE w:val="0"/>
              <w:autoSpaceDN w:val="0"/>
              <w:adjustRightInd w:val="0"/>
              <w:jc w:val="right"/>
            </w:pPr>
            <w:r w:rsidRPr="00413218">
              <w:t>9</w:t>
            </w:r>
            <w:r>
              <w:t>,</w:t>
            </w:r>
            <w:r w:rsidRPr="00413218">
              <w:t>00</w:t>
            </w:r>
          </w:p>
        </w:tc>
      </w:tr>
      <w:tr w:rsidR="00C36700" w:rsidRPr="00413218" w14:paraId="038A4FCB" w14:textId="77777777" w:rsidTr="00B803AC">
        <w:trPr>
          <w:trHeight w:val="152"/>
        </w:trPr>
        <w:tc>
          <w:tcPr>
            <w:tcW w:w="2642" w:type="pct"/>
            <w:shd w:val="solid" w:color="FFFFFF" w:fill="auto"/>
          </w:tcPr>
          <w:p w14:paraId="63A9170B" w14:textId="77777777" w:rsidR="00C36700" w:rsidRPr="00DD351F" w:rsidRDefault="00C36700" w:rsidP="00BC6645">
            <w:pPr>
              <w:keepNext/>
              <w:autoSpaceDE w:val="0"/>
              <w:autoSpaceDN w:val="0"/>
              <w:adjustRightInd w:val="0"/>
              <w:ind w:right="-48"/>
            </w:pPr>
            <w:r w:rsidRPr="00DD351F">
              <w:t>Índice de segurança da carne suína (páginas)</w:t>
            </w:r>
          </w:p>
        </w:tc>
        <w:tc>
          <w:tcPr>
            <w:tcW w:w="600" w:type="pct"/>
            <w:shd w:val="solid" w:color="FFFFFF" w:fill="auto"/>
          </w:tcPr>
          <w:p w14:paraId="68E5F4AF" w14:textId="77777777" w:rsidR="00C36700" w:rsidRPr="00413218" w:rsidRDefault="00C36700" w:rsidP="00BC6645">
            <w:pPr>
              <w:keepNext/>
              <w:autoSpaceDE w:val="0"/>
              <w:autoSpaceDN w:val="0"/>
              <w:adjustRightInd w:val="0"/>
              <w:jc w:val="right"/>
            </w:pPr>
            <w:r>
              <w:t>1,459</w:t>
            </w:r>
          </w:p>
        </w:tc>
        <w:tc>
          <w:tcPr>
            <w:tcW w:w="535" w:type="pct"/>
            <w:shd w:val="solid" w:color="FFFFFF" w:fill="auto"/>
          </w:tcPr>
          <w:p w14:paraId="58E8C8CC" w14:textId="77777777" w:rsidR="00C36700" w:rsidRPr="00413218" w:rsidRDefault="00C36700" w:rsidP="00BC6645">
            <w:pPr>
              <w:keepNext/>
              <w:autoSpaceDE w:val="0"/>
              <w:autoSpaceDN w:val="0"/>
              <w:adjustRightInd w:val="0"/>
              <w:jc w:val="right"/>
            </w:pPr>
            <w:r>
              <w:t>4,54</w:t>
            </w:r>
          </w:p>
        </w:tc>
        <w:tc>
          <w:tcPr>
            <w:tcW w:w="601" w:type="pct"/>
            <w:shd w:val="solid" w:color="FFFFFF" w:fill="auto"/>
          </w:tcPr>
          <w:p w14:paraId="756C112C" w14:textId="77777777" w:rsidR="00C36700" w:rsidRPr="00413218" w:rsidRDefault="00C36700" w:rsidP="00BC6645">
            <w:pPr>
              <w:keepNext/>
              <w:autoSpaceDE w:val="0"/>
              <w:autoSpaceDN w:val="0"/>
              <w:adjustRightInd w:val="0"/>
              <w:jc w:val="right"/>
            </w:pPr>
            <w:r w:rsidRPr="00413218">
              <w:t>0</w:t>
            </w:r>
            <w:r>
              <w:t>,</w:t>
            </w:r>
            <w:r w:rsidRPr="00413218">
              <w:t>00</w:t>
            </w:r>
          </w:p>
        </w:tc>
        <w:tc>
          <w:tcPr>
            <w:tcW w:w="622" w:type="pct"/>
            <w:shd w:val="solid" w:color="FFFFFF" w:fill="auto"/>
          </w:tcPr>
          <w:p w14:paraId="4DDBC7BC" w14:textId="77777777" w:rsidR="00C36700" w:rsidRPr="00413218" w:rsidRDefault="00C36700" w:rsidP="00BC6645">
            <w:pPr>
              <w:keepNext/>
              <w:autoSpaceDE w:val="0"/>
              <w:autoSpaceDN w:val="0"/>
              <w:adjustRightInd w:val="0"/>
              <w:jc w:val="right"/>
            </w:pPr>
            <w:r>
              <w:t>27,</w:t>
            </w:r>
            <w:r w:rsidRPr="00413218">
              <w:t>00</w:t>
            </w:r>
          </w:p>
        </w:tc>
      </w:tr>
      <w:tr w:rsidR="00C36700" w:rsidRPr="00413218" w14:paraId="4D473216" w14:textId="77777777" w:rsidTr="00B803AC">
        <w:trPr>
          <w:trHeight w:val="152"/>
        </w:trPr>
        <w:tc>
          <w:tcPr>
            <w:tcW w:w="2642" w:type="pct"/>
            <w:tcBorders>
              <w:bottom w:val="single" w:sz="2" w:space="0" w:color="000000"/>
            </w:tcBorders>
            <w:shd w:val="solid" w:color="FFFFFF" w:fill="auto"/>
          </w:tcPr>
          <w:p w14:paraId="6C23BFB6" w14:textId="77777777" w:rsidR="00C36700" w:rsidRPr="00DD351F" w:rsidRDefault="00C36700" w:rsidP="00BC6645">
            <w:pPr>
              <w:keepNext/>
              <w:autoSpaceDE w:val="0"/>
              <w:autoSpaceDN w:val="0"/>
              <w:adjustRightInd w:val="0"/>
              <w:ind w:right="-48"/>
            </w:pPr>
            <w:r w:rsidRPr="00DD351F">
              <w:t>Índice de segurança da carne de frango (páginas)</w:t>
            </w:r>
          </w:p>
        </w:tc>
        <w:tc>
          <w:tcPr>
            <w:tcW w:w="600" w:type="pct"/>
            <w:tcBorders>
              <w:bottom w:val="single" w:sz="2" w:space="0" w:color="000000"/>
            </w:tcBorders>
            <w:shd w:val="solid" w:color="FFFFFF" w:fill="auto"/>
          </w:tcPr>
          <w:p w14:paraId="327EA653" w14:textId="77777777" w:rsidR="00C36700" w:rsidRPr="00413218" w:rsidRDefault="00C36700" w:rsidP="00BC6645">
            <w:pPr>
              <w:keepNext/>
              <w:autoSpaceDE w:val="0"/>
              <w:autoSpaceDN w:val="0"/>
              <w:adjustRightInd w:val="0"/>
              <w:jc w:val="right"/>
            </w:pPr>
            <w:r>
              <w:t>1,027</w:t>
            </w:r>
          </w:p>
        </w:tc>
        <w:tc>
          <w:tcPr>
            <w:tcW w:w="535" w:type="pct"/>
            <w:tcBorders>
              <w:bottom w:val="single" w:sz="2" w:space="0" w:color="000000"/>
            </w:tcBorders>
            <w:shd w:val="solid" w:color="FFFFFF" w:fill="auto"/>
          </w:tcPr>
          <w:p w14:paraId="3FBF85B6" w14:textId="77777777" w:rsidR="00C36700" w:rsidRPr="00413218" w:rsidRDefault="00C36700" w:rsidP="00BC6645">
            <w:pPr>
              <w:keepNext/>
              <w:autoSpaceDE w:val="0"/>
              <w:autoSpaceDN w:val="0"/>
              <w:adjustRightInd w:val="0"/>
              <w:jc w:val="right"/>
            </w:pPr>
            <w:r w:rsidRPr="00413218">
              <w:t>3</w:t>
            </w:r>
            <w:r>
              <w:t>,4</w:t>
            </w:r>
            <w:r w:rsidRPr="00413218">
              <w:t>5</w:t>
            </w:r>
          </w:p>
        </w:tc>
        <w:tc>
          <w:tcPr>
            <w:tcW w:w="601" w:type="pct"/>
            <w:tcBorders>
              <w:bottom w:val="single" w:sz="2" w:space="0" w:color="000000"/>
            </w:tcBorders>
            <w:shd w:val="solid" w:color="FFFFFF" w:fill="auto"/>
          </w:tcPr>
          <w:p w14:paraId="31795C81" w14:textId="77777777" w:rsidR="00C36700" w:rsidRPr="00413218" w:rsidRDefault="00C36700" w:rsidP="00BC6645">
            <w:pPr>
              <w:keepNext/>
              <w:autoSpaceDE w:val="0"/>
              <w:autoSpaceDN w:val="0"/>
              <w:adjustRightInd w:val="0"/>
              <w:jc w:val="right"/>
            </w:pPr>
            <w:r w:rsidRPr="00413218">
              <w:t>0</w:t>
            </w:r>
            <w:r>
              <w:t>,</w:t>
            </w:r>
            <w:r w:rsidRPr="00413218">
              <w:t>00</w:t>
            </w:r>
          </w:p>
        </w:tc>
        <w:tc>
          <w:tcPr>
            <w:tcW w:w="622" w:type="pct"/>
            <w:tcBorders>
              <w:bottom w:val="single" w:sz="2" w:space="0" w:color="000000"/>
            </w:tcBorders>
            <w:shd w:val="solid" w:color="FFFFFF" w:fill="auto"/>
          </w:tcPr>
          <w:p w14:paraId="17DE7BFC" w14:textId="77777777" w:rsidR="00C36700" w:rsidRPr="00413218" w:rsidRDefault="00C36700" w:rsidP="00BC6645">
            <w:pPr>
              <w:keepNext/>
              <w:autoSpaceDE w:val="0"/>
              <w:autoSpaceDN w:val="0"/>
              <w:adjustRightInd w:val="0"/>
              <w:jc w:val="right"/>
            </w:pPr>
            <w:r w:rsidRPr="00413218">
              <w:t>21</w:t>
            </w:r>
            <w:r>
              <w:t>,</w:t>
            </w:r>
            <w:r w:rsidRPr="00413218">
              <w:t>00</w:t>
            </w:r>
          </w:p>
        </w:tc>
      </w:tr>
    </w:tbl>
    <w:p w14:paraId="3F595108" w14:textId="77777777" w:rsidR="00C36700" w:rsidRPr="006A7093" w:rsidRDefault="00C36700" w:rsidP="00BC6645">
      <w:pPr>
        <w:autoSpaceDE w:val="0"/>
        <w:autoSpaceDN w:val="0"/>
        <w:adjustRightInd w:val="0"/>
      </w:pPr>
      <w:r w:rsidRPr="006A7093">
        <w:t xml:space="preserve">*Séries deflacionadas pelo IGP-DI, </w:t>
      </w:r>
      <w:r>
        <w:t>dezembro de 2011</w:t>
      </w:r>
      <w:r w:rsidRPr="006A7093">
        <w:t xml:space="preserve"> = 100.</w:t>
      </w:r>
    </w:p>
    <w:p w14:paraId="60866DFB" w14:textId="77777777" w:rsidR="00C36700" w:rsidRDefault="00C36700" w:rsidP="00BC6645">
      <w:pPr>
        <w:autoSpaceDE w:val="0"/>
        <w:autoSpaceDN w:val="0"/>
        <w:adjustRightInd w:val="0"/>
      </w:pPr>
      <w:r>
        <w:t xml:space="preserve">Fonte: </w:t>
      </w:r>
      <w:proofErr w:type="spellStart"/>
      <w:r>
        <w:t>USDA</w:t>
      </w:r>
      <w:proofErr w:type="spellEnd"/>
      <w:r>
        <w:t>/</w:t>
      </w:r>
      <w:proofErr w:type="spellStart"/>
      <w:r>
        <w:t>FAS</w:t>
      </w:r>
      <w:proofErr w:type="spellEnd"/>
      <w:r>
        <w:t xml:space="preserve"> (2012), </w:t>
      </w:r>
      <w:proofErr w:type="spellStart"/>
      <w:r>
        <w:t>IEA</w:t>
      </w:r>
      <w:proofErr w:type="spellEnd"/>
      <w:r>
        <w:t xml:space="preserve">/SP (2012) e </w:t>
      </w:r>
      <w:proofErr w:type="spellStart"/>
      <w:r>
        <w:t>Ipeadata</w:t>
      </w:r>
      <w:proofErr w:type="spellEnd"/>
      <w:r>
        <w:t xml:space="preserve"> (2012</w:t>
      </w:r>
      <w:r w:rsidRPr="00094D3F">
        <w:t>).</w:t>
      </w:r>
    </w:p>
    <w:p w14:paraId="20361A5D" w14:textId="77777777" w:rsidR="00C36700" w:rsidRDefault="00C36700" w:rsidP="00BC6645">
      <w:pPr>
        <w:ind w:firstLine="432"/>
        <w:jc w:val="both"/>
      </w:pPr>
      <w:r w:rsidRPr="00246E9E">
        <w:t xml:space="preserve">Pelos dados apresentados na Tabela 2, percebe-se que, em média, o número de páginas da Folha de São Paulo sobre crises de segurança do alimento é </w:t>
      </w:r>
      <w:r w:rsidR="00045F65">
        <w:t>baixo, algo entre 1,865 página</w:t>
      </w:r>
      <w:r w:rsidR="00D038BE">
        <w:t>s</w:t>
      </w:r>
      <w:r w:rsidRPr="00246E9E">
        <w:t>/ano para</w:t>
      </w:r>
      <w:r w:rsidR="00045F65">
        <w:t xml:space="preserve"> a carne bovina e 1,027 página</w:t>
      </w:r>
      <w:r w:rsidR="00D038BE">
        <w:t>s</w:t>
      </w:r>
      <w:r w:rsidR="00045F65">
        <w:t>/a</w:t>
      </w:r>
      <w:r w:rsidRPr="00246E9E">
        <w:t>no para a carne de frango.</w:t>
      </w:r>
    </w:p>
    <w:p w14:paraId="569E3601" w14:textId="77777777" w:rsidR="00FE7FDA" w:rsidRPr="00246E9E" w:rsidRDefault="00FE7FDA" w:rsidP="00BC6645">
      <w:pPr>
        <w:ind w:firstLine="432"/>
        <w:jc w:val="both"/>
      </w:pPr>
    </w:p>
    <w:p w14:paraId="0E8AA480" w14:textId="77777777" w:rsidR="0066203F" w:rsidRPr="00702AD3" w:rsidRDefault="0066203F" w:rsidP="00BC6645">
      <w:pPr>
        <w:numPr>
          <w:ilvl w:val="0"/>
          <w:numId w:val="2"/>
        </w:numPr>
        <w:jc w:val="both"/>
        <w:rPr>
          <w:b/>
        </w:rPr>
      </w:pPr>
      <w:r w:rsidRPr="00702AD3">
        <w:rPr>
          <w:b/>
        </w:rPr>
        <w:t>Modelo Econométrico das Demandas por Carnes no Brasil com a Incorporação de Índices de Segurança do Alimento</w:t>
      </w:r>
    </w:p>
    <w:p w14:paraId="77D577B2" w14:textId="77777777" w:rsidR="00FE7FDA" w:rsidRDefault="009754E2" w:rsidP="000A73A2">
      <w:pPr>
        <w:jc w:val="both"/>
      </w:pPr>
      <w:r>
        <w:t>A especificação base</w:t>
      </w:r>
      <w:r w:rsidR="00FE7FDA">
        <w:t xml:space="preserve"> dos modelos econométricos é a da</w:t>
      </w:r>
      <w:r w:rsidR="00FE7FDA" w:rsidRPr="00371777">
        <w:t xml:space="preserve"> </w:t>
      </w:r>
      <w:r w:rsidR="00FE7FDA" w:rsidRPr="00371777">
        <w:rPr>
          <w:i/>
        </w:rPr>
        <w:t>i</w:t>
      </w:r>
      <w:r w:rsidR="00FE7FDA" w:rsidRPr="00371777">
        <w:t xml:space="preserve">-ésima equação </w:t>
      </w:r>
      <w:r w:rsidR="00FE7FDA">
        <w:t xml:space="preserve">da parcela do gasto </w:t>
      </w:r>
      <w:proofErr w:type="spellStart"/>
      <w:r w:rsidR="00FE7FDA">
        <w:t>Marshalliana</w:t>
      </w:r>
      <w:proofErr w:type="spellEnd"/>
      <w:r w:rsidR="00FE7FDA">
        <w:t xml:space="preserve"> ou não compensado </w:t>
      </w:r>
      <w:r w:rsidR="00FE7FDA" w:rsidRPr="00911A5C">
        <w:t>d</w:t>
      </w:r>
      <w:r w:rsidR="00FE7FDA">
        <w:t xml:space="preserve">o sistema AIDS </w:t>
      </w:r>
      <w:r>
        <w:t>dado pela equação (1)</w:t>
      </w:r>
      <w:r w:rsidR="00FE7FDA">
        <w:t>.</w:t>
      </w:r>
    </w:p>
    <w:p w14:paraId="535DE684" w14:textId="77777777" w:rsidR="00FE7FDA" w:rsidRDefault="00FE7FDA" w:rsidP="00BC6645">
      <w:pPr>
        <w:jc w:val="both"/>
      </w:pPr>
      <w:r w:rsidRPr="003F3AE5">
        <w:rPr>
          <w:position w:val="-18"/>
        </w:rPr>
        <w:object w:dxaOrig="4340" w:dyaOrig="480" w14:anchorId="13134383">
          <v:shape id="_x0000_i1026" type="#_x0000_t75" style="width:217pt;height:23.65pt" o:ole="">
            <v:imagedata r:id="rId21" o:title=""/>
          </v:shape>
          <o:OLEObject Type="Embed" ProgID="Equation.DSMT4" ShapeID="_x0000_i1026" DrawAspect="Content" ObjectID="_1341397206" r:id="rId22"/>
        </w:object>
      </w:r>
      <w:r w:rsidRPr="003E40ED">
        <w:tab/>
        <w:t xml:space="preserve"> </w:t>
      </w:r>
      <w:r w:rsidRPr="00371777">
        <w:rPr>
          <w:position w:val="-6"/>
        </w:rPr>
        <w:object w:dxaOrig="440" w:dyaOrig="279" w14:anchorId="6511A8FE">
          <v:shape id="_x0000_i1027" type="#_x0000_t75" style="width:21.65pt;height:14.6pt" o:ole="">
            <v:imagedata r:id="rId23" o:title=""/>
          </v:shape>
          <o:OLEObject Type="Embed" ProgID="Equation.DSMT4" ShapeID="_x0000_i1027" DrawAspect="Content" ObjectID="_1341397207" r:id="rId24"/>
        </w:object>
      </w:r>
      <w:r w:rsidRPr="003E40ED">
        <w:tab/>
      </w:r>
      <w:r w:rsidRPr="003E40ED">
        <w:tab/>
        <w:t xml:space="preserve">                          </w:t>
      </w:r>
      <w:r>
        <w:t xml:space="preserve">         </w:t>
      </w:r>
      <w:r w:rsidR="00B803AC">
        <w:t xml:space="preserve">     </w:t>
      </w:r>
      <w:r>
        <w:t>(1</w:t>
      </w:r>
      <w:r w:rsidRPr="003E40ED">
        <w:t>)</w:t>
      </w:r>
      <w:r>
        <w:t xml:space="preserve"> </w:t>
      </w:r>
      <w:r w:rsidR="008821C5">
        <w:t>onde</w:t>
      </w:r>
      <w:r>
        <w:t xml:space="preserve">, no tempo </w:t>
      </w:r>
      <w:r w:rsidRPr="002C798A">
        <w:rPr>
          <w:i/>
        </w:rPr>
        <w:t>t</w:t>
      </w:r>
      <w:r>
        <w:rPr>
          <w:i/>
        </w:rPr>
        <w:t>,</w:t>
      </w:r>
      <w:r w:rsidRPr="00FC07C0">
        <w:t xml:space="preserve"> </w:t>
      </w:r>
      <w:proofErr w:type="spellStart"/>
      <w:r w:rsidRPr="00371777">
        <w:rPr>
          <w:i/>
        </w:rPr>
        <w:t>w</w:t>
      </w:r>
      <w:r w:rsidRPr="00371777">
        <w:rPr>
          <w:i/>
          <w:vertAlign w:val="subscript"/>
        </w:rPr>
        <w:t>it</w:t>
      </w:r>
      <w:proofErr w:type="spellEnd"/>
      <w:r>
        <w:rPr>
          <w:i/>
          <w:vertAlign w:val="subscript"/>
        </w:rPr>
        <w:t xml:space="preserve"> </w:t>
      </w:r>
      <w:r w:rsidRPr="00371777">
        <w:t>=</w:t>
      </w:r>
      <w:r>
        <w:t xml:space="preserve"> </w:t>
      </w:r>
      <w:proofErr w:type="spellStart"/>
      <w:r w:rsidRPr="00371777">
        <w:rPr>
          <w:i/>
        </w:rPr>
        <w:t>p</w:t>
      </w:r>
      <w:r w:rsidRPr="00371777">
        <w:rPr>
          <w:i/>
          <w:vertAlign w:val="subscript"/>
        </w:rPr>
        <w:t>it</w:t>
      </w:r>
      <w:r w:rsidRPr="00371777">
        <w:rPr>
          <w:i/>
        </w:rPr>
        <w:t>q</w:t>
      </w:r>
      <w:r w:rsidRPr="00371777">
        <w:rPr>
          <w:i/>
          <w:vertAlign w:val="subscript"/>
        </w:rPr>
        <w:t>it</w:t>
      </w:r>
      <w:proofErr w:type="spellEnd"/>
      <w:r w:rsidRPr="00371777">
        <w:t>/</w:t>
      </w:r>
      <w:proofErr w:type="spellStart"/>
      <w:r w:rsidRPr="00371777">
        <w:rPr>
          <w:i/>
        </w:rPr>
        <w:t>x</w:t>
      </w:r>
      <w:r w:rsidRPr="00371777">
        <w:rPr>
          <w:i/>
          <w:vertAlign w:val="subscript"/>
        </w:rPr>
        <w:t>it</w:t>
      </w:r>
      <w:proofErr w:type="spellEnd"/>
      <w:r w:rsidRPr="00371777">
        <w:t xml:space="preserve"> </w:t>
      </w:r>
      <w:r>
        <w:t>é</w:t>
      </w:r>
      <w:r w:rsidRPr="00371777">
        <w:t xml:space="preserve"> </w:t>
      </w:r>
      <w:r>
        <w:t>a parcela do gasto com o</w:t>
      </w:r>
      <w:r w:rsidRPr="00C11D44">
        <w:rPr>
          <w:i/>
        </w:rPr>
        <w:t xml:space="preserve"> </w:t>
      </w:r>
      <w:r w:rsidRPr="00371777">
        <w:rPr>
          <w:i/>
        </w:rPr>
        <w:t>i</w:t>
      </w:r>
      <w:r w:rsidRPr="00371777">
        <w:t>-</w:t>
      </w:r>
      <w:proofErr w:type="spellStart"/>
      <w:r w:rsidRPr="00371777">
        <w:t>ésimo</w:t>
      </w:r>
      <w:proofErr w:type="spellEnd"/>
      <w:r w:rsidRPr="00371777">
        <w:t xml:space="preserve"> bem</w:t>
      </w:r>
      <w:r>
        <w:t xml:space="preserve">; </w:t>
      </w:r>
      <w:proofErr w:type="spellStart"/>
      <w:r w:rsidRPr="00371777">
        <w:rPr>
          <w:i/>
        </w:rPr>
        <w:t>q</w:t>
      </w:r>
      <w:r w:rsidRPr="00371777">
        <w:rPr>
          <w:i/>
          <w:vertAlign w:val="subscript"/>
        </w:rPr>
        <w:t>it</w:t>
      </w:r>
      <w:proofErr w:type="spellEnd"/>
      <w:r w:rsidRPr="00371777">
        <w:rPr>
          <w:i/>
        </w:rPr>
        <w:t xml:space="preserve"> </w:t>
      </w:r>
      <w:r>
        <w:t xml:space="preserve">é o consumo em kg per capita; </w:t>
      </w:r>
      <w:r w:rsidRPr="00371777">
        <w:rPr>
          <w:i/>
        </w:rPr>
        <w:t>p</w:t>
      </w:r>
      <w:r>
        <w:rPr>
          <w:i/>
          <w:vertAlign w:val="subscript"/>
        </w:rPr>
        <w:t>i</w:t>
      </w:r>
      <w:r w:rsidRPr="00371777">
        <w:rPr>
          <w:i/>
          <w:vertAlign w:val="subscript"/>
        </w:rPr>
        <w:t>t</w:t>
      </w:r>
      <w:r w:rsidRPr="00371777">
        <w:rPr>
          <w:i/>
        </w:rPr>
        <w:t xml:space="preserve"> </w:t>
      </w:r>
      <w:r>
        <w:t xml:space="preserve">e </w:t>
      </w:r>
      <w:proofErr w:type="spellStart"/>
      <w:r w:rsidRPr="00FC07C0">
        <w:rPr>
          <w:i/>
        </w:rPr>
        <w:t>p</w:t>
      </w:r>
      <w:r w:rsidRPr="00FC07C0">
        <w:rPr>
          <w:i/>
          <w:vertAlign w:val="subscript"/>
        </w:rPr>
        <w:t>j</w:t>
      </w:r>
      <w:r>
        <w:rPr>
          <w:i/>
          <w:vertAlign w:val="subscript"/>
        </w:rPr>
        <w:t>t</w:t>
      </w:r>
      <w:proofErr w:type="spellEnd"/>
      <w:r w:rsidRPr="00FC07C0">
        <w:t xml:space="preserve"> </w:t>
      </w:r>
      <w:r>
        <w:t xml:space="preserve">são, respectivamente, </w:t>
      </w:r>
      <w:r w:rsidRPr="00371777">
        <w:t>o preço</w:t>
      </w:r>
      <w:r>
        <w:t xml:space="preserve"> do </w:t>
      </w:r>
      <w:r w:rsidRPr="0075343B">
        <w:rPr>
          <w:i/>
        </w:rPr>
        <w:t>i</w:t>
      </w:r>
      <w:r>
        <w:t>-</w:t>
      </w:r>
      <w:proofErr w:type="spellStart"/>
      <w:r>
        <w:t>ésimo</w:t>
      </w:r>
      <w:proofErr w:type="spellEnd"/>
      <w:r>
        <w:t xml:space="preserve"> e do </w:t>
      </w:r>
      <w:r>
        <w:rPr>
          <w:i/>
        </w:rPr>
        <w:t>j</w:t>
      </w:r>
      <w:r>
        <w:t>-</w:t>
      </w:r>
      <w:proofErr w:type="spellStart"/>
      <w:r>
        <w:t>ésimo</w:t>
      </w:r>
      <w:proofErr w:type="spellEnd"/>
      <w:r>
        <w:t xml:space="preserve"> bem;</w:t>
      </w:r>
      <w:r w:rsidRPr="003F3AE5">
        <w:rPr>
          <w:position w:val="-16"/>
        </w:rPr>
        <w:object w:dxaOrig="1380" w:dyaOrig="460" w14:anchorId="718CFF26">
          <v:shape id="_x0000_i1028" type="#_x0000_t75" style="width:69.5pt;height:22.65pt" o:ole="">
            <v:imagedata r:id="rId25" o:title=""/>
          </v:shape>
          <o:OLEObject Type="Embed" ProgID="Equation.DSMT4" ShapeID="_x0000_i1028" DrawAspect="Content" ObjectID="_1341397208" r:id="rId26"/>
        </w:object>
      </w:r>
      <w:r w:rsidRPr="00704A8F">
        <w:t>é</w:t>
      </w:r>
      <w:r w:rsidRPr="00371777">
        <w:t xml:space="preserve"> o </w:t>
      </w:r>
      <w:r>
        <w:t>gasto</w:t>
      </w:r>
      <w:r>
        <w:rPr>
          <w:rStyle w:val="FootnoteReference"/>
        </w:rPr>
        <w:footnoteReference w:id="6"/>
      </w:r>
      <w:r w:rsidRPr="00371777">
        <w:t xml:space="preserve"> </w:t>
      </w:r>
      <w:r>
        <w:t xml:space="preserve">per capita </w:t>
      </w:r>
      <w:r w:rsidRPr="00371777">
        <w:t xml:space="preserve">com os </w:t>
      </w:r>
      <w:r w:rsidRPr="00371777">
        <w:rPr>
          <w:i/>
        </w:rPr>
        <w:t>N</w:t>
      </w:r>
      <w:r>
        <w:t xml:space="preserve"> bens; </w:t>
      </w:r>
      <w:proofErr w:type="spellStart"/>
      <w:r w:rsidRPr="00371777">
        <w:rPr>
          <w:i/>
        </w:rPr>
        <w:t>v</w:t>
      </w:r>
      <w:r w:rsidRPr="00371777">
        <w:rPr>
          <w:i/>
          <w:vertAlign w:val="subscript"/>
        </w:rPr>
        <w:t>it</w:t>
      </w:r>
      <w:proofErr w:type="spellEnd"/>
      <w:r w:rsidRPr="00371777">
        <w:t xml:space="preserve"> </w:t>
      </w:r>
      <w:r>
        <w:t xml:space="preserve">é o termo de erro da </w:t>
      </w:r>
      <w:r w:rsidRPr="00371777">
        <w:rPr>
          <w:i/>
        </w:rPr>
        <w:t>i</w:t>
      </w:r>
      <w:r>
        <w:t>-ésima</w:t>
      </w:r>
      <w:r w:rsidRPr="00371777">
        <w:t xml:space="preserve"> </w:t>
      </w:r>
      <w:r>
        <w:t xml:space="preserve">equação; e </w:t>
      </w:r>
      <w:proofErr w:type="spellStart"/>
      <w:r>
        <w:t>ln</w:t>
      </w:r>
      <w:proofErr w:type="spellEnd"/>
      <w:r>
        <w:t xml:space="preserve"> </w:t>
      </w:r>
      <w:proofErr w:type="spellStart"/>
      <w:r w:rsidRPr="00CB5BB9">
        <w:rPr>
          <w:i/>
        </w:rPr>
        <w:t>P</w:t>
      </w:r>
      <w:r w:rsidRPr="0075343B">
        <w:rPr>
          <w:i/>
          <w:vertAlign w:val="subscript"/>
        </w:rPr>
        <w:t>t</w:t>
      </w:r>
      <w:proofErr w:type="spellEnd"/>
      <w:r>
        <w:t xml:space="preserve"> é o</w:t>
      </w:r>
      <w:r w:rsidRPr="00FC07C0">
        <w:t xml:space="preserve"> índice de preços </w:t>
      </w:r>
      <w:r>
        <w:t>translog, tal que:</w:t>
      </w:r>
    </w:p>
    <w:p w14:paraId="546143B9" w14:textId="77777777" w:rsidR="00FE7FDA" w:rsidRDefault="00FE7FDA" w:rsidP="00BC6645">
      <w:pPr>
        <w:jc w:val="both"/>
      </w:pPr>
      <w:r w:rsidRPr="0012707C">
        <w:rPr>
          <w:position w:val="-24"/>
        </w:rPr>
        <w:object w:dxaOrig="4920" w:dyaOrig="620" w14:anchorId="49253DB4">
          <v:shape id="_x0000_i1029" type="#_x0000_t75" style="width:244.7pt;height:33.25pt" o:ole="">
            <v:imagedata r:id="rId27" o:title=""/>
          </v:shape>
          <o:OLEObject Type="Embed" ProgID="Equation.DSMT4" ShapeID="_x0000_i1029" DrawAspect="Content" ObjectID="_1341397209" r:id="rId28"/>
        </w:object>
      </w:r>
      <w:r w:rsidRPr="00783DD6">
        <w:rPr>
          <w:position w:val="-10"/>
        </w:rPr>
        <w:t xml:space="preserve">                                                             </w:t>
      </w:r>
      <w:r w:rsidR="00B803AC">
        <w:rPr>
          <w:position w:val="-10"/>
        </w:rPr>
        <w:t xml:space="preserve">   </w:t>
      </w:r>
      <w:r>
        <w:t>(2</w:t>
      </w:r>
      <w:r w:rsidRPr="008839C1">
        <w:t>)</w:t>
      </w:r>
      <w:r>
        <w:t xml:space="preserve"> </w:t>
      </w:r>
    </w:p>
    <w:p w14:paraId="326FEE05" w14:textId="77777777" w:rsidR="00FE7FDA" w:rsidRPr="00E83985" w:rsidRDefault="00FE7FDA" w:rsidP="00BC6645">
      <w:pPr>
        <w:ind w:firstLine="432"/>
        <w:jc w:val="both"/>
      </w:pPr>
      <w:r w:rsidRPr="0015656B">
        <w:t xml:space="preserve">Schroeder et al. </w:t>
      </w:r>
      <w:r w:rsidRPr="001005B9">
        <w:t>(2000) sugere</w:t>
      </w:r>
      <w:r>
        <w:t>m</w:t>
      </w:r>
      <w:r w:rsidRPr="001005B9">
        <w:t xml:space="preserve"> </w:t>
      </w:r>
      <w:r>
        <w:t>que outras variáveis explicativas, além dos preços e gasto</w:t>
      </w:r>
      <w:r w:rsidR="00B76C90">
        <w:t xml:space="preserve"> devem ser i</w:t>
      </w:r>
      <w:r>
        <w:t>ncorporadas aos modelos</w:t>
      </w:r>
      <w:r w:rsidR="00B76C90">
        <w:t xml:space="preserve"> de demanda, pois </w:t>
      </w:r>
      <w:r w:rsidR="00B76C90" w:rsidRPr="001005B9">
        <w:t>a pesquisa recente sobre a demanda por carne</w:t>
      </w:r>
      <w:r w:rsidR="00B76C90">
        <w:t xml:space="preserve">s </w:t>
      </w:r>
      <w:r w:rsidR="00B76C90" w:rsidRPr="001005B9">
        <w:t>nos EUA in</w:t>
      </w:r>
      <w:r w:rsidR="00B76C90">
        <w:t>dica conclusivamente neste sentido</w:t>
      </w:r>
      <w:r>
        <w:t xml:space="preserve">. Assim, </w:t>
      </w:r>
      <w:r w:rsidR="00B76C90" w:rsidRPr="0015656B">
        <w:t xml:space="preserve">Schroeder et al. </w:t>
      </w:r>
      <w:r w:rsidR="00B76C90" w:rsidRPr="001005B9">
        <w:t xml:space="preserve">(2000) </w:t>
      </w:r>
      <w:r>
        <w:t xml:space="preserve">sugerem que </w:t>
      </w:r>
      <w:r w:rsidR="00B76C90">
        <w:t>sejam</w:t>
      </w:r>
      <w:r>
        <w:t xml:space="preserve"> incluídas variáveis capazes de captar o nível de informação dos consumidores sobre aspectos de saúde relacionados à alimentação, a conveniência dos produtos, a qualidade do alimento, o grau de promoção/propaganda dos produtos e sobre características demográficas dos consumidores. Diante da indisponibilidade imediata de variáveis como estas </w:t>
      </w:r>
      <w:r w:rsidRPr="002D7F06">
        <w:t>no</w:t>
      </w:r>
      <w:r>
        <w:t xml:space="preserve"> Brasil e objetivando minimizar os problemas decorrentes da omissão de dinâmica nos modelos</w:t>
      </w:r>
      <w:r w:rsidRPr="00B27A6E">
        <w:t xml:space="preserve"> </w:t>
      </w:r>
      <w:r>
        <w:t>e da não consideração de não estacionaridades determinísticas nas séries</w:t>
      </w:r>
      <w:r w:rsidRPr="00B27A6E">
        <w:t xml:space="preserve">, </w:t>
      </w:r>
      <w:r>
        <w:t xml:space="preserve">adotou-se a estratégia seguida por </w:t>
      </w:r>
      <w:proofErr w:type="spellStart"/>
      <w:r w:rsidRPr="00B27A6E">
        <w:t>Piggott</w:t>
      </w:r>
      <w:proofErr w:type="spellEnd"/>
      <w:r w:rsidRPr="00B27A6E">
        <w:t xml:space="preserve"> et al. </w:t>
      </w:r>
      <w:r w:rsidRPr="00E83985">
        <w:t>(1996) e Fisher et al.(2001)</w:t>
      </w:r>
      <w:r w:rsidR="008821C5">
        <w:t>, incluindo-se</w:t>
      </w:r>
      <w:r>
        <w:t xml:space="preserve"> d</w:t>
      </w:r>
      <w:r w:rsidRPr="00E83985">
        <w:t>eslocadores da deman</w:t>
      </w:r>
      <w:r>
        <w:t>da</w:t>
      </w:r>
      <w:r w:rsidRPr="00E83985">
        <w:t xml:space="preserve"> </w:t>
      </w:r>
      <w:r>
        <w:t>via modifica</w:t>
      </w:r>
      <w:r w:rsidR="000D5669">
        <w:t xml:space="preserve">dores </w:t>
      </w:r>
      <w:r>
        <w:t>dos interceptos das equações (1),</w:t>
      </w:r>
      <w:r w:rsidRPr="00E83985">
        <w:t xml:space="preserve"> </w:t>
      </w:r>
      <w:r>
        <w:t>como definido em (3).</w:t>
      </w:r>
    </w:p>
    <w:p w14:paraId="0B0AF92E" w14:textId="77777777" w:rsidR="00FE7FDA" w:rsidRDefault="00FE7FDA" w:rsidP="00BC6645">
      <w:pPr>
        <w:jc w:val="both"/>
      </w:pPr>
      <w:r w:rsidRPr="008C57BC">
        <w:rPr>
          <w:position w:val="-12"/>
        </w:rPr>
        <w:object w:dxaOrig="520" w:dyaOrig="360" w14:anchorId="34BD079F">
          <v:shape id="_x0000_i1030" type="#_x0000_t75" style="width:24.65pt;height:18.65pt" o:ole="">
            <v:imagedata r:id="rId29" o:title=""/>
          </v:shape>
          <o:OLEObject Type="Embed" ProgID="Equation.DSMT4" ShapeID="_x0000_i1030" DrawAspect="Content" ObjectID="_1341397210" r:id="rId30"/>
        </w:object>
      </w:r>
      <w:r>
        <w:t xml:space="preserve"> </w:t>
      </w:r>
      <w:r w:rsidRPr="0015656B">
        <w:rPr>
          <w:i/>
        </w:rPr>
        <w:t>a</w:t>
      </w:r>
      <w:r w:rsidRPr="0015656B">
        <w:rPr>
          <w:vertAlign w:val="subscript"/>
        </w:rPr>
        <w:t>i0</w:t>
      </w:r>
      <w:r>
        <w:rPr>
          <w:vertAlign w:val="subscript"/>
        </w:rPr>
        <w:t xml:space="preserve"> </w:t>
      </w:r>
      <w:r w:rsidRPr="0015656B">
        <w:t>+</w:t>
      </w:r>
      <w:r>
        <w:t xml:space="preserve"> </w:t>
      </w:r>
      <w:r w:rsidRPr="00CC463B">
        <w:rPr>
          <w:i/>
        </w:rPr>
        <w:sym w:font="Symbol" w:char="F074"/>
      </w:r>
      <w:proofErr w:type="spellStart"/>
      <w:r w:rsidRPr="0015656B">
        <w:rPr>
          <w:i/>
          <w:vertAlign w:val="subscript"/>
        </w:rPr>
        <w:t>i</w:t>
      </w:r>
      <w:r w:rsidRPr="00FB15AD">
        <w:rPr>
          <w:i/>
        </w:rPr>
        <w:t>T</w:t>
      </w:r>
      <w:r w:rsidRPr="0015656B">
        <w:rPr>
          <w:i/>
          <w:vertAlign w:val="subscript"/>
        </w:rPr>
        <w:t>t</w:t>
      </w:r>
      <w:proofErr w:type="spellEnd"/>
      <w:r w:rsidRPr="0015656B">
        <w:t xml:space="preserve"> +</w:t>
      </w:r>
      <w:r w:rsidRPr="00790B72">
        <w:rPr>
          <w:i/>
        </w:rPr>
        <w:sym w:font="Symbol" w:char="F071"/>
      </w:r>
      <w:proofErr w:type="spellStart"/>
      <w:r w:rsidRPr="0015656B">
        <w:rPr>
          <w:i/>
          <w:vertAlign w:val="subscript"/>
        </w:rPr>
        <w:t>i</w:t>
      </w:r>
      <w:r w:rsidRPr="00FB15AD">
        <w:rPr>
          <w:i/>
        </w:rPr>
        <w:t>D</w:t>
      </w:r>
      <w:r w:rsidR="00577216" w:rsidRPr="0015656B">
        <w:rPr>
          <w:i/>
          <w:vertAlign w:val="subscript"/>
        </w:rPr>
        <w:t>t</w:t>
      </w:r>
      <w:proofErr w:type="spellEnd"/>
      <w:r w:rsidR="00577216" w:rsidRPr="0015656B">
        <w:t xml:space="preserve"> </w:t>
      </w:r>
      <w:r w:rsidRPr="00293DF4">
        <w:rPr>
          <w:position w:val="-16"/>
        </w:rPr>
        <w:object w:dxaOrig="4459" w:dyaOrig="460" w14:anchorId="52DA2172">
          <v:shape id="_x0000_i1031" type="#_x0000_t75" style="width:223.05pt;height:22.65pt" o:ole="">
            <v:imagedata r:id="rId31" o:title=""/>
          </v:shape>
          <o:OLEObject Type="Embed" ProgID="Equation.DSMT4" ShapeID="_x0000_i1031" DrawAspect="Content" ObjectID="_1341397211" r:id="rId32"/>
        </w:object>
      </w:r>
      <w:r>
        <w:tab/>
        <w:t xml:space="preserve">                        </w:t>
      </w:r>
      <w:r w:rsidR="00B803AC">
        <w:t xml:space="preserve">    </w:t>
      </w:r>
      <w:r>
        <w:t>(3</w:t>
      </w:r>
      <w:r w:rsidRPr="0015656B">
        <w:t>)</w:t>
      </w:r>
      <w:r>
        <w:t xml:space="preserve"> </w:t>
      </w:r>
    </w:p>
    <w:p w14:paraId="3F061880" w14:textId="77777777" w:rsidR="00FE7FDA" w:rsidRPr="00E83985" w:rsidRDefault="008821C5" w:rsidP="00BC6645">
      <w:pPr>
        <w:jc w:val="both"/>
      </w:pPr>
      <w:r>
        <w:lastRenderedPageBreak/>
        <w:t>onde</w:t>
      </w:r>
      <w:r w:rsidR="00FE7FDA">
        <w:t xml:space="preserve">, no tempo </w:t>
      </w:r>
      <w:r w:rsidR="00FE7FDA" w:rsidRPr="002C798A">
        <w:rPr>
          <w:i/>
        </w:rPr>
        <w:t>t</w:t>
      </w:r>
      <w:r w:rsidR="00FE7FDA">
        <w:t>,</w:t>
      </w:r>
      <w:r w:rsidR="00FE7FDA" w:rsidRPr="00FC07C0">
        <w:t xml:space="preserve"> </w:t>
      </w:r>
      <w:r w:rsidR="00FE7FDA" w:rsidRPr="000D3C12">
        <w:rPr>
          <w:position w:val="-12"/>
        </w:rPr>
        <w:object w:dxaOrig="300" w:dyaOrig="360" w14:anchorId="15420595">
          <v:shape id="_x0000_i1032" type="#_x0000_t75" style="width:16.1pt;height:18.65pt" o:ole="">
            <v:imagedata r:id="rId33" o:title=""/>
          </v:shape>
          <o:OLEObject Type="Embed" ProgID="Equation.DSMT4" ShapeID="_x0000_i1032" DrawAspect="Content" ObjectID="_1341397212" r:id="rId34"/>
        </w:object>
      </w:r>
      <w:r w:rsidR="00936404">
        <w:t xml:space="preserve">representa </w:t>
      </w:r>
      <w:r w:rsidR="00FE7FDA">
        <w:t>o</w:t>
      </w:r>
      <w:r>
        <w:t>s</w:t>
      </w:r>
      <w:r w:rsidR="00FE7FDA">
        <w:t xml:space="preserve"> intercepto</w:t>
      </w:r>
      <w:r>
        <w:t>s</w:t>
      </w:r>
      <w:r w:rsidR="00FE7FDA">
        <w:t xml:space="preserve"> das equações (1</w:t>
      </w:r>
      <w:r w:rsidR="00FE7FDA" w:rsidRPr="000D3C12">
        <w:t xml:space="preserve">) </w:t>
      </w:r>
      <w:r w:rsidR="00FE7FDA">
        <w:t xml:space="preserve">e os coeficientes das variáveis </w:t>
      </w:r>
      <w:r w:rsidR="00FE7FDA" w:rsidRPr="00580270">
        <w:rPr>
          <w:position w:val="-12"/>
        </w:rPr>
        <w:object w:dxaOrig="540" w:dyaOrig="360" w14:anchorId="20DCDF93">
          <v:shape id="_x0000_i1033" type="#_x0000_t75" style="width:27.2pt;height:18.65pt" o:ole="">
            <v:imagedata r:id="rId35" o:title=""/>
          </v:shape>
          <o:OLEObject Type="Embed" ProgID="Equation.DSMT4" ShapeID="_x0000_i1033" DrawAspect="Content" ObjectID="_1341397213" r:id="rId36"/>
        </w:object>
      </w:r>
      <w:r w:rsidR="00FE7FDA" w:rsidRPr="000D3C12">
        <w:t xml:space="preserve"> </w:t>
      </w:r>
      <w:r w:rsidR="00FE7FDA">
        <w:t>na equação (2);</w:t>
      </w:r>
      <w:r w:rsidR="00FE7FDA" w:rsidRPr="00783DD6">
        <w:t xml:space="preserve"> </w:t>
      </w:r>
      <w:r w:rsidR="00B76C90" w:rsidRPr="0015656B">
        <w:rPr>
          <w:i/>
        </w:rPr>
        <w:t>a</w:t>
      </w:r>
      <w:r w:rsidR="00B76C90" w:rsidRPr="0015656B">
        <w:rPr>
          <w:vertAlign w:val="subscript"/>
        </w:rPr>
        <w:t>i0</w:t>
      </w:r>
      <w:r w:rsidR="00936404" w:rsidRPr="00936404">
        <w:t xml:space="preserve"> é</w:t>
      </w:r>
      <w:r w:rsidR="00936404">
        <w:rPr>
          <w:vertAlign w:val="subscript"/>
        </w:rPr>
        <w:t xml:space="preserve"> </w:t>
      </w:r>
      <w:r w:rsidR="00936404">
        <w:t xml:space="preserve">o </w:t>
      </w:r>
      <w:proofErr w:type="spellStart"/>
      <w:r w:rsidR="00936404">
        <w:t>intercepco</w:t>
      </w:r>
      <w:proofErr w:type="spellEnd"/>
      <w:r w:rsidR="00936404">
        <w:t xml:space="preserve"> da equação (3); </w:t>
      </w:r>
      <w:proofErr w:type="spellStart"/>
      <w:r w:rsidR="00FE7FDA" w:rsidRPr="00FB15AD">
        <w:rPr>
          <w:i/>
        </w:rPr>
        <w:t>T</w:t>
      </w:r>
      <w:r w:rsidR="00FE7FDA" w:rsidRPr="00E83985">
        <w:rPr>
          <w:i/>
          <w:vertAlign w:val="subscript"/>
        </w:rPr>
        <w:t>t</w:t>
      </w:r>
      <w:proofErr w:type="spellEnd"/>
      <w:r w:rsidR="00FE7FDA" w:rsidRPr="00E83985">
        <w:t xml:space="preserve"> é a variável tendência</w:t>
      </w:r>
      <w:r w:rsidR="00FE7FDA">
        <w:rPr>
          <w:rStyle w:val="FootnoteReference"/>
        </w:rPr>
        <w:footnoteReference w:id="7"/>
      </w:r>
      <w:r w:rsidR="00FE7FDA" w:rsidRPr="00E83985">
        <w:t xml:space="preserve"> </w:t>
      </w:r>
      <w:r w:rsidR="00FE7FDA">
        <w:t xml:space="preserve">com </w:t>
      </w:r>
      <w:r w:rsidR="00FE7FDA" w:rsidRPr="00E83985">
        <w:t xml:space="preserve">valor um </w:t>
      </w:r>
      <w:r w:rsidR="00FE7FDA">
        <w:t>n</w:t>
      </w:r>
      <w:r w:rsidR="00FE7FDA" w:rsidRPr="00E83985">
        <w:t xml:space="preserve">o ano </w:t>
      </w:r>
      <w:r w:rsidR="00FE7FDA">
        <w:t>1975;</w:t>
      </w:r>
      <w:r w:rsidR="00FE7FDA" w:rsidRPr="00E83985">
        <w:t xml:space="preserve"> </w:t>
      </w:r>
      <w:r w:rsidR="00FE7FDA" w:rsidRPr="00FB15AD">
        <w:rPr>
          <w:i/>
        </w:rPr>
        <w:t>D</w:t>
      </w:r>
      <w:r w:rsidR="00FE7FDA" w:rsidRPr="00E83985">
        <w:t xml:space="preserve"> é uma variável </w:t>
      </w:r>
      <w:r w:rsidR="00FE7FDA">
        <w:t xml:space="preserve">binária que recebe o </w:t>
      </w:r>
      <w:r w:rsidR="00FE7FDA" w:rsidRPr="00E83985">
        <w:t xml:space="preserve">valor zero </w:t>
      </w:r>
      <w:r w:rsidR="00FE7FDA">
        <w:t>nos anos de 1975</w:t>
      </w:r>
      <w:r w:rsidR="00FE7FDA" w:rsidRPr="00E83985">
        <w:t xml:space="preserve"> </w:t>
      </w:r>
      <w:r w:rsidR="00FE7FDA">
        <w:t>a</w:t>
      </w:r>
      <w:r w:rsidR="00FE7FDA" w:rsidRPr="00E83985">
        <w:t xml:space="preserve"> 1993 </w:t>
      </w:r>
      <w:r w:rsidR="00FE7FDA">
        <w:t>e</w:t>
      </w:r>
      <w:r w:rsidR="00FE7FDA" w:rsidRPr="00E83985">
        <w:t xml:space="preserve"> um </w:t>
      </w:r>
      <w:r w:rsidR="00FE7FDA">
        <w:t xml:space="preserve">nos anos de </w:t>
      </w:r>
      <w:r w:rsidR="00FE7FDA" w:rsidRPr="00E83985">
        <w:t xml:space="preserve">1994 </w:t>
      </w:r>
      <w:r w:rsidR="00FE7FDA">
        <w:t xml:space="preserve">em diante, período pós Plano </w:t>
      </w:r>
      <w:r w:rsidR="00FE7FDA" w:rsidRPr="00E83985">
        <w:t>Real</w:t>
      </w:r>
      <w:r w:rsidR="00FE7FDA">
        <w:rPr>
          <w:rStyle w:val="FootnoteReference"/>
        </w:rPr>
        <w:footnoteReference w:id="8"/>
      </w:r>
      <w:r w:rsidR="00FE7FDA">
        <w:t xml:space="preserve">; e </w:t>
      </w:r>
      <w:r w:rsidR="00FE7FDA" w:rsidRPr="004F017F">
        <w:rPr>
          <w:position w:val="-12"/>
        </w:rPr>
        <w:object w:dxaOrig="499" w:dyaOrig="360" w14:anchorId="5479D7F4">
          <v:shape id="_x0000_i1034" type="#_x0000_t75" style="width:24.65pt;height:18.65pt" o:ole="">
            <v:imagedata r:id="rId37" o:title=""/>
          </v:shape>
          <o:OLEObject Type="Embed" ProgID="Equation.3" ShapeID="_x0000_i1034" DrawAspect="Content" ObjectID="_1341397214" r:id="rId38"/>
        </w:object>
      </w:r>
      <w:r w:rsidR="00FE7FDA">
        <w:t>,</w:t>
      </w:r>
      <w:r w:rsidR="00FE7FDA" w:rsidRPr="004F017F">
        <w:rPr>
          <w:position w:val="-12"/>
        </w:rPr>
        <w:object w:dxaOrig="580" w:dyaOrig="360" w14:anchorId="615E8567">
          <v:shape id="_x0000_i1035" type="#_x0000_t75" style="width:28.7pt;height:18.65pt" o:ole="">
            <v:imagedata r:id="rId39" o:title=""/>
          </v:shape>
          <o:OLEObject Type="Embed" ProgID="Equation.3" ShapeID="_x0000_i1035" DrawAspect="Content" ObjectID="_1341397215" r:id="rId40"/>
        </w:object>
      </w:r>
      <w:r w:rsidR="00FE7FDA">
        <w:t>e</w:t>
      </w:r>
      <w:r w:rsidR="00FE7FDA" w:rsidRPr="004F017F">
        <w:rPr>
          <w:position w:val="-12"/>
        </w:rPr>
        <w:object w:dxaOrig="580" w:dyaOrig="360" w14:anchorId="0230B17D">
          <v:shape id="_x0000_i1036" type="#_x0000_t75" style="width:28.7pt;height:18.65pt" o:ole="">
            <v:imagedata r:id="rId41" o:title=""/>
          </v:shape>
          <o:OLEObject Type="Embed" ProgID="Equation.3" ShapeID="_x0000_i1036" DrawAspect="Content" ObjectID="_1341397216" r:id="rId42"/>
        </w:object>
      </w:r>
      <w:r w:rsidR="00FE7FDA">
        <w:t>são as variáveis</w:t>
      </w:r>
      <w:r w:rsidR="00FE7FDA" w:rsidRPr="004F017F">
        <w:t xml:space="preserve"> índice de segurança do alimento</w:t>
      </w:r>
      <w:r w:rsidR="00FE7FDA" w:rsidRPr="001A1658">
        <w:t xml:space="preserve"> </w:t>
      </w:r>
      <w:r w:rsidR="00FE7FDA" w:rsidRPr="004F017F">
        <w:t xml:space="preserve">com defasagem </w:t>
      </w:r>
      <w:r w:rsidR="00FE7FDA">
        <w:t xml:space="preserve">temporal </w:t>
      </w:r>
      <w:r w:rsidR="00FE7FDA" w:rsidRPr="004F017F">
        <w:rPr>
          <w:i/>
        </w:rPr>
        <w:t>m</w:t>
      </w:r>
      <w:r w:rsidR="00FE7FDA">
        <w:t>, respectivamente,</w:t>
      </w:r>
      <w:r w:rsidR="00FE7FDA" w:rsidRPr="004F017F">
        <w:t xml:space="preserve"> para a</w:t>
      </w:r>
      <w:r w:rsidR="00FE7FDA">
        <w:t>s</w:t>
      </w:r>
      <w:r w:rsidR="00FE7FDA" w:rsidRPr="004F017F">
        <w:t xml:space="preserve"> carne</w:t>
      </w:r>
      <w:r w:rsidR="00FE7FDA">
        <w:t>s</w:t>
      </w:r>
      <w:r w:rsidR="00FE7FDA" w:rsidRPr="004F017F">
        <w:t xml:space="preserve"> bovina</w:t>
      </w:r>
      <w:r w:rsidR="00FE7FDA">
        <w:t xml:space="preserve">, </w:t>
      </w:r>
      <w:r w:rsidR="00FE7FDA" w:rsidRPr="004F017F">
        <w:t>suína</w:t>
      </w:r>
      <w:r w:rsidR="00FE7FDA">
        <w:t xml:space="preserve"> e de frango</w:t>
      </w:r>
      <w:r w:rsidR="00FE7FDA" w:rsidRPr="004F017F">
        <w:t xml:space="preserve">. Esses índices </w:t>
      </w:r>
      <w:r w:rsidR="00FE7FDA">
        <w:t>foram definidos anteriormente na seção 3 deste trabalho.</w:t>
      </w:r>
    </w:p>
    <w:p w14:paraId="67E6C894" w14:textId="77777777" w:rsidR="00FE7FDA" w:rsidRPr="006D1A94" w:rsidRDefault="00FE7FDA" w:rsidP="00BC6645">
      <w:pPr>
        <w:ind w:firstLine="432"/>
        <w:jc w:val="both"/>
      </w:pPr>
      <w:r w:rsidRPr="006D1A94">
        <w:t>Propriedades</w:t>
      </w:r>
      <w:r>
        <w:t xml:space="preserve"> advindas da teoria do consumidor são</w:t>
      </w:r>
      <w:r w:rsidRPr="006D1A94">
        <w:t xml:space="preserve"> diretamente impostas aos </w:t>
      </w:r>
      <w:r w:rsidRPr="002D7F06">
        <w:t>modelos</w:t>
      </w:r>
      <w:r w:rsidRPr="008471C5">
        <w:rPr>
          <w:b/>
        </w:rPr>
        <w:t>,</w:t>
      </w:r>
      <w:r w:rsidRPr="006D1A94">
        <w:t xml:space="preserve"> como segue. </w:t>
      </w:r>
      <w:r>
        <w:t xml:space="preserve">O fato de toda a renda do consumidor ser gasta (propriedade </w:t>
      </w:r>
      <w:proofErr w:type="spellStart"/>
      <w:r>
        <w:rPr>
          <w:i/>
        </w:rPr>
        <w:t>adding</w:t>
      </w:r>
      <w:proofErr w:type="spellEnd"/>
      <w:r>
        <w:rPr>
          <w:i/>
        </w:rPr>
        <w:t xml:space="preserve"> </w:t>
      </w:r>
      <w:proofErr w:type="spellStart"/>
      <w:r>
        <w:rPr>
          <w:i/>
        </w:rPr>
        <w:t>up</w:t>
      </w:r>
      <w:proofErr w:type="spellEnd"/>
      <w:r w:rsidRPr="00881D3E">
        <w:rPr>
          <w:i/>
        </w:rPr>
        <w:t xml:space="preserve"> </w:t>
      </w:r>
      <w:r>
        <w:t xml:space="preserve">da demanda) equivale a que as </w:t>
      </w:r>
      <w:r w:rsidRPr="006D1A94">
        <w:t xml:space="preserve">parcelas </w:t>
      </w:r>
      <w:r>
        <w:t>dos gastos</w:t>
      </w:r>
      <w:r w:rsidRPr="006D1A94">
        <w:t xml:space="preserve"> </w:t>
      </w:r>
      <w:r>
        <w:t xml:space="preserve">somem um, o que </w:t>
      </w:r>
      <w:r w:rsidRPr="006D1A94">
        <w:t>é assegurad</w:t>
      </w:r>
      <w:r>
        <w:t>o pela imposição das condições (4</w:t>
      </w:r>
      <w:r w:rsidRPr="006D1A94">
        <w:t xml:space="preserve">); </w:t>
      </w:r>
      <w:r>
        <w:t xml:space="preserve">a propriedade de ausência de ilusão monetária ou </w:t>
      </w:r>
      <w:r w:rsidRPr="006D1A94">
        <w:t xml:space="preserve">homogeneidade de grau zero </w:t>
      </w:r>
      <w:r>
        <w:t xml:space="preserve">da demanda </w:t>
      </w:r>
      <w:r w:rsidRPr="006D1A94">
        <w:t xml:space="preserve">nos preços e </w:t>
      </w:r>
      <w:r>
        <w:t>renda</w:t>
      </w:r>
      <w:r w:rsidRPr="006D1A94">
        <w:t xml:space="preserve"> é assegurad</w:t>
      </w:r>
      <w:r>
        <w:t>a</w:t>
      </w:r>
      <w:r w:rsidRPr="006D1A94">
        <w:t xml:space="preserve"> </w:t>
      </w:r>
      <w:r>
        <w:t>pelas condições (5</w:t>
      </w:r>
      <w:r w:rsidRPr="006D1A94">
        <w:t xml:space="preserve">); e </w:t>
      </w:r>
      <w:r>
        <w:t xml:space="preserve">a </w:t>
      </w:r>
      <w:r w:rsidRPr="006D1A94">
        <w:t xml:space="preserve">simetria da matriz de substituição de </w:t>
      </w:r>
      <w:proofErr w:type="spellStart"/>
      <w:r w:rsidRPr="006D1A94">
        <w:t>Slutsky</w:t>
      </w:r>
      <w:proofErr w:type="spellEnd"/>
      <w:r>
        <w:rPr>
          <w:rStyle w:val="FootnoteReference"/>
        </w:rPr>
        <w:footnoteReference w:id="9"/>
      </w:r>
      <w:r w:rsidRPr="006D1A94">
        <w:t xml:space="preserve"> é garantida</w:t>
      </w:r>
      <w:r>
        <w:t xml:space="preserve"> pelas condições (6</w:t>
      </w:r>
      <w:r w:rsidRPr="006D1A94">
        <w:t xml:space="preserve">). </w:t>
      </w:r>
    </w:p>
    <w:p w14:paraId="1BA9CD0E" w14:textId="77777777" w:rsidR="00FE7FDA" w:rsidRPr="0015656B" w:rsidRDefault="00FE7FDA" w:rsidP="00BC6645">
      <w:pPr>
        <w:jc w:val="both"/>
      </w:pPr>
      <w:r w:rsidRPr="003F3AE5">
        <w:rPr>
          <w:position w:val="-16"/>
        </w:rPr>
        <w:object w:dxaOrig="1080" w:dyaOrig="460" w14:anchorId="2115BF8F">
          <v:shape id="_x0000_i1037" type="#_x0000_t75" style="width:54.9pt;height:22.65pt" o:ole="">
            <v:imagedata r:id="rId43" o:title=""/>
          </v:shape>
          <o:OLEObject Type="Embed" ProgID="Equation.DSMT4" ShapeID="_x0000_i1037" DrawAspect="Content" ObjectID="_1341397217" r:id="rId44"/>
        </w:object>
      </w:r>
      <w:r w:rsidRPr="0015656B">
        <w:t>,</w:t>
      </w:r>
      <w:r w:rsidRPr="003F3AE5">
        <w:rPr>
          <w:position w:val="-16"/>
        </w:rPr>
        <w:object w:dxaOrig="1100" w:dyaOrig="460" w14:anchorId="5A629ECD">
          <v:shape id="_x0000_i1038" type="#_x0000_t75" style="width:54.9pt;height:22.65pt" o:ole="">
            <v:imagedata r:id="rId45" o:title=""/>
          </v:shape>
          <o:OLEObject Type="Embed" ProgID="Equation.DSMT4" ShapeID="_x0000_i1038" DrawAspect="Content" ObjectID="_1341397218" r:id="rId46"/>
        </w:object>
      </w:r>
      <w:r w:rsidRPr="0015656B">
        <w:t xml:space="preserve"> </w:t>
      </w:r>
      <w:r w:rsidRPr="003F3AE5">
        <w:rPr>
          <w:position w:val="-16"/>
        </w:rPr>
        <w:object w:dxaOrig="1100" w:dyaOrig="460" w14:anchorId="147304C1">
          <v:shape id="_x0000_i1039" type="#_x0000_t75" style="width:54.9pt;height:22.65pt" o:ole="">
            <v:imagedata r:id="rId47" o:title=""/>
          </v:shape>
          <o:OLEObject Type="Embed" ProgID="Equation.DSMT4" ShapeID="_x0000_i1039" DrawAspect="Content" ObjectID="_1341397219" r:id="rId48"/>
        </w:object>
      </w:r>
      <w:r w:rsidRPr="00293DF4">
        <w:rPr>
          <w:position w:val="-16"/>
        </w:rPr>
        <w:object w:dxaOrig="1280" w:dyaOrig="460" w14:anchorId="1B8A1145">
          <v:shape id="_x0000_i1040" type="#_x0000_t75" style="width:63.95pt;height:22.65pt" o:ole="">
            <v:imagedata r:id="rId49" o:title=""/>
          </v:shape>
          <o:OLEObject Type="Embed" ProgID="Equation.DSMT4" ShapeID="_x0000_i1040" DrawAspect="Content" ObjectID="_1341397220" r:id="rId50"/>
        </w:object>
      </w:r>
      <w:r>
        <w:t xml:space="preserve">, </w:t>
      </w:r>
      <w:r w:rsidRPr="00293DF4">
        <w:rPr>
          <w:position w:val="-16"/>
        </w:rPr>
        <w:object w:dxaOrig="1400" w:dyaOrig="460" w14:anchorId="1AC53D8A">
          <v:shape id="_x0000_i1041" type="#_x0000_t75" style="width:70pt;height:22.65pt" o:ole="">
            <v:imagedata r:id="rId51" o:title=""/>
          </v:shape>
          <o:OLEObject Type="Embed" ProgID="Equation.DSMT4" ShapeID="_x0000_i1041" DrawAspect="Content" ObjectID="_1341397221" r:id="rId52"/>
        </w:object>
      </w:r>
      <w:r>
        <w:t xml:space="preserve">, </w:t>
      </w:r>
      <w:r w:rsidRPr="00293DF4">
        <w:rPr>
          <w:position w:val="-16"/>
        </w:rPr>
        <w:object w:dxaOrig="1300" w:dyaOrig="460" w14:anchorId="1BD696D3">
          <v:shape id="_x0000_i1042" type="#_x0000_t75" style="width:64.95pt;height:22.65pt" o:ole="">
            <v:imagedata r:id="rId53" o:title=""/>
          </v:shape>
          <o:OLEObject Type="Embed" ProgID="Equation.DSMT4" ShapeID="_x0000_i1042" DrawAspect="Content" ObjectID="_1341397222" r:id="rId54"/>
        </w:object>
      </w:r>
      <w:r>
        <w:t xml:space="preserve">, </w:t>
      </w:r>
      <w:r w:rsidRPr="003F3AE5">
        <w:rPr>
          <w:position w:val="-16"/>
        </w:rPr>
        <w:object w:dxaOrig="1080" w:dyaOrig="460" w14:anchorId="1264DF44">
          <v:shape id="_x0000_i1043" type="#_x0000_t75" style="width:54.9pt;height:22.65pt" o:ole="">
            <v:imagedata r:id="rId55" o:title=""/>
          </v:shape>
          <o:OLEObject Type="Embed" ProgID="Equation.DSMT4" ShapeID="_x0000_i1043" DrawAspect="Content" ObjectID="_1341397223" r:id="rId56"/>
        </w:object>
      </w:r>
      <w:r w:rsidRPr="0015656B">
        <w:t xml:space="preserve">e </w:t>
      </w:r>
      <w:r w:rsidRPr="003F3AE5">
        <w:rPr>
          <w:position w:val="-16"/>
        </w:rPr>
        <w:object w:dxaOrig="1579" w:dyaOrig="460" w14:anchorId="42D5F989">
          <v:shape id="_x0000_i1044" type="#_x0000_t75" style="width:79.05pt;height:22.65pt" o:ole="">
            <v:imagedata r:id="rId57" o:title=""/>
          </v:shape>
          <o:OLEObject Type="Embed" ProgID="Equation.DSMT4" ShapeID="_x0000_i1044" DrawAspect="Content" ObjectID="_1341397224" r:id="rId58"/>
        </w:object>
      </w:r>
      <w:r>
        <w:t xml:space="preserve"> </w:t>
      </w:r>
      <w:r>
        <w:tab/>
      </w:r>
      <w:r>
        <w:tab/>
        <w:t xml:space="preserve">                                                                                               </w:t>
      </w:r>
      <w:r w:rsidR="00B803AC">
        <w:t xml:space="preserve">    </w:t>
      </w:r>
      <w:r>
        <w:t>(4</w:t>
      </w:r>
      <w:r w:rsidRPr="0015656B">
        <w:t>)</w:t>
      </w:r>
    </w:p>
    <w:p w14:paraId="5C2C4C27" w14:textId="77777777" w:rsidR="00FE7FDA" w:rsidRPr="0015656B" w:rsidRDefault="00FE7FDA" w:rsidP="00BC6645">
      <w:pPr>
        <w:jc w:val="both"/>
      </w:pPr>
      <w:r w:rsidRPr="003F3AE5">
        <w:rPr>
          <w:position w:val="-18"/>
        </w:rPr>
        <w:object w:dxaOrig="1660" w:dyaOrig="480" w14:anchorId="25D2E1B3">
          <v:shape id="_x0000_i1045" type="#_x0000_t75" style="width:83.1pt;height:23.65pt" o:ole="">
            <v:imagedata r:id="rId59" o:title=""/>
          </v:shape>
          <o:OLEObject Type="Embed" ProgID="Equation.DSMT4" ShapeID="_x0000_i1045" DrawAspect="Content" ObjectID="_1341397225" r:id="rId60"/>
        </w:object>
      </w:r>
      <w:r>
        <w:t xml:space="preserve"> </w:t>
      </w:r>
      <w:r>
        <w:tab/>
      </w:r>
      <w:r>
        <w:tab/>
      </w:r>
      <w:r>
        <w:tab/>
      </w:r>
      <w:r>
        <w:tab/>
      </w:r>
      <w:r>
        <w:tab/>
      </w:r>
      <w:r>
        <w:tab/>
      </w:r>
      <w:r>
        <w:tab/>
      </w:r>
      <w:r>
        <w:tab/>
      </w:r>
      <w:r>
        <w:tab/>
        <w:t xml:space="preserve">            </w:t>
      </w:r>
      <w:r w:rsidR="00B803AC">
        <w:t xml:space="preserve">    </w:t>
      </w:r>
      <w:r>
        <w:t>(5</w:t>
      </w:r>
      <w:r w:rsidRPr="0015656B">
        <w:t>)</w:t>
      </w:r>
    </w:p>
    <w:p w14:paraId="2A726B9B" w14:textId="77777777" w:rsidR="00FE7FDA" w:rsidRPr="0015656B" w:rsidRDefault="00FE7FDA" w:rsidP="00BC6645">
      <w:pPr>
        <w:jc w:val="both"/>
      </w:pPr>
      <w:r w:rsidRPr="003F3AE5">
        <w:rPr>
          <w:position w:val="-14"/>
        </w:rPr>
        <w:object w:dxaOrig="1579" w:dyaOrig="380" w14:anchorId="26295D35">
          <v:shape id="_x0000_i1046" type="#_x0000_t75" style="width:79.05pt;height:18.65pt" o:ole="">
            <v:imagedata r:id="rId61" o:title=""/>
          </v:shape>
          <o:OLEObject Type="Embed" ProgID="Equation.DSMT4" ShapeID="_x0000_i1046" DrawAspect="Content" ObjectID="_1341397226" r:id="rId62"/>
        </w:object>
      </w:r>
      <w:r>
        <w:t xml:space="preserve"> </w:t>
      </w:r>
      <w:r>
        <w:tab/>
      </w:r>
      <w:r>
        <w:tab/>
      </w:r>
      <w:r>
        <w:tab/>
      </w:r>
      <w:r>
        <w:tab/>
      </w:r>
      <w:r>
        <w:tab/>
      </w:r>
      <w:r>
        <w:tab/>
      </w:r>
      <w:r>
        <w:tab/>
      </w:r>
      <w:r>
        <w:tab/>
      </w:r>
      <w:r>
        <w:tab/>
        <w:t xml:space="preserve">            </w:t>
      </w:r>
      <w:r w:rsidR="00B803AC">
        <w:t xml:space="preserve">    </w:t>
      </w:r>
      <w:r>
        <w:t>(6</w:t>
      </w:r>
      <w:r w:rsidRPr="0015656B">
        <w:t>)</w:t>
      </w:r>
    </w:p>
    <w:p w14:paraId="0296E152" w14:textId="77777777" w:rsidR="008821C5" w:rsidRDefault="00FE7FDA" w:rsidP="00BC6645">
      <w:pPr>
        <w:ind w:firstLine="432"/>
        <w:jc w:val="both"/>
      </w:pPr>
      <w:r>
        <w:t>O</w:t>
      </w:r>
      <w:r w:rsidRPr="00200BFD">
        <w:t xml:space="preserve"> sistema de </w:t>
      </w:r>
      <w:r>
        <w:t xml:space="preserve">equações de </w:t>
      </w:r>
      <w:r w:rsidRPr="00200BFD">
        <w:t xml:space="preserve">demanda </w:t>
      </w:r>
      <w:r>
        <w:t>foi especificado para um conjunto de qua</w:t>
      </w:r>
      <w:r w:rsidRPr="00200BFD">
        <w:t>t</w:t>
      </w:r>
      <w:r>
        <w:t>r</w:t>
      </w:r>
      <w:r w:rsidRPr="00200BFD">
        <w:t>o</w:t>
      </w:r>
      <w:r>
        <w:t xml:space="preserve"> bens:</w:t>
      </w:r>
      <w:r w:rsidRPr="00200BFD">
        <w:t xml:space="preserve"> carne bovina, </w:t>
      </w:r>
      <w:r>
        <w:t>carne suína, carne</w:t>
      </w:r>
      <w:r w:rsidRPr="00200BFD">
        <w:t xml:space="preserve"> </w:t>
      </w:r>
      <w:r>
        <w:t>de frango</w:t>
      </w:r>
      <w:r w:rsidRPr="00200BFD">
        <w:t xml:space="preserve"> e todos os outros bens de consumo (vide</w:t>
      </w:r>
      <w:r>
        <w:t xml:space="preserve"> </w:t>
      </w:r>
      <w:proofErr w:type="spellStart"/>
      <w:r>
        <w:t>Marsh</w:t>
      </w:r>
      <w:proofErr w:type="spellEnd"/>
      <w:r>
        <w:t xml:space="preserve"> et al. </w:t>
      </w:r>
      <w:r w:rsidR="008821C5">
        <w:t>(</w:t>
      </w:r>
      <w:r w:rsidRPr="00200BFD">
        <w:t>2004</w:t>
      </w:r>
      <w:r>
        <w:t>)</w:t>
      </w:r>
      <w:r w:rsidRPr="00200BFD">
        <w:t xml:space="preserve"> para</w:t>
      </w:r>
      <w:r>
        <w:t xml:space="preserve"> uma aplicação pioneira desse procedimento no contexto de um sistema de equações de demanda Rotterdam para carnes nos EUA</w:t>
      </w:r>
      <w:r w:rsidRPr="00200BFD">
        <w:t xml:space="preserve">). </w:t>
      </w:r>
    </w:p>
    <w:p w14:paraId="714EA941" w14:textId="77777777" w:rsidR="00FE7FDA" w:rsidRDefault="008821C5" w:rsidP="00BC6645">
      <w:pPr>
        <w:ind w:firstLine="432"/>
        <w:jc w:val="both"/>
      </w:pPr>
      <w:r>
        <w:t xml:space="preserve">Vale mencionar que se </w:t>
      </w:r>
      <w:r w:rsidR="004664BB">
        <w:t>tivesse sido especificado</w:t>
      </w:r>
      <w:r w:rsidR="00FE7FDA">
        <w:t xml:space="preserve"> </w:t>
      </w:r>
      <w:r w:rsidR="00FE7FDA" w:rsidRPr="00200BFD">
        <w:t xml:space="preserve">um sistema de </w:t>
      </w:r>
      <w:r w:rsidR="00FE7FDA">
        <w:t xml:space="preserve">equações de </w:t>
      </w:r>
      <w:r w:rsidR="00FE7FDA" w:rsidRPr="00200BFD">
        <w:t xml:space="preserve">demanda por carne </w:t>
      </w:r>
      <w:r w:rsidR="00FE7FDA">
        <w:t>com</w:t>
      </w:r>
      <w:r w:rsidR="00FE7FDA" w:rsidRPr="00200BFD">
        <w:t xml:space="preserve"> apenas três bens (carne bovina, </w:t>
      </w:r>
      <w:r w:rsidR="00FE7FDA">
        <w:t xml:space="preserve">carne </w:t>
      </w:r>
      <w:r w:rsidR="00FE7FDA" w:rsidRPr="00200BFD">
        <w:t xml:space="preserve">suína e </w:t>
      </w:r>
      <w:r w:rsidR="00FE7FDA">
        <w:t>de frango</w:t>
      </w:r>
      <w:r w:rsidR="00FE7FDA" w:rsidRPr="00200BFD">
        <w:t>)</w:t>
      </w:r>
      <w:r w:rsidR="00FE7FDA">
        <w:t>,</w:t>
      </w:r>
      <w:r w:rsidR="00FE7FDA" w:rsidRPr="00200BFD">
        <w:t xml:space="preserve"> </w:t>
      </w:r>
      <w:r w:rsidR="004664BB">
        <w:t>as condições (4) fariam</w:t>
      </w:r>
      <w:r w:rsidR="00FE7FDA">
        <w:t xml:space="preserve"> com que potenciais </w:t>
      </w:r>
      <w:r w:rsidR="00FE7FDA" w:rsidRPr="00200BFD">
        <w:t xml:space="preserve">mudanças estruturais </w:t>
      </w:r>
      <w:r>
        <w:t>nas demandas por</w:t>
      </w:r>
      <w:r w:rsidR="00FE7FDA">
        <w:t xml:space="preserve"> carnes </w:t>
      </w:r>
      <w:r w:rsidR="004664BB">
        <w:t xml:space="preserve">necessariamente </w:t>
      </w:r>
      <w:r w:rsidR="00FE7FDA">
        <w:t>se anulassem</w:t>
      </w:r>
      <w:r w:rsidR="00155DB6">
        <w:t xml:space="preserve">. A especificação de </w:t>
      </w:r>
      <w:r w:rsidR="00FE7FDA">
        <w:t xml:space="preserve">um </w:t>
      </w:r>
      <w:r w:rsidR="00FE7FDA" w:rsidRPr="00200BFD">
        <w:t xml:space="preserve">sistema </w:t>
      </w:r>
      <w:r w:rsidR="00FE7FDA">
        <w:t xml:space="preserve">de equações </w:t>
      </w:r>
      <w:r w:rsidR="00FE7FDA" w:rsidRPr="00200BFD">
        <w:t xml:space="preserve">com quatro bens </w:t>
      </w:r>
      <w:r>
        <w:t>permite</w:t>
      </w:r>
      <w:r w:rsidR="00FE7FDA">
        <w:t xml:space="preserve">, por exemplo, que a demanda por cada carne </w:t>
      </w:r>
      <w:r>
        <w:t>possa apresentar</w:t>
      </w:r>
      <w:r w:rsidR="00FE7FDA">
        <w:t xml:space="preserve"> mudança estrutural positiva ou negativa</w:t>
      </w:r>
      <w:r w:rsidR="00FE7FDA" w:rsidRPr="00200BFD">
        <w:t xml:space="preserve">. </w:t>
      </w:r>
      <w:r w:rsidR="00FE7FDA" w:rsidRPr="00C43847">
        <w:t xml:space="preserve">Além disso, </w:t>
      </w:r>
      <w:r w:rsidR="00FE7FDA">
        <w:t xml:space="preserve">tal formulação elimina a possibilidade </w:t>
      </w:r>
      <w:r w:rsidR="00FE7FDA" w:rsidRPr="00C43847">
        <w:t xml:space="preserve">de </w:t>
      </w:r>
      <w:r w:rsidR="00FE7FDA">
        <w:t xml:space="preserve">haver endogeneidade </w:t>
      </w:r>
      <w:r w:rsidR="00FE7FDA" w:rsidRPr="00C43847">
        <w:t xml:space="preserve">da variável </w:t>
      </w:r>
      <w:r w:rsidR="00FE7FDA">
        <w:t>gasto, o que provável ocorre para um sistema de equações estimado com os três tipos de carnes, uma vez que a variável gasto é o próprio gasto per capita com tais carnes</w:t>
      </w:r>
      <w:r w:rsidR="00FE7FDA" w:rsidRPr="00C43847">
        <w:t xml:space="preserve">. </w:t>
      </w:r>
      <w:r w:rsidR="00FE7FDA">
        <w:t>N</w:t>
      </w:r>
      <w:r w:rsidR="00FE7FDA" w:rsidRPr="00C43847">
        <w:t>o sis</w:t>
      </w:r>
      <w:r w:rsidR="00FE7FDA">
        <w:t>tema de demanda com qua</w:t>
      </w:r>
      <w:r w:rsidR="00FE7FDA" w:rsidRPr="00C43847">
        <w:t>t</w:t>
      </w:r>
      <w:r w:rsidR="00FE7FDA">
        <w:t>r</w:t>
      </w:r>
      <w:r w:rsidR="00FE7FDA" w:rsidRPr="00C43847">
        <w:t xml:space="preserve">o bens, </w:t>
      </w:r>
      <w:r w:rsidR="00FE7FDA">
        <w:t>a variável gasto</w:t>
      </w:r>
      <w:r w:rsidR="00FE7FDA" w:rsidRPr="00C43847">
        <w:t xml:space="preserve"> per capita com consumo </w:t>
      </w:r>
      <w:r w:rsidR="00FE7FDA">
        <w:t>é,</w:t>
      </w:r>
      <w:r w:rsidR="00FE7FDA" w:rsidRPr="00C43847">
        <w:t xml:space="preserve"> </w:t>
      </w:r>
      <w:r w:rsidR="00FE7FDA">
        <w:t>muito provavelmente, exógena</w:t>
      </w:r>
      <w:r w:rsidR="00FE7FDA" w:rsidRPr="00C43847">
        <w:t xml:space="preserve"> (BRESTER </w:t>
      </w:r>
      <w:r w:rsidR="00FE7FDA">
        <w:t>e</w:t>
      </w:r>
      <w:r w:rsidR="00FE7FDA" w:rsidRPr="00C43847">
        <w:t xml:space="preserve"> SCHROEDER, 1995). Finalmente, um </w:t>
      </w:r>
      <w:r w:rsidR="00FE7FDA">
        <w:t>si</w:t>
      </w:r>
      <w:r w:rsidR="00FE7FDA" w:rsidRPr="00C43847">
        <w:t>stem</w:t>
      </w:r>
      <w:r w:rsidR="00FE7FDA">
        <w:t>a</w:t>
      </w:r>
      <w:r w:rsidR="00FE7FDA" w:rsidRPr="00C43847">
        <w:t xml:space="preserve"> </w:t>
      </w:r>
      <w:r w:rsidR="00FE7FDA">
        <w:t>com quatro</w:t>
      </w:r>
      <w:r w:rsidR="00FE7FDA" w:rsidRPr="00C43847">
        <w:t xml:space="preserve"> bens permite investigar a </w:t>
      </w:r>
      <w:r w:rsidR="00FE7FDA">
        <w:t xml:space="preserve">possibilidade de </w:t>
      </w:r>
      <w:r w:rsidR="00FE7FDA" w:rsidRPr="00C43847">
        <w:t xml:space="preserve">substituição entre </w:t>
      </w:r>
      <w:r w:rsidR="00FE7FDA">
        <w:t xml:space="preserve">os tipos de </w:t>
      </w:r>
      <w:r w:rsidR="00FE7FDA" w:rsidRPr="00C43847">
        <w:t>carnes e outros bens de consumo.</w:t>
      </w:r>
    </w:p>
    <w:p w14:paraId="71C011BB" w14:textId="77777777" w:rsidR="00FE7FDA" w:rsidRPr="00845361" w:rsidRDefault="00FE7FDA" w:rsidP="00BC6645">
      <w:pPr>
        <w:ind w:firstLine="432"/>
        <w:jc w:val="both"/>
      </w:pPr>
      <w:r w:rsidRPr="00845361">
        <w:t xml:space="preserve">Em estudos com séries temporais, a ocorrência de autocorrelação ou correlação serial dos erros é um problema recorrente. </w:t>
      </w:r>
      <w:r>
        <w:t xml:space="preserve">Por exemplo, </w:t>
      </w:r>
      <w:r w:rsidRPr="00845361">
        <w:t xml:space="preserve">Fisher et al. (2006) assumem a presença de autocorrelação e, assim, já impõem a priori correções para correlação serial de primeira ordem dos erros nos sistemas de equações não lineares de demanda estimados por eles. Ao contrário do que fizeram Fisher et al. (2006), será investigado se há autocorrelação e, para tanto, testa-se duas formas alternativas de correção do problema. Para tanto, os modelos econométricos </w:t>
      </w:r>
      <w:r>
        <w:t>no sistema de equações (1</w:t>
      </w:r>
      <w:r w:rsidRPr="00845361">
        <w:t xml:space="preserve">) </w:t>
      </w:r>
      <w:r>
        <w:t xml:space="preserve">são </w:t>
      </w:r>
      <w:r w:rsidRPr="00845361">
        <w:t>transforma</w:t>
      </w:r>
      <w:r>
        <w:t xml:space="preserve">dos segundo o procedimento </w:t>
      </w:r>
      <w:r w:rsidRPr="00845361">
        <w:t xml:space="preserve">para correção da autocorrelação, pioneiramente proposta por </w:t>
      </w:r>
      <w:proofErr w:type="spellStart"/>
      <w:r w:rsidRPr="00845361">
        <w:t>Berndt</w:t>
      </w:r>
      <w:proofErr w:type="spellEnd"/>
      <w:r w:rsidRPr="00845361">
        <w:t xml:space="preserve"> e </w:t>
      </w:r>
      <w:proofErr w:type="spellStart"/>
      <w:r w:rsidRPr="00845361">
        <w:t>Savin</w:t>
      </w:r>
      <w:proofErr w:type="spellEnd"/>
      <w:r w:rsidRPr="00845361">
        <w:t xml:space="preserve"> (1975). </w:t>
      </w:r>
    </w:p>
    <w:p w14:paraId="70753216" w14:textId="77777777" w:rsidR="00FE7FDA" w:rsidRPr="00FA2D75" w:rsidRDefault="00FE7FDA" w:rsidP="00BC6645">
      <w:pPr>
        <w:jc w:val="both"/>
        <w:rPr>
          <w:b/>
          <w:i/>
        </w:rPr>
      </w:pPr>
      <w:r w:rsidRPr="00FA2D75">
        <w:rPr>
          <w:b/>
          <w:i/>
        </w:rPr>
        <w:t xml:space="preserve"> Corrigindo autocorrelação dos erros</w:t>
      </w:r>
    </w:p>
    <w:p w14:paraId="5B0F5945" w14:textId="77777777" w:rsidR="00FE7FDA" w:rsidRDefault="00FE7FDA" w:rsidP="00BC6645">
      <w:pPr>
        <w:ind w:firstLine="432"/>
        <w:jc w:val="both"/>
      </w:pPr>
      <w:r>
        <w:lastRenderedPageBreak/>
        <w:t xml:space="preserve">Os passos a seguir visam apresentar o procedimento de </w:t>
      </w:r>
      <w:proofErr w:type="spellStart"/>
      <w:r w:rsidRPr="006D1A94">
        <w:t>Berndt</w:t>
      </w:r>
      <w:proofErr w:type="spellEnd"/>
      <w:r w:rsidRPr="006D1A94">
        <w:t xml:space="preserve"> </w:t>
      </w:r>
      <w:r>
        <w:t>e</w:t>
      </w:r>
      <w:r w:rsidRPr="006D1A94">
        <w:t xml:space="preserve"> </w:t>
      </w:r>
      <w:proofErr w:type="spellStart"/>
      <w:r w:rsidRPr="006D1A94">
        <w:t>Savin</w:t>
      </w:r>
      <w:proofErr w:type="spellEnd"/>
      <w:r w:rsidRPr="006D1A94">
        <w:t xml:space="preserve"> (1975) </w:t>
      </w:r>
      <w:r>
        <w:t xml:space="preserve">que foi empregado no presente artigo para testar e, </w:t>
      </w:r>
      <w:r w:rsidRPr="002D7F06">
        <w:t>sendo necessário</w:t>
      </w:r>
      <w:r>
        <w:t>, corrigir a</w:t>
      </w:r>
      <w:r w:rsidRPr="002D5496">
        <w:t xml:space="preserve"> autocorrelação de primeira ordem dos erros</w:t>
      </w:r>
      <w:r>
        <w:t xml:space="preserve"> dos modelos. </w:t>
      </w:r>
    </w:p>
    <w:p w14:paraId="76E09FD4" w14:textId="77777777" w:rsidR="00FE7FDA" w:rsidRPr="00412D23" w:rsidRDefault="00FE7FDA" w:rsidP="00BC6645">
      <w:pPr>
        <w:ind w:firstLine="432"/>
        <w:jc w:val="both"/>
      </w:pPr>
      <w:r>
        <w:t xml:space="preserve">Primeiro, </w:t>
      </w:r>
      <w:r w:rsidRPr="002D7F06">
        <w:t>considera-se</w:t>
      </w:r>
      <w:r>
        <w:t xml:space="preserve"> </w:t>
      </w:r>
      <w:r w:rsidRPr="002D5496">
        <w:t>o vetor</w:t>
      </w:r>
      <w:r>
        <w:t xml:space="preserve"> </w:t>
      </w:r>
      <w:r w:rsidRPr="002D5496">
        <w:t xml:space="preserve">de dimensão </w:t>
      </w:r>
      <w:r w:rsidRPr="002D5496">
        <w:rPr>
          <w:i/>
        </w:rPr>
        <w:t>N</w:t>
      </w:r>
      <w:r>
        <w:sym w:font="Symbol" w:char="F0B4"/>
      </w:r>
      <w:r w:rsidRPr="002D5496">
        <w:t xml:space="preserve">1 </w:t>
      </w:r>
      <w:r>
        <w:t>formado pelos erros aleatórios no sistema de demanda (8</w:t>
      </w:r>
      <w:r w:rsidRPr="002D5496">
        <w:t xml:space="preserve">) </w:t>
      </w:r>
      <w:r>
        <w:t xml:space="preserve">definido como: </w:t>
      </w:r>
      <w:proofErr w:type="spellStart"/>
      <w:r w:rsidRPr="002D5496">
        <w:rPr>
          <w:b/>
        </w:rPr>
        <w:t>v</w:t>
      </w:r>
      <w:r w:rsidRPr="002D5496">
        <w:rPr>
          <w:i/>
          <w:vertAlign w:val="subscript"/>
        </w:rPr>
        <w:t>t</w:t>
      </w:r>
      <w:proofErr w:type="spellEnd"/>
      <w:r>
        <w:rPr>
          <w:i/>
          <w:vertAlign w:val="subscript"/>
        </w:rPr>
        <w:t xml:space="preserve"> </w:t>
      </w:r>
      <w:r w:rsidRPr="002D5496">
        <w:t>=</w:t>
      </w:r>
      <w:r>
        <w:t xml:space="preserve"> </w:t>
      </w:r>
      <w:r w:rsidRPr="002D5496">
        <w:rPr>
          <w:b/>
        </w:rPr>
        <w:t>Rv</w:t>
      </w:r>
      <w:r w:rsidRPr="002D5496">
        <w:rPr>
          <w:i/>
          <w:vertAlign w:val="subscript"/>
        </w:rPr>
        <w:t>t</w:t>
      </w:r>
      <w:r w:rsidRPr="002D5496">
        <w:rPr>
          <w:vertAlign w:val="subscript"/>
        </w:rPr>
        <w:t>-1</w:t>
      </w:r>
      <w:r>
        <w:rPr>
          <w:vertAlign w:val="subscript"/>
        </w:rPr>
        <w:t xml:space="preserve"> </w:t>
      </w:r>
      <w:r w:rsidRPr="002D5496">
        <w:t>+</w:t>
      </w:r>
      <w:r>
        <w:t xml:space="preserve"> </w:t>
      </w:r>
      <w:r w:rsidRPr="00971C68">
        <w:rPr>
          <w:b/>
        </w:rPr>
        <w:sym w:font="Symbol" w:char="F065"/>
      </w:r>
      <w:r w:rsidRPr="002D5496">
        <w:rPr>
          <w:i/>
          <w:vertAlign w:val="subscript"/>
        </w:rPr>
        <w:t>t</w:t>
      </w:r>
      <w:r>
        <w:t xml:space="preserve"> para</w:t>
      </w:r>
      <w:r w:rsidRPr="002D5496">
        <w:t xml:space="preserve"> </w:t>
      </w:r>
      <w:r w:rsidRPr="002D5496">
        <w:rPr>
          <w:i/>
        </w:rPr>
        <w:t>t</w:t>
      </w:r>
      <w:r>
        <w:rPr>
          <w:i/>
        </w:rPr>
        <w:t xml:space="preserve"> </w:t>
      </w:r>
      <w:r w:rsidRPr="002D5496">
        <w:t>=</w:t>
      </w:r>
      <w:r>
        <w:t xml:space="preserve"> </w:t>
      </w:r>
      <w:r w:rsidRPr="002D5496">
        <w:t>2,…,</w:t>
      </w:r>
      <w:r w:rsidRPr="002D5496">
        <w:rPr>
          <w:i/>
        </w:rPr>
        <w:t>T</w:t>
      </w:r>
      <w:r w:rsidRPr="002D5496">
        <w:t xml:space="preserve">, </w:t>
      </w:r>
      <w:r>
        <w:t xml:space="preserve">onde </w:t>
      </w:r>
      <w:proofErr w:type="spellStart"/>
      <w:r w:rsidRPr="002D5496">
        <w:rPr>
          <w:b/>
        </w:rPr>
        <w:t>v</w:t>
      </w:r>
      <w:r w:rsidRPr="002D5496">
        <w:rPr>
          <w:i/>
          <w:vertAlign w:val="subscript"/>
        </w:rPr>
        <w:t>t</w:t>
      </w:r>
      <w:proofErr w:type="spellEnd"/>
      <w:r>
        <w:t xml:space="preserve"> é</w:t>
      </w:r>
      <w:r w:rsidRPr="002D5496">
        <w:t xml:space="preserve"> </w:t>
      </w:r>
      <w:r>
        <w:t>o</w:t>
      </w:r>
      <w:r w:rsidRPr="002D5496">
        <w:t xml:space="preserve"> </w:t>
      </w:r>
      <w:r>
        <w:t xml:space="preserve">vetor </w:t>
      </w:r>
      <w:r w:rsidRPr="002D5496">
        <w:rPr>
          <w:i/>
        </w:rPr>
        <w:t>N</w:t>
      </w:r>
      <w:r>
        <w:sym w:font="Symbol" w:char="F0B4"/>
      </w:r>
      <w:r w:rsidRPr="002D5496">
        <w:t>1</w:t>
      </w:r>
      <w:r>
        <w:t>de erros aleatórios do sistema de equações;</w:t>
      </w:r>
      <w:r w:rsidRPr="002D5496">
        <w:t xml:space="preserve"> </w:t>
      </w:r>
      <w:r>
        <w:t xml:space="preserve">a sequencia </w:t>
      </w:r>
      <w:r w:rsidRPr="00971C68">
        <w:rPr>
          <w:b/>
        </w:rPr>
        <w:sym w:font="Symbol" w:char="F065"/>
      </w:r>
      <w:r w:rsidRPr="002D5496">
        <w:rPr>
          <w:vertAlign w:val="subscript"/>
        </w:rPr>
        <w:t>2</w:t>
      </w:r>
      <w:r w:rsidRPr="002D5496">
        <w:t>,…,</w:t>
      </w:r>
      <w:r w:rsidRPr="002D5496">
        <w:rPr>
          <w:b/>
        </w:rPr>
        <w:t xml:space="preserve"> </w:t>
      </w:r>
      <w:r w:rsidRPr="00971C68">
        <w:rPr>
          <w:b/>
        </w:rPr>
        <w:sym w:font="Symbol" w:char="F065"/>
      </w:r>
      <w:r w:rsidRPr="002D5496">
        <w:rPr>
          <w:vertAlign w:val="subscript"/>
        </w:rPr>
        <w:t>T</w:t>
      </w:r>
      <w:r w:rsidRPr="002D5496">
        <w:t xml:space="preserve"> </w:t>
      </w:r>
      <w:r>
        <w:t>consiste</w:t>
      </w:r>
      <w:r w:rsidRPr="00412D23">
        <w:t xml:space="preserve"> </w:t>
      </w:r>
      <w:r>
        <w:t xml:space="preserve">de vetores de variáveis aleatórias de dimensão </w:t>
      </w:r>
      <w:r w:rsidRPr="00412D23">
        <w:rPr>
          <w:i/>
        </w:rPr>
        <w:t>N</w:t>
      </w:r>
      <w:r>
        <w:sym w:font="Symbol" w:char="F0B4"/>
      </w:r>
      <w:r>
        <w:t>1</w:t>
      </w:r>
      <w:r w:rsidRPr="00412D23">
        <w:t xml:space="preserve"> </w:t>
      </w:r>
      <w:r>
        <w:t>com vetor zero de médias e</w:t>
      </w:r>
      <w:r w:rsidRPr="00412D23">
        <w:t xml:space="preserve"> </w:t>
      </w:r>
      <w:r>
        <w:t xml:space="preserve">matriz de </w:t>
      </w:r>
      <w:r w:rsidRPr="00412D23">
        <w:t>covari</w:t>
      </w:r>
      <w:r>
        <w:t>ância</w:t>
      </w:r>
      <w:r w:rsidRPr="00412D23">
        <w:t xml:space="preserve"> </w:t>
      </w:r>
      <w:r>
        <w:sym w:font="Symbol" w:char="F0E5"/>
      </w:r>
      <w:r w:rsidRPr="00C35866">
        <w:t xml:space="preserve">, </w:t>
      </w:r>
      <w:r>
        <w:t>independentemente, normalmente e identicamente</w:t>
      </w:r>
      <w:r w:rsidRPr="00412D23">
        <w:t xml:space="preserve"> </w:t>
      </w:r>
      <w:r>
        <w:t>distribuídos; e</w:t>
      </w:r>
      <w:r w:rsidRPr="00412D23">
        <w:t xml:space="preserve"> </w:t>
      </w:r>
      <w:r w:rsidRPr="00412D23">
        <w:rPr>
          <w:b/>
        </w:rPr>
        <w:t xml:space="preserve">R </w:t>
      </w:r>
      <w:r>
        <w:t>denota</w:t>
      </w:r>
      <w:r w:rsidRPr="00412D23">
        <w:t xml:space="preserve"> </w:t>
      </w:r>
      <w:r>
        <w:t>uma</w:t>
      </w:r>
      <w:r w:rsidRPr="00412D23">
        <w:t xml:space="preserve"> </w:t>
      </w:r>
      <w:r>
        <w:t xml:space="preserve">matriz de autocorrelação com </w:t>
      </w:r>
      <w:r w:rsidRPr="00412D23">
        <w:rPr>
          <w:i/>
        </w:rPr>
        <w:t>N</w:t>
      </w:r>
      <w:r>
        <w:sym w:font="Symbol" w:char="F0B4"/>
      </w:r>
      <w:r w:rsidRPr="00412D23">
        <w:rPr>
          <w:i/>
        </w:rPr>
        <w:t>N</w:t>
      </w:r>
      <w:r w:rsidRPr="00412D23">
        <w:t xml:space="preserve"> </w:t>
      </w:r>
      <w:r>
        <w:t>parâmetros desconhecidos</w:t>
      </w:r>
      <w:r w:rsidRPr="00412D23">
        <w:t xml:space="preserve">. </w:t>
      </w:r>
    </w:p>
    <w:p w14:paraId="22607A35" w14:textId="77777777" w:rsidR="00FE7FDA" w:rsidRDefault="00FE7FDA" w:rsidP="00BC6645">
      <w:pPr>
        <w:ind w:firstLine="432"/>
        <w:jc w:val="both"/>
      </w:pPr>
      <w:proofErr w:type="spellStart"/>
      <w:r w:rsidRPr="006D1A94">
        <w:t>Berndt</w:t>
      </w:r>
      <w:proofErr w:type="spellEnd"/>
      <w:r w:rsidRPr="006D1A94">
        <w:t xml:space="preserve"> </w:t>
      </w:r>
      <w:r>
        <w:t>e</w:t>
      </w:r>
      <w:r w:rsidRPr="006D1A94">
        <w:t xml:space="preserve"> </w:t>
      </w:r>
      <w:proofErr w:type="spellStart"/>
      <w:r w:rsidRPr="006D1A94">
        <w:t>Savin</w:t>
      </w:r>
      <w:proofErr w:type="spellEnd"/>
      <w:r w:rsidRPr="006D1A94">
        <w:t xml:space="preserve"> (1975) mostram que</w:t>
      </w:r>
      <w:r>
        <w:t>,</w:t>
      </w:r>
      <w:r w:rsidRPr="006D1A94">
        <w:t xml:space="preserve"> no contexto de um modelo com erros autorregressivos de prime</w:t>
      </w:r>
      <w:r>
        <w:t>i</w:t>
      </w:r>
      <w:r w:rsidRPr="006D1A94">
        <w:t xml:space="preserve">ra ordem, a propriedade </w:t>
      </w:r>
      <w:proofErr w:type="spellStart"/>
      <w:r>
        <w:rPr>
          <w:i/>
        </w:rPr>
        <w:t>adding</w:t>
      </w:r>
      <w:proofErr w:type="spellEnd"/>
      <w:r>
        <w:rPr>
          <w:i/>
        </w:rPr>
        <w:t xml:space="preserve"> </w:t>
      </w:r>
      <w:proofErr w:type="spellStart"/>
      <w:r>
        <w:rPr>
          <w:i/>
        </w:rPr>
        <w:t>up</w:t>
      </w:r>
      <w:proofErr w:type="spellEnd"/>
      <w:r w:rsidRPr="006D1A94">
        <w:t xml:space="preserve"> </w:t>
      </w:r>
      <w:r>
        <w:t xml:space="preserve">fará com que </w:t>
      </w:r>
      <w:r w:rsidRPr="006D1A94">
        <w:t xml:space="preserve">a soma </w:t>
      </w:r>
      <w:r>
        <w:t xml:space="preserve">dos elementos de cada </w:t>
      </w:r>
      <w:r w:rsidRPr="006D1A94">
        <w:t xml:space="preserve">coluna da matriz </w:t>
      </w:r>
      <w:r w:rsidRPr="006D1A94">
        <w:rPr>
          <w:b/>
        </w:rPr>
        <w:t>R</w:t>
      </w:r>
      <w:r w:rsidRPr="006D1A94">
        <w:t xml:space="preserve"> </w:t>
      </w:r>
      <w:r>
        <w:t xml:space="preserve">se iguale a uma constante k desconhecida </w:t>
      </w:r>
      <w:r w:rsidRPr="006D1A94">
        <w:t>(</w:t>
      </w:r>
      <w:r>
        <w:t xml:space="preserve">ou seja, </w:t>
      </w:r>
      <w:r w:rsidRPr="006D1A94">
        <w:rPr>
          <w:b/>
        </w:rPr>
        <w:t>1</w:t>
      </w:r>
      <w:r w:rsidRPr="00C3441D">
        <w:sym w:font="Symbol" w:char="F0A2"/>
      </w:r>
      <w:r w:rsidRPr="006D1A94">
        <w:rPr>
          <w:b/>
        </w:rPr>
        <w:t>R</w:t>
      </w:r>
      <w:r>
        <w:rPr>
          <w:b/>
        </w:rPr>
        <w:t xml:space="preserve"> </w:t>
      </w:r>
      <w:r w:rsidRPr="006D1A94">
        <w:t>=</w:t>
      </w:r>
      <w:r>
        <w:t xml:space="preserve"> </w:t>
      </w:r>
      <w:r w:rsidRPr="006D1A94">
        <w:rPr>
          <w:b/>
        </w:rPr>
        <w:t>k</w:t>
      </w:r>
      <w:r w:rsidRPr="00F66035">
        <w:sym w:font="Symbol" w:char="F0A2"/>
      </w:r>
      <w:r w:rsidRPr="006D1A94">
        <w:t xml:space="preserve">) </w:t>
      </w:r>
      <w:r>
        <w:t xml:space="preserve">e a matriz de covariância </w:t>
      </w:r>
      <w:r>
        <w:sym w:font="Symbol" w:char="F0E5"/>
      </w:r>
      <w:r>
        <w:t xml:space="preserve"> seja </w:t>
      </w:r>
      <w:r w:rsidRPr="006D1A94">
        <w:t xml:space="preserve">singular, </w:t>
      </w:r>
      <w:r>
        <w:t>o que exige a eliminação de uma das equações do sistema para que o sistema pudesse ser estimado</w:t>
      </w:r>
      <w:r w:rsidRPr="006D1A94">
        <w:t xml:space="preserve">. </w:t>
      </w:r>
    </w:p>
    <w:p w14:paraId="6A3D1633" w14:textId="77777777" w:rsidR="00FE7FDA" w:rsidRPr="00345FFC" w:rsidRDefault="00FE7FDA" w:rsidP="00BC6645">
      <w:pPr>
        <w:ind w:firstLine="432"/>
        <w:jc w:val="both"/>
      </w:pPr>
      <w:r>
        <w:t>Em seguida, o</w:t>
      </w:r>
      <w:r w:rsidRPr="00C52080">
        <w:t>s autores demonstram que as re</w:t>
      </w:r>
      <w:r>
        <w:t>s</w:t>
      </w:r>
      <w:r w:rsidRPr="00C52080">
        <w:t xml:space="preserve">trições </w:t>
      </w:r>
      <w:r w:rsidRPr="00C52080">
        <w:rPr>
          <w:b/>
        </w:rPr>
        <w:t>1</w:t>
      </w:r>
      <w:r w:rsidRPr="00C3441D">
        <w:sym w:font="Symbol" w:char="F0A2"/>
      </w:r>
      <w:r w:rsidRPr="00C52080">
        <w:rPr>
          <w:b/>
        </w:rPr>
        <w:t>R</w:t>
      </w:r>
      <w:r>
        <w:rPr>
          <w:b/>
        </w:rPr>
        <w:t xml:space="preserve"> </w:t>
      </w:r>
      <w:r w:rsidRPr="00C52080">
        <w:t>=</w:t>
      </w:r>
      <w:r>
        <w:t xml:space="preserve"> </w:t>
      </w:r>
      <w:r w:rsidRPr="00C52080">
        <w:rPr>
          <w:b/>
        </w:rPr>
        <w:t>k</w:t>
      </w:r>
      <w:r w:rsidRPr="00F66035">
        <w:sym w:font="Symbol" w:char="F0A2"/>
      </w:r>
      <w:r w:rsidRPr="009D69F2">
        <w:t xml:space="preserve">, </w:t>
      </w:r>
      <w:r w:rsidRPr="002D7F06">
        <w:t>em que</w:t>
      </w:r>
      <w:r w:rsidRPr="009D69F2">
        <w:t xml:space="preserve"> </w:t>
      </w:r>
      <w:r w:rsidRPr="00C52080">
        <w:rPr>
          <w:b/>
        </w:rPr>
        <w:t>1</w:t>
      </w:r>
      <w:r w:rsidRPr="00C52080">
        <w:t xml:space="preserve"> </w:t>
      </w:r>
      <w:r>
        <w:t xml:space="preserve">é um vetor </w:t>
      </w:r>
      <w:r w:rsidRPr="00C52080">
        <w:rPr>
          <w:i/>
        </w:rPr>
        <w:t>N</w:t>
      </w:r>
      <w:r>
        <w:sym w:font="Symbol" w:char="F0B4"/>
      </w:r>
      <w:r w:rsidRPr="00C52080">
        <w:t xml:space="preserve">1 </w:t>
      </w:r>
      <w:r>
        <w:t xml:space="preserve">de uns e </w:t>
      </w:r>
      <w:r w:rsidRPr="009D69F2">
        <w:rPr>
          <w:b/>
        </w:rPr>
        <w:t>k</w:t>
      </w:r>
      <w:r>
        <w:t xml:space="preserve"> é um vetor </w:t>
      </w:r>
      <w:r w:rsidRPr="00C52080">
        <w:rPr>
          <w:i/>
        </w:rPr>
        <w:t>N</w:t>
      </w:r>
      <w:r>
        <w:sym w:font="Symbol" w:char="F0B4"/>
      </w:r>
      <w:r w:rsidRPr="00C52080">
        <w:t xml:space="preserve">1 </w:t>
      </w:r>
      <w:r>
        <w:t xml:space="preserve">de elementos com valores iguais a constante k, </w:t>
      </w:r>
      <w:r w:rsidRPr="00C52080">
        <w:t>podem ser transformada</w:t>
      </w:r>
      <w:r>
        <w:t>s</w:t>
      </w:r>
      <w:r w:rsidRPr="00C52080">
        <w:t xml:space="preserve"> em restrições mais facilmente tratáveis da form</w:t>
      </w:r>
      <w:r>
        <w:t>a</w:t>
      </w:r>
      <w:r w:rsidRPr="00C52080">
        <w:t xml:space="preserve"> </w:t>
      </w:r>
      <w:r w:rsidRPr="00C52080">
        <w:rPr>
          <w:b/>
        </w:rPr>
        <w:t>1</w:t>
      </w:r>
      <w:r w:rsidRPr="00F66035">
        <w:sym w:font="Symbol" w:char="F0A2"/>
      </w:r>
      <w:r w:rsidRPr="003F3AE5">
        <w:rPr>
          <w:position w:val="-4"/>
        </w:rPr>
        <w:object w:dxaOrig="260" w:dyaOrig="320" w14:anchorId="1BE9712E">
          <v:shape id="_x0000_i1047" type="#_x0000_t75" style="width:13.1pt;height:16.1pt" o:ole="">
            <v:imagedata r:id="rId63" o:title=""/>
          </v:shape>
          <o:OLEObject Type="Embed" ProgID="Equation.DSMT4" ShapeID="_x0000_i1047" DrawAspect="Content" ObjectID="_1341397227" r:id="rId64"/>
        </w:object>
      </w:r>
      <w:r w:rsidRPr="00C52080">
        <w:t>=</w:t>
      </w:r>
      <w:r>
        <w:t xml:space="preserve"> </w:t>
      </w:r>
      <w:r w:rsidRPr="00C52080">
        <w:rPr>
          <w:b/>
        </w:rPr>
        <w:t>0</w:t>
      </w:r>
      <w:r>
        <w:t>, onde</w:t>
      </w:r>
      <w:r w:rsidRPr="00C52080">
        <w:t xml:space="preserve"> </w:t>
      </w:r>
      <w:r w:rsidRPr="003F3AE5">
        <w:rPr>
          <w:position w:val="-4"/>
        </w:rPr>
        <w:object w:dxaOrig="260" w:dyaOrig="320" w14:anchorId="65A7AAA8">
          <v:shape id="_x0000_i1048" type="#_x0000_t75" style="width:13.1pt;height:16.1pt" o:ole="">
            <v:imagedata r:id="rId65" o:title=""/>
          </v:shape>
          <o:OLEObject Type="Embed" ProgID="Equation.DSMT4" ShapeID="_x0000_i1048" DrawAspect="Content" ObjectID="_1341397228" r:id="rId66"/>
        </w:object>
      </w:r>
      <w:r>
        <w:t xml:space="preserve"> é uma</w:t>
      </w:r>
      <w:r w:rsidRPr="00C52080">
        <w:t xml:space="preserve"> matri</w:t>
      </w:r>
      <w:r>
        <w:t>z</w:t>
      </w:r>
      <w:r w:rsidRPr="00C52080">
        <w:t xml:space="preserve"> </w:t>
      </w:r>
      <w:r>
        <w:t xml:space="preserve">de dimensão </w:t>
      </w:r>
      <w:r w:rsidRPr="00C52080">
        <w:rPr>
          <w:i/>
        </w:rPr>
        <w:t>N</w:t>
      </w:r>
      <w:r>
        <w:sym w:font="Symbol" w:char="F0B4"/>
      </w:r>
      <w:r w:rsidRPr="00C52080">
        <w:t>(</w:t>
      </w:r>
      <w:r w:rsidRPr="00C52080">
        <w:rPr>
          <w:i/>
        </w:rPr>
        <w:t>N</w:t>
      </w:r>
      <w:r w:rsidRPr="00C52080">
        <w:t>-1)</w:t>
      </w:r>
      <w:r>
        <w:t xml:space="preserve"> formada pelos elementos </w:t>
      </w:r>
      <w:proofErr w:type="spellStart"/>
      <w:r w:rsidRPr="00C52080">
        <w:rPr>
          <w:i/>
        </w:rPr>
        <w:t>R</w:t>
      </w:r>
      <w:r w:rsidRPr="00C52080">
        <w:rPr>
          <w:i/>
          <w:vertAlign w:val="subscript"/>
        </w:rPr>
        <w:t>ij</w:t>
      </w:r>
      <w:proofErr w:type="spellEnd"/>
      <w:r>
        <w:rPr>
          <w:i/>
          <w:vertAlign w:val="subscript"/>
        </w:rPr>
        <w:t xml:space="preserve"> </w:t>
      </w:r>
      <w:r w:rsidRPr="00C52080">
        <w:t>-</w:t>
      </w:r>
      <w:r>
        <w:t xml:space="preserve"> </w:t>
      </w:r>
      <w:proofErr w:type="spellStart"/>
      <w:r w:rsidRPr="00C52080">
        <w:rPr>
          <w:i/>
        </w:rPr>
        <w:t>R</w:t>
      </w:r>
      <w:r w:rsidRPr="00C52080">
        <w:rPr>
          <w:i/>
          <w:vertAlign w:val="subscript"/>
        </w:rPr>
        <w:t>in</w:t>
      </w:r>
      <w:proofErr w:type="spellEnd"/>
      <w:r>
        <w:t xml:space="preserve">, </w:t>
      </w:r>
      <w:r w:rsidRPr="002D7F06">
        <w:t>em que</w:t>
      </w:r>
      <w:r w:rsidRPr="00C52080">
        <w:t xml:space="preserve"> </w:t>
      </w:r>
      <w:r w:rsidRPr="00C52080">
        <w:rPr>
          <w:i/>
        </w:rPr>
        <w:t>i</w:t>
      </w:r>
      <w:r>
        <w:rPr>
          <w:i/>
        </w:rPr>
        <w:t xml:space="preserve"> </w:t>
      </w:r>
      <w:r w:rsidRPr="00C52080">
        <w:t>=</w:t>
      </w:r>
      <w:r>
        <w:t xml:space="preserve"> </w:t>
      </w:r>
      <w:r w:rsidRPr="00C52080">
        <w:t>1,</w:t>
      </w:r>
      <w:r>
        <w:t xml:space="preserve"> </w:t>
      </w:r>
      <w:r w:rsidRPr="00C52080">
        <w:t>…,</w:t>
      </w:r>
      <w:r>
        <w:t xml:space="preserve"> </w:t>
      </w:r>
      <w:r w:rsidRPr="00C52080">
        <w:rPr>
          <w:i/>
        </w:rPr>
        <w:t>N</w:t>
      </w:r>
      <w:r w:rsidRPr="00C52080">
        <w:t xml:space="preserve">, </w:t>
      </w:r>
      <w:r w:rsidRPr="00C52080">
        <w:rPr>
          <w:i/>
        </w:rPr>
        <w:t>j</w:t>
      </w:r>
      <w:r>
        <w:rPr>
          <w:i/>
        </w:rPr>
        <w:t xml:space="preserve"> </w:t>
      </w:r>
      <w:r w:rsidRPr="00C52080">
        <w:t>=</w:t>
      </w:r>
      <w:r>
        <w:t xml:space="preserve"> </w:t>
      </w:r>
      <w:r w:rsidRPr="00C52080">
        <w:t>1,…,</w:t>
      </w:r>
      <w:r>
        <w:t xml:space="preserve"> </w:t>
      </w:r>
      <w:r w:rsidRPr="00C52080">
        <w:rPr>
          <w:i/>
        </w:rPr>
        <w:t>n</w:t>
      </w:r>
      <w:r>
        <w:t>-1;</w:t>
      </w:r>
      <w:r w:rsidRPr="00C52080">
        <w:t xml:space="preserve"> </w:t>
      </w:r>
      <w:r w:rsidRPr="00C52080">
        <w:rPr>
          <w:i/>
        </w:rPr>
        <w:t>n</w:t>
      </w:r>
      <w:r w:rsidRPr="00C52080">
        <w:t xml:space="preserve"> </w:t>
      </w:r>
      <w:r>
        <w:t xml:space="preserve">indexa a última equação do sistema que corresponde à equação </w:t>
      </w:r>
      <w:r w:rsidRPr="00345FFC">
        <w:t>eliminada do sistema</w:t>
      </w:r>
      <w:r>
        <w:t xml:space="preserve"> para contornar o problema de singularidade de </w:t>
      </w:r>
      <w:r>
        <w:sym w:font="Symbol" w:char="F0E5"/>
      </w:r>
      <w:r>
        <w:t>;</w:t>
      </w:r>
      <w:r w:rsidRPr="00345FFC">
        <w:t xml:space="preserve"> e </w:t>
      </w:r>
      <w:proofErr w:type="spellStart"/>
      <w:r w:rsidRPr="00345FFC">
        <w:rPr>
          <w:i/>
        </w:rPr>
        <w:t>R</w:t>
      </w:r>
      <w:r w:rsidRPr="00345FFC">
        <w:rPr>
          <w:i/>
          <w:vertAlign w:val="subscript"/>
        </w:rPr>
        <w:t>ij</w:t>
      </w:r>
      <w:proofErr w:type="spellEnd"/>
      <w:r w:rsidRPr="00345FFC">
        <w:rPr>
          <w:i/>
        </w:rPr>
        <w:t xml:space="preserve"> </w:t>
      </w:r>
      <w:r w:rsidRPr="00345FFC">
        <w:t xml:space="preserve">são elementos da matriz </w:t>
      </w:r>
      <w:r w:rsidRPr="00345FFC">
        <w:rPr>
          <w:b/>
        </w:rPr>
        <w:t>R</w:t>
      </w:r>
      <w:r w:rsidRPr="00345FFC">
        <w:t xml:space="preserve">. Em seguida, </w:t>
      </w:r>
      <w:proofErr w:type="spellStart"/>
      <w:r w:rsidRPr="00345FFC">
        <w:t>Berndt</w:t>
      </w:r>
      <w:proofErr w:type="spellEnd"/>
      <w:r w:rsidRPr="00345FFC">
        <w:t xml:space="preserve"> </w:t>
      </w:r>
      <w:r>
        <w:t>e</w:t>
      </w:r>
      <w:r w:rsidRPr="00345FFC">
        <w:t xml:space="preserve"> </w:t>
      </w:r>
      <w:proofErr w:type="spellStart"/>
      <w:r w:rsidRPr="00345FFC">
        <w:t>Savin</w:t>
      </w:r>
      <w:proofErr w:type="spellEnd"/>
      <w:r w:rsidRPr="00345FFC">
        <w:t xml:space="preserve"> (1975) definem </w:t>
      </w:r>
      <w:r w:rsidRPr="003F3AE5">
        <w:rPr>
          <w:position w:val="-6"/>
        </w:rPr>
        <w:object w:dxaOrig="340" w:dyaOrig="340" w14:anchorId="6C4ACAAB">
          <v:shape id="_x0000_i1049" type="#_x0000_t75" style="width:17.1pt;height:17.1pt" o:ole="">
            <v:imagedata r:id="rId67" o:title=""/>
          </v:shape>
          <o:OLEObject Type="Embed" ProgID="Equation.DSMT4" ShapeID="_x0000_i1049" DrawAspect="Content" ObjectID="_1341397229" r:id="rId68"/>
        </w:object>
      </w:r>
      <w:r w:rsidRPr="00345FFC">
        <w:t xml:space="preserve"> como a matriz formada pelas primeiras </w:t>
      </w:r>
      <w:r>
        <w:t xml:space="preserve">  </w:t>
      </w:r>
      <w:r w:rsidRPr="00345FFC">
        <w:rPr>
          <w:i/>
        </w:rPr>
        <w:t>N</w:t>
      </w:r>
      <w:r w:rsidRPr="00345FFC">
        <w:t xml:space="preserve">-1 linhas de </w:t>
      </w:r>
      <w:r w:rsidRPr="003F3AE5">
        <w:rPr>
          <w:position w:val="-4"/>
        </w:rPr>
        <w:object w:dxaOrig="260" w:dyaOrig="320" w14:anchorId="0C4DE195">
          <v:shape id="_x0000_i1050" type="#_x0000_t75" style="width:13.1pt;height:16.1pt" o:ole="">
            <v:imagedata r:id="rId69" o:title=""/>
          </v:shape>
          <o:OLEObject Type="Embed" ProgID="Equation.DSMT4" ShapeID="_x0000_i1050" DrawAspect="Content" ObjectID="_1341397230" r:id="rId70"/>
        </w:object>
      </w:r>
      <w:r w:rsidRPr="000D0D54">
        <w:t xml:space="preserve">, </w:t>
      </w:r>
      <w:r>
        <w:t xml:space="preserve">sendo, </w:t>
      </w:r>
      <w:r w:rsidRPr="000D0D54">
        <w:t xml:space="preserve">portanto, de </w:t>
      </w:r>
      <w:r>
        <w:t>dimensão</w:t>
      </w:r>
      <w:r w:rsidRPr="00345FFC">
        <w:t xml:space="preserve"> </w:t>
      </w:r>
      <w:r w:rsidRPr="00D36DFC">
        <w:t>(</w:t>
      </w:r>
      <w:r w:rsidRPr="00345FFC">
        <w:rPr>
          <w:i/>
        </w:rPr>
        <w:t>N</w:t>
      </w:r>
      <w:r w:rsidRPr="00C52080">
        <w:t>-</w:t>
      </w:r>
      <w:r w:rsidRPr="00345FFC">
        <w:t>1</w:t>
      </w:r>
      <w:r>
        <w:t>)</w:t>
      </w:r>
      <w:r>
        <w:sym w:font="Symbol" w:char="F0B4"/>
      </w:r>
      <w:r>
        <w:t>(</w:t>
      </w:r>
      <w:r w:rsidRPr="00C52080">
        <w:rPr>
          <w:i/>
        </w:rPr>
        <w:t>N</w:t>
      </w:r>
      <w:r w:rsidRPr="00C52080">
        <w:t>-1</w:t>
      </w:r>
      <w:r>
        <w:t>)</w:t>
      </w:r>
      <w:r w:rsidRPr="00C51AAD">
        <w:t xml:space="preserve">. </w:t>
      </w:r>
      <w:r>
        <w:t xml:space="preserve">Como </w:t>
      </w:r>
      <w:r w:rsidRPr="00345FFC">
        <w:t>serão os prim</w:t>
      </w:r>
      <w:r>
        <w:t>eir</w:t>
      </w:r>
      <w:r w:rsidRPr="00345FFC">
        <w:t>os</w:t>
      </w:r>
      <w:r>
        <w:t xml:space="preserve"> </w:t>
      </w:r>
      <w:r w:rsidRPr="00345FFC">
        <w:rPr>
          <w:i/>
        </w:rPr>
        <w:t>N</w:t>
      </w:r>
      <w:r>
        <w:t>-</w:t>
      </w:r>
      <w:r w:rsidRPr="00345FFC">
        <w:t>1</w:t>
      </w:r>
      <w:r>
        <w:t xml:space="preserve"> </w:t>
      </w:r>
      <w:r w:rsidRPr="00345FFC">
        <w:t>element</w:t>
      </w:r>
      <w:r>
        <w:t>o</w:t>
      </w:r>
      <w:r w:rsidRPr="00345FFC">
        <w:t xml:space="preserve">s </w:t>
      </w:r>
      <w:r>
        <w:t>de</w:t>
      </w:r>
      <w:r w:rsidRPr="00345FFC">
        <w:t xml:space="preserve"> </w:t>
      </w:r>
      <w:r w:rsidRPr="003F3AE5">
        <w:rPr>
          <w:position w:val="-6"/>
        </w:rPr>
        <w:object w:dxaOrig="340" w:dyaOrig="340" w14:anchorId="22D3D47E">
          <v:shape id="_x0000_i1051" type="#_x0000_t75" style="width:17.1pt;height:17.1pt" o:ole="">
            <v:imagedata r:id="rId71" o:title=""/>
          </v:shape>
          <o:OLEObject Type="Embed" ProgID="Equation.DSMT4" ShapeID="_x0000_i1051" DrawAspect="Content" ObjectID="_1341397231" r:id="rId72"/>
        </w:object>
      </w:r>
      <w:r w:rsidRPr="00345FFC">
        <w:t xml:space="preserve"> </w:t>
      </w:r>
      <w:r>
        <w:t xml:space="preserve">que serão estimados, e não os elementos de </w:t>
      </w:r>
      <w:r w:rsidRPr="003F3AE5">
        <w:rPr>
          <w:position w:val="-4"/>
        </w:rPr>
        <w:object w:dxaOrig="260" w:dyaOrig="320" w14:anchorId="338BA490">
          <v:shape id="_x0000_i1052" type="#_x0000_t75" style="width:13.1pt;height:16.1pt" o:ole="">
            <v:imagedata r:id="rId73" o:title=""/>
          </v:shape>
          <o:OLEObject Type="Embed" ProgID="Equation.DSMT4" ShapeID="_x0000_i1052" DrawAspect="Content" ObjectID="_1341397232" r:id="rId74"/>
        </w:object>
      </w:r>
      <w:r>
        <w:t>ou</w:t>
      </w:r>
      <w:r w:rsidRPr="00345FFC">
        <w:t xml:space="preserve"> </w:t>
      </w:r>
      <w:r w:rsidRPr="00345FFC">
        <w:rPr>
          <w:b/>
        </w:rPr>
        <w:t>R</w:t>
      </w:r>
      <w:r w:rsidRPr="00345FFC">
        <w:t xml:space="preserve">, </w:t>
      </w:r>
      <w:r>
        <w:t xml:space="preserve">qualquer </w:t>
      </w:r>
      <w:r w:rsidRPr="006A7093">
        <w:t xml:space="preserve">restrição </w:t>
      </w:r>
      <w:r>
        <w:t xml:space="preserve">sobre </w:t>
      </w:r>
      <w:r w:rsidRPr="003F3AE5">
        <w:rPr>
          <w:position w:val="-4"/>
        </w:rPr>
        <w:object w:dxaOrig="260" w:dyaOrig="320" w14:anchorId="0F350A66">
          <v:shape id="_x0000_i1053" type="#_x0000_t75" style="width:13.1pt;height:16.1pt" o:ole="">
            <v:imagedata r:id="rId75" o:title=""/>
          </v:shape>
          <o:OLEObject Type="Embed" ProgID="Equation.DSMT4" ShapeID="_x0000_i1053" DrawAspect="Content" ObjectID="_1341397233" r:id="rId76"/>
        </w:object>
      </w:r>
      <w:r>
        <w:t>ou</w:t>
      </w:r>
      <w:r w:rsidRPr="00345FFC">
        <w:t xml:space="preserve"> </w:t>
      </w:r>
      <w:r w:rsidRPr="00345FFC">
        <w:rPr>
          <w:b/>
        </w:rPr>
        <w:t>R</w:t>
      </w:r>
      <w:r w:rsidRPr="00345FFC">
        <w:t xml:space="preserve"> </w:t>
      </w:r>
      <w:r>
        <w:t xml:space="preserve">pode ser facilmente imposta a </w:t>
      </w:r>
      <w:r w:rsidRPr="003F3AE5">
        <w:rPr>
          <w:position w:val="-6"/>
        </w:rPr>
        <w:object w:dxaOrig="340" w:dyaOrig="340" w14:anchorId="00DC959E">
          <v:shape id="_x0000_i1054" type="#_x0000_t75" style="width:17.1pt;height:17.1pt" o:ole="">
            <v:imagedata r:id="rId77" o:title=""/>
          </v:shape>
          <o:OLEObject Type="Embed" ProgID="Equation.DSMT4" ShapeID="_x0000_i1054" DrawAspect="Content" ObjectID="_1341397234" r:id="rId78"/>
        </w:object>
      </w:r>
      <w:r w:rsidRPr="00C51AAD">
        <w:t>apó</w:t>
      </w:r>
      <w:r>
        <w:t>s a estimação do sistema de equações</w:t>
      </w:r>
      <w:r w:rsidRPr="00345FFC">
        <w:t xml:space="preserve"> (PIGGOTT </w:t>
      </w:r>
      <w:r w:rsidRPr="00AC6920">
        <w:t>et al.,</w:t>
      </w:r>
      <w:r>
        <w:t xml:space="preserve"> 1996). Dessa forma,</w:t>
      </w:r>
      <w:r w:rsidRPr="00345FFC">
        <w:t xml:space="preserve"> </w:t>
      </w:r>
      <w:r>
        <w:t xml:space="preserve">a estimação por máxima verossimilhança do sistema constituído pelas </w:t>
      </w:r>
      <w:r w:rsidRPr="00345FFC">
        <w:rPr>
          <w:i/>
        </w:rPr>
        <w:t>N</w:t>
      </w:r>
      <w:r>
        <w:t>-</w:t>
      </w:r>
      <w:r w:rsidRPr="00345FFC">
        <w:t>1 equa</w:t>
      </w:r>
      <w:r>
        <w:t>ções será invariante à equação que foi eliminada do sistema original, como desejado</w:t>
      </w:r>
      <w:r w:rsidRPr="00345FFC">
        <w:t>.</w:t>
      </w:r>
    </w:p>
    <w:p w14:paraId="44897F4A" w14:textId="77777777" w:rsidR="00FE7FDA" w:rsidRPr="00AC6920" w:rsidRDefault="00FE7FDA" w:rsidP="00BC6645">
      <w:pPr>
        <w:ind w:firstLine="432"/>
        <w:jc w:val="both"/>
      </w:pPr>
      <w:r>
        <w:t xml:space="preserve">Seguindo o que fizeram </w:t>
      </w:r>
      <w:proofErr w:type="spellStart"/>
      <w:r w:rsidRPr="00AC6920">
        <w:t>Piggott</w:t>
      </w:r>
      <w:proofErr w:type="spellEnd"/>
      <w:r w:rsidRPr="00AC6920">
        <w:t xml:space="preserve"> et al. (1996), correções para autocorre</w:t>
      </w:r>
      <w:r>
        <w:t>la</w:t>
      </w:r>
      <w:r w:rsidRPr="00AC6920">
        <w:t>ç</w:t>
      </w:r>
      <w:r>
        <w:t>ão de primeira ordem nos erros foram</w:t>
      </w:r>
      <w:r w:rsidRPr="00AC6920">
        <w:t xml:space="preserve"> incorporadas modifica</w:t>
      </w:r>
      <w:r>
        <w:t xml:space="preserve">ndo-se o sistema AIDS (1) para: </w:t>
      </w:r>
    </w:p>
    <w:p w14:paraId="69E50EC6" w14:textId="77777777" w:rsidR="00FE7FDA" w:rsidRPr="0015656B" w:rsidRDefault="00FE7FDA" w:rsidP="00BC6645">
      <w:pPr>
        <w:jc w:val="both"/>
      </w:pPr>
      <w:r w:rsidRPr="003F3AE5">
        <w:rPr>
          <w:position w:val="-12"/>
        </w:rPr>
        <w:object w:dxaOrig="4620" w:dyaOrig="400" w14:anchorId="29648878">
          <v:shape id="_x0000_i1055" type="#_x0000_t75" style="width:232.1pt;height:20.15pt" o:ole="">
            <v:imagedata r:id="rId79" o:title=""/>
          </v:shape>
          <o:OLEObject Type="Embed" ProgID="Equation.DSMT4" ShapeID="_x0000_i1055" DrawAspect="Content" ObjectID="_1341397235" r:id="rId80"/>
        </w:object>
      </w:r>
      <w:r w:rsidRPr="0015656B">
        <w:t xml:space="preserve"> </w:t>
      </w:r>
      <w:r w:rsidRPr="0015656B">
        <w:tab/>
      </w:r>
      <w:r w:rsidRPr="0015656B">
        <w:tab/>
        <w:t xml:space="preserve">           </w:t>
      </w:r>
      <w:r w:rsidRPr="0015656B">
        <w:tab/>
      </w:r>
      <w:r w:rsidRPr="0015656B">
        <w:tab/>
      </w:r>
      <w:r w:rsidRPr="0015656B">
        <w:tab/>
      </w:r>
      <w:r>
        <w:t xml:space="preserve">            </w:t>
      </w:r>
      <w:r w:rsidR="00B803AC">
        <w:t xml:space="preserve">    </w:t>
      </w:r>
      <w:r>
        <w:t>(7</w:t>
      </w:r>
      <w:r w:rsidRPr="0015656B">
        <w:t>)</w:t>
      </w:r>
    </w:p>
    <w:p w14:paraId="1374BA6B" w14:textId="77777777" w:rsidR="00FE7FDA" w:rsidRPr="00AC6920" w:rsidRDefault="00FE7FDA" w:rsidP="00BC6645">
      <w:pPr>
        <w:jc w:val="both"/>
      </w:pPr>
      <w:r w:rsidRPr="006A7093">
        <w:t>em que</w:t>
      </w:r>
      <w:r w:rsidRPr="00AC6920">
        <w:t xml:space="preserve"> </w:t>
      </w:r>
      <w:proofErr w:type="spellStart"/>
      <w:r w:rsidRPr="00AC6920">
        <w:rPr>
          <w:b/>
        </w:rPr>
        <w:t>W</w:t>
      </w:r>
      <w:r w:rsidRPr="00AC6920">
        <w:rPr>
          <w:vertAlign w:val="subscript"/>
        </w:rPr>
        <w:t>t</w:t>
      </w:r>
      <w:proofErr w:type="spellEnd"/>
      <w:r w:rsidRPr="00AC6920">
        <w:t xml:space="preserve"> é um</w:t>
      </w:r>
      <w:r>
        <w:t>a matriz</w:t>
      </w:r>
      <w:r w:rsidRPr="00AC6920">
        <w:t xml:space="preserve"> </w:t>
      </w:r>
      <w:r>
        <w:t>(</w:t>
      </w:r>
      <w:r w:rsidRPr="00AC6920">
        <w:rPr>
          <w:i/>
        </w:rPr>
        <w:t>N</w:t>
      </w:r>
      <w:r w:rsidRPr="00D36DFC">
        <w:t>-1</w:t>
      </w:r>
      <w:r>
        <w:t>)</w:t>
      </w:r>
      <w:r>
        <w:sym w:font="Symbol" w:char="F0B4"/>
      </w:r>
      <w:r w:rsidRPr="00AC6920">
        <w:t xml:space="preserve">1 de parcelas </w:t>
      </w:r>
      <w:r>
        <w:t>do gasto</w:t>
      </w:r>
      <w:r w:rsidRPr="00AC6920">
        <w:t xml:space="preserve"> observadas para os </w:t>
      </w:r>
      <w:r w:rsidRPr="00AC6920">
        <w:rPr>
          <w:i/>
        </w:rPr>
        <w:t>N</w:t>
      </w:r>
      <w:r w:rsidRPr="00D36DFC">
        <w:t>-1</w:t>
      </w:r>
      <w:r w:rsidRPr="00AC6920">
        <w:t xml:space="preserve"> bens incluídos no sistema a ser estimado</w:t>
      </w:r>
      <w:r>
        <w:t>;</w:t>
      </w:r>
      <w:r w:rsidRPr="00AC6920">
        <w:t xml:space="preserve"> e </w:t>
      </w:r>
      <w:proofErr w:type="spellStart"/>
      <w:r w:rsidRPr="00AC6920">
        <w:rPr>
          <w:b/>
        </w:rPr>
        <w:t>W</w:t>
      </w:r>
      <w:r w:rsidRPr="00AC6920">
        <w:rPr>
          <w:vertAlign w:val="subscript"/>
        </w:rPr>
        <w:t>t</w:t>
      </w:r>
      <w:proofErr w:type="spellEnd"/>
      <w:r w:rsidRPr="00AC6920">
        <w:t>(</w:t>
      </w:r>
      <w:proofErr w:type="spellStart"/>
      <w:r w:rsidRPr="00AC6920">
        <w:rPr>
          <w:b/>
        </w:rPr>
        <w:t>p</w:t>
      </w:r>
      <w:r w:rsidRPr="00AC6920">
        <w:rPr>
          <w:vertAlign w:val="subscript"/>
        </w:rPr>
        <w:t>t</w:t>
      </w:r>
      <w:proofErr w:type="spellEnd"/>
      <w:r w:rsidRPr="00AC6920">
        <w:t xml:space="preserve">, </w:t>
      </w:r>
      <w:proofErr w:type="spellStart"/>
      <w:r w:rsidRPr="00AC6920">
        <w:rPr>
          <w:i/>
        </w:rPr>
        <w:t>x</w:t>
      </w:r>
      <w:r w:rsidRPr="00AC6920">
        <w:rPr>
          <w:vertAlign w:val="subscript"/>
        </w:rPr>
        <w:t>t</w:t>
      </w:r>
      <w:proofErr w:type="spellEnd"/>
      <w:r w:rsidRPr="00AC6920">
        <w:t xml:space="preserve">) </w:t>
      </w:r>
      <w:r>
        <w:t>é uma</w:t>
      </w:r>
      <w:r w:rsidRPr="00AC6920">
        <w:t xml:space="preserve"> </w:t>
      </w:r>
      <w:r>
        <w:t>matriz (</w:t>
      </w:r>
      <w:r w:rsidRPr="00AC6920">
        <w:rPr>
          <w:i/>
        </w:rPr>
        <w:t>N</w:t>
      </w:r>
      <w:r w:rsidRPr="00D36DFC">
        <w:t>-1</w:t>
      </w:r>
      <w:r>
        <w:t>)</w:t>
      </w:r>
      <w:r>
        <w:sym w:font="Symbol" w:char="F0B4"/>
      </w:r>
      <w:r w:rsidRPr="00AC6920">
        <w:t xml:space="preserve">1 </w:t>
      </w:r>
      <w:r>
        <w:t xml:space="preserve">de equações de parcelas do gasto do sistema </w:t>
      </w:r>
      <w:r w:rsidRPr="00AC6920">
        <w:t xml:space="preserve">AIDS </w:t>
      </w:r>
      <w:r>
        <w:t>definidas segundo as equações (10</w:t>
      </w:r>
      <w:r w:rsidRPr="00AC6920">
        <w:t>).</w:t>
      </w:r>
    </w:p>
    <w:p w14:paraId="00205159" w14:textId="77777777" w:rsidR="00FE7FDA" w:rsidRDefault="00FE7FDA" w:rsidP="00BC6645">
      <w:pPr>
        <w:ind w:firstLine="432"/>
        <w:jc w:val="both"/>
      </w:pPr>
      <w:r w:rsidRPr="004E0656">
        <w:t xml:space="preserve">No presente estudo, os modelos foram estimados </w:t>
      </w:r>
      <w:r>
        <w:t xml:space="preserve">com base em (7), </w:t>
      </w:r>
      <w:r w:rsidRPr="004E0656">
        <w:t>utilizando</w:t>
      </w:r>
      <w:r>
        <w:t>, para tanto: uma</w:t>
      </w:r>
      <w:r w:rsidRPr="004E0656">
        <w:t xml:space="preserve"> matriz </w:t>
      </w:r>
      <w:r>
        <w:t>n</w:t>
      </w:r>
      <w:r w:rsidRPr="004E0656">
        <w:t xml:space="preserve">ula </w:t>
      </w:r>
      <w:r w:rsidRPr="003F3AE5">
        <w:rPr>
          <w:position w:val="-6"/>
        </w:rPr>
        <w:object w:dxaOrig="340" w:dyaOrig="340" w14:anchorId="10D434AC">
          <v:shape id="_x0000_i1056" type="#_x0000_t75" style="width:17.1pt;height:17.1pt" o:ole="">
            <v:imagedata r:id="rId81" o:title=""/>
          </v:shape>
          <o:OLEObject Type="Embed" ProgID="Equation.DSMT4" ShapeID="_x0000_i1056" DrawAspect="Content" ObjectID="_1341397236" r:id="rId82"/>
        </w:object>
      </w:r>
      <w:r w:rsidRPr="004E0656">
        <w:t xml:space="preserve"> </w:t>
      </w:r>
      <w:r>
        <w:t>denominada</w:t>
      </w:r>
      <w:r w:rsidRPr="004E0656">
        <w:t xml:space="preserve"> N-</w:t>
      </w:r>
      <w:proofErr w:type="spellStart"/>
      <w:r w:rsidRPr="004E0656">
        <w:t>R</w:t>
      </w:r>
      <w:r>
        <w:rPr>
          <w:vertAlign w:val="superscript"/>
        </w:rPr>
        <w:t>matriz</w:t>
      </w:r>
      <w:proofErr w:type="spellEnd"/>
      <w:r w:rsidRPr="004E0656">
        <w:t xml:space="preserve"> </w:t>
      </w:r>
      <w:r w:rsidR="00EE693D">
        <w:t xml:space="preserve">em que </w:t>
      </w:r>
      <w:r>
        <w:t>todos os</w:t>
      </w:r>
      <w:r w:rsidRPr="004E0656">
        <w:t xml:space="preserve"> </w:t>
      </w:r>
      <w:r>
        <w:t xml:space="preserve">seus </w:t>
      </w:r>
      <w:r w:rsidRPr="004E0656">
        <w:t xml:space="preserve">elementos </w:t>
      </w:r>
      <w:r w:rsidR="00EE693D">
        <w:t xml:space="preserve">são </w:t>
      </w:r>
      <w:r w:rsidRPr="006A7093">
        <w:t>zero</w:t>
      </w:r>
      <w:r>
        <w:rPr>
          <w:rStyle w:val="FootnoteReference"/>
        </w:rPr>
        <w:footnoteReference w:id="10"/>
      </w:r>
      <w:r>
        <w:t>;</w:t>
      </w:r>
      <w:r w:rsidRPr="004E0656">
        <w:t xml:space="preserve"> </w:t>
      </w:r>
      <w:r>
        <w:t>um</w:t>
      </w:r>
      <w:r w:rsidRPr="004E0656">
        <w:t xml:space="preserve">a </w:t>
      </w:r>
      <w:r>
        <w:t>matriz</w:t>
      </w:r>
      <w:r w:rsidRPr="004E0656">
        <w:t xml:space="preserve"> </w:t>
      </w:r>
      <w:r>
        <w:t>d</w:t>
      </w:r>
      <w:r w:rsidRPr="004E0656">
        <w:t xml:space="preserve">iagonal </w:t>
      </w:r>
      <w:r w:rsidRPr="003F3AE5">
        <w:rPr>
          <w:position w:val="-6"/>
        </w:rPr>
        <w:object w:dxaOrig="340" w:dyaOrig="340" w14:anchorId="37F557A1">
          <v:shape id="_x0000_i1057" type="#_x0000_t75" style="width:17.1pt;height:17.1pt" o:ole="">
            <v:imagedata r:id="rId83" o:title=""/>
          </v:shape>
          <o:OLEObject Type="Embed" ProgID="Equation.DSMT4" ShapeID="_x0000_i1057" DrawAspect="Content" ObjectID="_1341397237" r:id="rId84"/>
        </w:object>
      </w:r>
      <w:r w:rsidRPr="00CD7A0A">
        <w:rPr>
          <w:position w:val="-6"/>
        </w:rPr>
        <w:t xml:space="preserve"> </w:t>
      </w:r>
      <w:r>
        <w:t xml:space="preserve">denominada </w:t>
      </w:r>
      <w:r w:rsidRPr="004E0656">
        <w:t>D-</w:t>
      </w:r>
      <w:proofErr w:type="spellStart"/>
      <w:r w:rsidRPr="004E0656">
        <w:t>R</w:t>
      </w:r>
      <w:r>
        <w:rPr>
          <w:vertAlign w:val="superscript"/>
        </w:rPr>
        <w:t>matriz</w:t>
      </w:r>
      <w:proofErr w:type="spellEnd"/>
      <w:r>
        <w:t xml:space="preserve"> </w:t>
      </w:r>
      <w:r w:rsidR="00EE693D">
        <w:t xml:space="preserve">em que </w:t>
      </w:r>
      <w:r>
        <w:t>e</w:t>
      </w:r>
      <w:r w:rsidR="00EE693D">
        <w:t>lementos de igual valor compõem</w:t>
      </w:r>
      <w:r>
        <w:t xml:space="preserve"> a sua diagonal principal e zeros fora de sua diagonal principal;</w:t>
      </w:r>
      <w:r w:rsidRPr="004E0656">
        <w:t xml:space="preserve"> </w:t>
      </w:r>
      <w:r>
        <w:t>e uma matriz</w:t>
      </w:r>
      <w:r w:rsidRPr="004E0656">
        <w:t xml:space="preserve"> </w:t>
      </w:r>
      <w:r>
        <w:t xml:space="preserve">completa </w:t>
      </w:r>
      <w:r w:rsidRPr="003F3AE5">
        <w:rPr>
          <w:position w:val="-6"/>
        </w:rPr>
        <w:object w:dxaOrig="340" w:dyaOrig="340" w14:anchorId="5A2F92F7">
          <v:shape id="_x0000_i1058" type="#_x0000_t75" style="width:17.1pt;height:17.1pt" o:ole="">
            <v:imagedata r:id="rId85" o:title=""/>
          </v:shape>
          <o:OLEObject Type="Embed" ProgID="Equation.DSMT4" ShapeID="_x0000_i1058" DrawAspect="Content" ObjectID="_1341397238" r:id="rId86"/>
        </w:object>
      </w:r>
      <w:r w:rsidRPr="00B85440">
        <w:t xml:space="preserve">denominada </w:t>
      </w:r>
      <w:r w:rsidRPr="004E0656">
        <w:t>F-</w:t>
      </w:r>
      <w:proofErr w:type="spellStart"/>
      <w:r w:rsidRPr="004E0656">
        <w:t>R</w:t>
      </w:r>
      <w:r>
        <w:rPr>
          <w:vertAlign w:val="superscript"/>
        </w:rPr>
        <w:t>matriz</w:t>
      </w:r>
      <w:proofErr w:type="spellEnd"/>
      <w:r>
        <w:t xml:space="preserve"> </w:t>
      </w:r>
      <w:r w:rsidR="00EE693D">
        <w:t xml:space="preserve">em que os seus elementos </w:t>
      </w:r>
      <w:r>
        <w:t>podem assumir qualquer valor real</w:t>
      </w:r>
      <w:r w:rsidRPr="004E0656">
        <w:t>.</w:t>
      </w:r>
      <w:r>
        <w:t xml:space="preserve"> </w:t>
      </w:r>
      <w:r w:rsidRPr="003D404C">
        <w:t>Cada uma</w:t>
      </w:r>
      <w:r>
        <w:t xml:space="preserve"> dessas matrizes é de dimensão (</w:t>
      </w:r>
      <w:r w:rsidRPr="00345FFC">
        <w:rPr>
          <w:i/>
        </w:rPr>
        <w:t>N</w:t>
      </w:r>
      <w:r w:rsidRPr="00D36DFC">
        <w:t>-1</w:t>
      </w:r>
      <w:r>
        <w:t>)</w:t>
      </w:r>
      <w:r>
        <w:sym w:font="Symbol" w:char="F0B4"/>
      </w:r>
      <w:r w:rsidRPr="00C52080">
        <w:t>(</w:t>
      </w:r>
      <w:r w:rsidRPr="00C52080">
        <w:rPr>
          <w:i/>
        </w:rPr>
        <w:t>N</w:t>
      </w:r>
      <w:r>
        <w:t>-1</w:t>
      </w:r>
      <w:r w:rsidRPr="00C52080">
        <w:t>)</w:t>
      </w:r>
      <w:r>
        <w:t>.</w:t>
      </w:r>
    </w:p>
    <w:p w14:paraId="72DD78D4" w14:textId="77777777" w:rsidR="00FE7FDA" w:rsidRDefault="00FE7FDA" w:rsidP="00BC6645">
      <w:pPr>
        <w:ind w:firstLine="547"/>
        <w:jc w:val="both"/>
      </w:pPr>
    </w:p>
    <w:p w14:paraId="35715162" w14:textId="77777777" w:rsidR="00094A06" w:rsidRPr="00702AD3" w:rsidRDefault="00094A06" w:rsidP="00BC6645">
      <w:pPr>
        <w:numPr>
          <w:ilvl w:val="0"/>
          <w:numId w:val="2"/>
        </w:numPr>
        <w:jc w:val="both"/>
        <w:rPr>
          <w:b/>
        </w:rPr>
      </w:pPr>
      <w:r w:rsidRPr="00702AD3">
        <w:rPr>
          <w:b/>
        </w:rPr>
        <w:t>Resultados e Discussão</w:t>
      </w:r>
    </w:p>
    <w:p w14:paraId="574BE1E9" w14:textId="77777777" w:rsidR="00094A06" w:rsidRPr="00C27446" w:rsidRDefault="00CF5599" w:rsidP="00BC6645">
      <w:pPr>
        <w:jc w:val="both"/>
      </w:pPr>
      <w:r>
        <w:t>Nessa seção são</w:t>
      </w:r>
      <w:r w:rsidR="00094A06" w:rsidRPr="00C27446">
        <w:t xml:space="preserve"> seguidos os</w:t>
      </w:r>
      <w:r w:rsidR="00094A06">
        <w:t xml:space="preserve"> seguintes passos. Primeiro</w:t>
      </w:r>
      <w:r>
        <w:t>, s</w:t>
      </w:r>
      <w:r w:rsidR="00094A06" w:rsidRPr="00C27446">
        <w:t>ão descritos os procedimentos utilizados na estimação dos modelos fo</w:t>
      </w:r>
      <w:r w:rsidR="00094A06">
        <w:t>rmulados segundo as equações (1), (2), (3</w:t>
      </w:r>
      <w:r w:rsidR="00094A06" w:rsidRPr="00C27446">
        <w:t>)</w:t>
      </w:r>
      <w:r w:rsidR="00094A06">
        <w:t xml:space="preserve"> e (7)</w:t>
      </w:r>
      <w:r w:rsidR="00094A06" w:rsidRPr="00C27446">
        <w:t>. O segundo passo co</w:t>
      </w:r>
      <w:r w:rsidR="00094A06">
        <w:t>nsiste</w:t>
      </w:r>
      <w:r w:rsidR="00094A06" w:rsidRPr="00C27446">
        <w:t xml:space="preserve"> em apresentar os testes de raiz unitária </w:t>
      </w:r>
      <w:r w:rsidR="00EE693D">
        <w:t xml:space="preserve">para </w:t>
      </w:r>
      <w:r w:rsidR="00094A06">
        <w:t>os erros</w:t>
      </w:r>
      <w:r w:rsidR="00EE693D">
        <w:t xml:space="preserve"> </w:t>
      </w:r>
      <w:r w:rsidR="00094A06" w:rsidRPr="00C27446">
        <w:t>dos modelos. Caso se conclua que os resíduos são estacionários, admit</w:t>
      </w:r>
      <w:r w:rsidR="00094A06">
        <w:t>e-se</w:t>
      </w:r>
      <w:r w:rsidR="00094A06" w:rsidRPr="00C27446">
        <w:t xml:space="preserve"> que as variáveis </w:t>
      </w:r>
      <w:r w:rsidR="00094A06">
        <w:t>n</w:t>
      </w:r>
      <w:r w:rsidR="00094A06" w:rsidRPr="00C27446">
        <w:t xml:space="preserve">os modelos podem </w:t>
      </w:r>
      <w:r w:rsidR="00094A06">
        <w:t>ser</w:t>
      </w:r>
      <w:r w:rsidR="00094A06" w:rsidRPr="00C27446">
        <w:t xml:space="preserve"> cointegradas, o que justifica a realização dos passos subsequentes. O terceiro passo consiste na apresentação dos resultados das estimações </w:t>
      </w:r>
      <w:r w:rsidR="00094A06">
        <w:t xml:space="preserve">dos seis </w:t>
      </w:r>
      <w:r w:rsidR="00094A06" w:rsidRPr="00C27446">
        <w:t>modelos espec</w:t>
      </w:r>
      <w:r w:rsidR="00094A06">
        <w:t>ificados segundo as equações (1), (2), (3) e (7</w:t>
      </w:r>
      <w:r w:rsidR="00094A06" w:rsidRPr="00C27446">
        <w:t>)</w:t>
      </w:r>
      <w:r w:rsidR="00094A06">
        <w:t>, considerando modelos sem a inclusão das variáveis</w:t>
      </w:r>
      <w:r w:rsidR="00094A06" w:rsidRPr="004F017F">
        <w:t xml:space="preserve"> </w:t>
      </w:r>
      <w:r w:rsidR="00094A06">
        <w:t>“</w:t>
      </w:r>
      <w:r w:rsidR="00094A06" w:rsidRPr="004F017F">
        <w:t>índice</w:t>
      </w:r>
      <w:r w:rsidR="00094A06">
        <w:t>s</w:t>
      </w:r>
      <w:r w:rsidR="00094A06" w:rsidRPr="004F017F">
        <w:t xml:space="preserve"> de segurança do alimento</w:t>
      </w:r>
      <w:r w:rsidR="00094A06">
        <w:t>”</w:t>
      </w:r>
      <w:r w:rsidR="00094A06" w:rsidRPr="001A1658">
        <w:t xml:space="preserve"> </w:t>
      </w:r>
      <w:r w:rsidR="00094A06">
        <w:t>e com a inclusão destas variáveis sem</w:t>
      </w:r>
      <w:r w:rsidR="00094A06" w:rsidRPr="004F017F">
        <w:t xml:space="preserve"> defasagem </w:t>
      </w:r>
      <w:r w:rsidR="00094A06">
        <w:t>temporal (</w:t>
      </w:r>
      <w:r w:rsidR="00094A06">
        <w:rPr>
          <w:i/>
        </w:rPr>
        <w:t>L</w:t>
      </w:r>
      <w:r w:rsidR="00094A06" w:rsidRPr="00DF78A1">
        <w:t>=0</w:t>
      </w:r>
      <w:r w:rsidR="00094A06">
        <w:t>)</w:t>
      </w:r>
      <w:r w:rsidR="00094A06" w:rsidRPr="00C27446">
        <w:t xml:space="preserve">. No quarto passo, são apresentados os testes de especificação de razão de verossimilhança empregados para </w:t>
      </w:r>
      <w:r w:rsidR="00094A06">
        <w:t>selecionar,</w:t>
      </w:r>
      <w:r w:rsidR="00094A06" w:rsidRPr="00C27446">
        <w:t xml:space="preserve"> dentre as </w:t>
      </w:r>
      <w:r w:rsidR="00094A06">
        <w:t xml:space="preserve">seis </w:t>
      </w:r>
      <w:r w:rsidR="00094A06" w:rsidRPr="00C27446">
        <w:t>especificações utilizadas</w:t>
      </w:r>
      <w:r w:rsidR="00094A06">
        <w:t>,</w:t>
      </w:r>
      <w:r w:rsidR="00094A06" w:rsidRPr="00C27446">
        <w:t xml:space="preserve"> a </w:t>
      </w:r>
      <w:r w:rsidR="005E44CF">
        <w:t xml:space="preserve">especificação </w:t>
      </w:r>
      <w:r w:rsidR="00094A06" w:rsidRPr="00C27446">
        <w:t xml:space="preserve">preferida. O quinto passo consiste em apresentar </w:t>
      </w:r>
      <w:r w:rsidR="00094A06">
        <w:t xml:space="preserve">as estimativas do modelo preferido </w:t>
      </w:r>
      <w:r w:rsidR="00094A06" w:rsidRPr="00C27446">
        <w:t xml:space="preserve">e </w:t>
      </w:r>
      <w:r w:rsidR="00094A06">
        <w:t xml:space="preserve">apresentar e </w:t>
      </w:r>
      <w:r w:rsidR="00094A06" w:rsidRPr="00C27446">
        <w:t xml:space="preserve">discutir as elasticidades </w:t>
      </w:r>
      <w:r w:rsidR="00094A06">
        <w:t xml:space="preserve">estimadas </w:t>
      </w:r>
      <w:r w:rsidR="00094A06" w:rsidRPr="00C27446">
        <w:t>a partir d</w:t>
      </w:r>
      <w:r w:rsidR="00094A06">
        <w:t>este m</w:t>
      </w:r>
      <w:r w:rsidR="00094A06" w:rsidRPr="00C27446">
        <w:t>odelo.</w:t>
      </w:r>
    </w:p>
    <w:p w14:paraId="15268229" w14:textId="77777777" w:rsidR="00094A06" w:rsidRDefault="00094A06" w:rsidP="00BC6645">
      <w:pPr>
        <w:ind w:firstLine="432"/>
        <w:jc w:val="both"/>
      </w:pPr>
      <w:r w:rsidRPr="003E40ED">
        <w:lastRenderedPageBreak/>
        <w:t>Como a</w:t>
      </w:r>
      <w:r>
        <w:t>s</w:t>
      </w:r>
      <w:r w:rsidRPr="003E40ED">
        <w:t xml:space="preserve"> parcelas </w:t>
      </w:r>
      <w:r>
        <w:t xml:space="preserve">do gasto </w:t>
      </w:r>
      <w:r w:rsidRPr="003E40ED">
        <w:t>(</w:t>
      </w:r>
      <w:proofErr w:type="spellStart"/>
      <w:r w:rsidRPr="003E40ED">
        <w:rPr>
          <w:i/>
        </w:rPr>
        <w:t>w</w:t>
      </w:r>
      <w:r w:rsidRPr="003E40ED">
        <w:rPr>
          <w:i/>
          <w:vertAlign w:val="subscript"/>
        </w:rPr>
        <w:t>i</w:t>
      </w:r>
      <w:r>
        <w:rPr>
          <w:i/>
          <w:vertAlign w:val="subscript"/>
        </w:rPr>
        <w:t>t</w:t>
      </w:r>
      <w:proofErr w:type="spellEnd"/>
      <w:r w:rsidRPr="003E40ED">
        <w:t>) s</w:t>
      </w:r>
      <w:r>
        <w:t>omam um</w:t>
      </w:r>
      <w:r w:rsidRPr="003E40ED">
        <w:t xml:space="preserve">, uma das </w:t>
      </w:r>
      <w:r>
        <w:t>quatro</w:t>
      </w:r>
      <w:r w:rsidRPr="003E40ED">
        <w:t xml:space="preserve"> equações </w:t>
      </w:r>
      <w:r>
        <w:t xml:space="preserve">do sistema </w:t>
      </w:r>
      <w:r w:rsidRPr="003E40ED">
        <w:t>deve ser retirada</w:t>
      </w:r>
      <w:r>
        <w:t>, assim evitando a</w:t>
      </w:r>
      <w:r w:rsidRPr="003E40ED">
        <w:t xml:space="preserve"> singularidade da </w:t>
      </w:r>
      <w:r>
        <w:t>matriz</w:t>
      </w:r>
      <w:r w:rsidRPr="003E40ED">
        <w:t xml:space="preserve"> de covari</w:t>
      </w:r>
      <w:r>
        <w:t>ância</w:t>
      </w:r>
      <w:r w:rsidRPr="003E40ED">
        <w:t xml:space="preserve"> (BERNDT </w:t>
      </w:r>
      <w:r>
        <w:t>e</w:t>
      </w:r>
      <w:r w:rsidRPr="003E40ED">
        <w:t xml:space="preserve"> SAVIN, 1975). </w:t>
      </w:r>
      <w:r>
        <w:t>A</w:t>
      </w:r>
      <w:r w:rsidRPr="003E40ED">
        <w:t xml:space="preserve"> equação da </w:t>
      </w:r>
      <w:r>
        <w:t>parcela do gasto com</w:t>
      </w:r>
      <w:r w:rsidRPr="003E40ED">
        <w:t xml:space="preserve"> outros bens de consumo</w:t>
      </w:r>
      <w:r>
        <w:t xml:space="preserve"> foi retirada do sistema, mas os parâmetros desta equação podem ser estimados, após a estimação do modelo, utilizando-se as restrições em (4), (5) e (6).</w:t>
      </w:r>
    </w:p>
    <w:p w14:paraId="015C228F" w14:textId="77777777" w:rsidR="00094A06" w:rsidRPr="002A6F11" w:rsidRDefault="00094A06" w:rsidP="00BC6645">
      <w:pPr>
        <w:ind w:firstLine="432"/>
        <w:jc w:val="both"/>
      </w:pPr>
      <w:r w:rsidRPr="004F017F">
        <w:t>Foram estimad</w:t>
      </w:r>
      <w:r w:rsidR="00981E08">
        <w:t>as seis</w:t>
      </w:r>
      <w:r w:rsidRPr="004F017F">
        <w:t xml:space="preserve"> especificações</w:t>
      </w:r>
      <w:r>
        <w:t xml:space="preserve"> diferentes</w:t>
      </w:r>
      <w:r w:rsidRPr="004F017F">
        <w:t xml:space="preserve"> para os </w:t>
      </w:r>
      <w:r w:rsidR="005E44CF">
        <w:t>sistemas de equações (7)</w:t>
      </w:r>
      <w:r w:rsidRPr="004F017F">
        <w:t xml:space="preserve"> considerando-se</w:t>
      </w:r>
      <w:r>
        <w:t>:</w:t>
      </w:r>
      <w:r w:rsidRPr="004F017F">
        <w:t xml:space="preserve"> </w:t>
      </w:r>
      <w:r>
        <w:t>três estruturas</w:t>
      </w:r>
      <w:r w:rsidRPr="004F017F">
        <w:t xml:space="preserve"> </w:t>
      </w:r>
      <w:r>
        <w:t xml:space="preserve">de </w:t>
      </w:r>
      <w:r w:rsidRPr="004F017F">
        <w:t xml:space="preserve">correções para a </w:t>
      </w:r>
      <w:r>
        <w:t xml:space="preserve">autocorrelação </w:t>
      </w:r>
      <w:r w:rsidRPr="004F017F">
        <w:t>do</w:t>
      </w:r>
      <w:r>
        <w:t>s</w:t>
      </w:r>
      <w:r w:rsidRPr="004F017F">
        <w:t xml:space="preserve"> erros (N-</w:t>
      </w:r>
      <w:proofErr w:type="spellStart"/>
      <w:r w:rsidRPr="004F017F">
        <w:t>R</w:t>
      </w:r>
      <w:r w:rsidRPr="004F017F">
        <w:rPr>
          <w:vertAlign w:val="superscript"/>
        </w:rPr>
        <w:t>matriz</w:t>
      </w:r>
      <w:proofErr w:type="spellEnd"/>
      <w:r>
        <w:t xml:space="preserve">, </w:t>
      </w:r>
      <w:r w:rsidRPr="004F017F">
        <w:t>D-</w:t>
      </w:r>
      <w:proofErr w:type="spellStart"/>
      <w:r w:rsidRPr="004F017F">
        <w:t>R</w:t>
      </w:r>
      <w:r w:rsidRPr="004F017F">
        <w:rPr>
          <w:vertAlign w:val="superscript"/>
        </w:rPr>
        <w:t>matriz</w:t>
      </w:r>
      <w:proofErr w:type="spellEnd"/>
      <w:r>
        <w:rPr>
          <w:vertAlign w:val="superscript"/>
        </w:rPr>
        <w:t xml:space="preserve"> </w:t>
      </w:r>
      <w:r>
        <w:t>e</w:t>
      </w:r>
      <w:r w:rsidRPr="004F017F">
        <w:t xml:space="preserve"> F-</w:t>
      </w:r>
      <w:proofErr w:type="spellStart"/>
      <w:r w:rsidRPr="004F017F">
        <w:t>R</w:t>
      </w:r>
      <w:r w:rsidRPr="004F017F">
        <w:rPr>
          <w:vertAlign w:val="superscript"/>
        </w:rPr>
        <w:t>matriz</w:t>
      </w:r>
      <w:proofErr w:type="spellEnd"/>
      <w:r w:rsidRPr="004F017F">
        <w:t>)</w:t>
      </w:r>
      <w:r>
        <w:t>,</w:t>
      </w:r>
      <w:r w:rsidRPr="004F017F">
        <w:t xml:space="preserve"> </w:t>
      </w:r>
      <w:r>
        <w:t xml:space="preserve">a não inclusão das </w:t>
      </w:r>
      <w:r w:rsidRPr="004F017F">
        <w:t>séries de índices agregados de segurança do alimento</w:t>
      </w:r>
      <w:r>
        <w:t xml:space="preserve"> (</w:t>
      </w:r>
      <w:proofErr w:type="spellStart"/>
      <w:r w:rsidRPr="005F4C13">
        <w:rPr>
          <w:i/>
        </w:rPr>
        <w:t>No-FS</w:t>
      </w:r>
      <w:proofErr w:type="spellEnd"/>
      <w:r w:rsidR="00981E08">
        <w:t>) e</w:t>
      </w:r>
      <w:r>
        <w:t xml:space="preserve"> a inclusão das </w:t>
      </w:r>
      <w:r w:rsidRPr="004F017F">
        <w:t>séries de índices agregados de segurança do alimento</w:t>
      </w:r>
      <w:r>
        <w:t xml:space="preserve"> sem defasagem (</w:t>
      </w:r>
      <w:r w:rsidRPr="005F4C13">
        <w:rPr>
          <w:i/>
        </w:rPr>
        <w:t>L</w:t>
      </w:r>
      <w:r>
        <w:t>=0</w:t>
      </w:r>
      <w:r w:rsidR="00981E08">
        <w:t>)</w:t>
      </w:r>
      <w:r w:rsidRPr="005F4C13">
        <w:t xml:space="preserve">. </w:t>
      </w:r>
      <w:r>
        <w:t>Cada um destes modelos foi estimado</w:t>
      </w:r>
      <w:r w:rsidRPr="002A6F11">
        <w:t xml:space="preserve"> utilizando-se o </w:t>
      </w:r>
      <w:r>
        <w:t xml:space="preserve">método </w:t>
      </w:r>
      <w:proofErr w:type="spellStart"/>
      <w:r w:rsidRPr="002A6F11">
        <w:rPr>
          <w:i/>
        </w:rPr>
        <w:t>Full</w:t>
      </w:r>
      <w:proofErr w:type="spellEnd"/>
      <w:r w:rsidRPr="002A6F11">
        <w:rPr>
          <w:i/>
        </w:rPr>
        <w:t xml:space="preserve"> </w:t>
      </w:r>
      <w:proofErr w:type="spellStart"/>
      <w:r w:rsidRPr="002A6F11">
        <w:rPr>
          <w:i/>
        </w:rPr>
        <w:t>Information</w:t>
      </w:r>
      <w:proofErr w:type="spellEnd"/>
      <w:r w:rsidRPr="002A6F11">
        <w:rPr>
          <w:i/>
        </w:rPr>
        <w:t xml:space="preserve"> </w:t>
      </w:r>
      <w:proofErr w:type="spellStart"/>
      <w:r w:rsidRPr="002A6F11">
        <w:rPr>
          <w:i/>
        </w:rPr>
        <w:t>Maximum</w:t>
      </w:r>
      <w:proofErr w:type="spellEnd"/>
      <w:r w:rsidRPr="002A6F11">
        <w:rPr>
          <w:i/>
        </w:rPr>
        <w:t xml:space="preserve"> </w:t>
      </w:r>
      <w:proofErr w:type="spellStart"/>
      <w:r w:rsidRPr="002A6F11">
        <w:rPr>
          <w:i/>
        </w:rPr>
        <w:t>Likelihood</w:t>
      </w:r>
      <w:proofErr w:type="spellEnd"/>
      <w:r w:rsidRPr="002A6F11">
        <w:t xml:space="preserve"> (FIML) e </w:t>
      </w:r>
      <w:r>
        <w:t xml:space="preserve">o método </w:t>
      </w:r>
      <w:r w:rsidRPr="002A6F11">
        <w:t>interativo n</w:t>
      </w:r>
      <w:r>
        <w:t>ão linear de r</w:t>
      </w:r>
      <w:r w:rsidRPr="002A6F11">
        <w:t>egressão aparentemente não rela</w:t>
      </w:r>
      <w:r>
        <w:t>c</w:t>
      </w:r>
      <w:r w:rsidRPr="002A6F11">
        <w:t>ionada (</w:t>
      </w:r>
      <w:r>
        <w:t>IT</w:t>
      </w:r>
      <w:r w:rsidRPr="002A6F11">
        <w:t>SUR)</w:t>
      </w:r>
      <w:r w:rsidR="005E44CF">
        <w:t>,</w:t>
      </w:r>
      <w:r w:rsidRPr="002A6F11">
        <w:t xml:space="preserve"> </w:t>
      </w:r>
      <w:r>
        <w:t>que são equivalentes no caso de sistemas de equações com erros aparentemente não relacionados</w:t>
      </w:r>
      <w:r w:rsidRPr="002A6F11">
        <w:t xml:space="preserve"> </w:t>
      </w:r>
      <w:r>
        <w:t>(</w:t>
      </w:r>
      <w:r w:rsidRPr="002A6F11">
        <w:t>SUR</w:t>
      </w:r>
      <w:r>
        <w:t>)</w:t>
      </w:r>
      <w:r w:rsidRPr="002A6F11">
        <w:t xml:space="preserve"> </w:t>
      </w:r>
      <w:r>
        <w:t xml:space="preserve">e normalmente distribuídos </w:t>
      </w:r>
      <w:r w:rsidRPr="002A6F11">
        <w:t xml:space="preserve">(GREENE, 2003: p.357; BARNET, 1976). </w:t>
      </w:r>
      <w:r>
        <w:t>Os</w:t>
      </w:r>
      <w:r w:rsidRPr="002A6F11">
        <w:t xml:space="preserve"> estimadores </w:t>
      </w:r>
      <w:proofErr w:type="spellStart"/>
      <w:r w:rsidRPr="002A6F11">
        <w:t>FIML</w:t>
      </w:r>
      <w:proofErr w:type="spellEnd"/>
      <w:r w:rsidRPr="002A6F11">
        <w:t xml:space="preserve"> são assintoticamente eficientes para modelos simultâneos não lineares</w:t>
      </w:r>
      <w:r w:rsidR="00981E08">
        <w:t>,</w:t>
      </w:r>
      <w:r w:rsidR="005E44CF">
        <w:t xml:space="preserve"> como é o caso</w:t>
      </w:r>
      <w:r w:rsidR="00981E08">
        <w:t>,</w:t>
      </w:r>
      <w:r w:rsidRPr="002A6F11">
        <w:t xml:space="preserve"> </w:t>
      </w:r>
      <w:r>
        <w:t xml:space="preserve">sob a hipótese de que os erros contemporâneos são conjuntamente e normalmente distribuídos </w:t>
      </w:r>
      <w:r w:rsidRPr="002A6F11">
        <w:t>(QUANTITATIVE MICRO SOFTWARE, 2010).</w:t>
      </w:r>
    </w:p>
    <w:p w14:paraId="46A67C40" w14:textId="77777777" w:rsidR="00094A06" w:rsidRDefault="00094A06" w:rsidP="00BC6645">
      <w:pPr>
        <w:ind w:firstLine="432"/>
        <w:jc w:val="both"/>
      </w:pPr>
      <w:r>
        <w:t xml:space="preserve">Em um </w:t>
      </w:r>
      <w:r w:rsidRPr="00285F91">
        <w:t xml:space="preserve">recente </w:t>
      </w:r>
      <w:r>
        <w:t xml:space="preserve">levantamento </w:t>
      </w:r>
      <w:r w:rsidRPr="00285F91">
        <w:t xml:space="preserve">sobre o estado da arte na modelagem da demanda do consumidor, </w:t>
      </w:r>
      <w:proofErr w:type="spellStart"/>
      <w:r w:rsidRPr="00285F91">
        <w:t>Barnett</w:t>
      </w:r>
      <w:proofErr w:type="spellEnd"/>
      <w:r w:rsidRPr="00285F91">
        <w:t xml:space="preserve"> e </w:t>
      </w:r>
      <w:proofErr w:type="spellStart"/>
      <w:r w:rsidRPr="00285F91">
        <w:t>Serletis</w:t>
      </w:r>
      <w:proofErr w:type="spellEnd"/>
      <w:r w:rsidRPr="00285F91">
        <w:t xml:space="preserve"> (2008) </w:t>
      </w:r>
      <w:r>
        <w:t xml:space="preserve">detectaram </w:t>
      </w:r>
      <w:r w:rsidRPr="00285F91">
        <w:t xml:space="preserve">que </w:t>
      </w:r>
      <w:r>
        <w:t xml:space="preserve">ainda </w:t>
      </w:r>
      <w:r w:rsidRPr="00285F91">
        <w:t>falta</w:t>
      </w:r>
      <w:r>
        <w:t>m</w:t>
      </w:r>
      <w:r w:rsidRPr="00285F91">
        <w:t xml:space="preserve"> </w:t>
      </w:r>
      <w:r w:rsidR="005E44CF">
        <w:t>trabalhos sobre as</w:t>
      </w:r>
      <w:r>
        <w:t xml:space="preserve"> modificações necessárias aos métodos de cointegração para modelos lineares</w:t>
      </w:r>
      <w:r w:rsidR="005E44CF">
        <w:t>,</w:t>
      </w:r>
      <w:r>
        <w:t xml:space="preserve"> de mo</w:t>
      </w:r>
      <w:r w:rsidR="005E44CF">
        <w:t>do a viabilizar a aplicação dest</w:t>
      </w:r>
      <w:r>
        <w:t>es métodos na estimação de sistemas de equações de demanda não lineares</w:t>
      </w:r>
      <w:r w:rsidRPr="00285F91">
        <w:t xml:space="preserve">. </w:t>
      </w:r>
      <w:r>
        <w:t xml:space="preserve">Por conta disso, </w:t>
      </w:r>
      <w:r w:rsidRPr="003B5CA0">
        <w:t xml:space="preserve">problemas </w:t>
      </w:r>
      <w:r>
        <w:t xml:space="preserve">com </w:t>
      </w:r>
      <w:r w:rsidRPr="003B5CA0">
        <w:t>a não</w:t>
      </w:r>
      <w:r>
        <w:t xml:space="preserve"> </w:t>
      </w:r>
      <w:r w:rsidRPr="003B5CA0">
        <w:t xml:space="preserve">estacionaridade das séries de tempo </w:t>
      </w:r>
      <w:r>
        <w:t>(</w:t>
      </w:r>
      <w:r w:rsidRPr="003B5CA0">
        <w:t xml:space="preserve">quantidades, preços e </w:t>
      </w:r>
      <w:r>
        <w:t>gasto)</w:t>
      </w:r>
      <w:r w:rsidR="005E44CF">
        <w:t>,</w:t>
      </w:r>
      <w:r w:rsidRPr="003B5CA0">
        <w:t xml:space="preserve"> </w:t>
      </w:r>
      <w:r>
        <w:t>no contexto de estimação de sistemas de equações não lineares</w:t>
      </w:r>
      <w:r w:rsidR="005E44CF">
        <w:t>,</w:t>
      </w:r>
      <w:r>
        <w:t xml:space="preserve"> têm sido usualmente ignorados ou tratados com a utilização de métodos de cointegração originalmente desenvolvidos para sistemas lineares</w:t>
      </w:r>
      <w:r w:rsidRPr="003B5CA0">
        <w:t xml:space="preserve"> </w:t>
      </w:r>
      <w:r>
        <w:t>(</w:t>
      </w:r>
      <w:r w:rsidRPr="00285F91">
        <w:t>BARNETT e SERLETIS</w:t>
      </w:r>
      <w:r>
        <w:t>,</w:t>
      </w:r>
      <w:r w:rsidRPr="00285F91">
        <w:t xml:space="preserve"> 2008)</w:t>
      </w:r>
      <w:r w:rsidRPr="003B5CA0">
        <w:t xml:space="preserve">. </w:t>
      </w:r>
    </w:p>
    <w:p w14:paraId="7BF974D8" w14:textId="77777777" w:rsidR="00094A06" w:rsidRDefault="00094A06" w:rsidP="00BC6645">
      <w:pPr>
        <w:ind w:firstLine="432"/>
        <w:jc w:val="both"/>
      </w:pPr>
      <w:r>
        <w:t>M</w:t>
      </w:r>
      <w:r w:rsidRPr="003B5CA0">
        <w:t xml:space="preserve">étodos que </w:t>
      </w:r>
      <w:r>
        <w:t>lidam</w:t>
      </w:r>
      <w:r w:rsidRPr="003B5CA0">
        <w:t xml:space="preserve"> com </w:t>
      </w:r>
      <w:r>
        <w:t>a não estacionaridade</w:t>
      </w:r>
      <w:r w:rsidRPr="003B5CA0">
        <w:t xml:space="preserve"> </w:t>
      </w:r>
      <w:r>
        <w:t xml:space="preserve">das séries </w:t>
      </w:r>
      <w:r w:rsidRPr="003B5CA0">
        <w:t>em modelos lineares n</w:t>
      </w:r>
      <w:r>
        <w:t>ão podem ser diretamente utilizados em modelos de demanda não lineares (</w:t>
      </w:r>
      <w:r w:rsidRPr="003B5CA0">
        <w:t>L</w:t>
      </w:r>
      <w:r>
        <w:t>EWBEL e NG, 2005) como, por exemplo</w:t>
      </w:r>
      <w:r w:rsidR="005E44CF">
        <w:t>, o sistema AIDS. Portanto</w:t>
      </w:r>
      <w:r>
        <w:t xml:space="preserve">, </w:t>
      </w:r>
      <w:r w:rsidRPr="003B5CA0">
        <w:t>ignor</w:t>
      </w:r>
      <w:r>
        <w:t>ou-se</w:t>
      </w:r>
      <w:r w:rsidRPr="003B5CA0">
        <w:t xml:space="preserve"> o problema de cointegração</w:t>
      </w:r>
      <w:r>
        <w:t xml:space="preserve"> no presente artigo</w:t>
      </w:r>
      <w:r w:rsidRPr="003B5CA0">
        <w:t>, admitindo</w:t>
      </w:r>
      <w:r>
        <w:t>-se</w:t>
      </w:r>
      <w:r w:rsidRPr="003B5CA0">
        <w:t xml:space="preserve"> que inferências baseada</w:t>
      </w:r>
      <w:r>
        <w:t>s</w:t>
      </w:r>
      <w:r w:rsidRPr="003B5CA0">
        <w:t xml:space="preserve"> nos resíduos podem ser confiáveis</w:t>
      </w:r>
      <w:r>
        <w:t xml:space="preserve"> se os mesmos</w:t>
      </w:r>
      <w:r w:rsidRPr="003B5CA0">
        <w:t xml:space="preserve"> são estacionários</w:t>
      </w:r>
      <w:r w:rsidR="005E44CF">
        <w:t>. Nest</w:t>
      </w:r>
      <w:r>
        <w:t xml:space="preserve">e sentido, foi adotado o mesmo procedimento de </w:t>
      </w:r>
      <w:r w:rsidRPr="00AC0DB8">
        <w:t xml:space="preserve">Fisher et al. </w:t>
      </w:r>
      <w:r>
        <w:t>(</w:t>
      </w:r>
      <w:r w:rsidRPr="00AC0DB8">
        <w:t>2001</w:t>
      </w:r>
      <w:r>
        <w:t>) e, a</w:t>
      </w:r>
      <w:r w:rsidRPr="000D0B60">
        <w:t xml:space="preserve">ntes de </w:t>
      </w:r>
      <w:r>
        <w:t>se efetuar a comparação dos</w:t>
      </w:r>
      <w:r w:rsidRPr="000D0B60">
        <w:t xml:space="preserve"> modelos</w:t>
      </w:r>
      <w:r>
        <w:t xml:space="preserve"> estimados,</w:t>
      </w:r>
      <w:r w:rsidRPr="000D0B60">
        <w:t xml:space="preserve"> </w:t>
      </w:r>
      <w:r>
        <w:t xml:space="preserve">foram executados </w:t>
      </w:r>
      <w:r w:rsidRPr="000D0B60">
        <w:t>te</w:t>
      </w:r>
      <w:r>
        <w:t>stes de rai</w:t>
      </w:r>
      <w:r w:rsidRPr="000D0B60">
        <w:t>z unitária dos res</w:t>
      </w:r>
      <w:r>
        <w:t>íduos dos modelos (7</w:t>
      </w:r>
      <w:r w:rsidRPr="000D0B60">
        <w:t xml:space="preserve">). </w:t>
      </w:r>
      <w:r w:rsidR="005E44CF">
        <w:t>Tal procedimento está</w:t>
      </w:r>
      <w:r>
        <w:t xml:space="preserve"> em linha com o método em dois est</w:t>
      </w:r>
      <w:r w:rsidR="005E44CF">
        <w:t>ágios de Engle e Granger (1987) segundo o qual</w:t>
      </w:r>
      <w:r>
        <w:t xml:space="preserve"> para que variáveis em modelos lineares possam estar cointegradas é necessário que o resíduo da regressão entre elas seja estacionário. </w:t>
      </w:r>
    </w:p>
    <w:p w14:paraId="2C0486B8" w14:textId="77777777" w:rsidR="00094A06" w:rsidRPr="00AC0DB8" w:rsidRDefault="00094A06" w:rsidP="00BC6645">
      <w:pPr>
        <w:ind w:firstLine="432"/>
        <w:jc w:val="both"/>
      </w:pPr>
      <w:r>
        <w:t>A Tabela 3</w:t>
      </w:r>
      <w:r w:rsidRPr="00AC0DB8">
        <w:t xml:space="preserve"> apresenta</w:t>
      </w:r>
      <w:r>
        <w:t>,</w:t>
      </w:r>
      <w:r w:rsidRPr="00AC0DB8">
        <w:t xml:space="preserve"> basea</w:t>
      </w:r>
      <w:r>
        <w:t>n</w:t>
      </w:r>
      <w:r w:rsidRPr="00AC0DB8">
        <w:t>d</w:t>
      </w:r>
      <w:r>
        <w:t>o-se</w:t>
      </w:r>
      <w:r w:rsidRPr="00AC0DB8">
        <w:t xml:space="preserve"> nos valores críticos obtidos por </w:t>
      </w:r>
      <w:r>
        <w:t>MacKinnon (1996),</w:t>
      </w:r>
      <w:r w:rsidRPr="00AC0DB8">
        <w:t xml:space="preserve"> </w:t>
      </w:r>
      <w:r>
        <w:t xml:space="preserve">os </w:t>
      </w:r>
      <w:r w:rsidRPr="00AC0DB8">
        <w:rPr>
          <w:i/>
        </w:rPr>
        <w:t>p</w:t>
      </w:r>
      <w:r w:rsidRPr="00AC0DB8">
        <w:t xml:space="preserve">-valores </w:t>
      </w:r>
      <w:r>
        <w:t>d</w:t>
      </w:r>
      <w:r w:rsidRPr="00AC0DB8">
        <w:t xml:space="preserve">o teste </w:t>
      </w:r>
      <w:proofErr w:type="spellStart"/>
      <w:r w:rsidRPr="00AC0DB8">
        <w:t>Dickey-Fuller</w:t>
      </w:r>
      <w:proofErr w:type="spellEnd"/>
      <w:r w:rsidRPr="00AC0DB8">
        <w:t xml:space="preserve"> (</w:t>
      </w:r>
      <w:proofErr w:type="spellStart"/>
      <w:r w:rsidRPr="00AC0DB8">
        <w:t>ADF</w:t>
      </w:r>
      <w:proofErr w:type="spellEnd"/>
      <w:r w:rsidRPr="00AC0DB8">
        <w:t>) aumentado (</w:t>
      </w:r>
      <w:proofErr w:type="spellStart"/>
      <w:r w:rsidRPr="00AC0DB8">
        <w:t>Dickey</w:t>
      </w:r>
      <w:proofErr w:type="spellEnd"/>
      <w:r w:rsidRPr="00AC0DB8">
        <w:t xml:space="preserve"> </w:t>
      </w:r>
      <w:r>
        <w:t>e</w:t>
      </w:r>
      <w:r w:rsidRPr="00AC0DB8">
        <w:t xml:space="preserve"> </w:t>
      </w:r>
      <w:proofErr w:type="spellStart"/>
      <w:r w:rsidRPr="00AC0DB8">
        <w:t>Fuller</w:t>
      </w:r>
      <w:proofErr w:type="spellEnd"/>
      <w:r w:rsidRPr="00AC0DB8">
        <w:t xml:space="preserve">, 1981) e </w:t>
      </w:r>
      <w:r>
        <w:t xml:space="preserve">do teste não paramétrico </w:t>
      </w:r>
      <w:r w:rsidRPr="00AC0DB8">
        <w:t>Z(</w:t>
      </w:r>
      <w:r w:rsidRPr="00AC0DB8">
        <w:rPr>
          <w:i/>
        </w:rPr>
        <w:t>t</w:t>
      </w:r>
      <w:r w:rsidRPr="00AC0DB8">
        <w:rPr>
          <w:i/>
          <w:vertAlign w:val="subscript"/>
        </w:rPr>
        <w:t>a</w:t>
      </w:r>
      <w:r w:rsidRPr="00AC0DB8">
        <w:t xml:space="preserve">) </w:t>
      </w:r>
      <w:r>
        <w:t>de Phillips (1987) e Phillips e</w:t>
      </w:r>
      <w:r w:rsidRPr="00AC0DB8">
        <w:t xml:space="preserve"> </w:t>
      </w:r>
      <w:proofErr w:type="spellStart"/>
      <w:r w:rsidRPr="00AC0DB8">
        <w:t>Perron</w:t>
      </w:r>
      <w:proofErr w:type="spellEnd"/>
      <w:r w:rsidRPr="00AC0DB8">
        <w:t xml:space="preserve"> (1988).</w:t>
      </w:r>
    </w:p>
    <w:p w14:paraId="44B10B3F" w14:textId="77777777" w:rsidR="00094A06" w:rsidRPr="00351FF6" w:rsidRDefault="00094A06" w:rsidP="00BC6645">
      <w:pPr>
        <w:keepNext/>
        <w:jc w:val="both"/>
      </w:pPr>
      <w:r w:rsidRPr="00351FF6">
        <w:rPr>
          <w:b/>
        </w:rPr>
        <w:t>Tab</w:t>
      </w:r>
      <w:r>
        <w:rPr>
          <w:b/>
        </w:rPr>
        <w:t>e</w:t>
      </w:r>
      <w:r w:rsidRPr="00351FF6">
        <w:rPr>
          <w:b/>
        </w:rPr>
        <w:t>l</w:t>
      </w:r>
      <w:r>
        <w:rPr>
          <w:b/>
        </w:rPr>
        <w:t>a</w:t>
      </w:r>
      <w:r w:rsidRPr="00351FF6">
        <w:rPr>
          <w:b/>
        </w:rPr>
        <w:t xml:space="preserve"> </w:t>
      </w:r>
      <w:r>
        <w:rPr>
          <w:b/>
        </w:rPr>
        <w:t>3</w:t>
      </w:r>
      <w:r w:rsidR="00B803AC">
        <w:rPr>
          <w:b/>
        </w:rPr>
        <w:t xml:space="preserve"> -</w:t>
      </w:r>
      <w:r w:rsidRPr="00650D11">
        <w:t xml:space="preserve"> T</w:t>
      </w:r>
      <w:r w:rsidRPr="00C27BBB">
        <w:t>estes</w:t>
      </w:r>
      <w:r w:rsidRPr="00351FF6">
        <w:t xml:space="preserve"> de raiz unitária dos resíduos dos modelos</w:t>
      </w:r>
      <w:r>
        <w:t xml:space="preserve"> (</w:t>
      </w:r>
      <w:r>
        <w:rPr>
          <w:i/>
        </w:rPr>
        <w:t>p</w:t>
      </w:r>
      <w:r w:rsidRPr="00C27BBB">
        <w:t>-valores</w:t>
      </w:r>
      <w:r>
        <w:t>).</w:t>
      </w:r>
    </w:p>
    <w:tbl>
      <w:tblPr>
        <w:tblW w:w="5000" w:type="pct"/>
        <w:tblBorders>
          <w:top w:val="single" w:sz="4" w:space="0" w:color="auto"/>
          <w:bottom w:val="single" w:sz="4" w:space="0" w:color="auto"/>
        </w:tblBorders>
        <w:tblLook w:val="01E0" w:firstRow="1" w:lastRow="1" w:firstColumn="1" w:lastColumn="1" w:noHBand="0" w:noVBand="0"/>
      </w:tblPr>
      <w:tblGrid>
        <w:gridCol w:w="2328"/>
        <w:gridCol w:w="1009"/>
        <w:gridCol w:w="1415"/>
        <w:gridCol w:w="1417"/>
        <w:gridCol w:w="1417"/>
        <w:gridCol w:w="1419"/>
        <w:gridCol w:w="1415"/>
      </w:tblGrid>
      <w:tr w:rsidR="00094A06" w:rsidRPr="00E9029E" w14:paraId="5492564A" w14:textId="77777777" w:rsidTr="00EF5A02">
        <w:tc>
          <w:tcPr>
            <w:tcW w:w="1117" w:type="pct"/>
            <w:vMerge w:val="restart"/>
          </w:tcPr>
          <w:p w14:paraId="570957E3" w14:textId="77777777" w:rsidR="00094A06" w:rsidRPr="00DB53D2" w:rsidRDefault="00094A06" w:rsidP="00BC6645">
            <w:pPr>
              <w:keepNext/>
              <w:jc w:val="both"/>
            </w:pPr>
            <w:r w:rsidRPr="00DB53D2">
              <w:t>Modelo</w:t>
            </w:r>
          </w:p>
        </w:tc>
        <w:tc>
          <w:tcPr>
            <w:tcW w:w="1163" w:type="pct"/>
            <w:gridSpan w:val="2"/>
            <w:tcBorders>
              <w:top w:val="single" w:sz="4" w:space="0" w:color="auto"/>
              <w:bottom w:val="single" w:sz="4" w:space="0" w:color="auto"/>
            </w:tcBorders>
          </w:tcPr>
          <w:p w14:paraId="1C7D7DCD" w14:textId="77777777" w:rsidR="00094A06" w:rsidRPr="00DB53D2" w:rsidRDefault="00094A06" w:rsidP="00BC6645">
            <w:pPr>
              <w:keepNext/>
              <w:jc w:val="center"/>
              <w:rPr>
                <w:b/>
              </w:rPr>
            </w:pPr>
            <w:r w:rsidRPr="00DB53D2">
              <w:t>Equação da Carne Bovina</w:t>
            </w:r>
          </w:p>
        </w:tc>
        <w:tc>
          <w:tcPr>
            <w:tcW w:w="1360" w:type="pct"/>
            <w:gridSpan w:val="2"/>
            <w:tcBorders>
              <w:top w:val="single" w:sz="4" w:space="0" w:color="auto"/>
              <w:bottom w:val="single" w:sz="4" w:space="0" w:color="auto"/>
            </w:tcBorders>
          </w:tcPr>
          <w:p w14:paraId="154FEF40" w14:textId="77777777" w:rsidR="00094A06" w:rsidRPr="00DB53D2" w:rsidRDefault="00094A06" w:rsidP="00BC6645">
            <w:pPr>
              <w:keepNext/>
              <w:jc w:val="center"/>
              <w:rPr>
                <w:b/>
              </w:rPr>
            </w:pPr>
            <w:r w:rsidRPr="00DB53D2">
              <w:t>Equação da Carne Suína</w:t>
            </w:r>
          </w:p>
        </w:tc>
        <w:tc>
          <w:tcPr>
            <w:tcW w:w="1360" w:type="pct"/>
            <w:gridSpan w:val="2"/>
            <w:tcBorders>
              <w:top w:val="single" w:sz="4" w:space="0" w:color="auto"/>
              <w:bottom w:val="single" w:sz="4" w:space="0" w:color="auto"/>
            </w:tcBorders>
          </w:tcPr>
          <w:p w14:paraId="369A328F" w14:textId="77777777" w:rsidR="00094A06" w:rsidRPr="00DB53D2" w:rsidRDefault="00094A06" w:rsidP="00BC6645">
            <w:pPr>
              <w:keepNext/>
              <w:jc w:val="center"/>
              <w:rPr>
                <w:b/>
              </w:rPr>
            </w:pPr>
            <w:r w:rsidRPr="00DB53D2">
              <w:t>Equação da Carne de Frango</w:t>
            </w:r>
          </w:p>
        </w:tc>
      </w:tr>
      <w:tr w:rsidR="00094A06" w:rsidRPr="00DB53D2" w14:paraId="463354A9" w14:textId="77777777" w:rsidTr="00EF5A02">
        <w:tc>
          <w:tcPr>
            <w:tcW w:w="1117" w:type="pct"/>
            <w:vMerge/>
            <w:tcBorders>
              <w:bottom w:val="single" w:sz="4" w:space="0" w:color="auto"/>
            </w:tcBorders>
          </w:tcPr>
          <w:p w14:paraId="0D053385" w14:textId="77777777" w:rsidR="00094A06" w:rsidRPr="00DB53D2" w:rsidRDefault="00094A06" w:rsidP="00BC6645">
            <w:pPr>
              <w:keepNext/>
              <w:jc w:val="both"/>
              <w:rPr>
                <w:b/>
              </w:rPr>
            </w:pPr>
          </w:p>
        </w:tc>
        <w:tc>
          <w:tcPr>
            <w:tcW w:w="484" w:type="pct"/>
            <w:tcBorders>
              <w:top w:val="single" w:sz="4" w:space="0" w:color="auto"/>
              <w:bottom w:val="single" w:sz="4" w:space="0" w:color="auto"/>
            </w:tcBorders>
          </w:tcPr>
          <w:p w14:paraId="1B96389B" w14:textId="77777777" w:rsidR="00094A06" w:rsidRPr="00DB53D2" w:rsidRDefault="00094A06" w:rsidP="00BC6645">
            <w:pPr>
              <w:keepNext/>
              <w:jc w:val="center"/>
            </w:pPr>
            <w:r w:rsidRPr="00DB53D2">
              <w:t>ADF</w:t>
            </w:r>
          </w:p>
        </w:tc>
        <w:tc>
          <w:tcPr>
            <w:tcW w:w="679" w:type="pct"/>
            <w:tcBorders>
              <w:top w:val="single" w:sz="4" w:space="0" w:color="auto"/>
              <w:bottom w:val="single" w:sz="4" w:space="0" w:color="auto"/>
            </w:tcBorders>
          </w:tcPr>
          <w:p w14:paraId="6D064A21" w14:textId="77777777" w:rsidR="00094A06" w:rsidRPr="00DB53D2" w:rsidRDefault="00094A06" w:rsidP="00BC6645">
            <w:pPr>
              <w:keepNext/>
              <w:jc w:val="center"/>
            </w:pPr>
            <w:r w:rsidRPr="00DB53D2">
              <w:t>Z(</w:t>
            </w:r>
            <w:r w:rsidRPr="00DB53D2">
              <w:rPr>
                <w:i/>
              </w:rPr>
              <w:t>t</w:t>
            </w:r>
            <w:r w:rsidRPr="00DB53D2">
              <w:rPr>
                <w:i/>
                <w:vertAlign w:val="subscript"/>
              </w:rPr>
              <w:t>a</w:t>
            </w:r>
            <w:r w:rsidRPr="00DB53D2">
              <w:t>)</w:t>
            </w:r>
          </w:p>
        </w:tc>
        <w:tc>
          <w:tcPr>
            <w:tcW w:w="680" w:type="pct"/>
            <w:tcBorders>
              <w:top w:val="single" w:sz="4" w:space="0" w:color="auto"/>
              <w:bottom w:val="single" w:sz="4" w:space="0" w:color="auto"/>
            </w:tcBorders>
          </w:tcPr>
          <w:p w14:paraId="2556BA31" w14:textId="77777777" w:rsidR="00094A06" w:rsidRPr="00DB53D2" w:rsidRDefault="00094A06" w:rsidP="00BC6645">
            <w:pPr>
              <w:keepNext/>
              <w:jc w:val="center"/>
            </w:pPr>
            <w:r w:rsidRPr="00DB53D2">
              <w:t>ADF</w:t>
            </w:r>
          </w:p>
        </w:tc>
        <w:tc>
          <w:tcPr>
            <w:tcW w:w="680" w:type="pct"/>
            <w:tcBorders>
              <w:top w:val="single" w:sz="4" w:space="0" w:color="auto"/>
              <w:bottom w:val="single" w:sz="4" w:space="0" w:color="auto"/>
            </w:tcBorders>
          </w:tcPr>
          <w:p w14:paraId="0B31BA5A" w14:textId="77777777" w:rsidR="00094A06" w:rsidRPr="00DB53D2" w:rsidRDefault="00094A06" w:rsidP="00BC6645">
            <w:pPr>
              <w:keepNext/>
              <w:jc w:val="center"/>
            </w:pPr>
            <w:r w:rsidRPr="00DB53D2">
              <w:t>Z(</w:t>
            </w:r>
            <w:r w:rsidRPr="00DB53D2">
              <w:rPr>
                <w:i/>
              </w:rPr>
              <w:t>t</w:t>
            </w:r>
            <w:r w:rsidRPr="00DB53D2">
              <w:rPr>
                <w:i/>
                <w:vertAlign w:val="subscript"/>
              </w:rPr>
              <w:t>a</w:t>
            </w:r>
            <w:r w:rsidRPr="00DB53D2">
              <w:t>)</w:t>
            </w:r>
          </w:p>
        </w:tc>
        <w:tc>
          <w:tcPr>
            <w:tcW w:w="681" w:type="pct"/>
            <w:tcBorders>
              <w:top w:val="single" w:sz="4" w:space="0" w:color="auto"/>
              <w:bottom w:val="single" w:sz="4" w:space="0" w:color="auto"/>
            </w:tcBorders>
          </w:tcPr>
          <w:p w14:paraId="0DC6CC4A" w14:textId="77777777" w:rsidR="00094A06" w:rsidRPr="00DB53D2" w:rsidRDefault="00094A06" w:rsidP="00BC6645">
            <w:pPr>
              <w:keepNext/>
              <w:jc w:val="center"/>
            </w:pPr>
            <w:r w:rsidRPr="00DB53D2">
              <w:t>ADF</w:t>
            </w:r>
          </w:p>
        </w:tc>
        <w:tc>
          <w:tcPr>
            <w:tcW w:w="679" w:type="pct"/>
            <w:tcBorders>
              <w:top w:val="single" w:sz="4" w:space="0" w:color="auto"/>
              <w:bottom w:val="single" w:sz="4" w:space="0" w:color="auto"/>
            </w:tcBorders>
          </w:tcPr>
          <w:p w14:paraId="1E97F233" w14:textId="77777777" w:rsidR="00094A06" w:rsidRPr="00DB53D2" w:rsidRDefault="00094A06" w:rsidP="00BC6645">
            <w:pPr>
              <w:keepNext/>
              <w:jc w:val="center"/>
            </w:pPr>
            <w:r w:rsidRPr="00DB53D2">
              <w:t>Z(</w:t>
            </w:r>
            <w:r w:rsidRPr="00DB53D2">
              <w:rPr>
                <w:i/>
              </w:rPr>
              <w:t>t</w:t>
            </w:r>
            <w:r w:rsidRPr="00DB53D2">
              <w:rPr>
                <w:i/>
                <w:vertAlign w:val="subscript"/>
              </w:rPr>
              <w:t>a</w:t>
            </w:r>
            <w:r w:rsidRPr="00DB53D2">
              <w:t>)</w:t>
            </w:r>
          </w:p>
        </w:tc>
      </w:tr>
      <w:tr w:rsidR="00094A06" w:rsidRPr="00DB53D2" w14:paraId="17ACA2CA" w14:textId="77777777" w:rsidTr="00EF5A02">
        <w:tc>
          <w:tcPr>
            <w:tcW w:w="1117" w:type="pct"/>
            <w:tcBorders>
              <w:top w:val="single" w:sz="4" w:space="0" w:color="auto"/>
              <w:bottom w:val="nil"/>
            </w:tcBorders>
          </w:tcPr>
          <w:p w14:paraId="3A43B1D5" w14:textId="77777777" w:rsidR="00094A06" w:rsidRPr="009819CB" w:rsidRDefault="00094A06" w:rsidP="00BC6645">
            <w:pPr>
              <w:keepNext/>
              <w:jc w:val="both"/>
              <w:rPr>
                <w:b/>
              </w:rPr>
            </w:pPr>
            <w:r w:rsidRPr="00DB53D2">
              <w:t>N-</w:t>
            </w:r>
            <w:proofErr w:type="spellStart"/>
            <w:r w:rsidRPr="00DB53D2">
              <w:t>R</w:t>
            </w:r>
            <w:r w:rsidRPr="00DB53D2">
              <w:rPr>
                <w:vertAlign w:val="superscript"/>
              </w:rPr>
              <w:t>matriz</w:t>
            </w:r>
            <w:proofErr w:type="spellEnd"/>
            <w:r>
              <w:t xml:space="preserve">, </w:t>
            </w:r>
            <w:proofErr w:type="spellStart"/>
            <w:r w:rsidRPr="009819CB">
              <w:rPr>
                <w:i/>
              </w:rPr>
              <w:t>No-FS</w:t>
            </w:r>
            <w:proofErr w:type="spellEnd"/>
          </w:p>
        </w:tc>
        <w:tc>
          <w:tcPr>
            <w:tcW w:w="484" w:type="pct"/>
            <w:tcBorders>
              <w:top w:val="single" w:sz="4" w:space="0" w:color="auto"/>
              <w:bottom w:val="nil"/>
            </w:tcBorders>
          </w:tcPr>
          <w:p w14:paraId="520A1B6F" w14:textId="77777777" w:rsidR="00094A06" w:rsidRPr="00DB53D2" w:rsidRDefault="00094A06" w:rsidP="00BC6645">
            <w:pPr>
              <w:keepNext/>
              <w:jc w:val="center"/>
            </w:pPr>
            <w:r>
              <w:t>0,0001</w:t>
            </w:r>
          </w:p>
        </w:tc>
        <w:tc>
          <w:tcPr>
            <w:tcW w:w="679" w:type="pct"/>
            <w:tcBorders>
              <w:top w:val="single" w:sz="4" w:space="0" w:color="auto"/>
              <w:bottom w:val="nil"/>
            </w:tcBorders>
          </w:tcPr>
          <w:p w14:paraId="68CB501B" w14:textId="77777777" w:rsidR="00094A06" w:rsidRPr="00DB53D2" w:rsidRDefault="00094A06" w:rsidP="00BC6645">
            <w:pPr>
              <w:keepNext/>
              <w:jc w:val="center"/>
            </w:pPr>
            <w:r>
              <w:t>0,0001</w:t>
            </w:r>
          </w:p>
        </w:tc>
        <w:tc>
          <w:tcPr>
            <w:tcW w:w="680" w:type="pct"/>
            <w:tcBorders>
              <w:top w:val="single" w:sz="4" w:space="0" w:color="auto"/>
              <w:bottom w:val="nil"/>
            </w:tcBorders>
          </w:tcPr>
          <w:p w14:paraId="5ACD1365" w14:textId="77777777" w:rsidR="00094A06" w:rsidRPr="00DB53D2" w:rsidRDefault="00094A06" w:rsidP="00BC6645">
            <w:pPr>
              <w:keepNext/>
              <w:jc w:val="center"/>
            </w:pPr>
            <w:r>
              <w:t>0,0001</w:t>
            </w:r>
          </w:p>
        </w:tc>
        <w:tc>
          <w:tcPr>
            <w:tcW w:w="680" w:type="pct"/>
            <w:tcBorders>
              <w:top w:val="single" w:sz="4" w:space="0" w:color="auto"/>
              <w:bottom w:val="nil"/>
            </w:tcBorders>
          </w:tcPr>
          <w:p w14:paraId="086DDFA3" w14:textId="77777777" w:rsidR="00094A06" w:rsidRPr="00DB53D2" w:rsidRDefault="00094A06" w:rsidP="00BC6645">
            <w:pPr>
              <w:keepNext/>
              <w:jc w:val="center"/>
            </w:pPr>
            <w:r>
              <w:t>0,0000</w:t>
            </w:r>
          </w:p>
        </w:tc>
        <w:tc>
          <w:tcPr>
            <w:tcW w:w="681" w:type="pct"/>
            <w:tcBorders>
              <w:top w:val="single" w:sz="4" w:space="0" w:color="auto"/>
              <w:bottom w:val="nil"/>
            </w:tcBorders>
          </w:tcPr>
          <w:p w14:paraId="7A2930CD" w14:textId="77777777" w:rsidR="00094A06" w:rsidRPr="00DB53D2" w:rsidRDefault="00094A06" w:rsidP="00BC6645">
            <w:pPr>
              <w:keepNext/>
              <w:jc w:val="center"/>
            </w:pPr>
            <w:r>
              <w:t>0,0001</w:t>
            </w:r>
          </w:p>
        </w:tc>
        <w:tc>
          <w:tcPr>
            <w:tcW w:w="679" w:type="pct"/>
            <w:tcBorders>
              <w:top w:val="single" w:sz="4" w:space="0" w:color="auto"/>
              <w:bottom w:val="nil"/>
            </w:tcBorders>
          </w:tcPr>
          <w:p w14:paraId="19421858" w14:textId="77777777" w:rsidR="00094A06" w:rsidRPr="00DB53D2" w:rsidRDefault="00094A06" w:rsidP="00BC6645">
            <w:pPr>
              <w:keepNext/>
              <w:jc w:val="center"/>
            </w:pPr>
            <w:r>
              <w:t>0,0001</w:t>
            </w:r>
          </w:p>
        </w:tc>
      </w:tr>
      <w:tr w:rsidR="00094A06" w:rsidRPr="00DB53D2" w14:paraId="20F2AF75" w14:textId="77777777" w:rsidTr="00EF5A02">
        <w:tc>
          <w:tcPr>
            <w:tcW w:w="1117" w:type="pct"/>
            <w:tcBorders>
              <w:top w:val="nil"/>
              <w:bottom w:val="nil"/>
            </w:tcBorders>
          </w:tcPr>
          <w:p w14:paraId="54EDE969" w14:textId="77777777" w:rsidR="00094A06" w:rsidRPr="00DB53D2" w:rsidRDefault="00094A06" w:rsidP="00BC6645">
            <w:pPr>
              <w:keepNext/>
              <w:jc w:val="both"/>
            </w:pPr>
            <w:r w:rsidRPr="00DB53D2">
              <w:t>N-</w:t>
            </w:r>
            <w:proofErr w:type="spellStart"/>
            <w:r w:rsidRPr="00DB53D2">
              <w:t>R</w:t>
            </w:r>
            <w:r w:rsidRPr="00DB53D2">
              <w:rPr>
                <w:vertAlign w:val="superscript"/>
              </w:rPr>
              <w:t>matriz</w:t>
            </w:r>
            <w:proofErr w:type="spellEnd"/>
            <w:r>
              <w:t xml:space="preserve">, </w:t>
            </w:r>
            <w:r w:rsidRPr="009819CB">
              <w:rPr>
                <w:i/>
              </w:rPr>
              <w:t>L</w:t>
            </w:r>
            <w:r>
              <w:t>=0</w:t>
            </w:r>
          </w:p>
        </w:tc>
        <w:tc>
          <w:tcPr>
            <w:tcW w:w="484" w:type="pct"/>
            <w:tcBorders>
              <w:top w:val="nil"/>
              <w:bottom w:val="nil"/>
            </w:tcBorders>
          </w:tcPr>
          <w:p w14:paraId="46204CAB" w14:textId="77777777" w:rsidR="00094A06" w:rsidRPr="00DB53D2" w:rsidRDefault="00094A06" w:rsidP="00BC6645">
            <w:pPr>
              <w:keepNext/>
              <w:jc w:val="center"/>
            </w:pPr>
            <w:r>
              <w:t>0,0001</w:t>
            </w:r>
          </w:p>
        </w:tc>
        <w:tc>
          <w:tcPr>
            <w:tcW w:w="679" w:type="pct"/>
            <w:tcBorders>
              <w:top w:val="nil"/>
              <w:bottom w:val="nil"/>
            </w:tcBorders>
          </w:tcPr>
          <w:p w14:paraId="602A08B2" w14:textId="77777777" w:rsidR="00094A06" w:rsidRPr="00DB53D2" w:rsidRDefault="00094A06" w:rsidP="00BC6645">
            <w:pPr>
              <w:keepNext/>
              <w:jc w:val="center"/>
            </w:pPr>
            <w:r>
              <w:t>0,0001</w:t>
            </w:r>
          </w:p>
        </w:tc>
        <w:tc>
          <w:tcPr>
            <w:tcW w:w="680" w:type="pct"/>
            <w:tcBorders>
              <w:top w:val="nil"/>
              <w:bottom w:val="nil"/>
            </w:tcBorders>
          </w:tcPr>
          <w:p w14:paraId="479C86EE" w14:textId="77777777" w:rsidR="00094A06" w:rsidRPr="00DB53D2" w:rsidRDefault="00094A06" w:rsidP="00BC6645">
            <w:pPr>
              <w:keepNext/>
              <w:jc w:val="center"/>
            </w:pPr>
            <w:r>
              <w:t>0,0002</w:t>
            </w:r>
          </w:p>
        </w:tc>
        <w:tc>
          <w:tcPr>
            <w:tcW w:w="680" w:type="pct"/>
            <w:tcBorders>
              <w:top w:val="nil"/>
              <w:bottom w:val="nil"/>
            </w:tcBorders>
          </w:tcPr>
          <w:p w14:paraId="5AF13260" w14:textId="77777777" w:rsidR="00094A06" w:rsidRPr="00DB53D2" w:rsidRDefault="00094A06" w:rsidP="00BC6645">
            <w:pPr>
              <w:keepNext/>
              <w:jc w:val="center"/>
            </w:pPr>
            <w:r>
              <w:t>0,0000</w:t>
            </w:r>
          </w:p>
        </w:tc>
        <w:tc>
          <w:tcPr>
            <w:tcW w:w="681" w:type="pct"/>
            <w:tcBorders>
              <w:top w:val="nil"/>
              <w:bottom w:val="nil"/>
            </w:tcBorders>
          </w:tcPr>
          <w:p w14:paraId="72266583" w14:textId="77777777" w:rsidR="00094A06" w:rsidRPr="00DB53D2" w:rsidRDefault="00094A06" w:rsidP="00BC6645">
            <w:pPr>
              <w:keepNext/>
              <w:jc w:val="center"/>
            </w:pPr>
            <w:r>
              <w:t>0,0002</w:t>
            </w:r>
          </w:p>
        </w:tc>
        <w:tc>
          <w:tcPr>
            <w:tcW w:w="679" w:type="pct"/>
            <w:tcBorders>
              <w:top w:val="nil"/>
              <w:bottom w:val="nil"/>
            </w:tcBorders>
          </w:tcPr>
          <w:p w14:paraId="46114E39" w14:textId="77777777" w:rsidR="00094A06" w:rsidRPr="00DB53D2" w:rsidRDefault="00094A06" w:rsidP="00BC6645">
            <w:pPr>
              <w:keepNext/>
              <w:jc w:val="center"/>
            </w:pPr>
            <w:r>
              <w:t>0,0002</w:t>
            </w:r>
          </w:p>
        </w:tc>
      </w:tr>
      <w:tr w:rsidR="00094A06" w:rsidRPr="00DB53D2" w14:paraId="2D0F5C65" w14:textId="77777777" w:rsidTr="00EF5A02">
        <w:tc>
          <w:tcPr>
            <w:tcW w:w="1117" w:type="pct"/>
            <w:tcBorders>
              <w:top w:val="single" w:sz="4" w:space="0" w:color="auto"/>
              <w:bottom w:val="nil"/>
            </w:tcBorders>
          </w:tcPr>
          <w:p w14:paraId="1941F1AD" w14:textId="77777777" w:rsidR="00094A06" w:rsidRPr="00DB53D2" w:rsidRDefault="00094A06" w:rsidP="00BC6645">
            <w:pPr>
              <w:keepNext/>
              <w:jc w:val="both"/>
              <w:rPr>
                <w:b/>
              </w:rPr>
            </w:pPr>
            <w:r w:rsidRPr="00DB53D2">
              <w:t>D-</w:t>
            </w:r>
            <w:proofErr w:type="spellStart"/>
            <w:r w:rsidRPr="00DB53D2">
              <w:t>R</w:t>
            </w:r>
            <w:r w:rsidRPr="00DB53D2">
              <w:rPr>
                <w:vertAlign w:val="superscript"/>
              </w:rPr>
              <w:t>matriz</w:t>
            </w:r>
            <w:proofErr w:type="spellEnd"/>
            <w:r>
              <w:t xml:space="preserve">, </w:t>
            </w:r>
            <w:proofErr w:type="spellStart"/>
            <w:r w:rsidRPr="009819CB">
              <w:rPr>
                <w:i/>
              </w:rPr>
              <w:t>No-FS</w:t>
            </w:r>
            <w:proofErr w:type="spellEnd"/>
          </w:p>
        </w:tc>
        <w:tc>
          <w:tcPr>
            <w:tcW w:w="484" w:type="pct"/>
            <w:tcBorders>
              <w:top w:val="single" w:sz="4" w:space="0" w:color="auto"/>
              <w:bottom w:val="nil"/>
            </w:tcBorders>
          </w:tcPr>
          <w:p w14:paraId="11E128FB" w14:textId="77777777" w:rsidR="00094A06" w:rsidRPr="00DB53D2" w:rsidRDefault="00094A06" w:rsidP="00BC6645">
            <w:pPr>
              <w:keepNext/>
              <w:jc w:val="center"/>
            </w:pPr>
            <w:r>
              <w:t>0,0000</w:t>
            </w:r>
          </w:p>
        </w:tc>
        <w:tc>
          <w:tcPr>
            <w:tcW w:w="679" w:type="pct"/>
            <w:tcBorders>
              <w:top w:val="single" w:sz="4" w:space="0" w:color="auto"/>
              <w:bottom w:val="nil"/>
            </w:tcBorders>
          </w:tcPr>
          <w:p w14:paraId="05EDE254" w14:textId="77777777" w:rsidR="00094A06" w:rsidRPr="00DB53D2" w:rsidRDefault="00094A06" w:rsidP="00BC6645">
            <w:pPr>
              <w:keepNext/>
              <w:jc w:val="center"/>
            </w:pPr>
            <w:r>
              <w:t>0,0000</w:t>
            </w:r>
          </w:p>
        </w:tc>
        <w:tc>
          <w:tcPr>
            <w:tcW w:w="680" w:type="pct"/>
            <w:tcBorders>
              <w:top w:val="single" w:sz="4" w:space="0" w:color="auto"/>
              <w:bottom w:val="nil"/>
            </w:tcBorders>
          </w:tcPr>
          <w:p w14:paraId="12106C63" w14:textId="77777777" w:rsidR="00094A06" w:rsidRPr="00DB53D2" w:rsidRDefault="00094A06" w:rsidP="00BC6645">
            <w:pPr>
              <w:keepNext/>
              <w:jc w:val="center"/>
            </w:pPr>
            <w:r>
              <w:t>0,0000</w:t>
            </w:r>
          </w:p>
        </w:tc>
        <w:tc>
          <w:tcPr>
            <w:tcW w:w="680" w:type="pct"/>
            <w:tcBorders>
              <w:top w:val="single" w:sz="4" w:space="0" w:color="auto"/>
              <w:bottom w:val="nil"/>
            </w:tcBorders>
          </w:tcPr>
          <w:p w14:paraId="1B1ACA77" w14:textId="77777777" w:rsidR="00094A06" w:rsidRPr="00DB53D2" w:rsidRDefault="00094A06" w:rsidP="00BC6645">
            <w:pPr>
              <w:keepNext/>
              <w:jc w:val="center"/>
            </w:pPr>
            <w:r>
              <w:t>0,0000</w:t>
            </w:r>
          </w:p>
        </w:tc>
        <w:tc>
          <w:tcPr>
            <w:tcW w:w="681" w:type="pct"/>
            <w:tcBorders>
              <w:top w:val="single" w:sz="4" w:space="0" w:color="auto"/>
              <w:bottom w:val="nil"/>
            </w:tcBorders>
          </w:tcPr>
          <w:p w14:paraId="6DD5E90E" w14:textId="77777777" w:rsidR="00094A06" w:rsidRPr="00DB53D2" w:rsidRDefault="00094A06" w:rsidP="00BC6645">
            <w:pPr>
              <w:keepNext/>
              <w:jc w:val="center"/>
            </w:pPr>
            <w:r>
              <w:t>0,0577</w:t>
            </w:r>
          </w:p>
        </w:tc>
        <w:tc>
          <w:tcPr>
            <w:tcW w:w="679" w:type="pct"/>
            <w:tcBorders>
              <w:top w:val="single" w:sz="4" w:space="0" w:color="auto"/>
              <w:bottom w:val="nil"/>
            </w:tcBorders>
          </w:tcPr>
          <w:p w14:paraId="425AB645" w14:textId="77777777" w:rsidR="00094A06" w:rsidRPr="00DB53D2" w:rsidRDefault="00094A06" w:rsidP="00BC6645">
            <w:pPr>
              <w:keepNext/>
              <w:jc w:val="center"/>
            </w:pPr>
            <w:r>
              <w:t>0,0001</w:t>
            </w:r>
          </w:p>
        </w:tc>
      </w:tr>
      <w:tr w:rsidR="00094A06" w:rsidRPr="00DB53D2" w14:paraId="5738B7F0" w14:textId="77777777" w:rsidTr="00EF5A02">
        <w:tc>
          <w:tcPr>
            <w:tcW w:w="1117" w:type="pct"/>
            <w:tcBorders>
              <w:top w:val="nil"/>
            </w:tcBorders>
          </w:tcPr>
          <w:p w14:paraId="415854AD" w14:textId="77777777" w:rsidR="00094A06" w:rsidRPr="00DB53D2" w:rsidRDefault="00094A06" w:rsidP="00BC6645">
            <w:pPr>
              <w:keepNext/>
              <w:jc w:val="both"/>
            </w:pPr>
            <w:r w:rsidRPr="00DB53D2">
              <w:t>D-</w:t>
            </w:r>
            <w:proofErr w:type="spellStart"/>
            <w:r w:rsidRPr="00DB53D2">
              <w:t>R</w:t>
            </w:r>
            <w:r w:rsidRPr="00DB53D2">
              <w:rPr>
                <w:vertAlign w:val="superscript"/>
              </w:rPr>
              <w:t>matriz</w:t>
            </w:r>
            <w:proofErr w:type="spellEnd"/>
            <w:r>
              <w:t xml:space="preserve">, </w:t>
            </w:r>
            <w:r>
              <w:rPr>
                <w:i/>
              </w:rPr>
              <w:t>L=</w:t>
            </w:r>
            <w:r w:rsidRPr="009819CB">
              <w:t>0</w:t>
            </w:r>
          </w:p>
        </w:tc>
        <w:tc>
          <w:tcPr>
            <w:tcW w:w="484" w:type="pct"/>
            <w:tcBorders>
              <w:top w:val="nil"/>
            </w:tcBorders>
          </w:tcPr>
          <w:p w14:paraId="74B53D59" w14:textId="77777777" w:rsidR="00094A06" w:rsidRPr="00DB53D2" w:rsidRDefault="00094A06" w:rsidP="00BC6645">
            <w:pPr>
              <w:keepNext/>
              <w:jc w:val="center"/>
            </w:pPr>
            <w:r>
              <w:t>0,0000</w:t>
            </w:r>
          </w:p>
        </w:tc>
        <w:tc>
          <w:tcPr>
            <w:tcW w:w="679" w:type="pct"/>
            <w:tcBorders>
              <w:top w:val="nil"/>
            </w:tcBorders>
          </w:tcPr>
          <w:p w14:paraId="67FF6AA1" w14:textId="77777777" w:rsidR="00094A06" w:rsidRPr="00DB53D2" w:rsidRDefault="00094A06" w:rsidP="00BC6645">
            <w:pPr>
              <w:keepNext/>
              <w:jc w:val="center"/>
            </w:pPr>
            <w:r>
              <w:t>0,0000</w:t>
            </w:r>
          </w:p>
        </w:tc>
        <w:tc>
          <w:tcPr>
            <w:tcW w:w="680" w:type="pct"/>
            <w:tcBorders>
              <w:top w:val="nil"/>
            </w:tcBorders>
          </w:tcPr>
          <w:p w14:paraId="4CAA8086" w14:textId="77777777" w:rsidR="00094A06" w:rsidRPr="00DB53D2" w:rsidRDefault="00094A06" w:rsidP="00BC6645">
            <w:pPr>
              <w:keepNext/>
              <w:jc w:val="center"/>
            </w:pPr>
            <w:r>
              <w:t>0,0000</w:t>
            </w:r>
          </w:p>
        </w:tc>
        <w:tc>
          <w:tcPr>
            <w:tcW w:w="680" w:type="pct"/>
            <w:tcBorders>
              <w:top w:val="nil"/>
            </w:tcBorders>
          </w:tcPr>
          <w:p w14:paraId="44116CF2" w14:textId="77777777" w:rsidR="00094A06" w:rsidRPr="00DB53D2" w:rsidRDefault="00094A06" w:rsidP="00BC6645">
            <w:pPr>
              <w:keepNext/>
              <w:jc w:val="center"/>
            </w:pPr>
            <w:r>
              <w:t>0,0000</w:t>
            </w:r>
          </w:p>
        </w:tc>
        <w:tc>
          <w:tcPr>
            <w:tcW w:w="681" w:type="pct"/>
            <w:tcBorders>
              <w:top w:val="nil"/>
            </w:tcBorders>
          </w:tcPr>
          <w:p w14:paraId="6B8D58B4" w14:textId="77777777" w:rsidR="00094A06" w:rsidRPr="00DB53D2" w:rsidRDefault="00094A06" w:rsidP="00BC6645">
            <w:pPr>
              <w:keepNext/>
              <w:jc w:val="center"/>
            </w:pPr>
            <w:r>
              <w:t>0,0000</w:t>
            </w:r>
          </w:p>
        </w:tc>
        <w:tc>
          <w:tcPr>
            <w:tcW w:w="679" w:type="pct"/>
            <w:tcBorders>
              <w:top w:val="nil"/>
            </w:tcBorders>
          </w:tcPr>
          <w:p w14:paraId="2890D499" w14:textId="77777777" w:rsidR="00094A06" w:rsidRPr="00DB53D2" w:rsidRDefault="00094A06" w:rsidP="00BC6645">
            <w:pPr>
              <w:keepNext/>
              <w:jc w:val="center"/>
            </w:pPr>
            <w:r>
              <w:t>0,0000</w:t>
            </w:r>
          </w:p>
        </w:tc>
      </w:tr>
      <w:tr w:rsidR="00094A06" w:rsidRPr="00DB53D2" w14:paraId="429B4FC8" w14:textId="77777777" w:rsidTr="00EF5A02">
        <w:tc>
          <w:tcPr>
            <w:tcW w:w="1117" w:type="pct"/>
            <w:tcBorders>
              <w:top w:val="single" w:sz="4" w:space="0" w:color="auto"/>
              <w:bottom w:val="nil"/>
            </w:tcBorders>
          </w:tcPr>
          <w:p w14:paraId="35F56188" w14:textId="77777777" w:rsidR="00094A06" w:rsidRPr="00DB53D2" w:rsidRDefault="00094A06" w:rsidP="00BC6645">
            <w:pPr>
              <w:keepNext/>
              <w:jc w:val="both"/>
              <w:rPr>
                <w:b/>
              </w:rPr>
            </w:pPr>
            <w:r w:rsidRPr="00DB53D2">
              <w:t>F-</w:t>
            </w:r>
            <w:proofErr w:type="spellStart"/>
            <w:r w:rsidRPr="00DB53D2">
              <w:t>R</w:t>
            </w:r>
            <w:r w:rsidRPr="00DB53D2">
              <w:rPr>
                <w:vertAlign w:val="superscript"/>
              </w:rPr>
              <w:t>matriz</w:t>
            </w:r>
            <w:proofErr w:type="spellEnd"/>
            <w:r>
              <w:t xml:space="preserve">, </w:t>
            </w:r>
            <w:proofErr w:type="spellStart"/>
            <w:r w:rsidRPr="009819CB">
              <w:rPr>
                <w:i/>
              </w:rPr>
              <w:t>No-FS</w:t>
            </w:r>
            <w:proofErr w:type="spellEnd"/>
          </w:p>
        </w:tc>
        <w:tc>
          <w:tcPr>
            <w:tcW w:w="484" w:type="pct"/>
            <w:tcBorders>
              <w:top w:val="single" w:sz="4" w:space="0" w:color="auto"/>
              <w:bottom w:val="nil"/>
            </w:tcBorders>
          </w:tcPr>
          <w:p w14:paraId="21AB751A" w14:textId="77777777" w:rsidR="00094A06" w:rsidRPr="00DB53D2" w:rsidRDefault="00094A06" w:rsidP="00BC6645">
            <w:pPr>
              <w:keepNext/>
              <w:jc w:val="center"/>
            </w:pPr>
            <w:r>
              <w:t>0,0000</w:t>
            </w:r>
          </w:p>
        </w:tc>
        <w:tc>
          <w:tcPr>
            <w:tcW w:w="679" w:type="pct"/>
            <w:tcBorders>
              <w:top w:val="single" w:sz="4" w:space="0" w:color="auto"/>
              <w:bottom w:val="nil"/>
            </w:tcBorders>
          </w:tcPr>
          <w:p w14:paraId="49B81FFD" w14:textId="77777777" w:rsidR="00094A06" w:rsidRPr="00DB53D2" w:rsidRDefault="00094A06" w:rsidP="00BC6645">
            <w:pPr>
              <w:keepNext/>
              <w:jc w:val="center"/>
            </w:pPr>
            <w:r>
              <w:t>0,0000</w:t>
            </w:r>
          </w:p>
        </w:tc>
        <w:tc>
          <w:tcPr>
            <w:tcW w:w="680" w:type="pct"/>
            <w:tcBorders>
              <w:top w:val="single" w:sz="4" w:space="0" w:color="auto"/>
              <w:bottom w:val="nil"/>
            </w:tcBorders>
          </w:tcPr>
          <w:p w14:paraId="37B019EF" w14:textId="77777777" w:rsidR="00094A06" w:rsidRPr="00DB53D2" w:rsidRDefault="00094A06" w:rsidP="00BC6645">
            <w:pPr>
              <w:keepNext/>
              <w:jc w:val="center"/>
            </w:pPr>
            <w:r>
              <w:t>0,0002</w:t>
            </w:r>
          </w:p>
        </w:tc>
        <w:tc>
          <w:tcPr>
            <w:tcW w:w="680" w:type="pct"/>
            <w:tcBorders>
              <w:top w:val="single" w:sz="4" w:space="0" w:color="auto"/>
              <w:bottom w:val="nil"/>
            </w:tcBorders>
          </w:tcPr>
          <w:p w14:paraId="79DFA450" w14:textId="77777777" w:rsidR="00094A06" w:rsidRPr="00DB53D2" w:rsidRDefault="00094A06" w:rsidP="00BC6645">
            <w:pPr>
              <w:keepNext/>
              <w:jc w:val="center"/>
            </w:pPr>
            <w:r>
              <w:t>0,0002</w:t>
            </w:r>
          </w:p>
        </w:tc>
        <w:tc>
          <w:tcPr>
            <w:tcW w:w="681" w:type="pct"/>
            <w:tcBorders>
              <w:top w:val="single" w:sz="4" w:space="0" w:color="auto"/>
              <w:bottom w:val="nil"/>
            </w:tcBorders>
          </w:tcPr>
          <w:p w14:paraId="13AF7DA3" w14:textId="77777777" w:rsidR="00094A06" w:rsidRPr="00DB53D2" w:rsidRDefault="00094A06" w:rsidP="00BC6645">
            <w:pPr>
              <w:keepNext/>
              <w:jc w:val="center"/>
            </w:pPr>
            <w:r>
              <w:t>0,0000</w:t>
            </w:r>
          </w:p>
        </w:tc>
        <w:tc>
          <w:tcPr>
            <w:tcW w:w="679" w:type="pct"/>
            <w:tcBorders>
              <w:top w:val="single" w:sz="4" w:space="0" w:color="auto"/>
              <w:bottom w:val="nil"/>
            </w:tcBorders>
          </w:tcPr>
          <w:p w14:paraId="4E739155" w14:textId="77777777" w:rsidR="00094A06" w:rsidRPr="00DB53D2" w:rsidRDefault="00094A06" w:rsidP="00BC6645">
            <w:pPr>
              <w:keepNext/>
              <w:jc w:val="center"/>
            </w:pPr>
            <w:r>
              <w:t>0,0000</w:t>
            </w:r>
          </w:p>
        </w:tc>
      </w:tr>
      <w:tr w:rsidR="00094A06" w:rsidRPr="00DB53D2" w14:paraId="78382097" w14:textId="77777777" w:rsidTr="00EF5A02">
        <w:tc>
          <w:tcPr>
            <w:tcW w:w="1117" w:type="pct"/>
            <w:tcBorders>
              <w:top w:val="nil"/>
              <w:bottom w:val="nil"/>
            </w:tcBorders>
          </w:tcPr>
          <w:p w14:paraId="5B5086B1" w14:textId="77777777" w:rsidR="00094A06" w:rsidRPr="009819CB" w:rsidRDefault="00094A06" w:rsidP="00BC6645">
            <w:pPr>
              <w:keepNext/>
              <w:jc w:val="both"/>
            </w:pPr>
            <w:r w:rsidRPr="00DB53D2">
              <w:t>F-</w:t>
            </w:r>
            <w:proofErr w:type="spellStart"/>
            <w:r w:rsidRPr="00DB53D2">
              <w:t>R</w:t>
            </w:r>
            <w:r w:rsidRPr="00DB53D2">
              <w:rPr>
                <w:vertAlign w:val="superscript"/>
              </w:rPr>
              <w:t>matriz</w:t>
            </w:r>
            <w:proofErr w:type="spellEnd"/>
            <w:r>
              <w:t xml:space="preserve">, </w:t>
            </w:r>
            <w:r>
              <w:rPr>
                <w:i/>
              </w:rPr>
              <w:t>L</w:t>
            </w:r>
            <w:r>
              <w:t>=0</w:t>
            </w:r>
          </w:p>
        </w:tc>
        <w:tc>
          <w:tcPr>
            <w:tcW w:w="484" w:type="pct"/>
            <w:tcBorders>
              <w:top w:val="nil"/>
              <w:bottom w:val="nil"/>
            </w:tcBorders>
          </w:tcPr>
          <w:p w14:paraId="3B4C28BD" w14:textId="77777777" w:rsidR="00094A06" w:rsidRPr="00DB53D2" w:rsidRDefault="00094A06" w:rsidP="00BC6645">
            <w:pPr>
              <w:keepNext/>
              <w:jc w:val="center"/>
            </w:pPr>
            <w:r>
              <w:t>0,0000</w:t>
            </w:r>
          </w:p>
        </w:tc>
        <w:tc>
          <w:tcPr>
            <w:tcW w:w="679" w:type="pct"/>
            <w:tcBorders>
              <w:top w:val="nil"/>
              <w:bottom w:val="nil"/>
            </w:tcBorders>
          </w:tcPr>
          <w:p w14:paraId="73C3BED6" w14:textId="77777777" w:rsidR="00094A06" w:rsidRPr="00DB53D2" w:rsidRDefault="00094A06" w:rsidP="00BC6645">
            <w:pPr>
              <w:keepNext/>
              <w:jc w:val="center"/>
            </w:pPr>
            <w:r>
              <w:t>0,0000</w:t>
            </w:r>
          </w:p>
        </w:tc>
        <w:tc>
          <w:tcPr>
            <w:tcW w:w="680" w:type="pct"/>
            <w:tcBorders>
              <w:top w:val="nil"/>
              <w:bottom w:val="nil"/>
            </w:tcBorders>
          </w:tcPr>
          <w:p w14:paraId="377D1253" w14:textId="77777777" w:rsidR="00094A06" w:rsidRPr="00DB53D2" w:rsidRDefault="00094A06" w:rsidP="00BC6645">
            <w:pPr>
              <w:keepNext/>
              <w:jc w:val="center"/>
            </w:pPr>
            <w:r>
              <w:t>0,0002</w:t>
            </w:r>
          </w:p>
        </w:tc>
        <w:tc>
          <w:tcPr>
            <w:tcW w:w="680" w:type="pct"/>
            <w:tcBorders>
              <w:top w:val="nil"/>
              <w:bottom w:val="nil"/>
            </w:tcBorders>
          </w:tcPr>
          <w:p w14:paraId="5434DA49" w14:textId="77777777" w:rsidR="00094A06" w:rsidRPr="00DB53D2" w:rsidRDefault="00094A06" w:rsidP="00BC6645">
            <w:pPr>
              <w:keepNext/>
              <w:jc w:val="center"/>
            </w:pPr>
            <w:r>
              <w:t>0,0000</w:t>
            </w:r>
          </w:p>
        </w:tc>
        <w:tc>
          <w:tcPr>
            <w:tcW w:w="681" w:type="pct"/>
            <w:tcBorders>
              <w:top w:val="nil"/>
              <w:bottom w:val="nil"/>
            </w:tcBorders>
          </w:tcPr>
          <w:p w14:paraId="0AA6FE16" w14:textId="77777777" w:rsidR="00094A06" w:rsidRPr="00DB53D2" w:rsidRDefault="00094A06" w:rsidP="00BC6645">
            <w:pPr>
              <w:keepNext/>
              <w:jc w:val="center"/>
            </w:pPr>
            <w:r>
              <w:t>0,0001</w:t>
            </w:r>
          </w:p>
        </w:tc>
        <w:tc>
          <w:tcPr>
            <w:tcW w:w="679" w:type="pct"/>
            <w:tcBorders>
              <w:top w:val="nil"/>
              <w:bottom w:val="nil"/>
            </w:tcBorders>
          </w:tcPr>
          <w:p w14:paraId="436E441F" w14:textId="77777777" w:rsidR="00094A06" w:rsidRPr="00DB53D2" w:rsidRDefault="00094A06" w:rsidP="00BC6645">
            <w:pPr>
              <w:keepNext/>
              <w:jc w:val="center"/>
            </w:pPr>
            <w:r>
              <w:t>0,0001</w:t>
            </w:r>
          </w:p>
        </w:tc>
      </w:tr>
      <w:tr w:rsidR="00094A06" w:rsidRPr="00E9029E" w14:paraId="7424B35E" w14:textId="77777777" w:rsidTr="00EF5A02">
        <w:tc>
          <w:tcPr>
            <w:tcW w:w="5000" w:type="pct"/>
            <w:gridSpan w:val="7"/>
            <w:tcBorders>
              <w:top w:val="single" w:sz="4" w:space="0" w:color="auto"/>
              <w:bottom w:val="nil"/>
            </w:tcBorders>
          </w:tcPr>
          <w:p w14:paraId="1C473E10" w14:textId="77777777" w:rsidR="00094A06" w:rsidRPr="00DB53D2" w:rsidRDefault="00094A06" w:rsidP="00BC6645">
            <w:pPr>
              <w:jc w:val="both"/>
              <w:rPr>
                <w:b/>
              </w:rPr>
            </w:pPr>
            <w:r w:rsidRPr="00DB53D2">
              <w:rPr>
                <w:i/>
              </w:rPr>
              <w:t>Nota</w:t>
            </w:r>
            <w:r w:rsidRPr="00DB53D2">
              <w:t xml:space="preserve">: </w:t>
            </w:r>
            <w:r w:rsidRPr="00DB53D2">
              <w:rPr>
                <w:i/>
              </w:rPr>
              <w:t>p</w:t>
            </w:r>
            <w:r w:rsidRPr="00DB53D2">
              <w:t>-valores para a hipótese nula de que há uma raiz unitária</w:t>
            </w:r>
            <w:r>
              <w:t xml:space="preserve"> ou não estacionaridade; </w:t>
            </w:r>
            <w:proofErr w:type="spellStart"/>
            <w:r>
              <w:t>ADF</w:t>
            </w:r>
            <w:proofErr w:type="spellEnd"/>
            <w:r>
              <w:t xml:space="preserve"> denota teste </w:t>
            </w:r>
            <w:proofErr w:type="spellStart"/>
            <w:r w:rsidRPr="00DB53D2">
              <w:t>Dickey-Fuller</w:t>
            </w:r>
            <w:proofErr w:type="spellEnd"/>
            <w:r w:rsidRPr="00DB53D2">
              <w:t xml:space="preserve"> aumentado e Z(</w:t>
            </w:r>
            <w:r w:rsidRPr="00DB53D2">
              <w:rPr>
                <w:i/>
              </w:rPr>
              <w:t>t</w:t>
            </w:r>
            <w:r w:rsidRPr="00DB53D2">
              <w:rPr>
                <w:i/>
                <w:vertAlign w:val="subscript"/>
              </w:rPr>
              <w:t>a</w:t>
            </w:r>
            <w:r w:rsidRPr="00DB53D2">
              <w:t>)</w:t>
            </w:r>
            <w:r>
              <w:t>,</w:t>
            </w:r>
            <w:r w:rsidRPr="00DB53D2">
              <w:t xml:space="preserve"> teste de Phi</w:t>
            </w:r>
            <w:r>
              <w:t>l</w:t>
            </w:r>
            <w:r w:rsidRPr="00DB53D2">
              <w:t>lips-</w:t>
            </w:r>
            <w:proofErr w:type="spellStart"/>
            <w:r w:rsidRPr="00DB53D2">
              <w:t>Perron</w:t>
            </w:r>
            <w:proofErr w:type="spellEnd"/>
            <w:r w:rsidRPr="00DB53D2">
              <w:t>.</w:t>
            </w:r>
          </w:p>
        </w:tc>
      </w:tr>
    </w:tbl>
    <w:p w14:paraId="3F0208E5" w14:textId="77777777" w:rsidR="00094A06" w:rsidRPr="00AC0DB8" w:rsidRDefault="00094A06" w:rsidP="00BC6645">
      <w:pPr>
        <w:jc w:val="both"/>
        <w:rPr>
          <w:b/>
        </w:rPr>
      </w:pPr>
    </w:p>
    <w:p w14:paraId="4C1C1AD3" w14:textId="77777777" w:rsidR="00094A06" w:rsidRDefault="00094A06" w:rsidP="00BC6645">
      <w:pPr>
        <w:ind w:firstLine="720"/>
        <w:jc w:val="both"/>
      </w:pPr>
      <w:r w:rsidRPr="00915317">
        <w:t xml:space="preserve">Baseado nos </w:t>
      </w:r>
      <w:r w:rsidRPr="00915317">
        <w:rPr>
          <w:i/>
        </w:rPr>
        <w:t>p</w:t>
      </w:r>
      <w:r w:rsidRPr="00915317">
        <w:t>-</w:t>
      </w:r>
      <w:r>
        <w:t>valores apresentados na Tabela 3</w:t>
      </w:r>
      <w:r w:rsidRPr="00915317">
        <w:t xml:space="preserve">, conclui-se que a hipótese de </w:t>
      </w:r>
      <w:r>
        <w:t>existência</w:t>
      </w:r>
      <w:r w:rsidRPr="00915317">
        <w:t xml:space="preserve"> </w:t>
      </w:r>
      <w:r>
        <w:t xml:space="preserve">de </w:t>
      </w:r>
      <w:r w:rsidRPr="00915317">
        <w:t xml:space="preserve">raiz unitária </w:t>
      </w:r>
      <w:r>
        <w:t xml:space="preserve">nas séries de resíduos </w:t>
      </w:r>
      <w:r w:rsidRPr="00915317">
        <w:t xml:space="preserve">é rejeitada </w:t>
      </w:r>
      <w:r>
        <w:t xml:space="preserve">em cada modelo estimado ao nível, por exemplo, de 1% de probabilidade. Assim, como os </w:t>
      </w:r>
      <w:r w:rsidRPr="00915317">
        <w:t>resíduos d</w:t>
      </w:r>
      <w:r>
        <w:t xml:space="preserve">as </w:t>
      </w:r>
      <w:r w:rsidRPr="00915317">
        <w:t>equaç</w:t>
      </w:r>
      <w:r>
        <w:t>ões d</w:t>
      </w:r>
      <w:r w:rsidRPr="00915317">
        <w:t>o</w:t>
      </w:r>
      <w:r>
        <w:t>s modelos são estacionários, conclui-se que as variáveis nos modelos podem ser cointegradas</w:t>
      </w:r>
      <w:r w:rsidRPr="00915317">
        <w:t xml:space="preserve"> </w:t>
      </w:r>
      <w:r>
        <w:t>o que justifica a estimação desses modelos</w:t>
      </w:r>
      <w:r w:rsidR="00EE693D">
        <w:t xml:space="preserve"> </w:t>
      </w:r>
      <w:r w:rsidR="00EE693D" w:rsidRPr="00915317">
        <w:t>(FISHER et al., 2001)</w:t>
      </w:r>
      <w:r w:rsidRPr="00915317">
        <w:t xml:space="preserve">. </w:t>
      </w:r>
    </w:p>
    <w:p w14:paraId="6D3DDE20" w14:textId="77777777" w:rsidR="00094A06" w:rsidRPr="00094A06" w:rsidRDefault="000E1F5A" w:rsidP="00BC6645">
      <w:pPr>
        <w:keepNext/>
        <w:jc w:val="both"/>
        <w:rPr>
          <w:b/>
          <w:i/>
        </w:rPr>
      </w:pPr>
      <w:r>
        <w:rPr>
          <w:b/>
          <w:i/>
        </w:rPr>
        <w:lastRenderedPageBreak/>
        <w:t>Testes de Hipóteses e Seleção do M</w:t>
      </w:r>
      <w:r w:rsidR="00094A06" w:rsidRPr="00094A06">
        <w:rPr>
          <w:b/>
          <w:i/>
        </w:rPr>
        <w:t xml:space="preserve">odelo </w:t>
      </w:r>
      <w:r>
        <w:rPr>
          <w:b/>
          <w:i/>
        </w:rPr>
        <w:t>P</w:t>
      </w:r>
      <w:r w:rsidR="00094A06" w:rsidRPr="00094A06">
        <w:rPr>
          <w:b/>
          <w:i/>
        </w:rPr>
        <w:t>referido</w:t>
      </w:r>
    </w:p>
    <w:p w14:paraId="797F6AC8" w14:textId="77777777" w:rsidR="00094A06" w:rsidRPr="002D045A" w:rsidRDefault="00094A06" w:rsidP="00BC6645">
      <w:pPr>
        <w:ind w:firstLine="708"/>
        <w:jc w:val="both"/>
      </w:pPr>
      <w:r w:rsidRPr="004F017F">
        <w:t>Sabe-se que</w:t>
      </w:r>
      <w:r>
        <w:t xml:space="preserve"> o</w:t>
      </w:r>
      <w:r w:rsidRPr="00115F65">
        <w:t xml:space="preserve"> teste usual de razão de verossimilhança (</w:t>
      </w:r>
      <w:r>
        <w:t xml:space="preserve">teste </w:t>
      </w:r>
      <w:r w:rsidRPr="002D12F0">
        <w:rPr>
          <w:i/>
        </w:rPr>
        <w:t>LR</w:t>
      </w:r>
      <w:r w:rsidRPr="00115F65">
        <w:t xml:space="preserve">) é, em amostras finitas, viesado a favor da rejeição das restrições impostas aos modelos de </w:t>
      </w:r>
      <w:r>
        <w:t xml:space="preserve">equações de </w:t>
      </w:r>
      <w:r w:rsidRPr="00115F65">
        <w:t>demanda (MOSCHINI et al., 1994)</w:t>
      </w:r>
      <w:r>
        <w:t>.</w:t>
      </w:r>
      <w:r w:rsidRPr="00115F65">
        <w:t xml:space="preserve"> </w:t>
      </w:r>
      <w:r>
        <w:t xml:space="preserve"> </w:t>
      </w:r>
      <w:r w:rsidRPr="002D12F0">
        <w:t>Ape</w:t>
      </w:r>
      <w:r>
        <w:t>sar de não haver uma forma inequívoca</w:t>
      </w:r>
      <w:r w:rsidRPr="002D12F0">
        <w:t xml:space="preserve"> de se ajustar o teste </w:t>
      </w:r>
      <w:r w:rsidRPr="002D12F0">
        <w:rPr>
          <w:i/>
        </w:rPr>
        <w:t>LR</w:t>
      </w:r>
      <w:r w:rsidRPr="002D12F0">
        <w:t xml:space="preserve"> </w:t>
      </w:r>
      <w:r>
        <w:t xml:space="preserve">com vistas a minimizar tal viés, </w:t>
      </w:r>
      <w:proofErr w:type="spellStart"/>
      <w:r w:rsidRPr="002D12F0">
        <w:t>Moschini</w:t>
      </w:r>
      <w:proofErr w:type="spellEnd"/>
      <w:r w:rsidRPr="002D12F0">
        <w:t xml:space="preserve"> et al. (1994) </w:t>
      </w:r>
      <w:r>
        <w:t>observam</w:t>
      </w:r>
      <w:r w:rsidRPr="002D12F0">
        <w:t xml:space="preserve"> que o método de correção proposto por </w:t>
      </w:r>
      <w:proofErr w:type="spellStart"/>
      <w:r w:rsidRPr="002D12F0">
        <w:t>Italianer</w:t>
      </w:r>
      <w:proofErr w:type="spellEnd"/>
      <w:r w:rsidRPr="002D12F0">
        <w:t xml:space="preserve"> (</w:t>
      </w:r>
      <w:r>
        <w:t>1975</w:t>
      </w:r>
      <w:r w:rsidRPr="002D12F0">
        <w:t>) apresenta bom desempenho</w:t>
      </w:r>
      <w:r w:rsidR="008965BE">
        <w:t>,</w:t>
      </w:r>
      <w:r w:rsidRPr="002D12F0">
        <w:t xml:space="preserve"> quando aplicado a modelos n</w:t>
      </w:r>
      <w:r>
        <w:t>ão lineares de equações de demanda</w:t>
      </w:r>
      <w:r w:rsidRPr="002D12F0">
        <w:t xml:space="preserve">. </w:t>
      </w:r>
      <w:r w:rsidRPr="002D045A">
        <w:t xml:space="preserve">A estatística do teste </w:t>
      </w:r>
      <w:r w:rsidRPr="002D045A">
        <w:rPr>
          <w:i/>
        </w:rPr>
        <w:t>LR</w:t>
      </w:r>
      <w:r w:rsidRPr="002D045A">
        <w:t xml:space="preserve"> ajustado </w:t>
      </w:r>
      <w:r w:rsidRPr="002D12F0">
        <w:t xml:space="preserve">proposto por </w:t>
      </w:r>
      <w:proofErr w:type="spellStart"/>
      <w:r w:rsidRPr="002D12F0">
        <w:t>Italianer</w:t>
      </w:r>
      <w:proofErr w:type="spellEnd"/>
      <w:r w:rsidRPr="002D12F0">
        <w:t xml:space="preserve"> (</w:t>
      </w:r>
      <w:r>
        <w:t>1975</w:t>
      </w:r>
      <w:r w:rsidRPr="002D12F0">
        <w:t xml:space="preserve">) </w:t>
      </w:r>
      <w:r w:rsidRPr="002D045A">
        <w:t xml:space="preserve">é: </w:t>
      </w:r>
    </w:p>
    <w:p w14:paraId="28306FEC" w14:textId="77777777" w:rsidR="00094A06" w:rsidRPr="002D045A" w:rsidRDefault="00094A06" w:rsidP="00BC6645">
      <w:pPr>
        <w:jc w:val="both"/>
        <w:rPr>
          <w:rFonts w:ascii="TimesTen-Italic" w:hAnsi="TimesTen-Italic" w:cs="TimesTen-Italic"/>
          <w:iCs/>
        </w:rPr>
      </w:pPr>
      <w:proofErr w:type="spellStart"/>
      <w:r w:rsidRPr="002D045A">
        <w:rPr>
          <w:rFonts w:ascii="TimesTen-Italic" w:hAnsi="TimesTen-Italic" w:cs="TimesTen-Italic"/>
          <w:i/>
          <w:iCs/>
        </w:rPr>
        <w:t>LRs</w:t>
      </w:r>
      <w:proofErr w:type="spellEnd"/>
      <w:r>
        <w:rPr>
          <w:rFonts w:ascii="TimesTen-Italic" w:hAnsi="TimesTen-Italic" w:cs="TimesTen-Italic"/>
          <w:i/>
          <w:iCs/>
        </w:rPr>
        <w:t xml:space="preserve"> </w:t>
      </w:r>
      <w:r w:rsidRPr="002D045A">
        <w:rPr>
          <w:rFonts w:ascii="MTSY" w:eastAsia="MTSY" w:hAnsi="TimesTen-Roman" w:cs="MTSY"/>
        </w:rPr>
        <w:t xml:space="preserve">= </w:t>
      </w:r>
      <w:r w:rsidRPr="002D045A">
        <w:rPr>
          <w:rFonts w:ascii="TimesTen-Roman" w:hAnsi="TimesTen-Roman" w:cs="TimesTen-Roman"/>
        </w:rPr>
        <w:t>((</w:t>
      </w:r>
      <w:r w:rsidRPr="002D045A">
        <w:rPr>
          <w:rFonts w:ascii="TimesTen-Italic" w:hAnsi="TimesTen-Italic" w:cs="TimesTen-Italic"/>
          <w:i/>
          <w:iCs/>
        </w:rPr>
        <w:t>M</w:t>
      </w:r>
      <w:r>
        <w:rPr>
          <w:rFonts w:ascii="TimesTen-Italic" w:hAnsi="TimesTen-Italic" w:cs="TimesTen-Italic"/>
          <w:i/>
          <w:iCs/>
        </w:rPr>
        <w:t>*</w:t>
      </w:r>
      <w:r w:rsidRPr="002D045A">
        <w:rPr>
          <w:rFonts w:ascii="TimesTen-Italic" w:hAnsi="TimesTen-Italic" w:cs="TimesTen-Italic"/>
          <w:i/>
          <w:iCs/>
        </w:rPr>
        <w:t xml:space="preserve">T </w:t>
      </w:r>
      <w:r w:rsidRPr="002D045A">
        <w:rPr>
          <w:rFonts w:ascii="MTSY" w:eastAsia="MTSY" w:hAnsi="TimesTen-Roman" w:cs="MTSY"/>
        </w:rPr>
        <w:t>−</w:t>
      </w:r>
      <w:r w:rsidRPr="002D045A">
        <w:rPr>
          <w:rFonts w:ascii="TimesTen-Roman" w:hAnsi="TimesTen-Roman" w:cs="TimesTen-Roman"/>
        </w:rPr>
        <w:t>0.5((</w:t>
      </w:r>
      <w:proofErr w:type="spellStart"/>
      <w:r w:rsidRPr="002D045A">
        <w:rPr>
          <w:rFonts w:ascii="TimesTen-Italic" w:hAnsi="TimesTen-Italic" w:cs="TimesTen-Italic"/>
          <w:i/>
          <w:iCs/>
        </w:rPr>
        <w:t>k</w:t>
      </w:r>
      <w:r w:rsidRPr="002D045A">
        <w:rPr>
          <w:rFonts w:ascii="TimesTen-Italic" w:hAnsi="TimesTen-Italic" w:cs="TimesTen-Italic"/>
          <w:i/>
          <w:iCs/>
          <w:vertAlign w:val="superscript"/>
        </w:rPr>
        <w:t>u</w:t>
      </w:r>
      <w:proofErr w:type="spellEnd"/>
      <w:r w:rsidRPr="002D045A">
        <w:rPr>
          <w:rFonts w:ascii="TimesTen-Italic" w:hAnsi="TimesTen-Italic" w:cs="TimesTen-Italic"/>
          <w:i/>
          <w:iCs/>
        </w:rPr>
        <w:t xml:space="preserve"> </w:t>
      </w:r>
      <w:r w:rsidRPr="002D045A">
        <w:rPr>
          <w:rFonts w:ascii="MTSY" w:eastAsia="MTSY" w:hAnsi="TimesTen-Roman" w:cs="MTSY"/>
        </w:rPr>
        <w:t xml:space="preserve">+ </w:t>
      </w:r>
      <w:proofErr w:type="spellStart"/>
      <w:r w:rsidRPr="002D045A">
        <w:rPr>
          <w:rFonts w:ascii="TimesTen-Italic" w:hAnsi="TimesTen-Italic" w:cs="TimesTen-Italic"/>
          <w:i/>
          <w:iCs/>
        </w:rPr>
        <w:t>k</w:t>
      </w:r>
      <w:r w:rsidRPr="002D045A">
        <w:rPr>
          <w:rFonts w:ascii="TimesTen-Italic" w:hAnsi="TimesTen-Italic" w:cs="TimesTen-Italic"/>
          <w:i/>
          <w:iCs/>
          <w:vertAlign w:val="superscript"/>
        </w:rPr>
        <w:t>r</w:t>
      </w:r>
      <w:proofErr w:type="spellEnd"/>
      <w:r w:rsidRPr="002D045A">
        <w:rPr>
          <w:rFonts w:ascii="TimesTen-Roman" w:hAnsi="TimesTen-Roman" w:cs="TimesTen-Roman"/>
        </w:rPr>
        <w:t xml:space="preserve">) </w:t>
      </w:r>
      <w:r w:rsidRPr="002D045A">
        <w:rPr>
          <w:rFonts w:ascii="MTSY" w:eastAsia="MTSY" w:hAnsi="TimesTen-Roman" w:cs="MTSY"/>
        </w:rPr>
        <w:t>−</w:t>
      </w:r>
      <w:r w:rsidRPr="002D045A">
        <w:rPr>
          <w:rFonts w:ascii="TimesTen-Italic" w:hAnsi="TimesTen-Italic" w:cs="TimesTen-Italic"/>
          <w:i/>
          <w:iCs/>
        </w:rPr>
        <w:t>M</w:t>
      </w:r>
      <w:r w:rsidRPr="002D045A">
        <w:rPr>
          <w:rFonts w:ascii="TimesTen-Roman" w:hAnsi="TimesTen-Roman" w:cs="TimesTen-Roman"/>
        </w:rPr>
        <w:t>(</w:t>
      </w:r>
      <w:r w:rsidRPr="002D045A">
        <w:rPr>
          <w:rFonts w:ascii="TimesTen-Italic" w:hAnsi="TimesTen-Italic" w:cs="TimesTen-Italic"/>
          <w:i/>
          <w:iCs/>
        </w:rPr>
        <w:t xml:space="preserve">M </w:t>
      </w:r>
      <w:r w:rsidRPr="002D045A">
        <w:rPr>
          <w:rFonts w:ascii="MTSY" w:eastAsia="MTSY" w:hAnsi="TimesTen-Roman" w:cs="MTSY"/>
        </w:rPr>
        <w:t>+</w:t>
      </w:r>
      <w:r w:rsidRPr="002D045A">
        <w:rPr>
          <w:rFonts w:ascii="TimesTen-Roman" w:hAnsi="TimesTen-Roman" w:cs="TimesTen-Roman"/>
        </w:rPr>
        <w:t>1)))/</w:t>
      </w:r>
      <w:r w:rsidRPr="002D045A">
        <w:rPr>
          <w:rFonts w:ascii="TimesTen-Italic" w:hAnsi="TimesTen-Italic" w:cs="TimesTen-Italic"/>
          <w:i/>
          <w:iCs/>
        </w:rPr>
        <w:t>M</w:t>
      </w:r>
      <w:r>
        <w:rPr>
          <w:rFonts w:ascii="TimesTen-Italic" w:hAnsi="TimesTen-Italic" w:cs="TimesTen-Italic"/>
          <w:i/>
          <w:iCs/>
        </w:rPr>
        <w:t>*</w:t>
      </w:r>
      <w:r w:rsidRPr="002D045A">
        <w:rPr>
          <w:rFonts w:ascii="TimesTen-Italic" w:hAnsi="TimesTen-Italic" w:cs="TimesTen-Italic"/>
          <w:i/>
          <w:iCs/>
        </w:rPr>
        <w:t>T</w:t>
      </w:r>
      <w:r w:rsidRPr="002D045A">
        <w:rPr>
          <w:rFonts w:ascii="TimesTen-Roman" w:hAnsi="TimesTen-Roman" w:cs="TimesTen-Roman"/>
        </w:rPr>
        <w:t>)</w:t>
      </w:r>
      <w:proofErr w:type="spellStart"/>
      <w:r w:rsidRPr="002D045A">
        <w:rPr>
          <w:rFonts w:ascii="TimesTen-Italic" w:hAnsi="TimesTen-Italic" w:cs="TimesTen-Italic"/>
          <w:i/>
          <w:iCs/>
        </w:rPr>
        <w:t>LR</w:t>
      </w:r>
      <w:proofErr w:type="spellEnd"/>
      <w:r w:rsidRPr="002D045A">
        <w:rPr>
          <w:rFonts w:ascii="TimesTen-Italic" w:hAnsi="TimesTen-Italic" w:cs="TimesTen-Italic"/>
          <w:iCs/>
        </w:rPr>
        <w:t xml:space="preserve">                                                             </w:t>
      </w:r>
      <w:r>
        <w:rPr>
          <w:rFonts w:ascii="TimesTen-Italic" w:hAnsi="TimesTen-Italic" w:cs="TimesTen-Italic"/>
          <w:iCs/>
        </w:rPr>
        <w:t xml:space="preserve">  </w:t>
      </w:r>
      <w:r w:rsidR="00B803AC">
        <w:rPr>
          <w:rFonts w:ascii="TimesTen-Italic" w:hAnsi="TimesTen-Italic" w:cs="TimesTen-Italic"/>
          <w:iCs/>
        </w:rPr>
        <w:t xml:space="preserve">   </w:t>
      </w:r>
      <w:r w:rsidR="000E1F5A">
        <w:rPr>
          <w:rFonts w:ascii="TimesTen-Italic" w:hAnsi="TimesTen-Italic" w:cs="TimesTen-Italic"/>
          <w:iCs/>
        </w:rPr>
        <w:t xml:space="preserve">       </w:t>
      </w:r>
      <w:r>
        <w:rPr>
          <w:rFonts w:ascii="TimesTen-Italic" w:hAnsi="TimesTen-Italic" w:cs="TimesTen-Italic"/>
          <w:iCs/>
        </w:rPr>
        <w:t>(8</w:t>
      </w:r>
      <w:r w:rsidRPr="002D045A">
        <w:rPr>
          <w:rFonts w:ascii="TimesTen-Italic" w:hAnsi="TimesTen-Italic" w:cs="TimesTen-Italic"/>
          <w:iCs/>
        </w:rPr>
        <w:t>)</w:t>
      </w:r>
    </w:p>
    <w:p w14:paraId="65426E8C" w14:textId="77777777" w:rsidR="00094A06" w:rsidRPr="002D12F0" w:rsidRDefault="00094A06" w:rsidP="00BC6645">
      <w:pPr>
        <w:jc w:val="both"/>
        <w:rPr>
          <w:rFonts w:ascii="TimesTen-Roman" w:hAnsi="TimesTen-Roman" w:cs="TimesTen-Roman"/>
        </w:rPr>
      </w:pPr>
      <w:r>
        <w:rPr>
          <w:rFonts w:ascii="TimesTen-Italic" w:hAnsi="TimesTen-Italic" w:cs="TimesTen-Italic"/>
          <w:iCs/>
        </w:rPr>
        <w:t>onde</w:t>
      </w:r>
      <w:r w:rsidRPr="002D12F0">
        <w:rPr>
          <w:rFonts w:ascii="TimesTen-Italic" w:hAnsi="TimesTen-Italic" w:cs="TimesTen-Italic"/>
          <w:i/>
          <w:iCs/>
        </w:rPr>
        <w:t xml:space="preserve"> M </w:t>
      </w:r>
      <w:r>
        <w:rPr>
          <w:rFonts w:ascii="TimesTen-Roman" w:hAnsi="TimesTen-Roman" w:cs="TimesTen-Roman"/>
        </w:rPr>
        <w:t>é</w:t>
      </w:r>
      <w:r w:rsidRPr="002D12F0">
        <w:rPr>
          <w:rFonts w:ascii="TimesTen-Roman" w:hAnsi="TimesTen-Roman" w:cs="TimesTen-Roman"/>
        </w:rPr>
        <w:t xml:space="preserve"> o número de equações i</w:t>
      </w:r>
      <w:r>
        <w:rPr>
          <w:rFonts w:ascii="TimesTen-Roman" w:hAnsi="TimesTen-Roman" w:cs="TimesTen-Roman"/>
        </w:rPr>
        <w:t>ncluídas na estimação do modelo;</w:t>
      </w:r>
      <w:r w:rsidRPr="002D12F0">
        <w:rPr>
          <w:rFonts w:ascii="TimesTen-Roman" w:hAnsi="TimesTen-Roman" w:cs="TimesTen-Roman"/>
        </w:rPr>
        <w:t xml:space="preserve"> </w:t>
      </w:r>
      <w:r w:rsidRPr="004F017F">
        <w:rPr>
          <w:position w:val="-4"/>
        </w:rPr>
        <w:object w:dxaOrig="220" w:dyaOrig="260" w14:anchorId="6E25FD39">
          <v:shape id="_x0000_i1059" type="#_x0000_t75" style="width:11.1pt;height:13.1pt" o:ole="">
            <v:imagedata r:id="rId87" o:title=""/>
          </v:shape>
          <o:OLEObject Type="Embed" ProgID="Equation.3" ShapeID="_x0000_i1059" DrawAspect="Content" ObjectID="_1341397239" r:id="rId88"/>
        </w:object>
      </w:r>
      <w:r>
        <w:t xml:space="preserve">é o tamanho da amostra; </w:t>
      </w:r>
      <w:r w:rsidRPr="004F017F">
        <w:rPr>
          <w:position w:val="-6"/>
        </w:rPr>
        <w:object w:dxaOrig="279" w:dyaOrig="320" w14:anchorId="42705856">
          <v:shape id="_x0000_i1060" type="#_x0000_t75" style="width:14.6pt;height:16.1pt" o:ole="">
            <v:imagedata r:id="rId89" o:title=""/>
          </v:shape>
          <o:OLEObject Type="Embed" ProgID="Equation.3" ShapeID="_x0000_i1060" DrawAspect="Content" ObjectID="_1341397240" r:id="rId90"/>
        </w:object>
      </w:r>
      <w:r>
        <w:t>e</w:t>
      </w:r>
      <w:r w:rsidRPr="004F017F">
        <w:t xml:space="preserve"> </w:t>
      </w:r>
      <w:r w:rsidRPr="004F017F">
        <w:rPr>
          <w:position w:val="-6"/>
        </w:rPr>
        <w:object w:dxaOrig="279" w:dyaOrig="320" w14:anchorId="6AF9B2FB">
          <v:shape id="_x0000_i1061" type="#_x0000_t75" style="width:14.6pt;height:16.1pt" o:ole="">
            <v:imagedata r:id="rId91" o:title=""/>
          </v:shape>
          <o:OLEObject Type="Embed" ProgID="Equation.DSMT4" ShapeID="_x0000_i1061" DrawAspect="Content" ObjectID="_1341397241" r:id="rId92"/>
        </w:object>
      </w:r>
      <w:r>
        <w:t xml:space="preserve">são </w:t>
      </w:r>
      <w:r w:rsidRPr="004F017F">
        <w:t xml:space="preserve">o número de parâmetros </w:t>
      </w:r>
      <w:r>
        <w:t xml:space="preserve">incluídos </w:t>
      </w:r>
      <w:r w:rsidRPr="004F017F">
        <w:t>no</w:t>
      </w:r>
      <w:r>
        <w:t>s</w:t>
      </w:r>
      <w:r w:rsidRPr="004F017F">
        <w:t xml:space="preserve"> modelo irrestrito</w:t>
      </w:r>
      <w:r>
        <w:t xml:space="preserve"> e restrito;</w:t>
      </w:r>
    </w:p>
    <w:p w14:paraId="4097EB71" w14:textId="77777777" w:rsidR="00094A06" w:rsidRPr="002D12F0" w:rsidRDefault="00094A06" w:rsidP="00BC6645">
      <w:pPr>
        <w:jc w:val="both"/>
      </w:pPr>
      <w:proofErr w:type="spellStart"/>
      <w:r w:rsidRPr="002D12F0">
        <w:rPr>
          <w:rFonts w:ascii="TimesTen-Italic" w:hAnsi="TimesTen-Italic" w:cs="TimesTen-Italic"/>
          <w:i/>
          <w:iCs/>
        </w:rPr>
        <w:t>LR</w:t>
      </w:r>
      <w:proofErr w:type="spellEnd"/>
      <w:r w:rsidRPr="002D12F0">
        <w:rPr>
          <w:rFonts w:ascii="TimesTen-Italic" w:hAnsi="TimesTen-Italic" w:cs="TimesTen-Italic"/>
          <w:i/>
          <w:iCs/>
        </w:rPr>
        <w:t xml:space="preserve"> </w:t>
      </w:r>
      <w:r w:rsidRPr="002D12F0">
        <w:rPr>
          <w:rFonts w:ascii="MTSY" w:eastAsia="MTSY" w:hAnsi="TimesTen-Roman" w:cs="MTSY"/>
        </w:rPr>
        <w:t xml:space="preserve">= </w:t>
      </w:r>
      <w:r w:rsidRPr="002D12F0">
        <w:rPr>
          <w:rFonts w:ascii="TimesTen-Roman" w:hAnsi="TimesTen-Roman" w:cs="TimesTen-Roman"/>
        </w:rPr>
        <w:t>2(</w:t>
      </w:r>
      <w:proofErr w:type="spellStart"/>
      <w:r w:rsidRPr="002D12F0">
        <w:rPr>
          <w:rFonts w:ascii="TimesTen-Italic" w:hAnsi="TimesTen-Italic" w:cs="TimesTen-Italic"/>
          <w:i/>
          <w:iCs/>
        </w:rPr>
        <w:t>LL</w:t>
      </w:r>
      <w:r w:rsidRPr="002D12F0">
        <w:rPr>
          <w:rFonts w:ascii="TimesTen-Italic" w:hAnsi="TimesTen-Italic" w:cs="TimesTen-Italic"/>
          <w:i/>
          <w:iCs/>
          <w:vertAlign w:val="superscript"/>
        </w:rPr>
        <w:t>u</w:t>
      </w:r>
      <w:proofErr w:type="spellEnd"/>
      <w:r w:rsidRPr="002D12F0">
        <w:rPr>
          <w:rFonts w:ascii="TimesTen-Italic" w:hAnsi="TimesTen-Italic" w:cs="TimesTen-Italic"/>
          <w:i/>
          <w:iCs/>
        </w:rPr>
        <w:t xml:space="preserve"> </w:t>
      </w:r>
      <w:r w:rsidRPr="002D12F0">
        <w:rPr>
          <w:rFonts w:ascii="MTSY" w:eastAsia="MTSY" w:hAnsi="TimesTen-Roman" w:cs="MTSY"/>
        </w:rPr>
        <w:t>−</w:t>
      </w:r>
      <w:r w:rsidRPr="002D12F0">
        <w:rPr>
          <w:rFonts w:ascii="MTSY" w:eastAsia="MTSY" w:hAnsi="TimesTen-Roman" w:cs="MTSY"/>
        </w:rPr>
        <w:t xml:space="preserve"> </w:t>
      </w:r>
      <w:proofErr w:type="spellStart"/>
      <w:r w:rsidRPr="002D12F0">
        <w:rPr>
          <w:rFonts w:ascii="TimesTen-Italic" w:hAnsi="TimesTen-Italic" w:cs="TimesTen-Italic"/>
          <w:i/>
          <w:iCs/>
        </w:rPr>
        <w:t>LL</w:t>
      </w:r>
      <w:r w:rsidRPr="002D12F0">
        <w:rPr>
          <w:rFonts w:ascii="TimesTen-Italic" w:hAnsi="TimesTen-Italic" w:cs="TimesTen-Italic"/>
          <w:i/>
          <w:iCs/>
          <w:vertAlign w:val="superscript"/>
        </w:rPr>
        <w:t>r</w:t>
      </w:r>
      <w:proofErr w:type="spellEnd"/>
      <w:r w:rsidRPr="002D12F0">
        <w:rPr>
          <w:rFonts w:ascii="TimesTen-Roman" w:hAnsi="TimesTen-Roman" w:cs="TimesTen-Roman"/>
        </w:rPr>
        <w:t>) é a estatística do teste usual de razão de verossimilhança</w:t>
      </w:r>
      <w:r>
        <w:rPr>
          <w:rFonts w:ascii="TimesTen-Roman" w:hAnsi="TimesTen-Roman" w:cs="TimesTen-Roman"/>
        </w:rPr>
        <w:t>; e</w:t>
      </w:r>
      <w:r w:rsidRPr="002D12F0">
        <w:rPr>
          <w:rFonts w:ascii="TimesTen-Roman" w:hAnsi="TimesTen-Roman" w:cs="TimesTen-Roman"/>
        </w:rPr>
        <w:t xml:space="preserve"> </w:t>
      </w:r>
      <w:proofErr w:type="spellStart"/>
      <w:r w:rsidRPr="002D12F0">
        <w:rPr>
          <w:rFonts w:ascii="TimesTen-Italic" w:hAnsi="TimesTen-Italic" w:cs="TimesTen-Italic"/>
          <w:i/>
          <w:iCs/>
        </w:rPr>
        <w:t>LL</w:t>
      </w:r>
      <w:r w:rsidRPr="002D12F0">
        <w:rPr>
          <w:rFonts w:ascii="TimesTen-Italic" w:hAnsi="TimesTen-Italic" w:cs="TimesTen-Italic"/>
          <w:i/>
          <w:iCs/>
          <w:vertAlign w:val="superscript"/>
        </w:rPr>
        <w:t>u</w:t>
      </w:r>
      <w:proofErr w:type="spellEnd"/>
      <w:r w:rsidRPr="002D12F0">
        <w:rPr>
          <w:rFonts w:ascii="TimesTen-Italic" w:hAnsi="TimesTen-Italic" w:cs="TimesTen-Italic"/>
          <w:i/>
          <w:iCs/>
        </w:rPr>
        <w:t xml:space="preserve"> </w:t>
      </w:r>
      <w:r w:rsidRPr="002D12F0">
        <w:rPr>
          <w:rFonts w:ascii="TimesTen-Italic" w:hAnsi="TimesTen-Italic" w:cs="TimesTen-Italic"/>
          <w:iCs/>
        </w:rPr>
        <w:t>e</w:t>
      </w:r>
      <w:r w:rsidRPr="002D12F0">
        <w:rPr>
          <w:rFonts w:ascii="TimesTen-Roman" w:hAnsi="TimesTen-Roman" w:cs="TimesTen-Roman"/>
        </w:rPr>
        <w:t xml:space="preserve"> </w:t>
      </w:r>
      <w:proofErr w:type="spellStart"/>
      <w:r w:rsidRPr="002D12F0">
        <w:rPr>
          <w:rFonts w:ascii="TimesTen-Italic" w:hAnsi="TimesTen-Italic" w:cs="TimesTen-Italic"/>
          <w:i/>
          <w:iCs/>
        </w:rPr>
        <w:t>LL</w:t>
      </w:r>
      <w:r>
        <w:rPr>
          <w:rFonts w:ascii="TimesTen-Italic" w:hAnsi="TimesTen-Italic" w:cs="TimesTen-Italic"/>
          <w:i/>
          <w:iCs/>
          <w:vertAlign w:val="superscript"/>
        </w:rPr>
        <w:t>r</w:t>
      </w:r>
      <w:proofErr w:type="spellEnd"/>
      <w:r w:rsidRPr="002D12F0">
        <w:rPr>
          <w:rFonts w:ascii="TimesTen-Italic" w:hAnsi="TimesTen-Italic" w:cs="TimesTen-Italic"/>
          <w:i/>
          <w:iCs/>
        </w:rPr>
        <w:t xml:space="preserve"> </w:t>
      </w:r>
      <w:r w:rsidRPr="002D12F0">
        <w:rPr>
          <w:rFonts w:ascii="TimesTen-Italic" w:hAnsi="TimesTen-Italic" w:cs="TimesTen-Italic"/>
          <w:iCs/>
        </w:rPr>
        <w:t>são</w:t>
      </w:r>
      <w:r>
        <w:rPr>
          <w:rFonts w:ascii="TimesTen-Italic" w:hAnsi="TimesTen-Italic" w:cs="TimesTen-Italic"/>
          <w:iCs/>
        </w:rPr>
        <w:t>, respectivamente,</w:t>
      </w:r>
      <w:r w:rsidRPr="002D12F0">
        <w:rPr>
          <w:rFonts w:ascii="TimesTen-Italic" w:hAnsi="TimesTen-Italic" w:cs="TimesTen-Italic"/>
          <w:iCs/>
        </w:rPr>
        <w:t xml:space="preserve"> os </w:t>
      </w:r>
      <w:r>
        <w:rPr>
          <w:rFonts w:ascii="TimesTen-Italic" w:hAnsi="TimesTen-Italic" w:cs="TimesTen-Italic"/>
          <w:iCs/>
        </w:rPr>
        <w:t xml:space="preserve">máximos </w:t>
      </w:r>
      <w:r w:rsidR="008965BE">
        <w:rPr>
          <w:rFonts w:ascii="TimesTen-Italic" w:hAnsi="TimesTen-Italic" w:cs="TimesTen-Italic"/>
          <w:iCs/>
        </w:rPr>
        <w:t xml:space="preserve">valores da função </w:t>
      </w:r>
      <w:proofErr w:type="spellStart"/>
      <w:r w:rsidR="008965BE">
        <w:rPr>
          <w:rFonts w:ascii="TimesTen-Italic" w:hAnsi="TimesTen-Italic" w:cs="TimesTen-Italic"/>
          <w:iCs/>
        </w:rPr>
        <w:t>logarí</w:t>
      </w:r>
      <w:r w:rsidRPr="002D12F0">
        <w:rPr>
          <w:rFonts w:ascii="TimesTen-Italic" w:hAnsi="TimesTen-Italic" w:cs="TimesTen-Italic"/>
          <w:iCs/>
        </w:rPr>
        <w:t>tmo</w:t>
      </w:r>
      <w:proofErr w:type="spellEnd"/>
      <w:r w:rsidRPr="002D12F0">
        <w:rPr>
          <w:rFonts w:ascii="TimesTen-Italic" w:hAnsi="TimesTen-Italic" w:cs="TimesTen-Italic"/>
          <w:iCs/>
        </w:rPr>
        <w:t xml:space="preserve"> da verossimilhança para os modelos irrestrito e restrito</w:t>
      </w:r>
      <w:r>
        <w:rPr>
          <w:rFonts w:ascii="TimesTen-Italic" w:hAnsi="TimesTen-Italic" w:cs="TimesTen-Italic"/>
          <w:iCs/>
        </w:rPr>
        <w:t>.</w:t>
      </w:r>
    </w:p>
    <w:p w14:paraId="1F302E30" w14:textId="77777777" w:rsidR="00094A06" w:rsidRDefault="00094A06" w:rsidP="00BC6645">
      <w:pPr>
        <w:ind w:firstLine="720"/>
        <w:jc w:val="both"/>
      </w:pPr>
      <w:r w:rsidRPr="002D045A">
        <w:t>A estatística razão da verossimilhança ajustada (</w:t>
      </w:r>
      <w:proofErr w:type="spellStart"/>
      <w:r w:rsidRPr="002D045A">
        <w:rPr>
          <w:rFonts w:ascii="TimesTen-Italic" w:hAnsi="TimesTen-Italic" w:cs="TimesTen-Italic"/>
          <w:i/>
          <w:iCs/>
        </w:rPr>
        <w:t>LRs</w:t>
      </w:r>
      <w:proofErr w:type="spellEnd"/>
      <w:r w:rsidRPr="002D045A">
        <w:t>) segue assintoticamente uma distribuição</w:t>
      </w:r>
      <w:r>
        <w:t xml:space="preserve"> </w:t>
      </w:r>
      <w:r>
        <w:sym w:font="Symbol" w:char="F063"/>
      </w:r>
      <w:r w:rsidRPr="009E3DE4">
        <w:rPr>
          <w:vertAlign w:val="superscript"/>
        </w:rPr>
        <w:t>2</w:t>
      </w:r>
      <w:r>
        <w:rPr>
          <w:vertAlign w:val="superscript"/>
        </w:rPr>
        <w:t xml:space="preserve"> </w:t>
      </w:r>
      <w:r w:rsidRPr="004F017F">
        <w:t>com graus de liberdade igual à</w:t>
      </w:r>
      <w:r>
        <w:t xml:space="preserve"> diferença entre </w:t>
      </w:r>
      <w:r w:rsidRPr="004F017F">
        <w:t>o núm</w:t>
      </w:r>
      <w:r>
        <w:t>ero de parâmetros no</w:t>
      </w:r>
      <w:r w:rsidRPr="004F017F">
        <w:t xml:space="preserve"> modelo </w:t>
      </w:r>
      <w:r>
        <w:t>ir</w:t>
      </w:r>
      <w:r w:rsidRPr="004F017F">
        <w:t>restrito e</w:t>
      </w:r>
      <w:r>
        <w:t xml:space="preserve"> </w:t>
      </w:r>
      <w:r w:rsidRPr="004F017F">
        <w:t xml:space="preserve">restrito. A hipótese </w:t>
      </w:r>
      <w:r>
        <w:t xml:space="preserve">nula do teste </w:t>
      </w:r>
      <w:r w:rsidRPr="002D045A">
        <w:rPr>
          <w:rFonts w:ascii="TimesTen-Italic" w:hAnsi="TimesTen-Italic" w:cs="TimesTen-Italic"/>
          <w:i/>
          <w:iCs/>
        </w:rPr>
        <w:t>LR</w:t>
      </w:r>
      <w:r w:rsidRPr="004F017F">
        <w:t xml:space="preserve"> </w:t>
      </w:r>
      <w:r>
        <w:t xml:space="preserve">ajustado é </w:t>
      </w:r>
      <w:r w:rsidRPr="004F017F">
        <w:t>de qu</w:t>
      </w:r>
      <w:r>
        <w:t>e todos os parâmetros adicionados ao modelo restrito são conjuntamente z</w:t>
      </w:r>
      <w:r w:rsidR="008965BE">
        <w:t>ero</w:t>
      </w:r>
      <w:r>
        <w:t xml:space="preserve">, ou em outras palavras, o modelo restrito é o verdadeiro modelo. </w:t>
      </w:r>
      <w:r w:rsidRPr="00860C75">
        <w:t>A Tabela 4 apresenta os resultados dos testes de hipóteses com relaç</w:t>
      </w:r>
      <w:r>
        <w:t xml:space="preserve">ão à detecção de autocorrelação de primeira ordem nos resíduos e </w:t>
      </w:r>
      <w:r w:rsidR="00D641C1">
        <w:t>com relação à inclusão ou não dos índices de segurança do alimento</w:t>
      </w:r>
      <w:r>
        <w:t>.</w:t>
      </w:r>
    </w:p>
    <w:p w14:paraId="16689CA4" w14:textId="77777777" w:rsidR="00094A06" w:rsidRPr="004F017F" w:rsidRDefault="00094A06" w:rsidP="00BC6645">
      <w:pPr>
        <w:ind w:firstLine="720"/>
        <w:jc w:val="both"/>
      </w:pPr>
      <w:r w:rsidRPr="005F4C13">
        <w:t xml:space="preserve">Os resultados dos testes </w:t>
      </w:r>
      <w:r>
        <w:t xml:space="preserve">utilizados para </w:t>
      </w:r>
      <w:r w:rsidRPr="004F017F">
        <w:t xml:space="preserve">a </w:t>
      </w:r>
      <w:r>
        <w:t xml:space="preserve">determinação da </w:t>
      </w:r>
      <w:r w:rsidRPr="004F017F">
        <w:t xml:space="preserve">especificação mais apropriada </w:t>
      </w:r>
      <w:r>
        <w:t xml:space="preserve">para </w:t>
      </w:r>
      <w:r w:rsidRPr="004F017F">
        <w:t xml:space="preserve">o sistema </w:t>
      </w:r>
      <w:r>
        <w:t>de equações</w:t>
      </w:r>
      <w:r w:rsidRPr="004F017F">
        <w:t xml:space="preserve"> </w:t>
      </w:r>
      <w:r>
        <w:t>s</w:t>
      </w:r>
      <w:r w:rsidRPr="004F017F">
        <w:t>ão ap</w:t>
      </w:r>
      <w:r>
        <w:t>resentados na Tabela 4</w:t>
      </w:r>
      <w:r w:rsidRPr="004F017F">
        <w:t xml:space="preserve">. </w:t>
      </w:r>
    </w:p>
    <w:p w14:paraId="464DF1B5" w14:textId="77777777" w:rsidR="00094A06" w:rsidRPr="005C00CB" w:rsidRDefault="00094A06" w:rsidP="00BC6645">
      <w:pPr>
        <w:keepNext/>
        <w:keepLines/>
        <w:jc w:val="both"/>
      </w:pPr>
      <w:r>
        <w:rPr>
          <w:b/>
        </w:rPr>
        <w:t>Tabela 4</w:t>
      </w:r>
      <w:r w:rsidR="00B803AC">
        <w:t xml:space="preserve"> -</w:t>
      </w:r>
      <w:r w:rsidRPr="005C00CB">
        <w:t xml:space="preserve"> Testes de hipóteses para a significância dos índices de segurança do alimento e para </w:t>
      </w:r>
      <w:r>
        <w:t>as correções para</w:t>
      </w:r>
      <w:r w:rsidRPr="005C00CB">
        <w:t xml:space="preserve"> autocorrelação. </w:t>
      </w:r>
    </w:p>
    <w:tbl>
      <w:tblPr>
        <w:tblW w:w="5000" w:type="pct"/>
        <w:tblLook w:val="01E0" w:firstRow="1" w:lastRow="1" w:firstColumn="1" w:lastColumn="1" w:noHBand="0" w:noVBand="0"/>
      </w:tblPr>
      <w:tblGrid>
        <w:gridCol w:w="1342"/>
        <w:gridCol w:w="3055"/>
        <w:gridCol w:w="304"/>
        <w:gridCol w:w="1317"/>
        <w:gridCol w:w="1386"/>
        <w:gridCol w:w="1507"/>
        <w:gridCol w:w="1509"/>
      </w:tblGrid>
      <w:tr w:rsidR="00094A06" w:rsidRPr="005C00CB" w14:paraId="0248759E" w14:textId="77777777" w:rsidTr="00EF5A02">
        <w:tc>
          <w:tcPr>
            <w:tcW w:w="644" w:type="pct"/>
            <w:tcBorders>
              <w:top w:val="single" w:sz="4" w:space="0" w:color="auto"/>
            </w:tcBorders>
          </w:tcPr>
          <w:p w14:paraId="373E7416" w14:textId="77777777" w:rsidR="00094A06" w:rsidRPr="005C00CB" w:rsidRDefault="00094A06" w:rsidP="00BC6645">
            <w:pPr>
              <w:keepNext/>
              <w:keepLines/>
            </w:pPr>
          </w:p>
        </w:tc>
        <w:tc>
          <w:tcPr>
            <w:tcW w:w="1466" w:type="pct"/>
            <w:tcBorders>
              <w:top w:val="single" w:sz="4" w:space="0" w:color="auto"/>
              <w:bottom w:val="single" w:sz="4" w:space="0" w:color="auto"/>
            </w:tcBorders>
          </w:tcPr>
          <w:p w14:paraId="71F846D5" w14:textId="77777777" w:rsidR="00094A06" w:rsidRPr="005C00CB" w:rsidRDefault="00094A06" w:rsidP="00BC6645">
            <w:pPr>
              <w:keepNext/>
              <w:keepLines/>
              <w:jc w:val="center"/>
            </w:pPr>
            <w:r w:rsidRPr="005C00CB">
              <w:t>Não Inclusão dos Índices de Segurança do Alimento</w:t>
            </w:r>
          </w:p>
        </w:tc>
        <w:tc>
          <w:tcPr>
            <w:tcW w:w="146" w:type="pct"/>
            <w:tcBorders>
              <w:top w:val="single" w:sz="4" w:space="0" w:color="auto"/>
            </w:tcBorders>
          </w:tcPr>
          <w:p w14:paraId="5CC24739" w14:textId="77777777" w:rsidR="00094A06" w:rsidRPr="005C00CB" w:rsidRDefault="00094A06" w:rsidP="00BC6645">
            <w:pPr>
              <w:keepNext/>
              <w:keepLines/>
            </w:pPr>
          </w:p>
        </w:tc>
        <w:tc>
          <w:tcPr>
            <w:tcW w:w="632" w:type="pct"/>
            <w:tcBorders>
              <w:top w:val="single" w:sz="4" w:space="0" w:color="auto"/>
            </w:tcBorders>
          </w:tcPr>
          <w:p w14:paraId="24333AA3" w14:textId="77777777" w:rsidR="00094A06" w:rsidRPr="005C00CB" w:rsidRDefault="00094A06" w:rsidP="00BC6645">
            <w:pPr>
              <w:keepNext/>
              <w:keepLines/>
            </w:pPr>
          </w:p>
        </w:tc>
        <w:tc>
          <w:tcPr>
            <w:tcW w:w="2112" w:type="pct"/>
            <w:gridSpan w:val="3"/>
            <w:tcBorders>
              <w:top w:val="single" w:sz="4" w:space="0" w:color="auto"/>
              <w:bottom w:val="single" w:sz="4" w:space="0" w:color="auto"/>
            </w:tcBorders>
          </w:tcPr>
          <w:p w14:paraId="5C5D4C64" w14:textId="77777777" w:rsidR="00094A06" w:rsidRPr="005C00CB" w:rsidRDefault="00094A06" w:rsidP="00BC6645">
            <w:pPr>
              <w:keepNext/>
              <w:keepLines/>
              <w:jc w:val="center"/>
            </w:pPr>
            <w:r w:rsidRPr="005C00CB">
              <w:t>Correções para Autocorrelação</w:t>
            </w:r>
          </w:p>
        </w:tc>
      </w:tr>
      <w:tr w:rsidR="00094A06" w:rsidRPr="005C00CB" w14:paraId="1DD917B0" w14:textId="77777777" w:rsidTr="00EF5A02">
        <w:tc>
          <w:tcPr>
            <w:tcW w:w="644" w:type="pct"/>
          </w:tcPr>
          <w:p w14:paraId="30D4E758" w14:textId="77777777" w:rsidR="00094A06" w:rsidRPr="005C00CB" w:rsidRDefault="00094A06" w:rsidP="00BC6645">
            <w:pPr>
              <w:keepNext/>
              <w:keepLines/>
            </w:pPr>
          </w:p>
        </w:tc>
        <w:tc>
          <w:tcPr>
            <w:tcW w:w="1466" w:type="pct"/>
            <w:tcBorders>
              <w:top w:val="single" w:sz="4" w:space="0" w:color="auto"/>
            </w:tcBorders>
          </w:tcPr>
          <w:p w14:paraId="72BBF69B" w14:textId="77777777" w:rsidR="00094A06" w:rsidRPr="005C00CB" w:rsidRDefault="00094A06" w:rsidP="00BC6645">
            <w:pPr>
              <w:keepNext/>
              <w:keepLines/>
              <w:jc w:val="center"/>
            </w:pPr>
            <w:r w:rsidRPr="005C00CB">
              <w:t>H</w:t>
            </w:r>
            <w:r w:rsidRPr="005C00CB">
              <w:rPr>
                <w:vertAlign w:val="subscript"/>
              </w:rPr>
              <w:t>0</w:t>
            </w:r>
            <w:r w:rsidRPr="005C00CB">
              <w:t xml:space="preserve">: </w:t>
            </w:r>
            <w:proofErr w:type="spellStart"/>
            <w:r w:rsidRPr="005C00CB">
              <w:rPr>
                <w:i/>
              </w:rPr>
              <w:t>No-FS</w:t>
            </w:r>
            <w:proofErr w:type="spellEnd"/>
          </w:p>
        </w:tc>
        <w:tc>
          <w:tcPr>
            <w:tcW w:w="146" w:type="pct"/>
          </w:tcPr>
          <w:p w14:paraId="2FF08EC6" w14:textId="77777777" w:rsidR="00094A06" w:rsidRPr="005C00CB" w:rsidRDefault="00094A06" w:rsidP="00BC6645">
            <w:pPr>
              <w:keepNext/>
              <w:keepLines/>
            </w:pPr>
          </w:p>
        </w:tc>
        <w:tc>
          <w:tcPr>
            <w:tcW w:w="632" w:type="pct"/>
          </w:tcPr>
          <w:p w14:paraId="3AA1FC26" w14:textId="77777777" w:rsidR="00094A06" w:rsidRPr="005C00CB" w:rsidRDefault="00094A06" w:rsidP="00BC6645">
            <w:pPr>
              <w:keepNext/>
              <w:keepLines/>
            </w:pPr>
          </w:p>
        </w:tc>
        <w:tc>
          <w:tcPr>
            <w:tcW w:w="665" w:type="pct"/>
            <w:tcBorders>
              <w:top w:val="single" w:sz="4" w:space="0" w:color="auto"/>
            </w:tcBorders>
          </w:tcPr>
          <w:p w14:paraId="73531CD0" w14:textId="77777777" w:rsidR="00094A06" w:rsidRPr="005C00CB" w:rsidRDefault="00094A06" w:rsidP="00BC6645">
            <w:pPr>
              <w:keepNext/>
              <w:keepLines/>
              <w:jc w:val="center"/>
            </w:pPr>
            <w:r w:rsidRPr="005C00CB">
              <w:t>H</w:t>
            </w:r>
            <w:r w:rsidRPr="005C00CB">
              <w:rPr>
                <w:vertAlign w:val="subscript"/>
              </w:rPr>
              <w:t>0</w:t>
            </w:r>
            <w:r w:rsidRPr="005C00CB">
              <w:t>: N-</w:t>
            </w:r>
            <w:proofErr w:type="spellStart"/>
            <w:r w:rsidRPr="005C00CB">
              <w:t>R</w:t>
            </w:r>
            <w:r w:rsidRPr="005C00CB">
              <w:rPr>
                <w:vertAlign w:val="superscript"/>
              </w:rPr>
              <w:t>matriz</w:t>
            </w:r>
            <w:proofErr w:type="spellEnd"/>
          </w:p>
        </w:tc>
        <w:tc>
          <w:tcPr>
            <w:tcW w:w="723" w:type="pct"/>
            <w:tcBorders>
              <w:top w:val="single" w:sz="4" w:space="0" w:color="auto"/>
            </w:tcBorders>
          </w:tcPr>
          <w:p w14:paraId="56853DB0" w14:textId="77777777" w:rsidR="00094A06" w:rsidRPr="005C00CB" w:rsidRDefault="00094A06" w:rsidP="00BC6645">
            <w:pPr>
              <w:keepNext/>
              <w:keepLines/>
              <w:jc w:val="center"/>
            </w:pPr>
            <w:r w:rsidRPr="005C00CB">
              <w:t>H</w:t>
            </w:r>
            <w:r w:rsidRPr="005C00CB">
              <w:rPr>
                <w:vertAlign w:val="subscript"/>
              </w:rPr>
              <w:t>0</w:t>
            </w:r>
            <w:r w:rsidRPr="005C00CB">
              <w:t>: D-</w:t>
            </w:r>
            <w:proofErr w:type="spellStart"/>
            <w:r w:rsidRPr="005C00CB">
              <w:t>R</w:t>
            </w:r>
            <w:r w:rsidRPr="005C00CB">
              <w:rPr>
                <w:vertAlign w:val="superscript"/>
              </w:rPr>
              <w:t>matriz</w:t>
            </w:r>
            <w:proofErr w:type="spellEnd"/>
          </w:p>
        </w:tc>
        <w:tc>
          <w:tcPr>
            <w:tcW w:w="723" w:type="pct"/>
            <w:tcBorders>
              <w:top w:val="single" w:sz="4" w:space="0" w:color="auto"/>
            </w:tcBorders>
          </w:tcPr>
          <w:p w14:paraId="509C78F4" w14:textId="77777777" w:rsidR="00094A06" w:rsidRPr="005C00CB" w:rsidRDefault="00094A06" w:rsidP="00BC6645">
            <w:pPr>
              <w:keepNext/>
              <w:keepLines/>
              <w:jc w:val="center"/>
            </w:pPr>
            <w:r w:rsidRPr="005C00CB">
              <w:t>H</w:t>
            </w:r>
            <w:r w:rsidRPr="005C00CB">
              <w:rPr>
                <w:vertAlign w:val="subscript"/>
              </w:rPr>
              <w:t>0</w:t>
            </w:r>
            <w:r w:rsidRPr="005C00CB">
              <w:t>: N-</w:t>
            </w:r>
            <w:proofErr w:type="spellStart"/>
            <w:r w:rsidRPr="005C00CB">
              <w:t>R</w:t>
            </w:r>
            <w:r w:rsidRPr="005C00CB">
              <w:rPr>
                <w:vertAlign w:val="superscript"/>
              </w:rPr>
              <w:t>matriz</w:t>
            </w:r>
            <w:proofErr w:type="spellEnd"/>
          </w:p>
        </w:tc>
      </w:tr>
      <w:tr w:rsidR="00094A06" w:rsidRPr="005C00CB" w14:paraId="7E122490" w14:textId="77777777" w:rsidTr="00EF5A02">
        <w:tc>
          <w:tcPr>
            <w:tcW w:w="644" w:type="pct"/>
            <w:tcBorders>
              <w:bottom w:val="single" w:sz="4" w:space="0" w:color="auto"/>
            </w:tcBorders>
          </w:tcPr>
          <w:p w14:paraId="2C6E75C2" w14:textId="77777777" w:rsidR="00094A06" w:rsidRPr="005C00CB" w:rsidRDefault="00094A06" w:rsidP="00BC6645">
            <w:pPr>
              <w:keepNext/>
              <w:keepLines/>
            </w:pPr>
            <w:r w:rsidRPr="005C00CB">
              <w:t>Modelo</w:t>
            </w:r>
          </w:p>
        </w:tc>
        <w:tc>
          <w:tcPr>
            <w:tcW w:w="1466" w:type="pct"/>
            <w:tcBorders>
              <w:bottom w:val="single" w:sz="4" w:space="0" w:color="auto"/>
            </w:tcBorders>
          </w:tcPr>
          <w:p w14:paraId="24A85D82" w14:textId="77777777" w:rsidR="00094A06" w:rsidRPr="005C00CB" w:rsidRDefault="00094A06" w:rsidP="00BC6645">
            <w:pPr>
              <w:keepNext/>
              <w:keepLines/>
              <w:jc w:val="center"/>
            </w:pPr>
            <w:r w:rsidRPr="005C00CB">
              <w:t>H</w:t>
            </w:r>
            <w:r w:rsidRPr="005C00CB">
              <w:rPr>
                <w:vertAlign w:val="subscript"/>
              </w:rPr>
              <w:t>1</w:t>
            </w:r>
            <w:r w:rsidRPr="005C00CB">
              <w:t xml:space="preserve">: </w:t>
            </w:r>
            <w:r w:rsidRPr="005C00CB">
              <w:rPr>
                <w:i/>
              </w:rPr>
              <w:t>L</w:t>
            </w:r>
            <w:r w:rsidRPr="005C00CB">
              <w:t>=0</w:t>
            </w:r>
          </w:p>
        </w:tc>
        <w:tc>
          <w:tcPr>
            <w:tcW w:w="146" w:type="pct"/>
          </w:tcPr>
          <w:p w14:paraId="6A180962" w14:textId="77777777" w:rsidR="00094A06" w:rsidRPr="005C00CB" w:rsidRDefault="00094A06" w:rsidP="00BC6645">
            <w:pPr>
              <w:keepNext/>
              <w:keepLines/>
            </w:pPr>
          </w:p>
        </w:tc>
        <w:tc>
          <w:tcPr>
            <w:tcW w:w="632" w:type="pct"/>
            <w:tcBorders>
              <w:bottom w:val="single" w:sz="4" w:space="0" w:color="auto"/>
            </w:tcBorders>
          </w:tcPr>
          <w:p w14:paraId="372CE78B" w14:textId="77777777" w:rsidR="00094A06" w:rsidRPr="005C00CB" w:rsidRDefault="00094A06" w:rsidP="00BC6645">
            <w:pPr>
              <w:keepNext/>
              <w:keepLines/>
            </w:pPr>
            <w:r w:rsidRPr="005C00CB">
              <w:t>Modelo</w:t>
            </w:r>
          </w:p>
        </w:tc>
        <w:tc>
          <w:tcPr>
            <w:tcW w:w="665" w:type="pct"/>
            <w:tcBorders>
              <w:bottom w:val="single" w:sz="4" w:space="0" w:color="auto"/>
            </w:tcBorders>
          </w:tcPr>
          <w:p w14:paraId="50BB8B66" w14:textId="77777777" w:rsidR="00094A06" w:rsidRPr="005C00CB" w:rsidRDefault="00094A06" w:rsidP="00BC6645">
            <w:pPr>
              <w:keepNext/>
              <w:keepLines/>
              <w:jc w:val="center"/>
            </w:pPr>
            <w:r w:rsidRPr="005C00CB">
              <w:t>H</w:t>
            </w:r>
            <w:r w:rsidRPr="005C00CB">
              <w:rPr>
                <w:vertAlign w:val="subscript"/>
              </w:rPr>
              <w:t>1</w:t>
            </w:r>
            <w:r w:rsidRPr="005C00CB">
              <w:t>: D-</w:t>
            </w:r>
            <w:proofErr w:type="spellStart"/>
            <w:r w:rsidRPr="005C00CB">
              <w:t>R</w:t>
            </w:r>
            <w:r w:rsidRPr="005C00CB">
              <w:rPr>
                <w:vertAlign w:val="superscript"/>
              </w:rPr>
              <w:t>matriz</w:t>
            </w:r>
            <w:proofErr w:type="spellEnd"/>
          </w:p>
        </w:tc>
        <w:tc>
          <w:tcPr>
            <w:tcW w:w="723" w:type="pct"/>
            <w:tcBorders>
              <w:bottom w:val="single" w:sz="4" w:space="0" w:color="auto"/>
            </w:tcBorders>
          </w:tcPr>
          <w:p w14:paraId="45DFA1F8" w14:textId="77777777" w:rsidR="00094A06" w:rsidRPr="005C00CB" w:rsidRDefault="00094A06" w:rsidP="00BC6645">
            <w:pPr>
              <w:keepNext/>
              <w:keepLines/>
              <w:jc w:val="center"/>
            </w:pPr>
            <w:r w:rsidRPr="005C00CB">
              <w:t>H</w:t>
            </w:r>
            <w:r w:rsidRPr="005C00CB">
              <w:rPr>
                <w:vertAlign w:val="subscript"/>
              </w:rPr>
              <w:t>1</w:t>
            </w:r>
            <w:r w:rsidRPr="005C00CB">
              <w:t>: F-</w:t>
            </w:r>
            <w:proofErr w:type="spellStart"/>
            <w:r w:rsidRPr="005C00CB">
              <w:t>R</w:t>
            </w:r>
            <w:r w:rsidRPr="005C00CB">
              <w:rPr>
                <w:vertAlign w:val="superscript"/>
              </w:rPr>
              <w:t>matriz</w:t>
            </w:r>
            <w:proofErr w:type="spellEnd"/>
          </w:p>
        </w:tc>
        <w:tc>
          <w:tcPr>
            <w:tcW w:w="723" w:type="pct"/>
            <w:tcBorders>
              <w:bottom w:val="single" w:sz="4" w:space="0" w:color="auto"/>
            </w:tcBorders>
          </w:tcPr>
          <w:p w14:paraId="2F557FBC" w14:textId="77777777" w:rsidR="00094A06" w:rsidRPr="005C00CB" w:rsidRDefault="00094A06" w:rsidP="00BC6645">
            <w:pPr>
              <w:keepNext/>
              <w:keepLines/>
              <w:jc w:val="center"/>
            </w:pPr>
            <w:r w:rsidRPr="005C00CB">
              <w:t>H</w:t>
            </w:r>
            <w:r w:rsidRPr="005C00CB">
              <w:rPr>
                <w:vertAlign w:val="subscript"/>
              </w:rPr>
              <w:t>1</w:t>
            </w:r>
            <w:r w:rsidRPr="005C00CB">
              <w:t>: F-</w:t>
            </w:r>
            <w:proofErr w:type="spellStart"/>
            <w:r w:rsidRPr="005C00CB">
              <w:t>R</w:t>
            </w:r>
            <w:r w:rsidRPr="005C00CB">
              <w:rPr>
                <w:vertAlign w:val="superscript"/>
              </w:rPr>
              <w:t>matriz</w:t>
            </w:r>
            <w:proofErr w:type="spellEnd"/>
          </w:p>
        </w:tc>
      </w:tr>
      <w:tr w:rsidR="00094A06" w:rsidRPr="005C00CB" w14:paraId="414929EC" w14:textId="77777777" w:rsidTr="00EF5A02">
        <w:tc>
          <w:tcPr>
            <w:tcW w:w="644" w:type="pct"/>
            <w:tcBorders>
              <w:top w:val="single" w:sz="4" w:space="0" w:color="auto"/>
            </w:tcBorders>
          </w:tcPr>
          <w:p w14:paraId="19119D47" w14:textId="77777777" w:rsidR="00094A06" w:rsidRPr="005C00CB" w:rsidRDefault="00094A06" w:rsidP="00BC6645">
            <w:pPr>
              <w:keepNext/>
              <w:keepLines/>
            </w:pPr>
            <w:r w:rsidRPr="005C00CB">
              <w:t>N-</w:t>
            </w:r>
            <w:proofErr w:type="spellStart"/>
            <w:r w:rsidRPr="005C00CB">
              <w:t>R</w:t>
            </w:r>
            <w:r w:rsidRPr="005C00CB">
              <w:rPr>
                <w:vertAlign w:val="superscript"/>
              </w:rPr>
              <w:t>matriz</w:t>
            </w:r>
            <w:proofErr w:type="spellEnd"/>
          </w:p>
        </w:tc>
        <w:tc>
          <w:tcPr>
            <w:tcW w:w="1466" w:type="pct"/>
          </w:tcPr>
          <w:p w14:paraId="53CB7519" w14:textId="77777777" w:rsidR="00094A06" w:rsidRPr="005C00CB" w:rsidRDefault="00094A06" w:rsidP="00BC6645">
            <w:pPr>
              <w:keepNext/>
              <w:keepLines/>
              <w:jc w:val="center"/>
            </w:pPr>
            <w:r>
              <w:t>3,984</w:t>
            </w:r>
          </w:p>
        </w:tc>
        <w:tc>
          <w:tcPr>
            <w:tcW w:w="146" w:type="pct"/>
          </w:tcPr>
          <w:p w14:paraId="3F5824C9" w14:textId="77777777" w:rsidR="00094A06" w:rsidRPr="005C00CB" w:rsidRDefault="00094A06" w:rsidP="00BC6645">
            <w:pPr>
              <w:keepNext/>
              <w:keepLines/>
            </w:pPr>
          </w:p>
        </w:tc>
        <w:tc>
          <w:tcPr>
            <w:tcW w:w="632" w:type="pct"/>
            <w:tcBorders>
              <w:top w:val="single" w:sz="4" w:space="0" w:color="auto"/>
            </w:tcBorders>
          </w:tcPr>
          <w:p w14:paraId="338811A8" w14:textId="77777777" w:rsidR="00094A06" w:rsidRPr="005C00CB" w:rsidRDefault="00094A06" w:rsidP="00BC6645">
            <w:pPr>
              <w:keepNext/>
              <w:keepLines/>
              <w:rPr>
                <w:i/>
              </w:rPr>
            </w:pPr>
            <w:proofErr w:type="spellStart"/>
            <w:r w:rsidRPr="005C00CB">
              <w:rPr>
                <w:i/>
              </w:rPr>
              <w:t>No-FS</w:t>
            </w:r>
            <w:proofErr w:type="spellEnd"/>
          </w:p>
        </w:tc>
        <w:tc>
          <w:tcPr>
            <w:tcW w:w="665" w:type="pct"/>
            <w:tcBorders>
              <w:top w:val="single" w:sz="4" w:space="0" w:color="auto"/>
            </w:tcBorders>
          </w:tcPr>
          <w:p w14:paraId="061A1D52" w14:textId="77777777" w:rsidR="00094A06" w:rsidRPr="005C00CB" w:rsidRDefault="00094A06" w:rsidP="00BC6645">
            <w:pPr>
              <w:keepNext/>
              <w:keepLines/>
              <w:jc w:val="center"/>
            </w:pPr>
            <w:r>
              <w:t>7,498*</w:t>
            </w:r>
          </w:p>
        </w:tc>
        <w:tc>
          <w:tcPr>
            <w:tcW w:w="723" w:type="pct"/>
            <w:tcBorders>
              <w:top w:val="single" w:sz="4" w:space="0" w:color="auto"/>
            </w:tcBorders>
          </w:tcPr>
          <w:p w14:paraId="32E38A9D" w14:textId="77777777" w:rsidR="00094A06" w:rsidRPr="005C00CB" w:rsidRDefault="00094A06" w:rsidP="00BC6645">
            <w:pPr>
              <w:keepNext/>
              <w:keepLines/>
              <w:jc w:val="center"/>
            </w:pPr>
            <w:r>
              <w:t>62,781*</w:t>
            </w:r>
          </w:p>
        </w:tc>
        <w:tc>
          <w:tcPr>
            <w:tcW w:w="723" w:type="pct"/>
            <w:tcBorders>
              <w:top w:val="single" w:sz="4" w:space="0" w:color="auto"/>
            </w:tcBorders>
          </w:tcPr>
          <w:p w14:paraId="5E4968DF" w14:textId="77777777" w:rsidR="00094A06" w:rsidRPr="005C00CB" w:rsidRDefault="00094A06" w:rsidP="00BC6645">
            <w:pPr>
              <w:keepNext/>
              <w:keepLines/>
              <w:jc w:val="center"/>
            </w:pPr>
            <w:r>
              <w:t>70,285*</w:t>
            </w:r>
          </w:p>
        </w:tc>
      </w:tr>
      <w:tr w:rsidR="00094A06" w:rsidRPr="005C00CB" w14:paraId="5EEE4155" w14:textId="77777777" w:rsidTr="00EF5A02">
        <w:tc>
          <w:tcPr>
            <w:tcW w:w="644" w:type="pct"/>
          </w:tcPr>
          <w:p w14:paraId="2EDA26B1" w14:textId="77777777" w:rsidR="00094A06" w:rsidRPr="005C00CB" w:rsidRDefault="00094A06" w:rsidP="00BC6645">
            <w:pPr>
              <w:keepNext/>
              <w:keepLines/>
            </w:pPr>
            <w:r w:rsidRPr="005C00CB">
              <w:t>D-</w:t>
            </w:r>
            <w:proofErr w:type="spellStart"/>
            <w:r w:rsidRPr="005C00CB">
              <w:t>R</w:t>
            </w:r>
            <w:r w:rsidRPr="005C00CB">
              <w:rPr>
                <w:vertAlign w:val="superscript"/>
              </w:rPr>
              <w:t>matriz</w:t>
            </w:r>
            <w:proofErr w:type="spellEnd"/>
          </w:p>
        </w:tc>
        <w:tc>
          <w:tcPr>
            <w:tcW w:w="1466" w:type="pct"/>
          </w:tcPr>
          <w:p w14:paraId="020B139F" w14:textId="77777777" w:rsidR="00094A06" w:rsidRPr="005C00CB" w:rsidRDefault="00094A06" w:rsidP="00BC6645">
            <w:pPr>
              <w:keepNext/>
              <w:keepLines/>
              <w:jc w:val="center"/>
            </w:pPr>
            <w:r>
              <w:t>14,474</w:t>
            </w:r>
          </w:p>
        </w:tc>
        <w:tc>
          <w:tcPr>
            <w:tcW w:w="146" w:type="pct"/>
          </w:tcPr>
          <w:p w14:paraId="7DFC5A87" w14:textId="77777777" w:rsidR="00094A06" w:rsidRPr="005C00CB" w:rsidRDefault="00094A06" w:rsidP="00BC6645">
            <w:pPr>
              <w:keepNext/>
              <w:keepLines/>
            </w:pPr>
          </w:p>
        </w:tc>
        <w:tc>
          <w:tcPr>
            <w:tcW w:w="632" w:type="pct"/>
          </w:tcPr>
          <w:p w14:paraId="5529EDD9" w14:textId="77777777" w:rsidR="00094A06" w:rsidRPr="005C00CB" w:rsidRDefault="00094A06" w:rsidP="00BC6645">
            <w:pPr>
              <w:keepNext/>
              <w:keepLines/>
            </w:pPr>
            <w:r w:rsidRPr="005C00CB">
              <w:rPr>
                <w:i/>
              </w:rPr>
              <w:t>L</w:t>
            </w:r>
            <w:r w:rsidRPr="005C00CB">
              <w:t>=0</w:t>
            </w:r>
          </w:p>
        </w:tc>
        <w:tc>
          <w:tcPr>
            <w:tcW w:w="665" w:type="pct"/>
          </w:tcPr>
          <w:p w14:paraId="44967187" w14:textId="77777777" w:rsidR="00094A06" w:rsidRPr="005C00CB" w:rsidRDefault="00094A06" w:rsidP="00BC6645">
            <w:pPr>
              <w:keepNext/>
              <w:keepLines/>
              <w:jc w:val="center"/>
            </w:pPr>
            <w:r>
              <w:t>17,655*</w:t>
            </w:r>
          </w:p>
        </w:tc>
        <w:tc>
          <w:tcPr>
            <w:tcW w:w="723" w:type="pct"/>
          </w:tcPr>
          <w:p w14:paraId="5A8E1DC2" w14:textId="77777777" w:rsidR="00094A06" w:rsidRPr="005C00CB" w:rsidRDefault="00094A06" w:rsidP="00BC6645">
            <w:pPr>
              <w:keepNext/>
              <w:keepLines/>
              <w:jc w:val="center"/>
            </w:pPr>
            <w:r>
              <w:t>53,412*</w:t>
            </w:r>
          </w:p>
        </w:tc>
        <w:tc>
          <w:tcPr>
            <w:tcW w:w="723" w:type="pct"/>
          </w:tcPr>
          <w:p w14:paraId="191893E4" w14:textId="77777777" w:rsidR="00094A06" w:rsidRPr="005C00CB" w:rsidRDefault="00094A06" w:rsidP="00BC6645">
            <w:pPr>
              <w:keepNext/>
              <w:keepLines/>
              <w:jc w:val="center"/>
            </w:pPr>
            <w:r>
              <w:t>70,927*</w:t>
            </w:r>
          </w:p>
        </w:tc>
      </w:tr>
      <w:tr w:rsidR="00094A06" w:rsidRPr="005C00CB" w14:paraId="31D9379A" w14:textId="77777777" w:rsidTr="00EF5A02">
        <w:tc>
          <w:tcPr>
            <w:tcW w:w="644" w:type="pct"/>
          </w:tcPr>
          <w:p w14:paraId="754D39DC" w14:textId="77777777" w:rsidR="00094A06" w:rsidRPr="005C00CB" w:rsidRDefault="00094A06" w:rsidP="00BC6645">
            <w:pPr>
              <w:keepNext/>
              <w:keepLines/>
            </w:pPr>
            <w:r w:rsidRPr="005C00CB">
              <w:t>F-</w:t>
            </w:r>
            <w:proofErr w:type="spellStart"/>
            <w:r w:rsidRPr="005C00CB">
              <w:t>R</w:t>
            </w:r>
            <w:r w:rsidRPr="005C00CB">
              <w:rPr>
                <w:vertAlign w:val="superscript"/>
              </w:rPr>
              <w:t>matriz</w:t>
            </w:r>
            <w:proofErr w:type="spellEnd"/>
          </w:p>
        </w:tc>
        <w:tc>
          <w:tcPr>
            <w:tcW w:w="1466" w:type="pct"/>
          </w:tcPr>
          <w:p w14:paraId="2EB1A0EA" w14:textId="77777777" w:rsidR="00094A06" w:rsidRPr="005C00CB" w:rsidRDefault="00094A06" w:rsidP="00BC6645">
            <w:pPr>
              <w:keepNext/>
              <w:keepLines/>
              <w:jc w:val="center"/>
            </w:pPr>
            <w:r>
              <w:t>6,517</w:t>
            </w:r>
          </w:p>
        </w:tc>
        <w:tc>
          <w:tcPr>
            <w:tcW w:w="146" w:type="pct"/>
          </w:tcPr>
          <w:p w14:paraId="6F76EB60" w14:textId="77777777" w:rsidR="00094A06" w:rsidRPr="005C00CB" w:rsidRDefault="00094A06" w:rsidP="00BC6645">
            <w:pPr>
              <w:keepNext/>
              <w:keepLines/>
            </w:pPr>
          </w:p>
        </w:tc>
        <w:tc>
          <w:tcPr>
            <w:tcW w:w="632" w:type="pct"/>
          </w:tcPr>
          <w:p w14:paraId="4030AED2" w14:textId="77777777" w:rsidR="00094A06" w:rsidRPr="005C00CB" w:rsidRDefault="00094A06" w:rsidP="00BC6645">
            <w:pPr>
              <w:keepNext/>
              <w:keepLines/>
            </w:pPr>
          </w:p>
        </w:tc>
        <w:tc>
          <w:tcPr>
            <w:tcW w:w="665" w:type="pct"/>
          </w:tcPr>
          <w:p w14:paraId="26AF8C53" w14:textId="77777777" w:rsidR="00094A06" w:rsidRPr="005C00CB" w:rsidRDefault="00094A06" w:rsidP="00BC6645">
            <w:pPr>
              <w:keepNext/>
              <w:keepLines/>
              <w:jc w:val="center"/>
            </w:pPr>
          </w:p>
        </w:tc>
        <w:tc>
          <w:tcPr>
            <w:tcW w:w="723" w:type="pct"/>
          </w:tcPr>
          <w:p w14:paraId="37A7246B" w14:textId="77777777" w:rsidR="00094A06" w:rsidRPr="005C00CB" w:rsidRDefault="00094A06" w:rsidP="00BC6645">
            <w:pPr>
              <w:keepNext/>
              <w:keepLines/>
              <w:jc w:val="center"/>
            </w:pPr>
          </w:p>
        </w:tc>
        <w:tc>
          <w:tcPr>
            <w:tcW w:w="723" w:type="pct"/>
          </w:tcPr>
          <w:p w14:paraId="222CF5AA" w14:textId="77777777" w:rsidR="00094A06" w:rsidRPr="005C00CB" w:rsidRDefault="00094A06" w:rsidP="00BC6645">
            <w:pPr>
              <w:keepNext/>
              <w:keepLines/>
              <w:jc w:val="center"/>
            </w:pPr>
          </w:p>
        </w:tc>
      </w:tr>
      <w:tr w:rsidR="00094A06" w:rsidRPr="005C00CB" w14:paraId="12192F49" w14:textId="77777777" w:rsidTr="00EF5A02">
        <w:tc>
          <w:tcPr>
            <w:tcW w:w="644" w:type="pct"/>
            <w:tcBorders>
              <w:top w:val="single" w:sz="4" w:space="0" w:color="auto"/>
            </w:tcBorders>
          </w:tcPr>
          <w:p w14:paraId="7536D54D" w14:textId="77777777" w:rsidR="00094A06" w:rsidRPr="005C00CB" w:rsidRDefault="00094A06" w:rsidP="00BC6645">
            <w:pPr>
              <w:keepNext/>
              <w:keepLines/>
              <w:rPr>
                <w:i/>
              </w:rPr>
            </w:pPr>
            <w:proofErr w:type="spellStart"/>
            <w:r w:rsidRPr="005C00CB">
              <w:rPr>
                <w:i/>
              </w:rPr>
              <w:t>g.l</w:t>
            </w:r>
            <w:proofErr w:type="spellEnd"/>
            <w:r w:rsidRPr="005C00CB">
              <w:rPr>
                <w:i/>
              </w:rPr>
              <w:t>.</w:t>
            </w:r>
          </w:p>
        </w:tc>
        <w:tc>
          <w:tcPr>
            <w:tcW w:w="1466" w:type="pct"/>
            <w:tcBorders>
              <w:top w:val="single" w:sz="4" w:space="0" w:color="auto"/>
            </w:tcBorders>
          </w:tcPr>
          <w:p w14:paraId="53A1DA51" w14:textId="77777777" w:rsidR="00094A06" w:rsidRPr="005C00CB" w:rsidRDefault="00094A06" w:rsidP="00BC6645">
            <w:pPr>
              <w:keepNext/>
              <w:keepLines/>
              <w:jc w:val="center"/>
            </w:pPr>
            <w:r>
              <w:t>9</w:t>
            </w:r>
          </w:p>
        </w:tc>
        <w:tc>
          <w:tcPr>
            <w:tcW w:w="146" w:type="pct"/>
          </w:tcPr>
          <w:p w14:paraId="03412C46" w14:textId="77777777" w:rsidR="00094A06" w:rsidRPr="005C00CB" w:rsidRDefault="00094A06" w:rsidP="00BC6645">
            <w:pPr>
              <w:keepNext/>
              <w:keepLines/>
            </w:pPr>
          </w:p>
        </w:tc>
        <w:tc>
          <w:tcPr>
            <w:tcW w:w="632" w:type="pct"/>
            <w:tcBorders>
              <w:top w:val="single" w:sz="4" w:space="0" w:color="auto"/>
            </w:tcBorders>
          </w:tcPr>
          <w:p w14:paraId="764C1A8C" w14:textId="77777777" w:rsidR="00094A06" w:rsidRPr="005C00CB" w:rsidRDefault="00094A06" w:rsidP="00BC6645">
            <w:pPr>
              <w:keepNext/>
              <w:keepLines/>
            </w:pPr>
          </w:p>
        </w:tc>
        <w:tc>
          <w:tcPr>
            <w:tcW w:w="665" w:type="pct"/>
            <w:tcBorders>
              <w:top w:val="single" w:sz="4" w:space="0" w:color="auto"/>
            </w:tcBorders>
          </w:tcPr>
          <w:p w14:paraId="60A351A3" w14:textId="77777777" w:rsidR="00094A06" w:rsidRPr="005C00CB" w:rsidRDefault="00094A06" w:rsidP="00BC6645">
            <w:pPr>
              <w:keepNext/>
              <w:keepLines/>
              <w:jc w:val="center"/>
            </w:pPr>
            <w:r w:rsidRPr="005C00CB">
              <w:t>1</w:t>
            </w:r>
          </w:p>
        </w:tc>
        <w:tc>
          <w:tcPr>
            <w:tcW w:w="723" w:type="pct"/>
            <w:tcBorders>
              <w:top w:val="single" w:sz="4" w:space="0" w:color="auto"/>
            </w:tcBorders>
          </w:tcPr>
          <w:p w14:paraId="747FD6D1" w14:textId="77777777" w:rsidR="00094A06" w:rsidRPr="005C00CB" w:rsidRDefault="00094A06" w:rsidP="00BC6645">
            <w:pPr>
              <w:keepNext/>
              <w:keepLines/>
              <w:jc w:val="center"/>
            </w:pPr>
            <w:r>
              <w:t>8</w:t>
            </w:r>
          </w:p>
        </w:tc>
        <w:tc>
          <w:tcPr>
            <w:tcW w:w="723" w:type="pct"/>
            <w:tcBorders>
              <w:top w:val="single" w:sz="4" w:space="0" w:color="auto"/>
            </w:tcBorders>
          </w:tcPr>
          <w:p w14:paraId="676112C0" w14:textId="77777777" w:rsidR="00094A06" w:rsidRPr="005C00CB" w:rsidRDefault="00094A06" w:rsidP="00BC6645">
            <w:pPr>
              <w:keepNext/>
              <w:keepLines/>
              <w:jc w:val="center"/>
            </w:pPr>
            <w:r>
              <w:t>9</w:t>
            </w:r>
          </w:p>
        </w:tc>
      </w:tr>
      <w:tr w:rsidR="00094A06" w:rsidRPr="005C00CB" w14:paraId="4D6ECFEE" w14:textId="77777777" w:rsidTr="00EF5A02">
        <w:tc>
          <w:tcPr>
            <w:tcW w:w="644" w:type="pct"/>
            <w:tcBorders>
              <w:bottom w:val="single" w:sz="6" w:space="0" w:color="auto"/>
            </w:tcBorders>
          </w:tcPr>
          <w:p w14:paraId="6B37CDB2" w14:textId="77777777" w:rsidR="00094A06" w:rsidRPr="005C00CB" w:rsidRDefault="00094A06" w:rsidP="00BC6645">
            <w:pPr>
              <w:keepNext/>
              <w:keepLines/>
              <w:rPr>
                <w:vertAlign w:val="subscript"/>
              </w:rPr>
            </w:pPr>
            <w:r w:rsidRPr="005C00CB">
              <w:rPr>
                <w:rFonts w:ascii="Symbol" w:hAnsi="Symbol"/>
              </w:rPr>
              <w:t></w:t>
            </w:r>
            <w:r w:rsidRPr="005C00CB">
              <w:rPr>
                <w:rFonts w:ascii="Symbol" w:hAnsi="Symbol"/>
                <w:vertAlign w:val="superscript"/>
              </w:rPr>
              <w:t></w:t>
            </w:r>
            <w:r w:rsidRPr="005C00CB">
              <w:rPr>
                <w:vertAlign w:val="subscript"/>
              </w:rPr>
              <w:t xml:space="preserve">5%,g.l. </w:t>
            </w:r>
          </w:p>
        </w:tc>
        <w:tc>
          <w:tcPr>
            <w:tcW w:w="1466" w:type="pct"/>
            <w:tcBorders>
              <w:bottom w:val="single" w:sz="6" w:space="0" w:color="auto"/>
            </w:tcBorders>
          </w:tcPr>
          <w:p w14:paraId="56DB1F1F" w14:textId="77777777" w:rsidR="00094A06" w:rsidRPr="005C00CB" w:rsidRDefault="00094A06" w:rsidP="00BC6645">
            <w:pPr>
              <w:keepNext/>
              <w:keepLines/>
              <w:jc w:val="center"/>
            </w:pPr>
            <w:r>
              <w:t>16,919</w:t>
            </w:r>
          </w:p>
        </w:tc>
        <w:tc>
          <w:tcPr>
            <w:tcW w:w="146" w:type="pct"/>
            <w:tcBorders>
              <w:bottom w:val="single" w:sz="6" w:space="0" w:color="auto"/>
            </w:tcBorders>
          </w:tcPr>
          <w:p w14:paraId="2F45D309" w14:textId="77777777" w:rsidR="00094A06" w:rsidRPr="005C00CB" w:rsidRDefault="00094A06" w:rsidP="00BC6645">
            <w:pPr>
              <w:keepNext/>
              <w:keepLines/>
            </w:pPr>
          </w:p>
        </w:tc>
        <w:tc>
          <w:tcPr>
            <w:tcW w:w="632" w:type="pct"/>
            <w:tcBorders>
              <w:bottom w:val="single" w:sz="6" w:space="0" w:color="auto"/>
            </w:tcBorders>
          </w:tcPr>
          <w:p w14:paraId="24BDD3E4" w14:textId="77777777" w:rsidR="00094A06" w:rsidRPr="005C00CB" w:rsidRDefault="00094A06" w:rsidP="00BC6645">
            <w:pPr>
              <w:keepNext/>
              <w:keepLines/>
            </w:pPr>
          </w:p>
        </w:tc>
        <w:tc>
          <w:tcPr>
            <w:tcW w:w="665" w:type="pct"/>
            <w:tcBorders>
              <w:bottom w:val="single" w:sz="6" w:space="0" w:color="auto"/>
            </w:tcBorders>
          </w:tcPr>
          <w:p w14:paraId="2176A094" w14:textId="77777777" w:rsidR="00094A06" w:rsidRPr="005C00CB" w:rsidRDefault="00094A06" w:rsidP="00BC6645">
            <w:pPr>
              <w:keepNext/>
              <w:keepLines/>
              <w:jc w:val="center"/>
            </w:pPr>
            <w:r w:rsidRPr="005C00CB">
              <w:t>3,841</w:t>
            </w:r>
          </w:p>
        </w:tc>
        <w:tc>
          <w:tcPr>
            <w:tcW w:w="723" w:type="pct"/>
            <w:tcBorders>
              <w:bottom w:val="single" w:sz="6" w:space="0" w:color="auto"/>
            </w:tcBorders>
          </w:tcPr>
          <w:p w14:paraId="5EFB23EE" w14:textId="77777777" w:rsidR="00094A06" w:rsidRPr="005C00CB" w:rsidRDefault="00094A06" w:rsidP="00BC6645">
            <w:pPr>
              <w:keepNext/>
              <w:keepLines/>
              <w:jc w:val="center"/>
            </w:pPr>
            <w:r>
              <w:t>15,507</w:t>
            </w:r>
          </w:p>
        </w:tc>
        <w:tc>
          <w:tcPr>
            <w:tcW w:w="723" w:type="pct"/>
            <w:tcBorders>
              <w:bottom w:val="single" w:sz="6" w:space="0" w:color="auto"/>
            </w:tcBorders>
          </w:tcPr>
          <w:p w14:paraId="639E5D51" w14:textId="77777777" w:rsidR="00094A06" w:rsidRPr="005C00CB" w:rsidRDefault="00094A06" w:rsidP="00BC6645">
            <w:pPr>
              <w:keepNext/>
              <w:keepLines/>
              <w:jc w:val="center"/>
            </w:pPr>
            <w:r>
              <w:t>16</w:t>
            </w:r>
            <w:r w:rsidRPr="005C00CB">
              <w:t>,</w:t>
            </w:r>
            <w:r>
              <w:t>919</w:t>
            </w:r>
          </w:p>
        </w:tc>
      </w:tr>
      <w:tr w:rsidR="00094A06" w:rsidRPr="005C00CB" w14:paraId="3C65C829" w14:textId="77777777" w:rsidTr="00EF5A02">
        <w:tc>
          <w:tcPr>
            <w:tcW w:w="5000" w:type="pct"/>
            <w:gridSpan w:val="7"/>
            <w:tcBorders>
              <w:top w:val="single" w:sz="6" w:space="0" w:color="auto"/>
            </w:tcBorders>
          </w:tcPr>
          <w:p w14:paraId="2F2BBFB1" w14:textId="77777777" w:rsidR="00094A06" w:rsidRPr="005C00CB" w:rsidRDefault="00094A06" w:rsidP="00BC6645">
            <w:pPr>
              <w:keepLines/>
              <w:jc w:val="both"/>
              <w:rPr>
                <w:rFonts w:ascii="TimesTen-Roman" w:hAnsi="TimesTen-Roman" w:cs="TimesTen-Roman"/>
              </w:rPr>
            </w:pPr>
            <w:r w:rsidRPr="005C00CB">
              <w:rPr>
                <w:i/>
              </w:rPr>
              <w:t>Nota</w:t>
            </w:r>
            <w:r w:rsidRPr="005C00CB">
              <w:t>: Um *denota a rejeição de H</w:t>
            </w:r>
            <w:r w:rsidRPr="005C00CB">
              <w:rPr>
                <w:vertAlign w:val="subscript"/>
              </w:rPr>
              <w:t>0</w:t>
            </w:r>
            <w:r w:rsidRPr="005C00CB">
              <w:t xml:space="preserve"> ao nível de 5%, </w:t>
            </w:r>
            <w:r w:rsidRPr="005C00CB">
              <w:rPr>
                <w:i/>
              </w:rPr>
              <w:t>L</w:t>
            </w:r>
            <w:r w:rsidRPr="005C00CB">
              <w:t xml:space="preserve"> representa a defasagem máxima das séries de índices de segurança do alimento incluídos nos modelos; </w:t>
            </w:r>
            <w:proofErr w:type="spellStart"/>
            <w:r w:rsidRPr="005C00CB">
              <w:rPr>
                <w:i/>
              </w:rPr>
              <w:t>No-FS</w:t>
            </w:r>
            <w:proofErr w:type="spellEnd"/>
            <w:r w:rsidRPr="005C00CB">
              <w:t xml:space="preserve"> indica que o modelo foi estimado sem a incorporação dos índices de segurança do alimento como regressores; </w:t>
            </w:r>
            <w:proofErr w:type="spellStart"/>
            <w:r w:rsidRPr="005C00CB">
              <w:rPr>
                <w:i/>
              </w:rPr>
              <w:t>g.l</w:t>
            </w:r>
            <w:proofErr w:type="spellEnd"/>
            <w:r w:rsidRPr="005C00CB">
              <w:t>. denota graus de liberdade. Os valores apresentados são as estatísticas calculadas para os testes ajustados de razão de verossimilhança calculados segundo</w:t>
            </w:r>
            <w:r>
              <w:rPr>
                <w:rFonts w:ascii="TimesTen-Roman" w:hAnsi="TimesTen-Roman" w:cs="TimesTen-Roman"/>
              </w:rPr>
              <w:t xml:space="preserve"> a equação (8</w:t>
            </w:r>
            <w:r w:rsidRPr="005C00CB">
              <w:rPr>
                <w:rFonts w:ascii="TimesTen-Roman" w:hAnsi="TimesTen-Roman" w:cs="TimesTen-Roman"/>
              </w:rPr>
              <w:t>).</w:t>
            </w:r>
          </w:p>
        </w:tc>
      </w:tr>
    </w:tbl>
    <w:p w14:paraId="27BCA516" w14:textId="77777777" w:rsidR="00094A06" w:rsidRDefault="00094A06" w:rsidP="00BC6645">
      <w:pPr>
        <w:ind w:firstLine="720"/>
        <w:jc w:val="both"/>
      </w:pPr>
      <w:r w:rsidRPr="00637B97">
        <w:t xml:space="preserve">Os resultados </w:t>
      </w:r>
      <w:r>
        <w:t xml:space="preserve">dos testes de </w:t>
      </w:r>
      <w:r w:rsidRPr="00DB53D2">
        <w:t>razão da verossimilhança ajustada (</w:t>
      </w:r>
      <w:proofErr w:type="spellStart"/>
      <w:r w:rsidRPr="00DB53D2">
        <w:rPr>
          <w:i/>
        </w:rPr>
        <w:t>LRs</w:t>
      </w:r>
      <w:proofErr w:type="spellEnd"/>
      <w:r w:rsidRPr="00DB53D2">
        <w:t>)</w:t>
      </w:r>
      <w:r>
        <w:t xml:space="preserve"> apresentados </w:t>
      </w:r>
      <w:r w:rsidRPr="00637B97">
        <w:t xml:space="preserve">nas colunas </w:t>
      </w:r>
      <w:r>
        <w:t xml:space="preserve">4 a 6 </w:t>
      </w:r>
      <w:r w:rsidRPr="00637B97">
        <w:t xml:space="preserve">da Tabela 4 levam </w:t>
      </w:r>
      <w:r>
        <w:t>às seguintes conclusões</w:t>
      </w:r>
      <w:r w:rsidRPr="00541515">
        <w:rPr>
          <w:rStyle w:val="FootnoteReference"/>
          <w:bCs/>
        </w:rPr>
        <w:footnoteReference w:id="11"/>
      </w:r>
      <w:r>
        <w:t xml:space="preserve"> com respeito à preferência entre pares de especificações dos modelos</w:t>
      </w:r>
      <w:r w:rsidRPr="00637B97">
        <w:rPr>
          <w:rStyle w:val="Bold"/>
        </w:rPr>
        <w:t xml:space="preserve">: </w:t>
      </w:r>
      <w:r w:rsidRPr="00637B97">
        <w:t>D-</w:t>
      </w:r>
      <w:proofErr w:type="spellStart"/>
      <w:r w:rsidRPr="00637B97">
        <w:t>R</w:t>
      </w:r>
      <w:r w:rsidRPr="00637B97">
        <w:rPr>
          <w:vertAlign w:val="superscript"/>
        </w:rPr>
        <w:t>matriz</w:t>
      </w:r>
      <w:proofErr w:type="spellEnd"/>
      <w:r w:rsidRPr="00323E47">
        <w:rPr>
          <w:position w:val="-4"/>
        </w:rPr>
        <w:object w:dxaOrig="220" w:dyaOrig="220" w14:anchorId="08543BED">
          <v:shape id="_x0000_i1062" type="#_x0000_t75" style="width:11.1pt;height:11.1pt" o:ole="">
            <v:imagedata r:id="rId93" o:title=""/>
          </v:shape>
          <o:OLEObject Type="Embed" ProgID="Equation.DSMT4" ShapeID="_x0000_i1062" DrawAspect="Content" ObjectID="_1341397242" r:id="rId94"/>
        </w:object>
      </w:r>
      <w:r w:rsidRPr="00637B97">
        <w:t>N-</w:t>
      </w:r>
      <w:proofErr w:type="spellStart"/>
      <w:r w:rsidRPr="00637B97">
        <w:t>R</w:t>
      </w:r>
      <w:r w:rsidRPr="00637B97">
        <w:rPr>
          <w:vertAlign w:val="superscript"/>
        </w:rPr>
        <w:t>matriz</w:t>
      </w:r>
      <w:proofErr w:type="spellEnd"/>
      <w:r w:rsidRPr="00637B97">
        <w:t>, F-</w:t>
      </w:r>
      <w:proofErr w:type="spellStart"/>
      <w:r w:rsidRPr="00637B97">
        <w:t>R</w:t>
      </w:r>
      <w:r w:rsidRPr="00637B97">
        <w:rPr>
          <w:vertAlign w:val="superscript"/>
        </w:rPr>
        <w:t>matriz</w:t>
      </w:r>
      <w:proofErr w:type="spellEnd"/>
      <w:r w:rsidRPr="00323E47">
        <w:rPr>
          <w:position w:val="-4"/>
        </w:rPr>
        <w:object w:dxaOrig="220" w:dyaOrig="220" w14:anchorId="228BA693">
          <v:shape id="_x0000_i1063" type="#_x0000_t75" style="width:11.1pt;height:11.1pt" o:ole="">
            <v:imagedata r:id="rId95" o:title=""/>
          </v:shape>
          <o:OLEObject Type="Embed" ProgID="Equation.DSMT4" ShapeID="_x0000_i1063" DrawAspect="Content" ObjectID="_1341397243" r:id="rId96"/>
        </w:object>
      </w:r>
      <w:r w:rsidRPr="00637B97">
        <w:t>D-</w:t>
      </w:r>
      <w:proofErr w:type="spellStart"/>
      <w:r w:rsidRPr="00637B97">
        <w:t>R</w:t>
      </w:r>
      <w:r w:rsidRPr="00637B97">
        <w:rPr>
          <w:vertAlign w:val="superscript"/>
        </w:rPr>
        <w:t>matriz</w:t>
      </w:r>
      <w:proofErr w:type="spellEnd"/>
      <w:r w:rsidRPr="00637B97">
        <w:t xml:space="preserve"> </w:t>
      </w:r>
      <w:r>
        <w:t>e</w:t>
      </w:r>
      <w:r w:rsidRPr="00637B97">
        <w:t xml:space="preserve"> F-</w:t>
      </w:r>
      <w:proofErr w:type="spellStart"/>
      <w:r w:rsidRPr="00637B97">
        <w:t>R</w:t>
      </w:r>
      <w:r w:rsidRPr="00637B97">
        <w:rPr>
          <w:vertAlign w:val="superscript"/>
        </w:rPr>
        <w:t>matriz</w:t>
      </w:r>
      <w:proofErr w:type="spellEnd"/>
      <w:r w:rsidRPr="00323E47">
        <w:rPr>
          <w:position w:val="-4"/>
        </w:rPr>
        <w:object w:dxaOrig="220" w:dyaOrig="220" w14:anchorId="62822713">
          <v:shape id="_x0000_i1064" type="#_x0000_t75" style="width:11.1pt;height:11.1pt" o:ole="">
            <v:imagedata r:id="rId97" o:title=""/>
          </v:shape>
          <o:OLEObject Type="Embed" ProgID="Equation.DSMT4" ShapeID="_x0000_i1064" DrawAspect="Content" ObjectID="_1341397244" r:id="rId98"/>
        </w:object>
      </w:r>
      <w:r w:rsidRPr="00637B97">
        <w:t>N-</w:t>
      </w:r>
      <w:proofErr w:type="spellStart"/>
      <w:r w:rsidRPr="00637B97">
        <w:t>R</w:t>
      </w:r>
      <w:r w:rsidRPr="00637B97">
        <w:rPr>
          <w:vertAlign w:val="superscript"/>
        </w:rPr>
        <w:t>matriz</w:t>
      </w:r>
      <w:proofErr w:type="spellEnd"/>
      <w:r w:rsidRPr="00637B97">
        <w:t>. Com base n</w:t>
      </w:r>
      <w:r>
        <w:t>esses resultados</w:t>
      </w:r>
      <w:r w:rsidRPr="00637B97">
        <w:t>, a ordem final de preferência com relação aos modelos é: F-</w:t>
      </w:r>
      <w:proofErr w:type="spellStart"/>
      <w:r w:rsidRPr="00637B97">
        <w:t>R</w:t>
      </w:r>
      <w:r w:rsidRPr="00637B97">
        <w:rPr>
          <w:vertAlign w:val="superscript"/>
        </w:rPr>
        <w:t>matriz</w:t>
      </w:r>
      <w:proofErr w:type="spellEnd"/>
      <w:r w:rsidRPr="00323E47">
        <w:rPr>
          <w:position w:val="-4"/>
        </w:rPr>
        <w:object w:dxaOrig="220" w:dyaOrig="220" w14:anchorId="3621DD4B">
          <v:shape id="_x0000_i1065" type="#_x0000_t75" style="width:11.1pt;height:11.1pt" o:ole="">
            <v:imagedata r:id="rId99" o:title=""/>
          </v:shape>
          <o:OLEObject Type="Embed" ProgID="Equation.DSMT4" ShapeID="_x0000_i1065" DrawAspect="Content" ObjectID="_1341397245" r:id="rId100"/>
        </w:object>
      </w:r>
      <w:r w:rsidRPr="00637B97">
        <w:t>D-</w:t>
      </w:r>
      <w:proofErr w:type="spellStart"/>
      <w:r w:rsidRPr="00637B97">
        <w:t>R</w:t>
      </w:r>
      <w:r w:rsidRPr="00637B97">
        <w:rPr>
          <w:vertAlign w:val="superscript"/>
        </w:rPr>
        <w:t>matriz</w:t>
      </w:r>
      <w:proofErr w:type="spellEnd"/>
      <w:r w:rsidRPr="00323E47">
        <w:rPr>
          <w:position w:val="-4"/>
        </w:rPr>
        <w:object w:dxaOrig="220" w:dyaOrig="220" w14:anchorId="4C335479">
          <v:shape id="_x0000_i1066" type="#_x0000_t75" style="width:11.1pt;height:11.1pt" o:ole="">
            <v:imagedata r:id="rId101" o:title=""/>
          </v:shape>
          <o:OLEObject Type="Embed" ProgID="Equation.DSMT4" ShapeID="_x0000_i1066" DrawAspect="Content" ObjectID="_1341397246" r:id="rId102"/>
        </w:object>
      </w:r>
      <w:r w:rsidRPr="00637B97">
        <w:t>N-</w:t>
      </w:r>
      <w:proofErr w:type="spellStart"/>
      <w:r w:rsidRPr="00637B97">
        <w:t>R</w:t>
      </w:r>
      <w:r w:rsidRPr="00637B97">
        <w:rPr>
          <w:vertAlign w:val="superscript"/>
        </w:rPr>
        <w:t>matriz</w:t>
      </w:r>
      <w:proofErr w:type="spellEnd"/>
      <w:r>
        <w:t xml:space="preserve">, o que implica concluir que há autocorrelação de primeira ordem dos resíduos, mas que o modelo estimado com </w:t>
      </w:r>
      <w:r w:rsidRPr="00637B97">
        <w:t>F-</w:t>
      </w:r>
      <w:proofErr w:type="spellStart"/>
      <w:r w:rsidRPr="00637B97">
        <w:t>R</w:t>
      </w:r>
      <w:r w:rsidRPr="00637B97">
        <w:rPr>
          <w:vertAlign w:val="superscript"/>
        </w:rPr>
        <w:t>matriz</w:t>
      </w:r>
      <w:proofErr w:type="spellEnd"/>
      <w:r w:rsidRPr="00637B97">
        <w:t xml:space="preserve"> </w:t>
      </w:r>
      <w:r>
        <w:t>é capaz de corrigir este problema</w:t>
      </w:r>
      <w:r w:rsidRPr="00637B97">
        <w:t xml:space="preserve">. </w:t>
      </w:r>
    </w:p>
    <w:p w14:paraId="0B160ED1" w14:textId="77777777" w:rsidR="00094A06" w:rsidRPr="00F82849" w:rsidRDefault="00094A06" w:rsidP="00BC6645">
      <w:pPr>
        <w:ind w:firstLine="720"/>
        <w:jc w:val="both"/>
      </w:pPr>
      <w:r>
        <w:t>O segundo passo nos testes de especificação</w:t>
      </w:r>
      <w:r w:rsidRPr="004F017F">
        <w:t xml:space="preserve"> </w:t>
      </w:r>
      <w:r>
        <w:t>consiste em</w:t>
      </w:r>
      <w:r w:rsidRPr="004F017F">
        <w:t xml:space="preserve"> </w:t>
      </w:r>
      <w:r>
        <w:t>testar se os índices de segurança do alimento são conjuntamente não significantes. Para tanto, utiliza-se o resultado obtido no primeiro passo,</w:t>
      </w:r>
      <w:r w:rsidRPr="004F017F">
        <w:t xml:space="preserve"> considerando-se </w:t>
      </w:r>
      <w:r>
        <w:t>apenas a especificação do sistema</w:t>
      </w:r>
      <w:r w:rsidRPr="004F017F">
        <w:t xml:space="preserve"> </w:t>
      </w:r>
      <w:r>
        <w:t xml:space="preserve">em que </w:t>
      </w:r>
      <w:r w:rsidRPr="004F017F">
        <w:t xml:space="preserve">a </w:t>
      </w:r>
      <w:r>
        <w:t>matriz</w:t>
      </w:r>
      <w:r w:rsidRPr="004E0656">
        <w:t xml:space="preserve"> </w:t>
      </w:r>
      <w:r w:rsidR="009C45C7">
        <w:t>completa</w:t>
      </w:r>
      <w:r w:rsidRPr="004F017F">
        <w:t xml:space="preserve"> </w:t>
      </w:r>
      <w:r w:rsidRPr="00637B97">
        <w:t>F-</w:t>
      </w:r>
      <w:proofErr w:type="spellStart"/>
      <w:r w:rsidRPr="00637B97">
        <w:t>R</w:t>
      </w:r>
      <w:r w:rsidRPr="00637B97">
        <w:rPr>
          <w:vertAlign w:val="superscript"/>
        </w:rPr>
        <w:t>matriz</w:t>
      </w:r>
      <w:proofErr w:type="spellEnd"/>
      <w:r>
        <w:t xml:space="preserve"> é utilizada</w:t>
      </w:r>
      <w:r w:rsidRPr="004F017F">
        <w:t xml:space="preserve">. Assim, avaliando-se o resultado </w:t>
      </w:r>
      <w:r>
        <w:t xml:space="preserve">do teste </w:t>
      </w:r>
      <w:r w:rsidR="009C45C7">
        <w:t>apresentado</w:t>
      </w:r>
      <w:r w:rsidRPr="004F017F">
        <w:t xml:space="preserve"> na Tabela 1, coluna 2, referente a </w:t>
      </w:r>
      <w:r w:rsidRPr="004F017F">
        <w:rPr>
          <w:rStyle w:val="Bold"/>
          <w:b w:val="0"/>
        </w:rPr>
        <w:t xml:space="preserve">linha </w:t>
      </w:r>
      <w:r w:rsidRPr="00637B97">
        <w:t>F-</w:t>
      </w:r>
      <w:proofErr w:type="spellStart"/>
      <w:r w:rsidRPr="00637B97">
        <w:t>R</w:t>
      </w:r>
      <w:r w:rsidRPr="00637B97">
        <w:rPr>
          <w:vertAlign w:val="superscript"/>
        </w:rPr>
        <w:t>matriz</w:t>
      </w:r>
      <w:proofErr w:type="spellEnd"/>
      <w:r w:rsidRPr="004F017F">
        <w:t xml:space="preserve">, </w:t>
      </w:r>
      <w:r>
        <w:t>observa</w:t>
      </w:r>
      <w:r w:rsidRPr="004F017F">
        <w:t xml:space="preserve">-se </w:t>
      </w:r>
      <w:r>
        <w:lastRenderedPageBreak/>
        <w:t>que não é possível se rejeitar a hipótese de  que os índices de segurança do alimento não são conjuntamente significantes</w:t>
      </w:r>
      <w:r>
        <w:rPr>
          <w:rStyle w:val="FootnoteReference"/>
        </w:rPr>
        <w:footnoteReference w:id="12"/>
      </w:r>
      <w:r>
        <w:t xml:space="preserve">. </w:t>
      </w:r>
      <w:r w:rsidRPr="00F82849">
        <w:t>Em outras palavras, não é possível rejeitar a hipótese de que crises de segurança do alimento não afetam as demandas da carne bovina, suína e de frango no Brasil.</w:t>
      </w:r>
    </w:p>
    <w:p w14:paraId="684328E3" w14:textId="77777777" w:rsidR="00094A06" w:rsidRDefault="00932EC3" w:rsidP="00BC6645">
      <w:pPr>
        <w:ind w:firstLine="720"/>
        <w:jc w:val="both"/>
      </w:pPr>
      <w:r>
        <w:t>Assim</w:t>
      </w:r>
      <w:r w:rsidR="00094A06">
        <w:t>,</w:t>
      </w:r>
      <w:r>
        <w:t xml:space="preserve"> os testes</w:t>
      </w:r>
      <w:r w:rsidR="00094A06" w:rsidRPr="004F017F">
        <w:t xml:space="preserve"> d</w:t>
      </w:r>
      <w:r>
        <w:t>e</w:t>
      </w:r>
      <w:r w:rsidR="00094A06" w:rsidRPr="004F017F">
        <w:t xml:space="preserve"> razão de verossimilhança ajustada levam à conclusão de que </w:t>
      </w:r>
      <w:r w:rsidR="00710A73">
        <w:t>o modelo preferido é aquele</w:t>
      </w:r>
      <w:r w:rsidR="00094A06">
        <w:t xml:space="preserve"> que não inclui os índices de segurança do alimento e utiliza uma </w:t>
      </w:r>
      <w:r w:rsidR="00094A06" w:rsidRPr="00637B97">
        <w:t>F-</w:t>
      </w:r>
      <w:proofErr w:type="spellStart"/>
      <w:r w:rsidR="00094A06" w:rsidRPr="00637B97">
        <w:t>R</w:t>
      </w:r>
      <w:r w:rsidR="00094A06" w:rsidRPr="00637B97">
        <w:rPr>
          <w:vertAlign w:val="superscript"/>
        </w:rPr>
        <w:t>matriz</w:t>
      </w:r>
      <w:proofErr w:type="spellEnd"/>
      <w:r w:rsidR="00094A06">
        <w:t xml:space="preserve"> para corrigir para autocorrelação.</w:t>
      </w:r>
      <w:r w:rsidR="00094A06" w:rsidRPr="004F017F">
        <w:t xml:space="preserve"> </w:t>
      </w:r>
      <w:r w:rsidR="00094A06">
        <w:t>A</w:t>
      </w:r>
      <w:r w:rsidR="00094A06" w:rsidRPr="00677EBF">
        <w:t xml:space="preserve">s estimativas dos parâmetros, </w:t>
      </w:r>
      <w:r w:rsidR="00094A06">
        <w:t xml:space="preserve">os </w:t>
      </w:r>
      <w:r w:rsidR="00094A06" w:rsidRPr="00677EBF">
        <w:t xml:space="preserve">erros-padrão e </w:t>
      </w:r>
      <w:r w:rsidR="00094A06">
        <w:t>as medidas de qualidade do ajuste</w:t>
      </w:r>
      <w:r w:rsidR="00094A06" w:rsidRPr="004F017F">
        <w:t xml:space="preserve"> </w:t>
      </w:r>
      <w:r w:rsidR="00094A06">
        <w:t xml:space="preserve">para esta especificação do sistema de equações são apresentados na </w:t>
      </w:r>
      <w:r w:rsidR="00094A06" w:rsidRPr="004F017F">
        <w:t xml:space="preserve">Tabela </w:t>
      </w:r>
      <w:r w:rsidR="00094A06">
        <w:t xml:space="preserve">5. Para fins de comparação, também na Tabela 5 são apresentadas as estimativas do modelo </w:t>
      </w:r>
      <w:r w:rsidR="00094A06" w:rsidRPr="00637B97">
        <w:t>F-</w:t>
      </w:r>
      <w:proofErr w:type="spellStart"/>
      <w:r w:rsidR="00094A06" w:rsidRPr="00637B97">
        <w:t>R</w:t>
      </w:r>
      <w:r w:rsidR="00094A06" w:rsidRPr="00637B97">
        <w:rPr>
          <w:vertAlign w:val="superscript"/>
        </w:rPr>
        <w:t>matriz</w:t>
      </w:r>
      <w:proofErr w:type="spellEnd"/>
      <w:r w:rsidR="00094A06">
        <w:t xml:space="preserve"> , a qual</w:t>
      </w:r>
      <w:r w:rsidR="00710A73">
        <w:t xml:space="preserve"> se</w:t>
      </w:r>
      <w:r w:rsidR="00094A06">
        <w:t xml:space="preserve"> inclui os índices de segurança do alimento.</w:t>
      </w:r>
    </w:p>
    <w:p w14:paraId="738478CF" w14:textId="77777777" w:rsidR="00094A06" w:rsidRDefault="00094A06" w:rsidP="00BC6645">
      <w:pPr>
        <w:ind w:firstLine="720"/>
        <w:jc w:val="both"/>
      </w:pPr>
    </w:p>
    <w:p w14:paraId="3C1B9011" w14:textId="77777777" w:rsidR="00094A06" w:rsidRPr="004F017F" w:rsidRDefault="00094A06" w:rsidP="00BC6645">
      <w:pPr>
        <w:keepNext/>
      </w:pPr>
      <w:r w:rsidRPr="00351FF6">
        <w:rPr>
          <w:b/>
        </w:rPr>
        <w:t xml:space="preserve">Tabela </w:t>
      </w:r>
      <w:r>
        <w:rPr>
          <w:b/>
        </w:rPr>
        <w:t>5</w:t>
      </w:r>
      <w:r w:rsidR="00B803AC">
        <w:rPr>
          <w:b/>
        </w:rPr>
        <w:t xml:space="preserve"> -</w:t>
      </w:r>
      <w:r w:rsidRPr="00351FF6">
        <w:rPr>
          <w:b/>
        </w:rPr>
        <w:t xml:space="preserve"> </w:t>
      </w:r>
      <w:r w:rsidRPr="00351FF6">
        <w:t>Resultados das estimações dos modelos.</w:t>
      </w:r>
    </w:p>
    <w:tbl>
      <w:tblPr>
        <w:tblStyle w:val="TableGrid"/>
        <w:tblW w:w="5000" w:type="pct"/>
        <w:tblBorders>
          <w:left w:val="none" w:sz="0" w:space="0" w:color="auto"/>
          <w:right w:val="none" w:sz="0" w:space="0" w:color="auto"/>
        </w:tblBorders>
        <w:tblLook w:val="04A0" w:firstRow="1" w:lastRow="0" w:firstColumn="1" w:lastColumn="0" w:noHBand="0" w:noVBand="1"/>
      </w:tblPr>
      <w:tblGrid>
        <w:gridCol w:w="3474"/>
        <w:gridCol w:w="3474"/>
        <w:gridCol w:w="3472"/>
      </w:tblGrid>
      <w:tr w:rsidR="00094A06" w:rsidRPr="00FF2426" w14:paraId="08E4BEB9" w14:textId="77777777" w:rsidTr="00EF5A02">
        <w:trPr>
          <w:trHeight w:val="516"/>
        </w:trPr>
        <w:tc>
          <w:tcPr>
            <w:tcW w:w="1667" w:type="pct"/>
            <w:vAlign w:val="center"/>
          </w:tcPr>
          <w:p w14:paraId="0872A130" w14:textId="77777777" w:rsidR="00094A06" w:rsidRPr="00FF2426" w:rsidRDefault="00094A06" w:rsidP="00BC6645">
            <w:pPr>
              <w:keepNext/>
              <w:jc w:val="center"/>
              <w:rPr>
                <w:b/>
              </w:rPr>
            </w:pPr>
            <w:r w:rsidRPr="00FF2426">
              <w:t>Parâmetro</w:t>
            </w:r>
          </w:p>
        </w:tc>
        <w:tc>
          <w:tcPr>
            <w:tcW w:w="1667" w:type="pct"/>
            <w:vAlign w:val="center"/>
          </w:tcPr>
          <w:p w14:paraId="309E6D14" w14:textId="77777777" w:rsidR="00094A06" w:rsidRPr="00FF2426" w:rsidRDefault="00094A06" w:rsidP="00BC6645">
            <w:pPr>
              <w:keepNext/>
              <w:jc w:val="center"/>
              <w:rPr>
                <w:b/>
              </w:rPr>
            </w:pPr>
            <w:r w:rsidRPr="00FF2426">
              <w:t>Modelos com F-</w:t>
            </w:r>
            <w:proofErr w:type="spellStart"/>
            <w:r w:rsidRPr="00FF2426">
              <w:t>R</w:t>
            </w:r>
            <w:r w:rsidRPr="00FF2426">
              <w:rPr>
                <w:vertAlign w:val="superscript"/>
              </w:rPr>
              <w:t>matriz</w:t>
            </w:r>
            <w:proofErr w:type="spellEnd"/>
          </w:p>
          <w:p w14:paraId="48CB6C69" w14:textId="77777777" w:rsidR="00094A06" w:rsidRPr="00FF2426" w:rsidRDefault="00094A06" w:rsidP="00BC6645">
            <w:pPr>
              <w:jc w:val="center"/>
              <w:rPr>
                <w:b/>
              </w:rPr>
            </w:pPr>
            <w:proofErr w:type="spellStart"/>
            <w:r w:rsidRPr="00FF2426">
              <w:rPr>
                <w:i/>
              </w:rPr>
              <w:t>No-FS</w:t>
            </w:r>
            <w:proofErr w:type="spellEnd"/>
          </w:p>
        </w:tc>
        <w:tc>
          <w:tcPr>
            <w:tcW w:w="1666" w:type="pct"/>
            <w:vAlign w:val="center"/>
          </w:tcPr>
          <w:p w14:paraId="3F0AD14F" w14:textId="77777777" w:rsidR="00094A06" w:rsidRPr="00FF2426" w:rsidRDefault="00094A06" w:rsidP="00BC6645">
            <w:pPr>
              <w:keepNext/>
              <w:jc w:val="center"/>
              <w:rPr>
                <w:b/>
              </w:rPr>
            </w:pPr>
            <w:r w:rsidRPr="00FF2426">
              <w:t>Modelos com F-</w:t>
            </w:r>
            <w:proofErr w:type="spellStart"/>
            <w:r w:rsidRPr="00FF2426">
              <w:t>R</w:t>
            </w:r>
            <w:r w:rsidRPr="00FF2426">
              <w:rPr>
                <w:vertAlign w:val="superscript"/>
              </w:rPr>
              <w:t>matriz</w:t>
            </w:r>
            <w:proofErr w:type="spellEnd"/>
          </w:p>
          <w:p w14:paraId="1D0CA363" w14:textId="77777777" w:rsidR="00094A06" w:rsidRPr="00FF2426" w:rsidRDefault="00094A06" w:rsidP="00BC6645">
            <w:pPr>
              <w:jc w:val="center"/>
              <w:rPr>
                <w:b/>
              </w:rPr>
            </w:pPr>
            <w:r w:rsidRPr="00FF2426">
              <w:rPr>
                <w:i/>
              </w:rPr>
              <w:t>L=0</w:t>
            </w:r>
          </w:p>
        </w:tc>
      </w:tr>
      <w:tr w:rsidR="00094A06" w:rsidRPr="00FF2426" w14:paraId="5E5D5FBA" w14:textId="77777777" w:rsidTr="00EF5A02">
        <w:tc>
          <w:tcPr>
            <w:tcW w:w="1667" w:type="pct"/>
          </w:tcPr>
          <w:p w14:paraId="4A7563B2" w14:textId="77777777" w:rsidR="00094A06" w:rsidRPr="00FF2426" w:rsidRDefault="00094A06" w:rsidP="00BC6645">
            <w:pPr>
              <w:keepLines/>
              <w:jc w:val="center"/>
              <w:rPr>
                <w:i/>
              </w:rPr>
            </w:pPr>
            <w:r w:rsidRPr="00FF2426">
              <w:rPr>
                <w:i/>
              </w:rPr>
              <w:t>a</w:t>
            </w:r>
            <w:r w:rsidRPr="00FF2426">
              <w:rPr>
                <w:i/>
                <w:vertAlign w:val="subscript"/>
              </w:rPr>
              <w:t>0</w:t>
            </w:r>
          </w:p>
        </w:tc>
        <w:tc>
          <w:tcPr>
            <w:tcW w:w="1667" w:type="pct"/>
          </w:tcPr>
          <w:p w14:paraId="147E8F1D" w14:textId="77777777" w:rsidR="00094A06" w:rsidRPr="00FF2426" w:rsidRDefault="00094A06" w:rsidP="00BC6645">
            <w:pPr>
              <w:keepNext/>
              <w:jc w:val="center"/>
            </w:pPr>
            <w:r w:rsidRPr="00FF2426">
              <w:t>-2,</w:t>
            </w:r>
            <w:r>
              <w:t>397</w:t>
            </w:r>
            <w:r w:rsidRPr="00FF2426">
              <w:t xml:space="preserve">* </w:t>
            </w:r>
          </w:p>
          <w:p w14:paraId="56451124" w14:textId="77777777" w:rsidR="00094A06" w:rsidRPr="00FF2426" w:rsidRDefault="00094A06" w:rsidP="00BC6645">
            <w:pPr>
              <w:keepNext/>
              <w:jc w:val="center"/>
              <w:rPr>
                <w:b/>
              </w:rPr>
            </w:pPr>
            <w:r w:rsidRPr="00FF2426">
              <w:t>(1,</w:t>
            </w:r>
            <w:r>
              <w:t>282</w:t>
            </w:r>
            <w:r w:rsidRPr="00FF2426">
              <w:t>)</w:t>
            </w:r>
          </w:p>
        </w:tc>
        <w:tc>
          <w:tcPr>
            <w:tcW w:w="1666" w:type="pct"/>
            <w:vAlign w:val="bottom"/>
          </w:tcPr>
          <w:p w14:paraId="32AF8877" w14:textId="77777777" w:rsidR="00094A06" w:rsidRPr="00FF2426" w:rsidRDefault="00094A06" w:rsidP="00BC6645">
            <w:pPr>
              <w:jc w:val="center"/>
            </w:pPr>
            <w:r w:rsidRPr="00FF2426">
              <w:t>-0,</w:t>
            </w:r>
            <w:r>
              <w:t>429</w:t>
            </w:r>
          </w:p>
          <w:p w14:paraId="131316C6" w14:textId="77777777" w:rsidR="00094A06" w:rsidRPr="00FF2426" w:rsidRDefault="00094A06" w:rsidP="00BC6645">
            <w:pPr>
              <w:jc w:val="center"/>
            </w:pPr>
            <w:r w:rsidRPr="00FF2426">
              <w:t>(1,</w:t>
            </w:r>
            <w:r>
              <w:t>336</w:t>
            </w:r>
            <w:r w:rsidRPr="00FF2426">
              <w:t>)</w:t>
            </w:r>
          </w:p>
        </w:tc>
      </w:tr>
      <w:tr w:rsidR="00094A06" w:rsidRPr="00FF2426" w14:paraId="7BA75614" w14:textId="77777777" w:rsidTr="00EF5A02">
        <w:tc>
          <w:tcPr>
            <w:tcW w:w="1667" w:type="pct"/>
          </w:tcPr>
          <w:p w14:paraId="3F2E4C72" w14:textId="77777777" w:rsidR="00094A06" w:rsidRPr="00FF2426" w:rsidRDefault="00094A06" w:rsidP="00BC6645">
            <w:pPr>
              <w:keepLines/>
              <w:jc w:val="center"/>
            </w:pPr>
            <w:r w:rsidRPr="00FF2426">
              <w:rPr>
                <w:i/>
              </w:rPr>
              <w:sym w:font="Symbol" w:char="F061"/>
            </w:r>
            <w:r w:rsidRPr="00FF2426">
              <w:rPr>
                <w:i/>
                <w:vertAlign w:val="subscript"/>
              </w:rPr>
              <w:t>b</w:t>
            </w:r>
            <w:r w:rsidR="00936404">
              <w:rPr>
                <w:i/>
                <w:vertAlign w:val="subscript"/>
              </w:rPr>
              <w:t>0</w:t>
            </w:r>
          </w:p>
        </w:tc>
        <w:tc>
          <w:tcPr>
            <w:tcW w:w="1667" w:type="pct"/>
          </w:tcPr>
          <w:p w14:paraId="6E377E23" w14:textId="77777777" w:rsidR="00094A06" w:rsidRPr="00FF2426" w:rsidRDefault="00094A06" w:rsidP="00BC6645">
            <w:pPr>
              <w:keepNext/>
              <w:jc w:val="center"/>
            </w:pPr>
            <w:r>
              <w:t>0,480</w:t>
            </w:r>
            <w:r w:rsidRPr="00FF2426">
              <w:t>*</w:t>
            </w:r>
          </w:p>
          <w:p w14:paraId="61EF04EA" w14:textId="77777777" w:rsidR="00094A06" w:rsidRPr="00FF2426" w:rsidRDefault="00094A06" w:rsidP="00BC6645">
            <w:pPr>
              <w:keepNext/>
              <w:jc w:val="center"/>
              <w:rPr>
                <w:b/>
              </w:rPr>
            </w:pPr>
            <w:r>
              <w:t>(0,063</w:t>
            </w:r>
            <w:r w:rsidRPr="00FF2426">
              <w:t>)</w:t>
            </w:r>
          </w:p>
        </w:tc>
        <w:tc>
          <w:tcPr>
            <w:tcW w:w="1666" w:type="pct"/>
            <w:vAlign w:val="bottom"/>
          </w:tcPr>
          <w:p w14:paraId="299C7D1F" w14:textId="77777777" w:rsidR="00094A06" w:rsidRPr="00FF2426" w:rsidRDefault="00094A06" w:rsidP="00BC6645">
            <w:pPr>
              <w:jc w:val="center"/>
            </w:pPr>
            <w:r w:rsidRPr="00FF2426">
              <w:t>0,</w:t>
            </w:r>
            <w:r>
              <w:t>703</w:t>
            </w:r>
            <w:r w:rsidRPr="00FF2426">
              <w:t>*</w:t>
            </w:r>
          </w:p>
          <w:p w14:paraId="7378C841" w14:textId="77777777" w:rsidR="00094A06" w:rsidRPr="00FF2426" w:rsidRDefault="00094A06" w:rsidP="00BC6645">
            <w:pPr>
              <w:jc w:val="center"/>
            </w:pPr>
            <w:r>
              <w:t>(0,083</w:t>
            </w:r>
            <w:r w:rsidRPr="00FF2426">
              <w:t>)</w:t>
            </w:r>
          </w:p>
        </w:tc>
      </w:tr>
      <w:tr w:rsidR="00094A06" w:rsidRPr="00FF2426" w14:paraId="0B7F235F" w14:textId="77777777" w:rsidTr="00EF5A02">
        <w:tc>
          <w:tcPr>
            <w:tcW w:w="1667" w:type="pct"/>
          </w:tcPr>
          <w:p w14:paraId="5D9E2FD4" w14:textId="77777777" w:rsidR="00094A06" w:rsidRPr="00FF2426" w:rsidRDefault="00094A06" w:rsidP="00BC6645">
            <w:pPr>
              <w:keepLines/>
              <w:jc w:val="center"/>
            </w:pPr>
            <w:r w:rsidRPr="00FF2426">
              <w:rPr>
                <w:i/>
              </w:rPr>
              <w:sym w:font="Symbol" w:char="F061"/>
            </w:r>
            <w:r w:rsidRPr="00FF2426">
              <w:rPr>
                <w:i/>
                <w:vertAlign w:val="subscript"/>
              </w:rPr>
              <w:t>p</w:t>
            </w:r>
            <w:r w:rsidR="00936404">
              <w:rPr>
                <w:i/>
                <w:vertAlign w:val="subscript"/>
              </w:rPr>
              <w:t>0</w:t>
            </w:r>
          </w:p>
        </w:tc>
        <w:tc>
          <w:tcPr>
            <w:tcW w:w="1667" w:type="pct"/>
          </w:tcPr>
          <w:p w14:paraId="189DCDE1" w14:textId="77777777" w:rsidR="00094A06" w:rsidRPr="00FF2426" w:rsidRDefault="00094A06" w:rsidP="00BC6645">
            <w:pPr>
              <w:keepNext/>
              <w:jc w:val="center"/>
            </w:pPr>
            <w:r>
              <w:t>0,125</w:t>
            </w:r>
            <w:r w:rsidRPr="00FF2426">
              <w:t>*</w:t>
            </w:r>
          </w:p>
          <w:p w14:paraId="78EFFFDC" w14:textId="77777777" w:rsidR="00094A06" w:rsidRPr="00FF2426" w:rsidRDefault="00094A06" w:rsidP="00BC6645">
            <w:pPr>
              <w:keepNext/>
              <w:jc w:val="center"/>
            </w:pPr>
            <w:r>
              <w:t>(0,028</w:t>
            </w:r>
            <w:r w:rsidRPr="00FF2426">
              <w:t>)</w:t>
            </w:r>
          </w:p>
        </w:tc>
        <w:tc>
          <w:tcPr>
            <w:tcW w:w="1666" w:type="pct"/>
            <w:vAlign w:val="bottom"/>
          </w:tcPr>
          <w:p w14:paraId="2A3793EF" w14:textId="77777777" w:rsidR="00094A06" w:rsidRPr="00FF2426" w:rsidRDefault="00094A06" w:rsidP="00BC6645">
            <w:pPr>
              <w:jc w:val="center"/>
            </w:pPr>
            <w:r w:rsidRPr="00FF2426">
              <w:t>0,</w:t>
            </w:r>
            <w:r>
              <w:t>076</w:t>
            </w:r>
            <w:r w:rsidRPr="00FF2426">
              <w:t>*</w:t>
            </w:r>
          </w:p>
          <w:p w14:paraId="3132F8CA" w14:textId="77777777" w:rsidR="00094A06" w:rsidRPr="00FF2426" w:rsidRDefault="00094A06" w:rsidP="00BC6645">
            <w:pPr>
              <w:jc w:val="center"/>
            </w:pPr>
            <w:r w:rsidRPr="00FF2426">
              <w:t>(0,</w:t>
            </w:r>
            <w:r>
              <w:t>027</w:t>
            </w:r>
            <w:r w:rsidRPr="00FF2426">
              <w:t>)</w:t>
            </w:r>
          </w:p>
        </w:tc>
      </w:tr>
      <w:tr w:rsidR="00094A06" w:rsidRPr="00FF2426" w14:paraId="4A863DC5" w14:textId="77777777" w:rsidTr="00EF5A02">
        <w:tc>
          <w:tcPr>
            <w:tcW w:w="1667" w:type="pct"/>
          </w:tcPr>
          <w:p w14:paraId="277C99A7" w14:textId="77777777" w:rsidR="00094A06" w:rsidRPr="00FF2426" w:rsidRDefault="00094A06" w:rsidP="00BC6645">
            <w:pPr>
              <w:keepLines/>
              <w:jc w:val="center"/>
            </w:pPr>
            <w:r w:rsidRPr="00FF2426">
              <w:rPr>
                <w:i/>
              </w:rPr>
              <w:sym w:font="Symbol" w:char="F061"/>
            </w:r>
            <w:r w:rsidRPr="00FF2426">
              <w:rPr>
                <w:i/>
                <w:vertAlign w:val="subscript"/>
              </w:rPr>
              <w:t>c</w:t>
            </w:r>
            <w:r w:rsidR="00936404">
              <w:rPr>
                <w:i/>
                <w:vertAlign w:val="subscript"/>
              </w:rPr>
              <w:t>0</w:t>
            </w:r>
          </w:p>
        </w:tc>
        <w:tc>
          <w:tcPr>
            <w:tcW w:w="1667" w:type="pct"/>
          </w:tcPr>
          <w:p w14:paraId="721F6099" w14:textId="77777777" w:rsidR="00094A06" w:rsidRPr="00FF2426" w:rsidRDefault="00094A06" w:rsidP="00BC6645">
            <w:pPr>
              <w:keepNext/>
              <w:jc w:val="center"/>
            </w:pPr>
            <w:r>
              <w:t>0,159</w:t>
            </w:r>
            <w:r w:rsidRPr="00FF2426">
              <w:t>*</w:t>
            </w:r>
          </w:p>
          <w:p w14:paraId="38C9D1FB" w14:textId="77777777" w:rsidR="00094A06" w:rsidRPr="00FF2426" w:rsidRDefault="00094A06" w:rsidP="00BC6645">
            <w:pPr>
              <w:keepNext/>
              <w:jc w:val="center"/>
            </w:pPr>
            <w:r>
              <w:t>(0,026</w:t>
            </w:r>
            <w:r w:rsidRPr="00FF2426">
              <w:t>)</w:t>
            </w:r>
          </w:p>
        </w:tc>
        <w:tc>
          <w:tcPr>
            <w:tcW w:w="1666" w:type="pct"/>
            <w:vAlign w:val="bottom"/>
          </w:tcPr>
          <w:p w14:paraId="31896286" w14:textId="77777777" w:rsidR="00094A06" w:rsidRPr="00FF2426" w:rsidRDefault="00094A06" w:rsidP="00BC6645">
            <w:pPr>
              <w:jc w:val="center"/>
            </w:pPr>
            <w:r w:rsidRPr="00FF2426">
              <w:t>0,</w:t>
            </w:r>
            <w:r>
              <w:t>110</w:t>
            </w:r>
            <w:r w:rsidRPr="00FF2426">
              <w:t>*</w:t>
            </w:r>
          </w:p>
          <w:p w14:paraId="7E958E6F" w14:textId="77777777" w:rsidR="00094A06" w:rsidRPr="00FF2426" w:rsidRDefault="00094A06" w:rsidP="00BC6645">
            <w:pPr>
              <w:jc w:val="center"/>
            </w:pPr>
            <w:r w:rsidRPr="00FF2426">
              <w:t>(0,</w:t>
            </w:r>
            <w:r>
              <w:t>018</w:t>
            </w:r>
            <w:r w:rsidRPr="00FF2426">
              <w:t>)</w:t>
            </w:r>
          </w:p>
        </w:tc>
      </w:tr>
      <w:tr w:rsidR="00094A06" w:rsidRPr="00FF2426" w14:paraId="63120B25" w14:textId="77777777" w:rsidTr="00EF5A02">
        <w:tc>
          <w:tcPr>
            <w:tcW w:w="1667" w:type="pct"/>
          </w:tcPr>
          <w:p w14:paraId="1AFC9BBD" w14:textId="77777777" w:rsidR="00094A06" w:rsidRPr="00FF2426" w:rsidRDefault="00094A06" w:rsidP="00BC6645">
            <w:pPr>
              <w:keepLines/>
              <w:jc w:val="center"/>
              <w:rPr>
                <w:b/>
              </w:rPr>
            </w:pPr>
            <w:r w:rsidRPr="00FF2426">
              <w:rPr>
                <w:rFonts w:ascii="Symbol" w:hAnsi="Symbol"/>
                <w:i/>
              </w:rPr>
              <w:t></w:t>
            </w:r>
            <w:proofErr w:type="spellStart"/>
            <w:r w:rsidRPr="00FF2426">
              <w:rPr>
                <w:vertAlign w:val="subscript"/>
              </w:rPr>
              <w:t>bb</w:t>
            </w:r>
            <w:proofErr w:type="spellEnd"/>
          </w:p>
        </w:tc>
        <w:tc>
          <w:tcPr>
            <w:tcW w:w="1667" w:type="pct"/>
            <w:vAlign w:val="bottom"/>
          </w:tcPr>
          <w:p w14:paraId="67EF6E16" w14:textId="77777777" w:rsidR="00094A06" w:rsidRPr="00FF2426" w:rsidRDefault="00094A06" w:rsidP="00BC6645">
            <w:pPr>
              <w:jc w:val="center"/>
            </w:pPr>
            <w:r w:rsidRPr="00FF2426">
              <w:t>0,</w:t>
            </w:r>
            <w:r>
              <w:t>019</w:t>
            </w:r>
            <w:r w:rsidRPr="00FF2426">
              <w:t>*</w:t>
            </w:r>
          </w:p>
          <w:p w14:paraId="675F2652" w14:textId="77777777" w:rsidR="00094A06" w:rsidRPr="00FF2426" w:rsidRDefault="00094A06" w:rsidP="00BC6645">
            <w:pPr>
              <w:jc w:val="center"/>
            </w:pPr>
            <w:r w:rsidRPr="00FF2426">
              <w:t>(0,002)</w:t>
            </w:r>
          </w:p>
        </w:tc>
        <w:tc>
          <w:tcPr>
            <w:tcW w:w="1666" w:type="pct"/>
            <w:vAlign w:val="bottom"/>
          </w:tcPr>
          <w:p w14:paraId="484DF9F2" w14:textId="77777777" w:rsidR="00094A06" w:rsidRPr="00FF2426" w:rsidRDefault="00094A06" w:rsidP="00BC6645">
            <w:pPr>
              <w:jc w:val="center"/>
            </w:pPr>
            <w:r w:rsidRPr="00FF2426">
              <w:t>0,</w:t>
            </w:r>
            <w:r>
              <w:t>015</w:t>
            </w:r>
            <w:r w:rsidRPr="00FF2426">
              <w:t>*</w:t>
            </w:r>
          </w:p>
          <w:p w14:paraId="727A90CD" w14:textId="77777777" w:rsidR="00094A06" w:rsidRPr="00FF2426" w:rsidRDefault="00094A06" w:rsidP="00BC6645">
            <w:pPr>
              <w:jc w:val="center"/>
            </w:pPr>
            <w:r w:rsidRPr="00FF2426">
              <w:t>(0,002)</w:t>
            </w:r>
          </w:p>
        </w:tc>
      </w:tr>
      <w:tr w:rsidR="00094A06" w:rsidRPr="00FF2426" w14:paraId="3CE9726C" w14:textId="77777777" w:rsidTr="00EF5A02">
        <w:tc>
          <w:tcPr>
            <w:tcW w:w="1667" w:type="pct"/>
          </w:tcPr>
          <w:p w14:paraId="46428240" w14:textId="77777777" w:rsidR="00094A06" w:rsidRPr="00FF2426" w:rsidRDefault="00094A06" w:rsidP="00BC6645">
            <w:pPr>
              <w:keepLines/>
              <w:jc w:val="center"/>
            </w:pPr>
            <w:r w:rsidRPr="00FF2426">
              <w:rPr>
                <w:rFonts w:ascii="Symbol" w:hAnsi="Symbol"/>
                <w:i/>
              </w:rPr>
              <w:t></w:t>
            </w:r>
            <w:proofErr w:type="spellStart"/>
            <w:r w:rsidRPr="00FF2426">
              <w:rPr>
                <w:vertAlign w:val="subscript"/>
              </w:rPr>
              <w:t>bp</w:t>
            </w:r>
            <w:proofErr w:type="spellEnd"/>
          </w:p>
        </w:tc>
        <w:tc>
          <w:tcPr>
            <w:tcW w:w="1667" w:type="pct"/>
            <w:vAlign w:val="bottom"/>
          </w:tcPr>
          <w:p w14:paraId="008BBC1A" w14:textId="77777777" w:rsidR="00094A06" w:rsidRPr="00FF2426" w:rsidRDefault="00094A06" w:rsidP="00BC6645">
            <w:pPr>
              <w:jc w:val="center"/>
            </w:pPr>
            <w:r w:rsidRPr="00FF2426">
              <w:t>-0,</w:t>
            </w:r>
            <w:r>
              <w:t>008</w:t>
            </w:r>
            <w:r w:rsidRPr="00FF2426">
              <w:t>*</w:t>
            </w:r>
          </w:p>
          <w:p w14:paraId="0BBBE5AD" w14:textId="77777777" w:rsidR="00094A06" w:rsidRPr="00FF2426" w:rsidRDefault="00094A06" w:rsidP="00BC6645">
            <w:pPr>
              <w:jc w:val="center"/>
            </w:pPr>
            <w:r w:rsidRPr="00FF2426">
              <w:t>(0,001)</w:t>
            </w:r>
          </w:p>
        </w:tc>
        <w:tc>
          <w:tcPr>
            <w:tcW w:w="1666" w:type="pct"/>
            <w:vAlign w:val="bottom"/>
          </w:tcPr>
          <w:p w14:paraId="4266C21D" w14:textId="77777777" w:rsidR="00094A06" w:rsidRPr="00FF2426" w:rsidRDefault="00094A06" w:rsidP="00BC6645">
            <w:pPr>
              <w:jc w:val="center"/>
            </w:pPr>
            <w:r w:rsidRPr="00FF2426">
              <w:t>-0,</w:t>
            </w:r>
            <w:r>
              <w:t>008</w:t>
            </w:r>
            <w:r w:rsidRPr="00FF2426">
              <w:t>*</w:t>
            </w:r>
          </w:p>
          <w:p w14:paraId="7B31B493" w14:textId="77777777" w:rsidR="00094A06" w:rsidRPr="00FF2426" w:rsidRDefault="00094A06" w:rsidP="00BC6645">
            <w:pPr>
              <w:jc w:val="center"/>
            </w:pPr>
            <w:r w:rsidRPr="00FF2426">
              <w:t>(0,001)</w:t>
            </w:r>
          </w:p>
        </w:tc>
      </w:tr>
      <w:tr w:rsidR="00094A06" w:rsidRPr="00FF2426" w14:paraId="04E83580" w14:textId="77777777" w:rsidTr="00EF5A02">
        <w:tc>
          <w:tcPr>
            <w:tcW w:w="1667" w:type="pct"/>
          </w:tcPr>
          <w:p w14:paraId="62D77F5C" w14:textId="77777777" w:rsidR="00094A06" w:rsidRPr="00FF2426" w:rsidRDefault="00094A06" w:rsidP="00BC6645">
            <w:pPr>
              <w:keepLines/>
              <w:jc w:val="center"/>
              <w:rPr>
                <w:b/>
              </w:rPr>
            </w:pPr>
            <w:r w:rsidRPr="00FF2426">
              <w:rPr>
                <w:rFonts w:ascii="Symbol" w:hAnsi="Symbol"/>
                <w:i/>
              </w:rPr>
              <w:t></w:t>
            </w:r>
            <w:proofErr w:type="spellStart"/>
            <w:r w:rsidRPr="00FF2426">
              <w:rPr>
                <w:vertAlign w:val="subscript"/>
              </w:rPr>
              <w:t>bc</w:t>
            </w:r>
            <w:proofErr w:type="spellEnd"/>
          </w:p>
        </w:tc>
        <w:tc>
          <w:tcPr>
            <w:tcW w:w="1667" w:type="pct"/>
            <w:vAlign w:val="bottom"/>
          </w:tcPr>
          <w:p w14:paraId="003DDC5E" w14:textId="77777777" w:rsidR="00094A06" w:rsidRPr="00FF2426" w:rsidRDefault="00094A06" w:rsidP="00BC6645">
            <w:pPr>
              <w:jc w:val="center"/>
            </w:pPr>
            <w:r w:rsidRPr="00FF2426">
              <w:t>-0,004*</w:t>
            </w:r>
          </w:p>
          <w:p w14:paraId="603BC3DC" w14:textId="77777777" w:rsidR="00094A06" w:rsidRPr="00FF2426" w:rsidRDefault="00094A06" w:rsidP="00BC6645">
            <w:pPr>
              <w:jc w:val="center"/>
            </w:pPr>
            <w:r w:rsidRPr="00FF2426">
              <w:t>(0,001)</w:t>
            </w:r>
          </w:p>
        </w:tc>
        <w:tc>
          <w:tcPr>
            <w:tcW w:w="1666" w:type="pct"/>
            <w:vAlign w:val="bottom"/>
          </w:tcPr>
          <w:p w14:paraId="6FD5B439" w14:textId="77777777" w:rsidR="00094A06" w:rsidRPr="00FF2426" w:rsidRDefault="00094A06" w:rsidP="00BC6645">
            <w:pPr>
              <w:jc w:val="center"/>
            </w:pPr>
            <w:r w:rsidRPr="00FF2426">
              <w:t>-0,004*</w:t>
            </w:r>
          </w:p>
          <w:p w14:paraId="746FED1C" w14:textId="77777777" w:rsidR="00094A06" w:rsidRPr="00FF2426" w:rsidRDefault="00094A06" w:rsidP="00BC6645">
            <w:pPr>
              <w:jc w:val="center"/>
            </w:pPr>
            <w:r w:rsidRPr="00FF2426">
              <w:t>(0,001)</w:t>
            </w:r>
          </w:p>
        </w:tc>
      </w:tr>
      <w:tr w:rsidR="00094A06" w:rsidRPr="00FF2426" w14:paraId="715B7A6C" w14:textId="77777777" w:rsidTr="00EF5A02">
        <w:tc>
          <w:tcPr>
            <w:tcW w:w="1667" w:type="pct"/>
          </w:tcPr>
          <w:p w14:paraId="5B591962" w14:textId="77777777" w:rsidR="00094A06" w:rsidRPr="00FF2426" w:rsidRDefault="00094A06" w:rsidP="00BC6645">
            <w:pPr>
              <w:keepLines/>
              <w:jc w:val="center"/>
            </w:pPr>
            <w:r w:rsidRPr="00FF2426">
              <w:rPr>
                <w:rFonts w:ascii="Symbol" w:hAnsi="Symbol"/>
                <w:i/>
              </w:rPr>
              <w:t></w:t>
            </w:r>
            <w:r w:rsidRPr="00FF2426">
              <w:rPr>
                <w:vertAlign w:val="subscript"/>
              </w:rPr>
              <w:t>pp</w:t>
            </w:r>
          </w:p>
        </w:tc>
        <w:tc>
          <w:tcPr>
            <w:tcW w:w="1667" w:type="pct"/>
            <w:vAlign w:val="bottom"/>
          </w:tcPr>
          <w:p w14:paraId="042FB30D" w14:textId="77777777" w:rsidR="00094A06" w:rsidRPr="00FF2426" w:rsidRDefault="00094A06" w:rsidP="00BC6645">
            <w:pPr>
              <w:jc w:val="center"/>
            </w:pPr>
            <w:r w:rsidRPr="00FF2426">
              <w:t>0,010*</w:t>
            </w:r>
          </w:p>
          <w:p w14:paraId="34F4A329" w14:textId="77777777" w:rsidR="00094A06" w:rsidRPr="00FF2426" w:rsidRDefault="00094A06" w:rsidP="00BC6645">
            <w:pPr>
              <w:jc w:val="center"/>
            </w:pPr>
            <w:r w:rsidRPr="00FF2426">
              <w:t>(0,001)</w:t>
            </w:r>
          </w:p>
        </w:tc>
        <w:tc>
          <w:tcPr>
            <w:tcW w:w="1666" w:type="pct"/>
            <w:vAlign w:val="bottom"/>
          </w:tcPr>
          <w:p w14:paraId="28242088" w14:textId="77777777" w:rsidR="00094A06" w:rsidRPr="00FF2426" w:rsidRDefault="00094A06" w:rsidP="00BC6645">
            <w:pPr>
              <w:jc w:val="center"/>
            </w:pPr>
            <w:r w:rsidRPr="00FF2426">
              <w:t>0,</w:t>
            </w:r>
            <w:r>
              <w:t>010</w:t>
            </w:r>
            <w:r w:rsidRPr="00FF2426">
              <w:t>*</w:t>
            </w:r>
          </w:p>
          <w:p w14:paraId="0D00C392" w14:textId="77777777" w:rsidR="00094A06" w:rsidRPr="00FF2426" w:rsidRDefault="00094A06" w:rsidP="00BC6645">
            <w:pPr>
              <w:jc w:val="center"/>
            </w:pPr>
            <w:r w:rsidRPr="00FF2426">
              <w:t>(0,001)</w:t>
            </w:r>
          </w:p>
        </w:tc>
      </w:tr>
      <w:tr w:rsidR="00094A06" w:rsidRPr="00FF2426" w14:paraId="4471FE3E" w14:textId="77777777" w:rsidTr="00EF5A02">
        <w:tc>
          <w:tcPr>
            <w:tcW w:w="1667" w:type="pct"/>
          </w:tcPr>
          <w:p w14:paraId="5D747EE3" w14:textId="77777777" w:rsidR="00094A06" w:rsidRPr="00FF2426" w:rsidRDefault="00094A06" w:rsidP="00BC6645">
            <w:pPr>
              <w:keepLines/>
              <w:jc w:val="center"/>
            </w:pPr>
            <w:r w:rsidRPr="00FF2426">
              <w:rPr>
                <w:rFonts w:ascii="Symbol" w:hAnsi="Symbol"/>
                <w:i/>
              </w:rPr>
              <w:t></w:t>
            </w:r>
            <w:proofErr w:type="spellStart"/>
            <w:r w:rsidRPr="00FF2426">
              <w:rPr>
                <w:vertAlign w:val="subscript"/>
              </w:rPr>
              <w:t>pc</w:t>
            </w:r>
            <w:proofErr w:type="spellEnd"/>
          </w:p>
        </w:tc>
        <w:tc>
          <w:tcPr>
            <w:tcW w:w="1667" w:type="pct"/>
            <w:vAlign w:val="bottom"/>
          </w:tcPr>
          <w:p w14:paraId="5934BBD5" w14:textId="77777777" w:rsidR="00094A06" w:rsidRPr="00FF2426" w:rsidRDefault="00094A06" w:rsidP="00BC6645">
            <w:pPr>
              <w:jc w:val="center"/>
            </w:pPr>
            <w:r w:rsidRPr="00FF2426">
              <w:t>-</w:t>
            </w:r>
            <w:r>
              <w:t>3,78</w:t>
            </w:r>
            <w:r>
              <w:sym w:font="Symbol" w:char="F0B4"/>
            </w:r>
            <w:r>
              <w:t>10</w:t>
            </w:r>
            <w:r w:rsidRPr="005B67B9">
              <w:rPr>
                <w:vertAlign w:val="superscript"/>
              </w:rPr>
              <w:t>-4</w:t>
            </w:r>
          </w:p>
          <w:p w14:paraId="5716AD66" w14:textId="77777777" w:rsidR="00094A06" w:rsidRPr="00FF2426" w:rsidRDefault="00094A06" w:rsidP="00BC6645">
            <w:pPr>
              <w:jc w:val="center"/>
            </w:pPr>
            <w:r w:rsidRPr="00FF2426">
              <w:t>(0,00</w:t>
            </w:r>
            <w:r>
              <w:t>09</w:t>
            </w:r>
            <w:r w:rsidRPr="00FF2426">
              <w:t>)</w:t>
            </w:r>
          </w:p>
        </w:tc>
        <w:tc>
          <w:tcPr>
            <w:tcW w:w="1666" w:type="pct"/>
            <w:vAlign w:val="bottom"/>
          </w:tcPr>
          <w:p w14:paraId="1C0705C9" w14:textId="77777777" w:rsidR="00094A06" w:rsidRPr="00FF2426" w:rsidRDefault="00094A06" w:rsidP="00BC6645">
            <w:pPr>
              <w:jc w:val="center"/>
            </w:pPr>
            <w:r w:rsidRPr="00FF2426">
              <w:t>-0,001</w:t>
            </w:r>
          </w:p>
          <w:p w14:paraId="5475C0CB" w14:textId="77777777" w:rsidR="00094A06" w:rsidRPr="00FF2426" w:rsidRDefault="00094A06" w:rsidP="00BC6645">
            <w:pPr>
              <w:jc w:val="center"/>
            </w:pPr>
            <w:r w:rsidRPr="00FF2426">
              <w:t>(0,001)</w:t>
            </w:r>
          </w:p>
        </w:tc>
      </w:tr>
      <w:tr w:rsidR="00094A06" w:rsidRPr="00FF2426" w14:paraId="507BE4C2" w14:textId="77777777" w:rsidTr="00EF5A02">
        <w:tc>
          <w:tcPr>
            <w:tcW w:w="1667" w:type="pct"/>
          </w:tcPr>
          <w:p w14:paraId="643369D6" w14:textId="77777777" w:rsidR="00094A06" w:rsidRPr="00FF2426" w:rsidRDefault="00094A06" w:rsidP="00BC6645">
            <w:pPr>
              <w:keepLines/>
              <w:jc w:val="center"/>
            </w:pPr>
            <w:r w:rsidRPr="00FF2426">
              <w:rPr>
                <w:rFonts w:ascii="Symbol" w:hAnsi="Symbol"/>
                <w:i/>
              </w:rPr>
              <w:t></w:t>
            </w:r>
            <w:r w:rsidRPr="00FF2426">
              <w:rPr>
                <w:vertAlign w:val="subscript"/>
              </w:rPr>
              <w:t>cc</w:t>
            </w:r>
          </w:p>
        </w:tc>
        <w:tc>
          <w:tcPr>
            <w:tcW w:w="1667" w:type="pct"/>
            <w:vAlign w:val="bottom"/>
          </w:tcPr>
          <w:p w14:paraId="2370245D" w14:textId="77777777" w:rsidR="00094A06" w:rsidRPr="00FF2426" w:rsidRDefault="00094A06" w:rsidP="00BC6645">
            <w:pPr>
              <w:jc w:val="center"/>
            </w:pPr>
            <w:r w:rsidRPr="00FF2426">
              <w:t>0,006*</w:t>
            </w:r>
          </w:p>
          <w:p w14:paraId="202FD3A9" w14:textId="77777777" w:rsidR="00094A06" w:rsidRPr="00FF2426" w:rsidRDefault="00094A06" w:rsidP="00BC6645">
            <w:pPr>
              <w:jc w:val="center"/>
            </w:pPr>
            <w:r w:rsidRPr="00FF2426">
              <w:t>(0,001)</w:t>
            </w:r>
          </w:p>
        </w:tc>
        <w:tc>
          <w:tcPr>
            <w:tcW w:w="1666" w:type="pct"/>
            <w:vAlign w:val="bottom"/>
          </w:tcPr>
          <w:p w14:paraId="65D7C5FF" w14:textId="77777777" w:rsidR="00094A06" w:rsidRPr="00FF2426" w:rsidRDefault="00094A06" w:rsidP="00BC6645">
            <w:pPr>
              <w:jc w:val="center"/>
            </w:pPr>
            <w:r w:rsidRPr="00FF2426">
              <w:t>0,006*</w:t>
            </w:r>
          </w:p>
          <w:p w14:paraId="21D3AC0B" w14:textId="77777777" w:rsidR="00094A06" w:rsidRPr="00FF2426" w:rsidRDefault="00094A06" w:rsidP="00BC6645">
            <w:pPr>
              <w:jc w:val="center"/>
            </w:pPr>
            <w:r w:rsidRPr="00FF2426">
              <w:t>(0,001)</w:t>
            </w:r>
          </w:p>
        </w:tc>
      </w:tr>
      <w:tr w:rsidR="00094A06" w:rsidRPr="00FF2426" w14:paraId="0DC35093" w14:textId="77777777" w:rsidTr="00EF5A02">
        <w:tc>
          <w:tcPr>
            <w:tcW w:w="1667" w:type="pct"/>
          </w:tcPr>
          <w:p w14:paraId="3C03BA3F" w14:textId="77777777" w:rsidR="00094A06" w:rsidRPr="00FF2426" w:rsidRDefault="00094A06" w:rsidP="00BC6645">
            <w:pPr>
              <w:keepLines/>
              <w:jc w:val="center"/>
            </w:pPr>
            <w:r w:rsidRPr="00FF2426">
              <w:rPr>
                <w:rFonts w:ascii="Symbol" w:hAnsi="Symbol"/>
                <w:i/>
              </w:rPr>
              <w:t></w:t>
            </w:r>
            <w:r w:rsidRPr="00FF2426">
              <w:rPr>
                <w:vertAlign w:val="subscript"/>
              </w:rPr>
              <w:t>b</w:t>
            </w:r>
          </w:p>
        </w:tc>
        <w:tc>
          <w:tcPr>
            <w:tcW w:w="1667" w:type="pct"/>
            <w:vAlign w:val="bottom"/>
          </w:tcPr>
          <w:p w14:paraId="760CDF92" w14:textId="77777777" w:rsidR="00094A06" w:rsidRPr="00FF2426" w:rsidRDefault="00094A06" w:rsidP="00BC6645">
            <w:pPr>
              <w:jc w:val="center"/>
            </w:pPr>
            <w:r w:rsidRPr="00FF2426">
              <w:t>-0,</w:t>
            </w:r>
            <w:r>
              <w:t>037</w:t>
            </w:r>
            <w:r w:rsidRPr="00FF2426">
              <w:t>*</w:t>
            </w:r>
          </w:p>
          <w:p w14:paraId="66E9D853" w14:textId="77777777" w:rsidR="00094A06" w:rsidRPr="00FF2426" w:rsidRDefault="00094A06" w:rsidP="00BC6645">
            <w:pPr>
              <w:jc w:val="center"/>
            </w:pPr>
            <w:r w:rsidRPr="00FF2426">
              <w:t>(0,</w:t>
            </w:r>
            <w:r>
              <w:t>005</w:t>
            </w:r>
            <w:r w:rsidRPr="00FF2426">
              <w:t>)</w:t>
            </w:r>
          </w:p>
        </w:tc>
        <w:tc>
          <w:tcPr>
            <w:tcW w:w="1666" w:type="pct"/>
            <w:vAlign w:val="bottom"/>
          </w:tcPr>
          <w:p w14:paraId="341CE4C2" w14:textId="77777777" w:rsidR="00094A06" w:rsidRPr="00FF2426" w:rsidRDefault="00094A06" w:rsidP="00BC6645">
            <w:pPr>
              <w:jc w:val="center"/>
            </w:pPr>
            <w:r w:rsidRPr="00FF2426">
              <w:t>-0,</w:t>
            </w:r>
            <w:r>
              <w:t>035</w:t>
            </w:r>
            <w:r w:rsidRPr="00FF2426">
              <w:t>*</w:t>
            </w:r>
          </w:p>
          <w:p w14:paraId="5380C2F0" w14:textId="77777777" w:rsidR="00094A06" w:rsidRPr="00FF2426" w:rsidRDefault="00094A06" w:rsidP="00BC6645">
            <w:pPr>
              <w:jc w:val="center"/>
            </w:pPr>
            <w:r w:rsidRPr="00FF2426">
              <w:t>(0,</w:t>
            </w:r>
            <w:r>
              <w:t>007</w:t>
            </w:r>
            <w:r w:rsidRPr="00FF2426">
              <w:t>)</w:t>
            </w:r>
          </w:p>
        </w:tc>
      </w:tr>
      <w:tr w:rsidR="00094A06" w:rsidRPr="00FF2426" w14:paraId="537D975C" w14:textId="77777777" w:rsidTr="00EF5A02">
        <w:tc>
          <w:tcPr>
            <w:tcW w:w="1667" w:type="pct"/>
          </w:tcPr>
          <w:p w14:paraId="18F6D3A6" w14:textId="77777777" w:rsidR="00094A06" w:rsidRPr="00FF2426" w:rsidRDefault="00094A06" w:rsidP="00BC6645">
            <w:pPr>
              <w:keepLines/>
              <w:jc w:val="center"/>
            </w:pPr>
            <w:r w:rsidRPr="00FF2426">
              <w:rPr>
                <w:rFonts w:ascii="Symbol" w:hAnsi="Symbol"/>
                <w:i/>
              </w:rPr>
              <w:t></w:t>
            </w:r>
            <w:r w:rsidRPr="00FF2426">
              <w:rPr>
                <w:vertAlign w:val="subscript"/>
              </w:rPr>
              <w:t>p</w:t>
            </w:r>
          </w:p>
        </w:tc>
        <w:tc>
          <w:tcPr>
            <w:tcW w:w="1667" w:type="pct"/>
            <w:vAlign w:val="bottom"/>
          </w:tcPr>
          <w:p w14:paraId="50223C47" w14:textId="77777777" w:rsidR="00094A06" w:rsidRPr="00FF2426" w:rsidRDefault="00094A06" w:rsidP="00BC6645">
            <w:pPr>
              <w:jc w:val="center"/>
            </w:pPr>
            <w:r w:rsidRPr="00FF2426">
              <w:t>-0,</w:t>
            </w:r>
            <w:r>
              <w:t>015</w:t>
            </w:r>
          </w:p>
          <w:p w14:paraId="4C6F59BE" w14:textId="77777777" w:rsidR="00094A06" w:rsidRPr="00FF2426" w:rsidRDefault="00094A06" w:rsidP="00BC6645">
            <w:pPr>
              <w:jc w:val="center"/>
            </w:pPr>
            <w:r w:rsidRPr="00FF2426">
              <w:t>(0,001)</w:t>
            </w:r>
          </w:p>
        </w:tc>
        <w:tc>
          <w:tcPr>
            <w:tcW w:w="1666" w:type="pct"/>
            <w:vAlign w:val="bottom"/>
          </w:tcPr>
          <w:p w14:paraId="66D2A1B7" w14:textId="77777777" w:rsidR="00094A06" w:rsidRPr="00FF2426" w:rsidRDefault="00094A06" w:rsidP="00BC6645">
            <w:pPr>
              <w:jc w:val="center"/>
            </w:pPr>
            <w:r w:rsidRPr="00FF2426">
              <w:t>-0,</w:t>
            </w:r>
            <w:r>
              <w:t>016</w:t>
            </w:r>
            <w:r w:rsidRPr="00FF2426">
              <w:t>*</w:t>
            </w:r>
          </w:p>
          <w:p w14:paraId="3992E590" w14:textId="77777777" w:rsidR="00094A06" w:rsidRPr="00FF2426" w:rsidRDefault="00094A06" w:rsidP="00BC6645">
            <w:pPr>
              <w:jc w:val="center"/>
            </w:pPr>
            <w:r w:rsidRPr="00FF2426">
              <w:t>(0,001)</w:t>
            </w:r>
          </w:p>
        </w:tc>
      </w:tr>
      <w:tr w:rsidR="00094A06" w:rsidRPr="00FF2426" w14:paraId="273C32FE" w14:textId="77777777" w:rsidTr="00EF5A02">
        <w:tc>
          <w:tcPr>
            <w:tcW w:w="1667" w:type="pct"/>
          </w:tcPr>
          <w:p w14:paraId="14247A4B" w14:textId="77777777" w:rsidR="00094A06" w:rsidRPr="00FF2426" w:rsidRDefault="00094A06" w:rsidP="00BC6645">
            <w:pPr>
              <w:keepLines/>
              <w:jc w:val="center"/>
            </w:pPr>
            <w:r w:rsidRPr="00FF2426">
              <w:rPr>
                <w:rFonts w:ascii="Symbol" w:hAnsi="Symbol"/>
                <w:i/>
              </w:rPr>
              <w:t></w:t>
            </w:r>
            <w:r w:rsidRPr="00FF2426">
              <w:rPr>
                <w:vertAlign w:val="subscript"/>
              </w:rPr>
              <w:t>c</w:t>
            </w:r>
          </w:p>
        </w:tc>
        <w:tc>
          <w:tcPr>
            <w:tcW w:w="1667" w:type="pct"/>
            <w:vAlign w:val="bottom"/>
          </w:tcPr>
          <w:p w14:paraId="567448DD" w14:textId="77777777" w:rsidR="00094A06" w:rsidRPr="00FF2426" w:rsidRDefault="00094A06" w:rsidP="00BC6645">
            <w:pPr>
              <w:jc w:val="center"/>
            </w:pPr>
            <w:r w:rsidRPr="00FF2426">
              <w:t>-0,010</w:t>
            </w:r>
          </w:p>
          <w:p w14:paraId="461C3A46" w14:textId="77777777" w:rsidR="00094A06" w:rsidRPr="00FF2426" w:rsidRDefault="00094A06" w:rsidP="00BC6645">
            <w:pPr>
              <w:jc w:val="center"/>
            </w:pPr>
            <w:r w:rsidRPr="00FF2426">
              <w:t>(0,001)</w:t>
            </w:r>
          </w:p>
        </w:tc>
        <w:tc>
          <w:tcPr>
            <w:tcW w:w="1666" w:type="pct"/>
            <w:vAlign w:val="bottom"/>
          </w:tcPr>
          <w:p w14:paraId="43F4702A" w14:textId="77777777" w:rsidR="00094A06" w:rsidRPr="00FF2426" w:rsidRDefault="00094A06" w:rsidP="00BC6645">
            <w:pPr>
              <w:jc w:val="center"/>
            </w:pPr>
            <w:r w:rsidRPr="00FF2426">
              <w:t>-0,008*</w:t>
            </w:r>
          </w:p>
          <w:p w14:paraId="137FC1D8" w14:textId="77777777" w:rsidR="00094A06" w:rsidRPr="00FF2426" w:rsidRDefault="00094A06" w:rsidP="00BC6645">
            <w:pPr>
              <w:jc w:val="center"/>
            </w:pPr>
            <w:r w:rsidRPr="00FF2426">
              <w:t>(0,001)</w:t>
            </w:r>
          </w:p>
        </w:tc>
      </w:tr>
      <w:tr w:rsidR="00094A06" w:rsidRPr="00FF2426" w14:paraId="18F2C639" w14:textId="77777777" w:rsidTr="00EF5A02">
        <w:tc>
          <w:tcPr>
            <w:tcW w:w="1667" w:type="pct"/>
          </w:tcPr>
          <w:p w14:paraId="4B7D049A" w14:textId="77777777" w:rsidR="00094A06" w:rsidRPr="00FF2426" w:rsidRDefault="00094A06" w:rsidP="00BC6645">
            <w:pPr>
              <w:keepLines/>
              <w:jc w:val="center"/>
            </w:pPr>
            <w:r w:rsidRPr="00FF2426">
              <w:rPr>
                <w:rFonts w:ascii="Symbol" w:hAnsi="Symbol"/>
                <w:i/>
              </w:rPr>
              <w:t></w:t>
            </w:r>
            <w:r w:rsidRPr="00FF2426">
              <w:rPr>
                <w:vertAlign w:val="subscript"/>
              </w:rPr>
              <w:t>b</w:t>
            </w:r>
          </w:p>
        </w:tc>
        <w:tc>
          <w:tcPr>
            <w:tcW w:w="1667" w:type="pct"/>
            <w:vAlign w:val="bottom"/>
          </w:tcPr>
          <w:p w14:paraId="162668FB" w14:textId="77777777" w:rsidR="00094A06" w:rsidRPr="00FF2426" w:rsidRDefault="00094A06" w:rsidP="00BC6645">
            <w:pPr>
              <w:jc w:val="center"/>
            </w:pPr>
            <w:r>
              <w:t>6,96</w:t>
            </w:r>
            <w:r>
              <w:sym w:font="Symbol" w:char="F0B4"/>
            </w:r>
            <w:r>
              <w:t>10</w:t>
            </w:r>
            <w:r w:rsidRPr="005B67B9">
              <w:rPr>
                <w:vertAlign w:val="superscript"/>
              </w:rPr>
              <w:t>-4</w:t>
            </w:r>
            <w:r w:rsidRPr="00FF2426">
              <w:t>*</w:t>
            </w:r>
          </w:p>
          <w:p w14:paraId="5A962146" w14:textId="77777777" w:rsidR="00094A06" w:rsidRPr="00FF2426" w:rsidRDefault="00094A06" w:rsidP="00BC6645">
            <w:pPr>
              <w:jc w:val="center"/>
            </w:pPr>
            <w:r w:rsidRPr="00FF2426">
              <w:t>(0,000</w:t>
            </w:r>
            <w:r>
              <w:t>1</w:t>
            </w:r>
            <w:r w:rsidRPr="00FF2426">
              <w:t>)</w:t>
            </w:r>
          </w:p>
        </w:tc>
        <w:tc>
          <w:tcPr>
            <w:tcW w:w="1666" w:type="pct"/>
            <w:vAlign w:val="bottom"/>
          </w:tcPr>
          <w:p w14:paraId="4C876E32" w14:textId="77777777" w:rsidR="00094A06" w:rsidRPr="00FF2426" w:rsidRDefault="00094A06" w:rsidP="00BC6645">
            <w:pPr>
              <w:jc w:val="center"/>
            </w:pPr>
            <w:r w:rsidRPr="00FF2426">
              <w:t>-0,001</w:t>
            </w:r>
          </w:p>
          <w:p w14:paraId="029B3FFF" w14:textId="77777777" w:rsidR="00094A06" w:rsidRPr="00FF2426" w:rsidRDefault="00094A06" w:rsidP="00BC6645">
            <w:pPr>
              <w:jc w:val="center"/>
            </w:pPr>
            <w:r w:rsidRPr="00FF2426">
              <w:t>(0,001)</w:t>
            </w:r>
          </w:p>
        </w:tc>
      </w:tr>
      <w:tr w:rsidR="00094A06" w:rsidRPr="00FF2426" w14:paraId="45AED839" w14:textId="77777777" w:rsidTr="00EF5A02">
        <w:tc>
          <w:tcPr>
            <w:tcW w:w="1667" w:type="pct"/>
          </w:tcPr>
          <w:p w14:paraId="34AB2F1C" w14:textId="77777777" w:rsidR="00094A06" w:rsidRPr="00FF2426" w:rsidRDefault="00094A06" w:rsidP="00BC6645">
            <w:pPr>
              <w:keepLines/>
              <w:jc w:val="center"/>
            </w:pPr>
            <w:r w:rsidRPr="00FF2426">
              <w:rPr>
                <w:rFonts w:ascii="Symbol" w:hAnsi="Symbol"/>
                <w:i/>
              </w:rPr>
              <w:t></w:t>
            </w:r>
            <w:r w:rsidRPr="00FF2426">
              <w:rPr>
                <w:vertAlign w:val="subscript"/>
              </w:rPr>
              <w:t>p</w:t>
            </w:r>
          </w:p>
        </w:tc>
        <w:tc>
          <w:tcPr>
            <w:tcW w:w="1667" w:type="pct"/>
            <w:vAlign w:val="bottom"/>
          </w:tcPr>
          <w:p w14:paraId="263B0AB5" w14:textId="77777777" w:rsidR="00094A06" w:rsidRPr="00FF2426" w:rsidRDefault="00094A06" w:rsidP="00BC6645">
            <w:pPr>
              <w:jc w:val="center"/>
            </w:pPr>
            <w:r>
              <w:t>2,61</w:t>
            </w:r>
            <w:r>
              <w:sym w:font="Symbol" w:char="F0B4"/>
            </w:r>
            <w:r>
              <w:t>10</w:t>
            </w:r>
            <w:r w:rsidRPr="005B67B9">
              <w:rPr>
                <w:vertAlign w:val="superscript"/>
              </w:rPr>
              <w:t>-4</w:t>
            </w:r>
            <w:r w:rsidRPr="00EC01A7">
              <w:t>*</w:t>
            </w:r>
          </w:p>
          <w:p w14:paraId="42168ACF" w14:textId="77777777" w:rsidR="00094A06" w:rsidRPr="00FF2426" w:rsidRDefault="00094A06" w:rsidP="00BC6645">
            <w:pPr>
              <w:jc w:val="center"/>
            </w:pPr>
            <w:r>
              <w:t>(3</w:t>
            </w:r>
            <w:r w:rsidRPr="00FF2426">
              <w:t>,</w:t>
            </w:r>
            <w:r>
              <w:t>88</w:t>
            </w:r>
            <w:r>
              <w:sym w:font="Symbol" w:char="F0B4"/>
            </w:r>
            <w:r>
              <w:t>10</w:t>
            </w:r>
            <w:r w:rsidRPr="005B67B9">
              <w:rPr>
                <w:vertAlign w:val="superscript"/>
              </w:rPr>
              <w:t>-</w:t>
            </w:r>
            <w:r>
              <w:rPr>
                <w:vertAlign w:val="superscript"/>
              </w:rPr>
              <w:t>5</w:t>
            </w:r>
            <w:r w:rsidRPr="00FF2426">
              <w:t>)</w:t>
            </w:r>
          </w:p>
        </w:tc>
        <w:tc>
          <w:tcPr>
            <w:tcW w:w="1666" w:type="pct"/>
            <w:vAlign w:val="bottom"/>
          </w:tcPr>
          <w:p w14:paraId="75D804DB" w14:textId="77777777" w:rsidR="00094A06" w:rsidRPr="00FF2426" w:rsidRDefault="00094A06" w:rsidP="00BC6645">
            <w:pPr>
              <w:jc w:val="center"/>
            </w:pPr>
            <w:r w:rsidRPr="00FF2426">
              <w:t>0,000</w:t>
            </w:r>
            <w:r>
              <w:t>4</w:t>
            </w:r>
            <w:r w:rsidRPr="00FF2426">
              <w:t>*</w:t>
            </w:r>
          </w:p>
          <w:p w14:paraId="7B3F47B5" w14:textId="77777777" w:rsidR="00094A06" w:rsidRPr="00FF2426" w:rsidRDefault="00094A06" w:rsidP="00BC6645">
            <w:pPr>
              <w:jc w:val="center"/>
            </w:pPr>
            <w:r w:rsidRPr="00FF2426">
              <w:t>(0,000)</w:t>
            </w:r>
          </w:p>
        </w:tc>
      </w:tr>
      <w:tr w:rsidR="00094A06" w:rsidRPr="00FF2426" w14:paraId="7C3AA676" w14:textId="77777777" w:rsidTr="00EF5A02">
        <w:tc>
          <w:tcPr>
            <w:tcW w:w="1667" w:type="pct"/>
          </w:tcPr>
          <w:p w14:paraId="5FA9EB15" w14:textId="77777777" w:rsidR="00094A06" w:rsidRPr="00FF2426" w:rsidRDefault="00094A06" w:rsidP="00BC6645">
            <w:pPr>
              <w:keepLines/>
              <w:jc w:val="center"/>
            </w:pPr>
            <w:r w:rsidRPr="00FF2426">
              <w:rPr>
                <w:rFonts w:ascii="Symbol" w:hAnsi="Symbol"/>
                <w:i/>
              </w:rPr>
              <w:t></w:t>
            </w:r>
            <w:r w:rsidRPr="00FF2426">
              <w:rPr>
                <w:vertAlign w:val="subscript"/>
              </w:rPr>
              <w:t>c</w:t>
            </w:r>
          </w:p>
        </w:tc>
        <w:tc>
          <w:tcPr>
            <w:tcW w:w="1667" w:type="pct"/>
            <w:vAlign w:val="bottom"/>
          </w:tcPr>
          <w:p w14:paraId="14AC5F72" w14:textId="77777777" w:rsidR="00094A06" w:rsidRPr="00FF2426" w:rsidRDefault="00094A06" w:rsidP="00BC6645">
            <w:pPr>
              <w:jc w:val="center"/>
            </w:pPr>
            <w:r>
              <w:t>5,89</w:t>
            </w:r>
            <w:r>
              <w:sym w:font="Symbol" w:char="F0B4"/>
            </w:r>
            <w:r>
              <w:t>10</w:t>
            </w:r>
            <w:r w:rsidRPr="005B67B9">
              <w:rPr>
                <w:vertAlign w:val="superscript"/>
              </w:rPr>
              <w:t>-4</w:t>
            </w:r>
            <w:r w:rsidRPr="00FF2426">
              <w:t>*</w:t>
            </w:r>
          </w:p>
          <w:p w14:paraId="33D65196" w14:textId="77777777" w:rsidR="00094A06" w:rsidRPr="00FF2426" w:rsidRDefault="00094A06" w:rsidP="00BC6645">
            <w:pPr>
              <w:jc w:val="center"/>
            </w:pPr>
            <w:r w:rsidRPr="00FF2426">
              <w:t xml:space="preserve"> </w:t>
            </w:r>
            <w:r>
              <w:t>(5</w:t>
            </w:r>
            <w:r w:rsidRPr="00FF2426">
              <w:t>,</w:t>
            </w:r>
            <w:r>
              <w:t>13</w:t>
            </w:r>
            <w:r>
              <w:sym w:font="Symbol" w:char="F0B4"/>
            </w:r>
            <w:r>
              <w:t>10</w:t>
            </w:r>
            <w:r w:rsidRPr="005B67B9">
              <w:rPr>
                <w:vertAlign w:val="superscript"/>
              </w:rPr>
              <w:t>-</w:t>
            </w:r>
            <w:r>
              <w:rPr>
                <w:vertAlign w:val="superscript"/>
              </w:rPr>
              <w:t>5</w:t>
            </w:r>
            <w:r w:rsidRPr="00FF2426">
              <w:t>)</w:t>
            </w:r>
          </w:p>
        </w:tc>
        <w:tc>
          <w:tcPr>
            <w:tcW w:w="1666" w:type="pct"/>
            <w:vAlign w:val="bottom"/>
          </w:tcPr>
          <w:p w14:paraId="4004B1AC" w14:textId="77777777" w:rsidR="00094A06" w:rsidRPr="00FF2426" w:rsidRDefault="00094A06" w:rsidP="00BC6645">
            <w:pPr>
              <w:jc w:val="center"/>
            </w:pPr>
            <w:r w:rsidRPr="00FF2426">
              <w:t>0,000</w:t>
            </w:r>
            <w:r>
              <w:t>3</w:t>
            </w:r>
          </w:p>
          <w:p w14:paraId="0F20E695" w14:textId="77777777" w:rsidR="00094A06" w:rsidRPr="00FF2426" w:rsidRDefault="00094A06" w:rsidP="00BC6645">
            <w:pPr>
              <w:jc w:val="center"/>
            </w:pPr>
            <w:r w:rsidRPr="00FF2426">
              <w:t>(0,000)</w:t>
            </w:r>
          </w:p>
        </w:tc>
      </w:tr>
      <w:tr w:rsidR="00094A06" w:rsidRPr="00FF2426" w14:paraId="5BCAAA2B" w14:textId="77777777" w:rsidTr="00EF5A02">
        <w:tc>
          <w:tcPr>
            <w:tcW w:w="1667" w:type="pct"/>
          </w:tcPr>
          <w:p w14:paraId="7110EFE1" w14:textId="77777777" w:rsidR="00094A06" w:rsidRPr="00FF2426" w:rsidRDefault="00094A06" w:rsidP="00BC6645">
            <w:pPr>
              <w:keepLines/>
              <w:jc w:val="center"/>
              <w:rPr>
                <w:rFonts w:ascii="Symbol" w:hAnsi="Symbol"/>
                <w:i/>
              </w:rPr>
            </w:pPr>
            <w:r w:rsidRPr="00FF2426">
              <w:rPr>
                <w:rFonts w:ascii="Symbol" w:hAnsi="Symbol"/>
                <w:i/>
              </w:rPr>
              <w:sym w:font="Symbol" w:char="F071"/>
            </w:r>
            <w:r w:rsidRPr="00FF2426">
              <w:rPr>
                <w:vertAlign w:val="subscript"/>
              </w:rPr>
              <w:t xml:space="preserve"> b</w:t>
            </w:r>
          </w:p>
        </w:tc>
        <w:tc>
          <w:tcPr>
            <w:tcW w:w="1667" w:type="pct"/>
            <w:vAlign w:val="bottom"/>
          </w:tcPr>
          <w:p w14:paraId="31CF840C" w14:textId="77777777" w:rsidR="00094A06" w:rsidRPr="00FF2426" w:rsidRDefault="00094A06" w:rsidP="00BC6645">
            <w:pPr>
              <w:jc w:val="center"/>
            </w:pPr>
            <w:r w:rsidRPr="00FF2426">
              <w:t>0,004</w:t>
            </w:r>
          </w:p>
          <w:p w14:paraId="01099D33" w14:textId="77777777" w:rsidR="00094A06" w:rsidRPr="00FF2426" w:rsidRDefault="00094A06" w:rsidP="00BC6645">
            <w:pPr>
              <w:jc w:val="center"/>
            </w:pPr>
            <w:r w:rsidRPr="00FF2426">
              <w:t>(0,004)</w:t>
            </w:r>
          </w:p>
        </w:tc>
        <w:tc>
          <w:tcPr>
            <w:tcW w:w="1666" w:type="pct"/>
            <w:vAlign w:val="bottom"/>
          </w:tcPr>
          <w:p w14:paraId="68E06306" w14:textId="77777777" w:rsidR="00094A06" w:rsidRPr="00FF2426" w:rsidRDefault="00094A06" w:rsidP="00BC6645">
            <w:pPr>
              <w:jc w:val="center"/>
            </w:pPr>
            <w:r w:rsidRPr="00FF2426">
              <w:t>0,003</w:t>
            </w:r>
          </w:p>
          <w:p w14:paraId="0343D18C" w14:textId="77777777" w:rsidR="00094A06" w:rsidRPr="00FF2426" w:rsidRDefault="00094A06" w:rsidP="00BC6645">
            <w:pPr>
              <w:jc w:val="center"/>
            </w:pPr>
            <w:r w:rsidRPr="00FF2426">
              <w:t>(0,004)</w:t>
            </w:r>
          </w:p>
        </w:tc>
      </w:tr>
      <w:tr w:rsidR="00094A06" w:rsidRPr="00FF2426" w14:paraId="216EF883" w14:textId="77777777" w:rsidTr="00EF5A02">
        <w:tc>
          <w:tcPr>
            <w:tcW w:w="1667" w:type="pct"/>
          </w:tcPr>
          <w:p w14:paraId="08EF2A50" w14:textId="77777777" w:rsidR="00094A06" w:rsidRPr="00FF2426" w:rsidRDefault="00094A06" w:rsidP="00BC6645">
            <w:pPr>
              <w:keepLines/>
              <w:jc w:val="center"/>
              <w:rPr>
                <w:rFonts w:ascii="Symbol" w:hAnsi="Symbol"/>
                <w:i/>
              </w:rPr>
            </w:pPr>
            <w:r w:rsidRPr="00FF2426">
              <w:rPr>
                <w:rFonts w:ascii="Symbol" w:hAnsi="Symbol"/>
                <w:i/>
              </w:rPr>
              <w:lastRenderedPageBreak/>
              <w:sym w:font="Symbol" w:char="F071"/>
            </w:r>
            <w:r w:rsidRPr="00FF2426">
              <w:rPr>
                <w:vertAlign w:val="subscript"/>
              </w:rPr>
              <w:t xml:space="preserve"> p</w:t>
            </w:r>
          </w:p>
        </w:tc>
        <w:tc>
          <w:tcPr>
            <w:tcW w:w="1667" w:type="pct"/>
            <w:vAlign w:val="bottom"/>
          </w:tcPr>
          <w:p w14:paraId="5A36FEC0" w14:textId="77777777" w:rsidR="00094A06" w:rsidRPr="00FF2426" w:rsidRDefault="00094A06" w:rsidP="00BC6645">
            <w:pPr>
              <w:jc w:val="center"/>
            </w:pPr>
            <w:r w:rsidRPr="00FF2426">
              <w:t>0,001</w:t>
            </w:r>
          </w:p>
          <w:p w14:paraId="0AD7F4BA" w14:textId="77777777" w:rsidR="00094A06" w:rsidRPr="00FF2426" w:rsidRDefault="00094A06" w:rsidP="00BC6645">
            <w:pPr>
              <w:jc w:val="center"/>
            </w:pPr>
            <w:r w:rsidRPr="00FF2426">
              <w:t>(0,001)</w:t>
            </w:r>
          </w:p>
        </w:tc>
        <w:tc>
          <w:tcPr>
            <w:tcW w:w="1666" w:type="pct"/>
            <w:vAlign w:val="bottom"/>
          </w:tcPr>
          <w:p w14:paraId="19D44968" w14:textId="77777777" w:rsidR="00094A06" w:rsidRPr="00FF2426" w:rsidRDefault="00094A06" w:rsidP="00BC6645">
            <w:pPr>
              <w:jc w:val="center"/>
            </w:pPr>
            <w:r w:rsidRPr="00FF2426">
              <w:t>0,000</w:t>
            </w:r>
            <w:r>
              <w:t>4</w:t>
            </w:r>
          </w:p>
          <w:p w14:paraId="0010D95A" w14:textId="77777777" w:rsidR="00094A06" w:rsidRPr="00FF2426" w:rsidRDefault="00094A06" w:rsidP="00BC6645">
            <w:pPr>
              <w:jc w:val="center"/>
            </w:pPr>
            <w:r w:rsidRPr="00FF2426">
              <w:t>(0,000)</w:t>
            </w:r>
          </w:p>
        </w:tc>
      </w:tr>
      <w:tr w:rsidR="00094A06" w:rsidRPr="00FF2426" w14:paraId="47A6F67D" w14:textId="77777777" w:rsidTr="00EF5A02">
        <w:tc>
          <w:tcPr>
            <w:tcW w:w="1667" w:type="pct"/>
          </w:tcPr>
          <w:p w14:paraId="39407084" w14:textId="77777777" w:rsidR="00094A06" w:rsidRPr="00FF2426" w:rsidRDefault="00094A06" w:rsidP="00BC6645">
            <w:pPr>
              <w:keepLines/>
              <w:jc w:val="center"/>
              <w:rPr>
                <w:rFonts w:ascii="Symbol" w:hAnsi="Symbol"/>
                <w:i/>
              </w:rPr>
            </w:pPr>
            <w:r w:rsidRPr="00FF2426">
              <w:rPr>
                <w:rFonts w:ascii="Symbol" w:hAnsi="Symbol"/>
                <w:i/>
              </w:rPr>
              <w:sym w:font="Symbol" w:char="F071"/>
            </w:r>
            <w:r w:rsidRPr="00FF2426">
              <w:rPr>
                <w:vertAlign w:val="subscript"/>
              </w:rPr>
              <w:t xml:space="preserve"> c</w:t>
            </w:r>
          </w:p>
        </w:tc>
        <w:tc>
          <w:tcPr>
            <w:tcW w:w="1667" w:type="pct"/>
            <w:vAlign w:val="bottom"/>
          </w:tcPr>
          <w:p w14:paraId="78293E88" w14:textId="77777777" w:rsidR="00094A06" w:rsidRPr="00FF2426" w:rsidRDefault="00094A06" w:rsidP="00BC6645">
            <w:pPr>
              <w:jc w:val="center"/>
            </w:pPr>
            <w:r w:rsidRPr="00FF2426">
              <w:t>0,000</w:t>
            </w:r>
          </w:p>
          <w:p w14:paraId="6150EBA7" w14:textId="77777777" w:rsidR="00094A06" w:rsidRPr="00FF2426" w:rsidRDefault="00094A06" w:rsidP="00BC6645">
            <w:pPr>
              <w:jc w:val="center"/>
            </w:pPr>
            <w:r w:rsidRPr="00FF2426">
              <w:t>(0,001)</w:t>
            </w:r>
          </w:p>
        </w:tc>
        <w:tc>
          <w:tcPr>
            <w:tcW w:w="1666" w:type="pct"/>
            <w:vAlign w:val="bottom"/>
          </w:tcPr>
          <w:p w14:paraId="786D566F" w14:textId="77777777" w:rsidR="00094A06" w:rsidRPr="00FF2426" w:rsidRDefault="00094A06" w:rsidP="00BC6645">
            <w:pPr>
              <w:jc w:val="center"/>
            </w:pPr>
            <w:r w:rsidRPr="00FF2426">
              <w:t>0,001</w:t>
            </w:r>
          </w:p>
          <w:p w14:paraId="1599C854" w14:textId="77777777" w:rsidR="00094A06" w:rsidRPr="00FF2426" w:rsidRDefault="00094A06" w:rsidP="00BC6645">
            <w:pPr>
              <w:jc w:val="center"/>
            </w:pPr>
            <w:r w:rsidRPr="00FF2426">
              <w:t>(0,001)</w:t>
            </w:r>
          </w:p>
        </w:tc>
      </w:tr>
      <w:tr w:rsidR="00094A06" w:rsidRPr="00FF2426" w14:paraId="4CDE6385" w14:textId="77777777" w:rsidTr="00EF5A02">
        <w:tc>
          <w:tcPr>
            <w:tcW w:w="1667" w:type="pct"/>
          </w:tcPr>
          <w:p w14:paraId="6B4AE72F" w14:textId="77777777" w:rsidR="00094A06" w:rsidRPr="00FF2426" w:rsidRDefault="00094A06" w:rsidP="00BC6645">
            <w:pPr>
              <w:keepLines/>
              <w:jc w:val="center"/>
            </w:pPr>
            <w:r w:rsidRPr="00FF2426">
              <w:rPr>
                <w:rFonts w:ascii="Symbol" w:hAnsi="Symbol"/>
                <w:i/>
              </w:rPr>
              <w:t></w:t>
            </w:r>
            <w:proofErr w:type="spellStart"/>
            <w:r w:rsidRPr="00FF2426">
              <w:rPr>
                <w:vertAlign w:val="subscript"/>
              </w:rPr>
              <w:t>bb</w:t>
            </w:r>
            <w:proofErr w:type="spellEnd"/>
          </w:p>
        </w:tc>
        <w:tc>
          <w:tcPr>
            <w:tcW w:w="1667" w:type="pct"/>
            <w:vAlign w:val="bottom"/>
          </w:tcPr>
          <w:p w14:paraId="3393E4BF" w14:textId="77777777" w:rsidR="00094A06" w:rsidRPr="00FF2426" w:rsidRDefault="00094A06" w:rsidP="00BC6645">
            <w:pPr>
              <w:jc w:val="center"/>
            </w:pPr>
            <w:r w:rsidRPr="00FF2426">
              <w:t>0,</w:t>
            </w:r>
            <w:r>
              <w:t>303</w:t>
            </w:r>
            <w:r w:rsidRPr="00FF2426">
              <w:t>*</w:t>
            </w:r>
          </w:p>
          <w:p w14:paraId="4BBB31CD" w14:textId="77777777" w:rsidR="00094A06" w:rsidRPr="00FF2426" w:rsidRDefault="00094A06" w:rsidP="00BC6645">
            <w:pPr>
              <w:jc w:val="center"/>
            </w:pPr>
            <w:r w:rsidRPr="00FF2426">
              <w:t>(0,</w:t>
            </w:r>
            <w:r>
              <w:t>109</w:t>
            </w:r>
            <w:r w:rsidRPr="00FF2426">
              <w:t>)</w:t>
            </w:r>
          </w:p>
        </w:tc>
        <w:tc>
          <w:tcPr>
            <w:tcW w:w="1666" w:type="pct"/>
            <w:vAlign w:val="bottom"/>
          </w:tcPr>
          <w:p w14:paraId="67726B13" w14:textId="77777777" w:rsidR="00094A06" w:rsidRPr="00FF2426" w:rsidRDefault="00094A06" w:rsidP="00BC6645">
            <w:pPr>
              <w:jc w:val="center"/>
            </w:pPr>
            <w:r w:rsidRPr="00FF2426">
              <w:t>0,</w:t>
            </w:r>
            <w:r>
              <w:t>594</w:t>
            </w:r>
            <w:r w:rsidRPr="00FF2426">
              <w:t>*</w:t>
            </w:r>
          </w:p>
          <w:p w14:paraId="2B829D6F" w14:textId="77777777" w:rsidR="00094A06" w:rsidRPr="00FF2426" w:rsidRDefault="00094A06" w:rsidP="00BC6645">
            <w:pPr>
              <w:jc w:val="center"/>
            </w:pPr>
            <w:r w:rsidRPr="00FF2426">
              <w:t>(0,144)</w:t>
            </w:r>
          </w:p>
        </w:tc>
      </w:tr>
      <w:tr w:rsidR="00094A06" w:rsidRPr="00FF2426" w14:paraId="412D2412" w14:textId="77777777" w:rsidTr="00EF5A02">
        <w:tc>
          <w:tcPr>
            <w:tcW w:w="1667" w:type="pct"/>
          </w:tcPr>
          <w:p w14:paraId="0A9CC800" w14:textId="77777777" w:rsidR="00094A06" w:rsidRPr="00FF2426" w:rsidRDefault="00094A06" w:rsidP="00BC6645">
            <w:pPr>
              <w:keepLines/>
              <w:jc w:val="center"/>
            </w:pPr>
            <w:r w:rsidRPr="00FF2426">
              <w:rPr>
                <w:rFonts w:ascii="Symbol" w:hAnsi="Symbol"/>
                <w:i/>
              </w:rPr>
              <w:t></w:t>
            </w:r>
            <w:r w:rsidRPr="00FF2426">
              <w:rPr>
                <w:vertAlign w:val="subscript"/>
              </w:rPr>
              <w:t xml:space="preserve"> </w:t>
            </w:r>
            <w:proofErr w:type="spellStart"/>
            <w:r w:rsidRPr="00FF2426">
              <w:rPr>
                <w:vertAlign w:val="subscript"/>
              </w:rPr>
              <w:t>bp</w:t>
            </w:r>
            <w:proofErr w:type="spellEnd"/>
          </w:p>
        </w:tc>
        <w:tc>
          <w:tcPr>
            <w:tcW w:w="1667" w:type="pct"/>
            <w:vAlign w:val="bottom"/>
          </w:tcPr>
          <w:p w14:paraId="3BB163F1" w14:textId="77777777" w:rsidR="00094A06" w:rsidRPr="00FF2426" w:rsidRDefault="00094A06" w:rsidP="00BC6645">
            <w:pPr>
              <w:jc w:val="center"/>
            </w:pPr>
            <w:r w:rsidRPr="00FF2426">
              <w:t>-1,</w:t>
            </w:r>
            <w:r>
              <w:t>244</w:t>
            </w:r>
          </w:p>
          <w:p w14:paraId="1F53FA61" w14:textId="77777777" w:rsidR="00094A06" w:rsidRPr="00FF2426" w:rsidRDefault="00094A06" w:rsidP="00BC6645">
            <w:pPr>
              <w:jc w:val="center"/>
            </w:pPr>
            <w:r w:rsidRPr="00FF2426">
              <w:t>(0,</w:t>
            </w:r>
            <w:r>
              <w:t>860</w:t>
            </w:r>
            <w:r w:rsidRPr="00FF2426">
              <w:t>)</w:t>
            </w:r>
          </w:p>
        </w:tc>
        <w:tc>
          <w:tcPr>
            <w:tcW w:w="1666" w:type="pct"/>
            <w:vAlign w:val="bottom"/>
          </w:tcPr>
          <w:p w14:paraId="73B92F4E" w14:textId="77777777" w:rsidR="00094A06" w:rsidRPr="00FF2426" w:rsidRDefault="00094A06" w:rsidP="00BC6645">
            <w:pPr>
              <w:jc w:val="center"/>
            </w:pPr>
            <w:r w:rsidRPr="00FF2426">
              <w:t>-1,8</w:t>
            </w:r>
            <w:r>
              <w:t>6</w:t>
            </w:r>
            <w:r w:rsidRPr="00FF2426">
              <w:t>1</w:t>
            </w:r>
          </w:p>
          <w:p w14:paraId="2258BBE6" w14:textId="77777777" w:rsidR="00094A06" w:rsidRPr="00FF2426" w:rsidRDefault="00094A06" w:rsidP="00BC6645">
            <w:pPr>
              <w:jc w:val="center"/>
            </w:pPr>
            <w:r w:rsidRPr="00FF2426">
              <w:t>(1,</w:t>
            </w:r>
            <w:r>
              <w:t>400</w:t>
            </w:r>
            <w:r w:rsidRPr="00FF2426">
              <w:t>)</w:t>
            </w:r>
          </w:p>
        </w:tc>
      </w:tr>
      <w:tr w:rsidR="00094A06" w:rsidRPr="00FF2426" w14:paraId="04B1F801" w14:textId="77777777" w:rsidTr="00EF5A02">
        <w:tc>
          <w:tcPr>
            <w:tcW w:w="1667" w:type="pct"/>
          </w:tcPr>
          <w:p w14:paraId="7BCDA53F" w14:textId="77777777" w:rsidR="00094A06" w:rsidRPr="00FF2426" w:rsidRDefault="00094A06" w:rsidP="00BC6645">
            <w:pPr>
              <w:keepLines/>
              <w:jc w:val="center"/>
            </w:pPr>
            <w:r w:rsidRPr="00FF2426">
              <w:rPr>
                <w:rFonts w:ascii="Symbol" w:hAnsi="Symbol"/>
                <w:i/>
              </w:rPr>
              <w:t></w:t>
            </w:r>
            <w:proofErr w:type="spellStart"/>
            <w:r w:rsidRPr="00FF2426">
              <w:rPr>
                <w:vertAlign w:val="subscript"/>
              </w:rPr>
              <w:t>bc</w:t>
            </w:r>
            <w:proofErr w:type="spellEnd"/>
          </w:p>
        </w:tc>
        <w:tc>
          <w:tcPr>
            <w:tcW w:w="1667" w:type="pct"/>
            <w:vAlign w:val="bottom"/>
          </w:tcPr>
          <w:p w14:paraId="1B495282" w14:textId="77777777" w:rsidR="00094A06" w:rsidRPr="00FF2426" w:rsidRDefault="00094A06" w:rsidP="00BC6645">
            <w:pPr>
              <w:jc w:val="center"/>
            </w:pPr>
            <w:r w:rsidRPr="00FF2426">
              <w:t>0,</w:t>
            </w:r>
            <w:r>
              <w:t>859</w:t>
            </w:r>
            <w:r w:rsidRPr="00FF2426">
              <w:t>*</w:t>
            </w:r>
          </w:p>
          <w:p w14:paraId="66EEF900" w14:textId="77777777" w:rsidR="00094A06" w:rsidRPr="00FF2426" w:rsidRDefault="00094A06" w:rsidP="00BC6645">
            <w:pPr>
              <w:jc w:val="center"/>
            </w:pPr>
            <w:r w:rsidRPr="00FF2426">
              <w:t>(0,</w:t>
            </w:r>
            <w:r>
              <w:t>699</w:t>
            </w:r>
            <w:r w:rsidRPr="00FF2426">
              <w:t>)</w:t>
            </w:r>
          </w:p>
        </w:tc>
        <w:tc>
          <w:tcPr>
            <w:tcW w:w="1666" w:type="pct"/>
            <w:vAlign w:val="bottom"/>
          </w:tcPr>
          <w:p w14:paraId="78D3628B" w14:textId="77777777" w:rsidR="00094A06" w:rsidRPr="00FF2426" w:rsidRDefault="00094A06" w:rsidP="00BC6645">
            <w:pPr>
              <w:jc w:val="center"/>
            </w:pPr>
            <w:r w:rsidRPr="00FF2426">
              <w:t>1,7</w:t>
            </w:r>
            <w:r>
              <w:t>7</w:t>
            </w:r>
            <w:r w:rsidRPr="00FF2426">
              <w:t>3</w:t>
            </w:r>
          </w:p>
          <w:p w14:paraId="60785DC3" w14:textId="77777777" w:rsidR="00094A06" w:rsidRPr="00FF2426" w:rsidRDefault="00094A06" w:rsidP="00BC6645">
            <w:pPr>
              <w:jc w:val="center"/>
            </w:pPr>
            <w:r w:rsidRPr="00FF2426">
              <w:t>(0,</w:t>
            </w:r>
            <w:r>
              <w:t>979</w:t>
            </w:r>
            <w:r w:rsidRPr="00FF2426">
              <w:t>)</w:t>
            </w:r>
          </w:p>
        </w:tc>
      </w:tr>
      <w:tr w:rsidR="00094A06" w:rsidRPr="00FF2426" w14:paraId="06484A5A" w14:textId="77777777" w:rsidTr="00EF5A02">
        <w:tc>
          <w:tcPr>
            <w:tcW w:w="1667" w:type="pct"/>
          </w:tcPr>
          <w:p w14:paraId="3A840300" w14:textId="77777777" w:rsidR="00094A06" w:rsidRPr="00FF2426" w:rsidRDefault="00094A06" w:rsidP="00BC6645">
            <w:pPr>
              <w:keepLines/>
              <w:jc w:val="center"/>
            </w:pPr>
            <w:r w:rsidRPr="00FF2426">
              <w:rPr>
                <w:rFonts w:ascii="Symbol" w:hAnsi="Symbol"/>
                <w:i/>
              </w:rPr>
              <w:t></w:t>
            </w:r>
            <w:proofErr w:type="spellStart"/>
            <w:r w:rsidRPr="00FF2426">
              <w:rPr>
                <w:vertAlign w:val="subscript"/>
              </w:rPr>
              <w:t>pb</w:t>
            </w:r>
            <w:proofErr w:type="spellEnd"/>
          </w:p>
        </w:tc>
        <w:tc>
          <w:tcPr>
            <w:tcW w:w="1667" w:type="pct"/>
            <w:vAlign w:val="bottom"/>
          </w:tcPr>
          <w:p w14:paraId="7573D929" w14:textId="77777777" w:rsidR="00094A06" w:rsidRPr="00FF2426" w:rsidRDefault="00094A06" w:rsidP="00BC6645">
            <w:pPr>
              <w:jc w:val="center"/>
            </w:pPr>
            <w:r w:rsidRPr="00FF2426">
              <w:t>-0,</w:t>
            </w:r>
            <w:r>
              <w:t>051*</w:t>
            </w:r>
          </w:p>
          <w:p w14:paraId="785EE2A4" w14:textId="77777777" w:rsidR="00094A06" w:rsidRPr="00FF2426" w:rsidRDefault="00094A06" w:rsidP="00BC6645">
            <w:pPr>
              <w:jc w:val="center"/>
            </w:pPr>
            <w:r w:rsidRPr="00FF2426">
              <w:t>(0,</w:t>
            </w:r>
            <w:r>
              <w:t>018</w:t>
            </w:r>
            <w:r w:rsidRPr="00FF2426">
              <w:t>)</w:t>
            </w:r>
          </w:p>
        </w:tc>
        <w:tc>
          <w:tcPr>
            <w:tcW w:w="1666" w:type="pct"/>
            <w:vAlign w:val="bottom"/>
          </w:tcPr>
          <w:p w14:paraId="6B29AB61" w14:textId="77777777" w:rsidR="00094A06" w:rsidRPr="00FF2426" w:rsidRDefault="00094A06" w:rsidP="00BC6645">
            <w:pPr>
              <w:jc w:val="center"/>
            </w:pPr>
            <w:r w:rsidRPr="00FF2426">
              <w:t>-0,</w:t>
            </w:r>
            <w:r>
              <w:t>044</w:t>
            </w:r>
            <w:r w:rsidRPr="00FF2426">
              <w:t>*</w:t>
            </w:r>
          </w:p>
          <w:p w14:paraId="38A0A78B" w14:textId="77777777" w:rsidR="00094A06" w:rsidRPr="00FF2426" w:rsidRDefault="00094A06" w:rsidP="00BC6645">
            <w:pPr>
              <w:jc w:val="center"/>
            </w:pPr>
            <w:r w:rsidRPr="00FF2426">
              <w:t>(0,</w:t>
            </w:r>
            <w:r>
              <w:t>017</w:t>
            </w:r>
            <w:r w:rsidRPr="00FF2426">
              <w:t>)</w:t>
            </w:r>
          </w:p>
        </w:tc>
      </w:tr>
      <w:tr w:rsidR="00094A06" w:rsidRPr="00FF2426" w14:paraId="5AF182C0" w14:textId="77777777" w:rsidTr="00EF5A02">
        <w:tc>
          <w:tcPr>
            <w:tcW w:w="1667" w:type="pct"/>
          </w:tcPr>
          <w:p w14:paraId="1E5923C8" w14:textId="77777777" w:rsidR="00094A06" w:rsidRPr="00FF2426" w:rsidRDefault="00094A06" w:rsidP="00BC6645">
            <w:pPr>
              <w:keepLines/>
              <w:jc w:val="center"/>
            </w:pPr>
            <w:r w:rsidRPr="00FF2426">
              <w:rPr>
                <w:rFonts w:ascii="Symbol" w:hAnsi="Symbol"/>
                <w:i/>
              </w:rPr>
              <w:t></w:t>
            </w:r>
            <w:r w:rsidRPr="00FF2426">
              <w:rPr>
                <w:vertAlign w:val="subscript"/>
              </w:rPr>
              <w:t xml:space="preserve"> pp</w:t>
            </w:r>
          </w:p>
        </w:tc>
        <w:tc>
          <w:tcPr>
            <w:tcW w:w="1667" w:type="pct"/>
            <w:vAlign w:val="bottom"/>
          </w:tcPr>
          <w:p w14:paraId="5CBE7543" w14:textId="77777777" w:rsidR="00094A06" w:rsidRPr="00FF2426" w:rsidRDefault="00094A06" w:rsidP="00BC6645">
            <w:pPr>
              <w:jc w:val="center"/>
            </w:pPr>
            <w:r w:rsidRPr="00FF2426">
              <w:t>0,</w:t>
            </w:r>
            <w:r>
              <w:t>153</w:t>
            </w:r>
          </w:p>
          <w:p w14:paraId="11A581BB" w14:textId="77777777" w:rsidR="00094A06" w:rsidRPr="00FF2426" w:rsidRDefault="00094A06" w:rsidP="00BC6645">
            <w:pPr>
              <w:jc w:val="center"/>
            </w:pPr>
            <w:r w:rsidRPr="00FF2426">
              <w:t>(0,</w:t>
            </w:r>
            <w:r>
              <w:t>142</w:t>
            </w:r>
            <w:r w:rsidRPr="00FF2426">
              <w:t>)</w:t>
            </w:r>
          </w:p>
        </w:tc>
        <w:tc>
          <w:tcPr>
            <w:tcW w:w="1666" w:type="pct"/>
            <w:vAlign w:val="bottom"/>
          </w:tcPr>
          <w:p w14:paraId="156E961D" w14:textId="77777777" w:rsidR="00094A06" w:rsidRPr="00FF2426" w:rsidRDefault="00094A06" w:rsidP="00BC6645">
            <w:pPr>
              <w:jc w:val="center"/>
            </w:pPr>
            <w:r w:rsidRPr="00FF2426">
              <w:t>0,</w:t>
            </w:r>
            <w:r>
              <w:t>073</w:t>
            </w:r>
          </w:p>
          <w:p w14:paraId="4E818C55" w14:textId="77777777" w:rsidR="00094A06" w:rsidRPr="00FF2426" w:rsidRDefault="00094A06" w:rsidP="00BC6645">
            <w:pPr>
              <w:jc w:val="center"/>
            </w:pPr>
            <w:r w:rsidRPr="00FF2426">
              <w:t>(0,</w:t>
            </w:r>
            <w:r>
              <w:t>118</w:t>
            </w:r>
            <w:r w:rsidRPr="00FF2426">
              <w:t>)</w:t>
            </w:r>
          </w:p>
        </w:tc>
      </w:tr>
      <w:tr w:rsidR="00094A06" w:rsidRPr="00FF2426" w14:paraId="5AD9AD79" w14:textId="77777777" w:rsidTr="00EF5A02">
        <w:tc>
          <w:tcPr>
            <w:tcW w:w="1667" w:type="pct"/>
          </w:tcPr>
          <w:p w14:paraId="7E31F2D6" w14:textId="77777777" w:rsidR="00094A06" w:rsidRPr="00FF2426" w:rsidRDefault="00094A06" w:rsidP="00BC6645">
            <w:pPr>
              <w:keepLines/>
              <w:jc w:val="center"/>
            </w:pPr>
            <w:r w:rsidRPr="00FF2426">
              <w:rPr>
                <w:rFonts w:ascii="Symbol" w:hAnsi="Symbol"/>
                <w:i/>
              </w:rPr>
              <w:t></w:t>
            </w:r>
            <w:r w:rsidRPr="00FF2426">
              <w:rPr>
                <w:vertAlign w:val="subscript"/>
              </w:rPr>
              <w:t xml:space="preserve"> </w:t>
            </w:r>
            <w:proofErr w:type="spellStart"/>
            <w:r w:rsidRPr="00FF2426">
              <w:rPr>
                <w:vertAlign w:val="subscript"/>
              </w:rPr>
              <w:t>pc</w:t>
            </w:r>
            <w:proofErr w:type="spellEnd"/>
          </w:p>
        </w:tc>
        <w:tc>
          <w:tcPr>
            <w:tcW w:w="1667" w:type="pct"/>
            <w:vAlign w:val="bottom"/>
          </w:tcPr>
          <w:p w14:paraId="5D3DFBF1" w14:textId="77777777" w:rsidR="00094A06" w:rsidRPr="00FF2426" w:rsidRDefault="00094A06" w:rsidP="00BC6645">
            <w:pPr>
              <w:jc w:val="center"/>
            </w:pPr>
            <w:r w:rsidRPr="00FF2426">
              <w:t>-0,</w:t>
            </w:r>
            <w:r>
              <w:t>181</w:t>
            </w:r>
          </w:p>
          <w:p w14:paraId="2DF744AA" w14:textId="77777777" w:rsidR="00094A06" w:rsidRPr="00FF2426" w:rsidRDefault="00094A06" w:rsidP="00BC6645">
            <w:pPr>
              <w:jc w:val="center"/>
            </w:pPr>
            <w:r w:rsidRPr="00FF2426">
              <w:t>(0,</w:t>
            </w:r>
            <w:r>
              <w:t>130</w:t>
            </w:r>
            <w:r w:rsidRPr="00FF2426">
              <w:t>)</w:t>
            </w:r>
          </w:p>
        </w:tc>
        <w:tc>
          <w:tcPr>
            <w:tcW w:w="1666" w:type="pct"/>
            <w:vAlign w:val="bottom"/>
          </w:tcPr>
          <w:p w14:paraId="0211E7C2" w14:textId="77777777" w:rsidR="00094A06" w:rsidRPr="00FF2426" w:rsidRDefault="00094A06" w:rsidP="00BC6645">
            <w:pPr>
              <w:jc w:val="center"/>
            </w:pPr>
            <w:r w:rsidRPr="00FF2426">
              <w:t>-0,</w:t>
            </w:r>
            <w:r>
              <w:t>400</w:t>
            </w:r>
            <w:r w:rsidRPr="00FF2426">
              <w:t>*</w:t>
            </w:r>
          </w:p>
          <w:p w14:paraId="03F4A139" w14:textId="77777777" w:rsidR="00094A06" w:rsidRPr="00FF2426" w:rsidRDefault="00094A06" w:rsidP="00BC6645">
            <w:pPr>
              <w:jc w:val="center"/>
            </w:pPr>
            <w:r w:rsidRPr="00FF2426">
              <w:t>(0,10</w:t>
            </w:r>
            <w:r>
              <w:t>1</w:t>
            </w:r>
            <w:r w:rsidRPr="00FF2426">
              <w:t>)</w:t>
            </w:r>
          </w:p>
        </w:tc>
      </w:tr>
      <w:tr w:rsidR="00094A06" w:rsidRPr="00FF2426" w14:paraId="352796ED" w14:textId="77777777" w:rsidTr="00EF5A02">
        <w:tc>
          <w:tcPr>
            <w:tcW w:w="1667" w:type="pct"/>
          </w:tcPr>
          <w:p w14:paraId="6BE0DA67" w14:textId="77777777" w:rsidR="00094A06" w:rsidRPr="00FF2426" w:rsidRDefault="00094A06" w:rsidP="00BC6645">
            <w:pPr>
              <w:keepLines/>
              <w:jc w:val="center"/>
            </w:pPr>
            <w:r w:rsidRPr="00FF2426">
              <w:rPr>
                <w:rFonts w:ascii="Symbol" w:hAnsi="Symbol"/>
                <w:i/>
              </w:rPr>
              <w:t></w:t>
            </w:r>
            <w:proofErr w:type="spellStart"/>
            <w:r w:rsidRPr="00FF2426">
              <w:rPr>
                <w:vertAlign w:val="subscript"/>
              </w:rPr>
              <w:t>cb</w:t>
            </w:r>
            <w:proofErr w:type="spellEnd"/>
          </w:p>
        </w:tc>
        <w:tc>
          <w:tcPr>
            <w:tcW w:w="1667" w:type="pct"/>
            <w:vAlign w:val="bottom"/>
          </w:tcPr>
          <w:p w14:paraId="2C27A212" w14:textId="77777777" w:rsidR="00094A06" w:rsidRPr="00FF2426" w:rsidRDefault="00094A06" w:rsidP="00BC6645">
            <w:pPr>
              <w:jc w:val="center"/>
            </w:pPr>
            <w:r w:rsidRPr="00FF2426">
              <w:t>0,011</w:t>
            </w:r>
          </w:p>
          <w:p w14:paraId="078161BC" w14:textId="77777777" w:rsidR="00094A06" w:rsidRPr="00FF2426" w:rsidRDefault="00094A06" w:rsidP="00BC6645">
            <w:pPr>
              <w:jc w:val="center"/>
            </w:pPr>
            <w:r w:rsidRPr="00FF2426">
              <w:t>(0,</w:t>
            </w:r>
            <w:r>
              <w:t>015</w:t>
            </w:r>
            <w:r w:rsidRPr="00FF2426">
              <w:t>)</w:t>
            </w:r>
          </w:p>
        </w:tc>
        <w:tc>
          <w:tcPr>
            <w:tcW w:w="1666" w:type="pct"/>
            <w:vAlign w:val="bottom"/>
          </w:tcPr>
          <w:p w14:paraId="098F30EF" w14:textId="77777777" w:rsidR="00094A06" w:rsidRPr="00FF2426" w:rsidRDefault="00094A06" w:rsidP="00BC6645">
            <w:pPr>
              <w:jc w:val="center"/>
            </w:pPr>
            <w:r w:rsidRPr="00FF2426">
              <w:t>0,</w:t>
            </w:r>
            <w:r>
              <w:t>008</w:t>
            </w:r>
          </w:p>
          <w:p w14:paraId="5554E6D0" w14:textId="77777777" w:rsidR="00094A06" w:rsidRPr="00FF2426" w:rsidRDefault="00094A06" w:rsidP="00BC6645">
            <w:pPr>
              <w:jc w:val="center"/>
            </w:pPr>
            <w:r w:rsidRPr="00FF2426">
              <w:t>(0,023)</w:t>
            </w:r>
          </w:p>
        </w:tc>
      </w:tr>
      <w:tr w:rsidR="00094A06" w:rsidRPr="00FF2426" w14:paraId="45C664A3" w14:textId="77777777" w:rsidTr="00EF5A02">
        <w:tc>
          <w:tcPr>
            <w:tcW w:w="1667" w:type="pct"/>
          </w:tcPr>
          <w:p w14:paraId="4AD5C203" w14:textId="77777777" w:rsidR="00094A06" w:rsidRPr="00FF2426" w:rsidRDefault="00094A06" w:rsidP="00BC6645">
            <w:pPr>
              <w:keepLines/>
              <w:jc w:val="center"/>
            </w:pPr>
            <w:r w:rsidRPr="00FF2426">
              <w:rPr>
                <w:rFonts w:ascii="Symbol" w:hAnsi="Symbol"/>
                <w:i/>
              </w:rPr>
              <w:t></w:t>
            </w:r>
            <w:proofErr w:type="spellStart"/>
            <w:r w:rsidRPr="00FF2426">
              <w:rPr>
                <w:vertAlign w:val="subscript"/>
              </w:rPr>
              <w:t>cp</w:t>
            </w:r>
            <w:proofErr w:type="spellEnd"/>
          </w:p>
        </w:tc>
        <w:tc>
          <w:tcPr>
            <w:tcW w:w="1667" w:type="pct"/>
            <w:vAlign w:val="bottom"/>
          </w:tcPr>
          <w:p w14:paraId="0580C49C" w14:textId="77777777" w:rsidR="00094A06" w:rsidRPr="00FF2426" w:rsidRDefault="00094A06" w:rsidP="00BC6645">
            <w:pPr>
              <w:jc w:val="center"/>
            </w:pPr>
            <w:r w:rsidRPr="00FF2426">
              <w:t>0,</w:t>
            </w:r>
            <w:r>
              <w:t>078</w:t>
            </w:r>
          </w:p>
          <w:p w14:paraId="38034E25" w14:textId="77777777" w:rsidR="00094A06" w:rsidRPr="00FF2426" w:rsidRDefault="00094A06" w:rsidP="00BC6645">
            <w:pPr>
              <w:jc w:val="center"/>
            </w:pPr>
            <w:r w:rsidRPr="00FF2426">
              <w:t>(0,</w:t>
            </w:r>
            <w:r>
              <w:t>156</w:t>
            </w:r>
            <w:r w:rsidRPr="00FF2426">
              <w:t>)</w:t>
            </w:r>
          </w:p>
        </w:tc>
        <w:tc>
          <w:tcPr>
            <w:tcW w:w="1666" w:type="pct"/>
            <w:vAlign w:val="bottom"/>
          </w:tcPr>
          <w:p w14:paraId="71D9A121" w14:textId="77777777" w:rsidR="00094A06" w:rsidRPr="00FF2426" w:rsidRDefault="00094A06" w:rsidP="00BC6645">
            <w:pPr>
              <w:jc w:val="center"/>
            </w:pPr>
            <w:r>
              <w:t>-0,218</w:t>
            </w:r>
          </w:p>
          <w:p w14:paraId="450757F6" w14:textId="77777777" w:rsidR="00094A06" w:rsidRPr="00FF2426" w:rsidRDefault="00094A06" w:rsidP="00BC6645">
            <w:pPr>
              <w:jc w:val="center"/>
            </w:pPr>
            <w:r>
              <w:t>(0,194</w:t>
            </w:r>
            <w:r w:rsidRPr="00FF2426">
              <w:t>)</w:t>
            </w:r>
          </w:p>
        </w:tc>
      </w:tr>
      <w:tr w:rsidR="00094A06" w:rsidRPr="00FF2426" w14:paraId="5675C56B" w14:textId="77777777" w:rsidTr="00EF5A02">
        <w:tc>
          <w:tcPr>
            <w:tcW w:w="1667" w:type="pct"/>
          </w:tcPr>
          <w:p w14:paraId="670FAD1C" w14:textId="77777777" w:rsidR="00094A06" w:rsidRPr="00FF2426" w:rsidRDefault="00094A06" w:rsidP="00BC6645">
            <w:pPr>
              <w:keepLines/>
              <w:jc w:val="center"/>
            </w:pPr>
            <w:r w:rsidRPr="00FF2426">
              <w:rPr>
                <w:rFonts w:ascii="Symbol" w:hAnsi="Symbol"/>
                <w:i/>
              </w:rPr>
              <w:t></w:t>
            </w:r>
            <w:r w:rsidRPr="00FF2426">
              <w:rPr>
                <w:vertAlign w:val="subscript"/>
              </w:rPr>
              <w:t>cc</w:t>
            </w:r>
          </w:p>
        </w:tc>
        <w:tc>
          <w:tcPr>
            <w:tcW w:w="1667" w:type="pct"/>
            <w:vAlign w:val="bottom"/>
          </w:tcPr>
          <w:p w14:paraId="5F70FA97" w14:textId="77777777" w:rsidR="00094A06" w:rsidRPr="00FF2426" w:rsidRDefault="00094A06" w:rsidP="00BC6645">
            <w:pPr>
              <w:jc w:val="center"/>
            </w:pPr>
            <w:r w:rsidRPr="00FF2426">
              <w:t>0,</w:t>
            </w:r>
            <w:r>
              <w:t>616</w:t>
            </w:r>
            <w:r w:rsidRPr="00FF2426">
              <w:t>*</w:t>
            </w:r>
          </w:p>
          <w:p w14:paraId="0C4A5085" w14:textId="77777777" w:rsidR="00094A06" w:rsidRPr="00FF2426" w:rsidRDefault="00094A06" w:rsidP="00BC6645">
            <w:pPr>
              <w:jc w:val="center"/>
            </w:pPr>
            <w:r w:rsidRPr="00FF2426">
              <w:t>(0,136)</w:t>
            </w:r>
          </w:p>
        </w:tc>
        <w:tc>
          <w:tcPr>
            <w:tcW w:w="1666" w:type="pct"/>
            <w:vAlign w:val="bottom"/>
          </w:tcPr>
          <w:p w14:paraId="19FFB3BE" w14:textId="77777777" w:rsidR="00094A06" w:rsidRPr="00FF2426" w:rsidRDefault="00094A06" w:rsidP="00BC6645">
            <w:pPr>
              <w:jc w:val="center"/>
            </w:pPr>
            <w:r>
              <w:t>0,651</w:t>
            </w:r>
            <w:r w:rsidRPr="00FF2426">
              <w:t>*</w:t>
            </w:r>
          </w:p>
          <w:p w14:paraId="019F470F" w14:textId="77777777" w:rsidR="00094A06" w:rsidRPr="00FF2426" w:rsidRDefault="00094A06" w:rsidP="00BC6645">
            <w:pPr>
              <w:jc w:val="center"/>
            </w:pPr>
            <w:r>
              <w:t>(0,163</w:t>
            </w:r>
            <w:r w:rsidRPr="00FF2426">
              <w:t>)</w:t>
            </w:r>
          </w:p>
        </w:tc>
      </w:tr>
      <w:tr w:rsidR="00094A06" w:rsidRPr="00FF2426" w14:paraId="4107BB03" w14:textId="77777777" w:rsidTr="00EF5A02">
        <w:tc>
          <w:tcPr>
            <w:tcW w:w="1667" w:type="pct"/>
          </w:tcPr>
          <w:p w14:paraId="7F2371D6" w14:textId="77777777" w:rsidR="00094A06" w:rsidRPr="00FF2426" w:rsidRDefault="00094A06" w:rsidP="00BC6645">
            <w:pPr>
              <w:keepLines/>
              <w:jc w:val="center"/>
              <w:rPr>
                <w:rFonts w:ascii="Symbol" w:hAnsi="Symbol"/>
                <w:i/>
              </w:rPr>
            </w:pPr>
            <w:r w:rsidRPr="00FF2426">
              <w:rPr>
                <w:rFonts w:ascii="Symbol" w:hAnsi="Symbol"/>
                <w:i/>
              </w:rPr>
              <w:sym w:font="Symbol" w:char="F066"/>
            </w:r>
            <w:r w:rsidRPr="00FF2426">
              <w:rPr>
                <w:vertAlign w:val="subscript"/>
              </w:rPr>
              <w:t xml:space="preserve"> b</w:t>
            </w:r>
            <w:r w:rsidR="006010CB">
              <w:rPr>
                <w:vertAlign w:val="subscript"/>
              </w:rPr>
              <w:t>0</w:t>
            </w:r>
          </w:p>
        </w:tc>
        <w:tc>
          <w:tcPr>
            <w:tcW w:w="1667" w:type="pct"/>
          </w:tcPr>
          <w:p w14:paraId="0DD30D7D" w14:textId="77777777" w:rsidR="00094A06" w:rsidRPr="00FF2426" w:rsidRDefault="00094A06" w:rsidP="00BC6645">
            <w:pPr>
              <w:keepNext/>
              <w:jc w:val="center"/>
            </w:pPr>
            <w:r w:rsidRPr="00FF2426">
              <w:t>-</w:t>
            </w:r>
          </w:p>
        </w:tc>
        <w:tc>
          <w:tcPr>
            <w:tcW w:w="1666" w:type="pct"/>
            <w:vAlign w:val="bottom"/>
          </w:tcPr>
          <w:p w14:paraId="74B939DE" w14:textId="77777777" w:rsidR="00094A06" w:rsidRPr="00FF2426" w:rsidRDefault="00094A06" w:rsidP="00BC6645">
            <w:pPr>
              <w:jc w:val="center"/>
            </w:pPr>
            <w:r w:rsidRPr="00FF2426">
              <w:t>1,21</w:t>
            </w:r>
            <w:r w:rsidRPr="00FF2426">
              <w:sym w:font="Symbol" w:char="F0B4"/>
            </w:r>
            <w:r w:rsidRPr="00FF2426">
              <w:t>10</w:t>
            </w:r>
            <w:r w:rsidRPr="00FF2426">
              <w:rPr>
                <w:vertAlign w:val="superscript"/>
              </w:rPr>
              <w:t>-4</w:t>
            </w:r>
          </w:p>
          <w:p w14:paraId="00EDE21A" w14:textId="77777777" w:rsidR="00094A06" w:rsidRPr="00FF2426" w:rsidRDefault="00094A06" w:rsidP="00BC6645">
            <w:pPr>
              <w:jc w:val="center"/>
            </w:pPr>
            <w:r w:rsidRPr="00FF2426">
              <w:t>(</w:t>
            </w:r>
            <w:r>
              <w:t>2</w:t>
            </w:r>
            <w:r w:rsidRPr="00FF2426">
              <w:t>,</w:t>
            </w:r>
            <w:r>
              <w:t>44</w:t>
            </w:r>
            <w:r w:rsidRPr="00FF2426">
              <w:sym w:font="Symbol" w:char="F0B4"/>
            </w:r>
            <w:r w:rsidRPr="00FF2426">
              <w:t>10</w:t>
            </w:r>
            <w:r>
              <w:rPr>
                <w:vertAlign w:val="superscript"/>
              </w:rPr>
              <w:t>-4</w:t>
            </w:r>
            <w:r w:rsidRPr="00FF2426">
              <w:t>)</w:t>
            </w:r>
          </w:p>
        </w:tc>
      </w:tr>
      <w:tr w:rsidR="00094A06" w:rsidRPr="00FF2426" w14:paraId="450A1268" w14:textId="77777777" w:rsidTr="00EF5A02">
        <w:tc>
          <w:tcPr>
            <w:tcW w:w="1667" w:type="pct"/>
          </w:tcPr>
          <w:p w14:paraId="609E4B70" w14:textId="77777777" w:rsidR="00094A06" w:rsidRPr="00FF2426" w:rsidRDefault="00094A06" w:rsidP="00BC6645">
            <w:pPr>
              <w:keepLines/>
              <w:jc w:val="center"/>
              <w:rPr>
                <w:rFonts w:ascii="Symbol" w:hAnsi="Symbol"/>
                <w:i/>
              </w:rPr>
            </w:pPr>
            <w:r w:rsidRPr="00FF2426">
              <w:rPr>
                <w:rFonts w:ascii="Symbol" w:hAnsi="Symbol"/>
                <w:i/>
              </w:rPr>
              <w:sym w:font="Symbol" w:char="F070"/>
            </w:r>
            <w:r w:rsidRPr="00FF2426">
              <w:rPr>
                <w:vertAlign w:val="subscript"/>
              </w:rPr>
              <w:t xml:space="preserve"> b</w:t>
            </w:r>
            <w:r w:rsidR="006010CB">
              <w:rPr>
                <w:vertAlign w:val="subscript"/>
              </w:rPr>
              <w:t>0</w:t>
            </w:r>
          </w:p>
        </w:tc>
        <w:tc>
          <w:tcPr>
            <w:tcW w:w="1667" w:type="pct"/>
          </w:tcPr>
          <w:p w14:paraId="33C0FBD4" w14:textId="77777777" w:rsidR="00094A06" w:rsidRPr="00FF2426" w:rsidRDefault="00094A06" w:rsidP="00BC6645">
            <w:pPr>
              <w:keepNext/>
              <w:jc w:val="center"/>
            </w:pPr>
            <w:r w:rsidRPr="00FF2426">
              <w:t>-</w:t>
            </w:r>
          </w:p>
        </w:tc>
        <w:tc>
          <w:tcPr>
            <w:tcW w:w="1666" w:type="pct"/>
            <w:vAlign w:val="bottom"/>
          </w:tcPr>
          <w:p w14:paraId="0D89BC53" w14:textId="77777777" w:rsidR="00094A06" w:rsidRPr="00FF2426" w:rsidRDefault="00094A06" w:rsidP="00BC6645">
            <w:pPr>
              <w:jc w:val="center"/>
            </w:pPr>
            <w:r w:rsidRPr="00FF2426">
              <w:t>1,37</w:t>
            </w:r>
            <w:r w:rsidRPr="00FF2426">
              <w:sym w:font="Symbol" w:char="F0B4"/>
            </w:r>
            <w:r w:rsidRPr="00FF2426">
              <w:t>10</w:t>
            </w:r>
            <w:r w:rsidRPr="00FF2426">
              <w:rPr>
                <w:vertAlign w:val="superscript"/>
              </w:rPr>
              <w:t>-4</w:t>
            </w:r>
          </w:p>
          <w:p w14:paraId="780A7A7D" w14:textId="77777777" w:rsidR="00094A06" w:rsidRPr="00FF2426" w:rsidRDefault="00094A06" w:rsidP="00BC6645">
            <w:pPr>
              <w:jc w:val="center"/>
            </w:pPr>
            <w:r w:rsidRPr="00FF2426">
              <w:t xml:space="preserve"> </w:t>
            </w:r>
            <w:r>
              <w:t>(1,</w:t>
            </w:r>
            <w:r w:rsidRPr="00FF2426">
              <w:t>1</w:t>
            </w:r>
            <w:r>
              <w:t>4</w:t>
            </w:r>
            <w:r w:rsidRPr="00FF2426">
              <w:sym w:font="Symbol" w:char="F0B4"/>
            </w:r>
            <w:r w:rsidRPr="00FF2426">
              <w:t>10</w:t>
            </w:r>
            <w:r>
              <w:rPr>
                <w:vertAlign w:val="superscript"/>
              </w:rPr>
              <w:t>-4</w:t>
            </w:r>
            <w:r w:rsidRPr="00FF2426">
              <w:t>)</w:t>
            </w:r>
          </w:p>
        </w:tc>
      </w:tr>
      <w:tr w:rsidR="00094A06" w:rsidRPr="00FF2426" w14:paraId="67916CBB" w14:textId="77777777" w:rsidTr="00EF5A02">
        <w:tc>
          <w:tcPr>
            <w:tcW w:w="1667" w:type="pct"/>
          </w:tcPr>
          <w:p w14:paraId="2E710982" w14:textId="77777777" w:rsidR="00094A06" w:rsidRPr="00FF2426" w:rsidRDefault="00094A06" w:rsidP="00BC6645">
            <w:pPr>
              <w:keepLines/>
              <w:jc w:val="center"/>
              <w:rPr>
                <w:rFonts w:ascii="Symbol" w:hAnsi="Symbol"/>
                <w:i/>
              </w:rPr>
            </w:pPr>
            <w:r w:rsidRPr="00FF2426">
              <w:rPr>
                <w:rFonts w:ascii="Symbol" w:hAnsi="Symbol"/>
                <w:i/>
              </w:rPr>
              <w:sym w:font="Symbol" w:char="F06B"/>
            </w:r>
            <w:r w:rsidRPr="00FF2426">
              <w:rPr>
                <w:vertAlign w:val="subscript"/>
              </w:rPr>
              <w:t xml:space="preserve"> b</w:t>
            </w:r>
            <w:r w:rsidR="006010CB">
              <w:rPr>
                <w:vertAlign w:val="subscript"/>
              </w:rPr>
              <w:t>0</w:t>
            </w:r>
          </w:p>
        </w:tc>
        <w:tc>
          <w:tcPr>
            <w:tcW w:w="1667" w:type="pct"/>
          </w:tcPr>
          <w:p w14:paraId="41867F04" w14:textId="77777777" w:rsidR="00094A06" w:rsidRPr="00FF2426" w:rsidRDefault="00094A06" w:rsidP="00BC6645">
            <w:pPr>
              <w:keepNext/>
              <w:jc w:val="center"/>
            </w:pPr>
            <w:r w:rsidRPr="00FF2426">
              <w:t>-</w:t>
            </w:r>
          </w:p>
        </w:tc>
        <w:tc>
          <w:tcPr>
            <w:tcW w:w="1666" w:type="pct"/>
            <w:vAlign w:val="bottom"/>
          </w:tcPr>
          <w:p w14:paraId="5FC39E88" w14:textId="77777777" w:rsidR="00094A06" w:rsidRPr="00FF2426" w:rsidRDefault="00094A06" w:rsidP="00BC6645">
            <w:pPr>
              <w:jc w:val="center"/>
            </w:pPr>
            <w:r w:rsidRPr="00FF2426">
              <w:t>5,05</w:t>
            </w:r>
            <w:r w:rsidRPr="00FF2426">
              <w:sym w:font="Symbol" w:char="F0B4"/>
            </w:r>
            <w:r w:rsidRPr="00FF2426">
              <w:t>10</w:t>
            </w:r>
            <w:r w:rsidRPr="00FF2426">
              <w:rPr>
                <w:vertAlign w:val="superscript"/>
              </w:rPr>
              <w:t>-5</w:t>
            </w:r>
          </w:p>
          <w:p w14:paraId="6EA5BEB1" w14:textId="77777777" w:rsidR="00094A06" w:rsidRPr="00FF2426" w:rsidRDefault="00094A06" w:rsidP="00BC6645">
            <w:pPr>
              <w:jc w:val="center"/>
            </w:pPr>
            <w:r w:rsidRPr="00FF2426">
              <w:t xml:space="preserve"> </w:t>
            </w:r>
            <w:r>
              <w:t>(1,47</w:t>
            </w:r>
            <w:r w:rsidRPr="00FF2426">
              <w:sym w:font="Symbol" w:char="F0B4"/>
            </w:r>
            <w:r w:rsidRPr="00FF2426">
              <w:t>10</w:t>
            </w:r>
            <w:r w:rsidRPr="00FF2426">
              <w:rPr>
                <w:vertAlign w:val="superscript"/>
              </w:rPr>
              <w:t>-</w:t>
            </w:r>
            <w:r>
              <w:rPr>
                <w:vertAlign w:val="superscript"/>
              </w:rPr>
              <w:t>4</w:t>
            </w:r>
            <w:r w:rsidRPr="00FF2426">
              <w:t>)</w:t>
            </w:r>
          </w:p>
        </w:tc>
      </w:tr>
      <w:tr w:rsidR="00094A06" w:rsidRPr="00FF2426" w14:paraId="0039CB79" w14:textId="77777777" w:rsidTr="00EF5A02">
        <w:tc>
          <w:tcPr>
            <w:tcW w:w="1667" w:type="pct"/>
          </w:tcPr>
          <w:p w14:paraId="51053972" w14:textId="77777777" w:rsidR="00094A06" w:rsidRPr="00FF2426" w:rsidRDefault="00094A06" w:rsidP="00BC6645">
            <w:pPr>
              <w:keepLines/>
              <w:jc w:val="center"/>
              <w:rPr>
                <w:rFonts w:ascii="Symbol" w:hAnsi="Symbol"/>
                <w:i/>
              </w:rPr>
            </w:pPr>
            <w:r w:rsidRPr="00FF2426">
              <w:rPr>
                <w:rFonts w:ascii="Symbol" w:hAnsi="Symbol"/>
                <w:i/>
              </w:rPr>
              <w:sym w:font="Symbol" w:char="F066"/>
            </w:r>
            <w:r w:rsidRPr="00FF2426">
              <w:rPr>
                <w:vertAlign w:val="subscript"/>
              </w:rPr>
              <w:t xml:space="preserve"> p</w:t>
            </w:r>
            <w:r w:rsidR="006010CB">
              <w:rPr>
                <w:vertAlign w:val="subscript"/>
              </w:rPr>
              <w:t>0</w:t>
            </w:r>
          </w:p>
        </w:tc>
        <w:tc>
          <w:tcPr>
            <w:tcW w:w="1667" w:type="pct"/>
          </w:tcPr>
          <w:p w14:paraId="50799963" w14:textId="77777777" w:rsidR="00094A06" w:rsidRPr="00FF2426" w:rsidRDefault="00094A06" w:rsidP="00BC6645">
            <w:pPr>
              <w:keepNext/>
              <w:jc w:val="center"/>
            </w:pPr>
            <w:r w:rsidRPr="00FF2426">
              <w:t>-</w:t>
            </w:r>
          </w:p>
        </w:tc>
        <w:tc>
          <w:tcPr>
            <w:tcW w:w="1666" w:type="pct"/>
            <w:vAlign w:val="bottom"/>
          </w:tcPr>
          <w:p w14:paraId="63FE5609" w14:textId="77777777" w:rsidR="00094A06" w:rsidRPr="00FF2426" w:rsidRDefault="00094A06" w:rsidP="00BC6645">
            <w:pPr>
              <w:jc w:val="center"/>
            </w:pPr>
            <w:r w:rsidRPr="00FF2426">
              <w:t>8,82</w:t>
            </w:r>
            <w:r w:rsidRPr="00FF2426">
              <w:sym w:font="Symbol" w:char="F0B4"/>
            </w:r>
            <w:r w:rsidRPr="00FF2426">
              <w:t>10</w:t>
            </w:r>
            <w:r w:rsidRPr="00FF2426">
              <w:rPr>
                <w:vertAlign w:val="superscript"/>
              </w:rPr>
              <w:t>-5</w:t>
            </w:r>
            <w:r w:rsidRPr="00D34339">
              <w:t>*</w:t>
            </w:r>
          </w:p>
          <w:p w14:paraId="2F3786C4" w14:textId="77777777" w:rsidR="00094A06" w:rsidRPr="00FF2426" w:rsidRDefault="00094A06" w:rsidP="00BC6645">
            <w:pPr>
              <w:jc w:val="center"/>
            </w:pPr>
            <w:r>
              <w:t>(3</w:t>
            </w:r>
            <w:r w:rsidRPr="00FF2426">
              <w:t>,</w:t>
            </w:r>
            <w:r>
              <w:t>4</w:t>
            </w:r>
            <w:r w:rsidRPr="00FF2426">
              <w:t>1</w:t>
            </w:r>
            <w:r w:rsidRPr="00FF2426">
              <w:sym w:font="Symbol" w:char="F0B4"/>
            </w:r>
            <w:r w:rsidRPr="00FF2426">
              <w:t>10</w:t>
            </w:r>
            <w:r>
              <w:rPr>
                <w:vertAlign w:val="superscript"/>
              </w:rPr>
              <w:t>-5</w:t>
            </w:r>
            <w:r w:rsidRPr="00FF2426">
              <w:t>)</w:t>
            </w:r>
          </w:p>
        </w:tc>
      </w:tr>
      <w:tr w:rsidR="00094A06" w:rsidRPr="00FF2426" w14:paraId="0EEC2BA1" w14:textId="77777777" w:rsidTr="00EF5A02">
        <w:tc>
          <w:tcPr>
            <w:tcW w:w="1667" w:type="pct"/>
          </w:tcPr>
          <w:p w14:paraId="443F9243" w14:textId="77777777" w:rsidR="00094A06" w:rsidRPr="00FF2426" w:rsidRDefault="00094A06" w:rsidP="00BC6645">
            <w:pPr>
              <w:keepLines/>
              <w:jc w:val="center"/>
              <w:rPr>
                <w:rFonts w:ascii="Symbol" w:hAnsi="Symbol"/>
                <w:i/>
              </w:rPr>
            </w:pPr>
            <w:r w:rsidRPr="00FF2426">
              <w:rPr>
                <w:rFonts w:ascii="Symbol" w:hAnsi="Symbol"/>
                <w:i/>
              </w:rPr>
              <w:sym w:font="Symbol" w:char="F070"/>
            </w:r>
            <w:r w:rsidRPr="00FF2426">
              <w:rPr>
                <w:vertAlign w:val="subscript"/>
              </w:rPr>
              <w:t xml:space="preserve"> p</w:t>
            </w:r>
            <w:r w:rsidR="006010CB">
              <w:rPr>
                <w:vertAlign w:val="subscript"/>
              </w:rPr>
              <w:t>0</w:t>
            </w:r>
          </w:p>
        </w:tc>
        <w:tc>
          <w:tcPr>
            <w:tcW w:w="1667" w:type="pct"/>
          </w:tcPr>
          <w:p w14:paraId="55DADBBF" w14:textId="77777777" w:rsidR="00094A06" w:rsidRPr="00FF2426" w:rsidRDefault="00094A06" w:rsidP="00BC6645">
            <w:pPr>
              <w:keepNext/>
              <w:jc w:val="center"/>
            </w:pPr>
            <w:r w:rsidRPr="00FF2426">
              <w:t>-</w:t>
            </w:r>
          </w:p>
        </w:tc>
        <w:tc>
          <w:tcPr>
            <w:tcW w:w="1666" w:type="pct"/>
            <w:vAlign w:val="bottom"/>
          </w:tcPr>
          <w:p w14:paraId="482D1A95" w14:textId="77777777" w:rsidR="00094A06" w:rsidRPr="00FF2426" w:rsidRDefault="00094A06" w:rsidP="00BC6645">
            <w:pPr>
              <w:jc w:val="center"/>
            </w:pPr>
            <w:r w:rsidRPr="00FF2426">
              <w:t>2,05</w:t>
            </w:r>
            <w:r w:rsidRPr="00FF2426">
              <w:sym w:font="Symbol" w:char="F0B4"/>
            </w:r>
            <w:r w:rsidRPr="00FF2426">
              <w:t>10</w:t>
            </w:r>
            <w:r w:rsidRPr="00FF2426">
              <w:rPr>
                <w:vertAlign w:val="superscript"/>
              </w:rPr>
              <w:t>-5</w:t>
            </w:r>
          </w:p>
          <w:p w14:paraId="0561AB10" w14:textId="77777777" w:rsidR="00094A06" w:rsidRPr="00FF2426" w:rsidRDefault="00094A06" w:rsidP="00BC6645">
            <w:pPr>
              <w:jc w:val="center"/>
            </w:pPr>
            <w:r w:rsidRPr="00FF2426">
              <w:t>(</w:t>
            </w:r>
            <w:r>
              <w:t>1</w:t>
            </w:r>
            <w:r w:rsidRPr="00FF2426">
              <w:t>,</w:t>
            </w:r>
            <w:r>
              <w:t>5</w:t>
            </w:r>
            <w:r w:rsidRPr="00FF2426">
              <w:t>8</w:t>
            </w:r>
            <w:r w:rsidRPr="00FF2426">
              <w:sym w:font="Symbol" w:char="F0B4"/>
            </w:r>
            <w:r w:rsidRPr="00FF2426">
              <w:t>10</w:t>
            </w:r>
            <w:r>
              <w:rPr>
                <w:vertAlign w:val="superscript"/>
              </w:rPr>
              <w:t>-5</w:t>
            </w:r>
            <w:r w:rsidRPr="00FF2426">
              <w:t>)</w:t>
            </w:r>
          </w:p>
        </w:tc>
      </w:tr>
      <w:tr w:rsidR="00094A06" w:rsidRPr="00FF2426" w14:paraId="682C3E52" w14:textId="77777777" w:rsidTr="00EF5A02">
        <w:tc>
          <w:tcPr>
            <w:tcW w:w="1667" w:type="pct"/>
          </w:tcPr>
          <w:p w14:paraId="1552766A" w14:textId="77777777" w:rsidR="00094A06" w:rsidRPr="00FF2426" w:rsidRDefault="00094A06" w:rsidP="00BC6645">
            <w:pPr>
              <w:keepLines/>
              <w:jc w:val="center"/>
              <w:rPr>
                <w:rFonts w:ascii="Symbol" w:hAnsi="Symbol"/>
                <w:i/>
              </w:rPr>
            </w:pPr>
            <w:r w:rsidRPr="00FF2426">
              <w:rPr>
                <w:rFonts w:ascii="Symbol" w:hAnsi="Symbol"/>
                <w:i/>
              </w:rPr>
              <w:sym w:font="Symbol" w:char="F06B"/>
            </w:r>
            <w:r w:rsidRPr="00FF2426">
              <w:rPr>
                <w:vertAlign w:val="subscript"/>
              </w:rPr>
              <w:t xml:space="preserve"> p</w:t>
            </w:r>
            <w:r w:rsidR="006010CB">
              <w:rPr>
                <w:vertAlign w:val="subscript"/>
              </w:rPr>
              <w:t>0</w:t>
            </w:r>
          </w:p>
        </w:tc>
        <w:tc>
          <w:tcPr>
            <w:tcW w:w="1667" w:type="pct"/>
          </w:tcPr>
          <w:p w14:paraId="17957975" w14:textId="77777777" w:rsidR="00094A06" w:rsidRPr="00FF2426" w:rsidRDefault="00094A06" w:rsidP="00BC6645">
            <w:pPr>
              <w:keepNext/>
              <w:jc w:val="center"/>
            </w:pPr>
            <w:r w:rsidRPr="00FF2426">
              <w:t>-</w:t>
            </w:r>
          </w:p>
        </w:tc>
        <w:tc>
          <w:tcPr>
            <w:tcW w:w="1666" w:type="pct"/>
            <w:vAlign w:val="bottom"/>
          </w:tcPr>
          <w:p w14:paraId="5C6132C7" w14:textId="77777777" w:rsidR="00094A06" w:rsidRPr="00FF2426" w:rsidRDefault="00094A06" w:rsidP="00BC6645">
            <w:pPr>
              <w:jc w:val="center"/>
            </w:pPr>
            <w:r w:rsidRPr="00FF2426">
              <w:t>5,52</w:t>
            </w:r>
            <w:r w:rsidRPr="00FF2426">
              <w:sym w:font="Symbol" w:char="F0B4"/>
            </w:r>
            <w:r w:rsidRPr="00FF2426">
              <w:t>10</w:t>
            </w:r>
            <w:r w:rsidRPr="00FF2426">
              <w:rPr>
                <w:vertAlign w:val="superscript"/>
              </w:rPr>
              <w:t>-5</w:t>
            </w:r>
            <w:r w:rsidRPr="00D34339">
              <w:t>*</w:t>
            </w:r>
          </w:p>
          <w:p w14:paraId="17E5DBC1" w14:textId="77777777" w:rsidR="00094A06" w:rsidRPr="00FF2426" w:rsidRDefault="00094A06" w:rsidP="00BC6645">
            <w:pPr>
              <w:jc w:val="center"/>
            </w:pPr>
            <w:r>
              <w:t>(1,97</w:t>
            </w:r>
            <w:r w:rsidRPr="00FF2426">
              <w:sym w:font="Symbol" w:char="F0B4"/>
            </w:r>
            <w:r w:rsidRPr="00FF2426">
              <w:t>10</w:t>
            </w:r>
            <w:r w:rsidRPr="00FF2426">
              <w:rPr>
                <w:vertAlign w:val="superscript"/>
              </w:rPr>
              <w:t>-</w:t>
            </w:r>
            <w:r>
              <w:rPr>
                <w:vertAlign w:val="superscript"/>
              </w:rPr>
              <w:t>5</w:t>
            </w:r>
            <w:r w:rsidRPr="00FF2426">
              <w:t>)</w:t>
            </w:r>
          </w:p>
        </w:tc>
      </w:tr>
      <w:tr w:rsidR="00094A06" w:rsidRPr="00FF2426" w14:paraId="25FEDD27" w14:textId="77777777" w:rsidTr="00EF5A02">
        <w:tc>
          <w:tcPr>
            <w:tcW w:w="1667" w:type="pct"/>
          </w:tcPr>
          <w:p w14:paraId="045FCD5F" w14:textId="77777777" w:rsidR="00094A06" w:rsidRPr="00FF2426" w:rsidRDefault="00094A06" w:rsidP="00BC6645">
            <w:pPr>
              <w:keepLines/>
              <w:jc w:val="center"/>
              <w:rPr>
                <w:rFonts w:ascii="Symbol" w:hAnsi="Symbol"/>
                <w:i/>
              </w:rPr>
            </w:pPr>
            <w:r w:rsidRPr="00FF2426">
              <w:rPr>
                <w:rFonts w:ascii="Symbol" w:hAnsi="Symbol"/>
                <w:i/>
              </w:rPr>
              <w:sym w:font="Symbol" w:char="F066"/>
            </w:r>
            <w:r w:rsidRPr="00FF2426">
              <w:rPr>
                <w:vertAlign w:val="subscript"/>
              </w:rPr>
              <w:t xml:space="preserve"> c</w:t>
            </w:r>
            <w:r w:rsidR="006010CB">
              <w:rPr>
                <w:vertAlign w:val="subscript"/>
              </w:rPr>
              <w:t>0</w:t>
            </w:r>
          </w:p>
        </w:tc>
        <w:tc>
          <w:tcPr>
            <w:tcW w:w="1667" w:type="pct"/>
          </w:tcPr>
          <w:p w14:paraId="6A567978" w14:textId="77777777" w:rsidR="00094A06" w:rsidRPr="00FF2426" w:rsidRDefault="00094A06" w:rsidP="00BC6645">
            <w:pPr>
              <w:keepNext/>
              <w:jc w:val="center"/>
            </w:pPr>
            <w:r w:rsidRPr="00FF2426">
              <w:t>-</w:t>
            </w:r>
          </w:p>
        </w:tc>
        <w:tc>
          <w:tcPr>
            <w:tcW w:w="1666" w:type="pct"/>
            <w:vAlign w:val="bottom"/>
          </w:tcPr>
          <w:p w14:paraId="127EE722" w14:textId="77777777" w:rsidR="00094A06" w:rsidRPr="00FF2426" w:rsidRDefault="00094A06" w:rsidP="00BC6645">
            <w:pPr>
              <w:jc w:val="center"/>
            </w:pPr>
            <w:r w:rsidRPr="00FF2426">
              <w:t>-5,34</w:t>
            </w:r>
            <w:r w:rsidRPr="00FF2426">
              <w:sym w:font="Symbol" w:char="F0B4"/>
            </w:r>
            <w:r w:rsidRPr="00FF2426">
              <w:t>10</w:t>
            </w:r>
            <w:r w:rsidRPr="00FF2426">
              <w:rPr>
                <w:vertAlign w:val="superscript"/>
              </w:rPr>
              <w:t>-5</w:t>
            </w:r>
          </w:p>
          <w:p w14:paraId="2975C477" w14:textId="77777777" w:rsidR="00094A06" w:rsidRPr="00FF2426" w:rsidRDefault="00094A06" w:rsidP="00BC6645">
            <w:pPr>
              <w:jc w:val="center"/>
            </w:pPr>
            <w:r>
              <w:t>(3,83</w:t>
            </w:r>
            <w:r w:rsidRPr="00FF2426">
              <w:sym w:font="Symbol" w:char="F0B4"/>
            </w:r>
            <w:r w:rsidRPr="00FF2426">
              <w:t>10</w:t>
            </w:r>
            <w:r>
              <w:rPr>
                <w:vertAlign w:val="superscript"/>
              </w:rPr>
              <w:t>-5</w:t>
            </w:r>
            <w:r w:rsidRPr="00FF2426">
              <w:t>)</w:t>
            </w:r>
          </w:p>
        </w:tc>
      </w:tr>
      <w:tr w:rsidR="00094A06" w:rsidRPr="00FF2426" w14:paraId="49C2BF0F" w14:textId="77777777" w:rsidTr="00EF5A02">
        <w:tc>
          <w:tcPr>
            <w:tcW w:w="1667" w:type="pct"/>
          </w:tcPr>
          <w:p w14:paraId="3D76E56E" w14:textId="77777777" w:rsidR="00094A06" w:rsidRPr="00FF2426" w:rsidRDefault="00094A06" w:rsidP="00BC6645">
            <w:pPr>
              <w:keepLines/>
              <w:jc w:val="center"/>
              <w:rPr>
                <w:rFonts w:ascii="Symbol" w:hAnsi="Symbol"/>
                <w:i/>
              </w:rPr>
            </w:pPr>
            <w:r w:rsidRPr="00FF2426">
              <w:rPr>
                <w:rFonts w:ascii="Symbol" w:hAnsi="Symbol"/>
                <w:i/>
              </w:rPr>
              <w:sym w:font="Symbol" w:char="F070"/>
            </w:r>
            <w:r w:rsidRPr="00FF2426">
              <w:rPr>
                <w:vertAlign w:val="subscript"/>
              </w:rPr>
              <w:t xml:space="preserve"> p</w:t>
            </w:r>
            <w:r w:rsidR="006010CB">
              <w:rPr>
                <w:vertAlign w:val="subscript"/>
              </w:rPr>
              <w:t>0</w:t>
            </w:r>
          </w:p>
        </w:tc>
        <w:tc>
          <w:tcPr>
            <w:tcW w:w="1667" w:type="pct"/>
          </w:tcPr>
          <w:p w14:paraId="154C72A6" w14:textId="77777777" w:rsidR="00094A06" w:rsidRPr="00FF2426" w:rsidRDefault="00094A06" w:rsidP="00BC6645">
            <w:pPr>
              <w:keepNext/>
              <w:jc w:val="center"/>
            </w:pPr>
            <w:r w:rsidRPr="00FF2426">
              <w:t>-</w:t>
            </w:r>
          </w:p>
        </w:tc>
        <w:tc>
          <w:tcPr>
            <w:tcW w:w="1666" w:type="pct"/>
            <w:vAlign w:val="bottom"/>
          </w:tcPr>
          <w:p w14:paraId="30D6FAEF" w14:textId="77777777" w:rsidR="00094A06" w:rsidRPr="00FF2426" w:rsidRDefault="00094A06" w:rsidP="00BC6645">
            <w:pPr>
              <w:jc w:val="center"/>
            </w:pPr>
            <w:r w:rsidRPr="00FF2426">
              <w:t>2,31</w:t>
            </w:r>
            <w:r w:rsidRPr="00FF2426">
              <w:sym w:font="Symbol" w:char="F0B4"/>
            </w:r>
            <w:r w:rsidRPr="00FF2426">
              <w:t>10</w:t>
            </w:r>
            <w:r w:rsidRPr="00FF2426">
              <w:rPr>
                <w:vertAlign w:val="superscript"/>
              </w:rPr>
              <w:t>-5</w:t>
            </w:r>
          </w:p>
          <w:p w14:paraId="4265783E" w14:textId="77777777" w:rsidR="00094A06" w:rsidRPr="00FF2426" w:rsidRDefault="00094A06" w:rsidP="00BC6645">
            <w:pPr>
              <w:jc w:val="center"/>
            </w:pPr>
            <w:r>
              <w:t>(1,86</w:t>
            </w:r>
            <w:r w:rsidRPr="00FF2426">
              <w:sym w:font="Symbol" w:char="F0B4"/>
            </w:r>
            <w:r w:rsidRPr="00FF2426">
              <w:t>10</w:t>
            </w:r>
            <w:r>
              <w:rPr>
                <w:vertAlign w:val="superscript"/>
              </w:rPr>
              <w:t>-5</w:t>
            </w:r>
            <w:r w:rsidRPr="00FF2426">
              <w:t>)</w:t>
            </w:r>
          </w:p>
        </w:tc>
      </w:tr>
      <w:tr w:rsidR="00094A06" w:rsidRPr="00FF2426" w14:paraId="7B900BCE" w14:textId="77777777" w:rsidTr="00EF5A02">
        <w:tc>
          <w:tcPr>
            <w:tcW w:w="1667" w:type="pct"/>
          </w:tcPr>
          <w:p w14:paraId="4F2888CD" w14:textId="77777777" w:rsidR="00094A06" w:rsidRPr="00FF2426" w:rsidRDefault="00094A06" w:rsidP="00BC6645">
            <w:pPr>
              <w:keepLines/>
              <w:jc w:val="center"/>
              <w:rPr>
                <w:rFonts w:ascii="Symbol" w:hAnsi="Symbol"/>
                <w:i/>
              </w:rPr>
            </w:pPr>
            <w:r w:rsidRPr="00FF2426">
              <w:rPr>
                <w:rFonts w:ascii="Symbol" w:hAnsi="Symbol"/>
                <w:i/>
              </w:rPr>
              <w:sym w:font="Symbol" w:char="F06B"/>
            </w:r>
            <w:r w:rsidRPr="00FF2426">
              <w:rPr>
                <w:vertAlign w:val="subscript"/>
              </w:rPr>
              <w:t xml:space="preserve"> c</w:t>
            </w:r>
            <w:r w:rsidR="006010CB">
              <w:rPr>
                <w:vertAlign w:val="subscript"/>
              </w:rPr>
              <w:t>0</w:t>
            </w:r>
          </w:p>
        </w:tc>
        <w:tc>
          <w:tcPr>
            <w:tcW w:w="1667" w:type="pct"/>
          </w:tcPr>
          <w:p w14:paraId="6114FEF5" w14:textId="77777777" w:rsidR="00094A06" w:rsidRPr="00FF2426" w:rsidRDefault="00094A06" w:rsidP="00BC6645">
            <w:pPr>
              <w:keepNext/>
              <w:jc w:val="center"/>
            </w:pPr>
            <w:r w:rsidRPr="00FF2426">
              <w:t>-</w:t>
            </w:r>
          </w:p>
        </w:tc>
        <w:tc>
          <w:tcPr>
            <w:tcW w:w="1666" w:type="pct"/>
            <w:vAlign w:val="bottom"/>
          </w:tcPr>
          <w:p w14:paraId="7D85D8B6" w14:textId="77777777" w:rsidR="00094A06" w:rsidRPr="00FF2426" w:rsidRDefault="00094A06" w:rsidP="00BC6645">
            <w:pPr>
              <w:jc w:val="center"/>
            </w:pPr>
            <w:r w:rsidRPr="00FF2426">
              <w:t>-6,81</w:t>
            </w:r>
            <w:r w:rsidRPr="00FF2426">
              <w:sym w:font="Symbol" w:char="F0B4"/>
            </w:r>
            <w:r w:rsidRPr="00FF2426">
              <w:t>10</w:t>
            </w:r>
            <w:r w:rsidRPr="00FF2426">
              <w:rPr>
                <w:vertAlign w:val="superscript"/>
              </w:rPr>
              <w:t>-6</w:t>
            </w:r>
          </w:p>
          <w:p w14:paraId="12D7CAE9" w14:textId="77777777" w:rsidR="00094A06" w:rsidRPr="00FF2426" w:rsidRDefault="00094A06" w:rsidP="00BC6645">
            <w:pPr>
              <w:jc w:val="center"/>
            </w:pPr>
            <w:r>
              <w:t>(2</w:t>
            </w:r>
            <w:r w:rsidRPr="00FF2426">
              <w:t>,</w:t>
            </w:r>
            <w:r>
              <w:t>27</w:t>
            </w:r>
            <w:r w:rsidRPr="00FF2426">
              <w:sym w:font="Symbol" w:char="F0B4"/>
            </w:r>
            <w:r w:rsidRPr="00FF2426">
              <w:t>10</w:t>
            </w:r>
            <w:r>
              <w:rPr>
                <w:vertAlign w:val="superscript"/>
              </w:rPr>
              <w:t>-5</w:t>
            </w:r>
            <w:r w:rsidRPr="00FF2426">
              <w:t>)</w:t>
            </w:r>
          </w:p>
        </w:tc>
      </w:tr>
      <w:tr w:rsidR="00094A06" w:rsidRPr="00FF2426" w14:paraId="52E0F25A" w14:textId="77777777" w:rsidTr="00EF5A02">
        <w:tc>
          <w:tcPr>
            <w:tcW w:w="1667" w:type="pct"/>
          </w:tcPr>
          <w:p w14:paraId="6021E2C2" w14:textId="77777777" w:rsidR="00094A06" w:rsidRPr="00FF2426" w:rsidRDefault="00094A06" w:rsidP="00BC6645">
            <w:pPr>
              <w:jc w:val="both"/>
            </w:pPr>
            <w:r w:rsidRPr="00FF2426">
              <w:t>Logaritmo da Verossimilhança</w:t>
            </w:r>
          </w:p>
        </w:tc>
        <w:tc>
          <w:tcPr>
            <w:tcW w:w="1667" w:type="pct"/>
          </w:tcPr>
          <w:p w14:paraId="0F050F4F" w14:textId="77777777" w:rsidR="00094A06" w:rsidRPr="00FF2426" w:rsidRDefault="00094A06" w:rsidP="00BC6645">
            <w:pPr>
              <w:keepNext/>
              <w:jc w:val="center"/>
            </w:pPr>
            <w:r w:rsidRPr="00FF2426">
              <w:t>619,587</w:t>
            </w:r>
          </w:p>
        </w:tc>
        <w:tc>
          <w:tcPr>
            <w:tcW w:w="1666" w:type="pct"/>
          </w:tcPr>
          <w:p w14:paraId="50291394" w14:textId="77777777" w:rsidR="00094A06" w:rsidRPr="00FF2426" w:rsidRDefault="00094A06" w:rsidP="00BC6645">
            <w:pPr>
              <w:keepNext/>
              <w:jc w:val="center"/>
            </w:pPr>
            <w:r w:rsidRPr="00FF2426">
              <w:t>621,767</w:t>
            </w:r>
          </w:p>
        </w:tc>
      </w:tr>
      <w:tr w:rsidR="00094A06" w:rsidRPr="00FF2426" w14:paraId="3E4188B1" w14:textId="77777777" w:rsidTr="00EF5A02">
        <w:tc>
          <w:tcPr>
            <w:tcW w:w="1667" w:type="pct"/>
          </w:tcPr>
          <w:p w14:paraId="1ABE3B84" w14:textId="77777777" w:rsidR="00094A06" w:rsidRPr="00FF2426" w:rsidRDefault="00094A06" w:rsidP="00BC6645">
            <w:pPr>
              <w:jc w:val="both"/>
            </w:pPr>
            <w:r w:rsidRPr="00FF2426">
              <w:t>R</w:t>
            </w:r>
            <w:r w:rsidRPr="00FF2426">
              <w:rPr>
                <w:vertAlign w:val="superscript"/>
              </w:rPr>
              <w:t>2</w:t>
            </w:r>
            <w:r w:rsidRPr="00FF2426">
              <w:t xml:space="preserve"> Ajustado da Equação da Carne Bovina</w:t>
            </w:r>
          </w:p>
        </w:tc>
        <w:tc>
          <w:tcPr>
            <w:tcW w:w="1667" w:type="pct"/>
          </w:tcPr>
          <w:p w14:paraId="0EFE021C" w14:textId="77777777" w:rsidR="00094A06" w:rsidRPr="00FF2426" w:rsidRDefault="00094A06" w:rsidP="00BC6645">
            <w:pPr>
              <w:keepNext/>
              <w:jc w:val="center"/>
            </w:pPr>
            <w:r w:rsidRPr="00FF2426">
              <w:t>0,656</w:t>
            </w:r>
          </w:p>
        </w:tc>
        <w:tc>
          <w:tcPr>
            <w:tcW w:w="1666" w:type="pct"/>
          </w:tcPr>
          <w:p w14:paraId="41A3A6C4" w14:textId="77777777" w:rsidR="00094A06" w:rsidRPr="00FF2426" w:rsidRDefault="00094A06" w:rsidP="00BC6645">
            <w:pPr>
              <w:keepNext/>
              <w:jc w:val="center"/>
            </w:pPr>
            <w:r w:rsidRPr="00FF2426">
              <w:t>0,813</w:t>
            </w:r>
          </w:p>
        </w:tc>
      </w:tr>
      <w:tr w:rsidR="00094A06" w:rsidRPr="00FF2426" w14:paraId="51DE5DAB" w14:textId="77777777" w:rsidTr="00EF5A02">
        <w:tc>
          <w:tcPr>
            <w:tcW w:w="1667" w:type="pct"/>
          </w:tcPr>
          <w:p w14:paraId="7325BFD2" w14:textId="77777777" w:rsidR="00094A06" w:rsidRPr="00FF2426" w:rsidRDefault="00094A06" w:rsidP="00BC6645">
            <w:pPr>
              <w:jc w:val="both"/>
            </w:pPr>
            <w:r w:rsidRPr="00FF2426">
              <w:t>R</w:t>
            </w:r>
            <w:r w:rsidRPr="00FF2426">
              <w:rPr>
                <w:vertAlign w:val="superscript"/>
              </w:rPr>
              <w:t>2</w:t>
            </w:r>
            <w:r w:rsidRPr="00FF2426">
              <w:t xml:space="preserve"> Ajustado da Equação da Carne Suína</w:t>
            </w:r>
          </w:p>
        </w:tc>
        <w:tc>
          <w:tcPr>
            <w:tcW w:w="1667" w:type="pct"/>
          </w:tcPr>
          <w:p w14:paraId="0A3CCD1C" w14:textId="77777777" w:rsidR="00094A06" w:rsidRPr="00FF2426" w:rsidRDefault="00094A06" w:rsidP="00BC6645">
            <w:pPr>
              <w:keepNext/>
              <w:jc w:val="center"/>
            </w:pPr>
            <w:r w:rsidRPr="00FF2426">
              <w:t>0,894</w:t>
            </w:r>
          </w:p>
        </w:tc>
        <w:tc>
          <w:tcPr>
            <w:tcW w:w="1666" w:type="pct"/>
          </w:tcPr>
          <w:p w14:paraId="59955B59" w14:textId="77777777" w:rsidR="00094A06" w:rsidRPr="00FF2426" w:rsidRDefault="00094A06" w:rsidP="00BC6645">
            <w:pPr>
              <w:keepNext/>
              <w:jc w:val="center"/>
            </w:pPr>
            <w:r w:rsidRPr="00FF2426">
              <w:t>0,846</w:t>
            </w:r>
          </w:p>
        </w:tc>
      </w:tr>
      <w:tr w:rsidR="00094A06" w:rsidRPr="00FF2426" w14:paraId="0766FCCF" w14:textId="77777777" w:rsidTr="00EF5A02">
        <w:tc>
          <w:tcPr>
            <w:tcW w:w="1667" w:type="pct"/>
          </w:tcPr>
          <w:p w14:paraId="5ABC3805" w14:textId="77777777" w:rsidR="00094A06" w:rsidRPr="00FF2426" w:rsidRDefault="00094A06" w:rsidP="00BC6645">
            <w:pPr>
              <w:jc w:val="both"/>
            </w:pPr>
            <w:r w:rsidRPr="00FF2426">
              <w:t>R</w:t>
            </w:r>
            <w:r w:rsidRPr="00FF2426">
              <w:rPr>
                <w:vertAlign w:val="superscript"/>
              </w:rPr>
              <w:t>2</w:t>
            </w:r>
            <w:r w:rsidRPr="00FF2426">
              <w:t xml:space="preserve"> Ajustado da Equação da Carne de Frango</w:t>
            </w:r>
          </w:p>
        </w:tc>
        <w:tc>
          <w:tcPr>
            <w:tcW w:w="1667" w:type="pct"/>
          </w:tcPr>
          <w:p w14:paraId="01BDFBED" w14:textId="77777777" w:rsidR="00094A06" w:rsidRPr="00FF2426" w:rsidRDefault="00094A06" w:rsidP="00BC6645">
            <w:pPr>
              <w:keepNext/>
              <w:jc w:val="center"/>
            </w:pPr>
            <w:r w:rsidRPr="00FF2426">
              <w:t>0,895</w:t>
            </w:r>
          </w:p>
        </w:tc>
        <w:tc>
          <w:tcPr>
            <w:tcW w:w="1666" w:type="pct"/>
          </w:tcPr>
          <w:p w14:paraId="707659FC" w14:textId="77777777" w:rsidR="00094A06" w:rsidRPr="00FF2426" w:rsidRDefault="00094A06" w:rsidP="00BC6645">
            <w:pPr>
              <w:keepNext/>
              <w:jc w:val="center"/>
            </w:pPr>
            <w:r w:rsidRPr="00FF2426">
              <w:t>0,665</w:t>
            </w:r>
          </w:p>
        </w:tc>
      </w:tr>
    </w:tbl>
    <w:p w14:paraId="14FD36BE" w14:textId="77777777" w:rsidR="00094A06" w:rsidRDefault="00094A06" w:rsidP="00BC6645">
      <w:pPr>
        <w:ind w:firstLine="720"/>
        <w:jc w:val="both"/>
      </w:pPr>
    </w:p>
    <w:p w14:paraId="5129CA93" w14:textId="77777777" w:rsidR="00094A06" w:rsidRPr="009F48C8" w:rsidRDefault="00094A06" w:rsidP="00BC6645">
      <w:pPr>
        <w:ind w:firstLine="720"/>
        <w:jc w:val="both"/>
      </w:pPr>
      <w:r>
        <w:t>C</w:t>
      </w:r>
      <w:r w:rsidRPr="009F48C8">
        <w:t>orroborando a conclusão anterior, vale mencionar que os resultados</w:t>
      </w:r>
      <w:r w:rsidR="00710A73">
        <w:t xml:space="preserve"> na terceira coluna da Tabela 5</w:t>
      </w:r>
      <w:r w:rsidRPr="009F48C8">
        <w:t xml:space="preserve"> foram</w:t>
      </w:r>
      <w:r>
        <w:t xml:space="preserve"> muito próximos de</w:t>
      </w:r>
      <w:r w:rsidRPr="009F48C8">
        <w:t xml:space="preserve"> zero para cada estimativa d</w:t>
      </w:r>
      <w:r>
        <w:t>e</w:t>
      </w:r>
      <w:r w:rsidRPr="009F48C8">
        <w:t xml:space="preserve"> coeficiente</w:t>
      </w:r>
      <w:r>
        <w:t xml:space="preserve"> relacionado aos</w:t>
      </w:r>
      <w:r w:rsidRPr="009F48C8">
        <w:t xml:space="preserve"> índices de segurança </w:t>
      </w:r>
      <w:r w:rsidRPr="009F48C8">
        <w:lastRenderedPageBreak/>
        <w:t>do alimento</w:t>
      </w:r>
      <w:r>
        <w:t>. Ainda,</w:t>
      </w:r>
      <w:r w:rsidRPr="009F48C8">
        <w:t xml:space="preserve"> exceto para </w:t>
      </w:r>
      <w:r w:rsidRPr="009F48C8">
        <w:rPr>
          <w:rFonts w:ascii="Symbol" w:hAnsi="Symbol"/>
          <w:i/>
        </w:rPr>
        <w:sym w:font="Symbol" w:char="F066"/>
      </w:r>
      <w:r w:rsidRPr="009F48C8">
        <w:rPr>
          <w:vertAlign w:val="subscript"/>
        </w:rPr>
        <w:t xml:space="preserve">p1 </w:t>
      </w:r>
      <w:r w:rsidRPr="009F48C8">
        <w:t xml:space="preserve">e </w:t>
      </w:r>
      <w:r w:rsidRPr="009F48C8">
        <w:rPr>
          <w:rFonts w:ascii="Symbol" w:hAnsi="Symbol"/>
          <w:i/>
        </w:rPr>
        <w:sym w:font="Symbol" w:char="F06B"/>
      </w:r>
      <w:r w:rsidRPr="009F48C8">
        <w:rPr>
          <w:vertAlign w:val="subscript"/>
        </w:rPr>
        <w:t>p1</w:t>
      </w:r>
      <w:r w:rsidRPr="009F48C8">
        <w:t>, que</w:t>
      </w:r>
      <w:r>
        <w:t xml:space="preserve"> são</w:t>
      </w:r>
      <w:r w:rsidRPr="009F48C8">
        <w:t xml:space="preserve"> individualment</w:t>
      </w:r>
      <w:r w:rsidR="00710A73">
        <w:t>e estatisticamente significativos</w:t>
      </w:r>
      <w:r w:rsidRPr="009F48C8">
        <w:t xml:space="preserve">, os demais coeficientes dos índices de segurança do alimento </w:t>
      </w:r>
      <w:r w:rsidRPr="009F48C8">
        <w:rPr>
          <w:rFonts w:ascii="Symbol" w:hAnsi="Symbol"/>
          <w:i/>
        </w:rPr>
        <w:sym w:font="Symbol" w:char="F066"/>
      </w:r>
      <w:r w:rsidRPr="009F48C8">
        <w:rPr>
          <w:vertAlign w:val="subscript"/>
        </w:rPr>
        <w:t>b</w:t>
      </w:r>
      <w:r w:rsidR="00E14CDF">
        <w:rPr>
          <w:vertAlign w:val="subscript"/>
        </w:rPr>
        <w:t>0</w:t>
      </w:r>
      <w:r w:rsidRPr="009F48C8">
        <w:t>,</w:t>
      </w:r>
      <w:r w:rsidRPr="009F48C8">
        <w:rPr>
          <w:rFonts w:ascii="Symbol" w:hAnsi="Symbol"/>
          <w:i/>
        </w:rPr>
        <w:t></w:t>
      </w:r>
      <w:r w:rsidRPr="009F48C8">
        <w:rPr>
          <w:rFonts w:ascii="Symbol" w:hAnsi="Symbol"/>
          <w:i/>
        </w:rPr>
        <w:sym w:font="Symbol" w:char="F070"/>
      </w:r>
      <w:r w:rsidRPr="009F48C8">
        <w:rPr>
          <w:vertAlign w:val="subscript"/>
        </w:rPr>
        <w:t>b</w:t>
      </w:r>
      <w:r w:rsidR="00E14CDF">
        <w:rPr>
          <w:vertAlign w:val="subscript"/>
        </w:rPr>
        <w:t>0</w:t>
      </w:r>
      <w:r w:rsidRPr="009F48C8">
        <w:t>,</w:t>
      </w:r>
      <w:r w:rsidRPr="009F48C8">
        <w:rPr>
          <w:rFonts w:ascii="Symbol" w:hAnsi="Symbol"/>
          <w:i/>
        </w:rPr>
        <w:t></w:t>
      </w:r>
      <w:r w:rsidRPr="009F48C8">
        <w:rPr>
          <w:rFonts w:ascii="Symbol" w:hAnsi="Symbol"/>
          <w:i/>
        </w:rPr>
        <w:sym w:font="Symbol" w:char="F06B"/>
      </w:r>
      <w:r w:rsidRPr="009F48C8">
        <w:rPr>
          <w:vertAlign w:val="subscript"/>
        </w:rPr>
        <w:t>b</w:t>
      </w:r>
      <w:r w:rsidR="00E14CDF">
        <w:rPr>
          <w:vertAlign w:val="subscript"/>
        </w:rPr>
        <w:t>0</w:t>
      </w:r>
      <w:r w:rsidRPr="009F48C8">
        <w:t>,</w:t>
      </w:r>
      <w:r w:rsidRPr="009F48C8">
        <w:rPr>
          <w:rFonts w:ascii="Symbol" w:hAnsi="Symbol"/>
          <w:i/>
        </w:rPr>
        <w:t></w:t>
      </w:r>
      <w:r w:rsidRPr="009F48C8">
        <w:rPr>
          <w:rFonts w:ascii="Symbol" w:hAnsi="Symbol"/>
          <w:i/>
        </w:rPr>
        <w:sym w:font="Symbol" w:char="F070"/>
      </w:r>
      <w:r w:rsidRPr="009F48C8">
        <w:rPr>
          <w:vertAlign w:val="subscript"/>
        </w:rPr>
        <w:t>p</w:t>
      </w:r>
      <w:r w:rsidR="00E14CDF">
        <w:rPr>
          <w:vertAlign w:val="subscript"/>
        </w:rPr>
        <w:t>0</w:t>
      </w:r>
      <w:r w:rsidRPr="009F48C8">
        <w:t>,</w:t>
      </w:r>
      <w:r w:rsidRPr="009F48C8">
        <w:rPr>
          <w:rFonts w:ascii="Symbol" w:hAnsi="Symbol"/>
          <w:i/>
        </w:rPr>
        <w:t></w:t>
      </w:r>
      <w:r w:rsidRPr="009F48C8">
        <w:rPr>
          <w:rFonts w:ascii="Symbol" w:hAnsi="Symbol"/>
          <w:i/>
        </w:rPr>
        <w:sym w:font="Symbol" w:char="F066"/>
      </w:r>
      <w:r w:rsidRPr="009F48C8">
        <w:rPr>
          <w:vertAlign w:val="subscript"/>
        </w:rPr>
        <w:t>c</w:t>
      </w:r>
      <w:r w:rsidR="00E14CDF">
        <w:rPr>
          <w:vertAlign w:val="subscript"/>
        </w:rPr>
        <w:t>0</w:t>
      </w:r>
      <w:r w:rsidRPr="009F48C8">
        <w:t>,</w:t>
      </w:r>
      <w:r w:rsidRPr="009F48C8">
        <w:rPr>
          <w:rFonts w:ascii="Symbol" w:hAnsi="Symbol"/>
          <w:i/>
        </w:rPr>
        <w:t></w:t>
      </w:r>
      <w:r w:rsidRPr="009F48C8">
        <w:rPr>
          <w:rFonts w:ascii="Symbol" w:hAnsi="Symbol"/>
          <w:i/>
        </w:rPr>
        <w:sym w:font="Symbol" w:char="F070"/>
      </w:r>
      <w:r w:rsidR="00E14CDF">
        <w:rPr>
          <w:vertAlign w:val="subscript"/>
        </w:rPr>
        <w:t>c0</w:t>
      </w:r>
      <w:r w:rsidRPr="009F48C8">
        <w:rPr>
          <w:vertAlign w:val="subscript"/>
        </w:rPr>
        <w:t xml:space="preserve"> </w:t>
      </w:r>
      <w:r w:rsidRPr="009F48C8">
        <w:t>e</w:t>
      </w:r>
      <w:r w:rsidRPr="009F48C8">
        <w:rPr>
          <w:rFonts w:ascii="Symbol" w:hAnsi="Symbol"/>
          <w:i/>
        </w:rPr>
        <w:t></w:t>
      </w:r>
      <w:r w:rsidRPr="009F48C8">
        <w:rPr>
          <w:rFonts w:ascii="Symbol" w:hAnsi="Symbol"/>
          <w:i/>
        </w:rPr>
        <w:sym w:font="Symbol" w:char="F06B"/>
      </w:r>
      <w:r w:rsidRPr="009F48C8">
        <w:rPr>
          <w:vertAlign w:val="subscript"/>
        </w:rPr>
        <w:t>c</w:t>
      </w:r>
      <w:r w:rsidR="00E14CDF">
        <w:rPr>
          <w:vertAlign w:val="subscript"/>
        </w:rPr>
        <w:t>0</w:t>
      </w:r>
      <w:r w:rsidRPr="009F48C8">
        <w:t xml:space="preserve"> não são estatisticamen</w:t>
      </w:r>
      <w:r w:rsidR="00710A73">
        <w:t>te individualmente significativos</w:t>
      </w:r>
      <w:r w:rsidRPr="009F48C8">
        <w:t xml:space="preserve">. </w:t>
      </w:r>
      <w:r w:rsidR="00586107">
        <w:t xml:space="preserve">Vale mencionar </w:t>
      </w:r>
      <w:r w:rsidR="00E14CDF">
        <w:t xml:space="preserve">ainda que os coeficientes </w:t>
      </w:r>
      <w:r w:rsidR="00E14CDF" w:rsidRPr="00FF2426">
        <w:rPr>
          <w:rFonts w:ascii="Symbol" w:hAnsi="Symbol"/>
          <w:i/>
        </w:rPr>
        <w:sym w:font="Symbol" w:char="F071"/>
      </w:r>
      <w:r w:rsidR="00E14CDF" w:rsidRPr="00FF2426">
        <w:rPr>
          <w:vertAlign w:val="subscript"/>
        </w:rPr>
        <w:t>b</w:t>
      </w:r>
      <w:r w:rsidR="00E14CDF">
        <w:t>,</w:t>
      </w:r>
      <w:r w:rsidR="00E14CDF" w:rsidRPr="00E14CDF">
        <w:rPr>
          <w:rFonts w:ascii="Symbol" w:hAnsi="Symbol"/>
          <w:i/>
        </w:rPr>
        <w:t></w:t>
      </w:r>
      <w:r w:rsidR="00E14CDF" w:rsidRPr="00FF2426">
        <w:rPr>
          <w:rFonts w:ascii="Symbol" w:hAnsi="Symbol"/>
          <w:i/>
        </w:rPr>
        <w:sym w:font="Symbol" w:char="F071"/>
      </w:r>
      <w:r w:rsidR="00E14CDF">
        <w:rPr>
          <w:vertAlign w:val="subscript"/>
        </w:rPr>
        <w:t>p</w:t>
      </w:r>
      <w:r w:rsidR="00E14CDF">
        <w:t xml:space="preserve"> e</w:t>
      </w:r>
      <w:r w:rsidR="00E14CDF">
        <w:rPr>
          <w:vertAlign w:val="subscript"/>
        </w:rPr>
        <w:t xml:space="preserve"> </w:t>
      </w:r>
      <w:r w:rsidR="00E14CDF" w:rsidRPr="00FF2426">
        <w:rPr>
          <w:rFonts w:ascii="Symbol" w:hAnsi="Symbol"/>
          <w:i/>
        </w:rPr>
        <w:sym w:font="Symbol" w:char="F071"/>
      </w:r>
      <w:r w:rsidR="00E14CDF">
        <w:rPr>
          <w:vertAlign w:val="subscript"/>
        </w:rPr>
        <w:t xml:space="preserve"> c</w:t>
      </w:r>
      <w:r w:rsidR="00E14CDF">
        <w:t xml:space="preserve"> não foram estatisticamente significantes, o que </w:t>
      </w:r>
      <w:r w:rsidR="00586107">
        <w:t xml:space="preserve">mostra </w:t>
      </w:r>
      <w:r w:rsidR="00E14CDF">
        <w:t xml:space="preserve">que o </w:t>
      </w:r>
      <w:r w:rsidR="00E14CDF" w:rsidRPr="00E95405">
        <w:t>Plano Real não afetou as demandas por carnes e outros bens de consumo</w:t>
      </w:r>
      <w:r w:rsidR="00E14CDF">
        <w:t>.</w:t>
      </w:r>
    </w:p>
    <w:p w14:paraId="4B4D420B" w14:textId="77777777" w:rsidR="00094A06" w:rsidRDefault="00094A06" w:rsidP="00BC6645">
      <w:pPr>
        <w:ind w:firstLine="720"/>
        <w:jc w:val="both"/>
        <w:rPr>
          <w:b/>
        </w:rPr>
      </w:pPr>
      <w:r w:rsidRPr="008F68C9">
        <w:t>A Tabela</w:t>
      </w:r>
      <w:r>
        <w:t xml:space="preserve"> 6</w:t>
      </w:r>
      <w:r w:rsidRPr="008F68C9">
        <w:t xml:space="preserve"> apresenta as estimativas das elasticidades-preço</w:t>
      </w:r>
      <w:r>
        <w:t>s</w:t>
      </w:r>
      <w:r w:rsidRPr="008F68C9">
        <w:t xml:space="preserve"> </w:t>
      </w:r>
      <w:proofErr w:type="spellStart"/>
      <w:r w:rsidRPr="008F68C9">
        <w:t>Marshallian</w:t>
      </w:r>
      <w:r>
        <w:t>a</w:t>
      </w:r>
      <w:proofErr w:type="spellEnd"/>
      <w:r w:rsidRPr="008F68C9">
        <w:t xml:space="preserve"> e </w:t>
      </w:r>
      <w:proofErr w:type="spellStart"/>
      <w:r w:rsidRPr="008F68C9">
        <w:t>Hicksian</w:t>
      </w:r>
      <w:r>
        <w:t>a</w:t>
      </w:r>
      <w:proofErr w:type="spellEnd"/>
      <w:r w:rsidRPr="008F68C9">
        <w:t xml:space="preserve"> </w:t>
      </w:r>
      <w:r>
        <w:t>e elasticidades-gasto</w:t>
      </w:r>
      <w:r>
        <w:rPr>
          <w:rStyle w:val="FootnoteReference"/>
        </w:rPr>
        <w:footnoteReference w:id="13"/>
      </w:r>
      <w:r>
        <w:t xml:space="preserve"> (ou, aproximadamente, elasticidades-renda)</w:t>
      </w:r>
      <w:r w:rsidRPr="008F68C9">
        <w:t xml:space="preserve"> </w:t>
      </w:r>
      <w:r>
        <w:t xml:space="preserve">para o sistema </w:t>
      </w:r>
      <w:r w:rsidRPr="008F68C9">
        <w:t xml:space="preserve">AIDS </w:t>
      </w:r>
      <w:r>
        <w:t>estimado com</w:t>
      </w:r>
      <w:r w:rsidRPr="008F68C9">
        <w:t xml:space="preserve"> F-</w:t>
      </w:r>
      <w:proofErr w:type="spellStart"/>
      <w:r w:rsidRPr="008F68C9">
        <w:t>R</w:t>
      </w:r>
      <w:r w:rsidRPr="008F68C9">
        <w:rPr>
          <w:vertAlign w:val="superscript"/>
        </w:rPr>
        <w:t>matriz</w:t>
      </w:r>
      <w:proofErr w:type="spellEnd"/>
      <w:r>
        <w:t xml:space="preserve"> e sem índices de segurança do alimento (modelo preferido).</w:t>
      </w:r>
      <w:r w:rsidRPr="008F68C9">
        <w:t xml:space="preserve"> </w:t>
      </w:r>
      <w:r>
        <w:t>A</w:t>
      </w:r>
      <w:r w:rsidRPr="00D20044">
        <w:t>s elastici</w:t>
      </w:r>
      <w:r>
        <w:t>d</w:t>
      </w:r>
      <w:r w:rsidRPr="00D20044">
        <w:t>ad</w:t>
      </w:r>
      <w:r>
        <w:t>es na Tabela 6 são</w:t>
      </w:r>
      <w:r w:rsidRPr="00D20044">
        <w:t xml:space="preserve"> </w:t>
      </w:r>
      <w:r>
        <w:t>as mé</w:t>
      </w:r>
      <w:r w:rsidRPr="00D20044">
        <w:t>dia</w:t>
      </w:r>
      <w:r>
        <w:t>s</w:t>
      </w:r>
      <w:r w:rsidRPr="00D20044">
        <w:t xml:space="preserve"> das elasticid</w:t>
      </w:r>
      <w:r>
        <w:t>ades calculadas</w:t>
      </w:r>
      <w:r w:rsidRPr="00D20044">
        <w:t xml:space="preserve"> </w:t>
      </w:r>
      <w:r>
        <w:t xml:space="preserve">em </w:t>
      </w:r>
      <w:r w:rsidRPr="00D20044">
        <w:t>cada observaç</w:t>
      </w:r>
      <w:r>
        <w:t>ão, as quais são estatística</w:t>
      </w:r>
      <w:r w:rsidR="0015037D">
        <w:t xml:space="preserve"> e individualmente significativas</w:t>
      </w:r>
      <w:r>
        <w:t xml:space="preserve"> pelo teste </w:t>
      </w:r>
      <w:r w:rsidRPr="00E61970">
        <w:rPr>
          <w:i/>
        </w:rPr>
        <w:t>t</w:t>
      </w:r>
      <w:r>
        <w:rPr>
          <w:i/>
        </w:rPr>
        <w:t xml:space="preserve"> </w:t>
      </w:r>
      <w:r>
        <w:t>ao nível de 5%</w:t>
      </w:r>
      <w:r w:rsidRPr="00D20044">
        <w:t xml:space="preserve">. </w:t>
      </w:r>
    </w:p>
    <w:p w14:paraId="6DEB7543" w14:textId="77777777" w:rsidR="00094A06" w:rsidRPr="00FE763A" w:rsidRDefault="00094A06" w:rsidP="00BC6645">
      <w:pPr>
        <w:keepNext/>
        <w:autoSpaceDE w:val="0"/>
        <w:autoSpaceDN w:val="0"/>
        <w:adjustRightInd w:val="0"/>
        <w:jc w:val="both"/>
      </w:pPr>
      <w:r w:rsidRPr="00FE763A">
        <w:rPr>
          <w:b/>
        </w:rPr>
        <w:t>Tabela</w:t>
      </w:r>
      <w:r>
        <w:rPr>
          <w:b/>
        </w:rPr>
        <w:t xml:space="preserve"> 6 -</w:t>
      </w:r>
      <w:r w:rsidRPr="00FE763A">
        <w:rPr>
          <w:b/>
        </w:rPr>
        <w:t xml:space="preserve"> </w:t>
      </w:r>
      <w:r w:rsidRPr="00FE763A">
        <w:t>Estimativas</w:t>
      </w:r>
      <w:r>
        <w:t xml:space="preserve"> das elasticidades preço e gasto (renda)</w:t>
      </w:r>
      <w:r w:rsidRPr="00FE763A">
        <w:t xml:space="preserve"> para o modelo AIDS </w:t>
      </w:r>
      <w:r>
        <w:t xml:space="preserve">estimado </w:t>
      </w:r>
      <w:r w:rsidRPr="00FE763A">
        <w:t>com F-</w:t>
      </w:r>
      <w:proofErr w:type="spellStart"/>
      <w:r w:rsidRPr="00FE763A">
        <w:t>R</w:t>
      </w:r>
      <w:r w:rsidRPr="00FE763A">
        <w:rPr>
          <w:vertAlign w:val="superscript"/>
        </w:rPr>
        <w:t>matriz</w:t>
      </w:r>
      <w:proofErr w:type="spellEnd"/>
      <w:r>
        <w:t xml:space="preserve"> e variável tendência.</w:t>
      </w:r>
    </w:p>
    <w:tbl>
      <w:tblPr>
        <w:tblW w:w="5000" w:type="pct"/>
        <w:jc w:val="center"/>
        <w:tblBorders>
          <w:top w:val="single" w:sz="4" w:space="0" w:color="auto"/>
        </w:tblBorders>
        <w:tblLook w:val="01E0" w:firstRow="1" w:lastRow="1" w:firstColumn="1" w:lastColumn="1" w:noHBand="0" w:noVBand="0"/>
      </w:tblPr>
      <w:tblGrid>
        <w:gridCol w:w="1329"/>
        <w:gridCol w:w="2382"/>
        <w:gridCol w:w="1207"/>
        <w:gridCol w:w="2117"/>
        <w:gridCol w:w="1138"/>
        <w:gridCol w:w="2247"/>
      </w:tblGrid>
      <w:tr w:rsidR="00094A06" w:rsidRPr="00220FF5" w14:paraId="2B4DD8AA" w14:textId="77777777" w:rsidTr="00EF5A02">
        <w:trPr>
          <w:jc w:val="center"/>
        </w:trPr>
        <w:tc>
          <w:tcPr>
            <w:tcW w:w="1781" w:type="pct"/>
            <w:gridSpan w:val="2"/>
            <w:tcBorders>
              <w:top w:val="single" w:sz="4" w:space="0" w:color="auto"/>
              <w:bottom w:val="single" w:sz="4" w:space="0" w:color="auto"/>
            </w:tcBorders>
          </w:tcPr>
          <w:p w14:paraId="7CFE804D" w14:textId="77777777" w:rsidR="00094A06" w:rsidRPr="00220FF5" w:rsidRDefault="00094A06" w:rsidP="00BC6645">
            <w:pPr>
              <w:jc w:val="center"/>
            </w:pPr>
            <w:r w:rsidRPr="00220FF5">
              <w:t>Elasticidades-Preço Marshallianas</w:t>
            </w:r>
          </w:p>
        </w:tc>
        <w:tc>
          <w:tcPr>
            <w:tcW w:w="1595" w:type="pct"/>
            <w:gridSpan w:val="2"/>
            <w:tcBorders>
              <w:top w:val="single" w:sz="4" w:space="0" w:color="auto"/>
              <w:bottom w:val="single" w:sz="4" w:space="0" w:color="auto"/>
            </w:tcBorders>
          </w:tcPr>
          <w:p w14:paraId="4A8CF8A4" w14:textId="77777777" w:rsidR="00094A06" w:rsidRPr="00220FF5" w:rsidRDefault="00094A06" w:rsidP="00BC6645">
            <w:pPr>
              <w:jc w:val="center"/>
            </w:pPr>
            <w:r w:rsidRPr="00220FF5">
              <w:t>Elasticidades-Gasto</w:t>
            </w:r>
          </w:p>
        </w:tc>
        <w:tc>
          <w:tcPr>
            <w:tcW w:w="1624" w:type="pct"/>
            <w:gridSpan w:val="2"/>
            <w:tcBorders>
              <w:top w:val="single" w:sz="4" w:space="0" w:color="auto"/>
              <w:bottom w:val="single" w:sz="4" w:space="0" w:color="auto"/>
            </w:tcBorders>
          </w:tcPr>
          <w:p w14:paraId="1D2B905C" w14:textId="77777777" w:rsidR="00094A06" w:rsidRPr="00220FF5" w:rsidRDefault="00094A06" w:rsidP="00BC6645">
            <w:pPr>
              <w:keepNext/>
              <w:jc w:val="center"/>
            </w:pPr>
            <w:r w:rsidRPr="00220FF5">
              <w:t>Elasticidades-Preço Hicksianas</w:t>
            </w:r>
          </w:p>
        </w:tc>
      </w:tr>
      <w:tr w:rsidR="00094A06" w:rsidRPr="00220FF5" w14:paraId="1CB91482" w14:textId="77777777" w:rsidTr="00EF5A02">
        <w:trPr>
          <w:jc w:val="center"/>
        </w:trPr>
        <w:tc>
          <w:tcPr>
            <w:tcW w:w="638" w:type="pct"/>
            <w:tcBorders>
              <w:top w:val="single" w:sz="4" w:space="0" w:color="auto"/>
            </w:tcBorders>
          </w:tcPr>
          <w:p w14:paraId="647DB0EC" w14:textId="77777777" w:rsidR="00094A06" w:rsidRPr="00BD1841" w:rsidRDefault="00094A06" w:rsidP="00BC6645">
            <w:pPr>
              <w:jc w:val="center"/>
              <w:rPr>
                <w:i/>
              </w:rPr>
            </w:pPr>
            <w:r w:rsidRPr="00BD1841">
              <w:rPr>
                <w:i/>
              </w:rPr>
              <w:sym w:font="Symbol" w:char="F068"/>
            </w:r>
            <w:proofErr w:type="spellStart"/>
            <w:r w:rsidRPr="00BD1841">
              <w:rPr>
                <w:i/>
                <w:vertAlign w:val="subscript"/>
              </w:rPr>
              <w:t>bb</w:t>
            </w:r>
            <w:proofErr w:type="spellEnd"/>
          </w:p>
        </w:tc>
        <w:tc>
          <w:tcPr>
            <w:tcW w:w="1142" w:type="pct"/>
            <w:tcBorders>
              <w:top w:val="single" w:sz="4" w:space="0" w:color="auto"/>
            </w:tcBorders>
          </w:tcPr>
          <w:p w14:paraId="44F92C4B" w14:textId="77777777" w:rsidR="00094A06" w:rsidRPr="00BD1841" w:rsidRDefault="00094A06" w:rsidP="00BC6645">
            <w:pPr>
              <w:autoSpaceDE w:val="0"/>
              <w:autoSpaceDN w:val="0"/>
              <w:adjustRightInd w:val="0"/>
              <w:jc w:val="center"/>
            </w:pPr>
            <w:r>
              <w:t>-0,570</w:t>
            </w:r>
            <w:r w:rsidRPr="00BD1841">
              <w:t>*</w:t>
            </w:r>
          </w:p>
          <w:p w14:paraId="26251BEE" w14:textId="77777777" w:rsidR="00094A06" w:rsidRPr="00BD1841" w:rsidRDefault="00094A06" w:rsidP="00BC6645">
            <w:pPr>
              <w:autoSpaceDE w:val="0"/>
              <w:autoSpaceDN w:val="0"/>
              <w:adjustRightInd w:val="0"/>
              <w:jc w:val="center"/>
            </w:pPr>
            <w:r w:rsidRPr="00BD1841">
              <w:t>(</w:t>
            </w:r>
            <w:r>
              <w:t>0,083</w:t>
            </w:r>
            <w:r w:rsidRPr="00BD1841">
              <w:t>)</w:t>
            </w:r>
          </w:p>
        </w:tc>
        <w:tc>
          <w:tcPr>
            <w:tcW w:w="579" w:type="pct"/>
            <w:tcBorders>
              <w:top w:val="single" w:sz="4" w:space="0" w:color="auto"/>
            </w:tcBorders>
          </w:tcPr>
          <w:p w14:paraId="78AD3567" w14:textId="77777777" w:rsidR="00094A06" w:rsidRPr="00BD1841" w:rsidRDefault="00094A06" w:rsidP="00BC6645">
            <w:pPr>
              <w:autoSpaceDE w:val="0"/>
              <w:autoSpaceDN w:val="0"/>
              <w:adjustRightInd w:val="0"/>
              <w:jc w:val="center"/>
              <w:rPr>
                <w:rFonts w:ascii="Courier New" w:hAnsi="Courier New" w:cs="Courier New"/>
                <w:i/>
              </w:rPr>
            </w:pPr>
            <w:r w:rsidRPr="00BD1841">
              <w:rPr>
                <w:i/>
              </w:rPr>
              <w:sym w:font="Symbol" w:char="F068"/>
            </w:r>
            <w:proofErr w:type="spellStart"/>
            <w:r w:rsidRPr="00BD1841">
              <w:rPr>
                <w:i/>
                <w:vertAlign w:val="subscript"/>
              </w:rPr>
              <w:t>bx</w:t>
            </w:r>
            <w:proofErr w:type="spellEnd"/>
          </w:p>
        </w:tc>
        <w:tc>
          <w:tcPr>
            <w:tcW w:w="1016" w:type="pct"/>
            <w:tcBorders>
              <w:top w:val="single" w:sz="4" w:space="0" w:color="auto"/>
            </w:tcBorders>
          </w:tcPr>
          <w:p w14:paraId="27E6963F" w14:textId="77777777" w:rsidR="00094A06" w:rsidRPr="00BD1841" w:rsidRDefault="00094A06" w:rsidP="00BC6645">
            <w:pPr>
              <w:autoSpaceDE w:val="0"/>
              <w:autoSpaceDN w:val="0"/>
              <w:adjustRightInd w:val="0"/>
              <w:jc w:val="center"/>
            </w:pPr>
            <w:r>
              <w:t>0,163</w:t>
            </w:r>
            <w:r w:rsidRPr="00BD1841">
              <w:t>*</w:t>
            </w:r>
          </w:p>
          <w:p w14:paraId="541EC308" w14:textId="77777777" w:rsidR="00094A06" w:rsidRPr="00BD1841" w:rsidRDefault="00094A06" w:rsidP="00BC6645">
            <w:pPr>
              <w:autoSpaceDE w:val="0"/>
              <w:autoSpaceDN w:val="0"/>
              <w:adjustRightInd w:val="0"/>
              <w:jc w:val="center"/>
            </w:pPr>
            <w:r w:rsidRPr="00BD1841">
              <w:t>(0.1</w:t>
            </w:r>
            <w:r>
              <w:t>50</w:t>
            </w:r>
            <w:r w:rsidRPr="00BD1841">
              <w:t>)</w:t>
            </w:r>
          </w:p>
        </w:tc>
        <w:tc>
          <w:tcPr>
            <w:tcW w:w="546" w:type="pct"/>
            <w:tcBorders>
              <w:top w:val="single" w:sz="4" w:space="0" w:color="auto"/>
            </w:tcBorders>
          </w:tcPr>
          <w:p w14:paraId="3B2CE312" w14:textId="77777777" w:rsidR="00094A06" w:rsidRPr="00BD1841" w:rsidRDefault="00094A06" w:rsidP="00BC6645">
            <w:pPr>
              <w:jc w:val="center"/>
              <w:rPr>
                <w:i/>
              </w:rPr>
            </w:pPr>
            <w:r w:rsidRPr="00BD1841">
              <w:rPr>
                <w:i/>
              </w:rPr>
              <w:sym w:font="Symbol" w:char="F065"/>
            </w:r>
            <w:proofErr w:type="spellStart"/>
            <w:r w:rsidRPr="00BD1841">
              <w:rPr>
                <w:i/>
                <w:vertAlign w:val="subscript"/>
              </w:rPr>
              <w:t>bb</w:t>
            </w:r>
            <w:proofErr w:type="spellEnd"/>
          </w:p>
        </w:tc>
        <w:tc>
          <w:tcPr>
            <w:tcW w:w="1078" w:type="pct"/>
            <w:tcBorders>
              <w:top w:val="single" w:sz="4" w:space="0" w:color="auto"/>
            </w:tcBorders>
          </w:tcPr>
          <w:p w14:paraId="44100939" w14:textId="77777777" w:rsidR="00094A06" w:rsidRPr="00BD1841" w:rsidRDefault="00094A06" w:rsidP="00BC6645">
            <w:pPr>
              <w:autoSpaceDE w:val="0"/>
              <w:autoSpaceDN w:val="0"/>
              <w:adjustRightInd w:val="0"/>
              <w:jc w:val="center"/>
            </w:pPr>
            <w:r w:rsidRPr="00BD1841">
              <w:t>-0,5</w:t>
            </w:r>
            <w:r>
              <w:t>61</w:t>
            </w:r>
            <w:r w:rsidRPr="00BD1841">
              <w:t>*</w:t>
            </w:r>
          </w:p>
          <w:p w14:paraId="363EA7D3" w14:textId="77777777" w:rsidR="00094A06" w:rsidRPr="00BD1841" w:rsidRDefault="00094A06" w:rsidP="00BC6645">
            <w:pPr>
              <w:autoSpaceDE w:val="0"/>
              <w:autoSpaceDN w:val="0"/>
              <w:adjustRightInd w:val="0"/>
              <w:jc w:val="center"/>
            </w:pPr>
            <w:r>
              <w:t>(0,075</w:t>
            </w:r>
            <w:r w:rsidRPr="00BD1841">
              <w:t>)</w:t>
            </w:r>
          </w:p>
        </w:tc>
      </w:tr>
      <w:tr w:rsidR="00094A06" w:rsidRPr="00220FF5" w14:paraId="7FD859B4" w14:textId="77777777" w:rsidTr="00EF5A02">
        <w:trPr>
          <w:jc w:val="center"/>
        </w:trPr>
        <w:tc>
          <w:tcPr>
            <w:tcW w:w="638" w:type="pct"/>
          </w:tcPr>
          <w:p w14:paraId="03548451" w14:textId="77777777" w:rsidR="00094A06" w:rsidRPr="00BD1841" w:rsidRDefault="00094A06" w:rsidP="00BC6645">
            <w:pPr>
              <w:jc w:val="center"/>
              <w:rPr>
                <w:i/>
              </w:rPr>
            </w:pPr>
            <w:r w:rsidRPr="00BD1841">
              <w:rPr>
                <w:i/>
              </w:rPr>
              <w:sym w:font="Symbol" w:char="F068"/>
            </w:r>
            <w:proofErr w:type="spellStart"/>
            <w:r w:rsidRPr="00BD1841">
              <w:rPr>
                <w:i/>
                <w:vertAlign w:val="subscript"/>
              </w:rPr>
              <w:t>bp</w:t>
            </w:r>
            <w:proofErr w:type="spellEnd"/>
          </w:p>
        </w:tc>
        <w:tc>
          <w:tcPr>
            <w:tcW w:w="1142" w:type="pct"/>
          </w:tcPr>
          <w:p w14:paraId="5C64B6AB" w14:textId="77777777" w:rsidR="00094A06" w:rsidRPr="00BD1841" w:rsidRDefault="00094A06" w:rsidP="00BC6645">
            <w:pPr>
              <w:autoSpaceDE w:val="0"/>
              <w:autoSpaceDN w:val="0"/>
              <w:adjustRightInd w:val="0"/>
              <w:jc w:val="center"/>
            </w:pPr>
            <w:r w:rsidRPr="00BD1841">
              <w:t>0,</w:t>
            </w:r>
            <w:r>
              <w:t>100</w:t>
            </w:r>
            <w:r w:rsidRPr="00BD1841">
              <w:t>*</w:t>
            </w:r>
          </w:p>
          <w:p w14:paraId="1EC0B483" w14:textId="77777777" w:rsidR="00094A06" w:rsidRPr="00BD1841" w:rsidRDefault="00094A06" w:rsidP="00BC6645">
            <w:pPr>
              <w:autoSpaceDE w:val="0"/>
              <w:autoSpaceDN w:val="0"/>
              <w:adjustRightInd w:val="0"/>
              <w:jc w:val="center"/>
            </w:pPr>
            <w:r>
              <w:t>(0,023</w:t>
            </w:r>
            <w:r w:rsidRPr="00BD1841">
              <w:t>)</w:t>
            </w:r>
          </w:p>
        </w:tc>
        <w:tc>
          <w:tcPr>
            <w:tcW w:w="579" w:type="pct"/>
          </w:tcPr>
          <w:p w14:paraId="61D9CFC4" w14:textId="77777777" w:rsidR="00094A06" w:rsidRPr="00BD1841" w:rsidRDefault="00094A06" w:rsidP="00BC6645">
            <w:pPr>
              <w:autoSpaceDE w:val="0"/>
              <w:autoSpaceDN w:val="0"/>
              <w:adjustRightInd w:val="0"/>
              <w:jc w:val="center"/>
              <w:rPr>
                <w:rFonts w:ascii="Courier New" w:hAnsi="Courier New" w:cs="Courier New"/>
                <w:i/>
              </w:rPr>
            </w:pPr>
            <w:r w:rsidRPr="00BD1841">
              <w:rPr>
                <w:i/>
              </w:rPr>
              <w:sym w:font="Symbol" w:char="F068"/>
            </w:r>
            <w:proofErr w:type="spellStart"/>
            <w:r w:rsidRPr="00BD1841">
              <w:rPr>
                <w:i/>
                <w:vertAlign w:val="subscript"/>
              </w:rPr>
              <w:t>px</w:t>
            </w:r>
            <w:proofErr w:type="spellEnd"/>
          </w:p>
        </w:tc>
        <w:tc>
          <w:tcPr>
            <w:tcW w:w="1016" w:type="pct"/>
          </w:tcPr>
          <w:p w14:paraId="7C048BA9" w14:textId="77777777" w:rsidR="00094A06" w:rsidRPr="00BD1841" w:rsidRDefault="00094A06" w:rsidP="00BC6645">
            <w:pPr>
              <w:autoSpaceDE w:val="0"/>
              <w:autoSpaceDN w:val="0"/>
              <w:adjustRightInd w:val="0"/>
              <w:jc w:val="center"/>
            </w:pPr>
            <w:r>
              <w:t>-0,158</w:t>
            </w:r>
            <w:r w:rsidRPr="00BD1841">
              <w:t>*</w:t>
            </w:r>
          </w:p>
          <w:p w14:paraId="556EBD17" w14:textId="77777777" w:rsidR="00094A06" w:rsidRPr="00BD1841" w:rsidRDefault="00094A06" w:rsidP="00BC6645">
            <w:pPr>
              <w:autoSpaceDE w:val="0"/>
              <w:autoSpaceDN w:val="0"/>
              <w:adjustRightInd w:val="0"/>
              <w:jc w:val="center"/>
            </w:pPr>
            <w:r>
              <w:t>(0,198</w:t>
            </w:r>
            <w:r w:rsidRPr="00BD1841">
              <w:t>)</w:t>
            </w:r>
          </w:p>
        </w:tc>
        <w:tc>
          <w:tcPr>
            <w:tcW w:w="546" w:type="pct"/>
          </w:tcPr>
          <w:p w14:paraId="14590E60" w14:textId="77777777" w:rsidR="00094A06" w:rsidRPr="00BD1841" w:rsidRDefault="00094A06" w:rsidP="00BC6645">
            <w:pPr>
              <w:jc w:val="center"/>
              <w:rPr>
                <w:i/>
              </w:rPr>
            </w:pPr>
            <w:r w:rsidRPr="00BD1841">
              <w:rPr>
                <w:i/>
              </w:rPr>
              <w:sym w:font="Symbol" w:char="F065"/>
            </w:r>
            <w:proofErr w:type="spellStart"/>
            <w:r w:rsidRPr="00BD1841">
              <w:rPr>
                <w:i/>
                <w:vertAlign w:val="subscript"/>
              </w:rPr>
              <w:t>bp</w:t>
            </w:r>
            <w:proofErr w:type="spellEnd"/>
          </w:p>
        </w:tc>
        <w:tc>
          <w:tcPr>
            <w:tcW w:w="1078" w:type="pct"/>
          </w:tcPr>
          <w:p w14:paraId="37892562" w14:textId="77777777" w:rsidR="00094A06" w:rsidRPr="00BD1841" w:rsidRDefault="00094A06" w:rsidP="00BC6645">
            <w:pPr>
              <w:autoSpaceDE w:val="0"/>
              <w:autoSpaceDN w:val="0"/>
              <w:adjustRightInd w:val="0"/>
              <w:jc w:val="center"/>
            </w:pPr>
            <w:r>
              <w:t>0,102</w:t>
            </w:r>
            <w:r w:rsidRPr="00BD1841">
              <w:t>*</w:t>
            </w:r>
          </w:p>
          <w:p w14:paraId="236BF666" w14:textId="77777777" w:rsidR="00094A06" w:rsidRPr="00BD1841" w:rsidRDefault="00094A06" w:rsidP="00BC6645">
            <w:pPr>
              <w:autoSpaceDE w:val="0"/>
              <w:autoSpaceDN w:val="0"/>
              <w:adjustRightInd w:val="0"/>
              <w:jc w:val="center"/>
            </w:pPr>
            <w:r w:rsidRPr="00BD1841">
              <w:t>(0,0</w:t>
            </w:r>
            <w:r>
              <w:t>20</w:t>
            </w:r>
            <w:r w:rsidRPr="00BD1841">
              <w:t>)</w:t>
            </w:r>
          </w:p>
        </w:tc>
      </w:tr>
      <w:tr w:rsidR="00094A06" w:rsidRPr="00220FF5" w14:paraId="0C37975A" w14:textId="77777777" w:rsidTr="00EF5A02">
        <w:trPr>
          <w:jc w:val="center"/>
        </w:trPr>
        <w:tc>
          <w:tcPr>
            <w:tcW w:w="638" w:type="pct"/>
          </w:tcPr>
          <w:p w14:paraId="29F64681" w14:textId="77777777" w:rsidR="00094A06" w:rsidRPr="00BD1841" w:rsidRDefault="00094A06" w:rsidP="00BC6645">
            <w:pPr>
              <w:jc w:val="center"/>
              <w:rPr>
                <w:i/>
              </w:rPr>
            </w:pPr>
            <w:r w:rsidRPr="00BD1841">
              <w:rPr>
                <w:i/>
              </w:rPr>
              <w:sym w:font="Symbol" w:char="F068"/>
            </w:r>
            <w:proofErr w:type="spellStart"/>
            <w:r w:rsidRPr="00BD1841">
              <w:rPr>
                <w:i/>
                <w:vertAlign w:val="subscript"/>
              </w:rPr>
              <w:t>bc</w:t>
            </w:r>
            <w:proofErr w:type="spellEnd"/>
          </w:p>
        </w:tc>
        <w:tc>
          <w:tcPr>
            <w:tcW w:w="1142" w:type="pct"/>
          </w:tcPr>
          <w:p w14:paraId="67FB7CEE" w14:textId="77777777" w:rsidR="00094A06" w:rsidRPr="00BD1841" w:rsidRDefault="00094A06" w:rsidP="00BC6645">
            <w:pPr>
              <w:autoSpaceDE w:val="0"/>
              <w:autoSpaceDN w:val="0"/>
              <w:adjustRightInd w:val="0"/>
              <w:jc w:val="center"/>
            </w:pPr>
            <w:r>
              <w:t>0,133</w:t>
            </w:r>
            <w:r w:rsidRPr="00BD1841">
              <w:t>*</w:t>
            </w:r>
          </w:p>
          <w:p w14:paraId="35F4ADE6" w14:textId="77777777" w:rsidR="00094A06" w:rsidRPr="00BD1841" w:rsidRDefault="00094A06" w:rsidP="00BC6645">
            <w:pPr>
              <w:autoSpaceDE w:val="0"/>
              <w:autoSpaceDN w:val="0"/>
              <w:adjustRightInd w:val="0"/>
              <w:jc w:val="center"/>
            </w:pPr>
            <w:r w:rsidRPr="00BD1841">
              <w:t>(0,027)</w:t>
            </w:r>
          </w:p>
        </w:tc>
        <w:tc>
          <w:tcPr>
            <w:tcW w:w="579" w:type="pct"/>
          </w:tcPr>
          <w:p w14:paraId="06C01891" w14:textId="77777777" w:rsidR="00094A06" w:rsidRPr="00BD1841" w:rsidRDefault="00094A06" w:rsidP="00BC6645">
            <w:pPr>
              <w:autoSpaceDE w:val="0"/>
              <w:autoSpaceDN w:val="0"/>
              <w:adjustRightInd w:val="0"/>
              <w:jc w:val="center"/>
              <w:rPr>
                <w:rFonts w:ascii="Courier New" w:hAnsi="Courier New" w:cs="Courier New"/>
                <w:i/>
              </w:rPr>
            </w:pPr>
            <w:r w:rsidRPr="00BD1841">
              <w:rPr>
                <w:i/>
              </w:rPr>
              <w:sym w:font="Symbol" w:char="F068"/>
            </w:r>
            <w:r w:rsidRPr="00BD1841">
              <w:rPr>
                <w:i/>
                <w:vertAlign w:val="subscript"/>
              </w:rPr>
              <w:t>cx</w:t>
            </w:r>
          </w:p>
        </w:tc>
        <w:tc>
          <w:tcPr>
            <w:tcW w:w="1016" w:type="pct"/>
          </w:tcPr>
          <w:p w14:paraId="127B1525" w14:textId="77777777" w:rsidR="00094A06" w:rsidRPr="00BD1841" w:rsidRDefault="00094A06" w:rsidP="00BC6645">
            <w:pPr>
              <w:autoSpaceDE w:val="0"/>
              <w:autoSpaceDN w:val="0"/>
              <w:adjustRightInd w:val="0"/>
              <w:jc w:val="center"/>
            </w:pPr>
            <w:r w:rsidRPr="00BD1841">
              <w:t>0,</w:t>
            </w:r>
            <w:r>
              <w:t>055</w:t>
            </w:r>
          </w:p>
          <w:p w14:paraId="16E6F533" w14:textId="77777777" w:rsidR="00094A06" w:rsidRPr="00BD1841" w:rsidRDefault="00094A06" w:rsidP="00BC6645">
            <w:pPr>
              <w:autoSpaceDE w:val="0"/>
              <w:autoSpaceDN w:val="0"/>
              <w:adjustRightInd w:val="0"/>
              <w:jc w:val="center"/>
            </w:pPr>
            <w:r>
              <w:t>(0,265</w:t>
            </w:r>
            <w:r w:rsidRPr="00BD1841">
              <w:t>)</w:t>
            </w:r>
          </w:p>
        </w:tc>
        <w:tc>
          <w:tcPr>
            <w:tcW w:w="546" w:type="pct"/>
          </w:tcPr>
          <w:p w14:paraId="35596751" w14:textId="77777777" w:rsidR="00094A06" w:rsidRPr="00BD1841" w:rsidRDefault="00094A06" w:rsidP="00BC6645">
            <w:pPr>
              <w:jc w:val="center"/>
              <w:rPr>
                <w:i/>
              </w:rPr>
            </w:pPr>
            <w:r w:rsidRPr="00BD1841">
              <w:rPr>
                <w:i/>
              </w:rPr>
              <w:sym w:font="Symbol" w:char="F065"/>
            </w:r>
            <w:proofErr w:type="spellStart"/>
            <w:r w:rsidRPr="00BD1841">
              <w:rPr>
                <w:i/>
                <w:vertAlign w:val="subscript"/>
              </w:rPr>
              <w:t>bc</w:t>
            </w:r>
            <w:proofErr w:type="spellEnd"/>
          </w:p>
        </w:tc>
        <w:tc>
          <w:tcPr>
            <w:tcW w:w="1078" w:type="pct"/>
          </w:tcPr>
          <w:p w14:paraId="41DD5456" w14:textId="77777777" w:rsidR="00094A06" w:rsidRPr="00BD1841" w:rsidRDefault="00094A06" w:rsidP="00BC6645">
            <w:pPr>
              <w:autoSpaceDE w:val="0"/>
              <w:autoSpaceDN w:val="0"/>
              <w:adjustRightInd w:val="0"/>
              <w:jc w:val="center"/>
            </w:pPr>
            <w:r w:rsidRPr="00BD1841">
              <w:t>0,1</w:t>
            </w:r>
            <w:r>
              <w:t>35</w:t>
            </w:r>
            <w:r w:rsidRPr="00BD1841">
              <w:t>*</w:t>
            </w:r>
          </w:p>
          <w:p w14:paraId="62F92CC6" w14:textId="77777777" w:rsidR="00094A06" w:rsidRPr="00BD1841" w:rsidRDefault="00094A06" w:rsidP="00BC6645">
            <w:pPr>
              <w:autoSpaceDE w:val="0"/>
              <w:autoSpaceDN w:val="0"/>
              <w:adjustRightInd w:val="0"/>
              <w:jc w:val="center"/>
            </w:pPr>
            <w:r w:rsidRPr="00BD1841">
              <w:t>(0,025)</w:t>
            </w:r>
          </w:p>
        </w:tc>
      </w:tr>
      <w:tr w:rsidR="00094A06" w:rsidRPr="00220FF5" w14:paraId="16935426" w14:textId="77777777" w:rsidTr="00EF5A02">
        <w:trPr>
          <w:jc w:val="center"/>
        </w:trPr>
        <w:tc>
          <w:tcPr>
            <w:tcW w:w="638" w:type="pct"/>
          </w:tcPr>
          <w:p w14:paraId="4BB60EFE" w14:textId="77777777" w:rsidR="00094A06" w:rsidRPr="00BD1841" w:rsidRDefault="00094A06" w:rsidP="00BC6645">
            <w:pPr>
              <w:jc w:val="center"/>
              <w:rPr>
                <w:i/>
              </w:rPr>
            </w:pPr>
            <w:r w:rsidRPr="00BD1841">
              <w:rPr>
                <w:i/>
              </w:rPr>
              <w:sym w:font="Symbol" w:char="F068"/>
            </w:r>
            <w:proofErr w:type="spellStart"/>
            <w:r w:rsidRPr="00BD1841">
              <w:rPr>
                <w:i/>
                <w:vertAlign w:val="subscript"/>
              </w:rPr>
              <w:t>bo</w:t>
            </w:r>
            <w:proofErr w:type="spellEnd"/>
          </w:p>
        </w:tc>
        <w:tc>
          <w:tcPr>
            <w:tcW w:w="1142" w:type="pct"/>
          </w:tcPr>
          <w:p w14:paraId="226A0210" w14:textId="77777777" w:rsidR="00094A06" w:rsidRPr="00BD1841" w:rsidRDefault="00094A06" w:rsidP="00BC6645">
            <w:pPr>
              <w:autoSpaceDE w:val="0"/>
              <w:autoSpaceDN w:val="0"/>
              <w:adjustRightInd w:val="0"/>
              <w:jc w:val="center"/>
            </w:pPr>
            <w:r w:rsidRPr="00BD1841">
              <w:t>0,1</w:t>
            </w:r>
            <w:r>
              <w:t>8</w:t>
            </w:r>
            <w:r w:rsidRPr="00BD1841">
              <w:t>7*</w:t>
            </w:r>
          </w:p>
          <w:p w14:paraId="57DDE6D8" w14:textId="77777777" w:rsidR="00094A06" w:rsidRPr="00BD1841" w:rsidRDefault="00094A06" w:rsidP="00BC6645">
            <w:pPr>
              <w:autoSpaceDE w:val="0"/>
              <w:autoSpaceDN w:val="0"/>
              <w:adjustRightInd w:val="0"/>
              <w:jc w:val="center"/>
            </w:pPr>
            <w:r w:rsidRPr="00BD1841">
              <w:t>(0,033)</w:t>
            </w:r>
          </w:p>
        </w:tc>
        <w:tc>
          <w:tcPr>
            <w:tcW w:w="579" w:type="pct"/>
          </w:tcPr>
          <w:p w14:paraId="76EDCDCC" w14:textId="77777777" w:rsidR="00094A06" w:rsidRPr="00BD1841" w:rsidRDefault="00094A06" w:rsidP="00BC6645">
            <w:pPr>
              <w:jc w:val="center"/>
              <w:rPr>
                <w:i/>
              </w:rPr>
            </w:pPr>
            <w:r w:rsidRPr="00BD1841">
              <w:rPr>
                <w:i/>
              </w:rPr>
              <w:sym w:font="Symbol" w:char="F068"/>
            </w:r>
            <w:proofErr w:type="spellStart"/>
            <w:r w:rsidRPr="00BD1841">
              <w:rPr>
                <w:i/>
                <w:vertAlign w:val="subscript"/>
              </w:rPr>
              <w:t>ox</w:t>
            </w:r>
            <w:proofErr w:type="spellEnd"/>
          </w:p>
        </w:tc>
        <w:tc>
          <w:tcPr>
            <w:tcW w:w="1016" w:type="pct"/>
          </w:tcPr>
          <w:p w14:paraId="1BFD0971" w14:textId="77777777" w:rsidR="00094A06" w:rsidRPr="00BD1841" w:rsidRDefault="00094A06" w:rsidP="00BC6645">
            <w:pPr>
              <w:autoSpaceDE w:val="0"/>
              <w:autoSpaceDN w:val="0"/>
              <w:adjustRightInd w:val="0"/>
              <w:jc w:val="center"/>
            </w:pPr>
            <w:r>
              <w:t>1,068</w:t>
            </w:r>
            <w:r w:rsidRPr="00BD1841">
              <w:t>*</w:t>
            </w:r>
          </w:p>
          <w:p w14:paraId="555FF11E" w14:textId="77777777" w:rsidR="00094A06" w:rsidRPr="00BD1841" w:rsidRDefault="00094A06" w:rsidP="00BC6645">
            <w:pPr>
              <w:autoSpaceDE w:val="0"/>
              <w:autoSpaceDN w:val="0"/>
              <w:adjustRightInd w:val="0"/>
              <w:jc w:val="center"/>
            </w:pPr>
            <w:r>
              <w:t>(0,0008</w:t>
            </w:r>
            <w:r w:rsidRPr="00BD1841">
              <w:t>)</w:t>
            </w:r>
          </w:p>
        </w:tc>
        <w:tc>
          <w:tcPr>
            <w:tcW w:w="546" w:type="pct"/>
          </w:tcPr>
          <w:p w14:paraId="5CB1E729" w14:textId="77777777" w:rsidR="00094A06" w:rsidRPr="00BD1841" w:rsidRDefault="00094A06" w:rsidP="00BC6645">
            <w:pPr>
              <w:jc w:val="center"/>
              <w:rPr>
                <w:i/>
              </w:rPr>
            </w:pPr>
            <w:r w:rsidRPr="00BD1841">
              <w:rPr>
                <w:i/>
              </w:rPr>
              <w:sym w:font="Symbol" w:char="F065"/>
            </w:r>
            <w:proofErr w:type="spellStart"/>
            <w:r w:rsidRPr="00BD1841">
              <w:rPr>
                <w:i/>
                <w:vertAlign w:val="subscript"/>
              </w:rPr>
              <w:t>bo</w:t>
            </w:r>
            <w:proofErr w:type="spellEnd"/>
          </w:p>
        </w:tc>
        <w:tc>
          <w:tcPr>
            <w:tcW w:w="1078" w:type="pct"/>
          </w:tcPr>
          <w:p w14:paraId="2FFDF2E0" w14:textId="77777777" w:rsidR="00094A06" w:rsidRPr="00BD1841" w:rsidRDefault="00094A06" w:rsidP="00BC6645">
            <w:pPr>
              <w:autoSpaceDE w:val="0"/>
              <w:autoSpaceDN w:val="0"/>
              <w:adjustRightInd w:val="0"/>
              <w:jc w:val="center"/>
            </w:pPr>
            <w:r>
              <w:t>0,337</w:t>
            </w:r>
            <w:r w:rsidRPr="00BD1841">
              <w:t>*</w:t>
            </w:r>
          </w:p>
          <w:p w14:paraId="3C5B5331" w14:textId="77777777" w:rsidR="00094A06" w:rsidRPr="00BD1841" w:rsidRDefault="00094A06" w:rsidP="00BC6645">
            <w:pPr>
              <w:autoSpaceDE w:val="0"/>
              <w:autoSpaceDN w:val="0"/>
              <w:adjustRightInd w:val="0"/>
              <w:jc w:val="center"/>
            </w:pPr>
            <w:r>
              <w:t>(0,121</w:t>
            </w:r>
            <w:r w:rsidRPr="00BD1841">
              <w:t>)</w:t>
            </w:r>
          </w:p>
        </w:tc>
      </w:tr>
      <w:tr w:rsidR="00094A06" w:rsidRPr="00220FF5" w14:paraId="173A103B" w14:textId="77777777" w:rsidTr="00EF5A02">
        <w:trPr>
          <w:jc w:val="center"/>
        </w:trPr>
        <w:tc>
          <w:tcPr>
            <w:tcW w:w="638" w:type="pct"/>
          </w:tcPr>
          <w:p w14:paraId="2D0FE503" w14:textId="77777777" w:rsidR="00094A06" w:rsidRPr="00BD1841" w:rsidRDefault="00094A06" w:rsidP="00BC6645">
            <w:pPr>
              <w:jc w:val="center"/>
              <w:rPr>
                <w:i/>
              </w:rPr>
            </w:pPr>
            <w:r w:rsidRPr="00BD1841">
              <w:rPr>
                <w:i/>
              </w:rPr>
              <w:sym w:font="Symbol" w:char="F068"/>
            </w:r>
            <w:proofErr w:type="spellStart"/>
            <w:r w:rsidRPr="00BD1841">
              <w:rPr>
                <w:i/>
                <w:vertAlign w:val="subscript"/>
              </w:rPr>
              <w:t>pb</w:t>
            </w:r>
            <w:proofErr w:type="spellEnd"/>
          </w:p>
        </w:tc>
        <w:tc>
          <w:tcPr>
            <w:tcW w:w="1142" w:type="pct"/>
          </w:tcPr>
          <w:p w14:paraId="55D16833" w14:textId="77777777" w:rsidR="00094A06" w:rsidRPr="00BD1841" w:rsidRDefault="00094A06" w:rsidP="00BC6645">
            <w:pPr>
              <w:autoSpaceDE w:val="0"/>
              <w:autoSpaceDN w:val="0"/>
              <w:adjustRightInd w:val="0"/>
              <w:jc w:val="center"/>
            </w:pPr>
            <w:r w:rsidRPr="00BD1841">
              <w:t>0,</w:t>
            </w:r>
            <w:r>
              <w:t>562</w:t>
            </w:r>
            <w:r w:rsidRPr="00BD1841">
              <w:t>*</w:t>
            </w:r>
          </w:p>
          <w:p w14:paraId="5D974AA3" w14:textId="77777777" w:rsidR="00094A06" w:rsidRPr="00BD1841" w:rsidRDefault="00094A06" w:rsidP="00BC6645">
            <w:pPr>
              <w:autoSpaceDE w:val="0"/>
              <w:autoSpaceDN w:val="0"/>
              <w:adjustRightInd w:val="0"/>
              <w:jc w:val="center"/>
            </w:pPr>
            <w:r>
              <w:t>(0,118</w:t>
            </w:r>
            <w:r w:rsidRPr="00BD1841">
              <w:t>)</w:t>
            </w:r>
          </w:p>
        </w:tc>
        <w:tc>
          <w:tcPr>
            <w:tcW w:w="579" w:type="pct"/>
          </w:tcPr>
          <w:p w14:paraId="10172E74" w14:textId="77777777" w:rsidR="00094A06" w:rsidRPr="00BD1841" w:rsidRDefault="00094A06" w:rsidP="00BC6645">
            <w:pPr>
              <w:jc w:val="center"/>
            </w:pPr>
          </w:p>
        </w:tc>
        <w:tc>
          <w:tcPr>
            <w:tcW w:w="1016" w:type="pct"/>
          </w:tcPr>
          <w:p w14:paraId="645DC672" w14:textId="77777777" w:rsidR="00094A06" w:rsidRPr="00BD1841" w:rsidRDefault="00094A06" w:rsidP="00BC6645">
            <w:pPr>
              <w:jc w:val="center"/>
            </w:pPr>
          </w:p>
        </w:tc>
        <w:tc>
          <w:tcPr>
            <w:tcW w:w="546" w:type="pct"/>
          </w:tcPr>
          <w:p w14:paraId="7C92E6FE" w14:textId="77777777" w:rsidR="00094A06" w:rsidRPr="00BD1841" w:rsidRDefault="00094A06" w:rsidP="00BC6645">
            <w:pPr>
              <w:jc w:val="center"/>
              <w:rPr>
                <w:i/>
              </w:rPr>
            </w:pPr>
            <w:r w:rsidRPr="00BD1841">
              <w:rPr>
                <w:i/>
              </w:rPr>
              <w:sym w:font="Symbol" w:char="F065"/>
            </w:r>
            <w:proofErr w:type="spellStart"/>
            <w:r w:rsidRPr="00BD1841">
              <w:rPr>
                <w:i/>
                <w:vertAlign w:val="subscript"/>
              </w:rPr>
              <w:t>pb</w:t>
            </w:r>
            <w:proofErr w:type="spellEnd"/>
          </w:p>
        </w:tc>
        <w:tc>
          <w:tcPr>
            <w:tcW w:w="1078" w:type="pct"/>
          </w:tcPr>
          <w:p w14:paraId="2AB48779" w14:textId="77777777" w:rsidR="00094A06" w:rsidRPr="00BD1841" w:rsidRDefault="00094A06" w:rsidP="00BC6645">
            <w:pPr>
              <w:autoSpaceDE w:val="0"/>
              <w:autoSpaceDN w:val="0"/>
              <w:adjustRightInd w:val="0"/>
              <w:jc w:val="center"/>
            </w:pPr>
            <w:r w:rsidRPr="00BD1841">
              <w:t>0,5</w:t>
            </w:r>
            <w:r>
              <w:t>5</w:t>
            </w:r>
            <w:r w:rsidRPr="00BD1841">
              <w:t>6*</w:t>
            </w:r>
          </w:p>
          <w:p w14:paraId="6ABE07B1" w14:textId="77777777" w:rsidR="00094A06" w:rsidRPr="00BD1841" w:rsidRDefault="00094A06" w:rsidP="00BC6645">
            <w:pPr>
              <w:autoSpaceDE w:val="0"/>
              <w:autoSpaceDN w:val="0"/>
              <w:adjustRightInd w:val="0"/>
              <w:jc w:val="center"/>
            </w:pPr>
            <w:r w:rsidRPr="00BD1841">
              <w:t>(0,1</w:t>
            </w:r>
            <w:r>
              <w:t>1</w:t>
            </w:r>
            <w:r w:rsidRPr="00BD1841">
              <w:t>0)</w:t>
            </w:r>
          </w:p>
        </w:tc>
      </w:tr>
      <w:tr w:rsidR="00094A06" w:rsidRPr="00220FF5" w14:paraId="388FE495" w14:textId="77777777" w:rsidTr="00EF5A02">
        <w:trPr>
          <w:jc w:val="center"/>
        </w:trPr>
        <w:tc>
          <w:tcPr>
            <w:tcW w:w="638" w:type="pct"/>
          </w:tcPr>
          <w:p w14:paraId="298D75BC" w14:textId="77777777" w:rsidR="00094A06" w:rsidRPr="00BD1841" w:rsidRDefault="00094A06" w:rsidP="00BC6645">
            <w:pPr>
              <w:jc w:val="center"/>
              <w:rPr>
                <w:i/>
              </w:rPr>
            </w:pPr>
            <w:r w:rsidRPr="00BD1841">
              <w:rPr>
                <w:i/>
              </w:rPr>
              <w:sym w:font="Symbol" w:char="F068"/>
            </w:r>
            <w:r w:rsidRPr="00BD1841">
              <w:rPr>
                <w:i/>
                <w:vertAlign w:val="subscript"/>
              </w:rPr>
              <w:t>pp</w:t>
            </w:r>
          </w:p>
        </w:tc>
        <w:tc>
          <w:tcPr>
            <w:tcW w:w="1142" w:type="pct"/>
          </w:tcPr>
          <w:p w14:paraId="32EA8005" w14:textId="77777777" w:rsidR="00094A06" w:rsidRPr="00BD1841" w:rsidRDefault="00094A06" w:rsidP="00BC6645">
            <w:pPr>
              <w:autoSpaceDE w:val="0"/>
              <w:autoSpaceDN w:val="0"/>
              <w:adjustRightInd w:val="0"/>
              <w:jc w:val="center"/>
            </w:pPr>
            <w:r w:rsidRPr="00BD1841">
              <w:t>-0,</w:t>
            </w:r>
            <w:r>
              <w:t>840</w:t>
            </w:r>
            <w:r w:rsidRPr="00BD1841">
              <w:t>*</w:t>
            </w:r>
          </w:p>
          <w:p w14:paraId="693E07AC" w14:textId="77777777" w:rsidR="00094A06" w:rsidRPr="00BD1841" w:rsidRDefault="00094A06" w:rsidP="00BC6645">
            <w:pPr>
              <w:autoSpaceDE w:val="0"/>
              <w:autoSpaceDN w:val="0"/>
              <w:adjustRightInd w:val="0"/>
              <w:jc w:val="center"/>
            </w:pPr>
            <w:r>
              <w:t>(0,031</w:t>
            </w:r>
            <w:r w:rsidRPr="00BD1841">
              <w:t>)</w:t>
            </w:r>
          </w:p>
        </w:tc>
        <w:tc>
          <w:tcPr>
            <w:tcW w:w="579" w:type="pct"/>
          </w:tcPr>
          <w:p w14:paraId="0BB932BF" w14:textId="77777777" w:rsidR="00094A06" w:rsidRPr="00BD1841" w:rsidRDefault="00094A06" w:rsidP="00BC6645">
            <w:pPr>
              <w:jc w:val="center"/>
            </w:pPr>
          </w:p>
        </w:tc>
        <w:tc>
          <w:tcPr>
            <w:tcW w:w="1016" w:type="pct"/>
          </w:tcPr>
          <w:p w14:paraId="5ADC7405" w14:textId="77777777" w:rsidR="00094A06" w:rsidRPr="00BD1841" w:rsidRDefault="00094A06" w:rsidP="00BC6645">
            <w:pPr>
              <w:jc w:val="center"/>
            </w:pPr>
          </w:p>
        </w:tc>
        <w:tc>
          <w:tcPr>
            <w:tcW w:w="546" w:type="pct"/>
          </w:tcPr>
          <w:p w14:paraId="565BCB37" w14:textId="77777777" w:rsidR="00094A06" w:rsidRPr="00BD1841" w:rsidRDefault="00094A06" w:rsidP="00BC6645">
            <w:pPr>
              <w:jc w:val="center"/>
              <w:rPr>
                <w:i/>
              </w:rPr>
            </w:pPr>
            <w:r w:rsidRPr="00BD1841">
              <w:rPr>
                <w:i/>
              </w:rPr>
              <w:sym w:font="Symbol" w:char="F065"/>
            </w:r>
            <w:r w:rsidRPr="00BD1841">
              <w:rPr>
                <w:i/>
                <w:vertAlign w:val="subscript"/>
              </w:rPr>
              <w:t>pp</w:t>
            </w:r>
          </w:p>
        </w:tc>
        <w:tc>
          <w:tcPr>
            <w:tcW w:w="1078" w:type="pct"/>
          </w:tcPr>
          <w:p w14:paraId="1A8FF04C" w14:textId="77777777" w:rsidR="00094A06" w:rsidRPr="00BD1841" w:rsidRDefault="00094A06" w:rsidP="00BC6645">
            <w:pPr>
              <w:autoSpaceDE w:val="0"/>
              <w:autoSpaceDN w:val="0"/>
              <w:adjustRightInd w:val="0"/>
              <w:jc w:val="center"/>
            </w:pPr>
            <w:r>
              <w:t>-0,842</w:t>
            </w:r>
            <w:r w:rsidRPr="00BD1841">
              <w:t>*</w:t>
            </w:r>
          </w:p>
          <w:p w14:paraId="1F025BFE" w14:textId="77777777" w:rsidR="00094A06" w:rsidRPr="00BD1841" w:rsidRDefault="00094A06" w:rsidP="00BC6645">
            <w:pPr>
              <w:autoSpaceDE w:val="0"/>
              <w:autoSpaceDN w:val="0"/>
              <w:adjustRightInd w:val="0"/>
              <w:jc w:val="center"/>
            </w:pPr>
            <w:r w:rsidRPr="00BD1841">
              <w:t>(0,</w:t>
            </w:r>
            <w:r>
              <w:t>029</w:t>
            </w:r>
            <w:r w:rsidRPr="00BD1841">
              <w:t>)</w:t>
            </w:r>
          </w:p>
        </w:tc>
      </w:tr>
      <w:tr w:rsidR="00094A06" w:rsidRPr="00220FF5" w14:paraId="011AD4C3" w14:textId="77777777" w:rsidTr="00EF5A02">
        <w:trPr>
          <w:jc w:val="center"/>
        </w:trPr>
        <w:tc>
          <w:tcPr>
            <w:tcW w:w="638" w:type="pct"/>
          </w:tcPr>
          <w:p w14:paraId="034102A5" w14:textId="77777777" w:rsidR="00094A06" w:rsidRPr="00BD1841" w:rsidRDefault="00094A06" w:rsidP="00BC6645">
            <w:pPr>
              <w:jc w:val="center"/>
              <w:rPr>
                <w:i/>
              </w:rPr>
            </w:pPr>
            <w:r w:rsidRPr="00BD1841">
              <w:rPr>
                <w:i/>
              </w:rPr>
              <w:sym w:font="Symbol" w:char="F068"/>
            </w:r>
            <w:proofErr w:type="spellStart"/>
            <w:r w:rsidRPr="00BD1841">
              <w:rPr>
                <w:i/>
                <w:vertAlign w:val="subscript"/>
              </w:rPr>
              <w:t>pc</w:t>
            </w:r>
            <w:proofErr w:type="spellEnd"/>
          </w:p>
        </w:tc>
        <w:tc>
          <w:tcPr>
            <w:tcW w:w="1142" w:type="pct"/>
          </w:tcPr>
          <w:p w14:paraId="700F3799" w14:textId="77777777" w:rsidR="00094A06" w:rsidRPr="00BD1841" w:rsidRDefault="00094A06" w:rsidP="00BC6645">
            <w:pPr>
              <w:autoSpaceDE w:val="0"/>
              <w:autoSpaceDN w:val="0"/>
              <w:adjustRightInd w:val="0"/>
              <w:jc w:val="center"/>
            </w:pPr>
            <w:r>
              <w:t>0,190</w:t>
            </w:r>
            <w:r w:rsidRPr="00BD1841">
              <w:t>*</w:t>
            </w:r>
          </w:p>
          <w:p w14:paraId="12D4E99D" w14:textId="77777777" w:rsidR="00094A06" w:rsidRPr="00BD1841" w:rsidRDefault="00094A06" w:rsidP="00BC6645">
            <w:pPr>
              <w:autoSpaceDE w:val="0"/>
              <w:autoSpaceDN w:val="0"/>
              <w:adjustRightInd w:val="0"/>
              <w:jc w:val="center"/>
            </w:pPr>
            <w:r w:rsidRPr="00BD1841">
              <w:t>(0,</w:t>
            </w:r>
            <w:r>
              <w:t>039</w:t>
            </w:r>
            <w:r w:rsidRPr="00BD1841">
              <w:t>)</w:t>
            </w:r>
          </w:p>
        </w:tc>
        <w:tc>
          <w:tcPr>
            <w:tcW w:w="579" w:type="pct"/>
          </w:tcPr>
          <w:p w14:paraId="0D12EE5A" w14:textId="77777777" w:rsidR="00094A06" w:rsidRPr="00BD1841" w:rsidRDefault="00094A06" w:rsidP="00BC6645">
            <w:pPr>
              <w:jc w:val="center"/>
            </w:pPr>
          </w:p>
        </w:tc>
        <w:tc>
          <w:tcPr>
            <w:tcW w:w="1016" w:type="pct"/>
          </w:tcPr>
          <w:p w14:paraId="2A4E9CA8" w14:textId="77777777" w:rsidR="00094A06" w:rsidRPr="00BD1841" w:rsidRDefault="00094A06" w:rsidP="00BC6645">
            <w:pPr>
              <w:jc w:val="center"/>
            </w:pPr>
          </w:p>
        </w:tc>
        <w:tc>
          <w:tcPr>
            <w:tcW w:w="546" w:type="pct"/>
          </w:tcPr>
          <w:p w14:paraId="24DCA815" w14:textId="77777777" w:rsidR="00094A06" w:rsidRPr="00BD1841" w:rsidRDefault="00094A06" w:rsidP="00BC6645">
            <w:pPr>
              <w:jc w:val="center"/>
              <w:rPr>
                <w:i/>
              </w:rPr>
            </w:pPr>
            <w:r w:rsidRPr="00BD1841">
              <w:rPr>
                <w:i/>
              </w:rPr>
              <w:sym w:font="Symbol" w:char="F065"/>
            </w:r>
            <w:proofErr w:type="spellStart"/>
            <w:r w:rsidRPr="00BD1841">
              <w:rPr>
                <w:i/>
                <w:vertAlign w:val="subscript"/>
              </w:rPr>
              <w:t>pc</w:t>
            </w:r>
            <w:proofErr w:type="spellEnd"/>
          </w:p>
        </w:tc>
        <w:tc>
          <w:tcPr>
            <w:tcW w:w="1078" w:type="pct"/>
          </w:tcPr>
          <w:p w14:paraId="4028F94F" w14:textId="77777777" w:rsidR="00094A06" w:rsidRPr="00BD1841" w:rsidRDefault="00094A06" w:rsidP="00BC6645">
            <w:pPr>
              <w:autoSpaceDE w:val="0"/>
              <w:autoSpaceDN w:val="0"/>
              <w:adjustRightInd w:val="0"/>
              <w:jc w:val="center"/>
            </w:pPr>
            <w:r>
              <w:t>0,188</w:t>
            </w:r>
            <w:r w:rsidRPr="00BD1841">
              <w:t>*</w:t>
            </w:r>
          </w:p>
          <w:p w14:paraId="7EF110B4" w14:textId="77777777" w:rsidR="00094A06" w:rsidRPr="00BD1841" w:rsidRDefault="00094A06" w:rsidP="00BC6645">
            <w:pPr>
              <w:autoSpaceDE w:val="0"/>
              <w:autoSpaceDN w:val="0"/>
              <w:adjustRightInd w:val="0"/>
              <w:jc w:val="center"/>
            </w:pPr>
            <w:r>
              <w:t>(0,037</w:t>
            </w:r>
            <w:r w:rsidRPr="00BD1841">
              <w:t>)</w:t>
            </w:r>
          </w:p>
        </w:tc>
      </w:tr>
      <w:tr w:rsidR="00094A06" w:rsidRPr="00220FF5" w14:paraId="4A184D41" w14:textId="77777777" w:rsidTr="00EF5A02">
        <w:trPr>
          <w:jc w:val="center"/>
        </w:trPr>
        <w:tc>
          <w:tcPr>
            <w:tcW w:w="638" w:type="pct"/>
          </w:tcPr>
          <w:p w14:paraId="7D60EA9E" w14:textId="77777777" w:rsidR="00094A06" w:rsidRPr="00BD1841" w:rsidRDefault="00094A06" w:rsidP="00BC6645">
            <w:pPr>
              <w:jc w:val="center"/>
              <w:rPr>
                <w:i/>
              </w:rPr>
            </w:pPr>
            <w:r w:rsidRPr="00BD1841">
              <w:rPr>
                <w:i/>
              </w:rPr>
              <w:sym w:font="Symbol" w:char="F068"/>
            </w:r>
            <w:proofErr w:type="spellStart"/>
            <w:r w:rsidRPr="00BD1841">
              <w:rPr>
                <w:i/>
                <w:vertAlign w:val="subscript"/>
              </w:rPr>
              <w:t>po</w:t>
            </w:r>
            <w:proofErr w:type="spellEnd"/>
          </w:p>
        </w:tc>
        <w:tc>
          <w:tcPr>
            <w:tcW w:w="1142" w:type="pct"/>
          </w:tcPr>
          <w:p w14:paraId="0A15AEEE" w14:textId="77777777" w:rsidR="00094A06" w:rsidRPr="00BD1841" w:rsidRDefault="00094A06" w:rsidP="00BC6645">
            <w:pPr>
              <w:autoSpaceDE w:val="0"/>
              <w:autoSpaceDN w:val="0"/>
              <w:adjustRightInd w:val="0"/>
              <w:jc w:val="center"/>
            </w:pPr>
            <w:r w:rsidRPr="00BD1841">
              <w:t>-0,</w:t>
            </w:r>
            <w:r>
              <w:t>411</w:t>
            </w:r>
            <w:r w:rsidRPr="00BD1841">
              <w:t>*</w:t>
            </w:r>
          </w:p>
          <w:p w14:paraId="7CE4A551" w14:textId="77777777" w:rsidR="00094A06" w:rsidRPr="00BD1841" w:rsidRDefault="00094A06" w:rsidP="00BC6645">
            <w:pPr>
              <w:autoSpaceDE w:val="0"/>
              <w:autoSpaceDN w:val="0"/>
              <w:adjustRightInd w:val="0"/>
              <w:jc w:val="center"/>
            </w:pPr>
            <w:r>
              <w:t>(0,049</w:t>
            </w:r>
            <w:r w:rsidRPr="00BD1841">
              <w:t>)</w:t>
            </w:r>
          </w:p>
        </w:tc>
        <w:tc>
          <w:tcPr>
            <w:tcW w:w="579" w:type="pct"/>
          </w:tcPr>
          <w:p w14:paraId="6AA711DA" w14:textId="77777777" w:rsidR="00094A06" w:rsidRPr="00BD1841" w:rsidRDefault="00094A06" w:rsidP="00BC6645">
            <w:pPr>
              <w:jc w:val="center"/>
            </w:pPr>
          </w:p>
        </w:tc>
        <w:tc>
          <w:tcPr>
            <w:tcW w:w="1016" w:type="pct"/>
          </w:tcPr>
          <w:p w14:paraId="2664DB19" w14:textId="77777777" w:rsidR="00094A06" w:rsidRPr="00BD1841" w:rsidRDefault="00094A06" w:rsidP="00BC6645">
            <w:pPr>
              <w:jc w:val="center"/>
            </w:pPr>
          </w:p>
        </w:tc>
        <w:tc>
          <w:tcPr>
            <w:tcW w:w="546" w:type="pct"/>
          </w:tcPr>
          <w:p w14:paraId="06360E13" w14:textId="77777777" w:rsidR="00094A06" w:rsidRPr="00BD1841" w:rsidRDefault="00094A06" w:rsidP="00BC6645">
            <w:pPr>
              <w:jc w:val="center"/>
              <w:rPr>
                <w:i/>
              </w:rPr>
            </w:pPr>
            <w:r w:rsidRPr="00BD1841">
              <w:rPr>
                <w:i/>
              </w:rPr>
              <w:sym w:font="Symbol" w:char="F065"/>
            </w:r>
            <w:proofErr w:type="spellStart"/>
            <w:r w:rsidRPr="00BD1841">
              <w:rPr>
                <w:i/>
                <w:vertAlign w:val="subscript"/>
              </w:rPr>
              <w:t>po</w:t>
            </w:r>
            <w:proofErr w:type="spellEnd"/>
          </w:p>
        </w:tc>
        <w:tc>
          <w:tcPr>
            <w:tcW w:w="1078" w:type="pct"/>
          </w:tcPr>
          <w:p w14:paraId="62C6A706" w14:textId="77777777" w:rsidR="00094A06" w:rsidRPr="00BD1841" w:rsidRDefault="00094A06" w:rsidP="00BC6645">
            <w:pPr>
              <w:autoSpaceDE w:val="0"/>
              <w:autoSpaceDN w:val="0"/>
              <w:adjustRightInd w:val="0"/>
              <w:jc w:val="center"/>
            </w:pPr>
            <w:r>
              <w:t>-0,558</w:t>
            </w:r>
            <w:r w:rsidRPr="00BD1841">
              <w:t>*</w:t>
            </w:r>
          </w:p>
          <w:p w14:paraId="7A026CE4" w14:textId="77777777" w:rsidR="00094A06" w:rsidRPr="00BD1841" w:rsidRDefault="00094A06" w:rsidP="00BC6645">
            <w:pPr>
              <w:autoSpaceDE w:val="0"/>
              <w:autoSpaceDN w:val="0"/>
              <w:adjustRightInd w:val="0"/>
              <w:jc w:val="center"/>
            </w:pPr>
            <w:r>
              <w:t>(0,225</w:t>
            </w:r>
            <w:r w:rsidRPr="00BD1841">
              <w:t>)</w:t>
            </w:r>
          </w:p>
        </w:tc>
      </w:tr>
      <w:tr w:rsidR="00094A06" w:rsidRPr="00220FF5" w14:paraId="3D8F85D7" w14:textId="77777777" w:rsidTr="00EF5A02">
        <w:trPr>
          <w:jc w:val="center"/>
        </w:trPr>
        <w:tc>
          <w:tcPr>
            <w:tcW w:w="638" w:type="pct"/>
          </w:tcPr>
          <w:p w14:paraId="21589C25" w14:textId="77777777" w:rsidR="00094A06" w:rsidRPr="00BD1841" w:rsidRDefault="00094A06" w:rsidP="00BC6645">
            <w:pPr>
              <w:jc w:val="center"/>
              <w:rPr>
                <w:i/>
              </w:rPr>
            </w:pPr>
            <w:r w:rsidRPr="00BD1841">
              <w:rPr>
                <w:i/>
              </w:rPr>
              <w:sym w:font="Symbol" w:char="F068"/>
            </w:r>
            <w:proofErr w:type="spellStart"/>
            <w:r w:rsidRPr="00BD1841">
              <w:rPr>
                <w:i/>
                <w:vertAlign w:val="subscript"/>
              </w:rPr>
              <w:t>cb</w:t>
            </w:r>
            <w:proofErr w:type="spellEnd"/>
          </w:p>
        </w:tc>
        <w:tc>
          <w:tcPr>
            <w:tcW w:w="1142" w:type="pct"/>
          </w:tcPr>
          <w:p w14:paraId="5F6AEFA3" w14:textId="77777777" w:rsidR="00094A06" w:rsidRPr="00BD1841" w:rsidRDefault="00094A06" w:rsidP="00BC6645">
            <w:pPr>
              <w:autoSpaceDE w:val="0"/>
              <w:autoSpaceDN w:val="0"/>
              <w:adjustRightInd w:val="0"/>
              <w:jc w:val="center"/>
            </w:pPr>
            <w:r w:rsidRPr="00BD1841">
              <w:t>0,</w:t>
            </w:r>
            <w:r>
              <w:t>456</w:t>
            </w:r>
            <w:r w:rsidRPr="00BD1841">
              <w:t>*</w:t>
            </w:r>
          </w:p>
          <w:p w14:paraId="247822E6" w14:textId="77777777" w:rsidR="00094A06" w:rsidRPr="00BD1841" w:rsidRDefault="00094A06" w:rsidP="00BC6645">
            <w:pPr>
              <w:autoSpaceDE w:val="0"/>
              <w:autoSpaceDN w:val="0"/>
              <w:adjustRightInd w:val="0"/>
              <w:jc w:val="center"/>
            </w:pPr>
            <w:r w:rsidRPr="00BD1841">
              <w:t>(0,</w:t>
            </w:r>
            <w:r>
              <w:t>121</w:t>
            </w:r>
            <w:r w:rsidRPr="00BD1841">
              <w:t>)</w:t>
            </w:r>
          </w:p>
        </w:tc>
        <w:tc>
          <w:tcPr>
            <w:tcW w:w="579" w:type="pct"/>
          </w:tcPr>
          <w:p w14:paraId="2FDF8D80" w14:textId="77777777" w:rsidR="00094A06" w:rsidRPr="00BD1841" w:rsidRDefault="00094A06" w:rsidP="00BC6645">
            <w:pPr>
              <w:jc w:val="center"/>
            </w:pPr>
          </w:p>
        </w:tc>
        <w:tc>
          <w:tcPr>
            <w:tcW w:w="1016" w:type="pct"/>
          </w:tcPr>
          <w:p w14:paraId="2E4426F7" w14:textId="77777777" w:rsidR="00094A06" w:rsidRPr="00BD1841" w:rsidRDefault="00094A06" w:rsidP="00BC6645">
            <w:pPr>
              <w:jc w:val="center"/>
            </w:pPr>
          </w:p>
        </w:tc>
        <w:tc>
          <w:tcPr>
            <w:tcW w:w="546" w:type="pct"/>
          </w:tcPr>
          <w:p w14:paraId="0797A5CE" w14:textId="77777777" w:rsidR="00094A06" w:rsidRPr="00BD1841" w:rsidRDefault="00094A06" w:rsidP="00BC6645">
            <w:pPr>
              <w:jc w:val="center"/>
              <w:rPr>
                <w:i/>
              </w:rPr>
            </w:pPr>
            <w:r w:rsidRPr="00BD1841">
              <w:rPr>
                <w:i/>
              </w:rPr>
              <w:sym w:font="Symbol" w:char="F065"/>
            </w:r>
            <w:proofErr w:type="spellStart"/>
            <w:r w:rsidRPr="00BD1841">
              <w:rPr>
                <w:i/>
                <w:vertAlign w:val="subscript"/>
              </w:rPr>
              <w:t>cb</w:t>
            </w:r>
            <w:proofErr w:type="spellEnd"/>
          </w:p>
        </w:tc>
        <w:tc>
          <w:tcPr>
            <w:tcW w:w="1078" w:type="pct"/>
          </w:tcPr>
          <w:p w14:paraId="5FC07BAB" w14:textId="77777777" w:rsidR="00094A06" w:rsidRPr="00BD1841" w:rsidRDefault="00094A06" w:rsidP="00BC6645">
            <w:pPr>
              <w:autoSpaceDE w:val="0"/>
              <w:autoSpaceDN w:val="0"/>
              <w:adjustRightInd w:val="0"/>
              <w:jc w:val="center"/>
            </w:pPr>
            <w:r>
              <w:t>0,460</w:t>
            </w:r>
            <w:r w:rsidRPr="00BD1841">
              <w:t>*</w:t>
            </w:r>
          </w:p>
          <w:p w14:paraId="765532EC" w14:textId="77777777" w:rsidR="00094A06" w:rsidRPr="00BD1841" w:rsidRDefault="00094A06" w:rsidP="00BC6645">
            <w:pPr>
              <w:autoSpaceDE w:val="0"/>
              <w:autoSpaceDN w:val="0"/>
              <w:adjustRightInd w:val="0"/>
              <w:jc w:val="center"/>
            </w:pPr>
            <w:r>
              <w:t>(0,111</w:t>
            </w:r>
            <w:r w:rsidRPr="00BD1841">
              <w:t>)</w:t>
            </w:r>
          </w:p>
        </w:tc>
      </w:tr>
      <w:tr w:rsidR="00094A06" w:rsidRPr="00220FF5" w14:paraId="5D8F9D38" w14:textId="77777777" w:rsidTr="00EF5A02">
        <w:trPr>
          <w:jc w:val="center"/>
        </w:trPr>
        <w:tc>
          <w:tcPr>
            <w:tcW w:w="638" w:type="pct"/>
          </w:tcPr>
          <w:p w14:paraId="460E578E" w14:textId="77777777" w:rsidR="00094A06" w:rsidRPr="00BD1841" w:rsidRDefault="00094A06" w:rsidP="00BC6645">
            <w:pPr>
              <w:jc w:val="center"/>
              <w:rPr>
                <w:i/>
              </w:rPr>
            </w:pPr>
            <w:r w:rsidRPr="00BD1841">
              <w:rPr>
                <w:i/>
              </w:rPr>
              <w:sym w:font="Symbol" w:char="F068"/>
            </w:r>
            <w:proofErr w:type="spellStart"/>
            <w:r w:rsidRPr="00BD1841">
              <w:rPr>
                <w:i/>
                <w:vertAlign w:val="subscript"/>
              </w:rPr>
              <w:t>cp</w:t>
            </w:r>
            <w:proofErr w:type="spellEnd"/>
          </w:p>
        </w:tc>
        <w:tc>
          <w:tcPr>
            <w:tcW w:w="1142" w:type="pct"/>
          </w:tcPr>
          <w:p w14:paraId="2F41C33F" w14:textId="77777777" w:rsidR="00094A06" w:rsidRPr="00BD1841" w:rsidRDefault="00094A06" w:rsidP="00BC6645">
            <w:pPr>
              <w:autoSpaceDE w:val="0"/>
              <w:autoSpaceDN w:val="0"/>
              <w:adjustRightInd w:val="0"/>
              <w:jc w:val="center"/>
            </w:pPr>
            <w:r>
              <w:t>0,120</w:t>
            </w:r>
            <w:r w:rsidRPr="00BD1841">
              <w:t>*</w:t>
            </w:r>
          </w:p>
          <w:p w14:paraId="08EC0781" w14:textId="77777777" w:rsidR="00094A06" w:rsidRPr="00BD1841" w:rsidRDefault="00094A06" w:rsidP="00BC6645">
            <w:pPr>
              <w:autoSpaceDE w:val="0"/>
              <w:autoSpaceDN w:val="0"/>
              <w:adjustRightInd w:val="0"/>
              <w:jc w:val="center"/>
            </w:pPr>
            <w:r w:rsidRPr="00BD1841">
              <w:t>(0,</w:t>
            </w:r>
            <w:r>
              <w:t>033</w:t>
            </w:r>
            <w:r w:rsidRPr="00BD1841">
              <w:t>)</w:t>
            </w:r>
          </w:p>
        </w:tc>
        <w:tc>
          <w:tcPr>
            <w:tcW w:w="579" w:type="pct"/>
          </w:tcPr>
          <w:p w14:paraId="61E89B81" w14:textId="77777777" w:rsidR="00094A06" w:rsidRPr="00BD1841" w:rsidRDefault="00094A06" w:rsidP="00BC6645">
            <w:pPr>
              <w:jc w:val="center"/>
            </w:pPr>
          </w:p>
        </w:tc>
        <w:tc>
          <w:tcPr>
            <w:tcW w:w="1016" w:type="pct"/>
          </w:tcPr>
          <w:p w14:paraId="33A2942F" w14:textId="77777777" w:rsidR="00094A06" w:rsidRPr="00BD1841" w:rsidRDefault="00094A06" w:rsidP="00BC6645">
            <w:pPr>
              <w:jc w:val="center"/>
            </w:pPr>
          </w:p>
        </w:tc>
        <w:tc>
          <w:tcPr>
            <w:tcW w:w="546" w:type="pct"/>
          </w:tcPr>
          <w:p w14:paraId="7F1B8D43" w14:textId="77777777" w:rsidR="00094A06" w:rsidRPr="00BD1841" w:rsidRDefault="00094A06" w:rsidP="00BC6645">
            <w:pPr>
              <w:jc w:val="center"/>
              <w:rPr>
                <w:i/>
              </w:rPr>
            </w:pPr>
            <w:r w:rsidRPr="00BD1841">
              <w:rPr>
                <w:i/>
              </w:rPr>
              <w:sym w:font="Symbol" w:char="F065"/>
            </w:r>
            <w:proofErr w:type="spellStart"/>
            <w:r w:rsidRPr="00BD1841">
              <w:rPr>
                <w:i/>
                <w:vertAlign w:val="subscript"/>
              </w:rPr>
              <w:t>cp</w:t>
            </w:r>
            <w:proofErr w:type="spellEnd"/>
          </w:p>
        </w:tc>
        <w:tc>
          <w:tcPr>
            <w:tcW w:w="1078" w:type="pct"/>
          </w:tcPr>
          <w:p w14:paraId="5F073A66" w14:textId="77777777" w:rsidR="00094A06" w:rsidRPr="00BD1841" w:rsidRDefault="00094A06" w:rsidP="00BC6645">
            <w:pPr>
              <w:autoSpaceDE w:val="0"/>
              <w:autoSpaceDN w:val="0"/>
              <w:adjustRightInd w:val="0"/>
              <w:jc w:val="center"/>
            </w:pPr>
            <w:r>
              <w:t>0,121</w:t>
            </w:r>
            <w:r w:rsidRPr="00BD1841">
              <w:t>*</w:t>
            </w:r>
          </w:p>
          <w:p w14:paraId="33584D06" w14:textId="77777777" w:rsidR="00094A06" w:rsidRPr="00BD1841" w:rsidRDefault="00094A06" w:rsidP="00BC6645">
            <w:pPr>
              <w:autoSpaceDE w:val="0"/>
              <w:autoSpaceDN w:val="0"/>
              <w:adjustRightInd w:val="0"/>
              <w:jc w:val="center"/>
            </w:pPr>
            <w:r>
              <w:t>(0,029</w:t>
            </w:r>
            <w:r w:rsidRPr="00BD1841">
              <w:t>)</w:t>
            </w:r>
          </w:p>
        </w:tc>
      </w:tr>
      <w:tr w:rsidR="00094A06" w:rsidRPr="00220FF5" w14:paraId="0F944FBE" w14:textId="77777777" w:rsidTr="00EF5A02">
        <w:trPr>
          <w:jc w:val="center"/>
        </w:trPr>
        <w:tc>
          <w:tcPr>
            <w:tcW w:w="638" w:type="pct"/>
          </w:tcPr>
          <w:p w14:paraId="698F5677" w14:textId="77777777" w:rsidR="00094A06" w:rsidRPr="00BD1841" w:rsidRDefault="00094A06" w:rsidP="00BC6645">
            <w:pPr>
              <w:jc w:val="center"/>
              <w:rPr>
                <w:i/>
              </w:rPr>
            </w:pPr>
            <w:r w:rsidRPr="00BD1841">
              <w:rPr>
                <w:i/>
              </w:rPr>
              <w:sym w:font="Symbol" w:char="F068"/>
            </w:r>
            <w:r w:rsidRPr="00BD1841">
              <w:rPr>
                <w:i/>
                <w:vertAlign w:val="subscript"/>
              </w:rPr>
              <w:t>cc</w:t>
            </w:r>
          </w:p>
        </w:tc>
        <w:tc>
          <w:tcPr>
            <w:tcW w:w="1142" w:type="pct"/>
          </w:tcPr>
          <w:p w14:paraId="3AF50D5D" w14:textId="77777777" w:rsidR="00094A06" w:rsidRPr="00BD1841" w:rsidRDefault="00094A06" w:rsidP="00BC6645">
            <w:pPr>
              <w:autoSpaceDE w:val="0"/>
              <w:autoSpaceDN w:val="0"/>
              <w:adjustRightInd w:val="0"/>
              <w:jc w:val="center"/>
            </w:pPr>
            <w:r>
              <w:t>-0,841</w:t>
            </w:r>
            <w:r w:rsidRPr="00BD1841">
              <w:t>*</w:t>
            </w:r>
          </w:p>
          <w:p w14:paraId="660E8578" w14:textId="77777777" w:rsidR="00094A06" w:rsidRPr="00BD1841" w:rsidRDefault="00094A06" w:rsidP="00BC6645">
            <w:pPr>
              <w:autoSpaceDE w:val="0"/>
              <w:autoSpaceDN w:val="0"/>
              <w:adjustRightInd w:val="0"/>
              <w:jc w:val="center"/>
            </w:pPr>
            <w:r w:rsidRPr="00BD1841">
              <w:t>(0,</w:t>
            </w:r>
            <w:r>
              <w:t>039</w:t>
            </w:r>
            <w:r w:rsidRPr="00BD1841">
              <w:t>)</w:t>
            </w:r>
          </w:p>
        </w:tc>
        <w:tc>
          <w:tcPr>
            <w:tcW w:w="579" w:type="pct"/>
          </w:tcPr>
          <w:p w14:paraId="562340E2" w14:textId="77777777" w:rsidR="00094A06" w:rsidRPr="00BD1841" w:rsidRDefault="00094A06" w:rsidP="00BC6645"/>
        </w:tc>
        <w:tc>
          <w:tcPr>
            <w:tcW w:w="1016" w:type="pct"/>
          </w:tcPr>
          <w:p w14:paraId="217CF459" w14:textId="77777777" w:rsidR="00094A06" w:rsidRPr="00BD1841" w:rsidRDefault="00094A06" w:rsidP="00BC6645"/>
        </w:tc>
        <w:tc>
          <w:tcPr>
            <w:tcW w:w="546" w:type="pct"/>
          </w:tcPr>
          <w:p w14:paraId="51B6B06E" w14:textId="77777777" w:rsidR="00094A06" w:rsidRPr="00BD1841" w:rsidRDefault="00094A06" w:rsidP="00BC6645">
            <w:pPr>
              <w:jc w:val="center"/>
              <w:rPr>
                <w:i/>
              </w:rPr>
            </w:pPr>
            <w:r w:rsidRPr="00BD1841">
              <w:rPr>
                <w:i/>
              </w:rPr>
              <w:sym w:font="Symbol" w:char="F065"/>
            </w:r>
            <w:r w:rsidRPr="00BD1841">
              <w:rPr>
                <w:i/>
                <w:vertAlign w:val="subscript"/>
              </w:rPr>
              <w:t>cc</w:t>
            </w:r>
          </w:p>
        </w:tc>
        <w:tc>
          <w:tcPr>
            <w:tcW w:w="1078" w:type="pct"/>
          </w:tcPr>
          <w:p w14:paraId="689B4B58" w14:textId="77777777" w:rsidR="00094A06" w:rsidRPr="00BD1841" w:rsidRDefault="00094A06" w:rsidP="00BC6645">
            <w:pPr>
              <w:autoSpaceDE w:val="0"/>
              <w:autoSpaceDN w:val="0"/>
              <w:adjustRightInd w:val="0"/>
              <w:jc w:val="center"/>
            </w:pPr>
            <w:r>
              <w:t>-0,839</w:t>
            </w:r>
            <w:r w:rsidRPr="00BD1841">
              <w:t>*</w:t>
            </w:r>
          </w:p>
          <w:p w14:paraId="28A65193" w14:textId="77777777" w:rsidR="00094A06" w:rsidRPr="00BD1841" w:rsidRDefault="00094A06" w:rsidP="00BC6645">
            <w:pPr>
              <w:autoSpaceDE w:val="0"/>
              <w:autoSpaceDN w:val="0"/>
              <w:adjustRightInd w:val="0"/>
              <w:jc w:val="center"/>
            </w:pPr>
            <w:r>
              <w:t>(0,036</w:t>
            </w:r>
            <w:r w:rsidRPr="00BD1841">
              <w:t>)</w:t>
            </w:r>
          </w:p>
        </w:tc>
      </w:tr>
      <w:tr w:rsidR="00094A06" w:rsidRPr="00220FF5" w14:paraId="7E535274" w14:textId="77777777" w:rsidTr="00EF5A02">
        <w:trPr>
          <w:jc w:val="center"/>
        </w:trPr>
        <w:tc>
          <w:tcPr>
            <w:tcW w:w="638" w:type="pct"/>
          </w:tcPr>
          <w:p w14:paraId="47C3EF9C" w14:textId="77777777" w:rsidR="00094A06" w:rsidRPr="00BD1841" w:rsidRDefault="00094A06" w:rsidP="00BC6645">
            <w:pPr>
              <w:jc w:val="center"/>
              <w:rPr>
                <w:i/>
              </w:rPr>
            </w:pPr>
            <w:r w:rsidRPr="00BD1841">
              <w:rPr>
                <w:i/>
              </w:rPr>
              <w:sym w:font="Symbol" w:char="F068"/>
            </w:r>
            <w:r w:rsidRPr="00BD1841">
              <w:rPr>
                <w:i/>
                <w:vertAlign w:val="subscript"/>
              </w:rPr>
              <w:t>co</w:t>
            </w:r>
          </w:p>
        </w:tc>
        <w:tc>
          <w:tcPr>
            <w:tcW w:w="1142" w:type="pct"/>
          </w:tcPr>
          <w:p w14:paraId="42CC075E" w14:textId="77777777" w:rsidR="00094A06" w:rsidRPr="00BD1841" w:rsidRDefault="00094A06" w:rsidP="00BC6645">
            <w:pPr>
              <w:autoSpaceDE w:val="0"/>
              <w:autoSpaceDN w:val="0"/>
              <w:adjustRightInd w:val="0"/>
              <w:jc w:val="center"/>
            </w:pPr>
            <w:r>
              <w:t>-0,341</w:t>
            </w:r>
            <w:r w:rsidRPr="00BD1841">
              <w:t>*</w:t>
            </w:r>
          </w:p>
          <w:p w14:paraId="284376DE" w14:textId="77777777" w:rsidR="00094A06" w:rsidRPr="00BD1841" w:rsidRDefault="00094A06" w:rsidP="00BC6645">
            <w:pPr>
              <w:autoSpaceDE w:val="0"/>
              <w:autoSpaceDN w:val="0"/>
              <w:adjustRightInd w:val="0"/>
              <w:jc w:val="center"/>
            </w:pPr>
            <w:r w:rsidRPr="00BD1841">
              <w:t>(0,</w:t>
            </w:r>
            <w:r>
              <w:t>113</w:t>
            </w:r>
            <w:r w:rsidRPr="00BD1841">
              <w:t>)</w:t>
            </w:r>
          </w:p>
        </w:tc>
        <w:tc>
          <w:tcPr>
            <w:tcW w:w="579" w:type="pct"/>
          </w:tcPr>
          <w:p w14:paraId="3F33F4B2" w14:textId="77777777" w:rsidR="00094A06" w:rsidRPr="00BD1841" w:rsidRDefault="00094A06" w:rsidP="00BC6645"/>
        </w:tc>
        <w:tc>
          <w:tcPr>
            <w:tcW w:w="1016" w:type="pct"/>
          </w:tcPr>
          <w:p w14:paraId="473F2688" w14:textId="77777777" w:rsidR="00094A06" w:rsidRPr="00BD1841" w:rsidRDefault="00094A06" w:rsidP="00BC6645"/>
        </w:tc>
        <w:tc>
          <w:tcPr>
            <w:tcW w:w="546" w:type="pct"/>
          </w:tcPr>
          <w:p w14:paraId="5CB60F63" w14:textId="77777777" w:rsidR="00094A06" w:rsidRPr="00BD1841" w:rsidRDefault="00094A06" w:rsidP="00BC6645">
            <w:pPr>
              <w:jc w:val="center"/>
              <w:rPr>
                <w:i/>
              </w:rPr>
            </w:pPr>
            <w:r w:rsidRPr="00BD1841">
              <w:rPr>
                <w:i/>
              </w:rPr>
              <w:sym w:font="Symbol" w:char="F065"/>
            </w:r>
            <w:r w:rsidRPr="00BD1841">
              <w:rPr>
                <w:i/>
                <w:vertAlign w:val="subscript"/>
              </w:rPr>
              <w:t>co</w:t>
            </w:r>
          </w:p>
        </w:tc>
        <w:tc>
          <w:tcPr>
            <w:tcW w:w="1078" w:type="pct"/>
          </w:tcPr>
          <w:p w14:paraId="4F793CF4" w14:textId="77777777" w:rsidR="00094A06" w:rsidRPr="00BD1841" w:rsidRDefault="00094A06" w:rsidP="00BC6645">
            <w:pPr>
              <w:autoSpaceDE w:val="0"/>
              <w:autoSpaceDN w:val="0"/>
              <w:adjustRightInd w:val="0"/>
              <w:jc w:val="center"/>
            </w:pPr>
            <w:r w:rsidRPr="00BD1841">
              <w:t>-0,</w:t>
            </w:r>
            <w:r>
              <w:t>291</w:t>
            </w:r>
            <w:r w:rsidRPr="00BD1841">
              <w:t>*</w:t>
            </w:r>
          </w:p>
          <w:p w14:paraId="79243D5F" w14:textId="77777777" w:rsidR="00094A06" w:rsidRPr="00BD1841" w:rsidRDefault="00094A06" w:rsidP="00BC6645">
            <w:pPr>
              <w:autoSpaceDE w:val="0"/>
              <w:autoSpaceDN w:val="0"/>
              <w:adjustRightInd w:val="0"/>
              <w:jc w:val="center"/>
            </w:pPr>
            <w:r w:rsidRPr="00BD1841">
              <w:t>(0,</w:t>
            </w:r>
            <w:r>
              <w:t>35</w:t>
            </w:r>
            <w:r w:rsidRPr="00BD1841">
              <w:t>8)</w:t>
            </w:r>
          </w:p>
        </w:tc>
      </w:tr>
      <w:tr w:rsidR="00094A06" w:rsidRPr="00220FF5" w14:paraId="4B1D90AF" w14:textId="77777777" w:rsidTr="00EF5A02">
        <w:trPr>
          <w:jc w:val="center"/>
        </w:trPr>
        <w:tc>
          <w:tcPr>
            <w:tcW w:w="638" w:type="pct"/>
          </w:tcPr>
          <w:p w14:paraId="5D8F308A" w14:textId="77777777" w:rsidR="00094A06" w:rsidRPr="00BD1841" w:rsidRDefault="00094A06" w:rsidP="00BC6645">
            <w:pPr>
              <w:jc w:val="center"/>
              <w:rPr>
                <w:i/>
              </w:rPr>
            </w:pPr>
            <w:r w:rsidRPr="00BD1841">
              <w:rPr>
                <w:i/>
              </w:rPr>
              <w:sym w:font="Symbol" w:char="F068"/>
            </w:r>
            <w:r w:rsidRPr="00BD1841">
              <w:rPr>
                <w:i/>
                <w:vertAlign w:val="subscript"/>
              </w:rPr>
              <w:t>ob</w:t>
            </w:r>
          </w:p>
        </w:tc>
        <w:tc>
          <w:tcPr>
            <w:tcW w:w="1142" w:type="pct"/>
          </w:tcPr>
          <w:p w14:paraId="5945F679" w14:textId="77777777" w:rsidR="00094A06" w:rsidRPr="00BD1841" w:rsidRDefault="00094A06" w:rsidP="00BC6645">
            <w:pPr>
              <w:autoSpaceDE w:val="0"/>
              <w:autoSpaceDN w:val="0"/>
              <w:adjustRightInd w:val="0"/>
              <w:jc w:val="center"/>
            </w:pPr>
            <w:r w:rsidRPr="00BD1841">
              <w:t>-0,041*</w:t>
            </w:r>
          </w:p>
          <w:p w14:paraId="6C0D5FB7" w14:textId="77777777" w:rsidR="00094A06" w:rsidRPr="00BD1841" w:rsidRDefault="00094A06" w:rsidP="00BC6645">
            <w:pPr>
              <w:autoSpaceDE w:val="0"/>
              <w:autoSpaceDN w:val="0"/>
              <w:adjustRightInd w:val="0"/>
              <w:jc w:val="center"/>
            </w:pPr>
            <w:r w:rsidRPr="00BD1841">
              <w:t>(0,001)</w:t>
            </w:r>
          </w:p>
        </w:tc>
        <w:tc>
          <w:tcPr>
            <w:tcW w:w="579" w:type="pct"/>
          </w:tcPr>
          <w:p w14:paraId="581DCE90" w14:textId="77777777" w:rsidR="00094A06" w:rsidRPr="00BD1841" w:rsidRDefault="00094A06" w:rsidP="00BC6645"/>
        </w:tc>
        <w:tc>
          <w:tcPr>
            <w:tcW w:w="1016" w:type="pct"/>
          </w:tcPr>
          <w:p w14:paraId="0A8A577D" w14:textId="77777777" w:rsidR="00094A06" w:rsidRPr="00BD1841" w:rsidRDefault="00094A06" w:rsidP="00BC6645"/>
        </w:tc>
        <w:tc>
          <w:tcPr>
            <w:tcW w:w="546" w:type="pct"/>
          </w:tcPr>
          <w:p w14:paraId="784AFC78" w14:textId="77777777" w:rsidR="00094A06" w:rsidRPr="00BD1841" w:rsidRDefault="00094A06" w:rsidP="00BC6645">
            <w:pPr>
              <w:jc w:val="center"/>
              <w:rPr>
                <w:i/>
              </w:rPr>
            </w:pPr>
            <w:r w:rsidRPr="00BD1841">
              <w:rPr>
                <w:i/>
              </w:rPr>
              <w:sym w:font="Symbol" w:char="F065"/>
            </w:r>
            <w:r w:rsidRPr="00BD1841">
              <w:rPr>
                <w:i/>
                <w:vertAlign w:val="subscript"/>
              </w:rPr>
              <w:t>ob</w:t>
            </w:r>
          </w:p>
        </w:tc>
        <w:tc>
          <w:tcPr>
            <w:tcW w:w="1078" w:type="pct"/>
          </w:tcPr>
          <w:p w14:paraId="6FC49249" w14:textId="77777777" w:rsidR="00094A06" w:rsidRPr="00BD1841" w:rsidRDefault="00094A06" w:rsidP="00BC6645">
            <w:pPr>
              <w:autoSpaceDE w:val="0"/>
              <w:autoSpaceDN w:val="0"/>
              <w:adjustRightInd w:val="0"/>
              <w:jc w:val="center"/>
            </w:pPr>
            <w:r w:rsidRPr="00BD1841">
              <w:t>0,008*</w:t>
            </w:r>
          </w:p>
          <w:p w14:paraId="632CDCC0" w14:textId="77777777" w:rsidR="00094A06" w:rsidRPr="00BD1841" w:rsidRDefault="00094A06" w:rsidP="00BC6645">
            <w:pPr>
              <w:autoSpaceDE w:val="0"/>
              <w:autoSpaceDN w:val="0"/>
              <w:adjustRightInd w:val="0"/>
              <w:jc w:val="center"/>
            </w:pPr>
            <w:r w:rsidRPr="00BD1841">
              <w:t>(0,009)</w:t>
            </w:r>
          </w:p>
        </w:tc>
      </w:tr>
      <w:tr w:rsidR="00094A06" w:rsidRPr="00220FF5" w14:paraId="43251624" w14:textId="77777777" w:rsidTr="00EF5A02">
        <w:trPr>
          <w:jc w:val="center"/>
        </w:trPr>
        <w:tc>
          <w:tcPr>
            <w:tcW w:w="638" w:type="pct"/>
          </w:tcPr>
          <w:p w14:paraId="484468BC" w14:textId="77777777" w:rsidR="00094A06" w:rsidRPr="00BD1841" w:rsidRDefault="00094A06" w:rsidP="00BC6645">
            <w:pPr>
              <w:jc w:val="center"/>
              <w:rPr>
                <w:i/>
              </w:rPr>
            </w:pPr>
            <w:r w:rsidRPr="00BD1841">
              <w:rPr>
                <w:i/>
              </w:rPr>
              <w:lastRenderedPageBreak/>
              <w:sym w:font="Symbol" w:char="F068"/>
            </w:r>
            <w:proofErr w:type="spellStart"/>
            <w:r w:rsidRPr="00BD1841">
              <w:rPr>
                <w:i/>
                <w:vertAlign w:val="subscript"/>
              </w:rPr>
              <w:t>op</w:t>
            </w:r>
            <w:proofErr w:type="spellEnd"/>
          </w:p>
        </w:tc>
        <w:tc>
          <w:tcPr>
            <w:tcW w:w="1142" w:type="pct"/>
          </w:tcPr>
          <w:p w14:paraId="0372C200" w14:textId="77777777" w:rsidR="00094A06" w:rsidRPr="00BD1841" w:rsidRDefault="00094A06" w:rsidP="00BC6645">
            <w:pPr>
              <w:autoSpaceDE w:val="0"/>
              <w:autoSpaceDN w:val="0"/>
              <w:adjustRightInd w:val="0"/>
              <w:jc w:val="center"/>
            </w:pPr>
            <w:r w:rsidRPr="00BD1841">
              <w:t>-0,01</w:t>
            </w:r>
            <w:r>
              <w:t>1</w:t>
            </w:r>
            <w:r w:rsidRPr="00BD1841">
              <w:t>*</w:t>
            </w:r>
          </w:p>
          <w:p w14:paraId="64893B56" w14:textId="77777777" w:rsidR="00094A06" w:rsidRPr="00BD1841" w:rsidRDefault="00094A06" w:rsidP="00BC6645">
            <w:pPr>
              <w:autoSpaceDE w:val="0"/>
              <w:autoSpaceDN w:val="0"/>
              <w:adjustRightInd w:val="0"/>
              <w:jc w:val="center"/>
            </w:pPr>
            <w:r w:rsidRPr="00BD1841">
              <w:t>(0,000</w:t>
            </w:r>
            <w:r>
              <w:t>4</w:t>
            </w:r>
            <w:r w:rsidRPr="00BD1841">
              <w:t>)</w:t>
            </w:r>
          </w:p>
        </w:tc>
        <w:tc>
          <w:tcPr>
            <w:tcW w:w="579" w:type="pct"/>
          </w:tcPr>
          <w:p w14:paraId="7FB63B10" w14:textId="77777777" w:rsidR="00094A06" w:rsidRPr="00BD1841" w:rsidRDefault="00094A06" w:rsidP="00BC6645"/>
        </w:tc>
        <w:tc>
          <w:tcPr>
            <w:tcW w:w="1016" w:type="pct"/>
          </w:tcPr>
          <w:p w14:paraId="0D04D970" w14:textId="77777777" w:rsidR="00094A06" w:rsidRPr="00BD1841" w:rsidRDefault="00094A06" w:rsidP="00BC6645"/>
        </w:tc>
        <w:tc>
          <w:tcPr>
            <w:tcW w:w="546" w:type="pct"/>
          </w:tcPr>
          <w:p w14:paraId="0E1664A6" w14:textId="77777777" w:rsidR="00094A06" w:rsidRPr="00BD1841" w:rsidRDefault="00094A06" w:rsidP="00BC6645">
            <w:pPr>
              <w:jc w:val="center"/>
              <w:rPr>
                <w:i/>
              </w:rPr>
            </w:pPr>
            <w:r w:rsidRPr="00BD1841">
              <w:rPr>
                <w:i/>
              </w:rPr>
              <w:sym w:font="Symbol" w:char="F065"/>
            </w:r>
            <w:proofErr w:type="spellStart"/>
            <w:r w:rsidRPr="00BD1841">
              <w:rPr>
                <w:i/>
                <w:vertAlign w:val="subscript"/>
              </w:rPr>
              <w:t>op</w:t>
            </w:r>
            <w:proofErr w:type="spellEnd"/>
          </w:p>
        </w:tc>
        <w:tc>
          <w:tcPr>
            <w:tcW w:w="1078" w:type="pct"/>
          </w:tcPr>
          <w:p w14:paraId="0C1FE84F" w14:textId="77777777" w:rsidR="00094A06" w:rsidRPr="00BD1841" w:rsidRDefault="00094A06" w:rsidP="00BC6645">
            <w:pPr>
              <w:autoSpaceDE w:val="0"/>
              <w:autoSpaceDN w:val="0"/>
              <w:adjustRightInd w:val="0"/>
              <w:jc w:val="center"/>
            </w:pPr>
            <w:r>
              <w:t>0,004</w:t>
            </w:r>
            <w:r w:rsidRPr="00BD1841">
              <w:t>*</w:t>
            </w:r>
          </w:p>
          <w:p w14:paraId="3F1FD46C" w14:textId="77777777" w:rsidR="00094A06" w:rsidRPr="00BD1841" w:rsidRDefault="00094A06" w:rsidP="00BC6645">
            <w:pPr>
              <w:autoSpaceDE w:val="0"/>
              <w:autoSpaceDN w:val="0"/>
              <w:adjustRightInd w:val="0"/>
              <w:jc w:val="center"/>
            </w:pPr>
            <w:r w:rsidRPr="00BD1841">
              <w:t>(0,003)</w:t>
            </w:r>
          </w:p>
        </w:tc>
      </w:tr>
      <w:tr w:rsidR="00094A06" w:rsidRPr="00220FF5" w14:paraId="6F86F756" w14:textId="77777777" w:rsidTr="00EF5A02">
        <w:trPr>
          <w:jc w:val="center"/>
        </w:trPr>
        <w:tc>
          <w:tcPr>
            <w:tcW w:w="638" w:type="pct"/>
            <w:tcBorders>
              <w:bottom w:val="nil"/>
            </w:tcBorders>
          </w:tcPr>
          <w:p w14:paraId="00CF33EE" w14:textId="77777777" w:rsidR="00094A06" w:rsidRPr="00BD1841" w:rsidRDefault="00094A06" w:rsidP="00BC6645">
            <w:pPr>
              <w:jc w:val="center"/>
              <w:rPr>
                <w:i/>
              </w:rPr>
            </w:pPr>
            <w:r w:rsidRPr="00BD1841">
              <w:rPr>
                <w:i/>
              </w:rPr>
              <w:sym w:font="Symbol" w:char="F068"/>
            </w:r>
            <w:proofErr w:type="spellStart"/>
            <w:r w:rsidRPr="00BD1841">
              <w:rPr>
                <w:i/>
                <w:vertAlign w:val="subscript"/>
              </w:rPr>
              <w:t>oc</w:t>
            </w:r>
            <w:proofErr w:type="spellEnd"/>
          </w:p>
        </w:tc>
        <w:tc>
          <w:tcPr>
            <w:tcW w:w="1142" w:type="pct"/>
            <w:tcBorders>
              <w:bottom w:val="nil"/>
            </w:tcBorders>
          </w:tcPr>
          <w:p w14:paraId="2807E490" w14:textId="77777777" w:rsidR="00094A06" w:rsidRPr="00BD1841" w:rsidRDefault="00094A06" w:rsidP="00BC6645">
            <w:pPr>
              <w:autoSpaceDE w:val="0"/>
              <w:autoSpaceDN w:val="0"/>
              <w:adjustRightInd w:val="0"/>
              <w:jc w:val="center"/>
            </w:pPr>
            <w:r>
              <w:t>-0,013</w:t>
            </w:r>
            <w:r w:rsidRPr="00BD1841">
              <w:t>*</w:t>
            </w:r>
          </w:p>
          <w:p w14:paraId="51D83D82" w14:textId="77777777" w:rsidR="00094A06" w:rsidRPr="00BD1841" w:rsidRDefault="00094A06" w:rsidP="00BC6645">
            <w:pPr>
              <w:autoSpaceDE w:val="0"/>
              <w:autoSpaceDN w:val="0"/>
              <w:adjustRightInd w:val="0"/>
              <w:jc w:val="center"/>
            </w:pPr>
            <w:r w:rsidRPr="00BD1841">
              <w:t>(0,000</w:t>
            </w:r>
            <w:r>
              <w:t>4</w:t>
            </w:r>
            <w:r w:rsidRPr="00BD1841">
              <w:t>)</w:t>
            </w:r>
          </w:p>
        </w:tc>
        <w:tc>
          <w:tcPr>
            <w:tcW w:w="579" w:type="pct"/>
            <w:tcBorders>
              <w:bottom w:val="nil"/>
            </w:tcBorders>
          </w:tcPr>
          <w:p w14:paraId="6FBC775B" w14:textId="77777777" w:rsidR="00094A06" w:rsidRPr="00BD1841" w:rsidRDefault="00094A06" w:rsidP="00BC6645"/>
        </w:tc>
        <w:tc>
          <w:tcPr>
            <w:tcW w:w="1016" w:type="pct"/>
            <w:tcBorders>
              <w:bottom w:val="nil"/>
            </w:tcBorders>
          </w:tcPr>
          <w:p w14:paraId="2C3BDF63" w14:textId="77777777" w:rsidR="00094A06" w:rsidRPr="00BD1841" w:rsidRDefault="00094A06" w:rsidP="00BC6645"/>
        </w:tc>
        <w:tc>
          <w:tcPr>
            <w:tcW w:w="546" w:type="pct"/>
            <w:tcBorders>
              <w:bottom w:val="nil"/>
            </w:tcBorders>
          </w:tcPr>
          <w:p w14:paraId="0FF5A03A" w14:textId="77777777" w:rsidR="00094A06" w:rsidRPr="00BD1841" w:rsidRDefault="00094A06" w:rsidP="00BC6645">
            <w:pPr>
              <w:jc w:val="center"/>
              <w:rPr>
                <w:i/>
              </w:rPr>
            </w:pPr>
            <w:r w:rsidRPr="00BD1841">
              <w:rPr>
                <w:i/>
              </w:rPr>
              <w:sym w:font="Symbol" w:char="F065"/>
            </w:r>
            <w:proofErr w:type="spellStart"/>
            <w:r w:rsidRPr="00BD1841">
              <w:rPr>
                <w:i/>
                <w:vertAlign w:val="subscript"/>
              </w:rPr>
              <w:t>oc</w:t>
            </w:r>
            <w:proofErr w:type="spellEnd"/>
          </w:p>
        </w:tc>
        <w:tc>
          <w:tcPr>
            <w:tcW w:w="1078" w:type="pct"/>
            <w:tcBorders>
              <w:bottom w:val="nil"/>
            </w:tcBorders>
          </w:tcPr>
          <w:p w14:paraId="5D107A94" w14:textId="77777777" w:rsidR="00094A06" w:rsidRPr="00BD1841" w:rsidRDefault="00094A06" w:rsidP="00BC6645">
            <w:pPr>
              <w:autoSpaceDE w:val="0"/>
              <w:autoSpaceDN w:val="0"/>
              <w:adjustRightInd w:val="0"/>
              <w:jc w:val="center"/>
            </w:pPr>
            <w:r>
              <w:t>-</w:t>
            </w:r>
            <w:r w:rsidRPr="00BD1841">
              <w:t>0,000</w:t>
            </w:r>
          </w:p>
          <w:p w14:paraId="5C3B71BB" w14:textId="77777777" w:rsidR="00094A06" w:rsidRPr="00BD1841" w:rsidRDefault="00094A06" w:rsidP="00BC6645">
            <w:pPr>
              <w:autoSpaceDE w:val="0"/>
              <w:autoSpaceDN w:val="0"/>
              <w:adjustRightInd w:val="0"/>
              <w:jc w:val="center"/>
            </w:pPr>
            <w:r w:rsidRPr="00BD1841">
              <w:t>(0,003)</w:t>
            </w:r>
          </w:p>
        </w:tc>
      </w:tr>
      <w:tr w:rsidR="00094A06" w:rsidRPr="00220FF5" w14:paraId="21B6CD50" w14:textId="77777777" w:rsidTr="00EF5A02">
        <w:trPr>
          <w:jc w:val="center"/>
        </w:trPr>
        <w:tc>
          <w:tcPr>
            <w:tcW w:w="638" w:type="pct"/>
            <w:tcBorders>
              <w:top w:val="nil"/>
              <w:bottom w:val="single" w:sz="4" w:space="0" w:color="auto"/>
            </w:tcBorders>
          </w:tcPr>
          <w:p w14:paraId="27CB875E" w14:textId="77777777" w:rsidR="00094A06" w:rsidRPr="00BD1841" w:rsidRDefault="00094A06" w:rsidP="00BC6645">
            <w:pPr>
              <w:jc w:val="center"/>
              <w:rPr>
                <w:i/>
              </w:rPr>
            </w:pPr>
            <w:r w:rsidRPr="00BD1841">
              <w:rPr>
                <w:i/>
              </w:rPr>
              <w:sym w:font="Symbol" w:char="F068"/>
            </w:r>
            <w:proofErr w:type="spellStart"/>
            <w:r w:rsidRPr="00BD1841">
              <w:rPr>
                <w:i/>
                <w:vertAlign w:val="subscript"/>
              </w:rPr>
              <w:t>oo</w:t>
            </w:r>
            <w:proofErr w:type="spellEnd"/>
          </w:p>
        </w:tc>
        <w:tc>
          <w:tcPr>
            <w:tcW w:w="1142" w:type="pct"/>
            <w:tcBorders>
              <w:top w:val="nil"/>
              <w:bottom w:val="single" w:sz="4" w:space="0" w:color="auto"/>
            </w:tcBorders>
          </w:tcPr>
          <w:p w14:paraId="4614F4FE" w14:textId="77777777" w:rsidR="00094A06" w:rsidRPr="00BD1841" w:rsidRDefault="00094A06" w:rsidP="00BC6645">
            <w:pPr>
              <w:autoSpaceDE w:val="0"/>
              <w:autoSpaceDN w:val="0"/>
              <w:adjustRightInd w:val="0"/>
              <w:jc w:val="center"/>
            </w:pPr>
            <w:r w:rsidRPr="00BD1841">
              <w:t>-1,003*</w:t>
            </w:r>
          </w:p>
          <w:p w14:paraId="2D0797EE" w14:textId="77777777" w:rsidR="00094A06" w:rsidRPr="00BD1841" w:rsidRDefault="00094A06" w:rsidP="00BC6645">
            <w:pPr>
              <w:autoSpaceDE w:val="0"/>
              <w:autoSpaceDN w:val="0"/>
              <w:adjustRightInd w:val="0"/>
              <w:jc w:val="center"/>
            </w:pPr>
            <w:r w:rsidRPr="00BD1841">
              <w:t>(0,002)</w:t>
            </w:r>
          </w:p>
        </w:tc>
        <w:tc>
          <w:tcPr>
            <w:tcW w:w="579" w:type="pct"/>
            <w:tcBorders>
              <w:top w:val="nil"/>
              <w:bottom w:val="single" w:sz="4" w:space="0" w:color="auto"/>
            </w:tcBorders>
          </w:tcPr>
          <w:p w14:paraId="175C4F45" w14:textId="77777777" w:rsidR="00094A06" w:rsidRPr="00BD1841" w:rsidRDefault="00094A06" w:rsidP="00BC6645"/>
        </w:tc>
        <w:tc>
          <w:tcPr>
            <w:tcW w:w="1016" w:type="pct"/>
            <w:tcBorders>
              <w:top w:val="nil"/>
              <w:bottom w:val="single" w:sz="4" w:space="0" w:color="auto"/>
            </w:tcBorders>
          </w:tcPr>
          <w:p w14:paraId="4B59BA52" w14:textId="77777777" w:rsidR="00094A06" w:rsidRPr="00BD1841" w:rsidRDefault="00094A06" w:rsidP="00BC6645"/>
        </w:tc>
        <w:tc>
          <w:tcPr>
            <w:tcW w:w="546" w:type="pct"/>
            <w:tcBorders>
              <w:top w:val="nil"/>
              <w:bottom w:val="single" w:sz="4" w:space="0" w:color="auto"/>
            </w:tcBorders>
          </w:tcPr>
          <w:p w14:paraId="4C4DB4BB" w14:textId="77777777" w:rsidR="00094A06" w:rsidRPr="00BD1841" w:rsidRDefault="00094A06" w:rsidP="00BC6645">
            <w:pPr>
              <w:jc w:val="center"/>
              <w:rPr>
                <w:i/>
              </w:rPr>
            </w:pPr>
            <w:r w:rsidRPr="00BD1841">
              <w:rPr>
                <w:i/>
              </w:rPr>
              <w:sym w:font="Symbol" w:char="F065"/>
            </w:r>
            <w:proofErr w:type="spellStart"/>
            <w:r w:rsidRPr="00BD1841">
              <w:rPr>
                <w:i/>
                <w:vertAlign w:val="subscript"/>
              </w:rPr>
              <w:t>oo</w:t>
            </w:r>
            <w:proofErr w:type="spellEnd"/>
          </w:p>
        </w:tc>
        <w:tc>
          <w:tcPr>
            <w:tcW w:w="1078" w:type="pct"/>
            <w:tcBorders>
              <w:top w:val="nil"/>
              <w:bottom w:val="single" w:sz="4" w:space="0" w:color="auto"/>
            </w:tcBorders>
          </w:tcPr>
          <w:p w14:paraId="5C1B34B6" w14:textId="77777777" w:rsidR="00094A06" w:rsidRPr="00BD1841" w:rsidRDefault="00094A06" w:rsidP="00BC6645">
            <w:pPr>
              <w:autoSpaceDE w:val="0"/>
              <w:autoSpaceDN w:val="0"/>
              <w:adjustRightInd w:val="0"/>
              <w:jc w:val="center"/>
            </w:pPr>
            <w:r w:rsidRPr="00BD1841">
              <w:t>-</w:t>
            </w:r>
            <w:r>
              <w:t>0,012</w:t>
            </w:r>
            <w:r w:rsidRPr="00BD1841">
              <w:t>*</w:t>
            </w:r>
          </w:p>
          <w:p w14:paraId="1AC20E99" w14:textId="77777777" w:rsidR="00094A06" w:rsidRPr="00BD1841" w:rsidRDefault="00094A06" w:rsidP="00BC6645">
            <w:pPr>
              <w:autoSpaceDE w:val="0"/>
              <w:autoSpaceDN w:val="0"/>
              <w:adjustRightInd w:val="0"/>
              <w:jc w:val="center"/>
            </w:pPr>
            <w:r w:rsidRPr="00BD1841">
              <w:t>(0,013)</w:t>
            </w:r>
          </w:p>
        </w:tc>
      </w:tr>
      <w:tr w:rsidR="00094A06" w:rsidRPr="00E9029E" w14:paraId="0252342F" w14:textId="77777777" w:rsidTr="00EF5A02">
        <w:trPr>
          <w:jc w:val="center"/>
        </w:trPr>
        <w:tc>
          <w:tcPr>
            <w:tcW w:w="5000" w:type="pct"/>
            <w:gridSpan w:val="6"/>
            <w:tcBorders>
              <w:top w:val="single" w:sz="4" w:space="0" w:color="auto"/>
            </w:tcBorders>
          </w:tcPr>
          <w:p w14:paraId="7CEF45B5" w14:textId="77777777" w:rsidR="00094A06" w:rsidRPr="00220FF5" w:rsidRDefault="00094A06" w:rsidP="00BC6645">
            <w:pPr>
              <w:autoSpaceDE w:val="0"/>
              <w:autoSpaceDN w:val="0"/>
              <w:adjustRightInd w:val="0"/>
              <w:jc w:val="both"/>
            </w:pPr>
            <w:r w:rsidRPr="00220FF5">
              <w:rPr>
                <w:i/>
              </w:rPr>
              <w:t>Notas</w:t>
            </w:r>
            <w:r w:rsidRPr="00220FF5">
              <w:t>: Núm</w:t>
            </w:r>
            <w:r>
              <w:t>eros em parênteses são desvios-padrão</w:t>
            </w:r>
            <w:r w:rsidRPr="00220FF5">
              <w:t xml:space="preserve">; * denota que a estimativa é estatisticamente diferente de zero pelo teste </w:t>
            </w:r>
            <w:r w:rsidRPr="00220FF5">
              <w:rPr>
                <w:i/>
              </w:rPr>
              <w:t>t</w:t>
            </w:r>
            <w:r w:rsidRPr="00220FF5">
              <w:t xml:space="preserve"> ao nível de 5%; </w:t>
            </w:r>
            <w:r w:rsidRPr="00220FF5">
              <w:rPr>
                <w:i/>
              </w:rPr>
              <w:sym w:font="Symbol" w:char="F068"/>
            </w:r>
            <w:proofErr w:type="spellStart"/>
            <w:r w:rsidRPr="00220FF5">
              <w:rPr>
                <w:i/>
                <w:vertAlign w:val="subscript"/>
              </w:rPr>
              <w:t>ij</w:t>
            </w:r>
            <w:proofErr w:type="spellEnd"/>
            <w:r w:rsidRPr="00220FF5">
              <w:rPr>
                <w:i/>
                <w:iCs/>
              </w:rPr>
              <w:t xml:space="preserve"> </w:t>
            </w:r>
            <w:r w:rsidRPr="00220FF5">
              <w:rPr>
                <w:iCs/>
              </w:rPr>
              <w:t>e</w:t>
            </w:r>
            <w:r w:rsidRPr="00220FF5">
              <w:t xml:space="preserve"> </w:t>
            </w:r>
            <w:r w:rsidRPr="00220FF5">
              <w:rPr>
                <w:i/>
              </w:rPr>
              <w:sym w:font="Symbol" w:char="F065"/>
            </w:r>
            <w:proofErr w:type="spellStart"/>
            <w:r w:rsidRPr="00220FF5">
              <w:rPr>
                <w:i/>
                <w:vertAlign w:val="subscript"/>
              </w:rPr>
              <w:t>ij</w:t>
            </w:r>
            <w:proofErr w:type="spellEnd"/>
            <w:r w:rsidRPr="00220FF5">
              <w:rPr>
                <w:i/>
                <w:iCs/>
              </w:rPr>
              <w:t xml:space="preserve"> </w:t>
            </w:r>
            <w:r w:rsidRPr="00220FF5">
              <w:t xml:space="preserve">denotam elasticidades-preço Marshallianas e Hicksianas da demanda do </w:t>
            </w:r>
            <w:r w:rsidRPr="00220FF5">
              <w:rPr>
                <w:i/>
              </w:rPr>
              <w:t>i</w:t>
            </w:r>
            <w:r w:rsidRPr="00220FF5">
              <w:t>-</w:t>
            </w:r>
            <w:proofErr w:type="spellStart"/>
            <w:r w:rsidRPr="00220FF5">
              <w:t>ésimo</w:t>
            </w:r>
            <w:proofErr w:type="spellEnd"/>
            <w:r w:rsidRPr="00220FF5">
              <w:t xml:space="preserve"> bem com respeito ao preço do </w:t>
            </w:r>
            <w:r w:rsidRPr="00220FF5">
              <w:rPr>
                <w:i/>
              </w:rPr>
              <w:t>j</w:t>
            </w:r>
            <w:r w:rsidRPr="00220FF5">
              <w:t>-</w:t>
            </w:r>
            <w:proofErr w:type="spellStart"/>
            <w:r w:rsidRPr="00220FF5">
              <w:t>ésimo</w:t>
            </w:r>
            <w:proofErr w:type="spellEnd"/>
            <w:r w:rsidRPr="00220FF5">
              <w:t xml:space="preserve"> bem; e </w:t>
            </w:r>
            <w:r w:rsidRPr="00220FF5">
              <w:rPr>
                <w:i/>
              </w:rPr>
              <w:sym w:font="Symbol" w:char="F068"/>
            </w:r>
            <w:r w:rsidRPr="00220FF5">
              <w:rPr>
                <w:i/>
                <w:vertAlign w:val="subscript"/>
              </w:rPr>
              <w:t>ix</w:t>
            </w:r>
            <w:r w:rsidRPr="00220FF5">
              <w:rPr>
                <w:i/>
                <w:iCs/>
              </w:rPr>
              <w:t xml:space="preserve"> </w:t>
            </w:r>
            <w:r w:rsidRPr="00220FF5">
              <w:t>denota a elasticida</w:t>
            </w:r>
            <w:r>
              <w:t>de-gasto</w:t>
            </w:r>
            <w:r w:rsidRPr="00220FF5">
              <w:t xml:space="preserve"> do </w:t>
            </w:r>
            <w:r w:rsidRPr="00220FF5">
              <w:rPr>
                <w:i/>
              </w:rPr>
              <w:t>i</w:t>
            </w:r>
            <w:r w:rsidRPr="00220FF5">
              <w:t>-</w:t>
            </w:r>
            <w:proofErr w:type="spellStart"/>
            <w:r w:rsidRPr="00220FF5">
              <w:t>ésimo</w:t>
            </w:r>
            <w:proofErr w:type="spellEnd"/>
            <w:r w:rsidRPr="00220FF5">
              <w:t xml:space="preserve"> bem, com</w:t>
            </w:r>
            <w:r w:rsidRPr="00220FF5">
              <w:rPr>
                <w:i/>
                <w:iCs/>
              </w:rPr>
              <w:t xml:space="preserve"> i </w:t>
            </w:r>
            <w:r w:rsidRPr="00220FF5">
              <w:rPr>
                <w:iCs/>
              </w:rPr>
              <w:t>e</w:t>
            </w:r>
            <w:r w:rsidRPr="00220FF5">
              <w:rPr>
                <w:i/>
                <w:iCs/>
              </w:rPr>
              <w:t xml:space="preserve"> j </w:t>
            </w:r>
            <w:r w:rsidRPr="00220FF5">
              <w:rPr>
                <w:rFonts w:eastAsia="MTSY"/>
              </w:rPr>
              <w:t xml:space="preserve">= </w:t>
            </w:r>
            <w:r w:rsidRPr="00220FF5">
              <w:rPr>
                <w:i/>
              </w:rPr>
              <w:t>b</w:t>
            </w:r>
            <w:r w:rsidRPr="00220FF5">
              <w:t xml:space="preserve"> para carne bovina, </w:t>
            </w:r>
            <w:r w:rsidRPr="00220FF5">
              <w:rPr>
                <w:i/>
              </w:rPr>
              <w:t>p</w:t>
            </w:r>
            <w:r w:rsidRPr="00220FF5">
              <w:t xml:space="preserve"> para carne suína, </w:t>
            </w:r>
            <w:r w:rsidRPr="00220FF5">
              <w:rPr>
                <w:i/>
              </w:rPr>
              <w:t>c</w:t>
            </w:r>
            <w:r w:rsidRPr="00220FF5">
              <w:t xml:space="preserve"> para carne de frango, e </w:t>
            </w:r>
            <w:r w:rsidRPr="00220FF5">
              <w:rPr>
                <w:i/>
              </w:rPr>
              <w:t>o</w:t>
            </w:r>
            <w:r w:rsidRPr="00220FF5">
              <w:t xml:space="preserve"> para os outros bens de consumo.</w:t>
            </w:r>
          </w:p>
        </w:tc>
      </w:tr>
    </w:tbl>
    <w:p w14:paraId="26A89344" w14:textId="77777777" w:rsidR="00094A06" w:rsidRPr="00A76B77" w:rsidRDefault="00094A06" w:rsidP="00BC6645">
      <w:pPr>
        <w:pStyle w:val="BodyText"/>
      </w:pPr>
    </w:p>
    <w:p w14:paraId="2C266748" w14:textId="77777777" w:rsidR="00094A06" w:rsidRPr="004D1912" w:rsidRDefault="00094A06" w:rsidP="00BC6645">
      <w:pPr>
        <w:ind w:firstLine="720"/>
        <w:jc w:val="both"/>
      </w:pPr>
      <w:r>
        <w:t>N</w:t>
      </w:r>
      <w:r w:rsidRPr="00B44A21">
        <w:t xml:space="preserve">a </w:t>
      </w:r>
      <w:r>
        <w:t>Tabela 6,</w:t>
      </w:r>
      <w:r w:rsidRPr="00B44A21">
        <w:t xml:space="preserve"> </w:t>
      </w:r>
      <w:r>
        <w:t>as elasticidades próprio-</w:t>
      </w:r>
      <w:r w:rsidRPr="00B44A21">
        <w:t xml:space="preserve">preço Marshallianas </w:t>
      </w:r>
      <w:r>
        <w:t>d</w:t>
      </w:r>
      <w:r w:rsidRPr="00B44A21">
        <w:t>as carnes bovina (</w:t>
      </w:r>
      <w:r>
        <w:t>-0,570</w:t>
      </w:r>
      <w:r w:rsidRPr="00B44A21">
        <w:t>), suína (</w:t>
      </w:r>
      <w:r>
        <w:t>-0,840)</w:t>
      </w:r>
      <w:r w:rsidRPr="00B44A21">
        <w:t xml:space="preserve"> </w:t>
      </w:r>
      <w:r>
        <w:t>e de frango (-0,841) e também para os outros bens de consumo (-1,003)</w:t>
      </w:r>
      <w:r w:rsidRPr="00B44A21">
        <w:t xml:space="preserve"> indica</w:t>
      </w:r>
      <w:r>
        <w:t>m que as demandas por carnes são inelásticas e a demanda por outros bens de consumo é elástica</w:t>
      </w:r>
      <w:r w:rsidRPr="00B44A21">
        <w:t xml:space="preserve">. </w:t>
      </w:r>
      <w:r w:rsidRPr="004D1912">
        <w:t xml:space="preserve">Santana (1999) estimou </w:t>
      </w:r>
      <w:r>
        <w:t>elasticidades próprio-preço</w:t>
      </w:r>
      <w:r w:rsidRPr="00B44A21">
        <w:t xml:space="preserve"> Marshallianas</w:t>
      </w:r>
      <w:r w:rsidRPr="004D1912">
        <w:t xml:space="preserve"> para a carne bovina e de fra</w:t>
      </w:r>
      <w:r>
        <w:t>n</w:t>
      </w:r>
      <w:r w:rsidRPr="004D1912">
        <w:t>go de -0</w:t>
      </w:r>
      <w:r>
        <w:t>,</w:t>
      </w:r>
      <w:r w:rsidRPr="004D1912">
        <w:t xml:space="preserve">271 </w:t>
      </w:r>
      <w:r>
        <w:t>e</w:t>
      </w:r>
      <w:r w:rsidRPr="004D1912">
        <w:t xml:space="preserve"> -0</w:t>
      </w:r>
      <w:r>
        <w:t>,</w:t>
      </w:r>
      <w:r w:rsidRPr="004D1912">
        <w:t xml:space="preserve">332. </w:t>
      </w:r>
      <w:r w:rsidRPr="0015656B">
        <w:t xml:space="preserve">Fernandes et al. </w:t>
      </w:r>
      <w:r w:rsidRPr="004D1912">
        <w:t>(1989) estimaram elasticidades</w:t>
      </w:r>
      <w:r>
        <w:t xml:space="preserve"> </w:t>
      </w:r>
      <w:r w:rsidRPr="004D1912">
        <w:t>Marshallianas com relação ao</w:t>
      </w:r>
      <w:r>
        <w:t>s</w:t>
      </w:r>
      <w:r w:rsidRPr="004D1912">
        <w:t xml:space="preserve"> próprio</w:t>
      </w:r>
      <w:r>
        <w:t>s</w:t>
      </w:r>
      <w:r w:rsidRPr="004D1912">
        <w:t xml:space="preserve"> preço</w:t>
      </w:r>
      <w:r>
        <w:t>s</w:t>
      </w:r>
      <w:r w:rsidRPr="004D1912">
        <w:t xml:space="preserve"> </w:t>
      </w:r>
      <w:r>
        <w:t>d</w:t>
      </w:r>
      <w:r w:rsidRPr="004D1912">
        <w:t>a</w:t>
      </w:r>
      <w:r>
        <w:t>s</w:t>
      </w:r>
      <w:r w:rsidRPr="004D1912">
        <w:t xml:space="preserve"> carne</w:t>
      </w:r>
      <w:r>
        <w:t>s</w:t>
      </w:r>
      <w:r w:rsidRPr="004D1912">
        <w:t xml:space="preserve"> bovina, suína e de frango </w:t>
      </w:r>
      <w:r>
        <w:t>de</w:t>
      </w:r>
      <w:r w:rsidRPr="004D1912">
        <w:t xml:space="preserve"> -0</w:t>
      </w:r>
      <w:r>
        <w:t>,</w:t>
      </w:r>
      <w:r w:rsidRPr="004D1912">
        <w:t>29, -0</w:t>
      </w:r>
      <w:r>
        <w:t>,</w:t>
      </w:r>
      <w:r w:rsidRPr="004D1912">
        <w:t>76 e</w:t>
      </w:r>
      <w:r>
        <w:t xml:space="preserve"> -0,19.</w:t>
      </w:r>
      <w:r w:rsidRPr="004D1912">
        <w:t xml:space="preserve"> </w:t>
      </w:r>
      <w:proofErr w:type="spellStart"/>
      <w:r w:rsidRPr="004D1912">
        <w:t>Bacchi</w:t>
      </w:r>
      <w:proofErr w:type="spellEnd"/>
      <w:r w:rsidRPr="004D1912">
        <w:t xml:space="preserve"> e Barros (1992) </w:t>
      </w:r>
      <w:r>
        <w:t>estimaram</w:t>
      </w:r>
      <w:r w:rsidRPr="004D1912">
        <w:t xml:space="preserve"> elasticidades de curto e longo prazo para a </w:t>
      </w:r>
      <w:r>
        <w:t xml:space="preserve">demanda por </w:t>
      </w:r>
      <w:r w:rsidRPr="004D1912">
        <w:t xml:space="preserve">carne bovina </w:t>
      </w:r>
      <w:r>
        <w:t>com relação ao próprio preço em</w:t>
      </w:r>
      <w:r w:rsidRPr="004D1912">
        <w:t xml:space="preserve"> -0</w:t>
      </w:r>
      <w:r>
        <w:t>,</w:t>
      </w:r>
      <w:r w:rsidRPr="004D1912">
        <w:t xml:space="preserve">51 </w:t>
      </w:r>
      <w:r>
        <w:t>e</w:t>
      </w:r>
      <w:r w:rsidRPr="004D1912">
        <w:t xml:space="preserve"> -1</w:t>
      </w:r>
      <w:r>
        <w:t>,</w:t>
      </w:r>
      <w:r w:rsidRPr="004D1912">
        <w:t xml:space="preserve">09. </w:t>
      </w:r>
      <w:r w:rsidR="00B62EB2">
        <w:t>Resende Filho et al. (2012)</w:t>
      </w:r>
      <w:r>
        <w:t xml:space="preserve"> estimaram</w:t>
      </w:r>
      <w:r w:rsidR="00CD3883">
        <w:t>,</w:t>
      </w:r>
      <w:r>
        <w:t xml:space="preserve"> para uma série de 1975 a 2008, as elasticidades próprio-</w:t>
      </w:r>
      <w:r w:rsidRPr="00B44A21">
        <w:t xml:space="preserve">preço Marshallianas </w:t>
      </w:r>
      <w:r>
        <w:t>d</w:t>
      </w:r>
      <w:r w:rsidRPr="00B44A21">
        <w:t>as carnes bovina (</w:t>
      </w:r>
      <w:r>
        <w:t>-0,159</w:t>
      </w:r>
      <w:r w:rsidRPr="00B44A21">
        <w:t>), suína (</w:t>
      </w:r>
      <w:r>
        <w:t>-0,053)</w:t>
      </w:r>
      <w:r w:rsidRPr="00B44A21">
        <w:t xml:space="preserve"> </w:t>
      </w:r>
      <w:r>
        <w:t>e de frango (-0,470</w:t>
      </w:r>
      <w:r w:rsidR="00C374DB">
        <w:t>)</w:t>
      </w:r>
      <w:r>
        <w:t xml:space="preserve"> e também para os outros bens de consumo (-1,018). Apesar desses</w:t>
      </w:r>
      <w:r w:rsidRPr="004D1912">
        <w:t xml:space="preserve"> resultados </w:t>
      </w:r>
      <w:r>
        <w:t>não serem</w:t>
      </w:r>
      <w:r w:rsidRPr="004D1912">
        <w:t xml:space="preserve"> diretamente comparáveis</w:t>
      </w:r>
      <w:r>
        <w:t xml:space="preserve"> aos obtidos no presente estudo, percebe-se que as suas magnitudes indicam que as estimativas obtidas no presente artigo são plausíveis.</w:t>
      </w:r>
    </w:p>
    <w:p w14:paraId="5854FBE3" w14:textId="77777777" w:rsidR="00094A06" w:rsidRPr="00E1226D" w:rsidRDefault="00094A06" w:rsidP="00BC6645">
      <w:pPr>
        <w:ind w:firstLine="720"/>
        <w:jc w:val="both"/>
      </w:pPr>
      <w:r>
        <w:t>Ainda pela Tabela 6, nota-se que todos os bens apresentam elasticidades preços-cruzados</w:t>
      </w:r>
      <w:r w:rsidRPr="00632276">
        <w:t xml:space="preserve"> </w:t>
      </w:r>
      <w:r>
        <w:t>Marshallianas, em módulo, inferiores</w:t>
      </w:r>
      <w:r w:rsidR="00CD3883">
        <w:t xml:space="preserve"> às elasticidades próprio-preço,</w:t>
      </w:r>
      <w:r>
        <w:t xml:space="preserve"> o que confirma a conjectura de que a demanda deve ser mais sensível ao próprio preço do que aos preços dos bens correlatos. Observa-se ainda </w:t>
      </w:r>
      <w:r w:rsidRPr="00D056AE">
        <w:t xml:space="preserve">que </w:t>
      </w:r>
      <w:r>
        <w:t xml:space="preserve">todas </w:t>
      </w:r>
      <w:r w:rsidRPr="00D056AE">
        <w:t>as elasticidades</w:t>
      </w:r>
      <w:r>
        <w:t xml:space="preserve"> </w:t>
      </w:r>
      <w:r w:rsidRPr="00D056AE">
        <w:t>preço</w:t>
      </w:r>
      <w:r>
        <w:t>-cruzado</w:t>
      </w:r>
      <w:r w:rsidRPr="00D056AE">
        <w:t xml:space="preserve"> </w:t>
      </w:r>
      <w:r>
        <w:t>d</w:t>
      </w:r>
      <w:r w:rsidRPr="00D056AE">
        <w:t xml:space="preserve">as carnes </w:t>
      </w:r>
      <w:r>
        <w:t xml:space="preserve">são </w:t>
      </w:r>
      <w:r w:rsidRPr="00D056AE">
        <w:t>positiv</w:t>
      </w:r>
      <w:r>
        <w:t>as</w:t>
      </w:r>
      <w:r w:rsidRPr="00D056AE">
        <w:t>,</w:t>
      </w:r>
      <w:r>
        <w:t xml:space="preserve"> confirmando que </w:t>
      </w:r>
      <w:r w:rsidRPr="00E1226D">
        <w:t>as carnes bovina, suína e de frango são bens substitutos brutos uns dos outros.</w:t>
      </w:r>
      <w:r w:rsidRPr="00D056AE">
        <w:t xml:space="preserve"> Além disso, </w:t>
      </w:r>
      <w:r>
        <w:t>observa-se</w:t>
      </w:r>
      <w:r w:rsidRPr="00D056AE">
        <w:t xml:space="preserve"> que a demanda por carne suína </w:t>
      </w:r>
      <w:r>
        <w:t xml:space="preserve">(0,562 &gt; 0,100) </w:t>
      </w:r>
      <w:r w:rsidRPr="00D056AE">
        <w:t xml:space="preserve">e </w:t>
      </w:r>
      <w:r>
        <w:t xml:space="preserve">a </w:t>
      </w:r>
      <w:r w:rsidRPr="00D056AE">
        <w:t>de</w:t>
      </w:r>
      <w:r>
        <w:t>manda por carne de</w:t>
      </w:r>
      <w:r w:rsidRPr="00D056AE">
        <w:t xml:space="preserve"> frango </w:t>
      </w:r>
      <w:r>
        <w:t>(0,456 &gt; 0,133</w:t>
      </w:r>
      <w:r w:rsidRPr="00D056AE">
        <w:t>)</w:t>
      </w:r>
      <w:r>
        <w:t xml:space="preserve"> </w:t>
      </w:r>
      <w:r w:rsidRPr="00D056AE">
        <w:t xml:space="preserve">são mais sensíveis a variações no preço da carne bovina do que </w:t>
      </w:r>
      <w:r>
        <w:t>o contrário;</w:t>
      </w:r>
      <w:r w:rsidRPr="00D056AE">
        <w:t xml:space="preserve"> </w:t>
      </w:r>
      <w:r>
        <w:t>e a demanda por carne suína é mais sensível a variações nos preços da carne de frango (0,190 &gt; 0,120</w:t>
      </w:r>
      <w:r w:rsidRPr="00D056AE">
        <w:t>)</w:t>
      </w:r>
      <w:r>
        <w:t xml:space="preserve"> do que o contrário.</w:t>
      </w:r>
      <w:r w:rsidRPr="00D056AE">
        <w:t xml:space="preserve"> </w:t>
      </w:r>
      <w:r w:rsidRPr="00E1226D">
        <w:t>Dessa forma, em termos de sensibilidade a variações nos preços das demais carnes</w:t>
      </w:r>
      <w:r w:rsidR="000D2196">
        <w:t>,</w:t>
      </w:r>
      <w:r w:rsidRPr="00E1226D">
        <w:t xml:space="preserve"> temos que: a demanda por carne suína é mais sensível que a demanda por carne de frango</w:t>
      </w:r>
      <w:r w:rsidR="000D2196">
        <w:t>,</w:t>
      </w:r>
      <w:r w:rsidRPr="00E1226D">
        <w:t xml:space="preserve"> que é mais sensível do que a demanda por carne bovina.</w:t>
      </w:r>
    </w:p>
    <w:p w14:paraId="4F501F49" w14:textId="77777777" w:rsidR="00094A06" w:rsidRDefault="00094A06" w:rsidP="00BC6645">
      <w:pPr>
        <w:ind w:firstLine="720"/>
        <w:jc w:val="both"/>
      </w:pPr>
      <w:r>
        <w:t xml:space="preserve">As elasticidades </w:t>
      </w:r>
      <w:r w:rsidRPr="00D056AE">
        <w:t>preço</w:t>
      </w:r>
      <w:r>
        <w:t>-</w:t>
      </w:r>
      <w:r w:rsidRPr="00D056AE">
        <w:t>c</w:t>
      </w:r>
      <w:r>
        <w:t>ruzado</w:t>
      </w:r>
      <w:r w:rsidRPr="00D056AE">
        <w:t xml:space="preserve"> Marshallianas para cada tipo de carne com relação ao</w:t>
      </w:r>
      <w:r>
        <w:t>s</w:t>
      </w:r>
      <w:r w:rsidRPr="00D056AE">
        <w:t xml:space="preserve"> outros bens de consumo indica</w:t>
      </w:r>
      <w:r>
        <w:t>m, exc</w:t>
      </w:r>
      <w:r w:rsidR="00775C52">
        <w:t>eto para a carne bovina,</w:t>
      </w:r>
      <w:r>
        <w:t xml:space="preserve"> que outros bens de consumo são complementos brutos das carnes (Tabela 6)</w:t>
      </w:r>
      <w:r w:rsidRPr="00D056AE">
        <w:t xml:space="preserve">. </w:t>
      </w:r>
      <w:r w:rsidR="00775C52">
        <w:t>Isto se confirma</w:t>
      </w:r>
      <w:r w:rsidR="00C374DB">
        <w:t>, pois</w:t>
      </w:r>
      <w:r>
        <w:t xml:space="preserve"> a</w:t>
      </w:r>
      <w:r w:rsidRPr="00D056AE">
        <w:t>s elasticidades</w:t>
      </w:r>
      <w:r>
        <w:t xml:space="preserve"> </w:t>
      </w:r>
      <w:r w:rsidRPr="00D056AE">
        <w:t>preço</w:t>
      </w:r>
      <w:r>
        <w:t>s-cruzados</w:t>
      </w:r>
      <w:r w:rsidRPr="00D056AE">
        <w:t xml:space="preserve"> Marshallianas </w:t>
      </w:r>
      <w:r>
        <w:t xml:space="preserve">dos </w:t>
      </w:r>
      <w:r w:rsidRPr="00D056AE">
        <w:t xml:space="preserve">outros bens de consumo </w:t>
      </w:r>
      <w:r>
        <w:t xml:space="preserve">com relação a </w:t>
      </w:r>
      <w:r w:rsidRPr="00D056AE">
        <w:t xml:space="preserve">cada </w:t>
      </w:r>
      <w:r>
        <w:t xml:space="preserve">tipo de </w:t>
      </w:r>
      <w:r w:rsidRPr="00D056AE">
        <w:t>carne</w:t>
      </w:r>
      <w:r>
        <w:t xml:space="preserve"> </w:t>
      </w:r>
      <w:r w:rsidRPr="00D056AE">
        <w:t>s</w:t>
      </w:r>
      <w:r>
        <w:t>ão</w:t>
      </w:r>
      <w:r w:rsidRPr="00D056AE">
        <w:t xml:space="preserve"> </w:t>
      </w:r>
      <w:r>
        <w:t>todas negativas,</w:t>
      </w:r>
      <w:r w:rsidRPr="00D056AE">
        <w:t xml:space="preserve"> indica</w:t>
      </w:r>
      <w:r>
        <w:t xml:space="preserve">ndo que cada carne é um complemento bruto de outros bens de consumo. </w:t>
      </w:r>
    </w:p>
    <w:p w14:paraId="4FCD1BF8" w14:textId="77777777" w:rsidR="00094A06" w:rsidRDefault="00094A06" w:rsidP="00BC6645">
      <w:pPr>
        <w:ind w:firstLine="720"/>
        <w:jc w:val="both"/>
      </w:pPr>
      <w:r w:rsidRPr="00D54866">
        <w:t xml:space="preserve">As </w:t>
      </w:r>
      <w:r>
        <w:t>elasticidades próprio-preço</w:t>
      </w:r>
      <w:r w:rsidRPr="00D54866">
        <w:t xml:space="preserve"> Hicksianas </w:t>
      </w:r>
      <w:r>
        <w:t>são todas negativas (vi</w:t>
      </w:r>
      <w:r w:rsidR="00775C52">
        <w:t>de terceira coluna da Tabela 6)</w:t>
      </w:r>
      <w:r>
        <w:t xml:space="preserve"> como requerido pela teoria do consumidor</w:t>
      </w:r>
      <w:r>
        <w:rPr>
          <w:rStyle w:val="FootnoteReference"/>
        </w:rPr>
        <w:footnoteReference w:id="14"/>
      </w:r>
      <w:r w:rsidR="00775C52">
        <w:t>,</w:t>
      </w:r>
      <w:r>
        <w:t xml:space="preserve"> e indicam que</w:t>
      </w:r>
      <w:r w:rsidRPr="00D54866">
        <w:t xml:space="preserve"> </w:t>
      </w:r>
      <w:r>
        <w:t>a</w:t>
      </w:r>
      <w:r w:rsidRPr="00EF3211">
        <w:t>s demandas compensadas são inelásticas ao</w:t>
      </w:r>
      <w:r>
        <w:t>s</w:t>
      </w:r>
      <w:r w:rsidRPr="00EF3211">
        <w:t xml:space="preserve"> pr</w:t>
      </w:r>
      <w:r>
        <w:t>óprios preços.</w:t>
      </w:r>
      <w:r w:rsidRPr="00EF3211">
        <w:t xml:space="preserve"> </w:t>
      </w:r>
      <w:r>
        <w:t>A</w:t>
      </w:r>
      <w:r w:rsidRPr="00EF3211">
        <w:t>s elasticidades</w:t>
      </w:r>
      <w:r>
        <w:t xml:space="preserve"> </w:t>
      </w:r>
      <w:r w:rsidRPr="00EF3211">
        <w:t>preço</w:t>
      </w:r>
      <w:r>
        <w:t>s-cruzados</w:t>
      </w:r>
      <w:r w:rsidRPr="00EF3211">
        <w:t xml:space="preserve"> Hicksianas mostram que as carnes bovina, suína e </w:t>
      </w:r>
      <w:r>
        <w:t>de frango</w:t>
      </w:r>
      <w:r w:rsidRPr="00EF3211">
        <w:t xml:space="preserve"> são substitutos </w:t>
      </w:r>
      <w:r>
        <w:t>líquidos</w:t>
      </w:r>
      <w:r w:rsidRPr="00EF3211">
        <w:t xml:space="preserve"> uns </w:t>
      </w:r>
      <w:r>
        <w:t>d</w:t>
      </w:r>
      <w:r w:rsidRPr="00EF3211">
        <w:t xml:space="preserve">os outros. </w:t>
      </w:r>
      <w:r>
        <w:t>De fato, todos os bens são substitutos compensados</w:t>
      </w:r>
      <w:r w:rsidR="00775C52">
        <w:t xml:space="preserve"> uns dos outros</w:t>
      </w:r>
      <w:r>
        <w:t xml:space="preserve"> com exceção da carne suína</w:t>
      </w:r>
      <w:r w:rsidR="00775C52">
        <w:t>,</w:t>
      </w:r>
      <w:r>
        <w:t xml:space="preserve"> que é um complemento líquido de outros bens de consumo</w:t>
      </w:r>
      <w:r w:rsidR="00775C52">
        <w:t>,</w:t>
      </w:r>
      <w:r>
        <w:t xml:space="preserve"> e vice-versa</w:t>
      </w:r>
      <w:r>
        <w:rPr>
          <w:sz w:val="22"/>
          <w:szCs w:val="22"/>
        </w:rPr>
        <w:t>.</w:t>
      </w:r>
    </w:p>
    <w:p w14:paraId="0AB6DAE1" w14:textId="77777777" w:rsidR="00094A06" w:rsidRPr="00F73852" w:rsidRDefault="00094A06" w:rsidP="00BC6645">
      <w:pPr>
        <w:ind w:firstLine="720"/>
        <w:jc w:val="both"/>
      </w:pPr>
      <w:r w:rsidRPr="00EF3211">
        <w:t>Finalmente, as elasticidades-</w:t>
      </w:r>
      <w:r>
        <w:t>gasto</w:t>
      </w:r>
      <w:r w:rsidRPr="00EF3211">
        <w:t xml:space="preserve"> na </w:t>
      </w:r>
      <w:r>
        <w:t>Tabela 6</w:t>
      </w:r>
      <w:r w:rsidRPr="00EF3211">
        <w:t xml:space="preserve"> </w:t>
      </w:r>
      <w:r>
        <w:t xml:space="preserve">revelam que </w:t>
      </w:r>
      <w:r w:rsidRPr="00EF3211">
        <w:t xml:space="preserve">outros bens de consumo </w:t>
      </w:r>
      <w:r>
        <w:t xml:space="preserve">são </w:t>
      </w:r>
      <w:r w:rsidRPr="00EF3211">
        <w:t>um bem de luxo (</w:t>
      </w:r>
      <w:r w:rsidRPr="00A1015F">
        <w:rPr>
          <w:i/>
        </w:rPr>
        <w:sym w:font="Symbol" w:char="F068"/>
      </w:r>
      <w:proofErr w:type="spellStart"/>
      <w:r w:rsidRPr="00EF3211">
        <w:rPr>
          <w:i/>
          <w:vertAlign w:val="subscript"/>
        </w:rPr>
        <w:t>ox</w:t>
      </w:r>
      <w:proofErr w:type="spellEnd"/>
      <w:r>
        <w:rPr>
          <w:i/>
          <w:vertAlign w:val="subscript"/>
        </w:rPr>
        <w:t xml:space="preserve"> </w:t>
      </w:r>
      <w:r>
        <w:t>= 1,</w:t>
      </w:r>
      <w:r w:rsidRPr="00EF3211">
        <w:t>0</w:t>
      </w:r>
      <w:r>
        <w:t>68</w:t>
      </w:r>
      <w:r w:rsidRPr="00EF3211">
        <w:t>)</w:t>
      </w:r>
      <w:r>
        <w:t>; as carnes bovina, suína e de frango são necessidades ou bens necessários</w:t>
      </w:r>
      <w:r w:rsidRPr="00EF3211">
        <w:t xml:space="preserve"> (</w:t>
      </w:r>
      <w:r w:rsidRPr="00A1015F">
        <w:rPr>
          <w:i/>
        </w:rPr>
        <w:sym w:font="Symbol" w:char="F068"/>
      </w:r>
      <w:proofErr w:type="spellStart"/>
      <w:r w:rsidRPr="00EF3211">
        <w:rPr>
          <w:i/>
          <w:vertAlign w:val="subscript"/>
        </w:rPr>
        <w:t>kx</w:t>
      </w:r>
      <w:proofErr w:type="spellEnd"/>
      <w:r>
        <w:rPr>
          <w:i/>
          <w:vertAlign w:val="subscript"/>
        </w:rPr>
        <w:t xml:space="preserve"> </w:t>
      </w:r>
      <w:r>
        <w:t>&lt; 1 para todo</w:t>
      </w:r>
      <w:r w:rsidRPr="00EF3211">
        <w:t xml:space="preserve"> </w:t>
      </w:r>
      <w:r w:rsidRPr="00EF3211">
        <w:rPr>
          <w:i/>
        </w:rPr>
        <w:t>k</w:t>
      </w:r>
      <w:r>
        <w:rPr>
          <w:i/>
        </w:rPr>
        <w:t xml:space="preserve"> </w:t>
      </w:r>
      <w:r w:rsidRPr="00EF3211">
        <w:t>=</w:t>
      </w:r>
      <w:r>
        <w:t xml:space="preserve"> </w:t>
      </w:r>
      <w:r w:rsidRPr="00477B3B">
        <w:t>b</w:t>
      </w:r>
      <w:r w:rsidRPr="00EF3211">
        <w:t xml:space="preserve">, </w:t>
      </w:r>
      <w:r w:rsidRPr="00477B3B">
        <w:t>p</w:t>
      </w:r>
      <w:r>
        <w:rPr>
          <w:i/>
        </w:rPr>
        <w:t xml:space="preserve"> </w:t>
      </w:r>
      <w:r>
        <w:t>e</w:t>
      </w:r>
      <w:r w:rsidRPr="00EF3211">
        <w:t xml:space="preserve"> </w:t>
      </w:r>
      <w:r w:rsidRPr="00477B3B">
        <w:t>c</w:t>
      </w:r>
      <w:r w:rsidRPr="00EF3211">
        <w:t>)</w:t>
      </w:r>
      <w:r>
        <w:t>, sendo que a carne suína é um bem inferior (</w:t>
      </w:r>
      <w:r w:rsidRPr="00A1015F">
        <w:rPr>
          <w:i/>
        </w:rPr>
        <w:sym w:font="Symbol" w:char="F068"/>
      </w:r>
      <w:proofErr w:type="spellStart"/>
      <w:r>
        <w:rPr>
          <w:i/>
          <w:vertAlign w:val="subscript"/>
        </w:rPr>
        <w:t>p</w:t>
      </w:r>
      <w:r w:rsidRPr="00EF3211">
        <w:rPr>
          <w:i/>
          <w:vertAlign w:val="subscript"/>
        </w:rPr>
        <w:t>x</w:t>
      </w:r>
      <w:proofErr w:type="spellEnd"/>
      <w:r>
        <w:rPr>
          <w:i/>
          <w:vertAlign w:val="subscript"/>
        </w:rPr>
        <w:t xml:space="preserve"> </w:t>
      </w:r>
      <w:r>
        <w:t xml:space="preserve">= -0,158) e as carnes bovina e de frango são bens normais. Com base nas elasticidades-gasto, </w:t>
      </w:r>
      <w:r w:rsidRPr="005806BD">
        <w:t xml:space="preserve">um aumento do gasto (aproximadamente a </w:t>
      </w:r>
      <w:r w:rsidRPr="005806BD">
        <w:lastRenderedPageBreak/>
        <w:t xml:space="preserve">renda) per capita </w:t>
      </w:r>
      <w:r>
        <w:t xml:space="preserve">acarreta, </w:t>
      </w:r>
      <w:r w:rsidRPr="00E70B03">
        <w:rPr>
          <w:i/>
        </w:rPr>
        <w:t>ceteris paribus</w:t>
      </w:r>
      <w:r>
        <w:t>, maior aumento na demanda de</w:t>
      </w:r>
      <w:r w:rsidRPr="00EF3211">
        <w:t xml:space="preserve"> outros bens de consumo</w:t>
      </w:r>
      <w:r>
        <w:t xml:space="preserve"> (1,068</w:t>
      </w:r>
      <w:r w:rsidRPr="00EF3211">
        <w:t xml:space="preserve">) que </w:t>
      </w:r>
      <w:r>
        <w:t xml:space="preserve">na demanda por </w:t>
      </w:r>
      <w:r w:rsidRPr="00EF3211">
        <w:t xml:space="preserve">carne </w:t>
      </w:r>
      <w:r>
        <w:t xml:space="preserve">bovina </w:t>
      </w:r>
      <w:r w:rsidRPr="00EF3211">
        <w:t>(0</w:t>
      </w:r>
      <w:r>
        <w:t xml:space="preserve">,163); maior aumento na demanda por carne bovina que na demanda por carne de frango </w:t>
      </w:r>
      <w:r w:rsidRPr="00EF3211">
        <w:t>(0</w:t>
      </w:r>
      <w:r>
        <w:t>,055</w:t>
      </w:r>
      <w:r w:rsidRPr="00EF3211">
        <w:t>)</w:t>
      </w:r>
      <w:r>
        <w:t>; e redução na demanda por carne suína</w:t>
      </w:r>
      <w:r w:rsidRPr="00EF3211">
        <w:t xml:space="preserve">. </w:t>
      </w:r>
      <w:r w:rsidRPr="00F73852">
        <w:t xml:space="preserve">Assim, como é provável que o </w:t>
      </w:r>
      <w:r>
        <w:t xml:space="preserve">gasto </w:t>
      </w:r>
      <w:r w:rsidRPr="00F73852">
        <w:t>per capita com consumo aument</w:t>
      </w:r>
      <w:r>
        <w:t>e</w:t>
      </w:r>
      <w:r w:rsidRPr="00F73852">
        <w:t xml:space="preserve"> </w:t>
      </w:r>
      <w:r>
        <w:t>ao longo do tempo</w:t>
      </w:r>
      <w:r w:rsidRPr="00F73852">
        <w:t xml:space="preserve">, </w:t>
      </w:r>
      <w:r>
        <w:t xml:space="preserve">é de se </w:t>
      </w:r>
      <w:r w:rsidRPr="00F73852">
        <w:t>espera</w:t>
      </w:r>
      <w:r>
        <w:t>r</w:t>
      </w:r>
      <w:r w:rsidRPr="00F73852">
        <w:t xml:space="preserve"> que o consumo de carne</w:t>
      </w:r>
      <w:r>
        <w:t>s</w:t>
      </w:r>
      <w:r w:rsidRPr="00F73852">
        <w:t xml:space="preserve"> perca </w:t>
      </w:r>
      <w:r>
        <w:t xml:space="preserve">importância para o </w:t>
      </w:r>
      <w:r w:rsidRPr="00F73852">
        <w:t>consumo d</w:t>
      </w:r>
      <w:r>
        <w:t>e</w:t>
      </w:r>
      <w:r w:rsidRPr="00F73852">
        <w:t xml:space="preserve"> outros bens de consumo</w:t>
      </w:r>
      <w:r>
        <w:t xml:space="preserve">, o que confirma a </w:t>
      </w:r>
      <w:r w:rsidRPr="00F73852">
        <w:t>lei de Engel</w:t>
      </w:r>
      <w:r>
        <w:t xml:space="preserve"> para alimentos. Além disso, dentro do grupo carnes, a carne de frango perderia importância para o consumo das carnes bovina e a carne suína perderia importância para os outros dois tipos de carnes</w:t>
      </w:r>
      <w:r w:rsidRPr="00F73852">
        <w:t xml:space="preserve">. </w:t>
      </w:r>
    </w:p>
    <w:p w14:paraId="23F79ECA" w14:textId="77777777" w:rsidR="00FE7FDA" w:rsidRDefault="00FE7FDA" w:rsidP="00BC6645">
      <w:pPr>
        <w:ind w:firstLine="720"/>
        <w:jc w:val="both"/>
      </w:pPr>
    </w:p>
    <w:p w14:paraId="6D9375EF" w14:textId="77777777" w:rsidR="00094A06" w:rsidRPr="00DD16E4" w:rsidRDefault="000372AD" w:rsidP="00BC6645">
      <w:pPr>
        <w:numPr>
          <w:ilvl w:val="0"/>
          <w:numId w:val="2"/>
        </w:numPr>
        <w:jc w:val="both"/>
        <w:rPr>
          <w:b/>
        </w:rPr>
      </w:pPr>
      <w:r w:rsidRPr="00DD16E4">
        <w:rPr>
          <w:b/>
        </w:rPr>
        <w:t xml:space="preserve">Sumário e </w:t>
      </w:r>
      <w:r w:rsidR="00094A06" w:rsidRPr="00DD16E4">
        <w:rPr>
          <w:b/>
        </w:rPr>
        <w:t>Conclusões</w:t>
      </w:r>
    </w:p>
    <w:p w14:paraId="4D2047C3" w14:textId="77777777" w:rsidR="00F44FF1" w:rsidRDefault="000372AD" w:rsidP="000A73A2">
      <w:pPr>
        <w:jc w:val="both"/>
      </w:pPr>
      <w:r w:rsidRPr="005F2DA7">
        <w:t>Questões relacionadas à segurança do alimento vêm se tornando</w:t>
      </w:r>
      <w:r w:rsidR="002F65DD">
        <w:t>,</w:t>
      </w:r>
      <w:r w:rsidRPr="005F2DA7">
        <w:t xml:space="preserve"> cada vez mais</w:t>
      </w:r>
      <w:r w:rsidR="002F65DD">
        <w:t>,</w:t>
      </w:r>
      <w:r w:rsidRPr="005F2DA7">
        <w:t xml:space="preserve"> importantes. Mesmo em países em desenvolvimento, como </w:t>
      </w:r>
      <w:r>
        <w:t xml:space="preserve">o </w:t>
      </w:r>
      <w:r w:rsidRPr="005F2DA7">
        <w:t xml:space="preserve">Brasil, com </w:t>
      </w:r>
      <w:r w:rsidR="005959E9">
        <w:t>o aumento da escolaridade, informação e renda per capita, espera</w:t>
      </w:r>
      <w:r w:rsidR="00C374DB">
        <w:t>va</w:t>
      </w:r>
      <w:r w:rsidR="005959E9">
        <w:t xml:space="preserve">-se que os consumidores </w:t>
      </w:r>
      <w:r w:rsidR="00C374DB">
        <w:t>passassem</w:t>
      </w:r>
      <w:r w:rsidR="004C6D76">
        <w:t xml:space="preserve"> </w:t>
      </w:r>
      <w:r w:rsidR="005959E9">
        <w:t>a se preocupar</w:t>
      </w:r>
      <w:r w:rsidR="005959E9" w:rsidRPr="00EC0325">
        <w:t xml:space="preserve"> </w:t>
      </w:r>
      <w:r w:rsidR="005959E9">
        <w:t xml:space="preserve">mais </w:t>
      </w:r>
      <w:r w:rsidR="005959E9" w:rsidRPr="00EC0325">
        <w:t>com a própria saúde</w:t>
      </w:r>
      <w:r w:rsidR="005959E9">
        <w:t xml:space="preserve"> e, consequentemente, com a segurança do</w:t>
      </w:r>
      <w:r w:rsidR="005959E9" w:rsidRPr="00EC0325">
        <w:t xml:space="preserve"> alimento </w:t>
      </w:r>
      <w:r w:rsidR="005959E9">
        <w:t xml:space="preserve">que consomem. </w:t>
      </w:r>
      <w:r w:rsidR="002F65DD">
        <w:t>Sendo assim, o</w:t>
      </w:r>
      <w:r w:rsidR="00F44FF1">
        <w:t xml:space="preserve"> presente estudo testou</w:t>
      </w:r>
      <w:r w:rsidR="00C374DB">
        <w:t xml:space="preserve"> ao nível do mercado varejista </w:t>
      </w:r>
      <w:r w:rsidR="00ED1E76">
        <w:t>n</w:t>
      </w:r>
      <w:r w:rsidR="00C374DB">
        <w:t>acional se</w:t>
      </w:r>
      <w:r w:rsidR="002F65DD">
        <w:t>,</w:t>
      </w:r>
      <w:r w:rsidR="00C374DB">
        <w:t xml:space="preserve"> realmente</w:t>
      </w:r>
      <w:r w:rsidR="002F65DD">
        <w:t>,</w:t>
      </w:r>
      <w:r w:rsidR="00C374DB">
        <w:t xml:space="preserve"> o receio de consumir um alimento </w:t>
      </w:r>
      <w:r w:rsidR="00ED1E76">
        <w:t xml:space="preserve">impróprio ou não </w:t>
      </w:r>
      <w:r w:rsidR="00C374DB">
        <w:t>seguro</w:t>
      </w:r>
      <w:r w:rsidR="00F44FF1">
        <w:t xml:space="preserve"> </w:t>
      </w:r>
      <w:r w:rsidR="00ED1E76">
        <w:t xml:space="preserve">ao consumo </w:t>
      </w:r>
      <w:r w:rsidR="002F65DD">
        <w:t>impacta</w:t>
      </w:r>
      <w:r w:rsidR="00C374DB">
        <w:t xml:space="preserve"> as</w:t>
      </w:r>
      <w:r w:rsidR="00ED1E76">
        <w:t xml:space="preserve"> decisões dos consumidores das</w:t>
      </w:r>
      <w:r w:rsidR="00F44FF1" w:rsidRPr="005F2DA7">
        <w:t xml:space="preserve"> carnes bo</w:t>
      </w:r>
      <w:r w:rsidR="00C374DB">
        <w:t>vina, suína e de aves no Brasil</w:t>
      </w:r>
      <w:r w:rsidR="00ED1E76">
        <w:t xml:space="preserve">. </w:t>
      </w:r>
    </w:p>
    <w:p w14:paraId="6A6DDA14" w14:textId="77777777" w:rsidR="002F65DD" w:rsidRPr="008B31E5" w:rsidRDefault="002F65DD" w:rsidP="002F65DD">
      <w:pPr>
        <w:ind w:firstLine="432"/>
        <w:jc w:val="both"/>
      </w:pPr>
      <w:r>
        <w:t>Os</w:t>
      </w:r>
      <w:r w:rsidR="000372AD" w:rsidRPr="008B31E5">
        <w:t xml:space="preserve"> índices de segurança do alimento para cada tipo de carne</w:t>
      </w:r>
      <w:r w:rsidR="000372AD">
        <w:t>,</w:t>
      </w:r>
      <w:r w:rsidR="000372AD" w:rsidRPr="008B31E5">
        <w:t xml:space="preserve"> </w:t>
      </w:r>
      <w:r w:rsidR="000372AD">
        <w:t>os quais</w:t>
      </w:r>
      <w:r w:rsidR="000372AD" w:rsidRPr="008B31E5">
        <w:t xml:space="preserve"> são o resultado da soma do número d</w:t>
      </w:r>
      <w:r w:rsidR="000372AD">
        <w:t>e páginas da Folha de São Paulo</w:t>
      </w:r>
      <w:r>
        <w:t xml:space="preserve"> que atendem a critérios pré-definidos, permitiram</w:t>
      </w:r>
      <w:r w:rsidR="000372AD">
        <w:t xml:space="preserve"> de</w:t>
      </w:r>
      <w:r w:rsidR="000372AD" w:rsidRPr="008B31E5">
        <w:t>t</w:t>
      </w:r>
      <w:r w:rsidR="000372AD">
        <w:t>ectar</w:t>
      </w:r>
      <w:r w:rsidR="000372AD" w:rsidRPr="008B31E5">
        <w:t xml:space="preserve"> quatro grandes </w:t>
      </w:r>
      <w:r w:rsidR="000372AD">
        <w:t>crises de segurança do a</w:t>
      </w:r>
      <w:r w:rsidR="009F61F0">
        <w:t xml:space="preserve">limento relacionadas a carnes: </w:t>
      </w:r>
      <w:r w:rsidR="00932EC3">
        <w:t>a primeira</w:t>
      </w:r>
      <w:r w:rsidR="00932EC3" w:rsidRPr="008B31E5">
        <w:t xml:space="preserve"> ocorre com um surto de peste suína nos rebanhos brasileiros em junho e julho de 1978</w:t>
      </w:r>
      <w:r w:rsidR="00932EC3">
        <w:t>; a segunda</w:t>
      </w:r>
      <w:r w:rsidR="00932EC3" w:rsidRPr="008B31E5">
        <w:t xml:space="preserve"> diz respeito à </w:t>
      </w:r>
      <w:r w:rsidR="00932EC3">
        <w:t xml:space="preserve">doença da </w:t>
      </w:r>
      <w:r w:rsidR="00932EC3" w:rsidRPr="008B31E5">
        <w:t>vaca louca quando passou a ser notíc</w:t>
      </w:r>
      <w:r w:rsidR="00932EC3">
        <w:t>ia entre janeiro e março de 2003; a terceira</w:t>
      </w:r>
      <w:r w:rsidR="000372AD" w:rsidRPr="008B31E5">
        <w:t xml:space="preserve"> ocorreu nos três </w:t>
      </w:r>
      <w:r w:rsidR="000372AD">
        <w:t>primeiro meses de 2006 por conta</w:t>
      </w:r>
      <w:r w:rsidR="000372AD" w:rsidRPr="008B31E5">
        <w:t xml:space="preserve"> da gripe aviária</w:t>
      </w:r>
      <w:r w:rsidR="000372AD">
        <w:t>;</w:t>
      </w:r>
      <w:r w:rsidR="00932EC3">
        <w:t xml:space="preserve"> e</w:t>
      </w:r>
      <w:r w:rsidR="00932EC3" w:rsidRPr="00932EC3">
        <w:t xml:space="preserve"> </w:t>
      </w:r>
      <w:r w:rsidR="00932EC3">
        <w:t>a quarta, diz respeito</w:t>
      </w:r>
      <w:r w:rsidR="00932EC3" w:rsidRPr="008B31E5">
        <w:t xml:space="preserve"> à gripe suína entre julho e outubro de 2009</w:t>
      </w:r>
      <w:r w:rsidR="00932EC3">
        <w:t>.</w:t>
      </w:r>
      <w:r>
        <w:t xml:space="preserve"> Mas, de maneira geral, não são o número médio de paginas da Folha de São Paulo que trataram de problemas de segurança do alimento para carnes apresentou um valor médio pequeno (entre 1,027 e 1,865 páginas por ano).</w:t>
      </w:r>
      <w:r w:rsidRPr="008B31E5">
        <w:t xml:space="preserve"> </w:t>
      </w:r>
    </w:p>
    <w:p w14:paraId="13543418" w14:textId="77777777" w:rsidR="000372AD" w:rsidRDefault="00286AAB" w:rsidP="00BC6645">
      <w:pPr>
        <w:ind w:firstLine="432"/>
        <w:jc w:val="both"/>
      </w:pPr>
      <w:r>
        <w:t>A</w:t>
      </w:r>
      <w:r w:rsidR="00F44FF1">
        <w:t>s séries de preço</w:t>
      </w:r>
      <w:r>
        <w:t xml:space="preserve">s </w:t>
      </w:r>
      <w:r w:rsidR="000372AD">
        <w:t>poss</w:t>
      </w:r>
      <w:r>
        <w:t xml:space="preserve">ibilitaram </w:t>
      </w:r>
      <w:r w:rsidR="000372AD">
        <w:t xml:space="preserve">observar que há uma tendência de aumento do </w:t>
      </w:r>
      <w:r>
        <w:t>consumo aparente per capita de</w:t>
      </w:r>
      <w:r w:rsidR="000372AD">
        <w:t xml:space="preserve"> cada </w:t>
      </w:r>
      <w:r>
        <w:t xml:space="preserve">tipo de </w:t>
      </w:r>
      <w:r w:rsidR="000372AD">
        <w:t xml:space="preserve">carne, apesar de a magnitude de tais tendências serem </w:t>
      </w:r>
      <w:r w:rsidR="00F44FF1">
        <w:t>diferentes por tipo de carne</w:t>
      </w:r>
      <w:r w:rsidR="000372AD">
        <w:t xml:space="preserve">. Observou-se ainda que o consumo de carne de frango no Brasil ultrapassou o consumo de carne suína a partir de 1979 e que o consumo aparente de carne de frango ultrapassou o consumo aparente de carne bovina no Brasil a partir de 2007. </w:t>
      </w:r>
    </w:p>
    <w:p w14:paraId="205F35BE" w14:textId="77777777" w:rsidR="00286AAB" w:rsidRDefault="00286AAB" w:rsidP="00286AAB">
      <w:pPr>
        <w:ind w:firstLine="432"/>
        <w:jc w:val="both"/>
      </w:pPr>
      <w:r>
        <w:t>A</w:t>
      </w:r>
      <w:r w:rsidRPr="008B31E5">
        <w:t xml:space="preserve"> literatura </w:t>
      </w:r>
      <w:r>
        <w:t xml:space="preserve">recente indica ser </w:t>
      </w:r>
      <w:r w:rsidRPr="008B31E5">
        <w:t xml:space="preserve">relevante </w:t>
      </w:r>
      <w:r>
        <w:t>trabalhar, como no presente estudo, com</w:t>
      </w:r>
      <w:r w:rsidRPr="008B31E5">
        <w:t xml:space="preserve"> dados de c</w:t>
      </w:r>
      <w:r>
        <w:t>onsumo agregado (</w:t>
      </w:r>
      <w:proofErr w:type="spellStart"/>
      <w:r>
        <w:t>Tonsor</w:t>
      </w:r>
      <w:proofErr w:type="spellEnd"/>
      <w:r>
        <w:t xml:space="preserve"> et al., 2010;</w:t>
      </w:r>
      <w:r w:rsidRPr="008B31E5">
        <w:t xml:space="preserve"> </w:t>
      </w:r>
      <w:proofErr w:type="spellStart"/>
      <w:r>
        <w:t>Glynn</w:t>
      </w:r>
      <w:proofErr w:type="spellEnd"/>
      <w:r>
        <w:t xml:space="preserve"> e </w:t>
      </w:r>
      <w:proofErr w:type="spellStart"/>
      <w:r>
        <w:t>Olynk</w:t>
      </w:r>
      <w:proofErr w:type="spellEnd"/>
      <w:r>
        <w:t>, 2010</w:t>
      </w:r>
      <w:r w:rsidRPr="008B31E5">
        <w:t>)</w:t>
      </w:r>
      <w:r>
        <w:t xml:space="preserve">; que há </w:t>
      </w:r>
      <w:r w:rsidRPr="003B0A3D">
        <w:t>uma vasta e crescente literatura internacional devotada à estimação de sistemas de equações de demanda por carnes utilizando dados agregados de séries de tempo</w:t>
      </w:r>
      <w:r w:rsidRPr="003B0A3D">
        <w:rPr>
          <w:rStyle w:val="FootnoteReference"/>
        </w:rPr>
        <w:footnoteReference w:id="15"/>
      </w:r>
      <w:r w:rsidRPr="003B0A3D">
        <w:t xml:space="preserve"> sem representantes recentes na literatura nacional</w:t>
      </w:r>
      <w:r w:rsidRPr="008B31E5">
        <w:t xml:space="preserve">; </w:t>
      </w:r>
      <w:r>
        <w:t xml:space="preserve">que </w:t>
      </w:r>
      <w:r w:rsidRPr="008B31E5">
        <w:t>é fundamental incluir em modelos de demanda por alimentos, além dos preços e renda do consumidor, variáveis relacionadas ao nível de confiança do consumidor com relação ao alimento de consome, em especial</w:t>
      </w:r>
      <w:r>
        <w:t>,</w:t>
      </w:r>
      <w:r w:rsidRPr="008B31E5">
        <w:t xml:space="preserve"> utilizando-se algum índice de notícias sobre crises de segurança do alimento em jornais ou um índice construído com os recalls de alimentos. </w:t>
      </w:r>
      <w:r>
        <w:t>Seguindo isto, o presente estudo estimou sistema de equações de demanda por carnes no Brasil, incluindo índices de segurança do alimento e utilizando dados agregados de consumo.</w:t>
      </w:r>
    </w:p>
    <w:p w14:paraId="7F9D7643" w14:textId="77777777" w:rsidR="00286AAB" w:rsidRDefault="00DD16E4" w:rsidP="00BC6645">
      <w:pPr>
        <w:ind w:firstLine="432"/>
        <w:jc w:val="both"/>
      </w:pPr>
      <w:r>
        <w:t>Na estimação dos</w:t>
      </w:r>
      <w:r w:rsidR="00F44FF1" w:rsidRPr="005F2DA7">
        <w:t xml:space="preserve"> sistemas de equações de </w:t>
      </w:r>
      <w:r w:rsidR="00F44FF1">
        <w:t>demanda para as carnes bovina, s</w:t>
      </w:r>
      <w:r>
        <w:t>uína e de frango, incorporou-se, a</w:t>
      </w:r>
      <w:r w:rsidR="00F44FF1">
        <w:t xml:space="preserve">lém dos preços e renda, três séries de </w:t>
      </w:r>
      <w:r w:rsidR="00F44FF1" w:rsidRPr="005F2DA7">
        <w:t>índices de notícias sobre segurança do alimento</w:t>
      </w:r>
      <w:r w:rsidR="00F44FF1">
        <w:t xml:space="preserve"> </w:t>
      </w:r>
      <w:r w:rsidR="00F44FF1" w:rsidRPr="005F2DA7">
        <w:t>como variáveis explicativas.</w:t>
      </w:r>
      <w:r w:rsidR="00F44FF1">
        <w:t xml:space="preserve"> </w:t>
      </w:r>
      <w:r>
        <w:t>Detectou-se</w:t>
      </w:r>
      <w:r w:rsidRPr="00E95405">
        <w:t xml:space="preserve">, via inclusão de variáveis </w:t>
      </w:r>
      <w:r w:rsidR="00286AAB" w:rsidRPr="00286AAB">
        <w:t>binárias</w:t>
      </w:r>
      <w:r>
        <w:t xml:space="preserve"> nas equações dos sistemas de equações,</w:t>
      </w:r>
      <w:r w:rsidRPr="00E95405">
        <w:t xml:space="preserve"> que o Plano Real não afetou as demandas por carnes e outros bens de consumo.</w:t>
      </w:r>
      <w:r>
        <w:t xml:space="preserve"> </w:t>
      </w:r>
      <w:r w:rsidR="00286AAB">
        <w:t>Finalmente, c</w:t>
      </w:r>
      <w:r w:rsidR="000372AD" w:rsidRPr="00CF470D">
        <w:t>om</w:t>
      </w:r>
      <w:r>
        <w:t>o</w:t>
      </w:r>
      <w:r w:rsidR="000372AD" w:rsidRPr="00CF470D">
        <w:t xml:space="preserve"> não foi possível rejeitar a hipótese de que os índices de segurança do alimento não</w:t>
      </w:r>
      <w:r w:rsidR="009F61F0">
        <w:t xml:space="preserve"> são conjuntamente significativos</w:t>
      </w:r>
      <w:r w:rsidR="000372AD" w:rsidRPr="00CF470D">
        <w:t xml:space="preserve">, conclui-se que crises de segurança do alimento não afetam as demandas da carne bovina, suína e de frango no Brasil. </w:t>
      </w:r>
    </w:p>
    <w:p w14:paraId="56CEEA0A" w14:textId="77777777" w:rsidR="000C25BC" w:rsidRDefault="00C374DB" w:rsidP="00BC6645">
      <w:pPr>
        <w:ind w:firstLine="432"/>
        <w:jc w:val="both"/>
      </w:pPr>
      <w:r>
        <w:t xml:space="preserve">Com </w:t>
      </w:r>
      <w:r w:rsidR="00286AAB">
        <w:t xml:space="preserve">base nos resultados, admite-se que é plausível a hipótese de que </w:t>
      </w:r>
      <w:r w:rsidR="000C25BC">
        <w:t>o Custo Marginal Privado da Crise de Segurança do Alimento (CM</w:t>
      </w:r>
      <w:r>
        <w:t>P</w:t>
      </w:r>
      <w:r w:rsidR="000C25BC">
        <w:t xml:space="preserve">CSA), como apresentado na Figura 1, </w:t>
      </w:r>
      <w:r w:rsidR="00286AAB">
        <w:t xml:space="preserve">é próximo a </w:t>
      </w:r>
      <w:r w:rsidR="000C25BC">
        <w:t>zer</w:t>
      </w:r>
      <w:r w:rsidR="0099038C">
        <w:t xml:space="preserve">o no setor de </w:t>
      </w:r>
      <w:r w:rsidR="0099038C">
        <w:lastRenderedPageBreak/>
        <w:t xml:space="preserve">carnes no Brasil, o que torna </w:t>
      </w:r>
      <w:r w:rsidR="000C25BC">
        <w:t xml:space="preserve">o equilíbrio de mercado </w:t>
      </w:r>
      <w:r w:rsidR="0099038C">
        <w:t xml:space="preserve">(ponto M) muito distante </w:t>
      </w:r>
      <w:r w:rsidR="000C25BC">
        <w:t xml:space="preserve">do equilíbrio eficiente (ponto E). </w:t>
      </w:r>
      <w:r w:rsidR="00286AAB">
        <w:t xml:space="preserve"> Talvez isso justifique uma regulação mais forte do setor de carnes no Brasil.</w:t>
      </w:r>
    </w:p>
    <w:p w14:paraId="5AF56BA8" w14:textId="77777777" w:rsidR="000372AD" w:rsidRDefault="003B2DD3" w:rsidP="00BC6645">
      <w:pPr>
        <w:ind w:firstLine="432"/>
        <w:jc w:val="both"/>
      </w:pPr>
      <w:r>
        <w:t>No entanto</w:t>
      </w:r>
      <w:r w:rsidR="000372AD">
        <w:t xml:space="preserve">, </w:t>
      </w:r>
      <w:r w:rsidR="00122BB7">
        <w:t xml:space="preserve">vale </w:t>
      </w:r>
      <w:r w:rsidR="000372AD">
        <w:t xml:space="preserve">reconhecer que </w:t>
      </w:r>
      <w:r>
        <w:t>a frequência anual do</w:t>
      </w:r>
      <w:r w:rsidR="000372AD" w:rsidRPr="00CF470D">
        <w:t xml:space="preserve">s dados pode ter </w:t>
      </w:r>
      <w:r w:rsidR="00122BB7">
        <w:t xml:space="preserve">colaborado para se chegar ao </w:t>
      </w:r>
      <w:r w:rsidR="000C25BC">
        <w:t xml:space="preserve">resultado de </w:t>
      </w:r>
      <w:r w:rsidR="000C25BC" w:rsidRPr="00CF470D">
        <w:t>que crises de segurança do alimento não afetam as demandas da carne bovina, suína e de frango no Brasil</w:t>
      </w:r>
      <w:r w:rsidR="000C25BC">
        <w:t xml:space="preserve">. </w:t>
      </w:r>
      <w:r w:rsidR="00122BB7">
        <w:t>Os e</w:t>
      </w:r>
      <w:r w:rsidR="000C25BC">
        <w:t>studos que detectaram</w:t>
      </w:r>
      <w:r w:rsidR="00723873">
        <w:t xml:space="preserve"> </w:t>
      </w:r>
      <w:r w:rsidR="00122BB7">
        <w:t xml:space="preserve">o </w:t>
      </w:r>
      <w:r w:rsidR="000372AD" w:rsidRPr="00CF470D">
        <w:t>impacto negativo</w:t>
      </w:r>
      <w:r w:rsidR="00122BB7">
        <w:t>, apesar de pequeno, das</w:t>
      </w:r>
      <w:r w:rsidR="000372AD" w:rsidRPr="00CF470D">
        <w:t xml:space="preserve"> notícias relacionadas a crises de segurança do alimento sobre a demanda por carnes utilizaram dados trimestrais</w:t>
      </w:r>
      <w:r w:rsidR="00286AAB">
        <w:t xml:space="preserve"> nos EUA</w:t>
      </w:r>
      <w:r w:rsidR="00C374DB">
        <w:t xml:space="preserve"> </w:t>
      </w:r>
      <w:r w:rsidR="00122BB7" w:rsidRPr="00CF470D">
        <w:t>(</w:t>
      </w:r>
      <w:proofErr w:type="spellStart"/>
      <w:r w:rsidR="00122BB7" w:rsidRPr="00CF470D">
        <w:t>PIGGOTT</w:t>
      </w:r>
      <w:proofErr w:type="spellEnd"/>
      <w:r w:rsidR="00122BB7" w:rsidRPr="00CF470D">
        <w:t xml:space="preserve"> e </w:t>
      </w:r>
      <w:proofErr w:type="spellStart"/>
      <w:r w:rsidR="00122BB7" w:rsidRPr="00CF470D">
        <w:t>MARSH</w:t>
      </w:r>
      <w:proofErr w:type="spellEnd"/>
      <w:r w:rsidR="00122BB7" w:rsidRPr="00CF470D">
        <w:t>,</w:t>
      </w:r>
      <w:r w:rsidR="00122BB7">
        <w:t xml:space="preserve"> 2004;</w:t>
      </w:r>
      <w:r w:rsidR="00122BB7" w:rsidRPr="00CF470D">
        <w:t xml:space="preserve"> RESENDE FILHO e BUHR, 2011</w:t>
      </w:r>
      <w:r w:rsidR="00034DF7">
        <w:t xml:space="preserve">; </w:t>
      </w:r>
      <w:r w:rsidR="00034DF7" w:rsidRPr="004D4BDD">
        <w:t xml:space="preserve">TONSOR et al., </w:t>
      </w:r>
      <w:r w:rsidR="00034DF7">
        <w:t>2010; GLYNN e OLYNK, 2010</w:t>
      </w:r>
      <w:r w:rsidR="00122BB7" w:rsidRPr="00CF470D">
        <w:t>)</w:t>
      </w:r>
      <w:r w:rsidR="000372AD" w:rsidRPr="00CF470D">
        <w:t>.</w:t>
      </w:r>
      <w:r w:rsidR="00F44FF1">
        <w:t xml:space="preserve"> </w:t>
      </w:r>
    </w:p>
    <w:p w14:paraId="142FE6B3" w14:textId="77777777" w:rsidR="000372AD" w:rsidRPr="007B69A1" w:rsidRDefault="00DD16E4" w:rsidP="00BC6645">
      <w:pPr>
        <w:ind w:firstLine="432"/>
        <w:jc w:val="both"/>
      </w:pPr>
      <w:r>
        <w:t>De toda forma, as estimativas das elasticidades da demanda dão fortes indícios a favor da robustez e coerência dos resultados obtidos</w:t>
      </w:r>
      <w:r w:rsidR="00286AAB">
        <w:t xml:space="preserve"> no presente trabalho</w:t>
      </w:r>
      <w:r>
        <w:t xml:space="preserve">. </w:t>
      </w:r>
      <w:r w:rsidR="000372AD" w:rsidRPr="007B69A1">
        <w:t>As estimativas das elasticidades</w:t>
      </w:r>
      <w:r w:rsidR="000372AD">
        <w:t xml:space="preserve"> próprio-</w:t>
      </w:r>
      <w:r w:rsidR="000372AD" w:rsidRPr="007B69A1">
        <w:t xml:space="preserve">preço indicaram que as demandas pelas carnes bovina, suína e de frango são inelásticas </w:t>
      </w:r>
      <w:r w:rsidR="000372AD">
        <w:t>e a</w:t>
      </w:r>
      <w:r w:rsidR="000372AD" w:rsidRPr="007B69A1">
        <w:t>s estimativas das elasticidades</w:t>
      </w:r>
      <w:r w:rsidR="000372AD">
        <w:t xml:space="preserve"> </w:t>
      </w:r>
      <w:r w:rsidR="000372AD" w:rsidRPr="007B69A1">
        <w:t>preço</w:t>
      </w:r>
      <w:r w:rsidR="000372AD">
        <w:t>s-cruzados</w:t>
      </w:r>
      <w:r w:rsidR="000372AD" w:rsidRPr="007B69A1">
        <w:t xml:space="preserve"> confirmam que as carnes são </w:t>
      </w:r>
      <w:r w:rsidR="000372AD">
        <w:t xml:space="preserve">bens </w:t>
      </w:r>
      <w:r w:rsidR="000372AD" w:rsidRPr="007B69A1">
        <w:t>s</w:t>
      </w:r>
      <w:r w:rsidR="00286AAB">
        <w:t>ubstitutos brutos e líquidos umas das outra</w:t>
      </w:r>
      <w:r w:rsidR="000372AD" w:rsidRPr="007B69A1">
        <w:t xml:space="preserve">s. </w:t>
      </w:r>
    </w:p>
    <w:p w14:paraId="0CB20C44" w14:textId="77777777" w:rsidR="000372AD" w:rsidRDefault="000372AD" w:rsidP="00BC6645">
      <w:pPr>
        <w:ind w:firstLine="432"/>
        <w:jc w:val="both"/>
      </w:pPr>
      <w:r>
        <w:t>Com base na</w:t>
      </w:r>
      <w:r w:rsidRPr="007B69A1">
        <w:t>s estimativas das elasticidades-gasto todos os bens são normais</w:t>
      </w:r>
      <w:r w:rsidR="00286AAB">
        <w:t>,</w:t>
      </w:r>
      <w:r w:rsidRPr="007B69A1">
        <w:t xml:space="preserve"> </w:t>
      </w:r>
      <w:r>
        <w:t xml:space="preserve">exceto </w:t>
      </w:r>
      <w:r w:rsidR="00F44FF1">
        <w:t>pel</w:t>
      </w:r>
      <w:r>
        <w:t xml:space="preserve">a </w:t>
      </w:r>
      <w:r w:rsidRPr="007B69A1">
        <w:t>carne suína que é um bem inferior</w:t>
      </w:r>
      <w:r>
        <w:t>. Além disso,</w:t>
      </w:r>
      <w:r w:rsidR="00F44FF1">
        <w:t xml:space="preserve"> </w:t>
      </w:r>
      <w:r w:rsidR="00C543E4">
        <w:t xml:space="preserve">as elasticidades-gasto </w:t>
      </w:r>
      <w:r>
        <w:t>i</w:t>
      </w:r>
      <w:r w:rsidRPr="007B69A1">
        <w:t>ndica</w:t>
      </w:r>
      <w:r w:rsidR="00F44FF1">
        <w:t>m</w:t>
      </w:r>
      <w:r w:rsidRPr="007B69A1">
        <w:t xml:space="preserve"> que </w:t>
      </w:r>
      <w:r w:rsidR="00F44FF1">
        <w:t>se</w:t>
      </w:r>
      <w:r w:rsidRPr="007B69A1">
        <w:t xml:space="preserve"> </w:t>
      </w:r>
      <w:r>
        <w:t xml:space="preserve">o gasto </w:t>
      </w:r>
      <w:r w:rsidR="000C25BC">
        <w:t xml:space="preserve">com consumo </w:t>
      </w:r>
      <w:r w:rsidRPr="007B69A1">
        <w:t xml:space="preserve">das famílias brasileiras </w:t>
      </w:r>
      <w:r>
        <w:t xml:space="preserve">crescer, </w:t>
      </w:r>
      <w:r w:rsidRPr="00CF5712">
        <w:rPr>
          <w:i/>
        </w:rPr>
        <w:t>ceteris paribus</w:t>
      </w:r>
      <w:r w:rsidR="00286AAB">
        <w:t>:</w:t>
      </w:r>
      <w:r>
        <w:t xml:space="preserve"> </w:t>
      </w:r>
      <w:r w:rsidRPr="007B69A1">
        <w:t xml:space="preserve">o consumo de carnes perderá importância para o consumo de outros bens de consumo, </w:t>
      </w:r>
      <w:r w:rsidR="00F44FF1">
        <w:t xml:space="preserve">confirmando </w:t>
      </w:r>
      <w:r w:rsidRPr="007B69A1">
        <w:t>a lei de Engel para</w:t>
      </w:r>
      <w:r w:rsidR="000C25BC">
        <w:t xml:space="preserve"> alimentos; </w:t>
      </w:r>
      <w:r w:rsidRPr="007B69A1">
        <w:t xml:space="preserve">o consumo de </w:t>
      </w:r>
      <w:r>
        <w:t>carne de frango</w:t>
      </w:r>
      <w:r w:rsidRPr="007B69A1">
        <w:t xml:space="preserve"> deve perder importância para a carne </w:t>
      </w:r>
      <w:r>
        <w:t>bovina</w:t>
      </w:r>
      <w:r w:rsidR="000C25BC">
        <w:t>;</w:t>
      </w:r>
      <w:r w:rsidRPr="007B69A1">
        <w:t xml:space="preserve"> e o consumo de carne suína deve perder espaço para as </w:t>
      </w:r>
      <w:r w:rsidR="00F44FF1">
        <w:t xml:space="preserve">demais </w:t>
      </w:r>
      <w:r w:rsidRPr="007B69A1">
        <w:t>carnes</w:t>
      </w:r>
      <w:r w:rsidRPr="00F44E23">
        <w:rPr>
          <w:b/>
        </w:rPr>
        <w:t xml:space="preserve">.  </w:t>
      </w:r>
      <w:r w:rsidR="00F44FF1" w:rsidRPr="00F44FF1">
        <w:t xml:space="preserve">Sendo assim, </w:t>
      </w:r>
      <w:r w:rsidRPr="00F44FF1">
        <w:t>se houv</w:t>
      </w:r>
      <w:r w:rsidR="00F44FF1" w:rsidRPr="00F44FF1">
        <w:t xml:space="preserve">er alguma intenção de política </w:t>
      </w:r>
      <w:r w:rsidRPr="00F44FF1">
        <w:t xml:space="preserve">pública </w:t>
      </w:r>
      <w:r w:rsidR="00F44FF1" w:rsidRPr="00F44FF1">
        <w:t xml:space="preserve">para </w:t>
      </w:r>
      <w:r w:rsidRPr="00F44FF1">
        <w:t xml:space="preserve">induzir </w:t>
      </w:r>
      <w:r w:rsidR="00F44FF1" w:rsidRPr="00F44FF1">
        <w:t>um menor consumo</w:t>
      </w:r>
      <w:r w:rsidRPr="00F44FF1">
        <w:t xml:space="preserve"> </w:t>
      </w:r>
      <w:r w:rsidR="00F44FF1" w:rsidRPr="00F44FF1">
        <w:t xml:space="preserve">de </w:t>
      </w:r>
      <w:r w:rsidRPr="00F44FF1">
        <w:t>carne suína, a</w:t>
      </w:r>
      <w:r w:rsidR="000C25BC">
        <w:t>s elasticidades-gasto indicam</w:t>
      </w:r>
      <w:r w:rsidRPr="00F44FF1">
        <w:t xml:space="preserve"> que ta</w:t>
      </w:r>
      <w:r w:rsidR="00941670">
        <w:t>l objetivo seria alcançado</w:t>
      </w:r>
      <w:r w:rsidR="00286AAB">
        <w:t>, muito provavelmente,</w:t>
      </w:r>
      <w:r w:rsidR="00941670">
        <w:t xml:space="preserve"> sem interferência</w:t>
      </w:r>
      <w:r w:rsidRPr="00F44FF1">
        <w:t>.</w:t>
      </w:r>
    </w:p>
    <w:p w14:paraId="258D38C3" w14:textId="77777777" w:rsidR="000372AD" w:rsidRPr="00F82849" w:rsidRDefault="000372AD" w:rsidP="00BC6645">
      <w:pPr>
        <w:ind w:firstLine="432"/>
        <w:jc w:val="both"/>
      </w:pPr>
    </w:p>
    <w:p w14:paraId="35C76330" w14:textId="77777777" w:rsidR="00923101" w:rsidRPr="000A73A2" w:rsidRDefault="000A73A2" w:rsidP="00BC6645">
      <w:pPr>
        <w:rPr>
          <w:b/>
        </w:rPr>
      </w:pPr>
      <w:r w:rsidRPr="000A73A2">
        <w:rPr>
          <w:b/>
        </w:rPr>
        <w:t>Referências Bibliográficas</w:t>
      </w:r>
    </w:p>
    <w:p w14:paraId="3D34F3D1" w14:textId="77777777" w:rsidR="00CF092F" w:rsidRPr="00DF3F6B" w:rsidRDefault="00CF092F" w:rsidP="00BC6645">
      <w:proofErr w:type="spellStart"/>
      <w:r w:rsidRPr="003E1971">
        <w:t>BACCHI</w:t>
      </w:r>
      <w:proofErr w:type="spellEnd"/>
      <w:r w:rsidRPr="003E1971">
        <w:t xml:space="preserve">, </w:t>
      </w:r>
      <w:proofErr w:type="spellStart"/>
      <w:r w:rsidRPr="003E1971">
        <w:t>M.R.P</w:t>
      </w:r>
      <w:proofErr w:type="spellEnd"/>
      <w:r w:rsidRPr="003E1971">
        <w:t xml:space="preserve">., BARROS, </w:t>
      </w:r>
      <w:proofErr w:type="spellStart"/>
      <w:r w:rsidRPr="003E1971">
        <w:t>G.S.C</w:t>
      </w:r>
      <w:proofErr w:type="spellEnd"/>
      <w:r w:rsidR="00C42FCD">
        <w:t>.</w:t>
      </w:r>
      <w:r w:rsidRPr="003E1971">
        <w:t xml:space="preserve"> </w:t>
      </w:r>
      <w:r w:rsidRPr="00DF3F6B">
        <w:t xml:space="preserve">Demanda de carne bovina no mercado </w:t>
      </w:r>
      <w:r w:rsidRPr="003E1971">
        <w:t>brasileiro</w:t>
      </w:r>
      <w:r w:rsidRPr="00DF3F6B">
        <w:t xml:space="preserve">. </w:t>
      </w:r>
      <w:r w:rsidRPr="00DF3F6B">
        <w:rPr>
          <w:b/>
        </w:rPr>
        <w:t>Revista de Economia e Sociologia Rural</w:t>
      </w:r>
      <w:r w:rsidRPr="00DF3F6B">
        <w:t>, v.30, n.1, p.83-96, 1992.</w:t>
      </w:r>
    </w:p>
    <w:p w14:paraId="337A686D" w14:textId="77777777" w:rsidR="00CF092F" w:rsidRPr="003E1971" w:rsidRDefault="00CF092F" w:rsidP="00BC6645">
      <w:r w:rsidRPr="003E1971">
        <w:t>BARNET, W.A., SERLETIS, A</w:t>
      </w:r>
      <w:r w:rsidR="00C42FCD">
        <w:t>.</w:t>
      </w:r>
      <w:r w:rsidRPr="003E1971">
        <w:t xml:space="preserve"> </w:t>
      </w:r>
      <w:proofErr w:type="spellStart"/>
      <w:r w:rsidRPr="009C520C">
        <w:t>Consumer</w:t>
      </w:r>
      <w:proofErr w:type="spellEnd"/>
      <w:r w:rsidRPr="009C520C">
        <w:t xml:space="preserve"> </w:t>
      </w:r>
      <w:proofErr w:type="spellStart"/>
      <w:r w:rsidRPr="009C520C">
        <w:t>preferences</w:t>
      </w:r>
      <w:proofErr w:type="spellEnd"/>
      <w:r w:rsidRPr="009C520C">
        <w:t xml:space="preserve"> </w:t>
      </w:r>
      <w:proofErr w:type="spellStart"/>
      <w:r w:rsidRPr="009C520C">
        <w:t>and</w:t>
      </w:r>
      <w:proofErr w:type="spellEnd"/>
      <w:r w:rsidRPr="009C520C">
        <w:t xml:space="preserve"> </w:t>
      </w:r>
      <w:proofErr w:type="spellStart"/>
      <w:r w:rsidRPr="009C520C">
        <w:t>demand</w:t>
      </w:r>
      <w:proofErr w:type="spellEnd"/>
      <w:r w:rsidRPr="009C520C">
        <w:t xml:space="preserve"> systems. </w:t>
      </w:r>
      <w:proofErr w:type="spellStart"/>
      <w:r w:rsidRPr="003E1971">
        <w:rPr>
          <w:b/>
        </w:rPr>
        <w:t>Journal</w:t>
      </w:r>
      <w:proofErr w:type="spellEnd"/>
      <w:r w:rsidRPr="003E1971">
        <w:rPr>
          <w:b/>
        </w:rPr>
        <w:t xml:space="preserve"> </w:t>
      </w:r>
      <w:proofErr w:type="spellStart"/>
      <w:r w:rsidRPr="003E1971">
        <w:rPr>
          <w:b/>
        </w:rPr>
        <w:t>of</w:t>
      </w:r>
      <w:proofErr w:type="spellEnd"/>
      <w:r w:rsidRPr="003E1971">
        <w:rPr>
          <w:b/>
        </w:rPr>
        <w:t xml:space="preserve"> </w:t>
      </w:r>
      <w:proofErr w:type="spellStart"/>
      <w:r w:rsidRPr="003E1971">
        <w:rPr>
          <w:b/>
        </w:rPr>
        <w:t>Econometrics</w:t>
      </w:r>
      <w:proofErr w:type="spellEnd"/>
      <w:r w:rsidRPr="003E1971">
        <w:t xml:space="preserve">, v. 147, n. 2, p. 210-224, </w:t>
      </w:r>
      <w:r w:rsidRPr="00A71F45">
        <w:t>2008.</w:t>
      </w:r>
      <w:r w:rsidRPr="003E1971">
        <w:rPr>
          <w:b/>
        </w:rPr>
        <w:t xml:space="preserve"> </w:t>
      </w:r>
    </w:p>
    <w:p w14:paraId="7A04ECB8" w14:textId="77777777" w:rsidR="00CF092F" w:rsidRPr="00414EB4" w:rsidRDefault="00CF092F" w:rsidP="00BC6645">
      <w:proofErr w:type="spellStart"/>
      <w:r>
        <w:t>BARNET</w:t>
      </w:r>
      <w:proofErr w:type="spellEnd"/>
      <w:r>
        <w:t xml:space="preserve">, </w:t>
      </w:r>
      <w:proofErr w:type="spellStart"/>
      <w:r>
        <w:t>W.A</w:t>
      </w:r>
      <w:proofErr w:type="spellEnd"/>
      <w:r w:rsidR="00C42FCD">
        <w:t>.</w:t>
      </w:r>
      <w:r>
        <w:t xml:space="preserve"> </w:t>
      </w:r>
      <w:proofErr w:type="spellStart"/>
      <w:r>
        <w:t>Maximum</w:t>
      </w:r>
      <w:proofErr w:type="spellEnd"/>
      <w:r>
        <w:t xml:space="preserve"> </w:t>
      </w:r>
      <w:proofErr w:type="spellStart"/>
      <w:r>
        <w:t>likelihood</w:t>
      </w:r>
      <w:proofErr w:type="spellEnd"/>
      <w:r>
        <w:t xml:space="preserve"> </w:t>
      </w:r>
      <w:proofErr w:type="spellStart"/>
      <w:r>
        <w:t>and</w:t>
      </w:r>
      <w:proofErr w:type="spellEnd"/>
      <w:r>
        <w:t xml:space="preserve"> </w:t>
      </w:r>
      <w:proofErr w:type="spellStart"/>
      <w:r>
        <w:t>iterated</w:t>
      </w:r>
      <w:proofErr w:type="spellEnd"/>
      <w:r>
        <w:t xml:space="preserve"> </w:t>
      </w:r>
      <w:proofErr w:type="spellStart"/>
      <w:r>
        <w:t>Aitken</w:t>
      </w:r>
      <w:proofErr w:type="spellEnd"/>
      <w:r>
        <w:t xml:space="preserve"> </w:t>
      </w:r>
      <w:proofErr w:type="spellStart"/>
      <w:r>
        <w:t>estimation</w:t>
      </w:r>
      <w:proofErr w:type="spellEnd"/>
      <w:r>
        <w:t xml:space="preserve"> </w:t>
      </w:r>
      <w:proofErr w:type="spellStart"/>
      <w:r>
        <w:t>of</w:t>
      </w:r>
      <w:proofErr w:type="spellEnd"/>
      <w:r>
        <w:t xml:space="preserve"> </w:t>
      </w:r>
      <w:proofErr w:type="spellStart"/>
      <w:r>
        <w:t>nonlinear</w:t>
      </w:r>
      <w:proofErr w:type="spellEnd"/>
      <w:r>
        <w:t xml:space="preserve"> systems </w:t>
      </w:r>
      <w:proofErr w:type="spellStart"/>
      <w:r>
        <w:t>of</w:t>
      </w:r>
      <w:proofErr w:type="spellEnd"/>
      <w:r>
        <w:t xml:space="preserve"> </w:t>
      </w:r>
      <w:proofErr w:type="spellStart"/>
      <w:r>
        <w:t>equations</w:t>
      </w:r>
      <w:proofErr w:type="spellEnd"/>
      <w:r>
        <w:t xml:space="preserve">. </w:t>
      </w:r>
      <w:proofErr w:type="spellStart"/>
      <w:r>
        <w:rPr>
          <w:b/>
        </w:rPr>
        <w:t>Journal</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American </w:t>
      </w:r>
      <w:proofErr w:type="spellStart"/>
      <w:r>
        <w:rPr>
          <w:b/>
        </w:rPr>
        <w:t>Statistical</w:t>
      </w:r>
      <w:proofErr w:type="spellEnd"/>
      <w:r>
        <w:rPr>
          <w:b/>
        </w:rPr>
        <w:t xml:space="preserve"> </w:t>
      </w:r>
      <w:proofErr w:type="spellStart"/>
      <w:r>
        <w:rPr>
          <w:b/>
        </w:rPr>
        <w:t>Association</w:t>
      </w:r>
      <w:proofErr w:type="spellEnd"/>
      <w:r>
        <w:t>, v.71, n.354, p.354-360, 1976.</w:t>
      </w:r>
    </w:p>
    <w:p w14:paraId="29FA47DB" w14:textId="77777777" w:rsidR="00CF092F" w:rsidRDefault="00CF092F" w:rsidP="00BC6645">
      <w:r>
        <w:t>BEHRENS, J.H., BARCELLOS, M.N., FREWER, L.J., NUNES, T.P., FRANCO, B.D.G</w:t>
      </w:r>
      <w:r w:rsidR="00C73479">
        <w:t>.M., DESTRO, M.T., LANDGRAF, M.</w:t>
      </w:r>
      <w:r>
        <w:t xml:space="preserve"> </w:t>
      </w:r>
      <w:proofErr w:type="spellStart"/>
      <w:r>
        <w:t>Consumer</w:t>
      </w:r>
      <w:proofErr w:type="spellEnd"/>
      <w:r>
        <w:t xml:space="preserve"> </w:t>
      </w:r>
      <w:proofErr w:type="spellStart"/>
      <w:r>
        <w:t>purchase</w:t>
      </w:r>
      <w:proofErr w:type="spellEnd"/>
      <w:r>
        <w:t xml:space="preserve"> </w:t>
      </w:r>
      <w:proofErr w:type="spellStart"/>
      <w:r>
        <w:t>habits</w:t>
      </w:r>
      <w:proofErr w:type="spellEnd"/>
      <w:r>
        <w:t xml:space="preserve"> </w:t>
      </w:r>
      <w:proofErr w:type="spellStart"/>
      <w:r>
        <w:t>and</w:t>
      </w:r>
      <w:proofErr w:type="spellEnd"/>
      <w:r>
        <w:t xml:space="preserve"> </w:t>
      </w:r>
      <w:proofErr w:type="spellStart"/>
      <w:r>
        <w:t>views</w:t>
      </w:r>
      <w:proofErr w:type="spellEnd"/>
      <w:r>
        <w:t xml:space="preserve"> </w:t>
      </w:r>
      <w:proofErr w:type="spellStart"/>
      <w:r>
        <w:t>on</w:t>
      </w:r>
      <w:proofErr w:type="spellEnd"/>
      <w:r>
        <w:t xml:space="preserve"> </w:t>
      </w:r>
      <w:proofErr w:type="spellStart"/>
      <w:r>
        <w:t>food</w:t>
      </w:r>
      <w:proofErr w:type="spellEnd"/>
      <w:r>
        <w:t xml:space="preserve"> </w:t>
      </w:r>
      <w:proofErr w:type="spellStart"/>
      <w:r>
        <w:t>safety</w:t>
      </w:r>
      <w:proofErr w:type="spellEnd"/>
      <w:r>
        <w:t xml:space="preserve">: A </w:t>
      </w:r>
      <w:proofErr w:type="spellStart"/>
      <w:r>
        <w:t>Brazilian</w:t>
      </w:r>
      <w:proofErr w:type="spellEnd"/>
      <w:r>
        <w:t xml:space="preserve"> </w:t>
      </w:r>
      <w:proofErr w:type="spellStart"/>
      <w:r>
        <w:t>study</w:t>
      </w:r>
      <w:proofErr w:type="spellEnd"/>
      <w:r>
        <w:t xml:space="preserve">.  </w:t>
      </w:r>
      <w:proofErr w:type="spellStart"/>
      <w:r w:rsidRPr="006F5DEE">
        <w:rPr>
          <w:b/>
        </w:rPr>
        <w:t>Food</w:t>
      </w:r>
      <w:proofErr w:type="spellEnd"/>
      <w:r w:rsidRPr="006F5DEE">
        <w:rPr>
          <w:b/>
        </w:rPr>
        <w:t xml:space="preserve"> </w:t>
      </w:r>
      <w:proofErr w:type="spellStart"/>
      <w:r w:rsidRPr="006F5DEE">
        <w:rPr>
          <w:b/>
        </w:rPr>
        <w:t>Control</w:t>
      </w:r>
      <w:proofErr w:type="spellEnd"/>
      <w:r>
        <w:t xml:space="preserve">, </w:t>
      </w:r>
      <w:proofErr w:type="spellStart"/>
      <w:r>
        <w:t>vol</w:t>
      </w:r>
      <w:proofErr w:type="spellEnd"/>
      <w:r>
        <w:t xml:space="preserve"> 21, n. 7, p. 963-969, 2010. </w:t>
      </w:r>
    </w:p>
    <w:p w14:paraId="01A35D87" w14:textId="77777777" w:rsidR="00CF092F" w:rsidRDefault="00CF092F" w:rsidP="00BC6645">
      <w:pPr>
        <w:rPr>
          <w:lang w:val="it-IT"/>
        </w:rPr>
      </w:pPr>
      <w:proofErr w:type="spellStart"/>
      <w:r w:rsidRPr="00B9074D">
        <w:t>BERNDT</w:t>
      </w:r>
      <w:proofErr w:type="spellEnd"/>
      <w:r w:rsidRPr="00B9074D">
        <w:t xml:space="preserve">, </w:t>
      </w:r>
      <w:proofErr w:type="spellStart"/>
      <w:r w:rsidRPr="00B9074D">
        <w:t>E.R</w:t>
      </w:r>
      <w:proofErr w:type="spellEnd"/>
      <w:r w:rsidRPr="00B9074D">
        <w:t xml:space="preserve">., </w:t>
      </w:r>
      <w:proofErr w:type="spellStart"/>
      <w:r w:rsidRPr="00B9074D">
        <w:t>SAVIN</w:t>
      </w:r>
      <w:proofErr w:type="spellEnd"/>
      <w:r w:rsidRPr="00B9074D">
        <w:t xml:space="preserve">, </w:t>
      </w:r>
      <w:proofErr w:type="spellStart"/>
      <w:r w:rsidRPr="00B9074D">
        <w:t>N.E</w:t>
      </w:r>
      <w:proofErr w:type="spellEnd"/>
      <w:r w:rsidR="00C42FCD">
        <w:t>.</w:t>
      </w:r>
      <w:r>
        <w:t xml:space="preserve"> </w:t>
      </w:r>
      <w:proofErr w:type="spellStart"/>
      <w:r>
        <w:t>E</w:t>
      </w:r>
      <w:r w:rsidRPr="00B9074D">
        <w:t>valuation</w:t>
      </w:r>
      <w:proofErr w:type="spellEnd"/>
      <w:r w:rsidRPr="00B9074D">
        <w:t xml:space="preserve"> </w:t>
      </w:r>
      <w:proofErr w:type="spellStart"/>
      <w:r w:rsidRPr="00B9074D">
        <w:t>and</w:t>
      </w:r>
      <w:proofErr w:type="spellEnd"/>
      <w:r w:rsidRPr="00B9074D">
        <w:t xml:space="preserve"> </w:t>
      </w:r>
      <w:proofErr w:type="spellStart"/>
      <w:r w:rsidRPr="00B9074D">
        <w:t>hypothesis</w:t>
      </w:r>
      <w:proofErr w:type="spellEnd"/>
      <w:r w:rsidRPr="00B9074D">
        <w:t xml:space="preserve"> </w:t>
      </w:r>
      <w:proofErr w:type="spellStart"/>
      <w:r w:rsidRPr="00B9074D">
        <w:t>testing</w:t>
      </w:r>
      <w:proofErr w:type="spellEnd"/>
      <w:r w:rsidRPr="00B9074D">
        <w:t xml:space="preserve"> in singular </w:t>
      </w:r>
      <w:proofErr w:type="spellStart"/>
      <w:r w:rsidRPr="00B9074D">
        <w:t>equation</w:t>
      </w:r>
      <w:proofErr w:type="spellEnd"/>
      <w:r w:rsidRPr="00B9074D">
        <w:t xml:space="preserve"> systems </w:t>
      </w:r>
      <w:proofErr w:type="spellStart"/>
      <w:r w:rsidRPr="00B9074D">
        <w:t>with</w:t>
      </w:r>
      <w:proofErr w:type="spellEnd"/>
      <w:r w:rsidRPr="00B9074D">
        <w:t xml:space="preserve"> </w:t>
      </w:r>
      <w:proofErr w:type="spellStart"/>
      <w:r w:rsidRPr="00B9074D">
        <w:t>autoregressive</w:t>
      </w:r>
      <w:proofErr w:type="spellEnd"/>
      <w:r w:rsidRPr="00B9074D">
        <w:t xml:space="preserve"> </w:t>
      </w:r>
      <w:proofErr w:type="spellStart"/>
      <w:r w:rsidRPr="00B9074D">
        <w:t>disturbances</w:t>
      </w:r>
      <w:proofErr w:type="spellEnd"/>
      <w:r w:rsidRPr="00B9074D">
        <w:t xml:space="preserve">. </w:t>
      </w:r>
      <w:r w:rsidRPr="003E1971">
        <w:rPr>
          <w:b/>
          <w:lang w:val="it-IT"/>
        </w:rPr>
        <w:t>Econometrica</w:t>
      </w:r>
      <w:r w:rsidRPr="003E1971">
        <w:rPr>
          <w:lang w:val="it-IT"/>
        </w:rPr>
        <w:t>, v. 32, n. 5/6, p.937–57, 1975.</w:t>
      </w:r>
    </w:p>
    <w:p w14:paraId="7347A3A9" w14:textId="77777777" w:rsidR="00CF092F" w:rsidRPr="00923121" w:rsidRDefault="00CF092F" w:rsidP="00BC6645">
      <w:r w:rsidRPr="003E1971">
        <w:rPr>
          <w:lang w:val="it-IT"/>
        </w:rPr>
        <w:t>BRESTER, G.W., SCHROEDER, T.C</w:t>
      </w:r>
      <w:r w:rsidR="00C42FCD">
        <w:rPr>
          <w:lang w:val="it-IT"/>
        </w:rPr>
        <w:t>.</w:t>
      </w:r>
      <w:r w:rsidRPr="003E1971">
        <w:rPr>
          <w:lang w:val="it-IT"/>
        </w:rPr>
        <w:t xml:space="preserve"> </w:t>
      </w:r>
      <w:r w:rsidRPr="00923121">
        <w:t xml:space="preserve">The </w:t>
      </w:r>
      <w:proofErr w:type="spellStart"/>
      <w:r w:rsidRPr="00923121">
        <w:t>impacts</w:t>
      </w:r>
      <w:proofErr w:type="spellEnd"/>
      <w:r w:rsidRPr="00923121">
        <w:t xml:space="preserve"> </w:t>
      </w:r>
      <w:proofErr w:type="spellStart"/>
      <w:r w:rsidRPr="00923121">
        <w:t>of</w:t>
      </w:r>
      <w:proofErr w:type="spellEnd"/>
      <w:r w:rsidRPr="00923121">
        <w:t xml:space="preserve"> </w:t>
      </w:r>
      <w:proofErr w:type="spellStart"/>
      <w:r w:rsidRPr="00923121">
        <w:t>brand</w:t>
      </w:r>
      <w:proofErr w:type="spellEnd"/>
      <w:r w:rsidRPr="00923121">
        <w:t xml:space="preserve"> </w:t>
      </w:r>
      <w:proofErr w:type="spellStart"/>
      <w:r w:rsidRPr="00923121">
        <w:t>and</w:t>
      </w:r>
      <w:proofErr w:type="spellEnd"/>
      <w:r w:rsidRPr="00923121">
        <w:t xml:space="preserve"> </w:t>
      </w:r>
      <w:proofErr w:type="spellStart"/>
      <w:r w:rsidRPr="00923121">
        <w:t>gene</w:t>
      </w:r>
      <w:r>
        <w:t>r</w:t>
      </w:r>
      <w:r w:rsidRPr="00923121">
        <w:t>ic</w:t>
      </w:r>
      <w:proofErr w:type="spellEnd"/>
      <w:r w:rsidRPr="00923121">
        <w:t xml:space="preserve"> </w:t>
      </w:r>
      <w:proofErr w:type="spellStart"/>
      <w:r w:rsidRPr="00923121">
        <w:t>advertising</w:t>
      </w:r>
      <w:proofErr w:type="spellEnd"/>
      <w:r w:rsidRPr="00923121">
        <w:t xml:space="preserve"> </w:t>
      </w:r>
      <w:proofErr w:type="spellStart"/>
      <w:r w:rsidRPr="00923121">
        <w:t>on</w:t>
      </w:r>
      <w:proofErr w:type="spellEnd"/>
      <w:r w:rsidRPr="00923121">
        <w:t xml:space="preserve"> </w:t>
      </w:r>
      <w:proofErr w:type="spellStart"/>
      <w:r w:rsidRPr="00923121">
        <w:t>meat</w:t>
      </w:r>
      <w:proofErr w:type="spellEnd"/>
      <w:r w:rsidRPr="00923121">
        <w:t xml:space="preserve"> </w:t>
      </w:r>
      <w:proofErr w:type="spellStart"/>
      <w:r w:rsidRPr="00923121">
        <w:t>demand</w:t>
      </w:r>
      <w:proofErr w:type="spellEnd"/>
      <w:r w:rsidRPr="00923121">
        <w:t xml:space="preserve">. </w:t>
      </w:r>
      <w:r w:rsidRPr="00DA73CB">
        <w:rPr>
          <w:b/>
        </w:rPr>
        <w:t xml:space="preserve">American </w:t>
      </w:r>
      <w:proofErr w:type="spellStart"/>
      <w:r w:rsidRPr="00DA73CB">
        <w:rPr>
          <w:b/>
        </w:rPr>
        <w:t>Journal</w:t>
      </w:r>
      <w:proofErr w:type="spellEnd"/>
      <w:r w:rsidRPr="00DA73CB">
        <w:rPr>
          <w:b/>
        </w:rPr>
        <w:t xml:space="preserve"> </w:t>
      </w:r>
      <w:proofErr w:type="spellStart"/>
      <w:r w:rsidRPr="00DA73CB">
        <w:rPr>
          <w:b/>
        </w:rPr>
        <w:t>of</w:t>
      </w:r>
      <w:proofErr w:type="spellEnd"/>
      <w:r w:rsidRPr="00DA73CB">
        <w:rPr>
          <w:b/>
        </w:rPr>
        <w:t xml:space="preserve"> </w:t>
      </w:r>
      <w:proofErr w:type="spellStart"/>
      <w:r w:rsidRPr="00DA73CB">
        <w:rPr>
          <w:b/>
        </w:rPr>
        <w:t>Agricultural</w:t>
      </w:r>
      <w:proofErr w:type="spellEnd"/>
      <w:r w:rsidRPr="00DA73CB">
        <w:rPr>
          <w:b/>
        </w:rPr>
        <w:t xml:space="preserve"> </w:t>
      </w:r>
      <w:proofErr w:type="spellStart"/>
      <w:r w:rsidRPr="00DA73CB">
        <w:rPr>
          <w:b/>
        </w:rPr>
        <w:t>Economics</w:t>
      </w:r>
      <w:proofErr w:type="spellEnd"/>
      <w:r>
        <w:t>, v.77, n. 4, p. 969-</w:t>
      </w:r>
      <w:r w:rsidRPr="00923121">
        <w:t>79, 1995.</w:t>
      </w:r>
    </w:p>
    <w:p w14:paraId="1E5E7D43" w14:textId="77777777" w:rsidR="00CF092F" w:rsidRPr="0051319F" w:rsidRDefault="00CF092F" w:rsidP="00BC6645">
      <w:pPr>
        <w:rPr>
          <w:lang w:val="fr-FR"/>
        </w:rPr>
      </w:pPr>
      <w:r w:rsidRPr="0051319F">
        <w:rPr>
          <w:lang w:val="en-GB"/>
        </w:rPr>
        <w:t>BURTON, M.</w:t>
      </w:r>
      <w:r>
        <w:rPr>
          <w:lang w:val="en-GB"/>
        </w:rPr>
        <w:t>, YOUNG, T.,</w:t>
      </w:r>
      <w:r w:rsidRPr="0051319F">
        <w:rPr>
          <w:lang w:val="en-GB"/>
        </w:rPr>
        <w:t xml:space="preserve"> CROMB, R. </w:t>
      </w:r>
      <w:r>
        <w:rPr>
          <w:lang w:val="en-GB"/>
        </w:rPr>
        <w:t>M</w:t>
      </w:r>
      <w:r w:rsidRPr="0051319F">
        <w:rPr>
          <w:lang w:val="en-GB"/>
        </w:rPr>
        <w:t>eat consumers' long-term response to perceived risks associated with BSE</w:t>
      </w:r>
      <w:r>
        <w:rPr>
          <w:lang w:val="en-GB"/>
        </w:rPr>
        <w:t xml:space="preserve"> in Great B</w:t>
      </w:r>
      <w:r w:rsidRPr="0051319F">
        <w:rPr>
          <w:lang w:val="en-GB"/>
        </w:rPr>
        <w:t xml:space="preserve">ritain. </w:t>
      </w:r>
      <w:r w:rsidRPr="0051319F">
        <w:rPr>
          <w:b/>
          <w:lang w:val="fr-FR"/>
        </w:rPr>
        <w:t>Cahiers D'économie et Sociologie Rurales</w:t>
      </w:r>
      <w:r w:rsidRPr="0051319F">
        <w:rPr>
          <w:lang w:val="fr-FR"/>
        </w:rPr>
        <w:t>, v. 50, p. 8-19, 1999.</w:t>
      </w:r>
    </w:p>
    <w:p w14:paraId="29F843E4" w14:textId="77777777" w:rsidR="00CF092F" w:rsidRPr="00491162" w:rsidRDefault="00CF092F" w:rsidP="00BC6645">
      <w:pPr>
        <w:rPr>
          <w:color w:val="000000"/>
          <w:lang w:val="en-US"/>
        </w:rPr>
      </w:pPr>
      <w:r w:rsidRPr="00491162">
        <w:rPr>
          <w:lang w:val="en-US"/>
        </w:rPr>
        <w:t>CARTE</w:t>
      </w:r>
      <w:r>
        <w:rPr>
          <w:lang w:val="en-US"/>
        </w:rPr>
        <w:t>R, C.A., SMITH, A</w:t>
      </w:r>
      <w:r w:rsidR="00C42FCD">
        <w:rPr>
          <w:lang w:val="en-US"/>
        </w:rPr>
        <w:t>.</w:t>
      </w:r>
      <w:r w:rsidRPr="00491162">
        <w:rPr>
          <w:lang w:val="en-US"/>
        </w:rPr>
        <w:t xml:space="preserve"> </w:t>
      </w:r>
      <w:r>
        <w:rPr>
          <w:lang w:val="en-US"/>
        </w:rPr>
        <w:t>T</w:t>
      </w:r>
      <w:r w:rsidRPr="00491162">
        <w:rPr>
          <w:lang w:val="en-US"/>
        </w:rPr>
        <w:t xml:space="preserve">he </w:t>
      </w:r>
      <w:r>
        <w:rPr>
          <w:lang w:val="en-US"/>
        </w:rPr>
        <w:t>market effect of a food scare: T</w:t>
      </w:r>
      <w:r w:rsidRPr="00491162">
        <w:rPr>
          <w:lang w:val="en-US"/>
        </w:rPr>
        <w:t>h</w:t>
      </w:r>
      <w:r>
        <w:rPr>
          <w:lang w:val="en-US"/>
        </w:rPr>
        <w:t xml:space="preserve">e case of genetically modified </w:t>
      </w:r>
      <w:proofErr w:type="spellStart"/>
      <w:r>
        <w:rPr>
          <w:lang w:val="en-US"/>
        </w:rPr>
        <w:t>S</w:t>
      </w:r>
      <w:r w:rsidRPr="00491162">
        <w:rPr>
          <w:lang w:val="en-US"/>
        </w:rPr>
        <w:t>tarlink</w:t>
      </w:r>
      <w:proofErr w:type="spellEnd"/>
      <w:r w:rsidRPr="00491162">
        <w:rPr>
          <w:lang w:val="en-US"/>
        </w:rPr>
        <w:t xml:space="preserve"> corn. </w:t>
      </w:r>
      <w:proofErr w:type="gramStart"/>
      <w:r w:rsidRPr="00491162">
        <w:rPr>
          <w:b/>
          <w:lang w:val="en-US"/>
        </w:rPr>
        <w:t>The Review of Economics and Statistics</w:t>
      </w:r>
      <w:r w:rsidRPr="00491162">
        <w:rPr>
          <w:lang w:val="en-US"/>
        </w:rPr>
        <w:t xml:space="preserve">, v. </w:t>
      </w:r>
      <w:r w:rsidRPr="00491162">
        <w:rPr>
          <w:color w:val="000000"/>
          <w:lang w:val="en-US"/>
        </w:rPr>
        <w:t>89, n. 3, p. 522-533, 2007.</w:t>
      </w:r>
      <w:proofErr w:type="gramEnd"/>
    </w:p>
    <w:p w14:paraId="34513F6C" w14:textId="77777777" w:rsidR="00CF092F" w:rsidRDefault="00CF092F" w:rsidP="00BC6645">
      <w:r w:rsidRPr="003E1971">
        <w:t>DEATON, A., MUELLBAUER, J</w:t>
      </w:r>
      <w:r w:rsidR="00C42FCD">
        <w:t>.</w:t>
      </w:r>
      <w:r w:rsidRPr="003E1971">
        <w:t xml:space="preserve"> </w:t>
      </w:r>
      <w:proofErr w:type="spellStart"/>
      <w:r>
        <w:rPr>
          <w:b/>
        </w:rPr>
        <w:t>An</w:t>
      </w:r>
      <w:proofErr w:type="spellEnd"/>
      <w:r>
        <w:rPr>
          <w:b/>
        </w:rPr>
        <w:t xml:space="preserve"> </w:t>
      </w:r>
      <w:proofErr w:type="spellStart"/>
      <w:r>
        <w:rPr>
          <w:b/>
        </w:rPr>
        <w:t>almost</w:t>
      </w:r>
      <w:proofErr w:type="spellEnd"/>
      <w:r>
        <w:rPr>
          <w:b/>
        </w:rPr>
        <w:t xml:space="preserve"> ideal </w:t>
      </w:r>
      <w:proofErr w:type="spellStart"/>
      <w:r>
        <w:rPr>
          <w:b/>
        </w:rPr>
        <w:t>demand</w:t>
      </w:r>
      <w:proofErr w:type="spellEnd"/>
      <w:r>
        <w:rPr>
          <w:b/>
        </w:rPr>
        <w:t xml:space="preserve"> system</w:t>
      </w:r>
      <w:r>
        <w:t xml:space="preserve">. American </w:t>
      </w:r>
      <w:proofErr w:type="spellStart"/>
      <w:r>
        <w:t>Economic</w:t>
      </w:r>
      <w:proofErr w:type="spellEnd"/>
      <w:r>
        <w:t xml:space="preserve"> </w:t>
      </w:r>
      <w:proofErr w:type="spellStart"/>
      <w:r>
        <w:t>Review</w:t>
      </w:r>
      <w:proofErr w:type="spellEnd"/>
      <w:r>
        <w:t>, v.70, n. 3, p.312-326, 1980.</w:t>
      </w:r>
    </w:p>
    <w:p w14:paraId="2BFAD18D" w14:textId="77777777" w:rsidR="00CF092F" w:rsidRPr="00162491" w:rsidRDefault="00CF092F" w:rsidP="00BC6645">
      <w:r w:rsidRPr="00B1148E">
        <w:t xml:space="preserve">ENGLE, R.F., </w:t>
      </w:r>
      <w:r w:rsidRPr="00B1148E">
        <w:rPr>
          <w:caps/>
        </w:rPr>
        <w:t xml:space="preserve">Granger, </w:t>
      </w:r>
      <w:r w:rsidRPr="00B1148E">
        <w:t>C.W.J.</w:t>
      </w:r>
      <w:r w:rsidRPr="00B1148E">
        <w:rPr>
          <w:caps/>
        </w:rPr>
        <w:t xml:space="preserve"> </w:t>
      </w:r>
      <w:r w:rsidRPr="00117D66">
        <w:rPr>
          <w:lang w:val="en-GB"/>
        </w:rPr>
        <w:t xml:space="preserve">Cointegration and </w:t>
      </w:r>
      <w:r>
        <w:rPr>
          <w:lang w:val="en-GB"/>
        </w:rPr>
        <w:t>e</w:t>
      </w:r>
      <w:r w:rsidRPr="00117D66">
        <w:rPr>
          <w:lang w:val="en-GB"/>
        </w:rPr>
        <w:t xml:space="preserve">rror </w:t>
      </w:r>
      <w:r>
        <w:rPr>
          <w:lang w:val="en-GB"/>
        </w:rPr>
        <w:t>c</w:t>
      </w:r>
      <w:r w:rsidRPr="00117D66">
        <w:rPr>
          <w:lang w:val="en-GB"/>
        </w:rPr>
        <w:t xml:space="preserve">orrection: </w:t>
      </w:r>
      <w:r>
        <w:rPr>
          <w:lang w:val="en-GB"/>
        </w:rPr>
        <w:t>r</w:t>
      </w:r>
      <w:r w:rsidRPr="00117D66">
        <w:rPr>
          <w:lang w:val="en-GB"/>
        </w:rPr>
        <w:t xml:space="preserve">epresentation, </w:t>
      </w:r>
      <w:r>
        <w:rPr>
          <w:lang w:val="en-GB"/>
        </w:rPr>
        <w:t>e</w:t>
      </w:r>
      <w:r w:rsidRPr="00117D66">
        <w:rPr>
          <w:lang w:val="en-GB"/>
        </w:rPr>
        <w:t xml:space="preserve">stimation and </w:t>
      </w:r>
      <w:r>
        <w:rPr>
          <w:lang w:val="en-GB"/>
        </w:rPr>
        <w:t>testing.</w:t>
      </w:r>
      <w:r w:rsidRPr="00117D66">
        <w:rPr>
          <w:lang w:val="en-GB"/>
        </w:rPr>
        <w:t xml:space="preserve"> </w:t>
      </w:r>
      <w:proofErr w:type="spellStart"/>
      <w:r w:rsidRPr="00162491">
        <w:rPr>
          <w:b/>
        </w:rPr>
        <w:t>Econometrica</w:t>
      </w:r>
      <w:proofErr w:type="spellEnd"/>
      <w:r w:rsidRPr="00162491">
        <w:t>, v.55, n. 2, p.251-276, 1987.</w:t>
      </w:r>
    </w:p>
    <w:p w14:paraId="5045D45B" w14:textId="77777777" w:rsidR="00CF092F" w:rsidRDefault="00CF092F" w:rsidP="00BC6645">
      <w:r>
        <w:t xml:space="preserve">FISHER, D., FLEISSIG, A.R., SERLETIS, A. </w:t>
      </w:r>
      <w:proofErr w:type="spellStart"/>
      <w:r>
        <w:t>An</w:t>
      </w:r>
      <w:proofErr w:type="spellEnd"/>
      <w:r>
        <w:t xml:space="preserve"> </w:t>
      </w:r>
      <w:proofErr w:type="spellStart"/>
      <w:r>
        <w:t>Empirical</w:t>
      </w:r>
      <w:proofErr w:type="spellEnd"/>
      <w:r>
        <w:t xml:space="preserve"> </w:t>
      </w:r>
      <w:proofErr w:type="spellStart"/>
      <w:r>
        <w:t>Comparison</w:t>
      </w:r>
      <w:proofErr w:type="spellEnd"/>
      <w:r>
        <w:t xml:space="preserve"> </w:t>
      </w:r>
      <w:proofErr w:type="spellStart"/>
      <w:r>
        <w:t>of</w:t>
      </w:r>
      <w:proofErr w:type="spellEnd"/>
      <w:r>
        <w:t xml:space="preserve"> </w:t>
      </w:r>
      <w:proofErr w:type="spellStart"/>
      <w:r>
        <w:t>Flexible</w:t>
      </w:r>
      <w:proofErr w:type="spellEnd"/>
      <w:r>
        <w:t xml:space="preserve"> </w:t>
      </w:r>
      <w:proofErr w:type="spellStart"/>
      <w:r>
        <w:t>Demand</w:t>
      </w:r>
      <w:proofErr w:type="spellEnd"/>
      <w:r>
        <w:t xml:space="preserve"> System </w:t>
      </w:r>
      <w:proofErr w:type="spellStart"/>
      <w:r>
        <w:t>Functional</w:t>
      </w:r>
      <w:proofErr w:type="spellEnd"/>
      <w:r>
        <w:t xml:space="preserve"> </w:t>
      </w:r>
      <w:proofErr w:type="spellStart"/>
      <w:r>
        <w:t>Forms</w:t>
      </w:r>
      <w:proofErr w:type="spellEnd"/>
      <w:r>
        <w:t xml:space="preserve">. </w:t>
      </w:r>
      <w:proofErr w:type="spellStart"/>
      <w:r>
        <w:rPr>
          <w:b/>
        </w:rPr>
        <w:t>Journal</w:t>
      </w:r>
      <w:proofErr w:type="spellEnd"/>
      <w:r>
        <w:rPr>
          <w:b/>
        </w:rPr>
        <w:t xml:space="preserve"> </w:t>
      </w:r>
      <w:proofErr w:type="spellStart"/>
      <w:r>
        <w:rPr>
          <w:b/>
        </w:rPr>
        <w:t>of</w:t>
      </w:r>
      <w:proofErr w:type="spellEnd"/>
      <w:r>
        <w:rPr>
          <w:b/>
        </w:rPr>
        <w:t xml:space="preserve"> </w:t>
      </w:r>
      <w:proofErr w:type="spellStart"/>
      <w:r>
        <w:rPr>
          <w:b/>
        </w:rPr>
        <w:t>Applied</w:t>
      </w:r>
      <w:proofErr w:type="spellEnd"/>
      <w:r>
        <w:rPr>
          <w:b/>
        </w:rPr>
        <w:t xml:space="preserve"> </w:t>
      </w:r>
      <w:proofErr w:type="spellStart"/>
      <w:r>
        <w:rPr>
          <w:b/>
        </w:rPr>
        <w:t>Econometrics</w:t>
      </w:r>
      <w:proofErr w:type="spellEnd"/>
      <w:r>
        <w:t>, v.16, n.16, p. 59-80, 2001.</w:t>
      </w:r>
    </w:p>
    <w:p w14:paraId="21F08180" w14:textId="77777777" w:rsidR="00CF092F" w:rsidRPr="0051319F" w:rsidRDefault="00CF092F" w:rsidP="00BC6645">
      <w:r w:rsidRPr="00491162">
        <w:rPr>
          <w:lang w:val="en-US"/>
        </w:rPr>
        <w:t xml:space="preserve">FONSECA, M. C. P. </w:t>
      </w:r>
      <w:r w:rsidRPr="0051319F">
        <w:rPr>
          <w:b/>
          <w:bCs/>
        </w:rPr>
        <w:t xml:space="preserve">Opinião dos consumidores sobre os riscos alimentares à saúde: </w:t>
      </w:r>
      <w:r w:rsidRPr="0051319F">
        <w:t>o caso da carne bovina. 2004. 251 f. Tese (Doutorado) - Doutorado em Alimentos e Nutrição, Departamento de Alimentos e Nutrição, Universidade Estadual de Campinas, Campinas, 2004.</w:t>
      </w:r>
    </w:p>
    <w:p w14:paraId="22A4C832" w14:textId="77777777" w:rsidR="00CF092F" w:rsidRDefault="00CF092F" w:rsidP="00BC6645">
      <w:proofErr w:type="spellStart"/>
      <w:r>
        <w:t>GALLET</w:t>
      </w:r>
      <w:proofErr w:type="spellEnd"/>
      <w:r>
        <w:t xml:space="preserve">, </w:t>
      </w:r>
      <w:proofErr w:type="spellStart"/>
      <w:r>
        <w:t>C.A</w:t>
      </w:r>
      <w:proofErr w:type="spellEnd"/>
      <w:r>
        <w:t xml:space="preserve">. </w:t>
      </w:r>
      <w:proofErr w:type="spellStart"/>
      <w:r>
        <w:t>Meat</w:t>
      </w:r>
      <w:proofErr w:type="spellEnd"/>
      <w:r>
        <w:t xml:space="preserve"> </w:t>
      </w:r>
      <w:proofErr w:type="spellStart"/>
      <w:r>
        <w:t>meets</w:t>
      </w:r>
      <w:proofErr w:type="spellEnd"/>
      <w:r>
        <w:t xml:space="preserve"> meta: a </w:t>
      </w:r>
      <w:proofErr w:type="spellStart"/>
      <w:r>
        <w:t>quantitative</w:t>
      </w:r>
      <w:proofErr w:type="spellEnd"/>
      <w:r>
        <w:t xml:space="preserve"> </w:t>
      </w:r>
      <w:proofErr w:type="spellStart"/>
      <w:r>
        <w:t>review</w:t>
      </w:r>
      <w:proofErr w:type="spellEnd"/>
      <w:r>
        <w:t xml:space="preserve"> </w:t>
      </w:r>
      <w:proofErr w:type="spellStart"/>
      <w:r>
        <w:t>of</w:t>
      </w:r>
      <w:proofErr w:type="spellEnd"/>
      <w:r>
        <w:t xml:space="preserve"> </w:t>
      </w:r>
      <w:proofErr w:type="spellStart"/>
      <w:r>
        <w:t>the</w:t>
      </w:r>
      <w:proofErr w:type="spellEnd"/>
      <w:r>
        <w:t xml:space="preserve"> </w:t>
      </w:r>
      <w:proofErr w:type="spellStart"/>
      <w:r>
        <w:t>price</w:t>
      </w:r>
      <w:proofErr w:type="spellEnd"/>
      <w:r>
        <w:t xml:space="preserve"> </w:t>
      </w:r>
      <w:proofErr w:type="spellStart"/>
      <w:r>
        <w:t>elasticity</w:t>
      </w:r>
      <w:proofErr w:type="spellEnd"/>
      <w:r>
        <w:t xml:space="preserve"> </w:t>
      </w:r>
      <w:proofErr w:type="spellStart"/>
      <w:r>
        <w:t>of</w:t>
      </w:r>
      <w:proofErr w:type="spellEnd"/>
      <w:r>
        <w:t xml:space="preserve"> </w:t>
      </w:r>
      <w:proofErr w:type="spellStart"/>
      <w:r>
        <w:t>meat</w:t>
      </w:r>
      <w:proofErr w:type="spellEnd"/>
      <w:r>
        <w:t xml:space="preserve">. </w:t>
      </w:r>
      <w:r>
        <w:rPr>
          <w:b/>
        </w:rPr>
        <w:t xml:space="preserve">American </w:t>
      </w:r>
      <w:proofErr w:type="spellStart"/>
      <w:r>
        <w:rPr>
          <w:b/>
        </w:rPr>
        <w:t>Journal</w:t>
      </w:r>
      <w:proofErr w:type="spellEnd"/>
      <w:r>
        <w:rPr>
          <w:b/>
        </w:rPr>
        <w:t xml:space="preserve"> </w:t>
      </w:r>
      <w:proofErr w:type="spellStart"/>
      <w:r>
        <w:rPr>
          <w:b/>
        </w:rPr>
        <w:t>of</w:t>
      </w:r>
      <w:proofErr w:type="spellEnd"/>
      <w:r>
        <w:rPr>
          <w:b/>
        </w:rPr>
        <w:t xml:space="preserve"> </w:t>
      </w:r>
      <w:proofErr w:type="spellStart"/>
      <w:r>
        <w:rPr>
          <w:b/>
        </w:rPr>
        <w:t>Agricultural</w:t>
      </w:r>
      <w:proofErr w:type="spellEnd"/>
      <w:r>
        <w:rPr>
          <w:b/>
        </w:rPr>
        <w:t xml:space="preserve"> </w:t>
      </w:r>
      <w:proofErr w:type="spellStart"/>
      <w:r>
        <w:rPr>
          <w:b/>
        </w:rPr>
        <w:t>Economics</w:t>
      </w:r>
      <w:proofErr w:type="spellEnd"/>
      <w:r w:rsidRPr="00734A24">
        <w:t xml:space="preserve">, </w:t>
      </w:r>
      <w:r>
        <w:t>v. 92</w:t>
      </w:r>
      <w:r w:rsidRPr="00734A24">
        <w:t>, n.</w:t>
      </w:r>
      <w:r>
        <w:t xml:space="preserve"> 1</w:t>
      </w:r>
      <w:r w:rsidRPr="00734A24">
        <w:t xml:space="preserve">, p. </w:t>
      </w:r>
      <w:r>
        <w:t>258</w:t>
      </w:r>
      <w:r w:rsidRPr="00734A24">
        <w:t>-</w:t>
      </w:r>
      <w:r>
        <w:t>272</w:t>
      </w:r>
      <w:r w:rsidRPr="00734A24">
        <w:t>, 20</w:t>
      </w:r>
      <w:r>
        <w:t>09</w:t>
      </w:r>
      <w:r w:rsidRPr="00734A24">
        <w:t>.</w:t>
      </w:r>
    </w:p>
    <w:p w14:paraId="26A0DE96" w14:textId="77777777" w:rsidR="00CF092F" w:rsidRDefault="00CF092F" w:rsidP="00BC6645">
      <w:proofErr w:type="spellStart"/>
      <w:r>
        <w:lastRenderedPageBreak/>
        <w:t>GALLET</w:t>
      </w:r>
      <w:proofErr w:type="spellEnd"/>
      <w:r>
        <w:t xml:space="preserve">, </w:t>
      </w:r>
      <w:proofErr w:type="spellStart"/>
      <w:r>
        <w:t>C.A</w:t>
      </w:r>
      <w:proofErr w:type="spellEnd"/>
      <w:r>
        <w:t xml:space="preserve">. The </w:t>
      </w:r>
      <w:proofErr w:type="spellStart"/>
      <w:r>
        <w:t>income</w:t>
      </w:r>
      <w:proofErr w:type="spellEnd"/>
      <w:r>
        <w:t xml:space="preserve"> </w:t>
      </w:r>
      <w:proofErr w:type="spellStart"/>
      <w:r>
        <w:t>elasticity</w:t>
      </w:r>
      <w:proofErr w:type="spellEnd"/>
      <w:r>
        <w:t xml:space="preserve"> </w:t>
      </w:r>
      <w:proofErr w:type="spellStart"/>
      <w:r>
        <w:t>of</w:t>
      </w:r>
      <w:proofErr w:type="spellEnd"/>
      <w:r>
        <w:t xml:space="preserve"> </w:t>
      </w:r>
      <w:proofErr w:type="spellStart"/>
      <w:r>
        <w:t>meat</w:t>
      </w:r>
      <w:proofErr w:type="spellEnd"/>
      <w:r>
        <w:t xml:space="preserve">: a meta </w:t>
      </w:r>
      <w:proofErr w:type="spellStart"/>
      <w:r>
        <w:t>analysis</w:t>
      </w:r>
      <w:proofErr w:type="spellEnd"/>
      <w:r>
        <w:t xml:space="preserve">. </w:t>
      </w:r>
      <w:r>
        <w:rPr>
          <w:b/>
        </w:rPr>
        <w:t xml:space="preserve">The </w:t>
      </w:r>
      <w:proofErr w:type="spellStart"/>
      <w:r>
        <w:rPr>
          <w:b/>
        </w:rPr>
        <w:t>Autralian</w:t>
      </w:r>
      <w:proofErr w:type="spellEnd"/>
      <w:r>
        <w:rPr>
          <w:b/>
        </w:rPr>
        <w:t xml:space="preserve"> </w:t>
      </w:r>
      <w:proofErr w:type="spellStart"/>
      <w:r>
        <w:rPr>
          <w:b/>
        </w:rPr>
        <w:t>Journal</w:t>
      </w:r>
      <w:proofErr w:type="spellEnd"/>
      <w:r>
        <w:rPr>
          <w:b/>
        </w:rPr>
        <w:t xml:space="preserve"> </w:t>
      </w:r>
      <w:proofErr w:type="spellStart"/>
      <w:r>
        <w:rPr>
          <w:b/>
        </w:rPr>
        <w:t>of</w:t>
      </w:r>
      <w:proofErr w:type="spellEnd"/>
      <w:r>
        <w:rPr>
          <w:b/>
        </w:rPr>
        <w:t xml:space="preserve"> </w:t>
      </w:r>
      <w:proofErr w:type="spellStart"/>
      <w:r>
        <w:rPr>
          <w:b/>
        </w:rPr>
        <w:t>Agricultural</w:t>
      </w:r>
      <w:proofErr w:type="spellEnd"/>
      <w:r>
        <w:rPr>
          <w:b/>
        </w:rPr>
        <w:t xml:space="preserve"> </w:t>
      </w:r>
      <w:proofErr w:type="spellStart"/>
      <w:r>
        <w:rPr>
          <w:b/>
        </w:rPr>
        <w:t>and</w:t>
      </w:r>
      <w:proofErr w:type="spellEnd"/>
      <w:r>
        <w:rPr>
          <w:b/>
        </w:rPr>
        <w:t xml:space="preserve"> Resource </w:t>
      </w:r>
      <w:proofErr w:type="spellStart"/>
      <w:r>
        <w:rPr>
          <w:b/>
        </w:rPr>
        <w:t>Economics</w:t>
      </w:r>
      <w:proofErr w:type="spellEnd"/>
      <w:r w:rsidRPr="00734A24">
        <w:t>, v. 54, n.</w:t>
      </w:r>
      <w:r>
        <w:t xml:space="preserve"> 4</w:t>
      </w:r>
      <w:r w:rsidRPr="00734A24">
        <w:t>, p. 477-490, 2010.</w:t>
      </w:r>
    </w:p>
    <w:p w14:paraId="0487F1B8" w14:textId="77777777" w:rsidR="00CF092F" w:rsidRDefault="00CF092F" w:rsidP="00BC6645">
      <w:r>
        <w:t>GLYNN, T., OLYNK, N</w:t>
      </w:r>
      <w:r w:rsidR="00C42FCD">
        <w:t>.</w:t>
      </w:r>
      <w:r>
        <w:t xml:space="preserve"> </w:t>
      </w:r>
      <w:proofErr w:type="spellStart"/>
      <w:r>
        <w:t>Impacts</w:t>
      </w:r>
      <w:proofErr w:type="spellEnd"/>
      <w:r>
        <w:t xml:space="preserve"> </w:t>
      </w:r>
      <w:proofErr w:type="spellStart"/>
      <w:r>
        <w:t>of</w:t>
      </w:r>
      <w:proofErr w:type="spellEnd"/>
      <w:r>
        <w:t xml:space="preserve"> animal </w:t>
      </w:r>
      <w:proofErr w:type="spellStart"/>
      <w:r>
        <w:t>well-being</w:t>
      </w:r>
      <w:proofErr w:type="spellEnd"/>
      <w:r>
        <w:t xml:space="preserve"> </w:t>
      </w:r>
      <w:proofErr w:type="spellStart"/>
      <w:r>
        <w:t>and</w:t>
      </w:r>
      <w:proofErr w:type="spellEnd"/>
      <w:r>
        <w:t xml:space="preserve"> </w:t>
      </w:r>
      <w:proofErr w:type="spellStart"/>
      <w:r>
        <w:t>welfare</w:t>
      </w:r>
      <w:proofErr w:type="spellEnd"/>
      <w:r>
        <w:t xml:space="preserve"> media </w:t>
      </w:r>
      <w:proofErr w:type="spellStart"/>
      <w:r>
        <w:t>on</w:t>
      </w:r>
      <w:proofErr w:type="spellEnd"/>
      <w:r>
        <w:t xml:space="preserve"> </w:t>
      </w:r>
      <w:proofErr w:type="spellStart"/>
      <w:r>
        <w:t>meat</w:t>
      </w:r>
      <w:proofErr w:type="spellEnd"/>
      <w:r>
        <w:t xml:space="preserve"> </w:t>
      </w:r>
      <w:proofErr w:type="spellStart"/>
      <w:r>
        <w:t>demand</w:t>
      </w:r>
      <w:proofErr w:type="spellEnd"/>
      <w:r>
        <w:t xml:space="preserve">. </w:t>
      </w:r>
      <w:proofErr w:type="spellStart"/>
      <w:r w:rsidRPr="000E78A7">
        <w:rPr>
          <w:b/>
        </w:rPr>
        <w:t>Journal</w:t>
      </w:r>
      <w:proofErr w:type="spellEnd"/>
      <w:r w:rsidRPr="000E78A7">
        <w:rPr>
          <w:b/>
        </w:rPr>
        <w:t xml:space="preserve"> </w:t>
      </w:r>
      <w:proofErr w:type="spellStart"/>
      <w:r w:rsidRPr="000E78A7">
        <w:rPr>
          <w:b/>
        </w:rPr>
        <w:t>of</w:t>
      </w:r>
      <w:proofErr w:type="spellEnd"/>
      <w:r w:rsidRPr="000E78A7">
        <w:rPr>
          <w:b/>
        </w:rPr>
        <w:t xml:space="preserve"> </w:t>
      </w:r>
      <w:proofErr w:type="spellStart"/>
      <w:r w:rsidRPr="000E78A7">
        <w:rPr>
          <w:b/>
        </w:rPr>
        <w:t>Agricultural</w:t>
      </w:r>
      <w:proofErr w:type="spellEnd"/>
      <w:r w:rsidRPr="000E78A7">
        <w:rPr>
          <w:b/>
        </w:rPr>
        <w:t xml:space="preserve"> </w:t>
      </w:r>
      <w:proofErr w:type="spellStart"/>
      <w:r w:rsidRPr="000E78A7">
        <w:rPr>
          <w:b/>
        </w:rPr>
        <w:t>Economics</w:t>
      </w:r>
      <w:proofErr w:type="spellEnd"/>
      <w:r>
        <w:t>, v.62, p.59-72. 2011.</w:t>
      </w:r>
    </w:p>
    <w:p w14:paraId="6E50CF6C" w14:textId="77777777" w:rsidR="00CF092F" w:rsidRDefault="00CF092F" w:rsidP="00BC6645">
      <w:r>
        <w:t xml:space="preserve">GREENE, </w:t>
      </w:r>
      <w:proofErr w:type="spellStart"/>
      <w:r>
        <w:t>W.H</w:t>
      </w:r>
      <w:proofErr w:type="spellEnd"/>
      <w:r>
        <w:t xml:space="preserve">. </w:t>
      </w:r>
      <w:proofErr w:type="spellStart"/>
      <w:r w:rsidRPr="008F6834">
        <w:rPr>
          <w:b/>
        </w:rPr>
        <w:t>Econometric</w:t>
      </w:r>
      <w:proofErr w:type="spellEnd"/>
      <w:r w:rsidRPr="008F6834">
        <w:rPr>
          <w:b/>
        </w:rPr>
        <w:t xml:space="preserve"> </w:t>
      </w:r>
      <w:proofErr w:type="spellStart"/>
      <w:r w:rsidRPr="008F6834">
        <w:rPr>
          <w:b/>
        </w:rPr>
        <w:t>Analysis</w:t>
      </w:r>
      <w:proofErr w:type="spellEnd"/>
      <w:r>
        <w:t>, New Jersey: Prentice Hall, 2003.</w:t>
      </w:r>
    </w:p>
    <w:p w14:paraId="2D324930" w14:textId="77777777" w:rsidR="00CF092F" w:rsidRDefault="00CF092F" w:rsidP="00BC6645">
      <w:r>
        <w:t xml:space="preserve">GREENE, </w:t>
      </w:r>
      <w:proofErr w:type="spellStart"/>
      <w:r>
        <w:t>W.H</w:t>
      </w:r>
      <w:proofErr w:type="spellEnd"/>
      <w:r>
        <w:t xml:space="preserve">. </w:t>
      </w:r>
      <w:proofErr w:type="spellStart"/>
      <w:r w:rsidRPr="008F6834">
        <w:rPr>
          <w:b/>
        </w:rPr>
        <w:t>Econometric</w:t>
      </w:r>
      <w:proofErr w:type="spellEnd"/>
      <w:r w:rsidRPr="008F6834">
        <w:rPr>
          <w:b/>
        </w:rPr>
        <w:t xml:space="preserve"> </w:t>
      </w:r>
      <w:proofErr w:type="spellStart"/>
      <w:r w:rsidRPr="008F6834">
        <w:rPr>
          <w:b/>
        </w:rPr>
        <w:t>Analysis</w:t>
      </w:r>
      <w:proofErr w:type="spellEnd"/>
      <w:r>
        <w:t>, New Jersey: Prentice Hall, 2003.</w:t>
      </w:r>
    </w:p>
    <w:p w14:paraId="7D2E8017" w14:textId="77777777" w:rsidR="00CF092F" w:rsidRDefault="00CF092F" w:rsidP="00BC6645">
      <w:r>
        <w:t xml:space="preserve">IDEC – INSTITUTO BRASILEIRO DE DEFESA DO CONSUMIDOR (2007). ‘‘Leite adulterado era vendido para Parmalat e </w:t>
      </w:r>
      <w:proofErr w:type="spellStart"/>
      <w:r>
        <w:t>Calu</w:t>
      </w:r>
      <w:proofErr w:type="spellEnd"/>
      <w:r>
        <w:t>, diz PF”. &lt;http://www.idec.org.br/noticia.asp?id=9018&gt;. Acessado em 01/09/2012.</w:t>
      </w:r>
    </w:p>
    <w:p w14:paraId="7BF4E165" w14:textId="77777777" w:rsidR="00CF092F" w:rsidRPr="00CE5583" w:rsidRDefault="00CF092F" w:rsidP="00BC6645">
      <w:pPr>
        <w:ind w:left="576" w:hanging="576"/>
        <w:jc w:val="both"/>
      </w:pPr>
      <w:r w:rsidRPr="00A71F45">
        <w:t xml:space="preserve">IEA/SP, 2009. </w:t>
      </w:r>
      <w:r w:rsidRPr="00A62AFE">
        <w:rPr>
          <w:b/>
        </w:rPr>
        <w:t>Preços Mensais no Varejo.</w:t>
      </w:r>
      <w:r w:rsidRPr="00A62AFE">
        <w:t xml:space="preserve"> </w:t>
      </w:r>
      <w:r w:rsidRPr="00CE5583">
        <w:t xml:space="preserve">Disponível em </w:t>
      </w:r>
      <w:hyperlink r:id="rId103" w:history="1">
        <w:r w:rsidRPr="00CE5583">
          <w:rPr>
            <w:rStyle w:val="Hyperlink"/>
          </w:rPr>
          <w:t>http://ciagri.iea.sp.gov.br/bancoiea/Precos_Medios.aspx?cod_sis=4</w:t>
        </w:r>
      </w:hyperlink>
    </w:p>
    <w:p w14:paraId="7C77E762" w14:textId="77777777" w:rsidR="00CF092F" w:rsidRPr="00C07F85" w:rsidRDefault="00CF092F" w:rsidP="00BC6645">
      <w:r>
        <w:t>IEA/SP, 2012</w:t>
      </w:r>
      <w:r w:rsidRPr="00A71F45">
        <w:t xml:space="preserve">. </w:t>
      </w:r>
      <w:r w:rsidRPr="00A62AFE">
        <w:rPr>
          <w:b/>
        </w:rPr>
        <w:t>Preços Mensais no Varejo.</w:t>
      </w:r>
      <w:r w:rsidRPr="00A62AFE">
        <w:t xml:space="preserve"> </w:t>
      </w:r>
      <w:r w:rsidRPr="00CE5583">
        <w:t xml:space="preserve">Disponível em </w:t>
      </w:r>
      <w:hyperlink r:id="rId104" w:history="1">
        <w:r w:rsidRPr="00CE5583">
          <w:rPr>
            <w:rStyle w:val="Hyperlink"/>
          </w:rPr>
          <w:t>http://ciagri.iea.sp.gov.br/bancoiea/Precos_Medios.aspx?cod_sis=4</w:t>
        </w:r>
      </w:hyperlink>
    </w:p>
    <w:p w14:paraId="1EF49902" w14:textId="77777777" w:rsidR="00CF092F" w:rsidRDefault="00CF092F" w:rsidP="00BC6645">
      <w:r>
        <w:t xml:space="preserve">IPEADATA, 2012. </w:t>
      </w:r>
      <w:proofErr w:type="spellStart"/>
      <w:r w:rsidRPr="00A62AFE">
        <w:rPr>
          <w:b/>
        </w:rPr>
        <w:t>Ipeadata</w:t>
      </w:r>
      <w:proofErr w:type="spellEnd"/>
      <w:r>
        <w:t xml:space="preserve">. </w:t>
      </w:r>
      <w:proofErr w:type="spellStart"/>
      <w:r w:rsidRPr="003828A4">
        <w:t>Available</w:t>
      </w:r>
      <w:proofErr w:type="spellEnd"/>
      <w:r w:rsidRPr="003828A4">
        <w:t xml:space="preserve"> </w:t>
      </w:r>
      <w:proofErr w:type="spellStart"/>
      <w:r w:rsidRPr="003828A4">
        <w:t>at</w:t>
      </w:r>
      <w:proofErr w:type="spellEnd"/>
      <w:r>
        <w:t xml:space="preserve"> </w:t>
      </w:r>
      <w:hyperlink r:id="rId105" w:history="1">
        <w:r w:rsidRPr="00F623DA">
          <w:rPr>
            <w:rStyle w:val="Hyperlink"/>
          </w:rPr>
          <w:t>http://www.ipeadata.gov.br/</w:t>
        </w:r>
      </w:hyperlink>
    </w:p>
    <w:p w14:paraId="289EA5B0" w14:textId="77777777" w:rsidR="00CF092F" w:rsidRPr="00B9074D" w:rsidRDefault="00CF092F" w:rsidP="00BC6645">
      <w:pPr>
        <w:rPr>
          <w:rFonts w:ascii="TimesNewRoman" w:hAnsi="TimesNewRoman" w:cs="TimesNewRoman"/>
        </w:rPr>
      </w:pPr>
      <w:r w:rsidRPr="00B9074D">
        <w:rPr>
          <w:rFonts w:ascii="TimesNewRoman" w:hAnsi="TimesNewRoman" w:cs="TimesNewRoman"/>
        </w:rPr>
        <w:t xml:space="preserve">ITALIANER, A. </w:t>
      </w:r>
      <w:r>
        <w:rPr>
          <w:rFonts w:ascii="TimesNewRoman" w:hAnsi="TimesNewRoman" w:cs="TimesNewRoman"/>
        </w:rPr>
        <w:t>A</w:t>
      </w:r>
      <w:r w:rsidRPr="00B9074D">
        <w:rPr>
          <w:rFonts w:ascii="TimesNewRoman" w:hAnsi="TimesNewRoman" w:cs="TimesNewRoman"/>
        </w:rPr>
        <w:t xml:space="preserve"> </w:t>
      </w:r>
      <w:proofErr w:type="spellStart"/>
      <w:r w:rsidRPr="00B9074D">
        <w:rPr>
          <w:rFonts w:ascii="TimesNewRoman" w:hAnsi="TimesNewRoman" w:cs="TimesNewRoman"/>
        </w:rPr>
        <w:t>small-sample</w:t>
      </w:r>
      <w:proofErr w:type="spellEnd"/>
      <w:r w:rsidRPr="00B9074D">
        <w:rPr>
          <w:rFonts w:ascii="TimesNewRoman" w:hAnsi="TimesNewRoman" w:cs="TimesNewRoman"/>
        </w:rPr>
        <w:t xml:space="preserve"> </w:t>
      </w:r>
      <w:proofErr w:type="spellStart"/>
      <w:r w:rsidRPr="00B9074D">
        <w:rPr>
          <w:rFonts w:ascii="TimesNewRoman" w:hAnsi="TimesNewRoman" w:cs="TimesNewRoman"/>
        </w:rPr>
        <w:t>correction</w:t>
      </w:r>
      <w:proofErr w:type="spellEnd"/>
      <w:r w:rsidRPr="00B9074D">
        <w:rPr>
          <w:rFonts w:ascii="TimesNewRoman" w:hAnsi="TimesNewRoman" w:cs="TimesNewRoman"/>
        </w:rPr>
        <w:t xml:space="preserve"> for </w:t>
      </w:r>
      <w:proofErr w:type="spellStart"/>
      <w:r w:rsidRPr="00B9074D">
        <w:rPr>
          <w:rFonts w:ascii="TimesNewRoman" w:hAnsi="TimesNewRoman" w:cs="TimesNewRoman"/>
        </w:rPr>
        <w:t>the</w:t>
      </w:r>
      <w:proofErr w:type="spellEnd"/>
      <w:r w:rsidRPr="00B9074D">
        <w:rPr>
          <w:rFonts w:ascii="TimesNewRoman" w:hAnsi="TimesNewRoman" w:cs="TimesNewRoman"/>
        </w:rPr>
        <w:t xml:space="preserve"> </w:t>
      </w:r>
      <w:proofErr w:type="spellStart"/>
      <w:r w:rsidRPr="00B9074D">
        <w:rPr>
          <w:rFonts w:ascii="TimesNewRoman" w:hAnsi="TimesNewRoman" w:cs="TimesNewRoman"/>
        </w:rPr>
        <w:t>likelihood</w:t>
      </w:r>
      <w:proofErr w:type="spellEnd"/>
      <w:r w:rsidRPr="00B9074D">
        <w:rPr>
          <w:rFonts w:ascii="TimesNewRoman" w:hAnsi="TimesNewRoman" w:cs="TimesNewRoman"/>
        </w:rPr>
        <w:t xml:space="preserve"> </w:t>
      </w:r>
      <w:proofErr w:type="spellStart"/>
      <w:r w:rsidRPr="00B9074D">
        <w:rPr>
          <w:rFonts w:ascii="TimesNewRoman" w:hAnsi="TimesNewRoman" w:cs="TimesNewRoman"/>
        </w:rPr>
        <w:t>ratio</w:t>
      </w:r>
      <w:proofErr w:type="spellEnd"/>
      <w:r w:rsidRPr="00B9074D">
        <w:rPr>
          <w:rFonts w:ascii="TimesNewRoman" w:hAnsi="TimesNewRoman" w:cs="TimesNewRoman"/>
        </w:rPr>
        <w:t xml:space="preserve"> test. </w:t>
      </w:r>
      <w:proofErr w:type="spellStart"/>
      <w:r w:rsidRPr="00B9074D">
        <w:rPr>
          <w:rFonts w:ascii="TimesNewRoman" w:hAnsi="TimesNewRoman" w:cs="TimesNewRoman"/>
          <w:b/>
        </w:rPr>
        <w:t>Economics</w:t>
      </w:r>
      <w:proofErr w:type="spellEnd"/>
      <w:r w:rsidRPr="00B9074D">
        <w:rPr>
          <w:rFonts w:ascii="TimesNewRoman" w:hAnsi="TimesNewRoman" w:cs="TimesNewRoman"/>
          <w:b/>
        </w:rPr>
        <w:t xml:space="preserve"> </w:t>
      </w:r>
      <w:proofErr w:type="spellStart"/>
      <w:r w:rsidRPr="00B9074D">
        <w:rPr>
          <w:rFonts w:ascii="TimesNewRoman" w:hAnsi="TimesNewRoman" w:cs="TimesNewRoman"/>
          <w:b/>
        </w:rPr>
        <w:t>Letters</w:t>
      </w:r>
      <w:proofErr w:type="spellEnd"/>
      <w:r w:rsidRPr="00B9074D">
        <w:rPr>
          <w:rFonts w:ascii="TimesNewRoman" w:hAnsi="TimesNewRoman" w:cs="TimesNewRoman"/>
        </w:rPr>
        <w:t xml:space="preserve">, v.19, n.4 , p. 315-17, </w:t>
      </w:r>
      <w:r>
        <w:rPr>
          <w:rFonts w:ascii="TimesNewRoman" w:hAnsi="TimesNewRoman" w:cs="TimesNewRoman"/>
        </w:rPr>
        <w:t>1975</w:t>
      </w:r>
      <w:r w:rsidRPr="00B9074D">
        <w:rPr>
          <w:rFonts w:ascii="TimesNewRoman" w:hAnsi="TimesNewRoman" w:cs="TimesNewRoman"/>
        </w:rPr>
        <w:t>.</w:t>
      </w:r>
    </w:p>
    <w:p w14:paraId="6947211C" w14:textId="77777777" w:rsidR="00CF092F" w:rsidRDefault="00CF092F" w:rsidP="00BC6645">
      <w:r>
        <w:t>JONGE, J., TRIJP H. V., RENES, R. J., FREWER, L. J</w:t>
      </w:r>
      <w:r w:rsidR="00C42FCD">
        <w:t>.</w:t>
      </w:r>
      <w:r>
        <w:t xml:space="preserve"> </w:t>
      </w:r>
      <w:proofErr w:type="spellStart"/>
      <w:r>
        <w:t>Consumer</w:t>
      </w:r>
      <w:proofErr w:type="spellEnd"/>
      <w:r>
        <w:t xml:space="preserve"> </w:t>
      </w:r>
      <w:proofErr w:type="spellStart"/>
      <w:r>
        <w:t>confidence</w:t>
      </w:r>
      <w:proofErr w:type="spellEnd"/>
      <w:r>
        <w:t xml:space="preserve"> in </w:t>
      </w:r>
      <w:proofErr w:type="spellStart"/>
      <w:r>
        <w:t>the</w:t>
      </w:r>
      <w:proofErr w:type="spellEnd"/>
      <w:r>
        <w:t xml:space="preserve"> </w:t>
      </w:r>
      <w:proofErr w:type="spellStart"/>
      <w:r>
        <w:t>safety</w:t>
      </w:r>
      <w:proofErr w:type="spellEnd"/>
      <w:r>
        <w:t xml:space="preserve"> </w:t>
      </w:r>
      <w:proofErr w:type="spellStart"/>
      <w:r>
        <w:t>of</w:t>
      </w:r>
      <w:proofErr w:type="spellEnd"/>
      <w:r>
        <w:t xml:space="preserve"> </w:t>
      </w:r>
      <w:proofErr w:type="spellStart"/>
      <w:r>
        <w:t>food</w:t>
      </w:r>
      <w:proofErr w:type="spellEnd"/>
      <w:r>
        <w:t xml:space="preserve"> </w:t>
      </w:r>
      <w:proofErr w:type="spellStart"/>
      <w:r>
        <w:t>and</w:t>
      </w:r>
      <w:proofErr w:type="spellEnd"/>
      <w:r>
        <w:t xml:space="preserve"> </w:t>
      </w:r>
      <w:proofErr w:type="spellStart"/>
      <w:r>
        <w:t>newspaper</w:t>
      </w:r>
      <w:proofErr w:type="spellEnd"/>
      <w:r>
        <w:t xml:space="preserve"> </w:t>
      </w:r>
      <w:proofErr w:type="spellStart"/>
      <w:r>
        <w:t>coverage</w:t>
      </w:r>
      <w:proofErr w:type="spellEnd"/>
      <w:r>
        <w:t xml:space="preserve"> </w:t>
      </w:r>
      <w:proofErr w:type="spellStart"/>
      <w:r>
        <w:t>of</w:t>
      </w:r>
      <w:proofErr w:type="spellEnd"/>
      <w:r>
        <w:t xml:space="preserve"> </w:t>
      </w:r>
      <w:proofErr w:type="spellStart"/>
      <w:r>
        <w:t>food</w:t>
      </w:r>
      <w:proofErr w:type="spellEnd"/>
      <w:r>
        <w:t xml:space="preserve"> </w:t>
      </w:r>
      <w:proofErr w:type="spellStart"/>
      <w:r>
        <w:t>safety</w:t>
      </w:r>
      <w:proofErr w:type="spellEnd"/>
      <w:r>
        <w:t xml:space="preserve"> </w:t>
      </w:r>
      <w:proofErr w:type="spellStart"/>
      <w:r>
        <w:t>issues</w:t>
      </w:r>
      <w:proofErr w:type="spellEnd"/>
      <w:r>
        <w:t xml:space="preserve">: A longitudinal perspective. </w:t>
      </w:r>
      <w:proofErr w:type="spellStart"/>
      <w:r w:rsidRPr="000E78A7">
        <w:rPr>
          <w:b/>
        </w:rPr>
        <w:t>Risk</w:t>
      </w:r>
      <w:proofErr w:type="spellEnd"/>
      <w:r w:rsidRPr="000E78A7">
        <w:rPr>
          <w:b/>
        </w:rPr>
        <w:t xml:space="preserve"> </w:t>
      </w:r>
      <w:proofErr w:type="spellStart"/>
      <w:r w:rsidRPr="000E78A7">
        <w:rPr>
          <w:b/>
        </w:rPr>
        <w:t>Analysis</w:t>
      </w:r>
      <w:proofErr w:type="spellEnd"/>
      <w:r>
        <w:t>, vol. 30, No. 1, p. 125-142, 2010.</w:t>
      </w:r>
    </w:p>
    <w:p w14:paraId="68CE16A5" w14:textId="77777777" w:rsidR="00CF092F" w:rsidRDefault="00CF092F" w:rsidP="00BC6645">
      <w:r>
        <w:t xml:space="preserve">LEWBEL, A., NG, S. </w:t>
      </w:r>
      <w:proofErr w:type="spellStart"/>
      <w:r>
        <w:t>Demand</w:t>
      </w:r>
      <w:proofErr w:type="spellEnd"/>
      <w:r>
        <w:t xml:space="preserve"> systems </w:t>
      </w:r>
      <w:proofErr w:type="spellStart"/>
      <w:r>
        <w:t>with</w:t>
      </w:r>
      <w:proofErr w:type="spellEnd"/>
      <w:r>
        <w:t xml:space="preserve"> nonstationary </w:t>
      </w:r>
      <w:proofErr w:type="spellStart"/>
      <w:r>
        <w:t>prices</w:t>
      </w:r>
      <w:proofErr w:type="spellEnd"/>
      <w:r>
        <w:t xml:space="preserve">. </w:t>
      </w:r>
      <w:proofErr w:type="spellStart"/>
      <w:r>
        <w:rPr>
          <w:b/>
        </w:rPr>
        <w:t>Review</w:t>
      </w:r>
      <w:proofErr w:type="spellEnd"/>
      <w:r>
        <w:rPr>
          <w:b/>
        </w:rPr>
        <w:t xml:space="preserve"> </w:t>
      </w:r>
      <w:proofErr w:type="spellStart"/>
      <w:r>
        <w:rPr>
          <w:b/>
        </w:rPr>
        <w:t>of</w:t>
      </w:r>
      <w:proofErr w:type="spellEnd"/>
      <w:r>
        <w:rPr>
          <w:b/>
        </w:rPr>
        <w:t xml:space="preserve"> </w:t>
      </w:r>
      <w:proofErr w:type="spellStart"/>
      <w:r>
        <w:rPr>
          <w:b/>
        </w:rPr>
        <w:t>Economics</w:t>
      </w:r>
      <w:proofErr w:type="spellEnd"/>
      <w:r>
        <w:rPr>
          <w:b/>
        </w:rPr>
        <w:t xml:space="preserve"> </w:t>
      </w:r>
      <w:proofErr w:type="spellStart"/>
      <w:r>
        <w:rPr>
          <w:b/>
        </w:rPr>
        <w:t>and</w:t>
      </w:r>
      <w:proofErr w:type="spellEnd"/>
      <w:r>
        <w:rPr>
          <w:b/>
        </w:rPr>
        <w:t xml:space="preserve"> </w:t>
      </w:r>
      <w:proofErr w:type="spellStart"/>
      <w:r>
        <w:rPr>
          <w:b/>
        </w:rPr>
        <w:t>Statistics</w:t>
      </w:r>
      <w:proofErr w:type="spellEnd"/>
      <w:r w:rsidRPr="00215398">
        <w:t xml:space="preserve">, </w:t>
      </w:r>
      <w:r>
        <w:t xml:space="preserve">v. </w:t>
      </w:r>
      <w:r w:rsidRPr="00215398">
        <w:t>87</w:t>
      </w:r>
      <w:r>
        <w:t xml:space="preserve">, n. </w:t>
      </w:r>
      <w:r w:rsidRPr="00215398">
        <w:t>3</w:t>
      </w:r>
      <w:r>
        <w:t>, p. 479-494, 2005.</w:t>
      </w:r>
    </w:p>
    <w:p w14:paraId="4547B239" w14:textId="77777777" w:rsidR="00CF092F" w:rsidRDefault="00CF092F" w:rsidP="00BC6645">
      <w:r>
        <w:t>MACKINNON, J. G</w:t>
      </w:r>
      <w:r w:rsidR="00C42FCD">
        <w:t>.</w:t>
      </w:r>
      <w:r>
        <w:t xml:space="preserve"> </w:t>
      </w:r>
      <w:proofErr w:type="spellStart"/>
      <w:r>
        <w:t>Numerical</w:t>
      </w:r>
      <w:proofErr w:type="spellEnd"/>
      <w:r>
        <w:t xml:space="preserve"> </w:t>
      </w:r>
      <w:proofErr w:type="spellStart"/>
      <w:r>
        <w:t>distribution</w:t>
      </w:r>
      <w:proofErr w:type="spellEnd"/>
      <w:r>
        <w:t xml:space="preserve"> </w:t>
      </w:r>
      <w:proofErr w:type="spellStart"/>
      <w:r>
        <w:t>functions</w:t>
      </w:r>
      <w:proofErr w:type="spellEnd"/>
      <w:r>
        <w:t xml:space="preserve"> for </w:t>
      </w:r>
      <w:proofErr w:type="spellStart"/>
      <w:r>
        <w:t>unit</w:t>
      </w:r>
      <w:proofErr w:type="spellEnd"/>
      <w:r>
        <w:t xml:space="preserve"> root </w:t>
      </w:r>
      <w:proofErr w:type="spellStart"/>
      <w:r>
        <w:t>and</w:t>
      </w:r>
      <w:proofErr w:type="spellEnd"/>
      <w:r>
        <w:t xml:space="preserve"> cointegration </w:t>
      </w:r>
      <w:proofErr w:type="spellStart"/>
      <w:r>
        <w:t>tests</w:t>
      </w:r>
      <w:proofErr w:type="spellEnd"/>
      <w:r>
        <w:t xml:space="preserve">. </w:t>
      </w:r>
      <w:proofErr w:type="spellStart"/>
      <w:r w:rsidRPr="00CE5583">
        <w:rPr>
          <w:b/>
        </w:rPr>
        <w:t>Journal</w:t>
      </w:r>
      <w:proofErr w:type="spellEnd"/>
      <w:r w:rsidRPr="00CE5583">
        <w:rPr>
          <w:b/>
        </w:rPr>
        <w:t xml:space="preserve"> </w:t>
      </w:r>
      <w:proofErr w:type="spellStart"/>
      <w:r w:rsidRPr="00CE5583">
        <w:rPr>
          <w:b/>
        </w:rPr>
        <w:t>of</w:t>
      </w:r>
      <w:proofErr w:type="spellEnd"/>
      <w:r w:rsidRPr="00CE5583">
        <w:rPr>
          <w:b/>
        </w:rPr>
        <w:t xml:space="preserve"> </w:t>
      </w:r>
      <w:proofErr w:type="spellStart"/>
      <w:r w:rsidRPr="00CE5583">
        <w:rPr>
          <w:b/>
        </w:rPr>
        <w:t>Applied</w:t>
      </w:r>
      <w:proofErr w:type="spellEnd"/>
      <w:r w:rsidRPr="00CE5583">
        <w:rPr>
          <w:b/>
        </w:rPr>
        <w:t xml:space="preserve"> </w:t>
      </w:r>
      <w:proofErr w:type="spellStart"/>
      <w:r w:rsidRPr="00CE5583">
        <w:rPr>
          <w:b/>
        </w:rPr>
        <w:t>Econometrics</w:t>
      </w:r>
      <w:proofErr w:type="spellEnd"/>
      <w:r>
        <w:t>, v. 11, n. 6, p. 601-18, 1996.</w:t>
      </w:r>
    </w:p>
    <w:p w14:paraId="6A8D1F54" w14:textId="77777777" w:rsidR="00CF092F" w:rsidRPr="00783DD6" w:rsidRDefault="00CF092F" w:rsidP="00BC6645">
      <w:r>
        <w:t>MAS-COLLEL, A.</w:t>
      </w:r>
      <w:r w:rsidRPr="00783DD6">
        <w:t>, WHINSTO</w:t>
      </w:r>
      <w:r>
        <w:t>N, M. D., GREEN, J.</w:t>
      </w:r>
      <w:r w:rsidRPr="00783DD6">
        <w:t xml:space="preserve"> R</w:t>
      </w:r>
      <w:r w:rsidR="00C42FCD">
        <w:t>.</w:t>
      </w:r>
      <w:r w:rsidRPr="00783DD6">
        <w:t xml:space="preserve"> </w:t>
      </w:r>
      <w:proofErr w:type="spellStart"/>
      <w:r w:rsidRPr="00783DD6">
        <w:rPr>
          <w:b/>
        </w:rPr>
        <w:t>Microeconomic</w:t>
      </w:r>
      <w:proofErr w:type="spellEnd"/>
      <w:r w:rsidRPr="00783DD6">
        <w:rPr>
          <w:b/>
        </w:rPr>
        <w:t xml:space="preserve"> </w:t>
      </w:r>
      <w:proofErr w:type="spellStart"/>
      <w:r w:rsidRPr="00783DD6">
        <w:rPr>
          <w:b/>
        </w:rPr>
        <w:t>Theory</w:t>
      </w:r>
      <w:proofErr w:type="spellEnd"/>
      <w:r w:rsidRPr="00783DD6">
        <w:t xml:space="preserve">, Oxford </w:t>
      </w:r>
      <w:proofErr w:type="spellStart"/>
      <w:r w:rsidRPr="00783DD6">
        <w:t>University</w:t>
      </w:r>
      <w:proofErr w:type="spellEnd"/>
      <w:r w:rsidRPr="00783DD6">
        <w:t xml:space="preserve"> Press, 1995.  </w:t>
      </w:r>
    </w:p>
    <w:p w14:paraId="42F7C590" w14:textId="77777777" w:rsidR="00CF092F" w:rsidRPr="00491162" w:rsidRDefault="00CF092F" w:rsidP="00BC6645">
      <w:pPr>
        <w:rPr>
          <w:lang w:val="en-US"/>
        </w:rPr>
      </w:pPr>
      <w:r w:rsidRPr="00C46BF7">
        <w:t xml:space="preserve">MAZZOCCHI, M., STEFANI, G., HENSON, </w:t>
      </w:r>
      <w:proofErr w:type="spellStart"/>
      <w:r w:rsidRPr="00C46BF7">
        <w:t>S.J</w:t>
      </w:r>
      <w:proofErr w:type="spellEnd"/>
      <w:r w:rsidR="00C42FCD">
        <w:t>.</w:t>
      </w:r>
      <w:r w:rsidRPr="00C46BF7">
        <w:t xml:space="preserve"> </w:t>
      </w:r>
      <w:r>
        <w:t>C</w:t>
      </w:r>
      <w:proofErr w:type="spellStart"/>
      <w:r w:rsidRPr="00491162">
        <w:rPr>
          <w:lang w:val="en-US"/>
        </w:rPr>
        <w:t>onsumer</w:t>
      </w:r>
      <w:proofErr w:type="spellEnd"/>
      <w:r w:rsidRPr="00491162">
        <w:rPr>
          <w:lang w:val="en-US"/>
        </w:rPr>
        <w:t xml:space="preserve"> welfare and the loss induced by withholding inform</w:t>
      </w:r>
      <w:r>
        <w:rPr>
          <w:lang w:val="en-US"/>
        </w:rPr>
        <w:t>ation: the case of BSE in Italy.</w:t>
      </w:r>
      <w:r w:rsidRPr="00491162">
        <w:rPr>
          <w:b/>
          <w:lang w:val="en-US"/>
        </w:rPr>
        <w:t xml:space="preserve"> </w:t>
      </w:r>
      <w:proofErr w:type="gramStart"/>
      <w:r w:rsidRPr="00491162">
        <w:rPr>
          <w:b/>
          <w:lang w:val="en-US"/>
        </w:rPr>
        <w:t>Journal of Agricultural Economics</w:t>
      </w:r>
      <w:r w:rsidRPr="00491162">
        <w:rPr>
          <w:lang w:val="en-US"/>
        </w:rPr>
        <w:t>, v. 55, p. 41-58, 2004.</w:t>
      </w:r>
      <w:proofErr w:type="gramEnd"/>
    </w:p>
    <w:p w14:paraId="3662FC4E" w14:textId="77777777" w:rsidR="00CF092F" w:rsidRDefault="00CF092F" w:rsidP="00BC6645">
      <w:r w:rsidRPr="002E6E59">
        <w:t>MOSCHINI</w:t>
      </w:r>
      <w:r w:rsidRPr="00CE5583">
        <w:t xml:space="preserve">, G., MORO, D., GREEN, R. </w:t>
      </w:r>
      <w:proofErr w:type="spellStart"/>
      <w:r w:rsidRPr="00CE5583">
        <w:t>Maintaining</w:t>
      </w:r>
      <w:proofErr w:type="spellEnd"/>
      <w:r w:rsidRPr="00CE5583">
        <w:t xml:space="preserve"> </w:t>
      </w:r>
      <w:proofErr w:type="spellStart"/>
      <w:r w:rsidRPr="00CE5583">
        <w:t>and</w:t>
      </w:r>
      <w:proofErr w:type="spellEnd"/>
      <w:r w:rsidRPr="00CE5583">
        <w:t xml:space="preserve"> </w:t>
      </w:r>
      <w:proofErr w:type="spellStart"/>
      <w:r>
        <w:t>t</w:t>
      </w:r>
      <w:r w:rsidRPr="00CE5583">
        <w:t>esting</w:t>
      </w:r>
      <w:proofErr w:type="spellEnd"/>
      <w:r w:rsidRPr="00CE5583">
        <w:t xml:space="preserve"> </w:t>
      </w:r>
      <w:proofErr w:type="spellStart"/>
      <w:r>
        <w:t>s</w:t>
      </w:r>
      <w:r w:rsidRPr="00CE5583">
        <w:t>eparability</w:t>
      </w:r>
      <w:proofErr w:type="spellEnd"/>
      <w:r w:rsidRPr="00CE5583">
        <w:t xml:space="preserve"> in </w:t>
      </w:r>
      <w:proofErr w:type="spellStart"/>
      <w:r>
        <w:t>d</w:t>
      </w:r>
      <w:r w:rsidRPr="00CE5583">
        <w:t>emand</w:t>
      </w:r>
      <w:proofErr w:type="spellEnd"/>
      <w:r>
        <w:t xml:space="preserve"> s</w:t>
      </w:r>
      <w:r w:rsidRPr="00CE5583">
        <w:t xml:space="preserve">ystem. </w:t>
      </w:r>
      <w:r w:rsidRPr="00CE5583">
        <w:rPr>
          <w:b/>
        </w:rPr>
        <w:t xml:space="preserve">American </w:t>
      </w:r>
      <w:proofErr w:type="spellStart"/>
      <w:r w:rsidRPr="00CE5583">
        <w:rPr>
          <w:b/>
        </w:rPr>
        <w:t>Journal</w:t>
      </w:r>
      <w:proofErr w:type="spellEnd"/>
      <w:r w:rsidRPr="00CE5583">
        <w:rPr>
          <w:b/>
        </w:rPr>
        <w:t xml:space="preserve"> </w:t>
      </w:r>
      <w:proofErr w:type="spellStart"/>
      <w:r w:rsidRPr="00CE5583">
        <w:rPr>
          <w:b/>
        </w:rPr>
        <w:t>of</w:t>
      </w:r>
      <w:proofErr w:type="spellEnd"/>
      <w:r w:rsidRPr="00CE5583">
        <w:rPr>
          <w:b/>
        </w:rPr>
        <w:t xml:space="preserve"> </w:t>
      </w:r>
      <w:proofErr w:type="spellStart"/>
      <w:r w:rsidRPr="00CE5583">
        <w:rPr>
          <w:b/>
        </w:rPr>
        <w:t>Agricultural</w:t>
      </w:r>
      <w:proofErr w:type="spellEnd"/>
      <w:r w:rsidRPr="00CE5583">
        <w:rPr>
          <w:b/>
        </w:rPr>
        <w:t xml:space="preserve"> </w:t>
      </w:r>
      <w:proofErr w:type="spellStart"/>
      <w:r w:rsidRPr="00CE5583">
        <w:rPr>
          <w:b/>
        </w:rPr>
        <w:t>Economics</w:t>
      </w:r>
      <w:proofErr w:type="spellEnd"/>
      <w:r w:rsidRPr="00CE5583">
        <w:t>, v.76, n.1, p.61-73, 1994.</w:t>
      </w:r>
    </w:p>
    <w:p w14:paraId="0E7611C2" w14:textId="77777777" w:rsidR="00CF092F" w:rsidRDefault="00CF092F" w:rsidP="00BC6645">
      <w:r w:rsidRPr="009F0C44">
        <w:t>PHILLIPS</w:t>
      </w:r>
      <w:r>
        <w:t xml:space="preserve">, </w:t>
      </w:r>
      <w:r w:rsidRPr="009F0C44">
        <w:t>P</w:t>
      </w:r>
      <w:r>
        <w:t>.</w:t>
      </w:r>
      <w:r w:rsidRPr="009F0C44">
        <w:t xml:space="preserve"> C. B., PERRON</w:t>
      </w:r>
      <w:r>
        <w:t>, P.</w:t>
      </w:r>
      <w:r w:rsidRPr="009F0C44">
        <w:t xml:space="preserve"> </w:t>
      </w:r>
      <w:proofErr w:type="spellStart"/>
      <w:r w:rsidRPr="00CE5583">
        <w:t>Testing</w:t>
      </w:r>
      <w:proofErr w:type="spellEnd"/>
      <w:r w:rsidRPr="00CE5583">
        <w:t xml:space="preserve"> for a </w:t>
      </w:r>
      <w:proofErr w:type="spellStart"/>
      <w:r w:rsidRPr="00CE5583">
        <w:t>unit</w:t>
      </w:r>
      <w:proofErr w:type="spellEnd"/>
      <w:r w:rsidRPr="00CE5583">
        <w:t xml:space="preserve"> root in time series </w:t>
      </w:r>
      <w:proofErr w:type="spellStart"/>
      <w:r w:rsidRPr="00CE5583">
        <w:t>regression</w:t>
      </w:r>
      <w:proofErr w:type="spellEnd"/>
      <w:r>
        <w:t>.</w:t>
      </w:r>
      <w:r w:rsidRPr="009F0C44">
        <w:t xml:space="preserve"> </w:t>
      </w:r>
      <w:proofErr w:type="spellStart"/>
      <w:r w:rsidRPr="00C62D7A">
        <w:rPr>
          <w:b/>
        </w:rPr>
        <w:t>Biometrika</w:t>
      </w:r>
      <w:proofErr w:type="spellEnd"/>
      <w:r>
        <w:t>, v.</w:t>
      </w:r>
      <w:r w:rsidRPr="009F0C44">
        <w:t>75</w:t>
      </w:r>
      <w:r>
        <w:t>, n. 2,</w:t>
      </w:r>
      <w:r w:rsidRPr="009F0C44">
        <w:t xml:space="preserve"> p. 335-46. </w:t>
      </w:r>
    </w:p>
    <w:p w14:paraId="6293F5A6" w14:textId="77777777" w:rsidR="00CF092F" w:rsidRPr="00C62D7A" w:rsidRDefault="00CF092F" w:rsidP="00BC6645">
      <w:r w:rsidRPr="009F0C44">
        <w:t>PHILLIPS, P</w:t>
      </w:r>
      <w:r>
        <w:t xml:space="preserve">. </w:t>
      </w:r>
      <w:r w:rsidRPr="009F0C44">
        <w:t>C</w:t>
      </w:r>
      <w:r>
        <w:t xml:space="preserve">. </w:t>
      </w:r>
      <w:r w:rsidRPr="009F0C44">
        <w:t>B</w:t>
      </w:r>
      <w:r w:rsidR="00C42FCD">
        <w:t>.</w:t>
      </w:r>
      <w:r w:rsidRPr="009F0C44">
        <w:t xml:space="preserve"> Time </w:t>
      </w:r>
      <w:r>
        <w:t>s</w:t>
      </w:r>
      <w:r w:rsidRPr="009F0C44">
        <w:t xml:space="preserve">eries </w:t>
      </w:r>
      <w:proofErr w:type="spellStart"/>
      <w:r>
        <w:t>r</w:t>
      </w:r>
      <w:r w:rsidRPr="009F0C44">
        <w:t>egression</w:t>
      </w:r>
      <w:proofErr w:type="spellEnd"/>
      <w:r w:rsidRPr="009F0C44">
        <w:t xml:space="preserve"> </w:t>
      </w:r>
      <w:proofErr w:type="spellStart"/>
      <w:r w:rsidRPr="009F0C44">
        <w:t>with</w:t>
      </w:r>
      <w:proofErr w:type="spellEnd"/>
      <w:r w:rsidRPr="009F0C44">
        <w:t xml:space="preserve"> a </w:t>
      </w:r>
      <w:proofErr w:type="spellStart"/>
      <w:r>
        <w:t>u</w:t>
      </w:r>
      <w:r w:rsidRPr="009F0C44">
        <w:t>nit</w:t>
      </w:r>
      <w:proofErr w:type="spellEnd"/>
      <w:r w:rsidRPr="009F0C44">
        <w:t xml:space="preserve"> </w:t>
      </w:r>
      <w:r>
        <w:t>root.</w:t>
      </w:r>
      <w:r w:rsidRPr="009F0C44">
        <w:t xml:space="preserve"> </w:t>
      </w:r>
      <w:proofErr w:type="spellStart"/>
      <w:r w:rsidRPr="00C62D7A">
        <w:rPr>
          <w:b/>
        </w:rPr>
        <w:t>Econometrica</w:t>
      </w:r>
      <w:proofErr w:type="spellEnd"/>
      <w:r w:rsidRPr="00C62D7A">
        <w:t>, v. 55, n.</w:t>
      </w:r>
      <w:r>
        <w:t xml:space="preserve"> </w:t>
      </w:r>
      <w:r w:rsidRPr="00C62D7A">
        <w:t>2, p</w:t>
      </w:r>
      <w:r>
        <w:t xml:space="preserve">. 277-301, </w:t>
      </w:r>
      <w:r w:rsidRPr="009F0C44">
        <w:t>1987</w:t>
      </w:r>
      <w:r>
        <w:t>.</w:t>
      </w:r>
    </w:p>
    <w:p w14:paraId="6143C7A8" w14:textId="77777777" w:rsidR="00CF092F" w:rsidRDefault="00CF092F" w:rsidP="00BC6645">
      <w:proofErr w:type="spellStart"/>
      <w:r w:rsidRPr="00923121">
        <w:t>PIGGOTT</w:t>
      </w:r>
      <w:proofErr w:type="spellEnd"/>
      <w:r w:rsidRPr="00923121">
        <w:t xml:space="preserve">, </w:t>
      </w:r>
      <w:proofErr w:type="spellStart"/>
      <w:r w:rsidRPr="00923121">
        <w:t>N.E</w:t>
      </w:r>
      <w:proofErr w:type="spellEnd"/>
      <w:r w:rsidRPr="00923121">
        <w:t xml:space="preserve">., </w:t>
      </w:r>
      <w:proofErr w:type="spellStart"/>
      <w:r w:rsidRPr="00923121">
        <w:t>CHALFANT</w:t>
      </w:r>
      <w:proofErr w:type="spellEnd"/>
      <w:r w:rsidRPr="00923121">
        <w:t xml:space="preserve">, </w:t>
      </w:r>
      <w:proofErr w:type="spellStart"/>
      <w:r w:rsidRPr="00923121">
        <w:t>J.A</w:t>
      </w:r>
      <w:proofErr w:type="spellEnd"/>
      <w:r w:rsidRPr="00923121">
        <w:t xml:space="preserve">., </w:t>
      </w:r>
      <w:proofErr w:type="spellStart"/>
      <w:r w:rsidRPr="00923121">
        <w:t>ALSTON</w:t>
      </w:r>
      <w:proofErr w:type="spellEnd"/>
      <w:r w:rsidRPr="00923121">
        <w:t xml:space="preserve">, </w:t>
      </w:r>
      <w:proofErr w:type="spellStart"/>
      <w:r w:rsidRPr="00923121">
        <w:t>J.M</w:t>
      </w:r>
      <w:proofErr w:type="spellEnd"/>
      <w:r w:rsidRPr="00923121">
        <w:t xml:space="preserve">., GRIFFITH, </w:t>
      </w:r>
      <w:proofErr w:type="spellStart"/>
      <w:r w:rsidRPr="00923121">
        <w:t>G.R</w:t>
      </w:r>
      <w:proofErr w:type="spellEnd"/>
      <w:r w:rsidR="00C42FCD">
        <w:t>.</w:t>
      </w:r>
      <w:r w:rsidRPr="00923121">
        <w:t xml:space="preserve"> </w:t>
      </w:r>
      <w:proofErr w:type="spellStart"/>
      <w:r w:rsidRPr="00923121">
        <w:t>Demand</w:t>
      </w:r>
      <w:proofErr w:type="spellEnd"/>
      <w:r w:rsidRPr="00923121">
        <w:t xml:space="preserve"> response to </w:t>
      </w:r>
      <w:proofErr w:type="spellStart"/>
      <w:r w:rsidRPr="00923121">
        <w:t>advertising</w:t>
      </w:r>
      <w:proofErr w:type="spellEnd"/>
      <w:r w:rsidRPr="00923121">
        <w:t xml:space="preserve"> in </w:t>
      </w:r>
      <w:proofErr w:type="spellStart"/>
      <w:r w:rsidRPr="00923121">
        <w:t>the</w:t>
      </w:r>
      <w:proofErr w:type="spellEnd"/>
      <w:r w:rsidRPr="00923121">
        <w:t xml:space="preserve"> </w:t>
      </w:r>
      <w:proofErr w:type="spellStart"/>
      <w:r w:rsidRPr="00923121">
        <w:t>Australian</w:t>
      </w:r>
      <w:proofErr w:type="spellEnd"/>
      <w:r w:rsidRPr="00923121">
        <w:t xml:space="preserve"> </w:t>
      </w:r>
      <w:proofErr w:type="spellStart"/>
      <w:r w:rsidRPr="00923121">
        <w:t>meat</w:t>
      </w:r>
      <w:proofErr w:type="spellEnd"/>
      <w:r w:rsidRPr="00923121">
        <w:t xml:space="preserve"> </w:t>
      </w:r>
      <w:proofErr w:type="spellStart"/>
      <w:r w:rsidRPr="00923121">
        <w:t>industry</w:t>
      </w:r>
      <w:proofErr w:type="spellEnd"/>
      <w:r w:rsidRPr="00923121">
        <w:t xml:space="preserve">. </w:t>
      </w:r>
      <w:r w:rsidRPr="00C62D7A">
        <w:rPr>
          <w:b/>
        </w:rPr>
        <w:t xml:space="preserve">American </w:t>
      </w:r>
      <w:proofErr w:type="spellStart"/>
      <w:r w:rsidRPr="00C62D7A">
        <w:rPr>
          <w:b/>
        </w:rPr>
        <w:t>Journal</w:t>
      </w:r>
      <w:proofErr w:type="spellEnd"/>
      <w:r w:rsidRPr="00C62D7A">
        <w:rPr>
          <w:b/>
        </w:rPr>
        <w:t xml:space="preserve"> </w:t>
      </w:r>
      <w:proofErr w:type="spellStart"/>
      <w:r w:rsidRPr="00C62D7A">
        <w:rPr>
          <w:b/>
        </w:rPr>
        <w:t>of</w:t>
      </w:r>
      <w:proofErr w:type="spellEnd"/>
      <w:r w:rsidRPr="00C62D7A">
        <w:rPr>
          <w:b/>
        </w:rPr>
        <w:t xml:space="preserve"> </w:t>
      </w:r>
      <w:proofErr w:type="spellStart"/>
      <w:r w:rsidRPr="00C62D7A">
        <w:rPr>
          <w:b/>
        </w:rPr>
        <w:t>Agricultural</w:t>
      </w:r>
      <w:proofErr w:type="spellEnd"/>
      <w:r w:rsidRPr="00C62D7A">
        <w:rPr>
          <w:b/>
        </w:rPr>
        <w:t xml:space="preserve"> </w:t>
      </w:r>
      <w:proofErr w:type="spellStart"/>
      <w:r w:rsidRPr="00C62D7A">
        <w:rPr>
          <w:b/>
        </w:rPr>
        <w:t>Economics</w:t>
      </w:r>
      <w:proofErr w:type="spellEnd"/>
      <w:r w:rsidRPr="00923121">
        <w:t>, v. 78, n.2, p.268–79, 1996.</w:t>
      </w:r>
    </w:p>
    <w:p w14:paraId="004F5685" w14:textId="77777777" w:rsidR="00CF092F" w:rsidRDefault="00CF092F" w:rsidP="00BC6645">
      <w:pPr>
        <w:autoSpaceDE w:val="0"/>
        <w:autoSpaceDN w:val="0"/>
        <w:adjustRightInd w:val="0"/>
      </w:pPr>
      <w:proofErr w:type="spellStart"/>
      <w:r w:rsidRPr="00B9074D">
        <w:t>PIGGOTT</w:t>
      </w:r>
      <w:proofErr w:type="spellEnd"/>
      <w:r w:rsidRPr="00B9074D">
        <w:t xml:space="preserve">, </w:t>
      </w:r>
      <w:proofErr w:type="spellStart"/>
      <w:r w:rsidRPr="00B9074D">
        <w:t>N.E</w:t>
      </w:r>
      <w:proofErr w:type="spellEnd"/>
      <w:r w:rsidRPr="00B9074D">
        <w:t xml:space="preserve">., </w:t>
      </w:r>
      <w:proofErr w:type="spellStart"/>
      <w:r w:rsidRPr="00B9074D">
        <w:t>MARSH</w:t>
      </w:r>
      <w:proofErr w:type="spellEnd"/>
      <w:r w:rsidRPr="00B9074D">
        <w:t xml:space="preserve">, </w:t>
      </w:r>
      <w:proofErr w:type="spellStart"/>
      <w:r w:rsidRPr="00B9074D">
        <w:t>T.L</w:t>
      </w:r>
      <w:proofErr w:type="spellEnd"/>
      <w:r w:rsidR="00C42FCD">
        <w:t>.</w:t>
      </w:r>
      <w:r w:rsidRPr="00B9074D">
        <w:t xml:space="preserve"> </w:t>
      </w:r>
      <w:r>
        <w:t>D</w:t>
      </w:r>
      <w:r w:rsidRPr="00B9074D">
        <w:t xml:space="preserve">oes </w:t>
      </w:r>
      <w:proofErr w:type="spellStart"/>
      <w:r w:rsidRPr="00B9074D">
        <w:t>food</w:t>
      </w:r>
      <w:proofErr w:type="spellEnd"/>
      <w:r w:rsidRPr="00B9074D">
        <w:t xml:space="preserve"> </w:t>
      </w:r>
      <w:proofErr w:type="spellStart"/>
      <w:r w:rsidRPr="00B9074D">
        <w:t>safety</w:t>
      </w:r>
      <w:proofErr w:type="spellEnd"/>
      <w:r w:rsidRPr="00B9074D">
        <w:t xml:space="preserve"> </w:t>
      </w:r>
      <w:proofErr w:type="spellStart"/>
      <w:r w:rsidRPr="00B9074D">
        <w:t>information</w:t>
      </w:r>
      <w:proofErr w:type="spellEnd"/>
      <w:r w:rsidRPr="00B9074D">
        <w:t xml:space="preserve"> </w:t>
      </w:r>
      <w:proofErr w:type="spellStart"/>
      <w:r w:rsidRPr="00B9074D">
        <w:t>impact</w:t>
      </w:r>
      <w:proofErr w:type="spellEnd"/>
      <w:r w:rsidRPr="00B9074D">
        <w:t xml:space="preserve"> U.S. </w:t>
      </w:r>
      <w:proofErr w:type="spellStart"/>
      <w:r w:rsidRPr="00B9074D">
        <w:t>meat</w:t>
      </w:r>
      <w:proofErr w:type="spellEnd"/>
      <w:r w:rsidRPr="00B9074D">
        <w:t xml:space="preserve"> </w:t>
      </w:r>
      <w:proofErr w:type="spellStart"/>
      <w:r w:rsidRPr="00B9074D">
        <w:t>demand</w:t>
      </w:r>
      <w:proofErr w:type="spellEnd"/>
      <w:r w:rsidRPr="00B9074D">
        <w:t xml:space="preserve">? </w:t>
      </w:r>
      <w:r w:rsidRPr="003C4351">
        <w:rPr>
          <w:b/>
        </w:rPr>
        <w:t xml:space="preserve">American </w:t>
      </w:r>
      <w:proofErr w:type="spellStart"/>
      <w:r w:rsidRPr="003C4351">
        <w:rPr>
          <w:b/>
        </w:rPr>
        <w:t>Journal</w:t>
      </w:r>
      <w:proofErr w:type="spellEnd"/>
      <w:r w:rsidRPr="003C4351">
        <w:rPr>
          <w:b/>
        </w:rPr>
        <w:t xml:space="preserve"> </w:t>
      </w:r>
      <w:proofErr w:type="spellStart"/>
      <w:r w:rsidRPr="003C4351">
        <w:rPr>
          <w:b/>
        </w:rPr>
        <w:t>of</w:t>
      </w:r>
      <w:proofErr w:type="spellEnd"/>
      <w:r w:rsidRPr="003C4351">
        <w:rPr>
          <w:b/>
        </w:rPr>
        <w:t xml:space="preserve"> </w:t>
      </w:r>
      <w:proofErr w:type="spellStart"/>
      <w:r w:rsidRPr="003C4351">
        <w:rPr>
          <w:b/>
        </w:rPr>
        <w:t>Agricultural</w:t>
      </w:r>
      <w:proofErr w:type="spellEnd"/>
      <w:r w:rsidRPr="003C4351">
        <w:rPr>
          <w:b/>
        </w:rPr>
        <w:t xml:space="preserve"> </w:t>
      </w:r>
      <w:proofErr w:type="spellStart"/>
      <w:r w:rsidRPr="003C4351">
        <w:rPr>
          <w:b/>
        </w:rPr>
        <w:t>Economics</w:t>
      </w:r>
      <w:proofErr w:type="spellEnd"/>
      <w:r w:rsidRPr="003C4351">
        <w:t>, v.86, n.1, p.154-74, 2004.</w:t>
      </w:r>
    </w:p>
    <w:p w14:paraId="7EB6E1A9" w14:textId="77777777" w:rsidR="00CF092F" w:rsidRPr="00BE3BB0" w:rsidRDefault="00CF092F" w:rsidP="00BC6645">
      <w:pPr>
        <w:rPr>
          <w:lang w:val="it-IT"/>
        </w:rPr>
      </w:pPr>
      <w:r w:rsidRPr="00BE3BB0">
        <w:rPr>
          <w:lang w:val="it-IT"/>
        </w:rPr>
        <w:t xml:space="preserve">QUANTITATIVE MICRO SOFTWARE. </w:t>
      </w:r>
      <w:r w:rsidRPr="00BE3BB0">
        <w:rPr>
          <w:b/>
          <w:lang w:val="it-IT"/>
        </w:rPr>
        <w:t>EViews 7 Command and Programming Reference</w:t>
      </w:r>
      <w:r w:rsidRPr="00BE3BB0">
        <w:rPr>
          <w:lang w:val="it-IT"/>
        </w:rPr>
        <w:t>. Irvine, USA: Qua</w:t>
      </w:r>
      <w:r>
        <w:rPr>
          <w:lang w:val="it-IT"/>
        </w:rPr>
        <w:t>ntitative Micro Software, 2010</w:t>
      </w:r>
      <w:r w:rsidRPr="00BE3BB0">
        <w:rPr>
          <w:lang w:val="it-IT"/>
        </w:rPr>
        <w:t>.</w:t>
      </w:r>
    </w:p>
    <w:p w14:paraId="48FC1D30" w14:textId="77777777" w:rsidR="00CF092F" w:rsidRDefault="00CF092F" w:rsidP="00BC6645">
      <w:r>
        <w:t>RESENDE FILHO, M.</w:t>
      </w:r>
      <w:r w:rsidRPr="00C72F52">
        <w:t>A</w:t>
      </w:r>
      <w:r>
        <w:t>.</w:t>
      </w:r>
      <w:r w:rsidRPr="00C72F52">
        <w:t xml:space="preserve"> </w:t>
      </w:r>
      <w:r>
        <w:t xml:space="preserve">, </w:t>
      </w:r>
      <w:r w:rsidRPr="00C72F52">
        <w:t xml:space="preserve"> BUHR, B.L. . </w:t>
      </w:r>
      <w:proofErr w:type="spellStart"/>
      <w:r w:rsidRPr="00C72F52">
        <w:t>Evidence</w:t>
      </w:r>
      <w:proofErr w:type="spellEnd"/>
      <w:r w:rsidRPr="00C72F52">
        <w:t xml:space="preserve"> </w:t>
      </w:r>
      <w:proofErr w:type="spellStart"/>
      <w:r w:rsidRPr="00C72F52">
        <w:t>of</w:t>
      </w:r>
      <w:proofErr w:type="spellEnd"/>
      <w:r w:rsidRPr="00C72F52">
        <w:t xml:space="preserve"> </w:t>
      </w:r>
      <w:proofErr w:type="spellStart"/>
      <w:r w:rsidRPr="00C72F52">
        <w:t>consumers</w:t>
      </w:r>
      <w:proofErr w:type="spellEnd"/>
      <w:r w:rsidRPr="00C72F52">
        <w:t xml:space="preserve">' </w:t>
      </w:r>
      <w:proofErr w:type="spellStart"/>
      <w:r w:rsidRPr="00C72F52">
        <w:t>willingness</w:t>
      </w:r>
      <w:proofErr w:type="spellEnd"/>
      <w:r w:rsidRPr="00C72F52">
        <w:t xml:space="preserve"> to </w:t>
      </w:r>
      <w:proofErr w:type="spellStart"/>
      <w:r w:rsidRPr="00C72F52">
        <w:t>pay</w:t>
      </w:r>
      <w:proofErr w:type="spellEnd"/>
      <w:r w:rsidRPr="00C72F52">
        <w:t xml:space="preserve"> for </w:t>
      </w:r>
      <w:proofErr w:type="spellStart"/>
      <w:r w:rsidRPr="00C72F52">
        <w:t>the</w:t>
      </w:r>
      <w:proofErr w:type="spellEnd"/>
      <w:r w:rsidRPr="00C72F52">
        <w:t xml:space="preserve"> </w:t>
      </w:r>
      <w:proofErr w:type="spellStart"/>
      <w:r w:rsidRPr="00C72F52">
        <w:t>national</w:t>
      </w:r>
      <w:proofErr w:type="spellEnd"/>
      <w:r w:rsidRPr="00C72F52">
        <w:t xml:space="preserve"> animal </w:t>
      </w:r>
      <w:proofErr w:type="spellStart"/>
      <w:r w:rsidRPr="00C72F52">
        <w:t>identification</w:t>
      </w:r>
      <w:proofErr w:type="spellEnd"/>
      <w:r w:rsidRPr="00C72F52">
        <w:t xml:space="preserve"> system </w:t>
      </w:r>
      <w:proofErr w:type="spellStart"/>
      <w:r w:rsidRPr="00C72F52">
        <w:t>of</w:t>
      </w:r>
      <w:proofErr w:type="spellEnd"/>
      <w:r w:rsidRPr="00C72F52">
        <w:t xml:space="preserve"> </w:t>
      </w:r>
      <w:proofErr w:type="spellStart"/>
      <w:r w:rsidRPr="00C72F52">
        <w:t>the</w:t>
      </w:r>
      <w:proofErr w:type="spellEnd"/>
      <w:r w:rsidRPr="00C72F52">
        <w:t xml:space="preserve"> United States. </w:t>
      </w:r>
      <w:r w:rsidRPr="00C72F52">
        <w:rPr>
          <w:b/>
        </w:rPr>
        <w:t>Economia Aplicada</w:t>
      </w:r>
      <w:r>
        <w:t xml:space="preserve"> </w:t>
      </w:r>
      <w:r w:rsidRPr="00C72F52">
        <w:t>, v. 15, p. 5-22, 2011.</w:t>
      </w:r>
    </w:p>
    <w:p w14:paraId="0AF887FE" w14:textId="77777777" w:rsidR="00CF092F" w:rsidRDefault="00CF092F" w:rsidP="00BC6645">
      <w:r w:rsidRPr="00A37143">
        <w:t>RESENDE FILHO, M</w:t>
      </w:r>
      <w:r>
        <w:t>.A.,</w:t>
      </w:r>
      <w:r w:rsidRPr="00A37143">
        <w:t xml:space="preserve"> BRESSAN, V.G</w:t>
      </w:r>
      <w:r>
        <w:t>.F. , BRAGA, M.J. ,</w:t>
      </w:r>
      <w:r w:rsidRPr="00A37143">
        <w:t xml:space="preserve"> BRESSAN, A.A. . Sistemas de equações de demanda por carnes no Brasil: especificação e estimação. </w:t>
      </w:r>
      <w:r w:rsidRPr="00A37143">
        <w:rPr>
          <w:b/>
        </w:rPr>
        <w:t>Revista de Economia e Sociologia Rural</w:t>
      </w:r>
      <w:r w:rsidRPr="00A37143">
        <w:t>, v. 50, p. 33-50, 2012.</w:t>
      </w:r>
    </w:p>
    <w:p w14:paraId="7B85CEAC" w14:textId="77777777" w:rsidR="00CF092F" w:rsidRPr="00CC557F" w:rsidRDefault="00CF092F" w:rsidP="00BC6645">
      <w:r w:rsidRPr="004E4421">
        <w:t>RESENDE FILHO, M.A</w:t>
      </w:r>
      <w:r w:rsidR="00C42FCD">
        <w:t>.</w:t>
      </w:r>
      <w:r w:rsidRPr="004E4421">
        <w:t xml:space="preserve"> Potenciais benefícios do sistema de rastreabilidade</w:t>
      </w:r>
      <w:r>
        <w:t xml:space="preserve"> animal dos EUA para o setor de carnes americano. </w:t>
      </w:r>
      <w:r w:rsidRPr="000470CE">
        <w:rPr>
          <w:b/>
        </w:rPr>
        <w:t>Revista de Economia e Sociologia Rural</w:t>
      </w:r>
      <w:r>
        <w:t>, v. 46, p. 1129-1154, 2008.</w:t>
      </w:r>
    </w:p>
    <w:p w14:paraId="57568D8D" w14:textId="77777777" w:rsidR="00CF092F" w:rsidRPr="003E1971" w:rsidRDefault="00CF092F" w:rsidP="00BC6645">
      <w:r w:rsidRPr="003E1971">
        <w:t>SANTANA, A.C</w:t>
      </w:r>
      <w:r w:rsidR="00C42FCD">
        <w:t>.</w:t>
      </w:r>
      <w:r w:rsidRPr="003E1971">
        <w:t xml:space="preserve"> Mudanças recentes nas relações de demanda de carne no Brasil. </w:t>
      </w:r>
      <w:r w:rsidRPr="003E1971">
        <w:rPr>
          <w:b/>
        </w:rPr>
        <w:t>Revista de Economia e Sociologia Rural</w:t>
      </w:r>
      <w:r w:rsidRPr="003E1971">
        <w:t>, v.37, n.2, p.51-76, 1999.</w:t>
      </w:r>
    </w:p>
    <w:p w14:paraId="2E8137CF" w14:textId="77777777" w:rsidR="00CF092F" w:rsidRDefault="00CF092F" w:rsidP="00BC6645">
      <w:r w:rsidRPr="003B7B85">
        <w:t>SCHROEDER, T.C., MARSH, T.L., MINTERT, J</w:t>
      </w:r>
      <w:r w:rsidR="00C42FCD">
        <w:t>.</w:t>
      </w:r>
      <w:r w:rsidRPr="003B7B85">
        <w:t xml:space="preserve"> </w:t>
      </w:r>
      <w:proofErr w:type="spellStart"/>
      <w:r w:rsidRPr="003B7B85">
        <w:rPr>
          <w:b/>
        </w:rPr>
        <w:t>Beef</w:t>
      </w:r>
      <w:proofErr w:type="spellEnd"/>
      <w:r w:rsidRPr="003B7B85">
        <w:rPr>
          <w:b/>
        </w:rPr>
        <w:t xml:space="preserve"> </w:t>
      </w:r>
      <w:proofErr w:type="spellStart"/>
      <w:r w:rsidRPr="003B7B85">
        <w:rPr>
          <w:b/>
        </w:rPr>
        <w:t>demand</w:t>
      </w:r>
      <w:proofErr w:type="spellEnd"/>
      <w:r w:rsidRPr="003B7B85">
        <w:rPr>
          <w:b/>
        </w:rPr>
        <w:t xml:space="preserve"> </w:t>
      </w:r>
      <w:proofErr w:type="spellStart"/>
      <w:r w:rsidRPr="003B7B85">
        <w:rPr>
          <w:b/>
        </w:rPr>
        <w:t>determinants</w:t>
      </w:r>
      <w:proofErr w:type="spellEnd"/>
      <w:r w:rsidRPr="003B7B85">
        <w:t xml:space="preserve">, Relatório preparado para </w:t>
      </w:r>
      <w:proofErr w:type="spellStart"/>
      <w:r w:rsidRPr="003B7B85">
        <w:t>the</w:t>
      </w:r>
      <w:proofErr w:type="spellEnd"/>
      <w:r w:rsidRPr="003B7B85">
        <w:t xml:space="preserve"> </w:t>
      </w:r>
      <w:proofErr w:type="spellStart"/>
      <w:r w:rsidRPr="003B7B85">
        <w:t>National</w:t>
      </w:r>
      <w:proofErr w:type="spellEnd"/>
      <w:r w:rsidRPr="003B7B85">
        <w:t xml:space="preserve"> </w:t>
      </w:r>
      <w:proofErr w:type="spellStart"/>
      <w:r w:rsidRPr="003B7B85">
        <w:t>Cattlemen’s</w:t>
      </w:r>
      <w:proofErr w:type="spellEnd"/>
      <w:r w:rsidRPr="003B7B85">
        <w:t xml:space="preserve"> </w:t>
      </w:r>
      <w:proofErr w:type="spellStart"/>
      <w:r w:rsidRPr="003B7B85">
        <w:t>Beef</w:t>
      </w:r>
      <w:proofErr w:type="spellEnd"/>
      <w:r w:rsidRPr="003B7B85">
        <w:t xml:space="preserve"> </w:t>
      </w:r>
      <w:proofErr w:type="spellStart"/>
      <w:r w:rsidRPr="003B7B85">
        <w:t>Association</w:t>
      </w:r>
      <w:proofErr w:type="spellEnd"/>
      <w:r w:rsidRPr="003B7B85">
        <w:t xml:space="preserve">, 2000. Disponível em  </w:t>
      </w:r>
      <w:hyperlink r:id="rId106" w:history="1">
        <w:r w:rsidRPr="003B7B85">
          <w:rPr>
            <w:rStyle w:val="Hyperlink"/>
          </w:rPr>
          <w:t>http://www.agecon.ksu.edu/livestock/Extension%20Bulletins/BeefDemandDeterminants.pdf</w:t>
        </w:r>
      </w:hyperlink>
    </w:p>
    <w:p w14:paraId="2E46D505" w14:textId="77777777" w:rsidR="00CF092F" w:rsidRPr="0051319F" w:rsidRDefault="00CF092F" w:rsidP="00BC6645">
      <w:r w:rsidRPr="0051319F">
        <w:lastRenderedPageBreak/>
        <w:t xml:space="preserve">SPERS, E. E. </w:t>
      </w:r>
      <w:r w:rsidRPr="0051319F">
        <w:rPr>
          <w:b/>
          <w:bCs/>
        </w:rPr>
        <w:t>Mecanismos de regulação da qualidade e segurança em alimentos</w:t>
      </w:r>
      <w:r w:rsidRPr="0051319F">
        <w:rPr>
          <w:bCs/>
        </w:rPr>
        <w:t xml:space="preserve">. </w:t>
      </w:r>
      <w:r w:rsidRPr="0051319F">
        <w:t>2004. 155 f. Tese (Doutorado) - Doutorado em Administração, Faculdade de Economia, Administração e Contabilidade, Universidade de São Paulo, São Paulo, 2004.</w:t>
      </w:r>
    </w:p>
    <w:p w14:paraId="6E66EBF8" w14:textId="77777777" w:rsidR="00CF092F" w:rsidRDefault="00CF092F" w:rsidP="00BC6645">
      <w:pPr>
        <w:rPr>
          <w:lang w:val="en-US"/>
        </w:rPr>
      </w:pPr>
      <w:r>
        <w:rPr>
          <w:color w:val="111111"/>
        </w:rPr>
        <w:t xml:space="preserve">TAVARES, T. M., SERAFINI, A.B. 2006. Carnes de hambúrgueres prontas para consumo: aspectos legais e riscos bacterianos. </w:t>
      </w:r>
      <w:r>
        <w:rPr>
          <w:rStyle w:val="Strong"/>
          <w:color w:val="111111"/>
        </w:rPr>
        <w:t>Revista de Patologia Tropical</w:t>
      </w:r>
      <w:r>
        <w:rPr>
          <w:color w:val="111111"/>
        </w:rPr>
        <w:t>, v. 35, n. 1, p.</w:t>
      </w:r>
      <w:r>
        <w:t xml:space="preserve"> 1-21, 2006. </w:t>
      </w:r>
    </w:p>
    <w:p w14:paraId="7D776A0C" w14:textId="77777777" w:rsidR="00CF092F" w:rsidRDefault="00CF092F" w:rsidP="00BC6645">
      <w:r>
        <w:t>TONSOR, G., MINTERT, J., SCHROEDER, T</w:t>
      </w:r>
      <w:r w:rsidR="00C42FCD">
        <w:t>.</w:t>
      </w:r>
      <w:r>
        <w:t xml:space="preserve"> U.S. </w:t>
      </w:r>
      <w:proofErr w:type="spellStart"/>
      <w:r>
        <w:t>Meat</w:t>
      </w:r>
      <w:proofErr w:type="spellEnd"/>
      <w:r>
        <w:t xml:space="preserve"> </w:t>
      </w:r>
      <w:proofErr w:type="spellStart"/>
      <w:r>
        <w:t>demand</w:t>
      </w:r>
      <w:proofErr w:type="spellEnd"/>
      <w:r>
        <w:t xml:space="preserve">: </w:t>
      </w:r>
      <w:proofErr w:type="spellStart"/>
      <w:r>
        <w:t>household</w:t>
      </w:r>
      <w:proofErr w:type="spellEnd"/>
      <w:r>
        <w:t xml:space="preserve"> dynamics </w:t>
      </w:r>
      <w:proofErr w:type="spellStart"/>
      <w:r>
        <w:t>and</w:t>
      </w:r>
      <w:proofErr w:type="spellEnd"/>
      <w:r>
        <w:t xml:space="preserve"> media </w:t>
      </w:r>
      <w:proofErr w:type="spellStart"/>
      <w:r>
        <w:t>information</w:t>
      </w:r>
      <w:proofErr w:type="spellEnd"/>
      <w:r>
        <w:t xml:space="preserve"> </w:t>
      </w:r>
      <w:proofErr w:type="spellStart"/>
      <w:r>
        <w:t>impacts</w:t>
      </w:r>
      <w:proofErr w:type="spellEnd"/>
      <w:r>
        <w:t xml:space="preserve">. </w:t>
      </w:r>
      <w:proofErr w:type="spellStart"/>
      <w:r w:rsidRPr="000E78A7">
        <w:rPr>
          <w:b/>
        </w:rPr>
        <w:t>Journal</w:t>
      </w:r>
      <w:proofErr w:type="spellEnd"/>
      <w:r w:rsidRPr="000E78A7">
        <w:rPr>
          <w:b/>
        </w:rPr>
        <w:t xml:space="preserve"> </w:t>
      </w:r>
      <w:proofErr w:type="spellStart"/>
      <w:r w:rsidRPr="000E78A7">
        <w:rPr>
          <w:b/>
        </w:rPr>
        <w:t>of</w:t>
      </w:r>
      <w:proofErr w:type="spellEnd"/>
      <w:r w:rsidRPr="000E78A7">
        <w:rPr>
          <w:b/>
        </w:rPr>
        <w:t xml:space="preserve"> </w:t>
      </w:r>
      <w:proofErr w:type="spellStart"/>
      <w:r w:rsidRPr="000E78A7">
        <w:rPr>
          <w:b/>
        </w:rPr>
        <w:t>Agricultural</w:t>
      </w:r>
      <w:proofErr w:type="spellEnd"/>
      <w:r w:rsidRPr="000E78A7">
        <w:rPr>
          <w:b/>
        </w:rPr>
        <w:t xml:space="preserve"> </w:t>
      </w:r>
      <w:proofErr w:type="spellStart"/>
      <w:r w:rsidRPr="000E78A7">
        <w:rPr>
          <w:b/>
        </w:rPr>
        <w:t>and</w:t>
      </w:r>
      <w:proofErr w:type="spellEnd"/>
      <w:r w:rsidRPr="000E78A7">
        <w:rPr>
          <w:b/>
        </w:rPr>
        <w:t xml:space="preserve"> Resource </w:t>
      </w:r>
      <w:proofErr w:type="spellStart"/>
      <w:r w:rsidRPr="000E78A7">
        <w:rPr>
          <w:b/>
        </w:rPr>
        <w:t>Economics</w:t>
      </w:r>
      <w:proofErr w:type="spellEnd"/>
      <w:r>
        <w:t>, v.35, p.1-17. 2010.</w:t>
      </w:r>
    </w:p>
    <w:p w14:paraId="692C505C" w14:textId="77777777" w:rsidR="00CF092F" w:rsidRDefault="00CF092F" w:rsidP="00BC6645">
      <w:r>
        <w:t>UOL – UNIVERSO ON LINE, 2012.”Soda é adicionada ao leite há dois anos, dizem funcionários”. &lt;http://www1.folha.uol.com.br/folha/cotidiano/ult95u339611.shtml&gt;. Acessado em 01/09/2012.</w:t>
      </w:r>
    </w:p>
    <w:p w14:paraId="6413B8F4" w14:textId="77777777" w:rsidR="00CF092F" w:rsidRDefault="00CF092F" w:rsidP="00BC6645">
      <w:pPr>
        <w:autoSpaceDE w:val="0"/>
        <w:autoSpaceDN w:val="0"/>
        <w:adjustRightInd w:val="0"/>
      </w:pPr>
      <w:r w:rsidRPr="00A71F45">
        <w:t>USDA/FAS, 20</w:t>
      </w:r>
      <w:r>
        <w:t>12</w:t>
      </w:r>
      <w:r w:rsidRPr="00A71F45">
        <w:t xml:space="preserve">. </w:t>
      </w:r>
      <w:proofErr w:type="spellStart"/>
      <w:r w:rsidRPr="00C62D7A">
        <w:rPr>
          <w:b/>
        </w:rPr>
        <w:t>Production</w:t>
      </w:r>
      <w:proofErr w:type="spellEnd"/>
      <w:r w:rsidRPr="00C62D7A">
        <w:rPr>
          <w:b/>
        </w:rPr>
        <w:t xml:space="preserve">, </w:t>
      </w:r>
      <w:proofErr w:type="spellStart"/>
      <w:r w:rsidRPr="00C62D7A">
        <w:rPr>
          <w:b/>
        </w:rPr>
        <w:t>Supply</w:t>
      </w:r>
      <w:proofErr w:type="spellEnd"/>
      <w:r w:rsidRPr="00C62D7A">
        <w:rPr>
          <w:b/>
        </w:rPr>
        <w:t xml:space="preserve"> </w:t>
      </w:r>
      <w:proofErr w:type="spellStart"/>
      <w:r w:rsidRPr="00C62D7A">
        <w:rPr>
          <w:b/>
        </w:rPr>
        <w:t>and</w:t>
      </w:r>
      <w:proofErr w:type="spellEnd"/>
      <w:r w:rsidRPr="00C62D7A">
        <w:rPr>
          <w:b/>
        </w:rPr>
        <w:t xml:space="preserve"> </w:t>
      </w:r>
      <w:proofErr w:type="spellStart"/>
      <w:r w:rsidRPr="00C62D7A">
        <w:rPr>
          <w:b/>
        </w:rPr>
        <w:t>Demand</w:t>
      </w:r>
      <w:proofErr w:type="spellEnd"/>
      <w:r w:rsidRPr="00C62D7A">
        <w:rPr>
          <w:b/>
        </w:rPr>
        <w:t xml:space="preserve"> Online - </w:t>
      </w:r>
      <w:proofErr w:type="spellStart"/>
      <w:r w:rsidRPr="00C62D7A">
        <w:rPr>
          <w:b/>
        </w:rPr>
        <w:t>Downloadable</w:t>
      </w:r>
      <w:proofErr w:type="spellEnd"/>
      <w:r w:rsidRPr="00C62D7A">
        <w:rPr>
          <w:b/>
        </w:rPr>
        <w:t xml:space="preserve"> Data Sets</w:t>
      </w:r>
      <w:r>
        <w:t>. Dispon</w:t>
      </w:r>
      <w:r w:rsidRPr="00CE5583">
        <w:t>ível em</w:t>
      </w:r>
      <w:r w:rsidRPr="003828A4">
        <w:t xml:space="preserve"> </w:t>
      </w:r>
      <w:hyperlink r:id="rId107" w:history="1">
        <w:r w:rsidRPr="009C1B48">
          <w:rPr>
            <w:rStyle w:val="Hyperlink"/>
          </w:rPr>
          <w:t>http://www.fas.usda.gov/psdonline/psdDownload.aspx</w:t>
        </w:r>
      </w:hyperlink>
    </w:p>
    <w:p w14:paraId="63AB592E" w14:textId="77777777" w:rsidR="00CF092F" w:rsidRDefault="00CF092F" w:rsidP="00BC6645">
      <w:r w:rsidRPr="00491162">
        <w:rPr>
          <w:lang w:val="en-US"/>
        </w:rPr>
        <w:t>VERBEKE, W., WARD, R.W</w:t>
      </w:r>
      <w:r w:rsidR="00C42FCD">
        <w:rPr>
          <w:lang w:val="en-US"/>
        </w:rPr>
        <w:t>.</w:t>
      </w:r>
      <w:r w:rsidRPr="00491162">
        <w:rPr>
          <w:lang w:val="en-US"/>
        </w:rPr>
        <w:t xml:space="preserve"> </w:t>
      </w:r>
      <w:r>
        <w:rPr>
          <w:lang w:val="en-US"/>
        </w:rPr>
        <w:t>A</w:t>
      </w:r>
      <w:r w:rsidRPr="00491162">
        <w:rPr>
          <w:lang w:val="en-US"/>
        </w:rPr>
        <w:t xml:space="preserve"> fresh meat almost ideal demand system incorporating negative </w:t>
      </w:r>
      <w:proofErr w:type="spellStart"/>
      <w:proofErr w:type="gramStart"/>
      <w:r w:rsidRPr="00491162">
        <w:rPr>
          <w:lang w:val="en-US"/>
        </w:rPr>
        <w:t>tv</w:t>
      </w:r>
      <w:proofErr w:type="spellEnd"/>
      <w:proofErr w:type="gramEnd"/>
      <w:r w:rsidRPr="00491162">
        <w:rPr>
          <w:lang w:val="en-US"/>
        </w:rPr>
        <w:t xml:space="preserve"> press and advertising impact. </w:t>
      </w:r>
      <w:proofErr w:type="spellStart"/>
      <w:r w:rsidRPr="0051319F">
        <w:rPr>
          <w:b/>
        </w:rPr>
        <w:t>Agricultural</w:t>
      </w:r>
      <w:proofErr w:type="spellEnd"/>
      <w:r w:rsidRPr="0051319F">
        <w:rPr>
          <w:b/>
        </w:rPr>
        <w:t xml:space="preserve"> </w:t>
      </w:r>
      <w:proofErr w:type="spellStart"/>
      <w:r w:rsidRPr="0051319F">
        <w:rPr>
          <w:b/>
        </w:rPr>
        <w:t>Economics</w:t>
      </w:r>
      <w:proofErr w:type="spellEnd"/>
      <w:r w:rsidRPr="0051319F">
        <w:t>, v. 25, p. 359-74, 2001.</w:t>
      </w:r>
    </w:p>
    <w:sectPr w:rsidR="00CF092F" w:rsidSect="00BC6645">
      <w:footerReference w:type="default" r:id="rId108"/>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86EBF" w14:textId="77777777" w:rsidR="00F12719" w:rsidRDefault="00F12719">
      <w:r>
        <w:separator/>
      </w:r>
    </w:p>
  </w:endnote>
  <w:endnote w:type="continuationSeparator" w:id="0">
    <w:p w14:paraId="169C7656" w14:textId="77777777" w:rsidR="00F12719" w:rsidRDefault="00F1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ms Rmn">
    <w:panose1 w:val="00000000000000000000"/>
    <w:charset w:val="4D"/>
    <w:family w:val="roman"/>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Roman">
    <w:altName w:val="Times"/>
    <w:panose1 w:val="00000000000000000000"/>
    <w:charset w:val="00"/>
    <w:family w:val="roman"/>
    <w:notTrueType/>
    <w:pitch w:val="default"/>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Ten-Italic">
    <w:altName w:val="Cambria"/>
    <w:panose1 w:val="00000000000000000000"/>
    <w:charset w:val="00"/>
    <w:family w:val="roman"/>
    <w:notTrueType/>
    <w:pitch w:val="default"/>
    <w:sig w:usb0="00000003" w:usb1="00000000" w:usb2="00000000" w:usb3="00000000" w:csb0="00000001" w:csb1="00000000"/>
  </w:font>
  <w:font w:name="MTSY">
    <w:altName w:val="ＭＳ 明朝"/>
    <w:panose1 w:val="00000000000000000000"/>
    <w:charset w:val="80"/>
    <w:family w:val="auto"/>
    <w:notTrueType/>
    <w:pitch w:val="default"/>
    <w:sig w:usb0="00000000" w:usb1="08070000" w:usb2="00000010" w:usb3="00000000" w:csb0="00020000" w:csb1="00000000"/>
  </w:font>
  <w:font w:name="TimesTen-Roman">
    <w:altName w:val="Cambria"/>
    <w:panose1 w:val="00000000000000000000"/>
    <w:charset w:val="00"/>
    <w:family w:val="roman"/>
    <w:notTrueType/>
    <w:pitch w:val="default"/>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148184"/>
      <w:docPartObj>
        <w:docPartGallery w:val="Page Numbers (Bottom of Page)"/>
        <w:docPartUnique/>
      </w:docPartObj>
    </w:sdtPr>
    <w:sdtEndPr/>
    <w:sdtContent>
      <w:p w14:paraId="0E04C4A4" w14:textId="77777777" w:rsidR="001F05D4" w:rsidRDefault="00EC4E7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7F8720F" w14:textId="77777777" w:rsidR="00D41F01" w:rsidRPr="00C72497" w:rsidRDefault="00D41F01" w:rsidP="00C724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3C71B5" w14:textId="77777777" w:rsidR="00F12719" w:rsidRDefault="00F12719">
      <w:r>
        <w:separator/>
      </w:r>
    </w:p>
  </w:footnote>
  <w:footnote w:type="continuationSeparator" w:id="0">
    <w:p w14:paraId="312CBC9A" w14:textId="77777777" w:rsidR="00F12719" w:rsidRDefault="00F12719">
      <w:r>
        <w:continuationSeparator/>
      </w:r>
    </w:p>
  </w:footnote>
  <w:footnote w:id="1">
    <w:p w14:paraId="06EEFA8C" w14:textId="77777777" w:rsidR="00983A09" w:rsidRDefault="00983A09">
      <w:pPr>
        <w:pStyle w:val="FootnoteText"/>
      </w:pPr>
      <w:r>
        <w:rPr>
          <w:rStyle w:val="FootnoteReference"/>
        </w:rPr>
        <w:footnoteRef/>
      </w:r>
      <w:r>
        <w:t xml:space="preserve"> Financiado com recursos do CNPq, </w:t>
      </w:r>
      <w:proofErr w:type="spellStart"/>
      <w:r>
        <w:t>Fapemig</w:t>
      </w:r>
      <w:proofErr w:type="spellEnd"/>
      <w:r>
        <w:t xml:space="preserve"> e UnB.</w:t>
      </w:r>
    </w:p>
  </w:footnote>
  <w:footnote w:id="2">
    <w:p w14:paraId="190E72DA" w14:textId="380E8E0D" w:rsidR="002D0217" w:rsidRDefault="002D0217" w:rsidP="002D0217">
      <w:pPr>
        <w:pStyle w:val="FootnoteText"/>
      </w:pPr>
      <w:r>
        <w:rPr>
          <w:rStyle w:val="FootnoteReference"/>
        </w:rPr>
        <w:footnoteRef/>
      </w:r>
      <w:r w:rsidR="00983A09">
        <w:t xml:space="preserve"> </w:t>
      </w:r>
      <w:r>
        <w:t>Professor Associado do Departamento de Econom</w:t>
      </w:r>
      <w:r w:rsidR="00EC4E75">
        <w:t>ia da Universidade de Brasília,</w:t>
      </w:r>
      <w:r>
        <w:t xml:space="preserve"> bolsista de produtividade 2 do CNPq. E-mail: moisesresende@unb.br</w:t>
      </w:r>
    </w:p>
  </w:footnote>
  <w:footnote w:id="3">
    <w:p w14:paraId="5A58CC31" w14:textId="77777777" w:rsidR="002D0217" w:rsidRDefault="002D0217" w:rsidP="002D0217">
      <w:pPr>
        <w:pStyle w:val="FootnoteText"/>
      </w:pPr>
      <w:r>
        <w:rPr>
          <w:rStyle w:val="FootnoteReference"/>
        </w:rPr>
        <w:footnoteRef/>
      </w:r>
      <w:r w:rsidR="00983A09">
        <w:t xml:space="preserve"> </w:t>
      </w:r>
      <w:r>
        <w:t xml:space="preserve">Nutricionista do Hospital Universitário de Brasília </w:t>
      </w:r>
      <w:r w:rsidR="00035609">
        <w:t>–</w:t>
      </w:r>
      <w:r>
        <w:t xml:space="preserve"> HUB</w:t>
      </w:r>
      <w:r w:rsidR="00035609">
        <w:t>, mestre em Saúde Coletiva pela UnB</w:t>
      </w:r>
      <w:r>
        <w:t>.</w:t>
      </w:r>
    </w:p>
  </w:footnote>
  <w:footnote w:id="4">
    <w:p w14:paraId="1B9E5A15" w14:textId="216C4EEF" w:rsidR="002D0217" w:rsidRDefault="002D0217" w:rsidP="002D0217">
      <w:pPr>
        <w:pStyle w:val="FootnoteText"/>
      </w:pPr>
      <w:r>
        <w:rPr>
          <w:rStyle w:val="FootnoteReference"/>
        </w:rPr>
        <w:footnoteRef/>
      </w:r>
      <w:r w:rsidR="00983A09">
        <w:t xml:space="preserve"> </w:t>
      </w:r>
      <w:r>
        <w:t xml:space="preserve">Ex-bolsista </w:t>
      </w:r>
      <w:proofErr w:type="spellStart"/>
      <w:r w:rsidRPr="006F3926">
        <w:t>ProIC</w:t>
      </w:r>
      <w:proofErr w:type="spellEnd"/>
      <w:r w:rsidRPr="006F3926">
        <w:t>/CNPq/UnB</w:t>
      </w:r>
      <w:bookmarkStart w:id="0" w:name="_GoBack"/>
      <w:bookmarkEnd w:id="0"/>
      <w:r>
        <w:t>,</w:t>
      </w:r>
      <w:r w:rsidRPr="006F3926">
        <w:t xml:space="preserve"> </w:t>
      </w:r>
      <w:r w:rsidR="0050168C">
        <w:t xml:space="preserve">economista </w:t>
      </w:r>
      <w:r w:rsidR="00EC4E75">
        <w:t xml:space="preserve">pela UnB </w:t>
      </w:r>
      <w:r w:rsidR="0050168C">
        <w:t xml:space="preserve">e </w:t>
      </w:r>
      <w:r>
        <w:t xml:space="preserve">mestrando em econometria e economia matemática na Tilburg </w:t>
      </w:r>
      <w:proofErr w:type="spellStart"/>
      <w:r>
        <w:t>University</w:t>
      </w:r>
      <w:proofErr w:type="spellEnd"/>
      <w:r>
        <w:t>.</w:t>
      </w:r>
    </w:p>
  </w:footnote>
  <w:footnote w:id="5">
    <w:p w14:paraId="24F288C9" w14:textId="77777777" w:rsidR="00D41F01" w:rsidRPr="000673C4" w:rsidRDefault="00D41F01" w:rsidP="004C6925">
      <w:pPr>
        <w:pStyle w:val="Footnote"/>
        <w:jc w:val="both"/>
        <w:rPr>
          <w:rFonts w:ascii="Times New Roman" w:hAnsi="Times New Roman"/>
          <w:sz w:val="24"/>
          <w:szCs w:val="24"/>
        </w:rPr>
      </w:pPr>
      <w:r w:rsidRPr="000673C4">
        <w:rPr>
          <w:rStyle w:val="FootnoteReference"/>
          <w:rFonts w:ascii="Times New Roman" w:hAnsi="Times New Roman"/>
          <w:sz w:val="24"/>
          <w:szCs w:val="24"/>
        </w:rPr>
        <w:footnoteRef/>
      </w:r>
      <w:r w:rsidRPr="000673C4">
        <w:rPr>
          <w:rFonts w:ascii="Times New Roman" w:hAnsi="Times New Roman"/>
          <w:sz w:val="24"/>
          <w:szCs w:val="24"/>
        </w:rPr>
        <w:t>Diz-se que o alimento é seguro se está l</w:t>
      </w:r>
      <w:r w:rsidR="0012165C">
        <w:rPr>
          <w:rFonts w:ascii="Times New Roman" w:hAnsi="Times New Roman"/>
          <w:sz w:val="24"/>
          <w:szCs w:val="24"/>
        </w:rPr>
        <w:t>ivre de contaminação biológica,</w:t>
      </w:r>
      <w:r w:rsidRPr="000673C4">
        <w:rPr>
          <w:rFonts w:ascii="Times New Roman" w:hAnsi="Times New Roman"/>
          <w:sz w:val="24"/>
          <w:szCs w:val="24"/>
        </w:rPr>
        <w:t xml:space="preserve"> de toxinas pré-formadas devido a proliferação de patógenos toxigênicos, </w:t>
      </w:r>
      <w:r w:rsidR="0012165C">
        <w:rPr>
          <w:rFonts w:ascii="Times New Roman" w:hAnsi="Times New Roman"/>
          <w:sz w:val="24"/>
          <w:szCs w:val="24"/>
        </w:rPr>
        <w:t xml:space="preserve">de </w:t>
      </w:r>
      <w:r w:rsidRPr="000673C4">
        <w:rPr>
          <w:rFonts w:ascii="Times New Roman" w:hAnsi="Times New Roman"/>
          <w:sz w:val="24"/>
          <w:szCs w:val="24"/>
        </w:rPr>
        <w:t xml:space="preserve">contaminação química (agrotóxicos e metais pesados) e </w:t>
      </w:r>
      <w:r w:rsidR="0012165C">
        <w:rPr>
          <w:rFonts w:ascii="Times New Roman" w:hAnsi="Times New Roman"/>
          <w:sz w:val="24"/>
          <w:szCs w:val="24"/>
        </w:rPr>
        <w:t xml:space="preserve">de </w:t>
      </w:r>
      <w:r w:rsidRPr="000673C4">
        <w:rPr>
          <w:rFonts w:ascii="Times New Roman" w:hAnsi="Times New Roman"/>
          <w:sz w:val="24"/>
          <w:szCs w:val="24"/>
        </w:rPr>
        <w:t>contaminação física (pedaços de objetos e embalagem).</w:t>
      </w:r>
    </w:p>
  </w:footnote>
  <w:footnote w:id="6">
    <w:p w14:paraId="0776407E" w14:textId="77777777" w:rsidR="00D41F01" w:rsidRPr="005806BD" w:rsidRDefault="00D41F01" w:rsidP="00FE7FDA">
      <w:pPr>
        <w:pStyle w:val="FootnoteText"/>
        <w:jc w:val="both"/>
        <w:rPr>
          <w:sz w:val="24"/>
          <w:szCs w:val="24"/>
        </w:rPr>
      </w:pPr>
      <w:r w:rsidRPr="005806BD">
        <w:rPr>
          <w:rStyle w:val="FootnoteReference"/>
          <w:sz w:val="24"/>
          <w:szCs w:val="24"/>
        </w:rPr>
        <w:footnoteRef/>
      </w:r>
      <w:r w:rsidRPr="005806BD">
        <w:rPr>
          <w:sz w:val="24"/>
          <w:szCs w:val="24"/>
        </w:rPr>
        <w:t xml:space="preserve"> O</w:t>
      </w:r>
      <w:r>
        <w:rPr>
          <w:sz w:val="24"/>
          <w:szCs w:val="24"/>
        </w:rPr>
        <w:t xml:space="preserve"> gasto se iguala</w:t>
      </w:r>
      <w:r w:rsidRPr="005806BD">
        <w:rPr>
          <w:sz w:val="24"/>
          <w:szCs w:val="24"/>
        </w:rPr>
        <w:t xml:space="preserve"> à renda do consumidor se o mesmo possui preferências localmente não saciadas.</w:t>
      </w:r>
    </w:p>
  </w:footnote>
  <w:footnote w:id="7">
    <w:p w14:paraId="5E94E176" w14:textId="77777777" w:rsidR="00D41F01" w:rsidRPr="005806BD" w:rsidRDefault="00D41F01" w:rsidP="00FE7FDA">
      <w:pPr>
        <w:pStyle w:val="FootnoteText"/>
        <w:jc w:val="both"/>
        <w:rPr>
          <w:sz w:val="24"/>
          <w:szCs w:val="24"/>
        </w:rPr>
      </w:pPr>
      <w:r w:rsidRPr="005806BD">
        <w:rPr>
          <w:rStyle w:val="FootnoteReference"/>
          <w:sz w:val="24"/>
          <w:szCs w:val="24"/>
        </w:rPr>
        <w:footnoteRef/>
      </w:r>
      <w:r w:rsidRPr="005806BD">
        <w:rPr>
          <w:sz w:val="24"/>
          <w:szCs w:val="24"/>
        </w:rPr>
        <w:t xml:space="preserve"> A inclusão da variável tendência nas equações permite capturar mudanças estruturais na</w:t>
      </w:r>
      <w:r>
        <w:rPr>
          <w:sz w:val="24"/>
          <w:szCs w:val="24"/>
        </w:rPr>
        <w:t>s</w:t>
      </w:r>
      <w:r w:rsidRPr="005806BD">
        <w:rPr>
          <w:sz w:val="24"/>
          <w:szCs w:val="24"/>
        </w:rPr>
        <w:t xml:space="preserve"> demanda</w:t>
      </w:r>
      <w:r>
        <w:rPr>
          <w:sz w:val="24"/>
          <w:szCs w:val="24"/>
        </w:rPr>
        <w:t>s</w:t>
      </w:r>
      <w:r w:rsidRPr="005806BD">
        <w:rPr>
          <w:sz w:val="24"/>
          <w:szCs w:val="24"/>
        </w:rPr>
        <w:t xml:space="preserve">, mas ao custo de não se ter como identificar os fatores que possam tê-las causado (SCHROEDER et al., 2000).  </w:t>
      </w:r>
    </w:p>
  </w:footnote>
  <w:footnote w:id="8">
    <w:p w14:paraId="109A54D8" w14:textId="77777777" w:rsidR="00D41F01" w:rsidRPr="005806BD" w:rsidRDefault="00D41F01" w:rsidP="00FE7FDA">
      <w:pPr>
        <w:jc w:val="both"/>
      </w:pPr>
      <w:r w:rsidRPr="005806BD">
        <w:rPr>
          <w:rStyle w:val="FootnoteReference"/>
        </w:rPr>
        <w:footnoteRef/>
      </w:r>
      <w:r w:rsidRPr="005806BD">
        <w:t xml:space="preserve"> O Plano Real é o plano macroeconômico para a estabilização de preços </w:t>
      </w:r>
      <w:r>
        <w:t xml:space="preserve">iniciado em </w:t>
      </w:r>
      <w:r w:rsidRPr="005806BD">
        <w:t>julho de 1994.</w:t>
      </w:r>
    </w:p>
  </w:footnote>
  <w:footnote w:id="9">
    <w:p w14:paraId="0BB5A84E" w14:textId="77777777" w:rsidR="00D41F01" w:rsidRPr="005806BD" w:rsidRDefault="00D41F01" w:rsidP="001B670F">
      <w:pPr>
        <w:keepLines/>
        <w:jc w:val="both"/>
      </w:pPr>
      <w:r w:rsidRPr="005806BD">
        <w:rPr>
          <w:rStyle w:val="FootnoteReference"/>
        </w:rPr>
        <w:footnoteRef/>
      </w:r>
      <w:r w:rsidRPr="005806BD">
        <w:t xml:space="preserve"> Pela teoria do consumidor, a matriz de substituição de </w:t>
      </w:r>
      <w:proofErr w:type="spellStart"/>
      <w:r w:rsidRPr="005806BD">
        <w:t>Slutsky</w:t>
      </w:r>
      <w:proofErr w:type="spellEnd"/>
      <w:r w:rsidRPr="005806BD">
        <w:t xml:space="preserve"> deve ser negativa semidefinida</w:t>
      </w:r>
      <w:r>
        <w:t>, mas o sistema AIDS não possibilita</w:t>
      </w:r>
      <w:r w:rsidRPr="005806BD">
        <w:t xml:space="preserve"> a imposição direta das restrições que garantiriam tal propriedade</w:t>
      </w:r>
      <w:r>
        <w:t>. A</w:t>
      </w:r>
      <w:r w:rsidRPr="005806BD">
        <w:t xml:space="preserve"> </w:t>
      </w:r>
      <w:r>
        <w:t>semi</w:t>
      </w:r>
      <w:r w:rsidRPr="005806BD">
        <w:t xml:space="preserve">negatividade da matriz de </w:t>
      </w:r>
      <w:proofErr w:type="spellStart"/>
      <w:r w:rsidRPr="005806BD">
        <w:t>Slutsky</w:t>
      </w:r>
      <w:proofErr w:type="spellEnd"/>
      <w:r w:rsidRPr="005806BD">
        <w:t xml:space="preserve"> pode ser investigada apenas após a estimação e ponto</w:t>
      </w:r>
      <w:r>
        <w:t xml:space="preserve"> a ponto</w:t>
      </w:r>
      <w:r w:rsidRPr="005806BD">
        <w:t xml:space="preserve">. Por isso mesmo, o sistema </w:t>
      </w:r>
      <w:r>
        <w:t xml:space="preserve">AIDS </w:t>
      </w:r>
      <w:r w:rsidRPr="005806BD">
        <w:t xml:space="preserve">foi rotulado por </w:t>
      </w:r>
      <w:proofErr w:type="spellStart"/>
      <w:r w:rsidRPr="005806BD">
        <w:t>Deaton</w:t>
      </w:r>
      <w:proofErr w:type="spellEnd"/>
      <w:r w:rsidRPr="005806BD">
        <w:t xml:space="preserve"> </w:t>
      </w:r>
      <w:r>
        <w:t xml:space="preserve">e </w:t>
      </w:r>
      <w:proofErr w:type="spellStart"/>
      <w:r>
        <w:t>Muellbauer</w:t>
      </w:r>
      <w:proofErr w:type="spellEnd"/>
      <w:r>
        <w:t xml:space="preserve"> (1980) como quase</w:t>
      </w:r>
      <w:r w:rsidRPr="005806BD">
        <w:t xml:space="preserve"> ideal.</w:t>
      </w:r>
    </w:p>
  </w:footnote>
  <w:footnote w:id="10">
    <w:p w14:paraId="530676E6" w14:textId="77777777" w:rsidR="00D41F01" w:rsidRPr="005806BD" w:rsidRDefault="00D41F01" w:rsidP="00FE7FDA">
      <w:pPr>
        <w:pStyle w:val="FootnoteText"/>
        <w:rPr>
          <w:sz w:val="24"/>
          <w:szCs w:val="24"/>
        </w:rPr>
      </w:pPr>
      <w:r w:rsidRPr="005806BD">
        <w:rPr>
          <w:rStyle w:val="FootnoteReference"/>
          <w:sz w:val="24"/>
          <w:szCs w:val="24"/>
        </w:rPr>
        <w:footnoteRef/>
      </w:r>
      <w:r w:rsidRPr="005806BD">
        <w:rPr>
          <w:sz w:val="24"/>
          <w:szCs w:val="24"/>
        </w:rPr>
        <w:t xml:space="preserve"> Nesse caso,</w:t>
      </w:r>
      <w:r w:rsidRPr="005806BD">
        <w:rPr>
          <w:b/>
          <w:sz w:val="24"/>
          <w:szCs w:val="24"/>
        </w:rPr>
        <w:t xml:space="preserve"> </w:t>
      </w:r>
      <w:r w:rsidRPr="005806BD">
        <w:rPr>
          <w:sz w:val="24"/>
          <w:szCs w:val="24"/>
        </w:rPr>
        <w:t>não há correção para autocorrelação de primeira ordem.</w:t>
      </w:r>
    </w:p>
  </w:footnote>
  <w:footnote w:id="11">
    <w:p w14:paraId="3A0C4918" w14:textId="77777777" w:rsidR="00D41F01" w:rsidRPr="005806BD" w:rsidRDefault="00D41F01" w:rsidP="00094A06">
      <w:pPr>
        <w:pStyle w:val="FootnoteText"/>
        <w:rPr>
          <w:sz w:val="24"/>
          <w:szCs w:val="24"/>
        </w:rPr>
      </w:pPr>
      <w:r w:rsidRPr="005806BD">
        <w:rPr>
          <w:rStyle w:val="FootnoteReference"/>
          <w:sz w:val="24"/>
          <w:szCs w:val="24"/>
        </w:rPr>
        <w:footnoteRef/>
      </w:r>
      <w:r w:rsidRPr="005806BD">
        <w:rPr>
          <w:sz w:val="24"/>
          <w:szCs w:val="24"/>
        </w:rPr>
        <w:t xml:space="preserve"> </w:t>
      </w:r>
      <w:r w:rsidRPr="005806BD">
        <w:rPr>
          <w:sz w:val="24"/>
          <w:szCs w:val="24"/>
        </w:rPr>
        <w:t xml:space="preserve">O símbolo </w:t>
      </w:r>
      <w:r w:rsidRPr="005806BD">
        <w:rPr>
          <w:position w:val="-4"/>
          <w:sz w:val="24"/>
          <w:szCs w:val="24"/>
        </w:rPr>
        <w:object w:dxaOrig="220" w:dyaOrig="220" w14:anchorId="71F33CB1">
          <v:shape id="_x0000_i1068" type="#_x0000_t75" style="width:11.1pt;height:11.1pt" o:ole="">
            <v:imagedata r:id="rId1" o:title=""/>
          </v:shape>
          <o:OLEObject Type="Embed" ProgID="Equation.DSMT4" ShapeID="_x0000_i1068" DrawAspect="Content" ObjectID="_1341397247" r:id="rId2"/>
        </w:object>
      </w:r>
      <w:r w:rsidRPr="005806BD">
        <w:rPr>
          <w:sz w:val="24"/>
          <w:szCs w:val="24"/>
        </w:rPr>
        <w:t xml:space="preserve"> significa “é estritamente preferível a</w:t>
      </w:r>
      <w:r w:rsidRPr="005806BD">
        <w:rPr>
          <w:rFonts w:ascii="TimesNewRoman" w:hAnsi="TimesNewRoman" w:cs="TimesNewRoman"/>
          <w:sz w:val="24"/>
          <w:szCs w:val="24"/>
        </w:rPr>
        <w:t>”.</w:t>
      </w:r>
    </w:p>
  </w:footnote>
  <w:footnote w:id="12">
    <w:p w14:paraId="045CFB02" w14:textId="77777777" w:rsidR="00D41F01" w:rsidRPr="005806BD" w:rsidRDefault="00D41F01" w:rsidP="009C45C7">
      <w:pPr>
        <w:pStyle w:val="FootnoteText"/>
        <w:jc w:val="both"/>
        <w:rPr>
          <w:sz w:val="24"/>
          <w:szCs w:val="24"/>
        </w:rPr>
      </w:pPr>
      <w:r w:rsidRPr="005806BD">
        <w:rPr>
          <w:rStyle w:val="FootnoteReference"/>
          <w:sz w:val="24"/>
          <w:szCs w:val="24"/>
        </w:rPr>
        <w:footnoteRef/>
      </w:r>
      <w:r w:rsidRPr="005806BD">
        <w:rPr>
          <w:sz w:val="24"/>
          <w:szCs w:val="24"/>
        </w:rPr>
        <w:t xml:space="preserve"> </w:t>
      </w:r>
      <w:r>
        <w:rPr>
          <w:sz w:val="24"/>
          <w:szCs w:val="24"/>
        </w:rPr>
        <w:t>Pelo</w:t>
      </w:r>
      <w:r w:rsidRPr="005806BD">
        <w:rPr>
          <w:sz w:val="24"/>
          <w:szCs w:val="24"/>
        </w:rPr>
        <w:t xml:space="preserve">s resultados na Tabela 1, coluna 2 </w:t>
      </w:r>
      <w:r>
        <w:rPr>
          <w:sz w:val="24"/>
          <w:szCs w:val="24"/>
        </w:rPr>
        <w:t>observa-se que não é possível</w:t>
      </w:r>
      <w:r w:rsidRPr="005806BD">
        <w:rPr>
          <w:sz w:val="24"/>
          <w:szCs w:val="24"/>
        </w:rPr>
        <w:t xml:space="preserve"> rejeitar a hipótese de  que os índices de segurança do alimento são conjuntamente não significantes, também para os modelos N-</w:t>
      </w:r>
      <w:proofErr w:type="spellStart"/>
      <w:r w:rsidRPr="005806BD">
        <w:rPr>
          <w:sz w:val="24"/>
          <w:szCs w:val="24"/>
        </w:rPr>
        <w:t>R</w:t>
      </w:r>
      <w:r w:rsidRPr="005806BD">
        <w:rPr>
          <w:sz w:val="24"/>
          <w:szCs w:val="24"/>
          <w:vertAlign w:val="superscript"/>
        </w:rPr>
        <w:t>matriz</w:t>
      </w:r>
      <w:proofErr w:type="spellEnd"/>
      <w:r w:rsidRPr="005806BD">
        <w:rPr>
          <w:sz w:val="24"/>
          <w:szCs w:val="24"/>
        </w:rPr>
        <w:t xml:space="preserve"> e D-</w:t>
      </w:r>
      <w:proofErr w:type="spellStart"/>
      <w:r w:rsidRPr="005806BD">
        <w:rPr>
          <w:sz w:val="24"/>
          <w:szCs w:val="24"/>
        </w:rPr>
        <w:t>R</w:t>
      </w:r>
      <w:r w:rsidRPr="005806BD">
        <w:rPr>
          <w:sz w:val="24"/>
          <w:szCs w:val="24"/>
          <w:vertAlign w:val="superscript"/>
        </w:rPr>
        <w:t>matriz</w:t>
      </w:r>
      <w:proofErr w:type="spellEnd"/>
      <w:r w:rsidRPr="005806BD">
        <w:rPr>
          <w:sz w:val="24"/>
          <w:szCs w:val="24"/>
        </w:rPr>
        <w:t>.</w:t>
      </w:r>
    </w:p>
  </w:footnote>
  <w:footnote w:id="13">
    <w:p w14:paraId="7E1634AB" w14:textId="77777777" w:rsidR="00D41F01" w:rsidRPr="005806BD" w:rsidRDefault="00D41F01" w:rsidP="00094A06">
      <w:pPr>
        <w:jc w:val="both"/>
      </w:pPr>
      <w:r w:rsidRPr="005806BD">
        <w:rPr>
          <w:rStyle w:val="FootnoteReference"/>
        </w:rPr>
        <w:footnoteRef/>
      </w:r>
      <w:r w:rsidRPr="005806BD">
        <w:t xml:space="preserve"> As equações utilizada</w:t>
      </w:r>
      <w:r>
        <w:t>s</w:t>
      </w:r>
      <w:r w:rsidRPr="005806BD">
        <w:t xml:space="preserve"> para se calcular, respectivamente, as elasticidades-preço Marshallianas (</w:t>
      </w:r>
      <w:r w:rsidRPr="005806BD">
        <w:rPr>
          <w:i/>
        </w:rPr>
        <w:sym w:font="Symbol" w:char="F068"/>
      </w:r>
      <w:proofErr w:type="spellStart"/>
      <w:r w:rsidRPr="005806BD">
        <w:rPr>
          <w:i/>
          <w:vertAlign w:val="subscript"/>
        </w:rPr>
        <w:t>ij</w:t>
      </w:r>
      <w:proofErr w:type="spellEnd"/>
      <w:r w:rsidRPr="005806BD">
        <w:rPr>
          <w:iCs/>
        </w:rPr>
        <w:t xml:space="preserve">) </w:t>
      </w:r>
      <w:r w:rsidRPr="005806BD">
        <w:t>e</w:t>
      </w:r>
      <w:r>
        <w:t xml:space="preserve"> as</w:t>
      </w:r>
      <w:r w:rsidRPr="005806BD">
        <w:t xml:space="preserve"> elasticidades-gasto (</w:t>
      </w:r>
      <w:r w:rsidRPr="005806BD">
        <w:rPr>
          <w:i/>
        </w:rPr>
        <w:sym w:font="Symbol" w:char="F068"/>
      </w:r>
      <w:r w:rsidRPr="005806BD">
        <w:rPr>
          <w:i/>
          <w:vertAlign w:val="subscript"/>
        </w:rPr>
        <w:t>ix</w:t>
      </w:r>
      <w:r w:rsidRPr="005806BD">
        <w:t>) são:</w:t>
      </w:r>
    </w:p>
    <w:p w14:paraId="34EF861F" w14:textId="77777777" w:rsidR="00D41F01" w:rsidRPr="005806BD" w:rsidRDefault="00D41F01" w:rsidP="00094A06">
      <w:pPr>
        <w:jc w:val="both"/>
      </w:pPr>
      <w:r w:rsidRPr="005806BD">
        <w:rPr>
          <w:position w:val="-30"/>
        </w:rPr>
        <w:object w:dxaOrig="6100" w:dyaOrig="820" w14:anchorId="1B6C4A6A">
          <v:shape id="_x0000_i1070" type="#_x0000_t75" style="width:305.1pt;height:40.8pt" o:ole="">
            <v:imagedata r:id="rId3" o:title=""/>
          </v:shape>
          <o:OLEObject Type="Embed" ProgID="Equation.DSMT4" ShapeID="_x0000_i1070" DrawAspect="Content" ObjectID="_1341397248" r:id="rId4"/>
        </w:object>
      </w:r>
      <w:r w:rsidRPr="005806BD">
        <w:rPr>
          <w:position w:val="-10"/>
        </w:rPr>
        <w:object w:dxaOrig="499" w:dyaOrig="320" w14:anchorId="246F7E94">
          <v:shape id="_x0000_i1072" type="#_x0000_t75" style="width:24.65pt;height:16.1pt" o:ole="">
            <v:imagedata r:id="rId5" o:title=""/>
          </v:shape>
          <o:OLEObject Type="Embed" ProgID="Equation.DSMT4" ShapeID="_x0000_i1072" DrawAspect="Content" ObjectID="_1341397249" r:id="rId6"/>
        </w:object>
      </w:r>
    </w:p>
    <w:p w14:paraId="63F932CB" w14:textId="77777777" w:rsidR="00D41F01" w:rsidRPr="005806BD" w:rsidRDefault="00D41F01" w:rsidP="00094A06">
      <w:pPr>
        <w:pStyle w:val="Subsection"/>
        <w:jc w:val="both"/>
        <w:rPr>
          <w:sz w:val="24"/>
          <w:szCs w:val="24"/>
        </w:rPr>
      </w:pPr>
      <w:r w:rsidRPr="005806BD">
        <w:rPr>
          <w:position w:val="-26"/>
          <w:sz w:val="24"/>
          <w:szCs w:val="24"/>
        </w:rPr>
        <w:object w:dxaOrig="3000" w:dyaOrig="639" w14:anchorId="6457C4D6">
          <v:shape id="_x0000_i1074" type="#_x0000_t75" style="width:150.55pt;height:33.25pt" o:ole="">
            <v:imagedata r:id="rId7" o:title=""/>
          </v:shape>
          <o:OLEObject Type="Embed" ProgID="Equation.DSMT4" ShapeID="_x0000_i1074" DrawAspect="Content" ObjectID="_1341397250" r:id="rId8"/>
        </w:object>
      </w:r>
      <w:r w:rsidRPr="005806BD">
        <w:rPr>
          <w:position w:val="-6"/>
          <w:sz w:val="24"/>
          <w:szCs w:val="24"/>
        </w:rPr>
        <w:object w:dxaOrig="300" w:dyaOrig="279" w14:anchorId="1627341D">
          <v:shape id="_x0000_i1076" type="#_x0000_t75" style="width:16.1pt;height:14.6pt" o:ole="">
            <v:imagedata r:id="rId9" o:title=""/>
          </v:shape>
          <o:OLEObject Type="Embed" ProgID="Equation.DSMT4" ShapeID="_x0000_i1076" DrawAspect="Content" ObjectID="_1341397251" r:id="rId10"/>
        </w:object>
      </w:r>
    </w:p>
    <w:p w14:paraId="6A1E8649" w14:textId="77777777" w:rsidR="00D41F01" w:rsidRPr="005806BD" w:rsidRDefault="00D41F01" w:rsidP="00094A06">
      <w:pPr>
        <w:jc w:val="both"/>
      </w:pPr>
      <w:r w:rsidRPr="005806BD">
        <w:t xml:space="preserve">onde </w:t>
      </w:r>
      <w:r w:rsidRPr="005806BD">
        <w:rPr>
          <w:i/>
        </w:rPr>
        <w:sym w:font="Symbol" w:char="F064"/>
      </w:r>
      <w:proofErr w:type="spellStart"/>
      <w:r w:rsidRPr="005806BD">
        <w:rPr>
          <w:i/>
          <w:vertAlign w:val="subscript"/>
        </w:rPr>
        <w:t>ij</w:t>
      </w:r>
      <w:proofErr w:type="spellEnd"/>
      <w:r w:rsidRPr="005806BD">
        <w:t xml:space="preserve"> é o delta de </w:t>
      </w:r>
      <w:proofErr w:type="spellStart"/>
      <w:r w:rsidRPr="005806BD">
        <w:t>Kronecker</w:t>
      </w:r>
      <w:proofErr w:type="spellEnd"/>
      <w:r w:rsidRPr="005806BD">
        <w:t xml:space="preserve">, tal que, </w:t>
      </w:r>
      <w:r w:rsidRPr="005806BD">
        <w:rPr>
          <w:i/>
        </w:rPr>
        <w:sym w:font="Symbol" w:char="F064"/>
      </w:r>
      <w:proofErr w:type="spellStart"/>
      <w:r w:rsidRPr="005806BD">
        <w:rPr>
          <w:i/>
          <w:vertAlign w:val="subscript"/>
        </w:rPr>
        <w:t>ij</w:t>
      </w:r>
      <w:proofErr w:type="spellEnd"/>
      <w:r w:rsidRPr="005806BD">
        <w:rPr>
          <w:i/>
          <w:vertAlign w:val="subscript"/>
        </w:rPr>
        <w:t xml:space="preserve"> </w:t>
      </w:r>
      <w:r w:rsidRPr="005806BD">
        <w:t xml:space="preserve">= 1 para </w:t>
      </w:r>
      <w:r w:rsidRPr="005806BD">
        <w:rPr>
          <w:i/>
        </w:rPr>
        <w:t xml:space="preserve">i </w:t>
      </w:r>
      <w:r w:rsidRPr="005806BD">
        <w:t xml:space="preserve">= </w:t>
      </w:r>
      <w:r w:rsidRPr="005806BD">
        <w:rPr>
          <w:i/>
        </w:rPr>
        <w:t xml:space="preserve">j </w:t>
      </w:r>
      <w:r w:rsidRPr="005806BD">
        <w:t xml:space="preserve">e, caso contrário, </w:t>
      </w:r>
      <w:r w:rsidRPr="005806BD">
        <w:rPr>
          <w:i/>
        </w:rPr>
        <w:sym w:font="Symbol" w:char="F064"/>
      </w:r>
      <w:proofErr w:type="spellStart"/>
      <w:r w:rsidRPr="005806BD">
        <w:rPr>
          <w:i/>
          <w:vertAlign w:val="subscript"/>
        </w:rPr>
        <w:t>ij</w:t>
      </w:r>
      <w:proofErr w:type="spellEnd"/>
      <w:r w:rsidRPr="005806BD">
        <w:rPr>
          <w:i/>
          <w:vertAlign w:val="subscript"/>
        </w:rPr>
        <w:t xml:space="preserve"> </w:t>
      </w:r>
      <w:r w:rsidRPr="005806BD">
        <w:t>= 0.</w:t>
      </w:r>
    </w:p>
    <w:p w14:paraId="301297FB" w14:textId="77777777" w:rsidR="00D41F01" w:rsidRPr="005806BD" w:rsidRDefault="00D41F01" w:rsidP="00094A06">
      <w:pPr>
        <w:pStyle w:val="Subsubsection"/>
        <w:jc w:val="both"/>
        <w:rPr>
          <w:sz w:val="24"/>
          <w:szCs w:val="24"/>
          <w:lang w:val="pt-BR"/>
        </w:rPr>
      </w:pPr>
      <w:r w:rsidRPr="005806BD">
        <w:rPr>
          <w:rStyle w:val="Bold"/>
          <w:rFonts w:ascii="Times New Roman" w:hAnsi="Times New Roman" w:cs="Times New Roman"/>
          <w:sz w:val="24"/>
          <w:szCs w:val="24"/>
          <w:lang w:val="pt-BR"/>
        </w:rPr>
        <w:t xml:space="preserve">As elasticidades-preço Hicksianas ou compensadas foram estimadas a partir das equações de </w:t>
      </w:r>
      <w:proofErr w:type="spellStart"/>
      <w:r w:rsidRPr="005806BD">
        <w:rPr>
          <w:rStyle w:val="Bold"/>
          <w:rFonts w:ascii="Times New Roman" w:hAnsi="Times New Roman" w:cs="Times New Roman"/>
          <w:sz w:val="24"/>
          <w:szCs w:val="24"/>
          <w:lang w:val="pt-BR"/>
        </w:rPr>
        <w:t>Slutsky</w:t>
      </w:r>
      <w:proofErr w:type="spellEnd"/>
      <w:r w:rsidRPr="005806BD">
        <w:rPr>
          <w:rStyle w:val="Bold"/>
          <w:rFonts w:ascii="Times New Roman" w:hAnsi="Times New Roman" w:cs="Times New Roman"/>
          <w:sz w:val="24"/>
          <w:szCs w:val="24"/>
          <w:lang w:val="pt-BR"/>
        </w:rPr>
        <w:t xml:space="preserve"> na forma de elasticidade:</w:t>
      </w:r>
    </w:p>
    <w:p w14:paraId="545D3C84" w14:textId="77777777" w:rsidR="00D41F01" w:rsidRPr="005806BD" w:rsidRDefault="00D41F01" w:rsidP="00094A06">
      <w:pPr>
        <w:pStyle w:val="BodyText"/>
      </w:pPr>
      <w:r w:rsidRPr="005806BD">
        <w:rPr>
          <w:position w:val="-12"/>
        </w:rPr>
        <w:object w:dxaOrig="1740" w:dyaOrig="320" w14:anchorId="7907055D">
          <v:shape id="_x0000_i1078" type="#_x0000_t75" style="width:87.6pt;height:16.1pt" o:ole="">
            <v:imagedata r:id="rId11" o:title=""/>
          </v:shape>
          <o:OLEObject Type="Embed" ProgID="Equation.DSMT4" ShapeID="_x0000_i1078" DrawAspect="Content" ObjectID="_1341397252" r:id="rId12"/>
        </w:object>
      </w:r>
      <w:r w:rsidRPr="005806BD">
        <w:rPr>
          <w:position w:val="-10"/>
        </w:rPr>
        <w:object w:dxaOrig="499" w:dyaOrig="320" w14:anchorId="1D65AFE8">
          <v:shape id="_x0000_i1080" type="#_x0000_t75" style="width:24.65pt;height:16.1pt" o:ole="">
            <v:imagedata r:id="rId13" o:title=""/>
          </v:shape>
          <o:OLEObject Type="Embed" ProgID="Equation.DSMT4" ShapeID="_x0000_i1080" DrawAspect="Content" ObjectID="_1341397253" r:id="rId14"/>
        </w:object>
      </w:r>
    </w:p>
  </w:footnote>
  <w:footnote w:id="14">
    <w:p w14:paraId="17E786F9" w14:textId="77777777" w:rsidR="00D41F01" w:rsidRPr="00066059" w:rsidRDefault="00D41F01" w:rsidP="00094A06">
      <w:pPr>
        <w:pStyle w:val="FootnoteText"/>
        <w:jc w:val="both"/>
        <w:rPr>
          <w:sz w:val="24"/>
          <w:szCs w:val="24"/>
        </w:rPr>
      </w:pPr>
      <w:r>
        <w:rPr>
          <w:rStyle w:val="FootnoteReference"/>
        </w:rPr>
        <w:footnoteRef/>
      </w:r>
      <w:r w:rsidRPr="00066059">
        <w:t xml:space="preserve"> </w:t>
      </w:r>
      <w:r w:rsidRPr="00066059">
        <w:rPr>
          <w:sz w:val="24"/>
          <w:szCs w:val="24"/>
        </w:rPr>
        <w:t>A di</w:t>
      </w:r>
      <w:r>
        <w:rPr>
          <w:sz w:val="24"/>
          <w:szCs w:val="24"/>
        </w:rPr>
        <w:t>ag</w:t>
      </w:r>
      <w:r w:rsidRPr="00066059">
        <w:rPr>
          <w:sz w:val="24"/>
          <w:szCs w:val="24"/>
        </w:rPr>
        <w:t>onal principal da matriz de substituição</w:t>
      </w:r>
      <w:r>
        <w:rPr>
          <w:sz w:val="24"/>
          <w:szCs w:val="24"/>
        </w:rPr>
        <w:t xml:space="preserve"> de Hicks-</w:t>
      </w:r>
      <w:proofErr w:type="spellStart"/>
      <w:r>
        <w:rPr>
          <w:sz w:val="24"/>
          <w:szCs w:val="24"/>
        </w:rPr>
        <w:t>Slutsky</w:t>
      </w:r>
      <w:proofErr w:type="spellEnd"/>
      <w:r w:rsidRPr="00066059">
        <w:rPr>
          <w:sz w:val="24"/>
          <w:szCs w:val="24"/>
        </w:rPr>
        <w:t xml:space="preserve"> deve ser </w:t>
      </w:r>
      <w:r>
        <w:rPr>
          <w:sz w:val="24"/>
          <w:szCs w:val="24"/>
        </w:rPr>
        <w:t>composta por</w:t>
      </w:r>
      <w:r w:rsidRPr="00066059">
        <w:rPr>
          <w:sz w:val="24"/>
          <w:szCs w:val="24"/>
        </w:rPr>
        <w:t xml:space="preserve"> </w:t>
      </w:r>
      <w:r>
        <w:rPr>
          <w:sz w:val="24"/>
          <w:szCs w:val="24"/>
        </w:rPr>
        <w:t xml:space="preserve">números não positivos </w:t>
      </w:r>
      <w:r w:rsidRPr="00066059">
        <w:rPr>
          <w:sz w:val="24"/>
          <w:szCs w:val="24"/>
        </w:rPr>
        <w:t xml:space="preserve">como uma das condições para que </w:t>
      </w:r>
      <w:r>
        <w:rPr>
          <w:sz w:val="24"/>
          <w:szCs w:val="24"/>
        </w:rPr>
        <w:t xml:space="preserve">esta </w:t>
      </w:r>
      <w:r w:rsidRPr="00066059">
        <w:rPr>
          <w:sz w:val="24"/>
          <w:szCs w:val="24"/>
        </w:rPr>
        <w:t xml:space="preserve">seja semidefinida </w:t>
      </w:r>
      <w:r>
        <w:rPr>
          <w:sz w:val="24"/>
          <w:szCs w:val="24"/>
        </w:rPr>
        <w:t xml:space="preserve"> </w:t>
      </w:r>
      <w:r w:rsidRPr="00066059">
        <w:rPr>
          <w:sz w:val="24"/>
          <w:szCs w:val="24"/>
        </w:rPr>
        <w:t xml:space="preserve">negativa, </w:t>
      </w:r>
      <w:r>
        <w:rPr>
          <w:sz w:val="24"/>
          <w:szCs w:val="24"/>
        </w:rPr>
        <w:t xml:space="preserve">ou equivalentemente, para que </w:t>
      </w:r>
      <w:r w:rsidRPr="00066059">
        <w:rPr>
          <w:sz w:val="24"/>
          <w:szCs w:val="24"/>
        </w:rPr>
        <w:t>a função gasto seja côncava</w:t>
      </w:r>
      <w:r>
        <w:rPr>
          <w:sz w:val="24"/>
          <w:szCs w:val="24"/>
        </w:rPr>
        <w:t xml:space="preserve"> (proposição 3.G.3 em Mas-</w:t>
      </w:r>
      <w:proofErr w:type="spellStart"/>
      <w:r>
        <w:rPr>
          <w:sz w:val="24"/>
          <w:szCs w:val="24"/>
        </w:rPr>
        <w:t>Collel</w:t>
      </w:r>
      <w:proofErr w:type="spellEnd"/>
      <w:r>
        <w:rPr>
          <w:sz w:val="24"/>
          <w:szCs w:val="24"/>
        </w:rPr>
        <w:t xml:space="preserve"> et al., 1996)</w:t>
      </w:r>
      <w:r w:rsidRPr="00066059">
        <w:rPr>
          <w:sz w:val="24"/>
          <w:szCs w:val="24"/>
        </w:rPr>
        <w:t>.</w:t>
      </w:r>
    </w:p>
  </w:footnote>
  <w:footnote w:id="15">
    <w:p w14:paraId="2831AAF7" w14:textId="77777777" w:rsidR="00286AAB" w:rsidRPr="0031716B" w:rsidRDefault="00286AAB" w:rsidP="00286AAB">
      <w:pPr>
        <w:pStyle w:val="FootnoteText"/>
        <w:jc w:val="both"/>
        <w:rPr>
          <w:sz w:val="24"/>
          <w:szCs w:val="24"/>
        </w:rPr>
      </w:pPr>
      <w:r w:rsidRPr="00785919">
        <w:rPr>
          <w:rStyle w:val="FootnoteReference"/>
          <w:sz w:val="24"/>
          <w:szCs w:val="24"/>
        </w:rPr>
        <w:footnoteRef/>
      </w:r>
      <w:r w:rsidRPr="00785919">
        <w:rPr>
          <w:sz w:val="24"/>
          <w:szCs w:val="24"/>
        </w:rPr>
        <w:t xml:space="preserve"> Para um amplo e sistemático levantamento da literatura mundial, vide os trabalhos de meta-</w:t>
      </w:r>
      <w:r w:rsidRPr="0031716B">
        <w:rPr>
          <w:sz w:val="24"/>
          <w:szCs w:val="24"/>
        </w:rPr>
        <w:t xml:space="preserve">análise </w:t>
      </w:r>
      <w:r>
        <w:rPr>
          <w:sz w:val="24"/>
          <w:szCs w:val="24"/>
        </w:rPr>
        <w:t xml:space="preserve">sobre </w:t>
      </w:r>
      <w:r w:rsidRPr="0031716B">
        <w:rPr>
          <w:sz w:val="24"/>
          <w:szCs w:val="24"/>
        </w:rPr>
        <w:t>as elasticidades-preço</w:t>
      </w:r>
      <w:r>
        <w:rPr>
          <w:sz w:val="24"/>
          <w:szCs w:val="24"/>
        </w:rPr>
        <w:t>s</w:t>
      </w:r>
      <w:r w:rsidRPr="0031716B">
        <w:rPr>
          <w:sz w:val="24"/>
          <w:szCs w:val="24"/>
        </w:rPr>
        <w:t xml:space="preserve"> da demanda por carnes de </w:t>
      </w:r>
      <w:proofErr w:type="spellStart"/>
      <w:r w:rsidRPr="0031716B">
        <w:rPr>
          <w:sz w:val="24"/>
          <w:szCs w:val="24"/>
        </w:rPr>
        <w:t>Gallet</w:t>
      </w:r>
      <w:proofErr w:type="spellEnd"/>
      <w:r w:rsidRPr="0031716B">
        <w:rPr>
          <w:sz w:val="24"/>
          <w:szCs w:val="24"/>
        </w:rPr>
        <w:t xml:space="preserve"> (2009) e </w:t>
      </w:r>
      <w:r>
        <w:rPr>
          <w:sz w:val="24"/>
          <w:szCs w:val="24"/>
        </w:rPr>
        <w:t xml:space="preserve">sobre a </w:t>
      </w:r>
      <w:r w:rsidRPr="0031716B">
        <w:rPr>
          <w:sz w:val="24"/>
          <w:szCs w:val="24"/>
        </w:rPr>
        <w:t xml:space="preserve">elasticidade renda da demanda de </w:t>
      </w:r>
      <w:proofErr w:type="spellStart"/>
      <w:r w:rsidRPr="0031716B">
        <w:rPr>
          <w:sz w:val="24"/>
          <w:szCs w:val="24"/>
        </w:rPr>
        <w:t>Gallet</w:t>
      </w:r>
      <w:proofErr w:type="spellEnd"/>
      <w:r w:rsidRPr="0031716B">
        <w:rPr>
          <w:sz w:val="24"/>
          <w:szCs w:val="24"/>
        </w:rPr>
        <w:t xml:space="preserve"> (2010).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A3909"/>
    <w:multiLevelType w:val="multilevel"/>
    <w:tmpl w:val="F12815BA"/>
    <w:lvl w:ilvl="0">
      <w:start w:val="1"/>
      <w:numFmt w:val="decimal"/>
      <w:lvlText w:val="%1"/>
      <w:lvlJc w:val="left"/>
      <w:pPr>
        <w:ind w:left="432" w:hanging="432"/>
      </w:pPr>
    </w:lvl>
    <w:lvl w:ilvl="1">
      <w:start w:val="1"/>
      <w:numFmt w:val="decimal"/>
      <w:pStyle w:val="Subtitle"/>
      <w:lvlText w:val="%1.%2"/>
      <w:lvlJc w:val="left"/>
      <w:pPr>
        <w:ind w:left="860"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82A1BAF"/>
    <w:multiLevelType w:val="hybridMultilevel"/>
    <w:tmpl w:val="B36E0F14"/>
    <w:lvl w:ilvl="0" w:tplc="9DE25A4C">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849021C"/>
    <w:multiLevelType w:val="multilevel"/>
    <w:tmpl w:val="247273A6"/>
    <w:lvl w:ilvl="0">
      <w:start w:val="1"/>
      <w:numFmt w:val="decimal"/>
      <w:pStyle w:val="Heading9"/>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2210D"/>
    <w:rsid w:val="00000370"/>
    <w:rsid w:val="00000FA3"/>
    <w:rsid w:val="00001884"/>
    <w:rsid w:val="00002A77"/>
    <w:rsid w:val="00004A8D"/>
    <w:rsid w:val="00006E96"/>
    <w:rsid w:val="000075E3"/>
    <w:rsid w:val="000076C7"/>
    <w:rsid w:val="0000797E"/>
    <w:rsid w:val="00010157"/>
    <w:rsid w:val="00011C41"/>
    <w:rsid w:val="00011DF7"/>
    <w:rsid w:val="00013FB2"/>
    <w:rsid w:val="000147E5"/>
    <w:rsid w:val="00014834"/>
    <w:rsid w:val="000156F3"/>
    <w:rsid w:val="00015B69"/>
    <w:rsid w:val="000174FF"/>
    <w:rsid w:val="00020C7F"/>
    <w:rsid w:val="000215B5"/>
    <w:rsid w:val="000220AF"/>
    <w:rsid w:val="000224FB"/>
    <w:rsid w:val="00022823"/>
    <w:rsid w:val="00023094"/>
    <w:rsid w:val="00023931"/>
    <w:rsid w:val="000241C0"/>
    <w:rsid w:val="0002552B"/>
    <w:rsid w:val="00026264"/>
    <w:rsid w:val="00026ACB"/>
    <w:rsid w:val="00026C4A"/>
    <w:rsid w:val="000279FF"/>
    <w:rsid w:val="00027B8A"/>
    <w:rsid w:val="000302C1"/>
    <w:rsid w:val="00030A36"/>
    <w:rsid w:val="00030FF1"/>
    <w:rsid w:val="00031B18"/>
    <w:rsid w:val="00031ED9"/>
    <w:rsid w:val="00032189"/>
    <w:rsid w:val="000324AF"/>
    <w:rsid w:val="00032818"/>
    <w:rsid w:val="00034DF7"/>
    <w:rsid w:val="00035609"/>
    <w:rsid w:val="00035A0A"/>
    <w:rsid w:val="000364DE"/>
    <w:rsid w:val="000372AD"/>
    <w:rsid w:val="00037DFD"/>
    <w:rsid w:val="000407FD"/>
    <w:rsid w:val="000414A1"/>
    <w:rsid w:val="0004171F"/>
    <w:rsid w:val="00042891"/>
    <w:rsid w:val="00042BE3"/>
    <w:rsid w:val="000430BD"/>
    <w:rsid w:val="00043677"/>
    <w:rsid w:val="000440D0"/>
    <w:rsid w:val="000446A0"/>
    <w:rsid w:val="000454A1"/>
    <w:rsid w:val="00045F65"/>
    <w:rsid w:val="00047AD8"/>
    <w:rsid w:val="00050997"/>
    <w:rsid w:val="00051693"/>
    <w:rsid w:val="00052817"/>
    <w:rsid w:val="00053403"/>
    <w:rsid w:val="00056657"/>
    <w:rsid w:val="00060433"/>
    <w:rsid w:val="000605FF"/>
    <w:rsid w:val="00060605"/>
    <w:rsid w:val="0006206D"/>
    <w:rsid w:val="00062488"/>
    <w:rsid w:val="000627A4"/>
    <w:rsid w:val="000629FC"/>
    <w:rsid w:val="000633EA"/>
    <w:rsid w:val="000634EE"/>
    <w:rsid w:val="00063D96"/>
    <w:rsid w:val="00064583"/>
    <w:rsid w:val="000650E7"/>
    <w:rsid w:val="0006510B"/>
    <w:rsid w:val="00065AB8"/>
    <w:rsid w:val="0006622A"/>
    <w:rsid w:val="00071642"/>
    <w:rsid w:val="00071C22"/>
    <w:rsid w:val="00071F86"/>
    <w:rsid w:val="00072355"/>
    <w:rsid w:val="0007265A"/>
    <w:rsid w:val="00072E29"/>
    <w:rsid w:val="000730FF"/>
    <w:rsid w:val="00073817"/>
    <w:rsid w:val="00073B93"/>
    <w:rsid w:val="00074C55"/>
    <w:rsid w:val="000752C6"/>
    <w:rsid w:val="00075362"/>
    <w:rsid w:val="00076211"/>
    <w:rsid w:val="0007629E"/>
    <w:rsid w:val="000771B2"/>
    <w:rsid w:val="000773F4"/>
    <w:rsid w:val="00080805"/>
    <w:rsid w:val="00080DC2"/>
    <w:rsid w:val="0008126D"/>
    <w:rsid w:val="000820F6"/>
    <w:rsid w:val="0008288F"/>
    <w:rsid w:val="00083B06"/>
    <w:rsid w:val="000840BB"/>
    <w:rsid w:val="00084D6C"/>
    <w:rsid w:val="00086A91"/>
    <w:rsid w:val="000870EC"/>
    <w:rsid w:val="0008738C"/>
    <w:rsid w:val="000878BB"/>
    <w:rsid w:val="00087A09"/>
    <w:rsid w:val="00087D15"/>
    <w:rsid w:val="0009059F"/>
    <w:rsid w:val="0009091F"/>
    <w:rsid w:val="00090D25"/>
    <w:rsid w:val="00092C0B"/>
    <w:rsid w:val="0009325C"/>
    <w:rsid w:val="00093A3C"/>
    <w:rsid w:val="00093CC2"/>
    <w:rsid w:val="00094509"/>
    <w:rsid w:val="00094A06"/>
    <w:rsid w:val="00094D07"/>
    <w:rsid w:val="00095E31"/>
    <w:rsid w:val="00097020"/>
    <w:rsid w:val="00097FC0"/>
    <w:rsid w:val="000A1EEA"/>
    <w:rsid w:val="000A476B"/>
    <w:rsid w:val="000A542C"/>
    <w:rsid w:val="000A61D7"/>
    <w:rsid w:val="000A6CEA"/>
    <w:rsid w:val="000A73A2"/>
    <w:rsid w:val="000A78C5"/>
    <w:rsid w:val="000A7993"/>
    <w:rsid w:val="000A7F14"/>
    <w:rsid w:val="000A7FB2"/>
    <w:rsid w:val="000B1F7A"/>
    <w:rsid w:val="000B2AE5"/>
    <w:rsid w:val="000B2BF0"/>
    <w:rsid w:val="000B4080"/>
    <w:rsid w:val="000B420D"/>
    <w:rsid w:val="000B43A3"/>
    <w:rsid w:val="000B44A9"/>
    <w:rsid w:val="000B4D0D"/>
    <w:rsid w:val="000B5F53"/>
    <w:rsid w:val="000B627B"/>
    <w:rsid w:val="000B64C2"/>
    <w:rsid w:val="000B6700"/>
    <w:rsid w:val="000B6733"/>
    <w:rsid w:val="000B6819"/>
    <w:rsid w:val="000B6821"/>
    <w:rsid w:val="000B6B11"/>
    <w:rsid w:val="000B6BD0"/>
    <w:rsid w:val="000B7E69"/>
    <w:rsid w:val="000C0623"/>
    <w:rsid w:val="000C25BC"/>
    <w:rsid w:val="000C3912"/>
    <w:rsid w:val="000C4820"/>
    <w:rsid w:val="000C6675"/>
    <w:rsid w:val="000D0E4B"/>
    <w:rsid w:val="000D0F3B"/>
    <w:rsid w:val="000D12EF"/>
    <w:rsid w:val="000D2196"/>
    <w:rsid w:val="000D4E13"/>
    <w:rsid w:val="000D561C"/>
    <w:rsid w:val="000D5669"/>
    <w:rsid w:val="000D69CC"/>
    <w:rsid w:val="000D7018"/>
    <w:rsid w:val="000D7B9D"/>
    <w:rsid w:val="000E0204"/>
    <w:rsid w:val="000E07A2"/>
    <w:rsid w:val="000E1194"/>
    <w:rsid w:val="000E16A4"/>
    <w:rsid w:val="000E1D8C"/>
    <w:rsid w:val="000E1F5A"/>
    <w:rsid w:val="000E2DE2"/>
    <w:rsid w:val="000E47C5"/>
    <w:rsid w:val="000E4FC8"/>
    <w:rsid w:val="000E6396"/>
    <w:rsid w:val="000E68BF"/>
    <w:rsid w:val="000E6BB8"/>
    <w:rsid w:val="000E6BFE"/>
    <w:rsid w:val="000E6DD3"/>
    <w:rsid w:val="000E73EE"/>
    <w:rsid w:val="000F0168"/>
    <w:rsid w:val="000F08CA"/>
    <w:rsid w:val="000F0B3A"/>
    <w:rsid w:val="000F1C21"/>
    <w:rsid w:val="000F300C"/>
    <w:rsid w:val="000F3969"/>
    <w:rsid w:val="000F3B4D"/>
    <w:rsid w:val="000F4AA8"/>
    <w:rsid w:val="000F4D7C"/>
    <w:rsid w:val="000F58B3"/>
    <w:rsid w:val="000F6DFD"/>
    <w:rsid w:val="000F718C"/>
    <w:rsid w:val="000F78B6"/>
    <w:rsid w:val="00100F6F"/>
    <w:rsid w:val="0010193B"/>
    <w:rsid w:val="00101BFB"/>
    <w:rsid w:val="0010313B"/>
    <w:rsid w:val="001035A6"/>
    <w:rsid w:val="00103E04"/>
    <w:rsid w:val="00105A73"/>
    <w:rsid w:val="00105E67"/>
    <w:rsid w:val="00106A03"/>
    <w:rsid w:val="00106FD3"/>
    <w:rsid w:val="00110E7E"/>
    <w:rsid w:val="00111BED"/>
    <w:rsid w:val="001129E9"/>
    <w:rsid w:val="00112AA8"/>
    <w:rsid w:val="0011380E"/>
    <w:rsid w:val="00113E90"/>
    <w:rsid w:val="00114275"/>
    <w:rsid w:val="001143E7"/>
    <w:rsid w:val="00115A00"/>
    <w:rsid w:val="001170F4"/>
    <w:rsid w:val="0012003A"/>
    <w:rsid w:val="00120208"/>
    <w:rsid w:val="0012165C"/>
    <w:rsid w:val="00121A8A"/>
    <w:rsid w:val="00122BB7"/>
    <w:rsid w:val="00123C89"/>
    <w:rsid w:val="0012515A"/>
    <w:rsid w:val="00126A42"/>
    <w:rsid w:val="00126B1D"/>
    <w:rsid w:val="001300A5"/>
    <w:rsid w:val="00130915"/>
    <w:rsid w:val="00130B92"/>
    <w:rsid w:val="001320C3"/>
    <w:rsid w:val="00132EAB"/>
    <w:rsid w:val="00134052"/>
    <w:rsid w:val="001343DC"/>
    <w:rsid w:val="00134D48"/>
    <w:rsid w:val="00137F1A"/>
    <w:rsid w:val="00140349"/>
    <w:rsid w:val="001405ED"/>
    <w:rsid w:val="00140679"/>
    <w:rsid w:val="0014122C"/>
    <w:rsid w:val="00141565"/>
    <w:rsid w:val="001416B3"/>
    <w:rsid w:val="00143BFE"/>
    <w:rsid w:val="0014504F"/>
    <w:rsid w:val="0014513B"/>
    <w:rsid w:val="00145440"/>
    <w:rsid w:val="001454FA"/>
    <w:rsid w:val="00145DF0"/>
    <w:rsid w:val="001466D0"/>
    <w:rsid w:val="0015023B"/>
    <w:rsid w:val="0015037D"/>
    <w:rsid w:val="001504AC"/>
    <w:rsid w:val="001507B9"/>
    <w:rsid w:val="00151828"/>
    <w:rsid w:val="00151AD5"/>
    <w:rsid w:val="00153139"/>
    <w:rsid w:val="00153906"/>
    <w:rsid w:val="00153C05"/>
    <w:rsid w:val="00154C63"/>
    <w:rsid w:val="00155DB6"/>
    <w:rsid w:val="00155E45"/>
    <w:rsid w:val="00156290"/>
    <w:rsid w:val="00156F60"/>
    <w:rsid w:val="00157C01"/>
    <w:rsid w:val="00157EE3"/>
    <w:rsid w:val="001611B9"/>
    <w:rsid w:val="0016125F"/>
    <w:rsid w:val="00161341"/>
    <w:rsid w:val="001622FB"/>
    <w:rsid w:val="00162F10"/>
    <w:rsid w:val="00163359"/>
    <w:rsid w:val="00163ABB"/>
    <w:rsid w:val="00164308"/>
    <w:rsid w:val="00164EB1"/>
    <w:rsid w:val="001659FE"/>
    <w:rsid w:val="00165ED6"/>
    <w:rsid w:val="00166245"/>
    <w:rsid w:val="00167148"/>
    <w:rsid w:val="00172200"/>
    <w:rsid w:val="001746B5"/>
    <w:rsid w:val="0017555C"/>
    <w:rsid w:val="00175C4E"/>
    <w:rsid w:val="00180A67"/>
    <w:rsid w:val="00181707"/>
    <w:rsid w:val="001825A4"/>
    <w:rsid w:val="00182796"/>
    <w:rsid w:val="0018366C"/>
    <w:rsid w:val="00183C72"/>
    <w:rsid w:val="0018477C"/>
    <w:rsid w:val="00190A93"/>
    <w:rsid w:val="001913AC"/>
    <w:rsid w:val="00192857"/>
    <w:rsid w:val="00192C99"/>
    <w:rsid w:val="001931D5"/>
    <w:rsid w:val="0019628C"/>
    <w:rsid w:val="001969BB"/>
    <w:rsid w:val="00197BB3"/>
    <w:rsid w:val="001A0154"/>
    <w:rsid w:val="001A04F3"/>
    <w:rsid w:val="001A0646"/>
    <w:rsid w:val="001A0D6A"/>
    <w:rsid w:val="001A0DAA"/>
    <w:rsid w:val="001A1394"/>
    <w:rsid w:val="001A1C16"/>
    <w:rsid w:val="001A4482"/>
    <w:rsid w:val="001A465E"/>
    <w:rsid w:val="001A4EA5"/>
    <w:rsid w:val="001A5BF3"/>
    <w:rsid w:val="001A61D2"/>
    <w:rsid w:val="001A63BD"/>
    <w:rsid w:val="001A74D5"/>
    <w:rsid w:val="001A7946"/>
    <w:rsid w:val="001B0B7A"/>
    <w:rsid w:val="001B2AAF"/>
    <w:rsid w:val="001B3D23"/>
    <w:rsid w:val="001B4E54"/>
    <w:rsid w:val="001B57B8"/>
    <w:rsid w:val="001B58C2"/>
    <w:rsid w:val="001B5B39"/>
    <w:rsid w:val="001B670F"/>
    <w:rsid w:val="001C0D03"/>
    <w:rsid w:val="001C2A6A"/>
    <w:rsid w:val="001C45F4"/>
    <w:rsid w:val="001C67CF"/>
    <w:rsid w:val="001C694D"/>
    <w:rsid w:val="001D043A"/>
    <w:rsid w:val="001D06F7"/>
    <w:rsid w:val="001D0B87"/>
    <w:rsid w:val="001D0FFE"/>
    <w:rsid w:val="001D162F"/>
    <w:rsid w:val="001D336C"/>
    <w:rsid w:val="001D3E8B"/>
    <w:rsid w:val="001D4DB8"/>
    <w:rsid w:val="001D6184"/>
    <w:rsid w:val="001D68FD"/>
    <w:rsid w:val="001D7975"/>
    <w:rsid w:val="001D7AC9"/>
    <w:rsid w:val="001E1295"/>
    <w:rsid w:val="001E289E"/>
    <w:rsid w:val="001E2E19"/>
    <w:rsid w:val="001E3434"/>
    <w:rsid w:val="001E3F02"/>
    <w:rsid w:val="001E4748"/>
    <w:rsid w:val="001E4B3A"/>
    <w:rsid w:val="001E4E86"/>
    <w:rsid w:val="001E5F91"/>
    <w:rsid w:val="001E6B70"/>
    <w:rsid w:val="001E7310"/>
    <w:rsid w:val="001E7D8B"/>
    <w:rsid w:val="001F05D4"/>
    <w:rsid w:val="001F064E"/>
    <w:rsid w:val="001F194D"/>
    <w:rsid w:val="001F63D4"/>
    <w:rsid w:val="001F6FE6"/>
    <w:rsid w:val="00202013"/>
    <w:rsid w:val="00202405"/>
    <w:rsid w:val="002048C4"/>
    <w:rsid w:val="00204E1F"/>
    <w:rsid w:val="00205134"/>
    <w:rsid w:val="00205811"/>
    <w:rsid w:val="00205EA1"/>
    <w:rsid w:val="00206ACD"/>
    <w:rsid w:val="00206B0E"/>
    <w:rsid w:val="0021090C"/>
    <w:rsid w:val="00210E58"/>
    <w:rsid w:val="002111D9"/>
    <w:rsid w:val="00212378"/>
    <w:rsid w:val="0021249E"/>
    <w:rsid w:val="00212F74"/>
    <w:rsid w:val="00215AA6"/>
    <w:rsid w:val="00215F10"/>
    <w:rsid w:val="002161B3"/>
    <w:rsid w:val="0021710B"/>
    <w:rsid w:val="00220162"/>
    <w:rsid w:val="00220891"/>
    <w:rsid w:val="002220F0"/>
    <w:rsid w:val="0022210D"/>
    <w:rsid w:val="0022249E"/>
    <w:rsid w:val="00223630"/>
    <w:rsid w:val="002237E6"/>
    <w:rsid w:val="002240C1"/>
    <w:rsid w:val="002249A3"/>
    <w:rsid w:val="0022559C"/>
    <w:rsid w:val="00225F1E"/>
    <w:rsid w:val="002269B7"/>
    <w:rsid w:val="0023180E"/>
    <w:rsid w:val="00232AE4"/>
    <w:rsid w:val="00232C98"/>
    <w:rsid w:val="002340EE"/>
    <w:rsid w:val="0023459C"/>
    <w:rsid w:val="00235FBE"/>
    <w:rsid w:val="00236446"/>
    <w:rsid w:val="00236AF5"/>
    <w:rsid w:val="00240601"/>
    <w:rsid w:val="002408A9"/>
    <w:rsid w:val="002408B8"/>
    <w:rsid w:val="00240BF0"/>
    <w:rsid w:val="0024277D"/>
    <w:rsid w:val="002430EC"/>
    <w:rsid w:val="00243322"/>
    <w:rsid w:val="00243ACD"/>
    <w:rsid w:val="00250192"/>
    <w:rsid w:val="00251808"/>
    <w:rsid w:val="00251A80"/>
    <w:rsid w:val="00252676"/>
    <w:rsid w:val="00252F91"/>
    <w:rsid w:val="00254569"/>
    <w:rsid w:val="00256B09"/>
    <w:rsid w:val="00256B53"/>
    <w:rsid w:val="00256E6E"/>
    <w:rsid w:val="0025770E"/>
    <w:rsid w:val="00260A6A"/>
    <w:rsid w:val="002623B5"/>
    <w:rsid w:val="00262548"/>
    <w:rsid w:val="00262B91"/>
    <w:rsid w:val="00264030"/>
    <w:rsid w:val="00264601"/>
    <w:rsid w:val="00265063"/>
    <w:rsid w:val="002656DA"/>
    <w:rsid w:val="002657D1"/>
    <w:rsid w:val="002662D8"/>
    <w:rsid w:val="00266EA3"/>
    <w:rsid w:val="00270C1D"/>
    <w:rsid w:val="00271540"/>
    <w:rsid w:val="0027199C"/>
    <w:rsid w:val="00271A6B"/>
    <w:rsid w:val="00271CE9"/>
    <w:rsid w:val="00272449"/>
    <w:rsid w:val="00274046"/>
    <w:rsid w:val="00274CF6"/>
    <w:rsid w:val="00275488"/>
    <w:rsid w:val="002763D9"/>
    <w:rsid w:val="0027693B"/>
    <w:rsid w:val="00276EA0"/>
    <w:rsid w:val="00277213"/>
    <w:rsid w:val="00280E76"/>
    <w:rsid w:val="002817C8"/>
    <w:rsid w:val="00281875"/>
    <w:rsid w:val="00281DAF"/>
    <w:rsid w:val="00282766"/>
    <w:rsid w:val="00282FFB"/>
    <w:rsid w:val="002833E3"/>
    <w:rsid w:val="00283408"/>
    <w:rsid w:val="00284BC3"/>
    <w:rsid w:val="0028585D"/>
    <w:rsid w:val="00286AAB"/>
    <w:rsid w:val="002912BC"/>
    <w:rsid w:val="00292D74"/>
    <w:rsid w:val="00294014"/>
    <w:rsid w:val="00294416"/>
    <w:rsid w:val="00294AA7"/>
    <w:rsid w:val="00294E8A"/>
    <w:rsid w:val="00295250"/>
    <w:rsid w:val="00295DD1"/>
    <w:rsid w:val="00295EA4"/>
    <w:rsid w:val="0029616C"/>
    <w:rsid w:val="00297080"/>
    <w:rsid w:val="0029749E"/>
    <w:rsid w:val="00297CD4"/>
    <w:rsid w:val="00297FB2"/>
    <w:rsid w:val="002A1D2E"/>
    <w:rsid w:val="002A349F"/>
    <w:rsid w:val="002A351F"/>
    <w:rsid w:val="002A4F1C"/>
    <w:rsid w:val="002A52CF"/>
    <w:rsid w:val="002A5F8F"/>
    <w:rsid w:val="002A6F74"/>
    <w:rsid w:val="002A7058"/>
    <w:rsid w:val="002B2DD5"/>
    <w:rsid w:val="002B33CF"/>
    <w:rsid w:val="002B3C05"/>
    <w:rsid w:val="002B3F21"/>
    <w:rsid w:val="002B4295"/>
    <w:rsid w:val="002B4F45"/>
    <w:rsid w:val="002B503F"/>
    <w:rsid w:val="002B5332"/>
    <w:rsid w:val="002B5961"/>
    <w:rsid w:val="002C2220"/>
    <w:rsid w:val="002C2CB4"/>
    <w:rsid w:val="002C2CDE"/>
    <w:rsid w:val="002C37C2"/>
    <w:rsid w:val="002C3904"/>
    <w:rsid w:val="002C461A"/>
    <w:rsid w:val="002C4DE6"/>
    <w:rsid w:val="002C5A00"/>
    <w:rsid w:val="002C63D4"/>
    <w:rsid w:val="002C796F"/>
    <w:rsid w:val="002C7A97"/>
    <w:rsid w:val="002D0217"/>
    <w:rsid w:val="002D0A34"/>
    <w:rsid w:val="002D13B3"/>
    <w:rsid w:val="002D1B84"/>
    <w:rsid w:val="002D1D36"/>
    <w:rsid w:val="002D30CC"/>
    <w:rsid w:val="002D4BC6"/>
    <w:rsid w:val="002D4D5B"/>
    <w:rsid w:val="002D4F45"/>
    <w:rsid w:val="002D52A5"/>
    <w:rsid w:val="002D58CE"/>
    <w:rsid w:val="002D6BC8"/>
    <w:rsid w:val="002D6D96"/>
    <w:rsid w:val="002D763E"/>
    <w:rsid w:val="002D799B"/>
    <w:rsid w:val="002E0313"/>
    <w:rsid w:val="002E0E74"/>
    <w:rsid w:val="002E1011"/>
    <w:rsid w:val="002E38DE"/>
    <w:rsid w:val="002E3C7C"/>
    <w:rsid w:val="002E40B2"/>
    <w:rsid w:val="002E5376"/>
    <w:rsid w:val="002E7004"/>
    <w:rsid w:val="002E70E7"/>
    <w:rsid w:val="002F0B3C"/>
    <w:rsid w:val="002F131E"/>
    <w:rsid w:val="002F25AE"/>
    <w:rsid w:val="002F497A"/>
    <w:rsid w:val="002F4CCE"/>
    <w:rsid w:val="002F65DD"/>
    <w:rsid w:val="002F6884"/>
    <w:rsid w:val="002F695C"/>
    <w:rsid w:val="002F6B70"/>
    <w:rsid w:val="002F7842"/>
    <w:rsid w:val="002F79A1"/>
    <w:rsid w:val="003002F3"/>
    <w:rsid w:val="00300E50"/>
    <w:rsid w:val="003018B7"/>
    <w:rsid w:val="00301BA1"/>
    <w:rsid w:val="00305952"/>
    <w:rsid w:val="00306100"/>
    <w:rsid w:val="00306693"/>
    <w:rsid w:val="003067FA"/>
    <w:rsid w:val="00306D7A"/>
    <w:rsid w:val="003075B9"/>
    <w:rsid w:val="00307F68"/>
    <w:rsid w:val="00311068"/>
    <w:rsid w:val="00312195"/>
    <w:rsid w:val="003134AA"/>
    <w:rsid w:val="00314074"/>
    <w:rsid w:val="00314D64"/>
    <w:rsid w:val="003160B6"/>
    <w:rsid w:val="00316AAD"/>
    <w:rsid w:val="0031791D"/>
    <w:rsid w:val="00317A84"/>
    <w:rsid w:val="003201A8"/>
    <w:rsid w:val="00320AFD"/>
    <w:rsid w:val="00321A36"/>
    <w:rsid w:val="003226AA"/>
    <w:rsid w:val="00323A99"/>
    <w:rsid w:val="00323E6C"/>
    <w:rsid w:val="003244D7"/>
    <w:rsid w:val="003255EB"/>
    <w:rsid w:val="00326131"/>
    <w:rsid w:val="003262C8"/>
    <w:rsid w:val="003276C8"/>
    <w:rsid w:val="00327B77"/>
    <w:rsid w:val="0033014B"/>
    <w:rsid w:val="00330966"/>
    <w:rsid w:val="00330BA1"/>
    <w:rsid w:val="0033324A"/>
    <w:rsid w:val="003332A8"/>
    <w:rsid w:val="003358AD"/>
    <w:rsid w:val="00336C76"/>
    <w:rsid w:val="00336E9C"/>
    <w:rsid w:val="00337213"/>
    <w:rsid w:val="003372FE"/>
    <w:rsid w:val="003373F3"/>
    <w:rsid w:val="003412EB"/>
    <w:rsid w:val="003416BB"/>
    <w:rsid w:val="003418DD"/>
    <w:rsid w:val="00341AB3"/>
    <w:rsid w:val="00343847"/>
    <w:rsid w:val="00343A07"/>
    <w:rsid w:val="00345911"/>
    <w:rsid w:val="00345D9E"/>
    <w:rsid w:val="00346AA2"/>
    <w:rsid w:val="00347D88"/>
    <w:rsid w:val="0035001D"/>
    <w:rsid w:val="003503F7"/>
    <w:rsid w:val="00350C58"/>
    <w:rsid w:val="00351E40"/>
    <w:rsid w:val="00351FA3"/>
    <w:rsid w:val="00353720"/>
    <w:rsid w:val="003541FA"/>
    <w:rsid w:val="00354C05"/>
    <w:rsid w:val="003555CA"/>
    <w:rsid w:val="00355688"/>
    <w:rsid w:val="003562D6"/>
    <w:rsid w:val="00356BCF"/>
    <w:rsid w:val="00356D33"/>
    <w:rsid w:val="0035788D"/>
    <w:rsid w:val="0036006F"/>
    <w:rsid w:val="0036025D"/>
    <w:rsid w:val="00361030"/>
    <w:rsid w:val="003612F0"/>
    <w:rsid w:val="0036227A"/>
    <w:rsid w:val="0036252B"/>
    <w:rsid w:val="003629FA"/>
    <w:rsid w:val="00362B38"/>
    <w:rsid w:val="0036432B"/>
    <w:rsid w:val="00364CAB"/>
    <w:rsid w:val="0036632C"/>
    <w:rsid w:val="00366F30"/>
    <w:rsid w:val="003674B8"/>
    <w:rsid w:val="003675C0"/>
    <w:rsid w:val="003706C4"/>
    <w:rsid w:val="003709DC"/>
    <w:rsid w:val="003710CC"/>
    <w:rsid w:val="0037161E"/>
    <w:rsid w:val="00371CA5"/>
    <w:rsid w:val="00372F44"/>
    <w:rsid w:val="00373070"/>
    <w:rsid w:val="0037327C"/>
    <w:rsid w:val="00373989"/>
    <w:rsid w:val="00373E20"/>
    <w:rsid w:val="003742EE"/>
    <w:rsid w:val="003745E8"/>
    <w:rsid w:val="00374EC2"/>
    <w:rsid w:val="00375929"/>
    <w:rsid w:val="003759BD"/>
    <w:rsid w:val="00376D46"/>
    <w:rsid w:val="003779A3"/>
    <w:rsid w:val="0038023D"/>
    <w:rsid w:val="00380564"/>
    <w:rsid w:val="00381454"/>
    <w:rsid w:val="00381589"/>
    <w:rsid w:val="003820C7"/>
    <w:rsid w:val="00382D44"/>
    <w:rsid w:val="00383437"/>
    <w:rsid w:val="0038578F"/>
    <w:rsid w:val="00385DEC"/>
    <w:rsid w:val="0038695E"/>
    <w:rsid w:val="003872E0"/>
    <w:rsid w:val="003875B6"/>
    <w:rsid w:val="003928F4"/>
    <w:rsid w:val="00392EAB"/>
    <w:rsid w:val="0039381C"/>
    <w:rsid w:val="00394AD1"/>
    <w:rsid w:val="00395E16"/>
    <w:rsid w:val="00397F85"/>
    <w:rsid w:val="003A0A53"/>
    <w:rsid w:val="003A101F"/>
    <w:rsid w:val="003A1DA9"/>
    <w:rsid w:val="003A3734"/>
    <w:rsid w:val="003A4461"/>
    <w:rsid w:val="003A4679"/>
    <w:rsid w:val="003A48E4"/>
    <w:rsid w:val="003A67B4"/>
    <w:rsid w:val="003A714F"/>
    <w:rsid w:val="003B2DD3"/>
    <w:rsid w:val="003B3D5C"/>
    <w:rsid w:val="003B40B3"/>
    <w:rsid w:val="003B4D2B"/>
    <w:rsid w:val="003B744C"/>
    <w:rsid w:val="003C0D2C"/>
    <w:rsid w:val="003C14CA"/>
    <w:rsid w:val="003C16D7"/>
    <w:rsid w:val="003C2570"/>
    <w:rsid w:val="003C393F"/>
    <w:rsid w:val="003C43AE"/>
    <w:rsid w:val="003C47C7"/>
    <w:rsid w:val="003C47FE"/>
    <w:rsid w:val="003C4E48"/>
    <w:rsid w:val="003C788B"/>
    <w:rsid w:val="003C7DC2"/>
    <w:rsid w:val="003D11AF"/>
    <w:rsid w:val="003D355C"/>
    <w:rsid w:val="003D3E45"/>
    <w:rsid w:val="003D3F78"/>
    <w:rsid w:val="003D5382"/>
    <w:rsid w:val="003D54DA"/>
    <w:rsid w:val="003D5AED"/>
    <w:rsid w:val="003D6415"/>
    <w:rsid w:val="003D776F"/>
    <w:rsid w:val="003E0815"/>
    <w:rsid w:val="003E1299"/>
    <w:rsid w:val="003E1AEA"/>
    <w:rsid w:val="003E1DBA"/>
    <w:rsid w:val="003E22A9"/>
    <w:rsid w:val="003E354D"/>
    <w:rsid w:val="003E39DB"/>
    <w:rsid w:val="003E3B6C"/>
    <w:rsid w:val="003E472F"/>
    <w:rsid w:val="003E5251"/>
    <w:rsid w:val="003E5571"/>
    <w:rsid w:val="003E6289"/>
    <w:rsid w:val="003E670F"/>
    <w:rsid w:val="003E686A"/>
    <w:rsid w:val="003E6A01"/>
    <w:rsid w:val="003E6D87"/>
    <w:rsid w:val="003E7BBF"/>
    <w:rsid w:val="003E7D2E"/>
    <w:rsid w:val="003F0B36"/>
    <w:rsid w:val="003F16DB"/>
    <w:rsid w:val="003F1BA1"/>
    <w:rsid w:val="003F202F"/>
    <w:rsid w:val="003F23EF"/>
    <w:rsid w:val="003F2EDA"/>
    <w:rsid w:val="003F474A"/>
    <w:rsid w:val="003F77A3"/>
    <w:rsid w:val="003F7ED6"/>
    <w:rsid w:val="00400765"/>
    <w:rsid w:val="00400B4E"/>
    <w:rsid w:val="00401EDB"/>
    <w:rsid w:val="00402E69"/>
    <w:rsid w:val="00403750"/>
    <w:rsid w:val="0040485C"/>
    <w:rsid w:val="00404EDE"/>
    <w:rsid w:val="004054F0"/>
    <w:rsid w:val="00405BE9"/>
    <w:rsid w:val="00406256"/>
    <w:rsid w:val="004071B2"/>
    <w:rsid w:val="004071ED"/>
    <w:rsid w:val="00407B0C"/>
    <w:rsid w:val="00410042"/>
    <w:rsid w:val="00410A41"/>
    <w:rsid w:val="00410CE2"/>
    <w:rsid w:val="004115A5"/>
    <w:rsid w:val="00411FA0"/>
    <w:rsid w:val="004132BA"/>
    <w:rsid w:val="00413D45"/>
    <w:rsid w:val="00413FDE"/>
    <w:rsid w:val="00415959"/>
    <w:rsid w:val="00416198"/>
    <w:rsid w:val="004161DC"/>
    <w:rsid w:val="00416533"/>
    <w:rsid w:val="00416F96"/>
    <w:rsid w:val="0041710B"/>
    <w:rsid w:val="00417684"/>
    <w:rsid w:val="004178FB"/>
    <w:rsid w:val="004209FE"/>
    <w:rsid w:val="00422E04"/>
    <w:rsid w:val="004238A0"/>
    <w:rsid w:val="0042409D"/>
    <w:rsid w:val="004240D9"/>
    <w:rsid w:val="004246EF"/>
    <w:rsid w:val="004246FD"/>
    <w:rsid w:val="0042561F"/>
    <w:rsid w:val="004265BF"/>
    <w:rsid w:val="00426FB4"/>
    <w:rsid w:val="00430001"/>
    <w:rsid w:val="00430470"/>
    <w:rsid w:val="004309C5"/>
    <w:rsid w:val="00431A12"/>
    <w:rsid w:val="00432915"/>
    <w:rsid w:val="00432DAA"/>
    <w:rsid w:val="00432E0F"/>
    <w:rsid w:val="004338EB"/>
    <w:rsid w:val="00434075"/>
    <w:rsid w:val="0043409C"/>
    <w:rsid w:val="0043581C"/>
    <w:rsid w:val="00437FC6"/>
    <w:rsid w:val="004403CB"/>
    <w:rsid w:val="0044074A"/>
    <w:rsid w:val="004408CB"/>
    <w:rsid w:val="004420B1"/>
    <w:rsid w:val="004421F4"/>
    <w:rsid w:val="0044279A"/>
    <w:rsid w:val="00443322"/>
    <w:rsid w:val="0044370B"/>
    <w:rsid w:val="00444070"/>
    <w:rsid w:val="0044440A"/>
    <w:rsid w:val="00446E6E"/>
    <w:rsid w:val="004472EE"/>
    <w:rsid w:val="0044754A"/>
    <w:rsid w:val="00450685"/>
    <w:rsid w:val="004508A3"/>
    <w:rsid w:val="004520B8"/>
    <w:rsid w:val="004531D0"/>
    <w:rsid w:val="00453916"/>
    <w:rsid w:val="00455A09"/>
    <w:rsid w:val="00455A5B"/>
    <w:rsid w:val="00455AA9"/>
    <w:rsid w:val="00457A41"/>
    <w:rsid w:val="00460565"/>
    <w:rsid w:val="00460977"/>
    <w:rsid w:val="00461B36"/>
    <w:rsid w:val="00461B45"/>
    <w:rsid w:val="00462998"/>
    <w:rsid w:val="00462D86"/>
    <w:rsid w:val="00463A9D"/>
    <w:rsid w:val="004664BB"/>
    <w:rsid w:val="0046729A"/>
    <w:rsid w:val="00467810"/>
    <w:rsid w:val="00471A26"/>
    <w:rsid w:val="00471C3B"/>
    <w:rsid w:val="00473712"/>
    <w:rsid w:val="00473BBA"/>
    <w:rsid w:val="00474B0F"/>
    <w:rsid w:val="00474F21"/>
    <w:rsid w:val="00477257"/>
    <w:rsid w:val="00477DB1"/>
    <w:rsid w:val="0048180F"/>
    <w:rsid w:val="00482429"/>
    <w:rsid w:val="00482582"/>
    <w:rsid w:val="00483603"/>
    <w:rsid w:val="00483DDF"/>
    <w:rsid w:val="00484030"/>
    <w:rsid w:val="004844AE"/>
    <w:rsid w:val="00484BBC"/>
    <w:rsid w:val="00486AE3"/>
    <w:rsid w:val="00486DB6"/>
    <w:rsid w:val="00487795"/>
    <w:rsid w:val="004908E7"/>
    <w:rsid w:val="004929C8"/>
    <w:rsid w:val="00493039"/>
    <w:rsid w:val="00494017"/>
    <w:rsid w:val="00494B38"/>
    <w:rsid w:val="004950C1"/>
    <w:rsid w:val="00495717"/>
    <w:rsid w:val="004957FC"/>
    <w:rsid w:val="004A1424"/>
    <w:rsid w:val="004A2F9B"/>
    <w:rsid w:val="004A40CF"/>
    <w:rsid w:val="004A4543"/>
    <w:rsid w:val="004A4CAE"/>
    <w:rsid w:val="004A5768"/>
    <w:rsid w:val="004A7408"/>
    <w:rsid w:val="004A7743"/>
    <w:rsid w:val="004A795B"/>
    <w:rsid w:val="004B098F"/>
    <w:rsid w:val="004B1F70"/>
    <w:rsid w:val="004B224B"/>
    <w:rsid w:val="004B3751"/>
    <w:rsid w:val="004B3BE2"/>
    <w:rsid w:val="004B3E16"/>
    <w:rsid w:val="004B4121"/>
    <w:rsid w:val="004B4538"/>
    <w:rsid w:val="004B557A"/>
    <w:rsid w:val="004B5A5B"/>
    <w:rsid w:val="004B6A6A"/>
    <w:rsid w:val="004B6FB2"/>
    <w:rsid w:val="004B7B38"/>
    <w:rsid w:val="004B7E30"/>
    <w:rsid w:val="004C175C"/>
    <w:rsid w:val="004C24DE"/>
    <w:rsid w:val="004C4D92"/>
    <w:rsid w:val="004C5C8F"/>
    <w:rsid w:val="004C6925"/>
    <w:rsid w:val="004C6D76"/>
    <w:rsid w:val="004C7348"/>
    <w:rsid w:val="004C7FC0"/>
    <w:rsid w:val="004D03F9"/>
    <w:rsid w:val="004D0CD9"/>
    <w:rsid w:val="004D192A"/>
    <w:rsid w:val="004D1B48"/>
    <w:rsid w:val="004D1DF5"/>
    <w:rsid w:val="004D283B"/>
    <w:rsid w:val="004D319C"/>
    <w:rsid w:val="004D32BE"/>
    <w:rsid w:val="004D3471"/>
    <w:rsid w:val="004D419D"/>
    <w:rsid w:val="004D4A31"/>
    <w:rsid w:val="004D4BDD"/>
    <w:rsid w:val="004D5409"/>
    <w:rsid w:val="004D54F4"/>
    <w:rsid w:val="004D6403"/>
    <w:rsid w:val="004D6472"/>
    <w:rsid w:val="004D66C6"/>
    <w:rsid w:val="004D6AB6"/>
    <w:rsid w:val="004D6C12"/>
    <w:rsid w:val="004D6D48"/>
    <w:rsid w:val="004D6E08"/>
    <w:rsid w:val="004D7D09"/>
    <w:rsid w:val="004E0030"/>
    <w:rsid w:val="004E22AF"/>
    <w:rsid w:val="004E2D46"/>
    <w:rsid w:val="004E32B5"/>
    <w:rsid w:val="004E3A53"/>
    <w:rsid w:val="004E7323"/>
    <w:rsid w:val="004E7348"/>
    <w:rsid w:val="004F10A8"/>
    <w:rsid w:val="004F1FE1"/>
    <w:rsid w:val="004F288B"/>
    <w:rsid w:val="004F2C31"/>
    <w:rsid w:val="004F2D93"/>
    <w:rsid w:val="004F3060"/>
    <w:rsid w:val="004F473D"/>
    <w:rsid w:val="004F4BF2"/>
    <w:rsid w:val="004F4C4C"/>
    <w:rsid w:val="004F4C81"/>
    <w:rsid w:val="004F5B4E"/>
    <w:rsid w:val="004F77F7"/>
    <w:rsid w:val="004F78F0"/>
    <w:rsid w:val="004F7E39"/>
    <w:rsid w:val="00500374"/>
    <w:rsid w:val="00500971"/>
    <w:rsid w:val="00500F08"/>
    <w:rsid w:val="00501230"/>
    <w:rsid w:val="0050168C"/>
    <w:rsid w:val="00503124"/>
    <w:rsid w:val="00503F0E"/>
    <w:rsid w:val="00504763"/>
    <w:rsid w:val="00504A7A"/>
    <w:rsid w:val="00505051"/>
    <w:rsid w:val="005051E8"/>
    <w:rsid w:val="00505296"/>
    <w:rsid w:val="00505933"/>
    <w:rsid w:val="00506DF3"/>
    <w:rsid w:val="0051078E"/>
    <w:rsid w:val="00511C3C"/>
    <w:rsid w:val="00511E08"/>
    <w:rsid w:val="00513247"/>
    <w:rsid w:val="00513416"/>
    <w:rsid w:val="00513E93"/>
    <w:rsid w:val="00514478"/>
    <w:rsid w:val="00514913"/>
    <w:rsid w:val="005205B2"/>
    <w:rsid w:val="005213FA"/>
    <w:rsid w:val="00521424"/>
    <w:rsid w:val="00521D59"/>
    <w:rsid w:val="0052227A"/>
    <w:rsid w:val="00525B06"/>
    <w:rsid w:val="005274F3"/>
    <w:rsid w:val="00527BC6"/>
    <w:rsid w:val="00531DFB"/>
    <w:rsid w:val="005322D6"/>
    <w:rsid w:val="005325BF"/>
    <w:rsid w:val="005327FF"/>
    <w:rsid w:val="00532A00"/>
    <w:rsid w:val="00533223"/>
    <w:rsid w:val="00533AE4"/>
    <w:rsid w:val="00534631"/>
    <w:rsid w:val="005355BF"/>
    <w:rsid w:val="00535BA6"/>
    <w:rsid w:val="00535EBE"/>
    <w:rsid w:val="0053624E"/>
    <w:rsid w:val="00537206"/>
    <w:rsid w:val="005379EC"/>
    <w:rsid w:val="00537EEA"/>
    <w:rsid w:val="0054058E"/>
    <w:rsid w:val="00541ED8"/>
    <w:rsid w:val="00542EE0"/>
    <w:rsid w:val="00542FFA"/>
    <w:rsid w:val="0054314F"/>
    <w:rsid w:val="00544EC6"/>
    <w:rsid w:val="005466F6"/>
    <w:rsid w:val="00551038"/>
    <w:rsid w:val="00551663"/>
    <w:rsid w:val="005516FA"/>
    <w:rsid w:val="0055362B"/>
    <w:rsid w:val="005558D2"/>
    <w:rsid w:val="0055680E"/>
    <w:rsid w:val="00560EE1"/>
    <w:rsid w:val="00561A22"/>
    <w:rsid w:val="00561BA0"/>
    <w:rsid w:val="005620CF"/>
    <w:rsid w:val="00562A8A"/>
    <w:rsid w:val="00563AC4"/>
    <w:rsid w:val="00563D46"/>
    <w:rsid w:val="00564E48"/>
    <w:rsid w:val="0056512F"/>
    <w:rsid w:val="00566C53"/>
    <w:rsid w:val="00567D7C"/>
    <w:rsid w:val="00570062"/>
    <w:rsid w:val="00570903"/>
    <w:rsid w:val="00570EF5"/>
    <w:rsid w:val="00571297"/>
    <w:rsid w:val="00573318"/>
    <w:rsid w:val="00573805"/>
    <w:rsid w:val="005756C2"/>
    <w:rsid w:val="00575829"/>
    <w:rsid w:val="00575AA0"/>
    <w:rsid w:val="00575AE3"/>
    <w:rsid w:val="00575D95"/>
    <w:rsid w:val="005766FB"/>
    <w:rsid w:val="005768BD"/>
    <w:rsid w:val="00577216"/>
    <w:rsid w:val="00577795"/>
    <w:rsid w:val="005801FB"/>
    <w:rsid w:val="00580AB3"/>
    <w:rsid w:val="00580B6D"/>
    <w:rsid w:val="00580D4B"/>
    <w:rsid w:val="0058155B"/>
    <w:rsid w:val="00581B6B"/>
    <w:rsid w:val="0058251D"/>
    <w:rsid w:val="00583361"/>
    <w:rsid w:val="00583758"/>
    <w:rsid w:val="00584347"/>
    <w:rsid w:val="00585417"/>
    <w:rsid w:val="00586107"/>
    <w:rsid w:val="00586563"/>
    <w:rsid w:val="00586A81"/>
    <w:rsid w:val="00586C7D"/>
    <w:rsid w:val="00586E04"/>
    <w:rsid w:val="005873A9"/>
    <w:rsid w:val="00587B74"/>
    <w:rsid w:val="00587D56"/>
    <w:rsid w:val="005908AC"/>
    <w:rsid w:val="005917B0"/>
    <w:rsid w:val="00591FEA"/>
    <w:rsid w:val="00592E94"/>
    <w:rsid w:val="005949DB"/>
    <w:rsid w:val="00594F91"/>
    <w:rsid w:val="005959E9"/>
    <w:rsid w:val="00595B06"/>
    <w:rsid w:val="00595F1F"/>
    <w:rsid w:val="00596816"/>
    <w:rsid w:val="005A19A7"/>
    <w:rsid w:val="005A1B82"/>
    <w:rsid w:val="005A1C43"/>
    <w:rsid w:val="005A317F"/>
    <w:rsid w:val="005A35AB"/>
    <w:rsid w:val="005A42A7"/>
    <w:rsid w:val="005A5D08"/>
    <w:rsid w:val="005A61FB"/>
    <w:rsid w:val="005A664C"/>
    <w:rsid w:val="005A70DF"/>
    <w:rsid w:val="005A7BEE"/>
    <w:rsid w:val="005B006C"/>
    <w:rsid w:val="005B01DD"/>
    <w:rsid w:val="005B0925"/>
    <w:rsid w:val="005B0A3C"/>
    <w:rsid w:val="005B361D"/>
    <w:rsid w:val="005B40A0"/>
    <w:rsid w:val="005B4C2B"/>
    <w:rsid w:val="005B760D"/>
    <w:rsid w:val="005C078B"/>
    <w:rsid w:val="005C09B8"/>
    <w:rsid w:val="005C0C6A"/>
    <w:rsid w:val="005C0EA0"/>
    <w:rsid w:val="005C4239"/>
    <w:rsid w:val="005C4795"/>
    <w:rsid w:val="005C65AD"/>
    <w:rsid w:val="005D06CF"/>
    <w:rsid w:val="005D21D4"/>
    <w:rsid w:val="005D234B"/>
    <w:rsid w:val="005D2D90"/>
    <w:rsid w:val="005D3ECC"/>
    <w:rsid w:val="005D4181"/>
    <w:rsid w:val="005E0623"/>
    <w:rsid w:val="005E06D4"/>
    <w:rsid w:val="005E1972"/>
    <w:rsid w:val="005E24FF"/>
    <w:rsid w:val="005E273C"/>
    <w:rsid w:val="005E44CF"/>
    <w:rsid w:val="005E4BD4"/>
    <w:rsid w:val="005E5406"/>
    <w:rsid w:val="005E7478"/>
    <w:rsid w:val="005F10DA"/>
    <w:rsid w:val="005F35E2"/>
    <w:rsid w:val="005F4CF7"/>
    <w:rsid w:val="005F4FF8"/>
    <w:rsid w:val="005F51B4"/>
    <w:rsid w:val="005F7A6D"/>
    <w:rsid w:val="00600FF9"/>
    <w:rsid w:val="006010CB"/>
    <w:rsid w:val="006011F7"/>
    <w:rsid w:val="0060313E"/>
    <w:rsid w:val="00605E5C"/>
    <w:rsid w:val="00606059"/>
    <w:rsid w:val="0060611A"/>
    <w:rsid w:val="00606B17"/>
    <w:rsid w:val="0060775E"/>
    <w:rsid w:val="00607FA4"/>
    <w:rsid w:val="00610549"/>
    <w:rsid w:val="00611B09"/>
    <w:rsid w:val="00612E3F"/>
    <w:rsid w:val="00614731"/>
    <w:rsid w:val="006152FE"/>
    <w:rsid w:val="0061628E"/>
    <w:rsid w:val="00616D74"/>
    <w:rsid w:val="00621B4F"/>
    <w:rsid w:val="00621F05"/>
    <w:rsid w:val="00622523"/>
    <w:rsid w:val="00622B22"/>
    <w:rsid w:val="006233E2"/>
    <w:rsid w:val="00623BCC"/>
    <w:rsid w:val="006253E4"/>
    <w:rsid w:val="006254D9"/>
    <w:rsid w:val="00625592"/>
    <w:rsid w:val="00625F1B"/>
    <w:rsid w:val="00626A1A"/>
    <w:rsid w:val="00627858"/>
    <w:rsid w:val="006341D3"/>
    <w:rsid w:val="00637859"/>
    <w:rsid w:val="00637AE9"/>
    <w:rsid w:val="006412B3"/>
    <w:rsid w:val="006413DF"/>
    <w:rsid w:val="00642F42"/>
    <w:rsid w:val="0064449F"/>
    <w:rsid w:val="00644694"/>
    <w:rsid w:val="006466C1"/>
    <w:rsid w:val="00647E40"/>
    <w:rsid w:val="0065059A"/>
    <w:rsid w:val="00650A48"/>
    <w:rsid w:val="00650B63"/>
    <w:rsid w:val="00651567"/>
    <w:rsid w:val="006516A5"/>
    <w:rsid w:val="00652CC5"/>
    <w:rsid w:val="006539AC"/>
    <w:rsid w:val="00653C45"/>
    <w:rsid w:val="00654288"/>
    <w:rsid w:val="00655126"/>
    <w:rsid w:val="00660552"/>
    <w:rsid w:val="00661A85"/>
    <w:rsid w:val="00661F18"/>
    <w:rsid w:val="0066203F"/>
    <w:rsid w:val="006629D1"/>
    <w:rsid w:val="00662DDD"/>
    <w:rsid w:val="00666582"/>
    <w:rsid w:val="00666875"/>
    <w:rsid w:val="00666961"/>
    <w:rsid w:val="00666EFB"/>
    <w:rsid w:val="00666FA0"/>
    <w:rsid w:val="00667FE3"/>
    <w:rsid w:val="00670198"/>
    <w:rsid w:val="00670584"/>
    <w:rsid w:val="00670B22"/>
    <w:rsid w:val="00670C36"/>
    <w:rsid w:val="00671546"/>
    <w:rsid w:val="006720B9"/>
    <w:rsid w:val="00673459"/>
    <w:rsid w:val="006736C9"/>
    <w:rsid w:val="00673B22"/>
    <w:rsid w:val="00673B7A"/>
    <w:rsid w:val="00673E4B"/>
    <w:rsid w:val="00674CD5"/>
    <w:rsid w:val="00674DEF"/>
    <w:rsid w:val="00674E7A"/>
    <w:rsid w:val="00676ADC"/>
    <w:rsid w:val="00677222"/>
    <w:rsid w:val="00677F82"/>
    <w:rsid w:val="006819EA"/>
    <w:rsid w:val="006826D7"/>
    <w:rsid w:val="00683284"/>
    <w:rsid w:val="006834FD"/>
    <w:rsid w:val="00683722"/>
    <w:rsid w:val="00683736"/>
    <w:rsid w:val="00683901"/>
    <w:rsid w:val="00685270"/>
    <w:rsid w:val="006852A5"/>
    <w:rsid w:val="00685DA8"/>
    <w:rsid w:val="00686DA5"/>
    <w:rsid w:val="00687BB7"/>
    <w:rsid w:val="0069138B"/>
    <w:rsid w:val="00691C5C"/>
    <w:rsid w:val="00691F3A"/>
    <w:rsid w:val="006936BF"/>
    <w:rsid w:val="00694A63"/>
    <w:rsid w:val="00696E6D"/>
    <w:rsid w:val="00697BE7"/>
    <w:rsid w:val="006A0AD1"/>
    <w:rsid w:val="006A1C4E"/>
    <w:rsid w:val="006A2453"/>
    <w:rsid w:val="006A2733"/>
    <w:rsid w:val="006A43A7"/>
    <w:rsid w:val="006A4616"/>
    <w:rsid w:val="006A51A9"/>
    <w:rsid w:val="006A5ABB"/>
    <w:rsid w:val="006A5B1C"/>
    <w:rsid w:val="006A5FBF"/>
    <w:rsid w:val="006A64EC"/>
    <w:rsid w:val="006A6F8B"/>
    <w:rsid w:val="006A719D"/>
    <w:rsid w:val="006B3EAB"/>
    <w:rsid w:val="006B5499"/>
    <w:rsid w:val="006B556C"/>
    <w:rsid w:val="006B597A"/>
    <w:rsid w:val="006B5CF1"/>
    <w:rsid w:val="006B5DD2"/>
    <w:rsid w:val="006B6050"/>
    <w:rsid w:val="006B650D"/>
    <w:rsid w:val="006B68D0"/>
    <w:rsid w:val="006B7390"/>
    <w:rsid w:val="006B7765"/>
    <w:rsid w:val="006B791B"/>
    <w:rsid w:val="006C04D6"/>
    <w:rsid w:val="006C0B2F"/>
    <w:rsid w:val="006C294D"/>
    <w:rsid w:val="006C3319"/>
    <w:rsid w:val="006C3B61"/>
    <w:rsid w:val="006C3FC5"/>
    <w:rsid w:val="006C4007"/>
    <w:rsid w:val="006C40AB"/>
    <w:rsid w:val="006C4906"/>
    <w:rsid w:val="006C4AE5"/>
    <w:rsid w:val="006C4F3C"/>
    <w:rsid w:val="006C55E5"/>
    <w:rsid w:val="006C63FA"/>
    <w:rsid w:val="006C6666"/>
    <w:rsid w:val="006C67D3"/>
    <w:rsid w:val="006C6BE1"/>
    <w:rsid w:val="006C6C60"/>
    <w:rsid w:val="006D15BB"/>
    <w:rsid w:val="006D1D37"/>
    <w:rsid w:val="006D2B40"/>
    <w:rsid w:val="006D30F5"/>
    <w:rsid w:val="006D4631"/>
    <w:rsid w:val="006D5357"/>
    <w:rsid w:val="006D5BC2"/>
    <w:rsid w:val="006D6507"/>
    <w:rsid w:val="006D6E1A"/>
    <w:rsid w:val="006D79D7"/>
    <w:rsid w:val="006E00A7"/>
    <w:rsid w:val="006E1647"/>
    <w:rsid w:val="006E1F40"/>
    <w:rsid w:val="006E26EB"/>
    <w:rsid w:val="006E55C2"/>
    <w:rsid w:val="006E5945"/>
    <w:rsid w:val="006E654E"/>
    <w:rsid w:val="006E734D"/>
    <w:rsid w:val="006E7D20"/>
    <w:rsid w:val="006F214A"/>
    <w:rsid w:val="006F24B3"/>
    <w:rsid w:val="006F377D"/>
    <w:rsid w:val="006F3926"/>
    <w:rsid w:val="006F3B98"/>
    <w:rsid w:val="006F3D0D"/>
    <w:rsid w:val="006F446D"/>
    <w:rsid w:val="006F4D1E"/>
    <w:rsid w:val="006F5970"/>
    <w:rsid w:val="006F6A54"/>
    <w:rsid w:val="006F6C6F"/>
    <w:rsid w:val="006F73B5"/>
    <w:rsid w:val="006F74EA"/>
    <w:rsid w:val="006F7CD8"/>
    <w:rsid w:val="00700098"/>
    <w:rsid w:val="007004AF"/>
    <w:rsid w:val="00700607"/>
    <w:rsid w:val="00700C9D"/>
    <w:rsid w:val="00701871"/>
    <w:rsid w:val="00702787"/>
    <w:rsid w:val="00702AD3"/>
    <w:rsid w:val="00702E0D"/>
    <w:rsid w:val="007032D2"/>
    <w:rsid w:val="00703500"/>
    <w:rsid w:val="0070481F"/>
    <w:rsid w:val="00704CEB"/>
    <w:rsid w:val="00705080"/>
    <w:rsid w:val="007054BE"/>
    <w:rsid w:val="007061D0"/>
    <w:rsid w:val="00706736"/>
    <w:rsid w:val="00707FC6"/>
    <w:rsid w:val="00710902"/>
    <w:rsid w:val="00710A73"/>
    <w:rsid w:val="00710BD8"/>
    <w:rsid w:val="007123E7"/>
    <w:rsid w:val="0071345F"/>
    <w:rsid w:val="00715192"/>
    <w:rsid w:val="00716CA8"/>
    <w:rsid w:val="0071779C"/>
    <w:rsid w:val="007216AE"/>
    <w:rsid w:val="0072221E"/>
    <w:rsid w:val="0072333D"/>
    <w:rsid w:val="00723873"/>
    <w:rsid w:val="00723875"/>
    <w:rsid w:val="0072472E"/>
    <w:rsid w:val="00724AC1"/>
    <w:rsid w:val="00724F55"/>
    <w:rsid w:val="00725ABF"/>
    <w:rsid w:val="00726A17"/>
    <w:rsid w:val="00726D1A"/>
    <w:rsid w:val="0072722E"/>
    <w:rsid w:val="0073042F"/>
    <w:rsid w:val="0073072D"/>
    <w:rsid w:val="007309B6"/>
    <w:rsid w:val="00731C29"/>
    <w:rsid w:val="00731C34"/>
    <w:rsid w:val="007323EE"/>
    <w:rsid w:val="00733920"/>
    <w:rsid w:val="007350E4"/>
    <w:rsid w:val="007359DB"/>
    <w:rsid w:val="00735B94"/>
    <w:rsid w:val="00736EB7"/>
    <w:rsid w:val="00737769"/>
    <w:rsid w:val="0074013D"/>
    <w:rsid w:val="007402F5"/>
    <w:rsid w:val="00740B74"/>
    <w:rsid w:val="00740DD4"/>
    <w:rsid w:val="007418E8"/>
    <w:rsid w:val="00741EAE"/>
    <w:rsid w:val="00741F5C"/>
    <w:rsid w:val="00742181"/>
    <w:rsid w:val="007424CD"/>
    <w:rsid w:val="00743F63"/>
    <w:rsid w:val="00744ACE"/>
    <w:rsid w:val="007452DD"/>
    <w:rsid w:val="00745522"/>
    <w:rsid w:val="00746484"/>
    <w:rsid w:val="007469CE"/>
    <w:rsid w:val="007473AD"/>
    <w:rsid w:val="0074762E"/>
    <w:rsid w:val="00747A0E"/>
    <w:rsid w:val="0075257C"/>
    <w:rsid w:val="00753C74"/>
    <w:rsid w:val="00756A9C"/>
    <w:rsid w:val="007612C3"/>
    <w:rsid w:val="007615FA"/>
    <w:rsid w:val="00762C35"/>
    <w:rsid w:val="007637FF"/>
    <w:rsid w:val="00763F6B"/>
    <w:rsid w:val="007640D2"/>
    <w:rsid w:val="00764892"/>
    <w:rsid w:val="00765BE1"/>
    <w:rsid w:val="00767A3D"/>
    <w:rsid w:val="00771573"/>
    <w:rsid w:val="0077196D"/>
    <w:rsid w:val="00772957"/>
    <w:rsid w:val="00773985"/>
    <w:rsid w:val="00773AE5"/>
    <w:rsid w:val="00773BD6"/>
    <w:rsid w:val="00774497"/>
    <w:rsid w:val="00774622"/>
    <w:rsid w:val="00774875"/>
    <w:rsid w:val="00774A3F"/>
    <w:rsid w:val="00774A43"/>
    <w:rsid w:val="00775C52"/>
    <w:rsid w:val="0077657C"/>
    <w:rsid w:val="00776B1C"/>
    <w:rsid w:val="00776E5B"/>
    <w:rsid w:val="00776EE4"/>
    <w:rsid w:val="00776EFD"/>
    <w:rsid w:val="007803D3"/>
    <w:rsid w:val="0078044D"/>
    <w:rsid w:val="00780AE3"/>
    <w:rsid w:val="00780D38"/>
    <w:rsid w:val="0078170F"/>
    <w:rsid w:val="00781B94"/>
    <w:rsid w:val="00782187"/>
    <w:rsid w:val="00782E62"/>
    <w:rsid w:val="00783672"/>
    <w:rsid w:val="00784332"/>
    <w:rsid w:val="0078477B"/>
    <w:rsid w:val="0078632F"/>
    <w:rsid w:val="00786992"/>
    <w:rsid w:val="00786B67"/>
    <w:rsid w:val="007916B3"/>
    <w:rsid w:val="00791B35"/>
    <w:rsid w:val="00791D9F"/>
    <w:rsid w:val="00792462"/>
    <w:rsid w:val="007934C0"/>
    <w:rsid w:val="00793667"/>
    <w:rsid w:val="0079499D"/>
    <w:rsid w:val="007949BF"/>
    <w:rsid w:val="00794C2C"/>
    <w:rsid w:val="007951E4"/>
    <w:rsid w:val="007953DE"/>
    <w:rsid w:val="0079696F"/>
    <w:rsid w:val="007973F3"/>
    <w:rsid w:val="007979B3"/>
    <w:rsid w:val="00797A7D"/>
    <w:rsid w:val="007A07C4"/>
    <w:rsid w:val="007A2771"/>
    <w:rsid w:val="007A296A"/>
    <w:rsid w:val="007A36C3"/>
    <w:rsid w:val="007A37ED"/>
    <w:rsid w:val="007A3CD5"/>
    <w:rsid w:val="007A4AE4"/>
    <w:rsid w:val="007B0747"/>
    <w:rsid w:val="007B08C9"/>
    <w:rsid w:val="007B097E"/>
    <w:rsid w:val="007B099A"/>
    <w:rsid w:val="007B0DA8"/>
    <w:rsid w:val="007B125E"/>
    <w:rsid w:val="007B1484"/>
    <w:rsid w:val="007B170D"/>
    <w:rsid w:val="007B3E4B"/>
    <w:rsid w:val="007B5AF5"/>
    <w:rsid w:val="007B5F42"/>
    <w:rsid w:val="007B641E"/>
    <w:rsid w:val="007B6A9F"/>
    <w:rsid w:val="007B7681"/>
    <w:rsid w:val="007C00F1"/>
    <w:rsid w:val="007C0306"/>
    <w:rsid w:val="007C0827"/>
    <w:rsid w:val="007C094C"/>
    <w:rsid w:val="007C0AD8"/>
    <w:rsid w:val="007C1330"/>
    <w:rsid w:val="007C1DB1"/>
    <w:rsid w:val="007C2606"/>
    <w:rsid w:val="007C531B"/>
    <w:rsid w:val="007C5E38"/>
    <w:rsid w:val="007C632C"/>
    <w:rsid w:val="007D0340"/>
    <w:rsid w:val="007D0563"/>
    <w:rsid w:val="007D3090"/>
    <w:rsid w:val="007D3DA9"/>
    <w:rsid w:val="007D41AD"/>
    <w:rsid w:val="007D4298"/>
    <w:rsid w:val="007D62C7"/>
    <w:rsid w:val="007D6817"/>
    <w:rsid w:val="007D687F"/>
    <w:rsid w:val="007D6B63"/>
    <w:rsid w:val="007D6DF1"/>
    <w:rsid w:val="007D717E"/>
    <w:rsid w:val="007E0A0C"/>
    <w:rsid w:val="007E15C9"/>
    <w:rsid w:val="007E20FC"/>
    <w:rsid w:val="007E30F1"/>
    <w:rsid w:val="007E3B74"/>
    <w:rsid w:val="007E3FAB"/>
    <w:rsid w:val="007E4179"/>
    <w:rsid w:val="007E45B0"/>
    <w:rsid w:val="007E53B3"/>
    <w:rsid w:val="007E588C"/>
    <w:rsid w:val="007F09A6"/>
    <w:rsid w:val="007F0CF5"/>
    <w:rsid w:val="007F142E"/>
    <w:rsid w:val="007F15FE"/>
    <w:rsid w:val="007F1CC3"/>
    <w:rsid w:val="007F22C2"/>
    <w:rsid w:val="007F3C7C"/>
    <w:rsid w:val="007F489E"/>
    <w:rsid w:val="007F62B9"/>
    <w:rsid w:val="007F64F1"/>
    <w:rsid w:val="00804B98"/>
    <w:rsid w:val="00806D86"/>
    <w:rsid w:val="00807CE2"/>
    <w:rsid w:val="008111EF"/>
    <w:rsid w:val="008113A3"/>
    <w:rsid w:val="008116A3"/>
    <w:rsid w:val="00811936"/>
    <w:rsid w:val="0081239C"/>
    <w:rsid w:val="00812878"/>
    <w:rsid w:val="008130D6"/>
    <w:rsid w:val="008132FA"/>
    <w:rsid w:val="00813595"/>
    <w:rsid w:val="00813C4D"/>
    <w:rsid w:val="00814690"/>
    <w:rsid w:val="008157AF"/>
    <w:rsid w:val="00815982"/>
    <w:rsid w:val="00815D8E"/>
    <w:rsid w:val="00815DA5"/>
    <w:rsid w:val="0082012A"/>
    <w:rsid w:val="0082026A"/>
    <w:rsid w:val="008204DE"/>
    <w:rsid w:val="00820BCA"/>
    <w:rsid w:val="008223BE"/>
    <w:rsid w:val="00822A02"/>
    <w:rsid w:val="00822F4C"/>
    <w:rsid w:val="008230E8"/>
    <w:rsid w:val="0082336E"/>
    <w:rsid w:val="008233B8"/>
    <w:rsid w:val="0082379E"/>
    <w:rsid w:val="00823EAF"/>
    <w:rsid w:val="0082513D"/>
    <w:rsid w:val="00825BC9"/>
    <w:rsid w:val="00825E9F"/>
    <w:rsid w:val="00826742"/>
    <w:rsid w:val="00826CD0"/>
    <w:rsid w:val="00827845"/>
    <w:rsid w:val="008278A0"/>
    <w:rsid w:val="0083017B"/>
    <w:rsid w:val="00830754"/>
    <w:rsid w:val="0083271C"/>
    <w:rsid w:val="00832CBF"/>
    <w:rsid w:val="008330B6"/>
    <w:rsid w:val="0083312B"/>
    <w:rsid w:val="0083383F"/>
    <w:rsid w:val="00834D0D"/>
    <w:rsid w:val="0083558F"/>
    <w:rsid w:val="0083564A"/>
    <w:rsid w:val="00836034"/>
    <w:rsid w:val="0083681E"/>
    <w:rsid w:val="00836B55"/>
    <w:rsid w:val="008373E5"/>
    <w:rsid w:val="00840077"/>
    <w:rsid w:val="00840DAB"/>
    <w:rsid w:val="00841C6B"/>
    <w:rsid w:val="00841E9D"/>
    <w:rsid w:val="008421FC"/>
    <w:rsid w:val="00842AEB"/>
    <w:rsid w:val="00843436"/>
    <w:rsid w:val="008434DB"/>
    <w:rsid w:val="00843BA3"/>
    <w:rsid w:val="00844AB4"/>
    <w:rsid w:val="00844BB8"/>
    <w:rsid w:val="00844DBA"/>
    <w:rsid w:val="0084599F"/>
    <w:rsid w:val="008461FA"/>
    <w:rsid w:val="00846461"/>
    <w:rsid w:val="008477B8"/>
    <w:rsid w:val="00847A94"/>
    <w:rsid w:val="00850FFB"/>
    <w:rsid w:val="008516FD"/>
    <w:rsid w:val="008532DC"/>
    <w:rsid w:val="0085515C"/>
    <w:rsid w:val="00855162"/>
    <w:rsid w:val="0085518D"/>
    <w:rsid w:val="00856129"/>
    <w:rsid w:val="008567BD"/>
    <w:rsid w:val="00856A1D"/>
    <w:rsid w:val="008609F2"/>
    <w:rsid w:val="00862C5D"/>
    <w:rsid w:val="00862F18"/>
    <w:rsid w:val="00862FA0"/>
    <w:rsid w:val="00864636"/>
    <w:rsid w:val="00864758"/>
    <w:rsid w:val="00864B8F"/>
    <w:rsid w:val="008652CD"/>
    <w:rsid w:val="00865CE8"/>
    <w:rsid w:val="008707D0"/>
    <w:rsid w:val="00870D9B"/>
    <w:rsid w:val="00871B74"/>
    <w:rsid w:val="008724B2"/>
    <w:rsid w:val="00873B3D"/>
    <w:rsid w:val="008760F8"/>
    <w:rsid w:val="008776C0"/>
    <w:rsid w:val="00881405"/>
    <w:rsid w:val="008821C5"/>
    <w:rsid w:val="008825B9"/>
    <w:rsid w:val="00884191"/>
    <w:rsid w:val="008849CE"/>
    <w:rsid w:val="00884AC8"/>
    <w:rsid w:val="008855F1"/>
    <w:rsid w:val="00885647"/>
    <w:rsid w:val="00885EAB"/>
    <w:rsid w:val="00886162"/>
    <w:rsid w:val="008867EE"/>
    <w:rsid w:val="00886F7A"/>
    <w:rsid w:val="008872CE"/>
    <w:rsid w:val="00887369"/>
    <w:rsid w:val="00887BE9"/>
    <w:rsid w:val="008914B2"/>
    <w:rsid w:val="00891FC5"/>
    <w:rsid w:val="00892184"/>
    <w:rsid w:val="00893004"/>
    <w:rsid w:val="008940AB"/>
    <w:rsid w:val="008941AE"/>
    <w:rsid w:val="008965BE"/>
    <w:rsid w:val="008979BD"/>
    <w:rsid w:val="008A1044"/>
    <w:rsid w:val="008A11B6"/>
    <w:rsid w:val="008A2BFE"/>
    <w:rsid w:val="008A2E61"/>
    <w:rsid w:val="008A3CE9"/>
    <w:rsid w:val="008A4933"/>
    <w:rsid w:val="008A4980"/>
    <w:rsid w:val="008A558D"/>
    <w:rsid w:val="008A5C84"/>
    <w:rsid w:val="008A6C53"/>
    <w:rsid w:val="008A7F7A"/>
    <w:rsid w:val="008B1DD8"/>
    <w:rsid w:val="008B1FC0"/>
    <w:rsid w:val="008B315C"/>
    <w:rsid w:val="008B4747"/>
    <w:rsid w:val="008B56DF"/>
    <w:rsid w:val="008B5918"/>
    <w:rsid w:val="008B62C2"/>
    <w:rsid w:val="008B7BF9"/>
    <w:rsid w:val="008B7EB4"/>
    <w:rsid w:val="008C0804"/>
    <w:rsid w:val="008C0BA8"/>
    <w:rsid w:val="008C0E6C"/>
    <w:rsid w:val="008C1A85"/>
    <w:rsid w:val="008C1C1E"/>
    <w:rsid w:val="008C5140"/>
    <w:rsid w:val="008C5873"/>
    <w:rsid w:val="008C5C63"/>
    <w:rsid w:val="008C66BC"/>
    <w:rsid w:val="008C6A65"/>
    <w:rsid w:val="008C6FA6"/>
    <w:rsid w:val="008C7B36"/>
    <w:rsid w:val="008C7FDD"/>
    <w:rsid w:val="008D25AF"/>
    <w:rsid w:val="008D262D"/>
    <w:rsid w:val="008D34EB"/>
    <w:rsid w:val="008D3902"/>
    <w:rsid w:val="008D556A"/>
    <w:rsid w:val="008D58B1"/>
    <w:rsid w:val="008D5A5A"/>
    <w:rsid w:val="008D5D4F"/>
    <w:rsid w:val="008D7DE6"/>
    <w:rsid w:val="008E15B9"/>
    <w:rsid w:val="008E2F9C"/>
    <w:rsid w:val="008E3B89"/>
    <w:rsid w:val="008E3F7E"/>
    <w:rsid w:val="008E450A"/>
    <w:rsid w:val="008E4C07"/>
    <w:rsid w:val="008E4CB3"/>
    <w:rsid w:val="008E65D8"/>
    <w:rsid w:val="008F0080"/>
    <w:rsid w:val="008F0DB5"/>
    <w:rsid w:val="008F2E65"/>
    <w:rsid w:val="008F3299"/>
    <w:rsid w:val="008F3B43"/>
    <w:rsid w:val="008F3F3A"/>
    <w:rsid w:val="008F514E"/>
    <w:rsid w:val="008F685E"/>
    <w:rsid w:val="009000FF"/>
    <w:rsid w:val="009017B4"/>
    <w:rsid w:val="00901A25"/>
    <w:rsid w:val="00901C32"/>
    <w:rsid w:val="009025C9"/>
    <w:rsid w:val="0090319D"/>
    <w:rsid w:val="0090493A"/>
    <w:rsid w:val="00904CD8"/>
    <w:rsid w:val="00904F88"/>
    <w:rsid w:val="00905606"/>
    <w:rsid w:val="00905E58"/>
    <w:rsid w:val="00906780"/>
    <w:rsid w:val="009067D5"/>
    <w:rsid w:val="00911315"/>
    <w:rsid w:val="00913F24"/>
    <w:rsid w:val="00914630"/>
    <w:rsid w:val="00914A85"/>
    <w:rsid w:val="009151B6"/>
    <w:rsid w:val="009163D2"/>
    <w:rsid w:val="00916860"/>
    <w:rsid w:val="0091776F"/>
    <w:rsid w:val="00920F12"/>
    <w:rsid w:val="009211ED"/>
    <w:rsid w:val="009224F2"/>
    <w:rsid w:val="00922884"/>
    <w:rsid w:val="00923101"/>
    <w:rsid w:val="00923897"/>
    <w:rsid w:val="00924EB5"/>
    <w:rsid w:val="0092584F"/>
    <w:rsid w:val="00925FC7"/>
    <w:rsid w:val="00926123"/>
    <w:rsid w:val="0092637C"/>
    <w:rsid w:val="00926B24"/>
    <w:rsid w:val="00931019"/>
    <w:rsid w:val="009312F7"/>
    <w:rsid w:val="00932634"/>
    <w:rsid w:val="00932EC3"/>
    <w:rsid w:val="009350B5"/>
    <w:rsid w:val="0093622A"/>
    <w:rsid w:val="00936404"/>
    <w:rsid w:val="009370BF"/>
    <w:rsid w:val="0094081A"/>
    <w:rsid w:val="00941670"/>
    <w:rsid w:val="00942F2B"/>
    <w:rsid w:val="00944B82"/>
    <w:rsid w:val="00944C54"/>
    <w:rsid w:val="009450D9"/>
    <w:rsid w:val="00946A04"/>
    <w:rsid w:val="0095011D"/>
    <w:rsid w:val="00951933"/>
    <w:rsid w:val="009524DC"/>
    <w:rsid w:val="0095383A"/>
    <w:rsid w:val="00954354"/>
    <w:rsid w:val="00955224"/>
    <w:rsid w:val="00955572"/>
    <w:rsid w:val="00956863"/>
    <w:rsid w:val="009575C4"/>
    <w:rsid w:val="00960D2E"/>
    <w:rsid w:val="00961FE0"/>
    <w:rsid w:val="0096216F"/>
    <w:rsid w:val="00962B34"/>
    <w:rsid w:val="0096384D"/>
    <w:rsid w:val="009641C2"/>
    <w:rsid w:val="009641CA"/>
    <w:rsid w:val="00965B15"/>
    <w:rsid w:val="00965FDC"/>
    <w:rsid w:val="00967114"/>
    <w:rsid w:val="00967471"/>
    <w:rsid w:val="00967942"/>
    <w:rsid w:val="009720B7"/>
    <w:rsid w:val="00973148"/>
    <w:rsid w:val="009731B5"/>
    <w:rsid w:val="009736BD"/>
    <w:rsid w:val="009754E2"/>
    <w:rsid w:val="0097555F"/>
    <w:rsid w:val="00975902"/>
    <w:rsid w:val="00977DBA"/>
    <w:rsid w:val="00981281"/>
    <w:rsid w:val="00981391"/>
    <w:rsid w:val="0098178F"/>
    <w:rsid w:val="00981E08"/>
    <w:rsid w:val="00982C28"/>
    <w:rsid w:val="00983562"/>
    <w:rsid w:val="00983A09"/>
    <w:rsid w:val="00984231"/>
    <w:rsid w:val="00984E62"/>
    <w:rsid w:val="00984E98"/>
    <w:rsid w:val="00985038"/>
    <w:rsid w:val="00985B59"/>
    <w:rsid w:val="00986787"/>
    <w:rsid w:val="00986FDD"/>
    <w:rsid w:val="00987C39"/>
    <w:rsid w:val="0099038C"/>
    <w:rsid w:val="009915BB"/>
    <w:rsid w:val="00993128"/>
    <w:rsid w:val="00993712"/>
    <w:rsid w:val="0099476C"/>
    <w:rsid w:val="009959B5"/>
    <w:rsid w:val="009965A4"/>
    <w:rsid w:val="00996AD2"/>
    <w:rsid w:val="0099758C"/>
    <w:rsid w:val="009A1746"/>
    <w:rsid w:val="009A1F1E"/>
    <w:rsid w:val="009A22CB"/>
    <w:rsid w:val="009A2782"/>
    <w:rsid w:val="009A2956"/>
    <w:rsid w:val="009A2F1B"/>
    <w:rsid w:val="009A6028"/>
    <w:rsid w:val="009A7140"/>
    <w:rsid w:val="009B06B0"/>
    <w:rsid w:val="009B09F3"/>
    <w:rsid w:val="009B1B4C"/>
    <w:rsid w:val="009B1C12"/>
    <w:rsid w:val="009B33AD"/>
    <w:rsid w:val="009B4C47"/>
    <w:rsid w:val="009B4CBC"/>
    <w:rsid w:val="009B50FF"/>
    <w:rsid w:val="009B58BF"/>
    <w:rsid w:val="009B64DD"/>
    <w:rsid w:val="009B6950"/>
    <w:rsid w:val="009C0281"/>
    <w:rsid w:val="009C10F0"/>
    <w:rsid w:val="009C15E2"/>
    <w:rsid w:val="009C19AD"/>
    <w:rsid w:val="009C1C23"/>
    <w:rsid w:val="009C2580"/>
    <w:rsid w:val="009C3418"/>
    <w:rsid w:val="009C3952"/>
    <w:rsid w:val="009C401F"/>
    <w:rsid w:val="009C420F"/>
    <w:rsid w:val="009C45C7"/>
    <w:rsid w:val="009C6D8B"/>
    <w:rsid w:val="009C7D51"/>
    <w:rsid w:val="009D05D0"/>
    <w:rsid w:val="009D13B4"/>
    <w:rsid w:val="009D191E"/>
    <w:rsid w:val="009D45AB"/>
    <w:rsid w:val="009D4616"/>
    <w:rsid w:val="009D5F5B"/>
    <w:rsid w:val="009D5FBA"/>
    <w:rsid w:val="009D615F"/>
    <w:rsid w:val="009D6565"/>
    <w:rsid w:val="009D65BA"/>
    <w:rsid w:val="009D6B3C"/>
    <w:rsid w:val="009E0F92"/>
    <w:rsid w:val="009E15A9"/>
    <w:rsid w:val="009E2227"/>
    <w:rsid w:val="009E3BAD"/>
    <w:rsid w:val="009E5D95"/>
    <w:rsid w:val="009E646B"/>
    <w:rsid w:val="009E69A2"/>
    <w:rsid w:val="009E6ABD"/>
    <w:rsid w:val="009E6EC9"/>
    <w:rsid w:val="009E71B1"/>
    <w:rsid w:val="009E7439"/>
    <w:rsid w:val="009E7741"/>
    <w:rsid w:val="009E789E"/>
    <w:rsid w:val="009E78B9"/>
    <w:rsid w:val="009F09E6"/>
    <w:rsid w:val="009F20E5"/>
    <w:rsid w:val="009F3869"/>
    <w:rsid w:val="009F4419"/>
    <w:rsid w:val="009F4C8F"/>
    <w:rsid w:val="009F61F0"/>
    <w:rsid w:val="009F7E1B"/>
    <w:rsid w:val="009F7F2B"/>
    <w:rsid w:val="00A00925"/>
    <w:rsid w:val="00A00D64"/>
    <w:rsid w:val="00A0107F"/>
    <w:rsid w:val="00A013ED"/>
    <w:rsid w:val="00A02BA3"/>
    <w:rsid w:val="00A03F0E"/>
    <w:rsid w:val="00A046C6"/>
    <w:rsid w:val="00A05258"/>
    <w:rsid w:val="00A06379"/>
    <w:rsid w:val="00A06885"/>
    <w:rsid w:val="00A07B10"/>
    <w:rsid w:val="00A11871"/>
    <w:rsid w:val="00A1378F"/>
    <w:rsid w:val="00A16E97"/>
    <w:rsid w:val="00A17BFC"/>
    <w:rsid w:val="00A20019"/>
    <w:rsid w:val="00A205C9"/>
    <w:rsid w:val="00A2066E"/>
    <w:rsid w:val="00A20B35"/>
    <w:rsid w:val="00A21089"/>
    <w:rsid w:val="00A21419"/>
    <w:rsid w:val="00A22102"/>
    <w:rsid w:val="00A2319A"/>
    <w:rsid w:val="00A2365B"/>
    <w:rsid w:val="00A2545E"/>
    <w:rsid w:val="00A25D0E"/>
    <w:rsid w:val="00A26379"/>
    <w:rsid w:val="00A27FE5"/>
    <w:rsid w:val="00A303B7"/>
    <w:rsid w:val="00A30912"/>
    <w:rsid w:val="00A31974"/>
    <w:rsid w:val="00A31F0A"/>
    <w:rsid w:val="00A32F09"/>
    <w:rsid w:val="00A33515"/>
    <w:rsid w:val="00A33AE7"/>
    <w:rsid w:val="00A3410E"/>
    <w:rsid w:val="00A349BB"/>
    <w:rsid w:val="00A35108"/>
    <w:rsid w:val="00A35DE1"/>
    <w:rsid w:val="00A36DAB"/>
    <w:rsid w:val="00A37690"/>
    <w:rsid w:val="00A37C44"/>
    <w:rsid w:val="00A4178E"/>
    <w:rsid w:val="00A4466F"/>
    <w:rsid w:val="00A44894"/>
    <w:rsid w:val="00A44E0D"/>
    <w:rsid w:val="00A455D1"/>
    <w:rsid w:val="00A4582A"/>
    <w:rsid w:val="00A45840"/>
    <w:rsid w:val="00A45940"/>
    <w:rsid w:val="00A461D5"/>
    <w:rsid w:val="00A46B9D"/>
    <w:rsid w:val="00A47C68"/>
    <w:rsid w:val="00A5077D"/>
    <w:rsid w:val="00A51B9B"/>
    <w:rsid w:val="00A5231C"/>
    <w:rsid w:val="00A53DD9"/>
    <w:rsid w:val="00A5629E"/>
    <w:rsid w:val="00A56799"/>
    <w:rsid w:val="00A57C44"/>
    <w:rsid w:val="00A604D5"/>
    <w:rsid w:val="00A60BC4"/>
    <w:rsid w:val="00A61F06"/>
    <w:rsid w:val="00A62223"/>
    <w:rsid w:val="00A638BC"/>
    <w:rsid w:val="00A658FF"/>
    <w:rsid w:val="00A67C3D"/>
    <w:rsid w:val="00A708DB"/>
    <w:rsid w:val="00A70FEA"/>
    <w:rsid w:val="00A72DB6"/>
    <w:rsid w:val="00A74B8F"/>
    <w:rsid w:val="00A7557B"/>
    <w:rsid w:val="00A75A71"/>
    <w:rsid w:val="00A75E5E"/>
    <w:rsid w:val="00A762A9"/>
    <w:rsid w:val="00A76487"/>
    <w:rsid w:val="00A76A1A"/>
    <w:rsid w:val="00A76C50"/>
    <w:rsid w:val="00A80158"/>
    <w:rsid w:val="00A802B7"/>
    <w:rsid w:val="00A80AD7"/>
    <w:rsid w:val="00A81AD9"/>
    <w:rsid w:val="00A8262E"/>
    <w:rsid w:val="00A82EE7"/>
    <w:rsid w:val="00A8325B"/>
    <w:rsid w:val="00A857E2"/>
    <w:rsid w:val="00A870C5"/>
    <w:rsid w:val="00A87CEC"/>
    <w:rsid w:val="00A90B03"/>
    <w:rsid w:val="00A90BE3"/>
    <w:rsid w:val="00A90F10"/>
    <w:rsid w:val="00A90F73"/>
    <w:rsid w:val="00A917A9"/>
    <w:rsid w:val="00A91D72"/>
    <w:rsid w:val="00A91E62"/>
    <w:rsid w:val="00A92750"/>
    <w:rsid w:val="00A9289D"/>
    <w:rsid w:val="00A94C5E"/>
    <w:rsid w:val="00A96630"/>
    <w:rsid w:val="00A9683B"/>
    <w:rsid w:val="00A96ED4"/>
    <w:rsid w:val="00A9799A"/>
    <w:rsid w:val="00AA1180"/>
    <w:rsid w:val="00AA2681"/>
    <w:rsid w:val="00AA3401"/>
    <w:rsid w:val="00AA534E"/>
    <w:rsid w:val="00AA5EE9"/>
    <w:rsid w:val="00AA6886"/>
    <w:rsid w:val="00AA6E7C"/>
    <w:rsid w:val="00AA730E"/>
    <w:rsid w:val="00AA7B02"/>
    <w:rsid w:val="00AB2720"/>
    <w:rsid w:val="00AB30C0"/>
    <w:rsid w:val="00AB384A"/>
    <w:rsid w:val="00AB4216"/>
    <w:rsid w:val="00AB488A"/>
    <w:rsid w:val="00AB49D1"/>
    <w:rsid w:val="00AB5129"/>
    <w:rsid w:val="00AB5246"/>
    <w:rsid w:val="00AB5960"/>
    <w:rsid w:val="00AB628A"/>
    <w:rsid w:val="00AB7988"/>
    <w:rsid w:val="00AC0D8A"/>
    <w:rsid w:val="00AC3F5D"/>
    <w:rsid w:val="00AC5731"/>
    <w:rsid w:val="00AC6DCF"/>
    <w:rsid w:val="00AC7A91"/>
    <w:rsid w:val="00AD0E63"/>
    <w:rsid w:val="00AD38A2"/>
    <w:rsid w:val="00AD3929"/>
    <w:rsid w:val="00AD54E2"/>
    <w:rsid w:val="00AE03C5"/>
    <w:rsid w:val="00AE09F3"/>
    <w:rsid w:val="00AE2A84"/>
    <w:rsid w:val="00AE302A"/>
    <w:rsid w:val="00AE4069"/>
    <w:rsid w:val="00AE5476"/>
    <w:rsid w:val="00AE5942"/>
    <w:rsid w:val="00AE6BC0"/>
    <w:rsid w:val="00AF020C"/>
    <w:rsid w:val="00AF2B05"/>
    <w:rsid w:val="00AF2F0A"/>
    <w:rsid w:val="00AF3524"/>
    <w:rsid w:val="00AF35A8"/>
    <w:rsid w:val="00AF6018"/>
    <w:rsid w:val="00AF61BE"/>
    <w:rsid w:val="00AF6AA1"/>
    <w:rsid w:val="00AF7447"/>
    <w:rsid w:val="00AF7AFA"/>
    <w:rsid w:val="00AF7F37"/>
    <w:rsid w:val="00B00A00"/>
    <w:rsid w:val="00B019DA"/>
    <w:rsid w:val="00B025AD"/>
    <w:rsid w:val="00B0330F"/>
    <w:rsid w:val="00B04C1A"/>
    <w:rsid w:val="00B0583D"/>
    <w:rsid w:val="00B06321"/>
    <w:rsid w:val="00B06809"/>
    <w:rsid w:val="00B06B4A"/>
    <w:rsid w:val="00B06E5D"/>
    <w:rsid w:val="00B07CA1"/>
    <w:rsid w:val="00B10E30"/>
    <w:rsid w:val="00B12065"/>
    <w:rsid w:val="00B127A8"/>
    <w:rsid w:val="00B12B73"/>
    <w:rsid w:val="00B14516"/>
    <w:rsid w:val="00B14ABF"/>
    <w:rsid w:val="00B1646F"/>
    <w:rsid w:val="00B16733"/>
    <w:rsid w:val="00B171DD"/>
    <w:rsid w:val="00B210A5"/>
    <w:rsid w:val="00B212DC"/>
    <w:rsid w:val="00B22E34"/>
    <w:rsid w:val="00B24E98"/>
    <w:rsid w:val="00B2662E"/>
    <w:rsid w:val="00B26C6C"/>
    <w:rsid w:val="00B27AEF"/>
    <w:rsid w:val="00B314AD"/>
    <w:rsid w:val="00B3187B"/>
    <w:rsid w:val="00B3269B"/>
    <w:rsid w:val="00B32704"/>
    <w:rsid w:val="00B32C85"/>
    <w:rsid w:val="00B33B18"/>
    <w:rsid w:val="00B34EF1"/>
    <w:rsid w:val="00B3594D"/>
    <w:rsid w:val="00B407CB"/>
    <w:rsid w:val="00B41831"/>
    <w:rsid w:val="00B42FAB"/>
    <w:rsid w:val="00B43A41"/>
    <w:rsid w:val="00B45FB6"/>
    <w:rsid w:val="00B469C4"/>
    <w:rsid w:val="00B500BC"/>
    <w:rsid w:val="00B503BC"/>
    <w:rsid w:val="00B51DD8"/>
    <w:rsid w:val="00B522F3"/>
    <w:rsid w:val="00B52307"/>
    <w:rsid w:val="00B5248C"/>
    <w:rsid w:val="00B52942"/>
    <w:rsid w:val="00B52C11"/>
    <w:rsid w:val="00B544CE"/>
    <w:rsid w:val="00B557D7"/>
    <w:rsid w:val="00B60E91"/>
    <w:rsid w:val="00B60EAD"/>
    <w:rsid w:val="00B62EB2"/>
    <w:rsid w:val="00B62EE2"/>
    <w:rsid w:val="00B64EA2"/>
    <w:rsid w:val="00B650EE"/>
    <w:rsid w:val="00B65191"/>
    <w:rsid w:val="00B65901"/>
    <w:rsid w:val="00B66B89"/>
    <w:rsid w:val="00B67D3C"/>
    <w:rsid w:val="00B70AEA"/>
    <w:rsid w:val="00B71494"/>
    <w:rsid w:val="00B72B7A"/>
    <w:rsid w:val="00B74E2B"/>
    <w:rsid w:val="00B754A6"/>
    <w:rsid w:val="00B75B26"/>
    <w:rsid w:val="00B76C90"/>
    <w:rsid w:val="00B803AC"/>
    <w:rsid w:val="00B80698"/>
    <w:rsid w:val="00B8120E"/>
    <w:rsid w:val="00B8198A"/>
    <w:rsid w:val="00B824D5"/>
    <w:rsid w:val="00B82BCC"/>
    <w:rsid w:val="00B84351"/>
    <w:rsid w:val="00B8478F"/>
    <w:rsid w:val="00B8590B"/>
    <w:rsid w:val="00B87DFE"/>
    <w:rsid w:val="00B91737"/>
    <w:rsid w:val="00B919D8"/>
    <w:rsid w:val="00B91B60"/>
    <w:rsid w:val="00B920AB"/>
    <w:rsid w:val="00B92CE7"/>
    <w:rsid w:val="00B93857"/>
    <w:rsid w:val="00B93A7E"/>
    <w:rsid w:val="00B9455B"/>
    <w:rsid w:val="00B9458A"/>
    <w:rsid w:val="00B95A29"/>
    <w:rsid w:val="00B963DC"/>
    <w:rsid w:val="00B96F85"/>
    <w:rsid w:val="00B973CD"/>
    <w:rsid w:val="00BA0CB8"/>
    <w:rsid w:val="00BA1898"/>
    <w:rsid w:val="00BA1ABB"/>
    <w:rsid w:val="00BA1F2D"/>
    <w:rsid w:val="00BA2B0F"/>
    <w:rsid w:val="00BA2C2E"/>
    <w:rsid w:val="00BA2C3D"/>
    <w:rsid w:val="00BA3498"/>
    <w:rsid w:val="00BA36C6"/>
    <w:rsid w:val="00BA4205"/>
    <w:rsid w:val="00BA4A1B"/>
    <w:rsid w:val="00BA5DCA"/>
    <w:rsid w:val="00BA6496"/>
    <w:rsid w:val="00BA7EB6"/>
    <w:rsid w:val="00BB1479"/>
    <w:rsid w:val="00BB4539"/>
    <w:rsid w:val="00BB4840"/>
    <w:rsid w:val="00BB4D36"/>
    <w:rsid w:val="00BB4F46"/>
    <w:rsid w:val="00BB630E"/>
    <w:rsid w:val="00BB7005"/>
    <w:rsid w:val="00BC0BAF"/>
    <w:rsid w:val="00BC125A"/>
    <w:rsid w:val="00BC16F5"/>
    <w:rsid w:val="00BC16F8"/>
    <w:rsid w:val="00BC1A4F"/>
    <w:rsid w:val="00BC2144"/>
    <w:rsid w:val="00BC26FF"/>
    <w:rsid w:val="00BC36AB"/>
    <w:rsid w:val="00BC52C7"/>
    <w:rsid w:val="00BC6645"/>
    <w:rsid w:val="00BD12F0"/>
    <w:rsid w:val="00BD164B"/>
    <w:rsid w:val="00BD289D"/>
    <w:rsid w:val="00BD446E"/>
    <w:rsid w:val="00BD4CD9"/>
    <w:rsid w:val="00BD56A7"/>
    <w:rsid w:val="00BD5902"/>
    <w:rsid w:val="00BD6AAC"/>
    <w:rsid w:val="00BE1A3D"/>
    <w:rsid w:val="00BE28FB"/>
    <w:rsid w:val="00BE2E60"/>
    <w:rsid w:val="00BE35FF"/>
    <w:rsid w:val="00BE39CC"/>
    <w:rsid w:val="00BE3C8C"/>
    <w:rsid w:val="00BE3C97"/>
    <w:rsid w:val="00BE3FEB"/>
    <w:rsid w:val="00BE462E"/>
    <w:rsid w:val="00BE4B4D"/>
    <w:rsid w:val="00BE5F92"/>
    <w:rsid w:val="00BE631A"/>
    <w:rsid w:val="00BE664C"/>
    <w:rsid w:val="00BE72FC"/>
    <w:rsid w:val="00BE7314"/>
    <w:rsid w:val="00BE7682"/>
    <w:rsid w:val="00BF22EC"/>
    <w:rsid w:val="00BF290E"/>
    <w:rsid w:val="00BF3F84"/>
    <w:rsid w:val="00BF5A0D"/>
    <w:rsid w:val="00BF5F6C"/>
    <w:rsid w:val="00BF65A5"/>
    <w:rsid w:val="00BF69EC"/>
    <w:rsid w:val="00BF763D"/>
    <w:rsid w:val="00C01039"/>
    <w:rsid w:val="00C01380"/>
    <w:rsid w:val="00C013AB"/>
    <w:rsid w:val="00C01A9D"/>
    <w:rsid w:val="00C02EA2"/>
    <w:rsid w:val="00C03068"/>
    <w:rsid w:val="00C039F7"/>
    <w:rsid w:val="00C03DC8"/>
    <w:rsid w:val="00C0526B"/>
    <w:rsid w:val="00C0572D"/>
    <w:rsid w:val="00C06F4D"/>
    <w:rsid w:val="00C07423"/>
    <w:rsid w:val="00C11026"/>
    <w:rsid w:val="00C11AD0"/>
    <w:rsid w:val="00C122AC"/>
    <w:rsid w:val="00C13655"/>
    <w:rsid w:val="00C13FA7"/>
    <w:rsid w:val="00C142BF"/>
    <w:rsid w:val="00C15ADD"/>
    <w:rsid w:val="00C164A7"/>
    <w:rsid w:val="00C172AA"/>
    <w:rsid w:val="00C176DE"/>
    <w:rsid w:val="00C20C5E"/>
    <w:rsid w:val="00C22F67"/>
    <w:rsid w:val="00C23D61"/>
    <w:rsid w:val="00C2448B"/>
    <w:rsid w:val="00C24CAC"/>
    <w:rsid w:val="00C25101"/>
    <w:rsid w:val="00C26809"/>
    <w:rsid w:val="00C30217"/>
    <w:rsid w:val="00C30BC1"/>
    <w:rsid w:val="00C30D7C"/>
    <w:rsid w:val="00C31090"/>
    <w:rsid w:val="00C310D4"/>
    <w:rsid w:val="00C324F3"/>
    <w:rsid w:val="00C3304F"/>
    <w:rsid w:val="00C339D4"/>
    <w:rsid w:val="00C35518"/>
    <w:rsid w:val="00C35608"/>
    <w:rsid w:val="00C35AD1"/>
    <w:rsid w:val="00C36700"/>
    <w:rsid w:val="00C37475"/>
    <w:rsid w:val="00C374DB"/>
    <w:rsid w:val="00C3779B"/>
    <w:rsid w:val="00C379B3"/>
    <w:rsid w:val="00C406AC"/>
    <w:rsid w:val="00C40C4C"/>
    <w:rsid w:val="00C411E6"/>
    <w:rsid w:val="00C418C9"/>
    <w:rsid w:val="00C42FCD"/>
    <w:rsid w:val="00C4408D"/>
    <w:rsid w:val="00C448C3"/>
    <w:rsid w:val="00C44C3F"/>
    <w:rsid w:val="00C44F7D"/>
    <w:rsid w:val="00C452D2"/>
    <w:rsid w:val="00C4625F"/>
    <w:rsid w:val="00C464C9"/>
    <w:rsid w:val="00C468CD"/>
    <w:rsid w:val="00C46FA2"/>
    <w:rsid w:val="00C50454"/>
    <w:rsid w:val="00C507C8"/>
    <w:rsid w:val="00C5091A"/>
    <w:rsid w:val="00C50AEA"/>
    <w:rsid w:val="00C519B1"/>
    <w:rsid w:val="00C519B6"/>
    <w:rsid w:val="00C51C66"/>
    <w:rsid w:val="00C520EF"/>
    <w:rsid w:val="00C5241E"/>
    <w:rsid w:val="00C5271A"/>
    <w:rsid w:val="00C53B4E"/>
    <w:rsid w:val="00C543E4"/>
    <w:rsid w:val="00C54812"/>
    <w:rsid w:val="00C555AF"/>
    <w:rsid w:val="00C555C4"/>
    <w:rsid w:val="00C563CC"/>
    <w:rsid w:val="00C56A24"/>
    <w:rsid w:val="00C5702E"/>
    <w:rsid w:val="00C61248"/>
    <w:rsid w:val="00C61765"/>
    <w:rsid w:val="00C61C51"/>
    <w:rsid w:val="00C6351A"/>
    <w:rsid w:val="00C63545"/>
    <w:rsid w:val="00C63BF8"/>
    <w:rsid w:val="00C64524"/>
    <w:rsid w:val="00C64755"/>
    <w:rsid w:val="00C65616"/>
    <w:rsid w:val="00C65BD3"/>
    <w:rsid w:val="00C67237"/>
    <w:rsid w:val="00C67CF5"/>
    <w:rsid w:val="00C71558"/>
    <w:rsid w:val="00C71B98"/>
    <w:rsid w:val="00C72062"/>
    <w:rsid w:val="00C72497"/>
    <w:rsid w:val="00C733F4"/>
    <w:rsid w:val="00C73479"/>
    <w:rsid w:val="00C735A5"/>
    <w:rsid w:val="00C742EC"/>
    <w:rsid w:val="00C7443E"/>
    <w:rsid w:val="00C74A23"/>
    <w:rsid w:val="00C7537A"/>
    <w:rsid w:val="00C75DD6"/>
    <w:rsid w:val="00C75E0D"/>
    <w:rsid w:val="00C764BC"/>
    <w:rsid w:val="00C76D43"/>
    <w:rsid w:val="00C771CE"/>
    <w:rsid w:val="00C80303"/>
    <w:rsid w:val="00C808ED"/>
    <w:rsid w:val="00C81BD0"/>
    <w:rsid w:val="00C82824"/>
    <w:rsid w:val="00C846E1"/>
    <w:rsid w:val="00C852C7"/>
    <w:rsid w:val="00C85E0A"/>
    <w:rsid w:val="00C85F48"/>
    <w:rsid w:val="00C8719A"/>
    <w:rsid w:val="00C93F08"/>
    <w:rsid w:val="00C965F0"/>
    <w:rsid w:val="00C967D3"/>
    <w:rsid w:val="00C96B16"/>
    <w:rsid w:val="00C973AA"/>
    <w:rsid w:val="00CA1304"/>
    <w:rsid w:val="00CA41CA"/>
    <w:rsid w:val="00CA4593"/>
    <w:rsid w:val="00CA66BA"/>
    <w:rsid w:val="00CA6A13"/>
    <w:rsid w:val="00CA71AC"/>
    <w:rsid w:val="00CA728F"/>
    <w:rsid w:val="00CB1136"/>
    <w:rsid w:val="00CB1C74"/>
    <w:rsid w:val="00CB25C0"/>
    <w:rsid w:val="00CB2C0D"/>
    <w:rsid w:val="00CB3BBC"/>
    <w:rsid w:val="00CB6842"/>
    <w:rsid w:val="00CB7481"/>
    <w:rsid w:val="00CC1D72"/>
    <w:rsid w:val="00CC1E28"/>
    <w:rsid w:val="00CC235D"/>
    <w:rsid w:val="00CC308D"/>
    <w:rsid w:val="00CC359A"/>
    <w:rsid w:val="00CC3915"/>
    <w:rsid w:val="00CC3AE0"/>
    <w:rsid w:val="00CC3BCA"/>
    <w:rsid w:val="00CC4089"/>
    <w:rsid w:val="00CC596D"/>
    <w:rsid w:val="00CC62E2"/>
    <w:rsid w:val="00CC6D56"/>
    <w:rsid w:val="00CD02D2"/>
    <w:rsid w:val="00CD03D2"/>
    <w:rsid w:val="00CD04F7"/>
    <w:rsid w:val="00CD0908"/>
    <w:rsid w:val="00CD0B94"/>
    <w:rsid w:val="00CD2DED"/>
    <w:rsid w:val="00CD32E4"/>
    <w:rsid w:val="00CD33BE"/>
    <w:rsid w:val="00CD3883"/>
    <w:rsid w:val="00CD42EA"/>
    <w:rsid w:val="00CD565F"/>
    <w:rsid w:val="00CD56E7"/>
    <w:rsid w:val="00CD5B2E"/>
    <w:rsid w:val="00CD6DE6"/>
    <w:rsid w:val="00CE489E"/>
    <w:rsid w:val="00CE5823"/>
    <w:rsid w:val="00CF090E"/>
    <w:rsid w:val="00CF092F"/>
    <w:rsid w:val="00CF1340"/>
    <w:rsid w:val="00CF2851"/>
    <w:rsid w:val="00CF2C38"/>
    <w:rsid w:val="00CF3D69"/>
    <w:rsid w:val="00CF43BD"/>
    <w:rsid w:val="00CF48F8"/>
    <w:rsid w:val="00CF4B39"/>
    <w:rsid w:val="00CF54E7"/>
    <w:rsid w:val="00CF5599"/>
    <w:rsid w:val="00CF55A9"/>
    <w:rsid w:val="00CF6FD7"/>
    <w:rsid w:val="00CF7373"/>
    <w:rsid w:val="00CF76BA"/>
    <w:rsid w:val="00D0002D"/>
    <w:rsid w:val="00D008F3"/>
    <w:rsid w:val="00D00EFA"/>
    <w:rsid w:val="00D00F21"/>
    <w:rsid w:val="00D019AB"/>
    <w:rsid w:val="00D038BE"/>
    <w:rsid w:val="00D04AB5"/>
    <w:rsid w:val="00D05A64"/>
    <w:rsid w:val="00D07B30"/>
    <w:rsid w:val="00D10932"/>
    <w:rsid w:val="00D1123C"/>
    <w:rsid w:val="00D11EC6"/>
    <w:rsid w:val="00D12FAC"/>
    <w:rsid w:val="00D13B3B"/>
    <w:rsid w:val="00D13B85"/>
    <w:rsid w:val="00D13FD0"/>
    <w:rsid w:val="00D140D6"/>
    <w:rsid w:val="00D14DC0"/>
    <w:rsid w:val="00D1570A"/>
    <w:rsid w:val="00D15919"/>
    <w:rsid w:val="00D15C39"/>
    <w:rsid w:val="00D15FB0"/>
    <w:rsid w:val="00D1741D"/>
    <w:rsid w:val="00D20F3A"/>
    <w:rsid w:val="00D20F7F"/>
    <w:rsid w:val="00D212F8"/>
    <w:rsid w:val="00D22507"/>
    <w:rsid w:val="00D239A9"/>
    <w:rsid w:val="00D247D8"/>
    <w:rsid w:val="00D24C53"/>
    <w:rsid w:val="00D255B0"/>
    <w:rsid w:val="00D260DC"/>
    <w:rsid w:val="00D270C7"/>
    <w:rsid w:val="00D27E2A"/>
    <w:rsid w:val="00D30406"/>
    <w:rsid w:val="00D313BF"/>
    <w:rsid w:val="00D316C5"/>
    <w:rsid w:val="00D321A8"/>
    <w:rsid w:val="00D33365"/>
    <w:rsid w:val="00D35C69"/>
    <w:rsid w:val="00D37BC5"/>
    <w:rsid w:val="00D40BD9"/>
    <w:rsid w:val="00D41248"/>
    <w:rsid w:val="00D415A4"/>
    <w:rsid w:val="00D41DEE"/>
    <w:rsid w:val="00D41F01"/>
    <w:rsid w:val="00D4274C"/>
    <w:rsid w:val="00D4422E"/>
    <w:rsid w:val="00D44706"/>
    <w:rsid w:val="00D44EC7"/>
    <w:rsid w:val="00D464EB"/>
    <w:rsid w:val="00D47CF2"/>
    <w:rsid w:val="00D5249E"/>
    <w:rsid w:val="00D528DB"/>
    <w:rsid w:val="00D52DB3"/>
    <w:rsid w:val="00D535A9"/>
    <w:rsid w:val="00D54806"/>
    <w:rsid w:val="00D56340"/>
    <w:rsid w:val="00D5725E"/>
    <w:rsid w:val="00D57336"/>
    <w:rsid w:val="00D57EF1"/>
    <w:rsid w:val="00D60D63"/>
    <w:rsid w:val="00D6232A"/>
    <w:rsid w:val="00D62B16"/>
    <w:rsid w:val="00D62F09"/>
    <w:rsid w:val="00D6360F"/>
    <w:rsid w:val="00D641C1"/>
    <w:rsid w:val="00D6466A"/>
    <w:rsid w:val="00D64994"/>
    <w:rsid w:val="00D64CA1"/>
    <w:rsid w:val="00D660EA"/>
    <w:rsid w:val="00D66951"/>
    <w:rsid w:val="00D66FA5"/>
    <w:rsid w:val="00D672D3"/>
    <w:rsid w:val="00D67E1A"/>
    <w:rsid w:val="00D70223"/>
    <w:rsid w:val="00D70E96"/>
    <w:rsid w:val="00D72508"/>
    <w:rsid w:val="00D72C8D"/>
    <w:rsid w:val="00D74850"/>
    <w:rsid w:val="00D74C4D"/>
    <w:rsid w:val="00D752A6"/>
    <w:rsid w:val="00D752D0"/>
    <w:rsid w:val="00D76607"/>
    <w:rsid w:val="00D76989"/>
    <w:rsid w:val="00D816D4"/>
    <w:rsid w:val="00D82B9E"/>
    <w:rsid w:val="00D82BE2"/>
    <w:rsid w:val="00D82C31"/>
    <w:rsid w:val="00D83AD3"/>
    <w:rsid w:val="00D844BF"/>
    <w:rsid w:val="00D84ADE"/>
    <w:rsid w:val="00D84FC3"/>
    <w:rsid w:val="00D85D82"/>
    <w:rsid w:val="00D861FD"/>
    <w:rsid w:val="00D874EF"/>
    <w:rsid w:val="00D8773A"/>
    <w:rsid w:val="00D901DA"/>
    <w:rsid w:val="00D91E4C"/>
    <w:rsid w:val="00D95420"/>
    <w:rsid w:val="00D95AE9"/>
    <w:rsid w:val="00D95F7C"/>
    <w:rsid w:val="00D964A8"/>
    <w:rsid w:val="00D970A1"/>
    <w:rsid w:val="00D976CE"/>
    <w:rsid w:val="00DA0A2A"/>
    <w:rsid w:val="00DA0F88"/>
    <w:rsid w:val="00DA136D"/>
    <w:rsid w:val="00DA2033"/>
    <w:rsid w:val="00DA33E3"/>
    <w:rsid w:val="00DA3E48"/>
    <w:rsid w:val="00DA4441"/>
    <w:rsid w:val="00DA5936"/>
    <w:rsid w:val="00DA6885"/>
    <w:rsid w:val="00DA74E4"/>
    <w:rsid w:val="00DA7FF1"/>
    <w:rsid w:val="00DB0B15"/>
    <w:rsid w:val="00DB2155"/>
    <w:rsid w:val="00DB2C64"/>
    <w:rsid w:val="00DB2CD5"/>
    <w:rsid w:val="00DB3C68"/>
    <w:rsid w:val="00DB41A0"/>
    <w:rsid w:val="00DB45AC"/>
    <w:rsid w:val="00DB6015"/>
    <w:rsid w:val="00DB60AB"/>
    <w:rsid w:val="00DB7044"/>
    <w:rsid w:val="00DC00D4"/>
    <w:rsid w:val="00DC06FA"/>
    <w:rsid w:val="00DC07A4"/>
    <w:rsid w:val="00DC07FE"/>
    <w:rsid w:val="00DC1377"/>
    <w:rsid w:val="00DC1760"/>
    <w:rsid w:val="00DC2687"/>
    <w:rsid w:val="00DC68C5"/>
    <w:rsid w:val="00DD0559"/>
    <w:rsid w:val="00DD16E4"/>
    <w:rsid w:val="00DD1EDA"/>
    <w:rsid w:val="00DD24D8"/>
    <w:rsid w:val="00DD29B7"/>
    <w:rsid w:val="00DD2ACD"/>
    <w:rsid w:val="00DD2BF3"/>
    <w:rsid w:val="00DD36B4"/>
    <w:rsid w:val="00DD3F7E"/>
    <w:rsid w:val="00DD697D"/>
    <w:rsid w:val="00DD731A"/>
    <w:rsid w:val="00DE015B"/>
    <w:rsid w:val="00DE1776"/>
    <w:rsid w:val="00DE1CB2"/>
    <w:rsid w:val="00DE25A7"/>
    <w:rsid w:val="00DE3366"/>
    <w:rsid w:val="00DE37D5"/>
    <w:rsid w:val="00DE4C03"/>
    <w:rsid w:val="00DE577A"/>
    <w:rsid w:val="00DE57B2"/>
    <w:rsid w:val="00DE5A75"/>
    <w:rsid w:val="00DF14C9"/>
    <w:rsid w:val="00DF19A4"/>
    <w:rsid w:val="00DF2195"/>
    <w:rsid w:val="00DF247F"/>
    <w:rsid w:val="00DF4FF8"/>
    <w:rsid w:val="00DF65FA"/>
    <w:rsid w:val="00DF6E61"/>
    <w:rsid w:val="00DF76C7"/>
    <w:rsid w:val="00DF7C9D"/>
    <w:rsid w:val="00E00BEF"/>
    <w:rsid w:val="00E023E5"/>
    <w:rsid w:val="00E02CC4"/>
    <w:rsid w:val="00E04F73"/>
    <w:rsid w:val="00E04FCB"/>
    <w:rsid w:val="00E054D4"/>
    <w:rsid w:val="00E0607A"/>
    <w:rsid w:val="00E079D3"/>
    <w:rsid w:val="00E106E3"/>
    <w:rsid w:val="00E11078"/>
    <w:rsid w:val="00E12F90"/>
    <w:rsid w:val="00E13D8F"/>
    <w:rsid w:val="00E13E54"/>
    <w:rsid w:val="00E14508"/>
    <w:rsid w:val="00E14CDF"/>
    <w:rsid w:val="00E17C7B"/>
    <w:rsid w:val="00E17D75"/>
    <w:rsid w:val="00E2045A"/>
    <w:rsid w:val="00E22E04"/>
    <w:rsid w:val="00E23013"/>
    <w:rsid w:val="00E23034"/>
    <w:rsid w:val="00E23F68"/>
    <w:rsid w:val="00E2735C"/>
    <w:rsid w:val="00E30558"/>
    <w:rsid w:val="00E30E6E"/>
    <w:rsid w:val="00E30FF7"/>
    <w:rsid w:val="00E31510"/>
    <w:rsid w:val="00E315E8"/>
    <w:rsid w:val="00E31EAD"/>
    <w:rsid w:val="00E329D2"/>
    <w:rsid w:val="00E3511B"/>
    <w:rsid w:val="00E3564D"/>
    <w:rsid w:val="00E35922"/>
    <w:rsid w:val="00E359A8"/>
    <w:rsid w:val="00E3605F"/>
    <w:rsid w:val="00E36718"/>
    <w:rsid w:val="00E37D86"/>
    <w:rsid w:val="00E4007A"/>
    <w:rsid w:val="00E4086C"/>
    <w:rsid w:val="00E40BA1"/>
    <w:rsid w:val="00E40DE1"/>
    <w:rsid w:val="00E41555"/>
    <w:rsid w:val="00E4210F"/>
    <w:rsid w:val="00E4217A"/>
    <w:rsid w:val="00E4259D"/>
    <w:rsid w:val="00E425A9"/>
    <w:rsid w:val="00E4260D"/>
    <w:rsid w:val="00E42F07"/>
    <w:rsid w:val="00E435FD"/>
    <w:rsid w:val="00E43703"/>
    <w:rsid w:val="00E4395A"/>
    <w:rsid w:val="00E439F3"/>
    <w:rsid w:val="00E43DAC"/>
    <w:rsid w:val="00E44669"/>
    <w:rsid w:val="00E447D0"/>
    <w:rsid w:val="00E44BCA"/>
    <w:rsid w:val="00E44BCF"/>
    <w:rsid w:val="00E4643E"/>
    <w:rsid w:val="00E46F62"/>
    <w:rsid w:val="00E510F3"/>
    <w:rsid w:val="00E522CA"/>
    <w:rsid w:val="00E55257"/>
    <w:rsid w:val="00E552C2"/>
    <w:rsid w:val="00E5597E"/>
    <w:rsid w:val="00E559A8"/>
    <w:rsid w:val="00E56115"/>
    <w:rsid w:val="00E56A54"/>
    <w:rsid w:val="00E56B54"/>
    <w:rsid w:val="00E57005"/>
    <w:rsid w:val="00E57DD1"/>
    <w:rsid w:val="00E61605"/>
    <w:rsid w:val="00E61A02"/>
    <w:rsid w:val="00E61D42"/>
    <w:rsid w:val="00E61DD0"/>
    <w:rsid w:val="00E6342E"/>
    <w:rsid w:val="00E64413"/>
    <w:rsid w:val="00E64DA6"/>
    <w:rsid w:val="00E65803"/>
    <w:rsid w:val="00E65A21"/>
    <w:rsid w:val="00E65DC8"/>
    <w:rsid w:val="00E65DF2"/>
    <w:rsid w:val="00E66347"/>
    <w:rsid w:val="00E664F2"/>
    <w:rsid w:val="00E66A89"/>
    <w:rsid w:val="00E67296"/>
    <w:rsid w:val="00E702EE"/>
    <w:rsid w:val="00E70651"/>
    <w:rsid w:val="00E70851"/>
    <w:rsid w:val="00E70F6D"/>
    <w:rsid w:val="00E7139E"/>
    <w:rsid w:val="00E72135"/>
    <w:rsid w:val="00E72267"/>
    <w:rsid w:val="00E72486"/>
    <w:rsid w:val="00E7303D"/>
    <w:rsid w:val="00E7347D"/>
    <w:rsid w:val="00E73F4F"/>
    <w:rsid w:val="00E75159"/>
    <w:rsid w:val="00E759FA"/>
    <w:rsid w:val="00E76781"/>
    <w:rsid w:val="00E77232"/>
    <w:rsid w:val="00E80AE6"/>
    <w:rsid w:val="00E81A97"/>
    <w:rsid w:val="00E827C8"/>
    <w:rsid w:val="00E829AE"/>
    <w:rsid w:val="00E840F9"/>
    <w:rsid w:val="00E845A2"/>
    <w:rsid w:val="00E84FE0"/>
    <w:rsid w:val="00E85FDE"/>
    <w:rsid w:val="00E8604A"/>
    <w:rsid w:val="00E86518"/>
    <w:rsid w:val="00E86659"/>
    <w:rsid w:val="00E86F73"/>
    <w:rsid w:val="00E87E0C"/>
    <w:rsid w:val="00E906D1"/>
    <w:rsid w:val="00E91C48"/>
    <w:rsid w:val="00E931C3"/>
    <w:rsid w:val="00E944E4"/>
    <w:rsid w:val="00E95A68"/>
    <w:rsid w:val="00E95FE6"/>
    <w:rsid w:val="00E9633F"/>
    <w:rsid w:val="00E97435"/>
    <w:rsid w:val="00E974FD"/>
    <w:rsid w:val="00E976A7"/>
    <w:rsid w:val="00EA08AC"/>
    <w:rsid w:val="00EA0CA2"/>
    <w:rsid w:val="00EA195D"/>
    <w:rsid w:val="00EA1BE9"/>
    <w:rsid w:val="00EA3AFB"/>
    <w:rsid w:val="00EA5065"/>
    <w:rsid w:val="00EA72C5"/>
    <w:rsid w:val="00EA7469"/>
    <w:rsid w:val="00EA749C"/>
    <w:rsid w:val="00EA7C0C"/>
    <w:rsid w:val="00EB25AA"/>
    <w:rsid w:val="00EB33FF"/>
    <w:rsid w:val="00EB511E"/>
    <w:rsid w:val="00EB56E2"/>
    <w:rsid w:val="00EB57EF"/>
    <w:rsid w:val="00EB6847"/>
    <w:rsid w:val="00EB715E"/>
    <w:rsid w:val="00EC0135"/>
    <w:rsid w:val="00EC1430"/>
    <w:rsid w:val="00EC2801"/>
    <w:rsid w:val="00EC2F06"/>
    <w:rsid w:val="00EC4269"/>
    <w:rsid w:val="00EC4C64"/>
    <w:rsid w:val="00EC4E75"/>
    <w:rsid w:val="00EC61FF"/>
    <w:rsid w:val="00EC65B9"/>
    <w:rsid w:val="00EC719E"/>
    <w:rsid w:val="00EC7984"/>
    <w:rsid w:val="00ED064E"/>
    <w:rsid w:val="00ED0A05"/>
    <w:rsid w:val="00ED0A81"/>
    <w:rsid w:val="00ED0ABA"/>
    <w:rsid w:val="00ED192E"/>
    <w:rsid w:val="00ED1E76"/>
    <w:rsid w:val="00ED2B7A"/>
    <w:rsid w:val="00ED2C4F"/>
    <w:rsid w:val="00ED3CD4"/>
    <w:rsid w:val="00ED4406"/>
    <w:rsid w:val="00ED4BF3"/>
    <w:rsid w:val="00ED5840"/>
    <w:rsid w:val="00ED5F3A"/>
    <w:rsid w:val="00ED66EE"/>
    <w:rsid w:val="00ED6AF6"/>
    <w:rsid w:val="00ED6FE0"/>
    <w:rsid w:val="00ED78D5"/>
    <w:rsid w:val="00EE05A2"/>
    <w:rsid w:val="00EE06BE"/>
    <w:rsid w:val="00EE0DC7"/>
    <w:rsid w:val="00EE1612"/>
    <w:rsid w:val="00EE2363"/>
    <w:rsid w:val="00EE2487"/>
    <w:rsid w:val="00EE32C6"/>
    <w:rsid w:val="00EE4785"/>
    <w:rsid w:val="00EE4BC8"/>
    <w:rsid w:val="00EE693D"/>
    <w:rsid w:val="00EE6E5E"/>
    <w:rsid w:val="00EE73F7"/>
    <w:rsid w:val="00EE74C6"/>
    <w:rsid w:val="00EF083A"/>
    <w:rsid w:val="00EF3171"/>
    <w:rsid w:val="00EF363F"/>
    <w:rsid w:val="00EF397A"/>
    <w:rsid w:val="00EF4B2E"/>
    <w:rsid w:val="00EF4B30"/>
    <w:rsid w:val="00EF4DEF"/>
    <w:rsid w:val="00EF5447"/>
    <w:rsid w:val="00EF5857"/>
    <w:rsid w:val="00EF5A02"/>
    <w:rsid w:val="00EF5DB2"/>
    <w:rsid w:val="00EF66CA"/>
    <w:rsid w:val="00EF6BC0"/>
    <w:rsid w:val="00EF6E2E"/>
    <w:rsid w:val="00EF6EE7"/>
    <w:rsid w:val="00EF778A"/>
    <w:rsid w:val="00EF7A4F"/>
    <w:rsid w:val="00F0031B"/>
    <w:rsid w:val="00F00BC4"/>
    <w:rsid w:val="00F03F0A"/>
    <w:rsid w:val="00F04B76"/>
    <w:rsid w:val="00F04C92"/>
    <w:rsid w:val="00F05779"/>
    <w:rsid w:val="00F06A63"/>
    <w:rsid w:val="00F06C1E"/>
    <w:rsid w:val="00F109EC"/>
    <w:rsid w:val="00F11BFB"/>
    <w:rsid w:val="00F11D73"/>
    <w:rsid w:val="00F12162"/>
    <w:rsid w:val="00F12719"/>
    <w:rsid w:val="00F14FEE"/>
    <w:rsid w:val="00F15AD2"/>
    <w:rsid w:val="00F163D6"/>
    <w:rsid w:val="00F16F7E"/>
    <w:rsid w:val="00F1799D"/>
    <w:rsid w:val="00F20814"/>
    <w:rsid w:val="00F21089"/>
    <w:rsid w:val="00F21980"/>
    <w:rsid w:val="00F24512"/>
    <w:rsid w:val="00F2453A"/>
    <w:rsid w:val="00F27687"/>
    <w:rsid w:val="00F27CB9"/>
    <w:rsid w:val="00F27E9B"/>
    <w:rsid w:val="00F30361"/>
    <w:rsid w:val="00F3098E"/>
    <w:rsid w:val="00F31696"/>
    <w:rsid w:val="00F31778"/>
    <w:rsid w:val="00F33ABE"/>
    <w:rsid w:val="00F345D7"/>
    <w:rsid w:val="00F35F36"/>
    <w:rsid w:val="00F364FC"/>
    <w:rsid w:val="00F37188"/>
    <w:rsid w:val="00F407A2"/>
    <w:rsid w:val="00F43D97"/>
    <w:rsid w:val="00F44FF1"/>
    <w:rsid w:val="00F46D05"/>
    <w:rsid w:val="00F46F06"/>
    <w:rsid w:val="00F47390"/>
    <w:rsid w:val="00F52066"/>
    <w:rsid w:val="00F52B11"/>
    <w:rsid w:val="00F530CD"/>
    <w:rsid w:val="00F531A0"/>
    <w:rsid w:val="00F54514"/>
    <w:rsid w:val="00F55E47"/>
    <w:rsid w:val="00F56ECC"/>
    <w:rsid w:val="00F56FA3"/>
    <w:rsid w:val="00F577F4"/>
    <w:rsid w:val="00F57A66"/>
    <w:rsid w:val="00F57E8E"/>
    <w:rsid w:val="00F60CCA"/>
    <w:rsid w:val="00F61925"/>
    <w:rsid w:val="00F62CFD"/>
    <w:rsid w:val="00F633C9"/>
    <w:rsid w:val="00F63A9F"/>
    <w:rsid w:val="00F64B13"/>
    <w:rsid w:val="00F673A2"/>
    <w:rsid w:val="00F6788E"/>
    <w:rsid w:val="00F72149"/>
    <w:rsid w:val="00F72804"/>
    <w:rsid w:val="00F76C1A"/>
    <w:rsid w:val="00F7759B"/>
    <w:rsid w:val="00F83582"/>
    <w:rsid w:val="00F83977"/>
    <w:rsid w:val="00F85200"/>
    <w:rsid w:val="00F86AE4"/>
    <w:rsid w:val="00F86B9D"/>
    <w:rsid w:val="00F86D75"/>
    <w:rsid w:val="00F87BB5"/>
    <w:rsid w:val="00F9023E"/>
    <w:rsid w:val="00F91160"/>
    <w:rsid w:val="00F91967"/>
    <w:rsid w:val="00F91EAE"/>
    <w:rsid w:val="00F92F7C"/>
    <w:rsid w:val="00F94219"/>
    <w:rsid w:val="00F94764"/>
    <w:rsid w:val="00F9502C"/>
    <w:rsid w:val="00F950C7"/>
    <w:rsid w:val="00F9539B"/>
    <w:rsid w:val="00F958F1"/>
    <w:rsid w:val="00F95A84"/>
    <w:rsid w:val="00F97481"/>
    <w:rsid w:val="00F97684"/>
    <w:rsid w:val="00FA041B"/>
    <w:rsid w:val="00FA0801"/>
    <w:rsid w:val="00FA099A"/>
    <w:rsid w:val="00FA0E58"/>
    <w:rsid w:val="00FA1413"/>
    <w:rsid w:val="00FA1FD6"/>
    <w:rsid w:val="00FA37B0"/>
    <w:rsid w:val="00FA4054"/>
    <w:rsid w:val="00FA63CC"/>
    <w:rsid w:val="00FA7660"/>
    <w:rsid w:val="00FA7956"/>
    <w:rsid w:val="00FB0DFC"/>
    <w:rsid w:val="00FB1DC9"/>
    <w:rsid w:val="00FB213A"/>
    <w:rsid w:val="00FB2AB1"/>
    <w:rsid w:val="00FB2AFA"/>
    <w:rsid w:val="00FB3E3A"/>
    <w:rsid w:val="00FB4068"/>
    <w:rsid w:val="00FB5FB1"/>
    <w:rsid w:val="00FB612F"/>
    <w:rsid w:val="00FB672A"/>
    <w:rsid w:val="00FB70BA"/>
    <w:rsid w:val="00FB73DC"/>
    <w:rsid w:val="00FC1096"/>
    <w:rsid w:val="00FC3466"/>
    <w:rsid w:val="00FC4774"/>
    <w:rsid w:val="00FC4E65"/>
    <w:rsid w:val="00FC51EA"/>
    <w:rsid w:val="00FC5825"/>
    <w:rsid w:val="00FC6C57"/>
    <w:rsid w:val="00FC7DE6"/>
    <w:rsid w:val="00FD061C"/>
    <w:rsid w:val="00FD08F4"/>
    <w:rsid w:val="00FD123F"/>
    <w:rsid w:val="00FD25BE"/>
    <w:rsid w:val="00FD281B"/>
    <w:rsid w:val="00FD2F49"/>
    <w:rsid w:val="00FD3728"/>
    <w:rsid w:val="00FD3E3C"/>
    <w:rsid w:val="00FD48B6"/>
    <w:rsid w:val="00FD52C4"/>
    <w:rsid w:val="00FD5A1F"/>
    <w:rsid w:val="00FD5AD7"/>
    <w:rsid w:val="00FD7015"/>
    <w:rsid w:val="00FD74D5"/>
    <w:rsid w:val="00FD77C5"/>
    <w:rsid w:val="00FD790E"/>
    <w:rsid w:val="00FE003E"/>
    <w:rsid w:val="00FE0F3A"/>
    <w:rsid w:val="00FE1F09"/>
    <w:rsid w:val="00FE23A7"/>
    <w:rsid w:val="00FE3281"/>
    <w:rsid w:val="00FE3868"/>
    <w:rsid w:val="00FE47EE"/>
    <w:rsid w:val="00FE5542"/>
    <w:rsid w:val="00FE5890"/>
    <w:rsid w:val="00FE7C6C"/>
    <w:rsid w:val="00FE7FDA"/>
    <w:rsid w:val="00FF1AEF"/>
    <w:rsid w:val="00FF2D06"/>
    <w:rsid w:val="00FF3E06"/>
    <w:rsid w:val="00FF4758"/>
    <w:rsid w:val="00FF4A4E"/>
    <w:rsid w:val="00FF7836"/>
    <w:rsid w:val="00FF7B5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1436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uiPriority="11"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2AB1"/>
    <w:rPr>
      <w:sz w:val="24"/>
      <w:szCs w:val="24"/>
    </w:rPr>
  </w:style>
  <w:style w:type="paragraph" w:styleId="Heading1">
    <w:name w:val="heading 1"/>
    <w:basedOn w:val="Normal"/>
    <w:next w:val="Normal"/>
    <w:link w:val="Heading1Char"/>
    <w:qFormat/>
    <w:rsid w:val="00834D0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94A06"/>
    <w:pPr>
      <w:keepNext/>
      <w:jc w:val="center"/>
      <w:outlineLvl w:val="1"/>
    </w:pPr>
    <w:rPr>
      <w:sz w:val="28"/>
      <w:szCs w:val="20"/>
    </w:rPr>
  </w:style>
  <w:style w:type="paragraph" w:styleId="Heading3">
    <w:name w:val="heading 3"/>
    <w:basedOn w:val="Normal"/>
    <w:next w:val="Normal"/>
    <w:link w:val="Heading3Char"/>
    <w:qFormat/>
    <w:rsid w:val="00415959"/>
    <w:pPr>
      <w:keepNext/>
      <w:spacing w:before="240" w:after="60"/>
      <w:outlineLvl w:val="2"/>
    </w:pPr>
    <w:rPr>
      <w:rFonts w:ascii="Arial" w:hAnsi="Arial" w:cs="Arial"/>
      <w:b/>
      <w:bCs/>
      <w:sz w:val="26"/>
      <w:szCs w:val="26"/>
    </w:rPr>
  </w:style>
  <w:style w:type="paragraph" w:styleId="Heading6">
    <w:name w:val="heading 6"/>
    <w:basedOn w:val="Normal"/>
    <w:next w:val="Normal"/>
    <w:link w:val="Heading6Char"/>
    <w:semiHidden/>
    <w:unhideWhenUsed/>
    <w:qFormat/>
    <w:rsid w:val="00094A0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920F12"/>
    <w:pPr>
      <w:spacing w:before="240" w:after="60"/>
      <w:outlineLvl w:val="6"/>
    </w:pPr>
  </w:style>
  <w:style w:type="paragraph" w:styleId="Heading8">
    <w:name w:val="heading 8"/>
    <w:basedOn w:val="Normal"/>
    <w:next w:val="Normal"/>
    <w:link w:val="Heading8Char"/>
    <w:semiHidden/>
    <w:unhideWhenUsed/>
    <w:qFormat/>
    <w:rsid w:val="00094A0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qFormat/>
    <w:rsid w:val="00EC0135"/>
    <w:pPr>
      <w:keepNext/>
      <w:numPr>
        <w:numId w:val="1"/>
      </w:numPr>
      <w:spacing w:line="360" w:lineRule="auto"/>
      <w:jc w:val="both"/>
      <w:outlineLvl w:val="8"/>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0526B"/>
    <w:pPr>
      <w:jc w:val="both"/>
    </w:pPr>
    <w:rPr>
      <w:rFonts w:ascii="Arial" w:hAnsi="Arial" w:cs="Arial"/>
      <w:bCs/>
      <w:iCs/>
      <w:szCs w:val="28"/>
    </w:rPr>
  </w:style>
  <w:style w:type="character" w:styleId="FootnoteReference">
    <w:name w:val="footnote reference"/>
    <w:basedOn w:val="DefaultParagraphFont"/>
    <w:rsid w:val="00C93F08"/>
    <w:rPr>
      <w:vertAlign w:val="superscript"/>
    </w:rPr>
  </w:style>
  <w:style w:type="paragraph" w:styleId="FootnoteText">
    <w:name w:val="footnote text"/>
    <w:basedOn w:val="Normal"/>
    <w:link w:val="FootnoteTextChar"/>
    <w:rsid w:val="005C09B8"/>
    <w:rPr>
      <w:sz w:val="20"/>
      <w:szCs w:val="20"/>
    </w:rPr>
  </w:style>
  <w:style w:type="paragraph" w:styleId="BodyText2">
    <w:name w:val="Body Text 2"/>
    <w:basedOn w:val="Normal"/>
    <w:link w:val="BodyText2Char"/>
    <w:rsid w:val="004D283B"/>
    <w:pPr>
      <w:spacing w:after="120" w:line="480" w:lineRule="auto"/>
    </w:pPr>
  </w:style>
  <w:style w:type="paragraph" w:styleId="BodyTextIndent">
    <w:name w:val="Body Text Indent"/>
    <w:basedOn w:val="Normal"/>
    <w:link w:val="BodyTextIndentChar"/>
    <w:rsid w:val="00D6466A"/>
    <w:pPr>
      <w:spacing w:after="120"/>
      <w:ind w:left="360"/>
    </w:pPr>
  </w:style>
  <w:style w:type="paragraph" w:styleId="BodyTextIndent3">
    <w:name w:val="Body Text Indent 3"/>
    <w:basedOn w:val="Normal"/>
    <w:link w:val="BodyTextIndent3Char"/>
    <w:rsid w:val="00341AB3"/>
    <w:pPr>
      <w:spacing w:after="120"/>
      <w:ind w:left="283"/>
    </w:pPr>
    <w:rPr>
      <w:sz w:val="16"/>
      <w:szCs w:val="16"/>
    </w:rPr>
  </w:style>
  <w:style w:type="paragraph" w:styleId="BodyTextIndent2">
    <w:name w:val="Body Text Indent 2"/>
    <w:basedOn w:val="Normal"/>
    <w:link w:val="BodyTextIndent2Char"/>
    <w:rsid w:val="00585417"/>
    <w:pPr>
      <w:spacing w:after="120" w:line="480" w:lineRule="auto"/>
      <w:ind w:left="283"/>
    </w:pPr>
  </w:style>
  <w:style w:type="paragraph" w:styleId="BodyText3">
    <w:name w:val="Body Text 3"/>
    <w:basedOn w:val="Normal"/>
    <w:link w:val="BodyText3Char"/>
    <w:rsid w:val="00564E48"/>
    <w:pPr>
      <w:spacing w:after="120"/>
    </w:pPr>
    <w:rPr>
      <w:sz w:val="16"/>
      <w:szCs w:val="16"/>
    </w:rPr>
  </w:style>
  <w:style w:type="paragraph" w:styleId="HTMLPreformatted">
    <w:name w:val="HTML Preformatted"/>
    <w:basedOn w:val="Normal"/>
    <w:link w:val="HTMLPreformattedChar"/>
    <w:rsid w:val="00984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styleId="HTMLTypewriter">
    <w:name w:val="HTML Typewriter"/>
    <w:basedOn w:val="DefaultParagraphFont"/>
    <w:rsid w:val="00984E62"/>
    <w:rPr>
      <w:rFonts w:ascii="Arial Unicode MS" w:eastAsia="Arial Unicode MS" w:hAnsi="Arial Unicode MS" w:cs="Arial Unicode MS"/>
      <w:sz w:val="20"/>
      <w:szCs w:val="20"/>
    </w:rPr>
  </w:style>
  <w:style w:type="paragraph" w:styleId="Footer">
    <w:name w:val="footer"/>
    <w:basedOn w:val="Normal"/>
    <w:link w:val="FooterChar"/>
    <w:uiPriority w:val="99"/>
    <w:rsid w:val="00661A85"/>
    <w:pPr>
      <w:tabs>
        <w:tab w:val="center" w:pos="4252"/>
        <w:tab w:val="right" w:pos="8504"/>
      </w:tabs>
    </w:pPr>
  </w:style>
  <w:style w:type="character" w:styleId="PageNumber">
    <w:name w:val="page number"/>
    <w:basedOn w:val="DefaultParagraphFont"/>
    <w:rsid w:val="00661A85"/>
  </w:style>
  <w:style w:type="paragraph" w:styleId="BalloonText">
    <w:name w:val="Balloon Text"/>
    <w:basedOn w:val="Normal"/>
    <w:link w:val="BalloonTextChar"/>
    <w:rsid w:val="00A74B8F"/>
    <w:rPr>
      <w:rFonts w:ascii="Tahoma" w:hAnsi="Tahoma" w:cs="Tahoma"/>
      <w:sz w:val="16"/>
      <w:szCs w:val="16"/>
    </w:rPr>
  </w:style>
  <w:style w:type="character" w:styleId="CommentReference">
    <w:name w:val="annotation reference"/>
    <w:basedOn w:val="DefaultParagraphFont"/>
    <w:rsid w:val="00535BA6"/>
    <w:rPr>
      <w:sz w:val="16"/>
      <w:szCs w:val="16"/>
    </w:rPr>
  </w:style>
  <w:style w:type="paragraph" w:styleId="CommentText">
    <w:name w:val="annotation text"/>
    <w:basedOn w:val="Normal"/>
    <w:link w:val="CommentTextChar"/>
    <w:rsid w:val="00535BA6"/>
    <w:rPr>
      <w:sz w:val="20"/>
      <w:szCs w:val="20"/>
    </w:rPr>
  </w:style>
  <w:style w:type="paragraph" w:styleId="CommentSubject">
    <w:name w:val="annotation subject"/>
    <w:basedOn w:val="CommentText"/>
    <w:next w:val="CommentText"/>
    <w:link w:val="CommentSubjectChar"/>
    <w:rsid w:val="00535BA6"/>
    <w:rPr>
      <w:b/>
      <w:bCs/>
    </w:rPr>
  </w:style>
  <w:style w:type="character" w:customStyle="1" w:styleId="citation1">
    <w:name w:val="citation1"/>
    <w:basedOn w:val="DefaultParagraphFont"/>
    <w:rsid w:val="00D316C5"/>
    <w:rPr>
      <w:rFonts w:ascii="Verdana" w:hAnsi="Verdana" w:hint="default"/>
      <w:sz w:val="19"/>
      <w:szCs w:val="19"/>
    </w:rPr>
  </w:style>
  <w:style w:type="character" w:styleId="Hyperlink">
    <w:name w:val="Hyperlink"/>
    <w:basedOn w:val="DefaultParagraphFont"/>
    <w:rsid w:val="006720B9"/>
    <w:rPr>
      <w:color w:val="0000FF"/>
      <w:u w:val="single"/>
    </w:rPr>
  </w:style>
  <w:style w:type="paragraph" w:styleId="Title">
    <w:name w:val="Title"/>
    <w:basedOn w:val="Normal"/>
    <w:link w:val="TitleChar"/>
    <w:qFormat/>
    <w:rsid w:val="00EE0DC7"/>
    <w:pPr>
      <w:jc w:val="center"/>
    </w:pPr>
    <w:rPr>
      <w:rFonts w:ascii="Arial" w:hAnsi="Arial"/>
      <w:b/>
      <w:sz w:val="28"/>
      <w:lang w:val="en-GB"/>
    </w:rPr>
  </w:style>
  <w:style w:type="character" w:styleId="Strong">
    <w:name w:val="Strong"/>
    <w:basedOn w:val="DefaultParagraphFont"/>
    <w:qFormat/>
    <w:rsid w:val="00700C9D"/>
    <w:rPr>
      <w:b/>
      <w:bCs/>
    </w:rPr>
  </w:style>
  <w:style w:type="character" w:styleId="Emphasis">
    <w:name w:val="Emphasis"/>
    <w:basedOn w:val="DefaultParagraphFont"/>
    <w:qFormat/>
    <w:rsid w:val="00700C9D"/>
    <w:rPr>
      <w:i/>
      <w:iCs/>
    </w:rPr>
  </w:style>
  <w:style w:type="table" w:styleId="TableGrid">
    <w:name w:val="Table Grid"/>
    <w:basedOn w:val="TableNormal"/>
    <w:uiPriority w:val="59"/>
    <w:rsid w:val="00743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F6788E"/>
  </w:style>
  <w:style w:type="character" w:customStyle="1" w:styleId="apple-converted-space">
    <w:name w:val="apple-converted-space"/>
    <w:basedOn w:val="DefaultParagraphFont"/>
    <w:rsid w:val="00F6788E"/>
  </w:style>
  <w:style w:type="character" w:customStyle="1" w:styleId="spelle">
    <w:name w:val="spelle"/>
    <w:basedOn w:val="DefaultParagraphFont"/>
    <w:rsid w:val="00F6788E"/>
  </w:style>
  <w:style w:type="paragraph" w:customStyle="1" w:styleId="Default">
    <w:name w:val="Default"/>
    <w:rsid w:val="00884191"/>
    <w:pPr>
      <w:autoSpaceDE w:val="0"/>
      <w:autoSpaceDN w:val="0"/>
      <w:adjustRightInd w:val="0"/>
    </w:pPr>
    <w:rPr>
      <w:color w:val="000000"/>
      <w:sz w:val="24"/>
      <w:szCs w:val="24"/>
    </w:rPr>
  </w:style>
  <w:style w:type="character" w:customStyle="1" w:styleId="FootnoteTextChar">
    <w:name w:val="Footnote Text Char"/>
    <w:basedOn w:val="DefaultParagraphFont"/>
    <w:link w:val="FootnoteText"/>
    <w:rsid w:val="002D30CC"/>
  </w:style>
  <w:style w:type="paragraph" w:styleId="Bibliography">
    <w:name w:val="Bibliography"/>
    <w:basedOn w:val="Normal"/>
    <w:next w:val="Normal"/>
    <w:uiPriority w:val="37"/>
    <w:unhideWhenUsed/>
    <w:rsid w:val="0078477B"/>
    <w:pPr>
      <w:spacing w:before="120" w:line="360" w:lineRule="auto"/>
      <w:ind w:firstLine="340"/>
      <w:jc w:val="both"/>
    </w:pPr>
    <w:rPr>
      <w:sz w:val="22"/>
      <w:szCs w:val="22"/>
    </w:rPr>
  </w:style>
  <w:style w:type="paragraph" w:styleId="Caption">
    <w:name w:val="caption"/>
    <w:basedOn w:val="Normal"/>
    <w:next w:val="Normal"/>
    <w:link w:val="CaptionChar"/>
    <w:unhideWhenUsed/>
    <w:qFormat/>
    <w:rsid w:val="00531DFB"/>
    <w:pPr>
      <w:ind w:firstLine="340"/>
      <w:jc w:val="center"/>
    </w:pPr>
    <w:rPr>
      <w:bCs/>
      <w:sz w:val="20"/>
      <w:szCs w:val="20"/>
    </w:rPr>
  </w:style>
  <w:style w:type="character" w:customStyle="1" w:styleId="CaptionChar">
    <w:name w:val="Caption Char"/>
    <w:basedOn w:val="DefaultParagraphFont"/>
    <w:link w:val="Caption"/>
    <w:uiPriority w:val="35"/>
    <w:rsid w:val="00531DFB"/>
    <w:rPr>
      <w:bCs/>
    </w:rPr>
  </w:style>
  <w:style w:type="paragraph" w:styleId="ListParagraph">
    <w:name w:val="List Paragraph"/>
    <w:basedOn w:val="Normal"/>
    <w:uiPriority w:val="34"/>
    <w:qFormat/>
    <w:rsid w:val="00862C5D"/>
    <w:pPr>
      <w:ind w:left="720"/>
      <w:contextualSpacing/>
    </w:pPr>
  </w:style>
  <w:style w:type="character" w:styleId="PlaceholderText">
    <w:name w:val="Placeholder Text"/>
    <w:basedOn w:val="DefaultParagraphFont"/>
    <w:uiPriority w:val="99"/>
    <w:semiHidden/>
    <w:rsid w:val="00871B74"/>
    <w:rPr>
      <w:color w:val="808080"/>
    </w:rPr>
  </w:style>
  <w:style w:type="paragraph" w:styleId="PlainText">
    <w:name w:val="Plain Text"/>
    <w:basedOn w:val="Normal"/>
    <w:link w:val="PlainTextChar"/>
    <w:unhideWhenUsed/>
    <w:rsid w:val="00AE5942"/>
    <w:pPr>
      <w:ind w:firstLine="709"/>
    </w:pPr>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rsid w:val="00AE5942"/>
    <w:rPr>
      <w:rFonts w:ascii="Consolas" w:eastAsiaTheme="minorHAnsi" w:hAnsi="Consolas" w:cstheme="minorBidi"/>
      <w:sz w:val="21"/>
      <w:szCs w:val="21"/>
      <w:lang w:eastAsia="en-US"/>
    </w:rPr>
  </w:style>
  <w:style w:type="character" w:styleId="FollowedHyperlink">
    <w:name w:val="FollowedHyperlink"/>
    <w:basedOn w:val="DefaultParagraphFont"/>
    <w:rsid w:val="006C63FA"/>
    <w:rPr>
      <w:color w:val="800080" w:themeColor="followedHyperlink"/>
      <w:u w:val="single"/>
    </w:rPr>
  </w:style>
  <w:style w:type="paragraph" w:styleId="Header">
    <w:name w:val="header"/>
    <w:basedOn w:val="Normal"/>
    <w:link w:val="HeaderChar"/>
    <w:rsid w:val="00CD32E4"/>
    <w:pPr>
      <w:tabs>
        <w:tab w:val="center" w:pos="4252"/>
        <w:tab w:val="right" w:pos="8504"/>
      </w:tabs>
    </w:pPr>
  </w:style>
  <w:style w:type="character" w:customStyle="1" w:styleId="HeaderChar">
    <w:name w:val="Header Char"/>
    <w:basedOn w:val="DefaultParagraphFont"/>
    <w:link w:val="Header"/>
    <w:rsid w:val="00CD32E4"/>
    <w:rPr>
      <w:sz w:val="24"/>
      <w:szCs w:val="24"/>
    </w:rPr>
  </w:style>
  <w:style w:type="paragraph" w:styleId="Subtitle">
    <w:name w:val="Subtitle"/>
    <w:basedOn w:val="ListParagraph"/>
    <w:next w:val="Normal"/>
    <w:link w:val="SubtitleChar"/>
    <w:uiPriority w:val="11"/>
    <w:qFormat/>
    <w:rsid w:val="00D6360F"/>
    <w:pPr>
      <w:numPr>
        <w:ilvl w:val="1"/>
        <w:numId w:val="3"/>
      </w:numPr>
      <w:tabs>
        <w:tab w:val="left" w:pos="567"/>
      </w:tabs>
      <w:spacing w:before="600" w:after="240"/>
      <w:ind w:left="576"/>
      <w:outlineLvl w:val="1"/>
    </w:pPr>
    <w:rPr>
      <w:rFonts w:ascii="Arial" w:hAnsi="Arial" w:cs="Arial"/>
      <w:b/>
    </w:rPr>
  </w:style>
  <w:style w:type="character" w:customStyle="1" w:styleId="SubtitleChar">
    <w:name w:val="Subtitle Char"/>
    <w:basedOn w:val="DefaultParagraphFont"/>
    <w:link w:val="Subtitle"/>
    <w:uiPriority w:val="11"/>
    <w:rsid w:val="00D6360F"/>
    <w:rPr>
      <w:rFonts w:ascii="Arial" w:hAnsi="Arial" w:cs="Arial"/>
      <w:b/>
      <w:sz w:val="24"/>
      <w:szCs w:val="24"/>
    </w:rPr>
  </w:style>
  <w:style w:type="table" w:styleId="LightShading-Accent3">
    <w:name w:val="Light Shading Accent 3"/>
    <w:basedOn w:val="TableNormal"/>
    <w:uiPriority w:val="60"/>
    <w:rsid w:val="00D6360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1Char">
    <w:name w:val="Heading 1 Char"/>
    <w:basedOn w:val="DefaultParagraphFont"/>
    <w:link w:val="Heading1"/>
    <w:rsid w:val="000E2DE2"/>
    <w:rPr>
      <w:rFonts w:ascii="Arial" w:hAnsi="Arial" w:cs="Arial"/>
      <w:b/>
      <w:bCs/>
      <w:kern w:val="32"/>
      <w:sz w:val="32"/>
      <w:szCs w:val="32"/>
    </w:rPr>
  </w:style>
  <w:style w:type="character" w:customStyle="1" w:styleId="Heading3Char">
    <w:name w:val="Heading 3 Char"/>
    <w:basedOn w:val="DefaultParagraphFont"/>
    <w:link w:val="Heading3"/>
    <w:rsid w:val="000E2DE2"/>
    <w:rPr>
      <w:rFonts w:ascii="Arial" w:hAnsi="Arial" w:cs="Arial"/>
      <w:b/>
      <w:bCs/>
      <w:sz w:val="26"/>
      <w:szCs w:val="26"/>
    </w:rPr>
  </w:style>
  <w:style w:type="character" w:customStyle="1" w:styleId="Heading7Char">
    <w:name w:val="Heading 7 Char"/>
    <w:basedOn w:val="DefaultParagraphFont"/>
    <w:link w:val="Heading7"/>
    <w:rsid w:val="000E2DE2"/>
    <w:rPr>
      <w:sz w:val="24"/>
      <w:szCs w:val="24"/>
    </w:rPr>
  </w:style>
  <w:style w:type="character" w:customStyle="1" w:styleId="Heading9Char">
    <w:name w:val="Heading 9 Char"/>
    <w:basedOn w:val="DefaultParagraphFont"/>
    <w:link w:val="Heading9"/>
    <w:rsid w:val="000E2DE2"/>
    <w:rPr>
      <w:b/>
      <w:sz w:val="24"/>
      <w:lang w:eastAsia="en-US"/>
    </w:rPr>
  </w:style>
  <w:style w:type="character" w:customStyle="1" w:styleId="BodyTextChar">
    <w:name w:val="Body Text Char"/>
    <w:basedOn w:val="DefaultParagraphFont"/>
    <w:link w:val="BodyText"/>
    <w:rsid w:val="000E2DE2"/>
    <w:rPr>
      <w:rFonts w:ascii="Arial" w:hAnsi="Arial" w:cs="Arial"/>
      <w:bCs/>
      <w:iCs/>
      <w:sz w:val="24"/>
      <w:szCs w:val="28"/>
    </w:rPr>
  </w:style>
  <w:style w:type="character" w:customStyle="1" w:styleId="BodyText2Char">
    <w:name w:val="Body Text 2 Char"/>
    <w:basedOn w:val="DefaultParagraphFont"/>
    <w:link w:val="BodyText2"/>
    <w:rsid w:val="000E2DE2"/>
    <w:rPr>
      <w:sz w:val="24"/>
      <w:szCs w:val="24"/>
    </w:rPr>
  </w:style>
  <w:style w:type="character" w:customStyle="1" w:styleId="BodyTextIndentChar">
    <w:name w:val="Body Text Indent Char"/>
    <w:basedOn w:val="DefaultParagraphFont"/>
    <w:link w:val="BodyTextIndent"/>
    <w:rsid w:val="000E2DE2"/>
    <w:rPr>
      <w:sz w:val="24"/>
      <w:szCs w:val="24"/>
    </w:rPr>
  </w:style>
  <w:style w:type="character" w:customStyle="1" w:styleId="BodyTextIndent3Char">
    <w:name w:val="Body Text Indent 3 Char"/>
    <w:basedOn w:val="DefaultParagraphFont"/>
    <w:link w:val="BodyTextIndent3"/>
    <w:rsid w:val="000E2DE2"/>
    <w:rPr>
      <w:sz w:val="16"/>
      <w:szCs w:val="16"/>
    </w:rPr>
  </w:style>
  <w:style w:type="character" w:customStyle="1" w:styleId="BodyTextIndent2Char">
    <w:name w:val="Body Text Indent 2 Char"/>
    <w:basedOn w:val="DefaultParagraphFont"/>
    <w:link w:val="BodyTextIndent2"/>
    <w:rsid w:val="000E2DE2"/>
    <w:rPr>
      <w:sz w:val="24"/>
      <w:szCs w:val="24"/>
    </w:rPr>
  </w:style>
  <w:style w:type="character" w:customStyle="1" w:styleId="BodyText3Char">
    <w:name w:val="Body Text 3 Char"/>
    <w:basedOn w:val="DefaultParagraphFont"/>
    <w:link w:val="BodyText3"/>
    <w:rsid w:val="000E2DE2"/>
    <w:rPr>
      <w:sz w:val="16"/>
      <w:szCs w:val="16"/>
    </w:rPr>
  </w:style>
  <w:style w:type="character" w:customStyle="1" w:styleId="HTMLPreformattedChar">
    <w:name w:val="HTML Preformatted Char"/>
    <w:basedOn w:val="DefaultParagraphFont"/>
    <w:link w:val="HTMLPreformatted"/>
    <w:rsid w:val="000E2DE2"/>
    <w:rPr>
      <w:rFonts w:ascii="Arial Unicode MS" w:eastAsia="Arial Unicode MS" w:hAnsi="Arial Unicode MS" w:cs="Arial Unicode MS"/>
      <w:sz w:val="24"/>
      <w:szCs w:val="24"/>
    </w:rPr>
  </w:style>
  <w:style w:type="character" w:customStyle="1" w:styleId="FooterChar">
    <w:name w:val="Footer Char"/>
    <w:basedOn w:val="DefaultParagraphFont"/>
    <w:link w:val="Footer"/>
    <w:uiPriority w:val="99"/>
    <w:rsid w:val="000E2DE2"/>
    <w:rPr>
      <w:sz w:val="24"/>
      <w:szCs w:val="24"/>
    </w:rPr>
  </w:style>
  <w:style w:type="character" w:customStyle="1" w:styleId="BalloonTextChar">
    <w:name w:val="Balloon Text Char"/>
    <w:basedOn w:val="DefaultParagraphFont"/>
    <w:link w:val="BalloonText"/>
    <w:rsid w:val="000E2DE2"/>
    <w:rPr>
      <w:rFonts w:ascii="Tahoma" w:hAnsi="Tahoma" w:cs="Tahoma"/>
      <w:sz w:val="16"/>
      <w:szCs w:val="16"/>
    </w:rPr>
  </w:style>
  <w:style w:type="character" w:customStyle="1" w:styleId="CommentTextChar">
    <w:name w:val="Comment Text Char"/>
    <w:basedOn w:val="DefaultParagraphFont"/>
    <w:link w:val="CommentText"/>
    <w:rsid w:val="000E2DE2"/>
  </w:style>
  <w:style w:type="character" w:customStyle="1" w:styleId="CommentSubjectChar">
    <w:name w:val="Comment Subject Char"/>
    <w:basedOn w:val="CommentTextChar"/>
    <w:link w:val="CommentSubject"/>
    <w:rsid w:val="000E2DE2"/>
    <w:rPr>
      <w:b/>
      <w:bCs/>
    </w:rPr>
  </w:style>
  <w:style w:type="character" w:customStyle="1" w:styleId="TitleChar">
    <w:name w:val="Title Char"/>
    <w:basedOn w:val="DefaultParagraphFont"/>
    <w:link w:val="Title"/>
    <w:rsid w:val="000E2DE2"/>
    <w:rPr>
      <w:rFonts w:ascii="Arial" w:hAnsi="Arial"/>
      <w:b/>
      <w:sz w:val="28"/>
      <w:szCs w:val="24"/>
      <w:lang w:val="en-GB"/>
    </w:rPr>
  </w:style>
  <w:style w:type="paragraph" w:customStyle="1" w:styleId="Footnote">
    <w:name w:val="Footnote"/>
    <w:basedOn w:val="FootnoteText"/>
    <w:link w:val="FootnoteChar"/>
    <w:rsid w:val="004C6925"/>
    <w:rPr>
      <w:rFonts w:ascii="Tms Rmn" w:hAnsi="Tms Rmn"/>
      <w:noProof/>
      <w:lang w:val="en-US" w:eastAsia="en-US"/>
    </w:rPr>
  </w:style>
  <w:style w:type="character" w:customStyle="1" w:styleId="FootnoteChar">
    <w:name w:val="Footnote Char"/>
    <w:basedOn w:val="FootnoteTextChar"/>
    <w:link w:val="Footnote"/>
    <w:rsid w:val="004C6925"/>
    <w:rPr>
      <w:rFonts w:ascii="Tms Rmn" w:hAnsi="Tms Rmn"/>
      <w:noProof/>
      <w:lang w:val="en-US" w:eastAsia="en-US"/>
    </w:rPr>
  </w:style>
  <w:style w:type="character" w:customStyle="1" w:styleId="Heading2Char">
    <w:name w:val="Heading 2 Char"/>
    <w:basedOn w:val="DefaultParagraphFont"/>
    <w:link w:val="Heading2"/>
    <w:rsid w:val="00094A06"/>
    <w:rPr>
      <w:sz w:val="28"/>
    </w:rPr>
  </w:style>
  <w:style w:type="character" w:customStyle="1" w:styleId="Heading6Char">
    <w:name w:val="Heading 6 Char"/>
    <w:basedOn w:val="DefaultParagraphFont"/>
    <w:link w:val="Heading6"/>
    <w:semiHidden/>
    <w:rsid w:val="00094A06"/>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094A06"/>
    <w:rPr>
      <w:rFonts w:asciiTheme="majorHAnsi" w:eastAsiaTheme="majorEastAsia" w:hAnsiTheme="majorHAnsi" w:cstheme="majorBidi"/>
      <w:color w:val="404040" w:themeColor="text1" w:themeTint="BF"/>
    </w:rPr>
  </w:style>
  <w:style w:type="paragraph" w:customStyle="1" w:styleId="PargrafodaLista1">
    <w:name w:val="Parágrafo da Lista1"/>
    <w:basedOn w:val="Normal"/>
    <w:rsid w:val="00094A06"/>
    <w:pPr>
      <w:spacing w:after="200" w:line="276" w:lineRule="auto"/>
      <w:ind w:left="720"/>
      <w:contextualSpacing/>
    </w:pPr>
    <w:rPr>
      <w:rFonts w:ascii="Calibri" w:hAnsi="Calibri"/>
      <w:sz w:val="22"/>
      <w:szCs w:val="22"/>
    </w:rPr>
  </w:style>
  <w:style w:type="paragraph" w:styleId="NormalWeb">
    <w:name w:val="Normal (Web)"/>
    <w:basedOn w:val="Normal"/>
    <w:rsid w:val="00094A06"/>
    <w:pPr>
      <w:spacing w:before="63" w:after="125" w:line="480" w:lineRule="auto"/>
    </w:pPr>
    <w:rPr>
      <w:rFonts w:ascii="Arial" w:hAnsi="Arial" w:cs="Arial"/>
      <w:sz w:val="15"/>
      <w:szCs w:val="15"/>
      <w:lang w:val="en-US" w:eastAsia="en-US"/>
    </w:rPr>
  </w:style>
  <w:style w:type="character" w:customStyle="1" w:styleId="simplybold1">
    <w:name w:val="simplybold1"/>
    <w:basedOn w:val="DefaultParagraphFont"/>
    <w:rsid w:val="00094A06"/>
    <w:rPr>
      <w:b/>
      <w:bCs/>
      <w:color w:val="460200"/>
    </w:rPr>
  </w:style>
  <w:style w:type="paragraph" w:customStyle="1" w:styleId="BodyMath">
    <w:name w:val="Body Math"/>
    <w:rsid w:val="00094A06"/>
    <w:pPr>
      <w:widowControl w:val="0"/>
      <w:autoSpaceDE w:val="0"/>
      <w:autoSpaceDN w:val="0"/>
      <w:adjustRightInd w:val="0"/>
    </w:pPr>
    <w:rPr>
      <w:sz w:val="24"/>
      <w:szCs w:val="24"/>
      <w:lang w:val="en-US" w:eastAsia="en-US"/>
    </w:rPr>
  </w:style>
  <w:style w:type="character" w:customStyle="1" w:styleId="Bold">
    <w:name w:val="Bold"/>
    <w:rsid w:val="00094A06"/>
    <w:rPr>
      <w:b/>
      <w:bCs/>
    </w:rPr>
  </w:style>
  <w:style w:type="paragraph" w:customStyle="1" w:styleId="Subsubsubsection">
    <w:name w:val="Subsubsubsection"/>
    <w:rsid w:val="00094A06"/>
    <w:pPr>
      <w:widowControl w:val="0"/>
      <w:autoSpaceDE w:val="0"/>
      <w:autoSpaceDN w:val="0"/>
      <w:adjustRightInd w:val="0"/>
      <w:outlineLvl w:val="3"/>
    </w:pPr>
    <w:rPr>
      <w:b/>
      <w:bCs/>
      <w:sz w:val="24"/>
      <w:szCs w:val="24"/>
      <w:lang w:val="en-US" w:eastAsia="en-US"/>
    </w:rPr>
  </w:style>
  <w:style w:type="paragraph" w:customStyle="1" w:styleId="Subsection">
    <w:name w:val="Subsection"/>
    <w:rsid w:val="00094A06"/>
    <w:pPr>
      <w:widowControl w:val="0"/>
      <w:autoSpaceDE w:val="0"/>
      <w:autoSpaceDN w:val="0"/>
      <w:adjustRightInd w:val="0"/>
      <w:outlineLvl w:val="1"/>
    </w:pPr>
    <w:rPr>
      <w:rFonts w:ascii="Arial" w:hAnsi="Arial" w:cs="Arial"/>
      <w:b/>
      <w:bCs/>
      <w:sz w:val="36"/>
      <w:szCs w:val="36"/>
      <w:lang w:val="en-US" w:eastAsia="en-US"/>
    </w:rPr>
  </w:style>
  <w:style w:type="paragraph" w:customStyle="1" w:styleId="Subsubsection">
    <w:name w:val="Subsubsection"/>
    <w:rsid w:val="00094A06"/>
    <w:pPr>
      <w:widowControl w:val="0"/>
      <w:autoSpaceDE w:val="0"/>
      <w:autoSpaceDN w:val="0"/>
      <w:adjustRightInd w:val="0"/>
      <w:outlineLvl w:val="2"/>
    </w:pPr>
    <w:rPr>
      <w:rFonts w:ascii="Arial" w:hAnsi="Arial" w:cs="Arial"/>
      <w:b/>
      <w:bCs/>
      <w:sz w:val="28"/>
      <w:szCs w:val="28"/>
      <w:lang w:val="en-US" w:eastAsia="en-US"/>
    </w:rPr>
  </w:style>
  <w:style w:type="character" w:customStyle="1" w:styleId="MTEquationSection">
    <w:name w:val="MTEquationSection"/>
    <w:basedOn w:val="DefaultParagraphFont"/>
    <w:rsid w:val="00094A06"/>
    <w:rPr>
      <w:rFonts w:ascii="Arial" w:hAnsi="Arial" w:cs="Arial"/>
      <w:b/>
      <w:vanish/>
      <w:color w:val="FF0000"/>
      <w:sz w:val="28"/>
      <w:szCs w:val="28"/>
    </w:rPr>
  </w:style>
  <w:style w:type="paragraph" w:customStyle="1" w:styleId="MTDisplayEquation">
    <w:name w:val="MTDisplayEquation"/>
    <w:basedOn w:val="Normal"/>
    <w:next w:val="Normal"/>
    <w:rsid w:val="00094A06"/>
    <w:pPr>
      <w:tabs>
        <w:tab w:val="center" w:pos="4320"/>
        <w:tab w:val="right" w:pos="8640"/>
      </w:tabs>
      <w:spacing w:line="480" w:lineRule="auto"/>
    </w:pPr>
    <w:rPr>
      <w:lang w:val="en-US" w:eastAsia="en-US"/>
    </w:rPr>
  </w:style>
  <w:style w:type="paragraph" w:customStyle="1" w:styleId="BodyText21">
    <w:name w:val="Body Text 21"/>
    <w:basedOn w:val="Normal"/>
    <w:autoRedefine/>
    <w:rsid w:val="00094A06"/>
    <w:pPr>
      <w:spacing w:after="120" w:line="360" w:lineRule="auto"/>
      <w:jc w:val="both"/>
    </w:pPr>
    <w:rPr>
      <w:szCs w:val="20"/>
    </w:rPr>
  </w:style>
  <w:style w:type="paragraph" w:customStyle="1" w:styleId="Section">
    <w:name w:val="Section"/>
    <w:basedOn w:val="Heading1"/>
    <w:rsid w:val="00094A06"/>
    <w:pPr>
      <w:spacing w:before="0" w:after="0" w:line="480" w:lineRule="auto"/>
    </w:pPr>
    <w:rPr>
      <w:rFonts w:ascii="Times New Roman" w:hAnsi="Times New Roman"/>
      <w:sz w:val="24"/>
      <w:lang w:val="en-US" w:eastAsia="en-US"/>
    </w:rPr>
  </w:style>
  <w:style w:type="character" w:customStyle="1" w:styleId="google-src-text1">
    <w:name w:val="google-src-text1"/>
    <w:basedOn w:val="DefaultParagraphFont"/>
    <w:rsid w:val="00094A06"/>
    <w:rPr>
      <w:vanish/>
      <w:webHidden w:val="0"/>
      <w:specVanish w:val="0"/>
    </w:rPr>
  </w:style>
  <w:style w:type="character" w:customStyle="1" w:styleId="maintextleft1">
    <w:name w:val="maintextleft1"/>
    <w:basedOn w:val="DefaultParagraphFont"/>
    <w:rsid w:val="00094A06"/>
    <w:rPr>
      <w:rFonts w:ascii="Arial" w:hAnsi="Arial" w:cs="Arial" w:hint="default"/>
      <w:b w:val="0"/>
      <w:bCs w:val="0"/>
      <w:i w:val="0"/>
      <w:iCs w:val="0"/>
      <w:smallCaps w:val="0"/>
      <w:strike w:val="0"/>
      <w:dstrike w:val="0"/>
      <w:color w:val="000000"/>
      <w:sz w:val="18"/>
      <w:szCs w:val="18"/>
      <w:u w:val="none"/>
      <w:effect w:val="none"/>
    </w:rPr>
  </w:style>
  <w:style w:type="character" w:customStyle="1" w:styleId="MTConvertedEquation">
    <w:name w:val="MTConvertedEquation"/>
    <w:basedOn w:val="DefaultParagraphFont"/>
    <w:rsid w:val="00094A06"/>
  </w:style>
  <w:style w:type="character" w:customStyle="1" w:styleId="text1">
    <w:name w:val="text1"/>
    <w:basedOn w:val="DefaultParagraphFont"/>
    <w:rsid w:val="00094A06"/>
    <w:rPr>
      <w:rFonts w:ascii="Arial" w:hAnsi="Arial" w:cs="Arial" w:hint="default"/>
      <w:b w:val="0"/>
      <w:bCs w:val="0"/>
      <w:color w:val="111111"/>
      <w:sz w:val="16"/>
      <w:szCs w:val="16"/>
    </w:rPr>
  </w:style>
  <w:style w:type="paragraph" w:customStyle="1" w:styleId="DefinitionList">
    <w:name w:val="Definition List"/>
    <w:basedOn w:val="Normal"/>
    <w:next w:val="Normal"/>
    <w:rsid w:val="00094A06"/>
    <w:pPr>
      <w:autoSpaceDE w:val="0"/>
      <w:autoSpaceDN w:val="0"/>
      <w:adjustRightInd w:val="0"/>
      <w:ind w:left="360"/>
    </w:pPr>
    <w:rPr>
      <w:lang w:val="en-US" w:eastAsia="en-US"/>
    </w:rPr>
  </w:style>
  <w:style w:type="paragraph" w:styleId="EndnoteText">
    <w:name w:val="endnote text"/>
    <w:basedOn w:val="Normal"/>
    <w:link w:val="EndnoteTextChar"/>
    <w:rsid w:val="00094A06"/>
    <w:pPr>
      <w:spacing w:line="480" w:lineRule="auto"/>
    </w:pPr>
    <w:rPr>
      <w:sz w:val="20"/>
      <w:szCs w:val="20"/>
      <w:lang w:val="en-US" w:eastAsia="en-US"/>
    </w:rPr>
  </w:style>
  <w:style w:type="character" w:customStyle="1" w:styleId="EndnoteTextChar">
    <w:name w:val="Endnote Text Char"/>
    <w:basedOn w:val="DefaultParagraphFont"/>
    <w:link w:val="EndnoteText"/>
    <w:rsid w:val="00094A06"/>
    <w:rPr>
      <w:lang w:val="en-US" w:eastAsia="en-US"/>
    </w:rPr>
  </w:style>
  <w:style w:type="character" w:styleId="EndnoteReference">
    <w:name w:val="endnote reference"/>
    <w:basedOn w:val="DefaultParagraphFont"/>
    <w:rsid w:val="00094A0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9934">
      <w:bodyDiv w:val="1"/>
      <w:marLeft w:val="0"/>
      <w:marRight w:val="0"/>
      <w:marTop w:val="0"/>
      <w:marBottom w:val="0"/>
      <w:divBdr>
        <w:top w:val="none" w:sz="0" w:space="0" w:color="auto"/>
        <w:left w:val="none" w:sz="0" w:space="0" w:color="auto"/>
        <w:bottom w:val="none" w:sz="0" w:space="0" w:color="auto"/>
        <w:right w:val="none" w:sz="0" w:space="0" w:color="auto"/>
      </w:divBdr>
    </w:div>
    <w:div w:id="17660826">
      <w:bodyDiv w:val="1"/>
      <w:marLeft w:val="0"/>
      <w:marRight w:val="0"/>
      <w:marTop w:val="0"/>
      <w:marBottom w:val="0"/>
      <w:divBdr>
        <w:top w:val="none" w:sz="0" w:space="0" w:color="auto"/>
        <w:left w:val="none" w:sz="0" w:space="0" w:color="auto"/>
        <w:bottom w:val="none" w:sz="0" w:space="0" w:color="auto"/>
        <w:right w:val="none" w:sz="0" w:space="0" w:color="auto"/>
      </w:divBdr>
    </w:div>
    <w:div w:id="85423078">
      <w:bodyDiv w:val="1"/>
      <w:marLeft w:val="0"/>
      <w:marRight w:val="0"/>
      <w:marTop w:val="0"/>
      <w:marBottom w:val="0"/>
      <w:divBdr>
        <w:top w:val="none" w:sz="0" w:space="0" w:color="auto"/>
        <w:left w:val="none" w:sz="0" w:space="0" w:color="auto"/>
        <w:bottom w:val="none" w:sz="0" w:space="0" w:color="auto"/>
        <w:right w:val="none" w:sz="0" w:space="0" w:color="auto"/>
      </w:divBdr>
    </w:div>
    <w:div w:id="135102292">
      <w:bodyDiv w:val="1"/>
      <w:marLeft w:val="0"/>
      <w:marRight w:val="0"/>
      <w:marTop w:val="0"/>
      <w:marBottom w:val="0"/>
      <w:divBdr>
        <w:top w:val="none" w:sz="0" w:space="0" w:color="auto"/>
        <w:left w:val="none" w:sz="0" w:space="0" w:color="auto"/>
        <w:bottom w:val="none" w:sz="0" w:space="0" w:color="auto"/>
        <w:right w:val="none" w:sz="0" w:space="0" w:color="auto"/>
      </w:divBdr>
    </w:div>
    <w:div w:id="165946269">
      <w:bodyDiv w:val="1"/>
      <w:marLeft w:val="0"/>
      <w:marRight w:val="0"/>
      <w:marTop w:val="0"/>
      <w:marBottom w:val="0"/>
      <w:divBdr>
        <w:top w:val="none" w:sz="0" w:space="0" w:color="auto"/>
        <w:left w:val="none" w:sz="0" w:space="0" w:color="auto"/>
        <w:bottom w:val="none" w:sz="0" w:space="0" w:color="auto"/>
        <w:right w:val="none" w:sz="0" w:space="0" w:color="auto"/>
      </w:divBdr>
    </w:div>
    <w:div w:id="188034027">
      <w:bodyDiv w:val="1"/>
      <w:marLeft w:val="0"/>
      <w:marRight w:val="0"/>
      <w:marTop w:val="0"/>
      <w:marBottom w:val="0"/>
      <w:divBdr>
        <w:top w:val="none" w:sz="0" w:space="0" w:color="auto"/>
        <w:left w:val="none" w:sz="0" w:space="0" w:color="auto"/>
        <w:bottom w:val="none" w:sz="0" w:space="0" w:color="auto"/>
        <w:right w:val="none" w:sz="0" w:space="0" w:color="auto"/>
      </w:divBdr>
    </w:div>
    <w:div w:id="215701811">
      <w:bodyDiv w:val="1"/>
      <w:marLeft w:val="0"/>
      <w:marRight w:val="0"/>
      <w:marTop w:val="0"/>
      <w:marBottom w:val="0"/>
      <w:divBdr>
        <w:top w:val="none" w:sz="0" w:space="0" w:color="auto"/>
        <w:left w:val="none" w:sz="0" w:space="0" w:color="auto"/>
        <w:bottom w:val="none" w:sz="0" w:space="0" w:color="auto"/>
        <w:right w:val="none" w:sz="0" w:space="0" w:color="auto"/>
      </w:divBdr>
    </w:div>
    <w:div w:id="224344036">
      <w:bodyDiv w:val="1"/>
      <w:marLeft w:val="0"/>
      <w:marRight w:val="0"/>
      <w:marTop w:val="0"/>
      <w:marBottom w:val="0"/>
      <w:divBdr>
        <w:top w:val="none" w:sz="0" w:space="0" w:color="auto"/>
        <w:left w:val="none" w:sz="0" w:space="0" w:color="auto"/>
        <w:bottom w:val="none" w:sz="0" w:space="0" w:color="auto"/>
        <w:right w:val="none" w:sz="0" w:space="0" w:color="auto"/>
      </w:divBdr>
    </w:div>
    <w:div w:id="244073993">
      <w:bodyDiv w:val="1"/>
      <w:marLeft w:val="0"/>
      <w:marRight w:val="0"/>
      <w:marTop w:val="0"/>
      <w:marBottom w:val="0"/>
      <w:divBdr>
        <w:top w:val="none" w:sz="0" w:space="0" w:color="auto"/>
        <w:left w:val="none" w:sz="0" w:space="0" w:color="auto"/>
        <w:bottom w:val="none" w:sz="0" w:space="0" w:color="auto"/>
        <w:right w:val="none" w:sz="0" w:space="0" w:color="auto"/>
      </w:divBdr>
    </w:div>
    <w:div w:id="261452758">
      <w:bodyDiv w:val="1"/>
      <w:marLeft w:val="0"/>
      <w:marRight w:val="0"/>
      <w:marTop w:val="0"/>
      <w:marBottom w:val="0"/>
      <w:divBdr>
        <w:top w:val="none" w:sz="0" w:space="0" w:color="auto"/>
        <w:left w:val="none" w:sz="0" w:space="0" w:color="auto"/>
        <w:bottom w:val="none" w:sz="0" w:space="0" w:color="auto"/>
        <w:right w:val="none" w:sz="0" w:space="0" w:color="auto"/>
      </w:divBdr>
    </w:div>
    <w:div w:id="338047635">
      <w:bodyDiv w:val="1"/>
      <w:marLeft w:val="0"/>
      <w:marRight w:val="0"/>
      <w:marTop w:val="0"/>
      <w:marBottom w:val="0"/>
      <w:divBdr>
        <w:top w:val="none" w:sz="0" w:space="0" w:color="auto"/>
        <w:left w:val="none" w:sz="0" w:space="0" w:color="auto"/>
        <w:bottom w:val="none" w:sz="0" w:space="0" w:color="auto"/>
        <w:right w:val="none" w:sz="0" w:space="0" w:color="auto"/>
      </w:divBdr>
    </w:div>
    <w:div w:id="362941444">
      <w:bodyDiv w:val="1"/>
      <w:marLeft w:val="0"/>
      <w:marRight w:val="0"/>
      <w:marTop w:val="0"/>
      <w:marBottom w:val="0"/>
      <w:divBdr>
        <w:top w:val="none" w:sz="0" w:space="0" w:color="auto"/>
        <w:left w:val="none" w:sz="0" w:space="0" w:color="auto"/>
        <w:bottom w:val="none" w:sz="0" w:space="0" w:color="auto"/>
        <w:right w:val="none" w:sz="0" w:space="0" w:color="auto"/>
      </w:divBdr>
    </w:div>
    <w:div w:id="387145662">
      <w:bodyDiv w:val="1"/>
      <w:marLeft w:val="0"/>
      <w:marRight w:val="0"/>
      <w:marTop w:val="0"/>
      <w:marBottom w:val="0"/>
      <w:divBdr>
        <w:top w:val="none" w:sz="0" w:space="0" w:color="auto"/>
        <w:left w:val="none" w:sz="0" w:space="0" w:color="auto"/>
        <w:bottom w:val="none" w:sz="0" w:space="0" w:color="auto"/>
        <w:right w:val="none" w:sz="0" w:space="0" w:color="auto"/>
      </w:divBdr>
    </w:div>
    <w:div w:id="389574157">
      <w:bodyDiv w:val="1"/>
      <w:marLeft w:val="0"/>
      <w:marRight w:val="0"/>
      <w:marTop w:val="0"/>
      <w:marBottom w:val="0"/>
      <w:divBdr>
        <w:top w:val="none" w:sz="0" w:space="0" w:color="auto"/>
        <w:left w:val="none" w:sz="0" w:space="0" w:color="auto"/>
        <w:bottom w:val="none" w:sz="0" w:space="0" w:color="auto"/>
        <w:right w:val="none" w:sz="0" w:space="0" w:color="auto"/>
      </w:divBdr>
    </w:div>
    <w:div w:id="413556216">
      <w:bodyDiv w:val="1"/>
      <w:marLeft w:val="0"/>
      <w:marRight w:val="0"/>
      <w:marTop w:val="0"/>
      <w:marBottom w:val="0"/>
      <w:divBdr>
        <w:top w:val="none" w:sz="0" w:space="0" w:color="auto"/>
        <w:left w:val="none" w:sz="0" w:space="0" w:color="auto"/>
        <w:bottom w:val="none" w:sz="0" w:space="0" w:color="auto"/>
        <w:right w:val="none" w:sz="0" w:space="0" w:color="auto"/>
      </w:divBdr>
    </w:div>
    <w:div w:id="461266685">
      <w:bodyDiv w:val="1"/>
      <w:marLeft w:val="0"/>
      <w:marRight w:val="0"/>
      <w:marTop w:val="0"/>
      <w:marBottom w:val="0"/>
      <w:divBdr>
        <w:top w:val="none" w:sz="0" w:space="0" w:color="auto"/>
        <w:left w:val="none" w:sz="0" w:space="0" w:color="auto"/>
        <w:bottom w:val="none" w:sz="0" w:space="0" w:color="auto"/>
        <w:right w:val="none" w:sz="0" w:space="0" w:color="auto"/>
      </w:divBdr>
    </w:div>
    <w:div w:id="508108931">
      <w:bodyDiv w:val="1"/>
      <w:marLeft w:val="0"/>
      <w:marRight w:val="0"/>
      <w:marTop w:val="0"/>
      <w:marBottom w:val="0"/>
      <w:divBdr>
        <w:top w:val="none" w:sz="0" w:space="0" w:color="auto"/>
        <w:left w:val="none" w:sz="0" w:space="0" w:color="auto"/>
        <w:bottom w:val="none" w:sz="0" w:space="0" w:color="auto"/>
        <w:right w:val="none" w:sz="0" w:space="0" w:color="auto"/>
      </w:divBdr>
    </w:div>
    <w:div w:id="514542574">
      <w:bodyDiv w:val="1"/>
      <w:marLeft w:val="0"/>
      <w:marRight w:val="0"/>
      <w:marTop w:val="0"/>
      <w:marBottom w:val="0"/>
      <w:divBdr>
        <w:top w:val="none" w:sz="0" w:space="0" w:color="auto"/>
        <w:left w:val="none" w:sz="0" w:space="0" w:color="auto"/>
        <w:bottom w:val="none" w:sz="0" w:space="0" w:color="auto"/>
        <w:right w:val="none" w:sz="0" w:space="0" w:color="auto"/>
      </w:divBdr>
    </w:div>
    <w:div w:id="573660665">
      <w:bodyDiv w:val="1"/>
      <w:marLeft w:val="0"/>
      <w:marRight w:val="0"/>
      <w:marTop w:val="0"/>
      <w:marBottom w:val="0"/>
      <w:divBdr>
        <w:top w:val="none" w:sz="0" w:space="0" w:color="auto"/>
        <w:left w:val="none" w:sz="0" w:space="0" w:color="auto"/>
        <w:bottom w:val="none" w:sz="0" w:space="0" w:color="auto"/>
        <w:right w:val="none" w:sz="0" w:space="0" w:color="auto"/>
      </w:divBdr>
    </w:div>
    <w:div w:id="589243027">
      <w:bodyDiv w:val="1"/>
      <w:marLeft w:val="0"/>
      <w:marRight w:val="0"/>
      <w:marTop w:val="0"/>
      <w:marBottom w:val="0"/>
      <w:divBdr>
        <w:top w:val="none" w:sz="0" w:space="0" w:color="auto"/>
        <w:left w:val="none" w:sz="0" w:space="0" w:color="auto"/>
        <w:bottom w:val="none" w:sz="0" w:space="0" w:color="auto"/>
        <w:right w:val="none" w:sz="0" w:space="0" w:color="auto"/>
      </w:divBdr>
    </w:div>
    <w:div w:id="614100639">
      <w:bodyDiv w:val="1"/>
      <w:marLeft w:val="0"/>
      <w:marRight w:val="0"/>
      <w:marTop w:val="0"/>
      <w:marBottom w:val="0"/>
      <w:divBdr>
        <w:top w:val="none" w:sz="0" w:space="0" w:color="auto"/>
        <w:left w:val="none" w:sz="0" w:space="0" w:color="auto"/>
        <w:bottom w:val="none" w:sz="0" w:space="0" w:color="auto"/>
        <w:right w:val="none" w:sz="0" w:space="0" w:color="auto"/>
      </w:divBdr>
    </w:div>
    <w:div w:id="616058318">
      <w:bodyDiv w:val="1"/>
      <w:marLeft w:val="0"/>
      <w:marRight w:val="0"/>
      <w:marTop w:val="0"/>
      <w:marBottom w:val="0"/>
      <w:divBdr>
        <w:top w:val="none" w:sz="0" w:space="0" w:color="auto"/>
        <w:left w:val="none" w:sz="0" w:space="0" w:color="auto"/>
        <w:bottom w:val="none" w:sz="0" w:space="0" w:color="auto"/>
        <w:right w:val="none" w:sz="0" w:space="0" w:color="auto"/>
      </w:divBdr>
    </w:div>
    <w:div w:id="622614541">
      <w:bodyDiv w:val="1"/>
      <w:marLeft w:val="0"/>
      <w:marRight w:val="0"/>
      <w:marTop w:val="0"/>
      <w:marBottom w:val="0"/>
      <w:divBdr>
        <w:top w:val="none" w:sz="0" w:space="0" w:color="auto"/>
        <w:left w:val="none" w:sz="0" w:space="0" w:color="auto"/>
        <w:bottom w:val="none" w:sz="0" w:space="0" w:color="auto"/>
        <w:right w:val="none" w:sz="0" w:space="0" w:color="auto"/>
      </w:divBdr>
    </w:div>
    <w:div w:id="635792941">
      <w:bodyDiv w:val="1"/>
      <w:marLeft w:val="0"/>
      <w:marRight w:val="0"/>
      <w:marTop w:val="0"/>
      <w:marBottom w:val="0"/>
      <w:divBdr>
        <w:top w:val="none" w:sz="0" w:space="0" w:color="auto"/>
        <w:left w:val="none" w:sz="0" w:space="0" w:color="auto"/>
        <w:bottom w:val="none" w:sz="0" w:space="0" w:color="auto"/>
        <w:right w:val="none" w:sz="0" w:space="0" w:color="auto"/>
      </w:divBdr>
    </w:div>
    <w:div w:id="636955241">
      <w:bodyDiv w:val="1"/>
      <w:marLeft w:val="0"/>
      <w:marRight w:val="0"/>
      <w:marTop w:val="0"/>
      <w:marBottom w:val="0"/>
      <w:divBdr>
        <w:top w:val="none" w:sz="0" w:space="0" w:color="auto"/>
        <w:left w:val="none" w:sz="0" w:space="0" w:color="auto"/>
        <w:bottom w:val="none" w:sz="0" w:space="0" w:color="auto"/>
        <w:right w:val="none" w:sz="0" w:space="0" w:color="auto"/>
      </w:divBdr>
    </w:div>
    <w:div w:id="657079159">
      <w:bodyDiv w:val="1"/>
      <w:marLeft w:val="0"/>
      <w:marRight w:val="0"/>
      <w:marTop w:val="0"/>
      <w:marBottom w:val="0"/>
      <w:divBdr>
        <w:top w:val="none" w:sz="0" w:space="0" w:color="auto"/>
        <w:left w:val="none" w:sz="0" w:space="0" w:color="auto"/>
        <w:bottom w:val="none" w:sz="0" w:space="0" w:color="auto"/>
        <w:right w:val="none" w:sz="0" w:space="0" w:color="auto"/>
      </w:divBdr>
    </w:div>
    <w:div w:id="667947503">
      <w:bodyDiv w:val="1"/>
      <w:marLeft w:val="0"/>
      <w:marRight w:val="0"/>
      <w:marTop w:val="0"/>
      <w:marBottom w:val="0"/>
      <w:divBdr>
        <w:top w:val="none" w:sz="0" w:space="0" w:color="auto"/>
        <w:left w:val="none" w:sz="0" w:space="0" w:color="auto"/>
        <w:bottom w:val="none" w:sz="0" w:space="0" w:color="auto"/>
        <w:right w:val="none" w:sz="0" w:space="0" w:color="auto"/>
      </w:divBdr>
    </w:div>
    <w:div w:id="682783712">
      <w:bodyDiv w:val="1"/>
      <w:marLeft w:val="0"/>
      <w:marRight w:val="0"/>
      <w:marTop w:val="0"/>
      <w:marBottom w:val="0"/>
      <w:divBdr>
        <w:top w:val="none" w:sz="0" w:space="0" w:color="auto"/>
        <w:left w:val="none" w:sz="0" w:space="0" w:color="auto"/>
        <w:bottom w:val="none" w:sz="0" w:space="0" w:color="auto"/>
        <w:right w:val="none" w:sz="0" w:space="0" w:color="auto"/>
      </w:divBdr>
    </w:div>
    <w:div w:id="693191264">
      <w:bodyDiv w:val="1"/>
      <w:marLeft w:val="0"/>
      <w:marRight w:val="0"/>
      <w:marTop w:val="0"/>
      <w:marBottom w:val="0"/>
      <w:divBdr>
        <w:top w:val="none" w:sz="0" w:space="0" w:color="auto"/>
        <w:left w:val="none" w:sz="0" w:space="0" w:color="auto"/>
        <w:bottom w:val="none" w:sz="0" w:space="0" w:color="auto"/>
        <w:right w:val="none" w:sz="0" w:space="0" w:color="auto"/>
      </w:divBdr>
    </w:div>
    <w:div w:id="746147812">
      <w:bodyDiv w:val="1"/>
      <w:marLeft w:val="0"/>
      <w:marRight w:val="0"/>
      <w:marTop w:val="0"/>
      <w:marBottom w:val="0"/>
      <w:divBdr>
        <w:top w:val="none" w:sz="0" w:space="0" w:color="auto"/>
        <w:left w:val="none" w:sz="0" w:space="0" w:color="auto"/>
        <w:bottom w:val="none" w:sz="0" w:space="0" w:color="auto"/>
        <w:right w:val="none" w:sz="0" w:space="0" w:color="auto"/>
      </w:divBdr>
    </w:div>
    <w:div w:id="777942321">
      <w:bodyDiv w:val="1"/>
      <w:marLeft w:val="0"/>
      <w:marRight w:val="0"/>
      <w:marTop w:val="0"/>
      <w:marBottom w:val="0"/>
      <w:divBdr>
        <w:top w:val="none" w:sz="0" w:space="0" w:color="auto"/>
        <w:left w:val="none" w:sz="0" w:space="0" w:color="auto"/>
        <w:bottom w:val="none" w:sz="0" w:space="0" w:color="auto"/>
        <w:right w:val="none" w:sz="0" w:space="0" w:color="auto"/>
      </w:divBdr>
    </w:div>
    <w:div w:id="793207640">
      <w:bodyDiv w:val="1"/>
      <w:marLeft w:val="0"/>
      <w:marRight w:val="0"/>
      <w:marTop w:val="0"/>
      <w:marBottom w:val="0"/>
      <w:divBdr>
        <w:top w:val="none" w:sz="0" w:space="0" w:color="auto"/>
        <w:left w:val="none" w:sz="0" w:space="0" w:color="auto"/>
        <w:bottom w:val="none" w:sz="0" w:space="0" w:color="auto"/>
        <w:right w:val="none" w:sz="0" w:space="0" w:color="auto"/>
      </w:divBdr>
    </w:div>
    <w:div w:id="829060586">
      <w:bodyDiv w:val="1"/>
      <w:marLeft w:val="0"/>
      <w:marRight w:val="0"/>
      <w:marTop w:val="0"/>
      <w:marBottom w:val="0"/>
      <w:divBdr>
        <w:top w:val="none" w:sz="0" w:space="0" w:color="auto"/>
        <w:left w:val="none" w:sz="0" w:space="0" w:color="auto"/>
        <w:bottom w:val="none" w:sz="0" w:space="0" w:color="auto"/>
        <w:right w:val="none" w:sz="0" w:space="0" w:color="auto"/>
      </w:divBdr>
    </w:div>
    <w:div w:id="860514306">
      <w:bodyDiv w:val="1"/>
      <w:marLeft w:val="0"/>
      <w:marRight w:val="0"/>
      <w:marTop w:val="0"/>
      <w:marBottom w:val="0"/>
      <w:divBdr>
        <w:top w:val="none" w:sz="0" w:space="0" w:color="auto"/>
        <w:left w:val="none" w:sz="0" w:space="0" w:color="auto"/>
        <w:bottom w:val="none" w:sz="0" w:space="0" w:color="auto"/>
        <w:right w:val="none" w:sz="0" w:space="0" w:color="auto"/>
      </w:divBdr>
    </w:div>
    <w:div w:id="881018819">
      <w:bodyDiv w:val="1"/>
      <w:marLeft w:val="0"/>
      <w:marRight w:val="0"/>
      <w:marTop w:val="0"/>
      <w:marBottom w:val="0"/>
      <w:divBdr>
        <w:top w:val="none" w:sz="0" w:space="0" w:color="auto"/>
        <w:left w:val="none" w:sz="0" w:space="0" w:color="auto"/>
        <w:bottom w:val="none" w:sz="0" w:space="0" w:color="auto"/>
        <w:right w:val="none" w:sz="0" w:space="0" w:color="auto"/>
      </w:divBdr>
    </w:div>
    <w:div w:id="893657269">
      <w:bodyDiv w:val="1"/>
      <w:marLeft w:val="0"/>
      <w:marRight w:val="0"/>
      <w:marTop w:val="0"/>
      <w:marBottom w:val="0"/>
      <w:divBdr>
        <w:top w:val="none" w:sz="0" w:space="0" w:color="auto"/>
        <w:left w:val="none" w:sz="0" w:space="0" w:color="auto"/>
        <w:bottom w:val="none" w:sz="0" w:space="0" w:color="auto"/>
        <w:right w:val="none" w:sz="0" w:space="0" w:color="auto"/>
      </w:divBdr>
    </w:div>
    <w:div w:id="902107485">
      <w:bodyDiv w:val="1"/>
      <w:marLeft w:val="0"/>
      <w:marRight w:val="0"/>
      <w:marTop w:val="0"/>
      <w:marBottom w:val="0"/>
      <w:divBdr>
        <w:top w:val="none" w:sz="0" w:space="0" w:color="auto"/>
        <w:left w:val="none" w:sz="0" w:space="0" w:color="auto"/>
        <w:bottom w:val="none" w:sz="0" w:space="0" w:color="auto"/>
        <w:right w:val="none" w:sz="0" w:space="0" w:color="auto"/>
      </w:divBdr>
    </w:div>
    <w:div w:id="955020449">
      <w:bodyDiv w:val="1"/>
      <w:marLeft w:val="0"/>
      <w:marRight w:val="0"/>
      <w:marTop w:val="0"/>
      <w:marBottom w:val="0"/>
      <w:divBdr>
        <w:top w:val="none" w:sz="0" w:space="0" w:color="auto"/>
        <w:left w:val="none" w:sz="0" w:space="0" w:color="auto"/>
        <w:bottom w:val="none" w:sz="0" w:space="0" w:color="auto"/>
        <w:right w:val="none" w:sz="0" w:space="0" w:color="auto"/>
      </w:divBdr>
    </w:div>
    <w:div w:id="966353208">
      <w:bodyDiv w:val="1"/>
      <w:marLeft w:val="0"/>
      <w:marRight w:val="0"/>
      <w:marTop w:val="0"/>
      <w:marBottom w:val="0"/>
      <w:divBdr>
        <w:top w:val="none" w:sz="0" w:space="0" w:color="auto"/>
        <w:left w:val="none" w:sz="0" w:space="0" w:color="auto"/>
        <w:bottom w:val="none" w:sz="0" w:space="0" w:color="auto"/>
        <w:right w:val="none" w:sz="0" w:space="0" w:color="auto"/>
      </w:divBdr>
    </w:div>
    <w:div w:id="972716306">
      <w:bodyDiv w:val="1"/>
      <w:marLeft w:val="0"/>
      <w:marRight w:val="0"/>
      <w:marTop w:val="0"/>
      <w:marBottom w:val="0"/>
      <w:divBdr>
        <w:top w:val="none" w:sz="0" w:space="0" w:color="auto"/>
        <w:left w:val="none" w:sz="0" w:space="0" w:color="auto"/>
        <w:bottom w:val="none" w:sz="0" w:space="0" w:color="auto"/>
        <w:right w:val="none" w:sz="0" w:space="0" w:color="auto"/>
      </w:divBdr>
    </w:div>
    <w:div w:id="1022590316">
      <w:bodyDiv w:val="1"/>
      <w:marLeft w:val="0"/>
      <w:marRight w:val="0"/>
      <w:marTop w:val="0"/>
      <w:marBottom w:val="0"/>
      <w:divBdr>
        <w:top w:val="none" w:sz="0" w:space="0" w:color="auto"/>
        <w:left w:val="none" w:sz="0" w:space="0" w:color="auto"/>
        <w:bottom w:val="none" w:sz="0" w:space="0" w:color="auto"/>
        <w:right w:val="none" w:sz="0" w:space="0" w:color="auto"/>
      </w:divBdr>
    </w:div>
    <w:div w:id="1092893800">
      <w:bodyDiv w:val="1"/>
      <w:marLeft w:val="0"/>
      <w:marRight w:val="0"/>
      <w:marTop w:val="0"/>
      <w:marBottom w:val="0"/>
      <w:divBdr>
        <w:top w:val="none" w:sz="0" w:space="0" w:color="auto"/>
        <w:left w:val="none" w:sz="0" w:space="0" w:color="auto"/>
        <w:bottom w:val="none" w:sz="0" w:space="0" w:color="auto"/>
        <w:right w:val="none" w:sz="0" w:space="0" w:color="auto"/>
      </w:divBdr>
    </w:div>
    <w:div w:id="1137185927">
      <w:bodyDiv w:val="1"/>
      <w:marLeft w:val="0"/>
      <w:marRight w:val="0"/>
      <w:marTop w:val="0"/>
      <w:marBottom w:val="0"/>
      <w:divBdr>
        <w:top w:val="none" w:sz="0" w:space="0" w:color="auto"/>
        <w:left w:val="none" w:sz="0" w:space="0" w:color="auto"/>
        <w:bottom w:val="none" w:sz="0" w:space="0" w:color="auto"/>
        <w:right w:val="none" w:sz="0" w:space="0" w:color="auto"/>
      </w:divBdr>
    </w:div>
    <w:div w:id="1140029374">
      <w:bodyDiv w:val="1"/>
      <w:marLeft w:val="0"/>
      <w:marRight w:val="0"/>
      <w:marTop w:val="0"/>
      <w:marBottom w:val="0"/>
      <w:divBdr>
        <w:top w:val="none" w:sz="0" w:space="0" w:color="auto"/>
        <w:left w:val="none" w:sz="0" w:space="0" w:color="auto"/>
        <w:bottom w:val="none" w:sz="0" w:space="0" w:color="auto"/>
        <w:right w:val="none" w:sz="0" w:space="0" w:color="auto"/>
      </w:divBdr>
    </w:div>
    <w:div w:id="1195729198">
      <w:bodyDiv w:val="1"/>
      <w:marLeft w:val="0"/>
      <w:marRight w:val="0"/>
      <w:marTop w:val="0"/>
      <w:marBottom w:val="0"/>
      <w:divBdr>
        <w:top w:val="none" w:sz="0" w:space="0" w:color="auto"/>
        <w:left w:val="none" w:sz="0" w:space="0" w:color="auto"/>
        <w:bottom w:val="none" w:sz="0" w:space="0" w:color="auto"/>
        <w:right w:val="none" w:sz="0" w:space="0" w:color="auto"/>
      </w:divBdr>
    </w:div>
    <w:div w:id="1271208520">
      <w:bodyDiv w:val="1"/>
      <w:marLeft w:val="0"/>
      <w:marRight w:val="0"/>
      <w:marTop w:val="0"/>
      <w:marBottom w:val="0"/>
      <w:divBdr>
        <w:top w:val="none" w:sz="0" w:space="0" w:color="auto"/>
        <w:left w:val="none" w:sz="0" w:space="0" w:color="auto"/>
        <w:bottom w:val="none" w:sz="0" w:space="0" w:color="auto"/>
        <w:right w:val="none" w:sz="0" w:space="0" w:color="auto"/>
      </w:divBdr>
    </w:div>
    <w:div w:id="1327128141">
      <w:bodyDiv w:val="1"/>
      <w:marLeft w:val="0"/>
      <w:marRight w:val="0"/>
      <w:marTop w:val="0"/>
      <w:marBottom w:val="0"/>
      <w:divBdr>
        <w:top w:val="none" w:sz="0" w:space="0" w:color="auto"/>
        <w:left w:val="none" w:sz="0" w:space="0" w:color="auto"/>
        <w:bottom w:val="none" w:sz="0" w:space="0" w:color="auto"/>
        <w:right w:val="none" w:sz="0" w:space="0" w:color="auto"/>
      </w:divBdr>
    </w:div>
    <w:div w:id="1445924414">
      <w:bodyDiv w:val="1"/>
      <w:marLeft w:val="0"/>
      <w:marRight w:val="0"/>
      <w:marTop w:val="0"/>
      <w:marBottom w:val="0"/>
      <w:divBdr>
        <w:top w:val="none" w:sz="0" w:space="0" w:color="auto"/>
        <w:left w:val="none" w:sz="0" w:space="0" w:color="auto"/>
        <w:bottom w:val="none" w:sz="0" w:space="0" w:color="auto"/>
        <w:right w:val="none" w:sz="0" w:space="0" w:color="auto"/>
      </w:divBdr>
    </w:div>
    <w:div w:id="1476217555">
      <w:bodyDiv w:val="1"/>
      <w:marLeft w:val="0"/>
      <w:marRight w:val="0"/>
      <w:marTop w:val="0"/>
      <w:marBottom w:val="0"/>
      <w:divBdr>
        <w:top w:val="none" w:sz="0" w:space="0" w:color="auto"/>
        <w:left w:val="none" w:sz="0" w:space="0" w:color="auto"/>
        <w:bottom w:val="none" w:sz="0" w:space="0" w:color="auto"/>
        <w:right w:val="none" w:sz="0" w:space="0" w:color="auto"/>
      </w:divBdr>
    </w:div>
    <w:div w:id="1479416651">
      <w:bodyDiv w:val="1"/>
      <w:marLeft w:val="0"/>
      <w:marRight w:val="0"/>
      <w:marTop w:val="0"/>
      <w:marBottom w:val="0"/>
      <w:divBdr>
        <w:top w:val="none" w:sz="0" w:space="0" w:color="auto"/>
        <w:left w:val="none" w:sz="0" w:space="0" w:color="auto"/>
        <w:bottom w:val="none" w:sz="0" w:space="0" w:color="auto"/>
        <w:right w:val="none" w:sz="0" w:space="0" w:color="auto"/>
      </w:divBdr>
    </w:div>
    <w:div w:id="1540778867">
      <w:bodyDiv w:val="1"/>
      <w:marLeft w:val="0"/>
      <w:marRight w:val="0"/>
      <w:marTop w:val="0"/>
      <w:marBottom w:val="0"/>
      <w:divBdr>
        <w:top w:val="none" w:sz="0" w:space="0" w:color="auto"/>
        <w:left w:val="none" w:sz="0" w:space="0" w:color="auto"/>
        <w:bottom w:val="none" w:sz="0" w:space="0" w:color="auto"/>
        <w:right w:val="none" w:sz="0" w:space="0" w:color="auto"/>
      </w:divBdr>
    </w:div>
    <w:div w:id="1605772097">
      <w:bodyDiv w:val="1"/>
      <w:marLeft w:val="0"/>
      <w:marRight w:val="0"/>
      <w:marTop w:val="0"/>
      <w:marBottom w:val="0"/>
      <w:divBdr>
        <w:top w:val="none" w:sz="0" w:space="0" w:color="auto"/>
        <w:left w:val="none" w:sz="0" w:space="0" w:color="auto"/>
        <w:bottom w:val="none" w:sz="0" w:space="0" w:color="auto"/>
        <w:right w:val="none" w:sz="0" w:space="0" w:color="auto"/>
      </w:divBdr>
    </w:div>
    <w:div w:id="1654721507">
      <w:bodyDiv w:val="1"/>
      <w:marLeft w:val="0"/>
      <w:marRight w:val="0"/>
      <w:marTop w:val="0"/>
      <w:marBottom w:val="0"/>
      <w:divBdr>
        <w:top w:val="none" w:sz="0" w:space="0" w:color="auto"/>
        <w:left w:val="none" w:sz="0" w:space="0" w:color="auto"/>
        <w:bottom w:val="none" w:sz="0" w:space="0" w:color="auto"/>
        <w:right w:val="none" w:sz="0" w:space="0" w:color="auto"/>
      </w:divBdr>
    </w:div>
    <w:div w:id="1654794168">
      <w:bodyDiv w:val="1"/>
      <w:marLeft w:val="0"/>
      <w:marRight w:val="0"/>
      <w:marTop w:val="0"/>
      <w:marBottom w:val="0"/>
      <w:divBdr>
        <w:top w:val="none" w:sz="0" w:space="0" w:color="auto"/>
        <w:left w:val="none" w:sz="0" w:space="0" w:color="auto"/>
        <w:bottom w:val="none" w:sz="0" w:space="0" w:color="auto"/>
        <w:right w:val="none" w:sz="0" w:space="0" w:color="auto"/>
      </w:divBdr>
    </w:div>
    <w:div w:id="1693995298">
      <w:bodyDiv w:val="1"/>
      <w:marLeft w:val="0"/>
      <w:marRight w:val="0"/>
      <w:marTop w:val="0"/>
      <w:marBottom w:val="0"/>
      <w:divBdr>
        <w:top w:val="none" w:sz="0" w:space="0" w:color="auto"/>
        <w:left w:val="none" w:sz="0" w:space="0" w:color="auto"/>
        <w:bottom w:val="none" w:sz="0" w:space="0" w:color="auto"/>
        <w:right w:val="none" w:sz="0" w:space="0" w:color="auto"/>
      </w:divBdr>
    </w:div>
    <w:div w:id="1730228142">
      <w:bodyDiv w:val="1"/>
      <w:marLeft w:val="0"/>
      <w:marRight w:val="0"/>
      <w:marTop w:val="0"/>
      <w:marBottom w:val="0"/>
      <w:divBdr>
        <w:top w:val="none" w:sz="0" w:space="0" w:color="auto"/>
        <w:left w:val="none" w:sz="0" w:space="0" w:color="auto"/>
        <w:bottom w:val="none" w:sz="0" w:space="0" w:color="auto"/>
        <w:right w:val="none" w:sz="0" w:space="0" w:color="auto"/>
      </w:divBdr>
    </w:div>
    <w:div w:id="1747260842">
      <w:bodyDiv w:val="1"/>
      <w:marLeft w:val="0"/>
      <w:marRight w:val="0"/>
      <w:marTop w:val="0"/>
      <w:marBottom w:val="0"/>
      <w:divBdr>
        <w:top w:val="none" w:sz="0" w:space="0" w:color="auto"/>
        <w:left w:val="none" w:sz="0" w:space="0" w:color="auto"/>
        <w:bottom w:val="none" w:sz="0" w:space="0" w:color="auto"/>
        <w:right w:val="none" w:sz="0" w:space="0" w:color="auto"/>
      </w:divBdr>
    </w:div>
    <w:div w:id="1752002825">
      <w:bodyDiv w:val="1"/>
      <w:marLeft w:val="0"/>
      <w:marRight w:val="0"/>
      <w:marTop w:val="0"/>
      <w:marBottom w:val="0"/>
      <w:divBdr>
        <w:top w:val="none" w:sz="0" w:space="0" w:color="auto"/>
        <w:left w:val="none" w:sz="0" w:space="0" w:color="auto"/>
        <w:bottom w:val="none" w:sz="0" w:space="0" w:color="auto"/>
        <w:right w:val="none" w:sz="0" w:space="0" w:color="auto"/>
      </w:divBdr>
    </w:div>
    <w:div w:id="1769540525">
      <w:bodyDiv w:val="1"/>
      <w:marLeft w:val="0"/>
      <w:marRight w:val="0"/>
      <w:marTop w:val="0"/>
      <w:marBottom w:val="0"/>
      <w:divBdr>
        <w:top w:val="none" w:sz="0" w:space="0" w:color="auto"/>
        <w:left w:val="none" w:sz="0" w:space="0" w:color="auto"/>
        <w:bottom w:val="none" w:sz="0" w:space="0" w:color="auto"/>
        <w:right w:val="none" w:sz="0" w:space="0" w:color="auto"/>
      </w:divBdr>
    </w:div>
    <w:div w:id="1803959810">
      <w:bodyDiv w:val="1"/>
      <w:marLeft w:val="0"/>
      <w:marRight w:val="0"/>
      <w:marTop w:val="0"/>
      <w:marBottom w:val="0"/>
      <w:divBdr>
        <w:top w:val="none" w:sz="0" w:space="0" w:color="auto"/>
        <w:left w:val="none" w:sz="0" w:space="0" w:color="auto"/>
        <w:bottom w:val="none" w:sz="0" w:space="0" w:color="auto"/>
        <w:right w:val="none" w:sz="0" w:space="0" w:color="auto"/>
      </w:divBdr>
    </w:div>
    <w:div w:id="1822691124">
      <w:bodyDiv w:val="1"/>
      <w:marLeft w:val="0"/>
      <w:marRight w:val="0"/>
      <w:marTop w:val="0"/>
      <w:marBottom w:val="0"/>
      <w:divBdr>
        <w:top w:val="none" w:sz="0" w:space="0" w:color="auto"/>
        <w:left w:val="none" w:sz="0" w:space="0" w:color="auto"/>
        <w:bottom w:val="none" w:sz="0" w:space="0" w:color="auto"/>
        <w:right w:val="none" w:sz="0" w:space="0" w:color="auto"/>
      </w:divBdr>
    </w:div>
    <w:div w:id="1825471570">
      <w:bodyDiv w:val="1"/>
      <w:marLeft w:val="0"/>
      <w:marRight w:val="0"/>
      <w:marTop w:val="0"/>
      <w:marBottom w:val="0"/>
      <w:divBdr>
        <w:top w:val="none" w:sz="0" w:space="0" w:color="auto"/>
        <w:left w:val="none" w:sz="0" w:space="0" w:color="auto"/>
        <w:bottom w:val="none" w:sz="0" w:space="0" w:color="auto"/>
        <w:right w:val="none" w:sz="0" w:space="0" w:color="auto"/>
      </w:divBdr>
    </w:div>
    <w:div w:id="1866165878">
      <w:bodyDiv w:val="1"/>
      <w:marLeft w:val="0"/>
      <w:marRight w:val="0"/>
      <w:marTop w:val="0"/>
      <w:marBottom w:val="0"/>
      <w:divBdr>
        <w:top w:val="none" w:sz="0" w:space="0" w:color="auto"/>
        <w:left w:val="none" w:sz="0" w:space="0" w:color="auto"/>
        <w:bottom w:val="none" w:sz="0" w:space="0" w:color="auto"/>
        <w:right w:val="none" w:sz="0" w:space="0" w:color="auto"/>
      </w:divBdr>
    </w:div>
    <w:div w:id="1941986142">
      <w:bodyDiv w:val="1"/>
      <w:marLeft w:val="0"/>
      <w:marRight w:val="0"/>
      <w:marTop w:val="0"/>
      <w:marBottom w:val="0"/>
      <w:divBdr>
        <w:top w:val="none" w:sz="0" w:space="0" w:color="auto"/>
        <w:left w:val="none" w:sz="0" w:space="0" w:color="auto"/>
        <w:bottom w:val="none" w:sz="0" w:space="0" w:color="auto"/>
        <w:right w:val="none" w:sz="0" w:space="0" w:color="auto"/>
      </w:divBdr>
    </w:div>
    <w:div w:id="1945650403">
      <w:bodyDiv w:val="1"/>
      <w:marLeft w:val="0"/>
      <w:marRight w:val="0"/>
      <w:marTop w:val="0"/>
      <w:marBottom w:val="0"/>
      <w:divBdr>
        <w:top w:val="none" w:sz="0" w:space="0" w:color="auto"/>
        <w:left w:val="none" w:sz="0" w:space="0" w:color="auto"/>
        <w:bottom w:val="none" w:sz="0" w:space="0" w:color="auto"/>
        <w:right w:val="none" w:sz="0" w:space="0" w:color="auto"/>
      </w:divBdr>
    </w:div>
    <w:div w:id="212206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image" Target="media/image48.wmf"/><Relationship Id="rId102" Type="http://schemas.openxmlformats.org/officeDocument/2006/relationships/oleObject" Target="embeddings/oleObject38.bin"/><Relationship Id="rId103" Type="http://schemas.openxmlformats.org/officeDocument/2006/relationships/hyperlink" Target="http://ciagri.iea.sp.gov.br/bancoiea/Precos_Medios.aspx?cod_sis=4" TargetMode="External"/><Relationship Id="rId104" Type="http://schemas.openxmlformats.org/officeDocument/2006/relationships/hyperlink" Target="http://ciagri.iea.sp.gov.br/bancoiea/Precos_Medios.aspx?cod_sis=4" TargetMode="External"/><Relationship Id="rId105" Type="http://schemas.openxmlformats.org/officeDocument/2006/relationships/hyperlink" Target="http://www.ipeadata.gov.br/" TargetMode="External"/><Relationship Id="rId106" Type="http://schemas.openxmlformats.org/officeDocument/2006/relationships/hyperlink" Target="http://www.agecon.ksu.edu/livestock/Extension%20Bulletins/BeefDemandDeterminants.pdf" TargetMode="External"/><Relationship Id="rId107" Type="http://schemas.openxmlformats.org/officeDocument/2006/relationships/hyperlink" Target="http://www.fas.usda.gov/psdonline/psdDownload.asp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8" Type="http://schemas.openxmlformats.org/officeDocument/2006/relationships/footer" Target="footer1.xml"/><Relationship Id="rId109" Type="http://schemas.openxmlformats.org/officeDocument/2006/relationships/fontTable" Target="fontTable.xml"/><Relationship Id="rId10" Type="http://schemas.openxmlformats.org/officeDocument/2006/relationships/hyperlink" Target="http://acervo.folha.com.br/busca_detalhada" TargetMode="External"/><Relationship Id="rId11" Type="http://schemas.openxmlformats.org/officeDocument/2006/relationships/hyperlink" Target="http://www.google.com.br" TargetMode="External"/><Relationship Id="rId12" Type="http://schemas.openxmlformats.org/officeDocument/2006/relationships/hyperlink" Target="http://www.wikipedia.org" TargetMode="External"/><Relationship Id="rId13" Type="http://schemas.openxmlformats.org/officeDocument/2006/relationships/hyperlink" Target="http://acervo.folha.com.br/busca_detalhada" TargetMode="External"/><Relationship Id="rId14" Type="http://schemas.openxmlformats.org/officeDocument/2006/relationships/image" Target="media/image2.png"/><Relationship Id="rId15" Type="http://schemas.openxmlformats.org/officeDocument/2006/relationships/image" Target="media/image3.wmf"/><Relationship Id="rId16" Type="http://schemas.openxmlformats.org/officeDocument/2006/relationships/hyperlink" Target="http://acervo.folha.com.br/busca_detalhada" TargetMode="External"/><Relationship Id="rId17" Type="http://schemas.openxmlformats.org/officeDocument/2006/relationships/image" Target="media/image4.wmf"/><Relationship Id="rId18" Type="http://schemas.openxmlformats.org/officeDocument/2006/relationships/image" Target="media/image5.wmf"/><Relationship Id="rId19" Type="http://schemas.openxmlformats.org/officeDocument/2006/relationships/image" Target="media/image6.wmf"/><Relationship Id="rId30" Type="http://schemas.openxmlformats.org/officeDocument/2006/relationships/oleObject" Target="embeddings/oleObject6.bin"/><Relationship Id="rId31" Type="http://schemas.openxmlformats.org/officeDocument/2006/relationships/image" Target="media/image12.wmf"/><Relationship Id="rId32" Type="http://schemas.openxmlformats.org/officeDocument/2006/relationships/oleObject" Target="embeddings/oleObject7.bin"/><Relationship Id="rId33" Type="http://schemas.openxmlformats.org/officeDocument/2006/relationships/image" Target="media/image13.wmf"/><Relationship Id="rId34" Type="http://schemas.openxmlformats.org/officeDocument/2006/relationships/oleObject" Target="embeddings/oleObject8.bin"/><Relationship Id="rId35" Type="http://schemas.openxmlformats.org/officeDocument/2006/relationships/image" Target="media/image14.wmf"/><Relationship Id="rId36" Type="http://schemas.openxmlformats.org/officeDocument/2006/relationships/oleObject" Target="embeddings/oleObject9.bin"/><Relationship Id="rId37" Type="http://schemas.openxmlformats.org/officeDocument/2006/relationships/image" Target="media/image15.wmf"/><Relationship Id="rId38" Type="http://schemas.openxmlformats.org/officeDocument/2006/relationships/oleObject" Target="embeddings/Microsoft_Equation1.bin"/><Relationship Id="rId39" Type="http://schemas.openxmlformats.org/officeDocument/2006/relationships/image" Target="media/image16.wmf"/><Relationship Id="rId50" Type="http://schemas.openxmlformats.org/officeDocument/2006/relationships/oleObject" Target="embeddings/oleObject13.bin"/><Relationship Id="rId51" Type="http://schemas.openxmlformats.org/officeDocument/2006/relationships/image" Target="media/image22.wmf"/><Relationship Id="rId52" Type="http://schemas.openxmlformats.org/officeDocument/2006/relationships/oleObject" Target="embeddings/oleObject14.bin"/><Relationship Id="rId53" Type="http://schemas.openxmlformats.org/officeDocument/2006/relationships/image" Target="media/image23.wmf"/><Relationship Id="rId54" Type="http://schemas.openxmlformats.org/officeDocument/2006/relationships/oleObject" Target="embeddings/oleObject15.bin"/><Relationship Id="rId55" Type="http://schemas.openxmlformats.org/officeDocument/2006/relationships/image" Target="media/image24.wmf"/><Relationship Id="rId56" Type="http://schemas.openxmlformats.org/officeDocument/2006/relationships/oleObject" Target="embeddings/oleObject16.bin"/><Relationship Id="rId57" Type="http://schemas.openxmlformats.org/officeDocument/2006/relationships/image" Target="media/image25.wmf"/><Relationship Id="rId58" Type="http://schemas.openxmlformats.org/officeDocument/2006/relationships/oleObject" Target="embeddings/oleObject17.bin"/><Relationship Id="rId59" Type="http://schemas.openxmlformats.org/officeDocument/2006/relationships/image" Target="media/image26.wmf"/><Relationship Id="rId70" Type="http://schemas.openxmlformats.org/officeDocument/2006/relationships/oleObject" Target="embeddings/oleObject23.bin"/><Relationship Id="rId71" Type="http://schemas.openxmlformats.org/officeDocument/2006/relationships/image" Target="media/image32.wmf"/><Relationship Id="rId72" Type="http://schemas.openxmlformats.org/officeDocument/2006/relationships/oleObject" Target="embeddings/oleObject24.bin"/><Relationship Id="rId73" Type="http://schemas.openxmlformats.org/officeDocument/2006/relationships/image" Target="media/image33.wmf"/><Relationship Id="rId74" Type="http://schemas.openxmlformats.org/officeDocument/2006/relationships/oleObject" Target="embeddings/oleObject25.bin"/><Relationship Id="rId75" Type="http://schemas.openxmlformats.org/officeDocument/2006/relationships/image" Target="media/image34.wmf"/><Relationship Id="rId76" Type="http://schemas.openxmlformats.org/officeDocument/2006/relationships/oleObject" Target="embeddings/oleObject26.bin"/><Relationship Id="rId77" Type="http://schemas.openxmlformats.org/officeDocument/2006/relationships/image" Target="media/image35.wmf"/><Relationship Id="rId78" Type="http://schemas.openxmlformats.org/officeDocument/2006/relationships/oleObject" Target="embeddings/oleObject27.bin"/><Relationship Id="rId79" Type="http://schemas.openxmlformats.org/officeDocument/2006/relationships/image" Target="media/image36.wmf"/><Relationship Id="rId110" Type="http://schemas.openxmlformats.org/officeDocument/2006/relationships/theme" Target="theme/theme1.xml"/><Relationship Id="rId90" Type="http://schemas.openxmlformats.org/officeDocument/2006/relationships/oleObject" Target="embeddings/Microsoft_Equation5.bin"/><Relationship Id="rId91" Type="http://schemas.openxmlformats.org/officeDocument/2006/relationships/image" Target="media/image42.wmf"/><Relationship Id="rId92" Type="http://schemas.openxmlformats.org/officeDocument/2006/relationships/oleObject" Target="embeddings/oleObject32.bin"/><Relationship Id="rId93" Type="http://schemas.openxmlformats.org/officeDocument/2006/relationships/image" Target="media/image44.wmf"/><Relationship Id="rId94" Type="http://schemas.openxmlformats.org/officeDocument/2006/relationships/oleObject" Target="embeddings/oleObject34.bin"/><Relationship Id="rId95" Type="http://schemas.openxmlformats.org/officeDocument/2006/relationships/image" Target="media/image45.wmf"/><Relationship Id="rId96" Type="http://schemas.openxmlformats.org/officeDocument/2006/relationships/oleObject" Target="embeddings/oleObject35.bin"/><Relationship Id="rId97" Type="http://schemas.openxmlformats.org/officeDocument/2006/relationships/image" Target="media/image46.wmf"/><Relationship Id="rId98" Type="http://schemas.openxmlformats.org/officeDocument/2006/relationships/oleObject" Target="embeddings/oleObject36.bin"/><Relationship Id="rId99" Type="http://schemas.openxmlformats.org/officeDocument/2006/relationships/image" Target="media/image47.wmf"/><Relationship Id="rId20" Type="http://schemas.openxmlformats.org/officeDocument/2006/relationships/oleObject" Target="embeddings/oleObject1.bin"/><Relationship Id="rId21" Type="http://schemas.openxmlformats.org/officeDocument/2006/relationships/image" Target="media/image7.wmf"/><Relationship Id="rId22" Type="http://schemas.openxmlformats.org/officeDocument/2006/relationships/oleObject" Target="embeddings/oleObject2.bin"/><Relationship Id="rId23" Type="http://schemas.openxmlformats.org/officeDocument/2006/relationships/image" Target="media/image8.wmf"/><Relationship Id="rId24" Type="http://schemas.openxmlformats.org/officeDocument/2006/relationships/oleObject" Target="embeddings/oleObject3.bin"/><Relationship Id="rId25" Type="http://schemas.openxmlformats.org/officeDocument/2006/relationships/image" Target="media/image9.wmf"/><Relationship Id="rId26" Type="http://schemas.openxmlformats.org/officeDocument/2006/relationships/oleObject" Target="embeddings/oleObject4.bin"/><Relationship Id="rId27" Type="http://schemas.openxmlformats.org/officeDocument/2006/relationships/image" Target="media/image10.wmf"/><Relationship Id="rId28" Type="http://schemas.openxmlformats.org/officeDocument/2006/relationships/oleObject" Target="embeddings/oleObject5.bin"/><Relationship Id="rId29" Type="http://schemas.openxmlformats.org/officeDocument/2006/relationships/image" Target="media/image11.wmf"/><Relationship Id="rId40" Type="http://schemas.openxmlformats.org/officeDocument/2006/relationships/oleObject" Target="embeddings/Microsoft_Equation2.bin"/><Relationship Id="rId41" Type="http://schemas.openxmlformats.org/officeDocument/2006/relationships/image" Target="media/image17.wmf"/><Relationship Id="rId42" Type="http://schemas.openxmlformats.org/officeDocument/2006/relationships/oleObject" Target="embeddings/Microsoft_Equation3.bin"/><Relationship Id="rId43" Type="http://schemas.openxmlformats.org/officeDocument/2006/relationships/image" Target="media/image18.wmf"/><Relationship Id="rId44" Type="http://schemas.openxmlformats.org/officeDocument/2006/relationships/oleObject" Target="embeddings/oleObject10.bin"/><Relationship Id="rId45" Type="http://schemas.openxmlformats.org/officeDocument/2006/relationships/image" Target="media/image19.wmf"/><Relationship Id="rId46" Type="http://schemas.openxmlformats.org/officeDocument/2006/relationships/oleObject" Target="embeddings/oleObject11.bin"/><Relationship Id="rId47" Type="http://schemas.openxmlformats.org/officeDocument/2006/relationships/image" Target="media/image20.wmf"/><Relationship Id="rId48" Type="http://schemas.openxmlformats.org/officeDocument/2006/relationships/oleObject" Target="embeddings/oleObject12.bin"/><Relationship Id="rId49" Type="http://schemas.openxmlformats.org/officeDocument/2006/relationships/image" Target="media/image21.wmf"/><Relationship Id="rId60" Type="http://schemas.openxmlformats.org/officeDocument/2006/relationships/oleObject" Target="embeddings/oleObject18.bin"/><Relationship Id="rId61" Type="http://schemas.openxmlformats.org/officeDocument/2006/relationships/image" Target="media/image27.wmf"/><Relationship Id="rId62" Type="http://schemas.openxmlformats.org/officeDocument/2006/relationships/oleObject" Target="embeddings/oleObject19.bin"/><Relationship Id="rId63" Type="http://schemas.openxmlformats.org/officeDocument/2006/relationships/image" Target="media/image28.wmf"/><Relationship Id="rId64" Type="http://schemas.openxmlformats.org/officeDocument/2006/relationships/oleObject" Target="embeddings/oleObject20.bin"/><Relationship Id="rId65" Type="http://schemas.openxmlformats.org/officeDocument/2006/relationships/image" Target="media/image29.wmf"/><Relationship Id="rId66" Type="http://schemas.openxmlformats.org/officeDocument/2006/relationships/oleObject" Target="embeddings/oleObject21.bin"/><Relationship Id="rId67" Type="http://schemas.openxmlformats.org/officeDocument/2006/relationships/image" Target="media/image30.wmf"/><Relationship Id="rId68" Type="http://schemas.openxmlformats.org/officeDocument/2006/relationships/oleObject" Target="embeddings/oleObject22.bin"/><Relationship Id="rId69" Type="http://schemas.openxmlformats.org/officeDocument/2006/relationships/image" Target="media/image31.wmf"/><Relationship Id="rId100" Type="http://schemas.openxmlformats.org/officeDocument/2006/relationships/oleObject" Target="embeddings/oleObject37.bin"/><Relationship Id="rId80" Type="http://schemas.openxmlformats.org/officeDocument/2006/relationships/oleObject" Target="embeddings/oleObject28.bin"/><Relationship Id="rId81" Type="http://schemas.openxmlformats.org/officeDocument/2006/relationships/image" Target="media/image37.wmf"/><Relationship Id="rId82" Type="http://schemas.openxmlformats.org/officeDocument/2006/relationships/oleObject" Target="embeddings/oleObject29.bin"/><Relationship Id="rId83" Type="http://schemas.openxmlformats.org/officeDocument/2006/relationships/image" Target="media/image38.wmf"/><Relationship Id="rId84" Type="http://schemas.openxmlformats.org/officeDocument/2006/relationships/oleObject" Target="embeddings/oleObject30.bin"/><Relationship Id="rId85" Type="http://schemas.openxmlformats.org/officeDocument/2006/relationships/image" Target="media/image39.wmf"/><Relationship Id="rId86" Type="http://schemas.openxmlformats.org/officeDocument/2006/relationships/oleObject" Target="embeddings/oleObject31.bin"/><Relationship Id="rId87" Type="http://schemas.openxmlformats.org/officeDocument/2006/relationships/image" Target="media/image40.wmf"/><Relationship Id="rId88" Type="http://schemas.openxmlformats.org/officeDocument/2006/relationships/oleObject" Target="embeddings/Microsoft_Equation4.bin"/><Relationship Id="rId89" Type="http://schemas.openxmlformats.org/officeDocument/2006/relationships/image" Target="media/image41.wmf"/></Relationships>
</file>

<file path=word/_rels/footnotes.xml.rels><?xml version="1.0" encoding="UTF-8" standalone="yes"?>
<Relationships xmlns="http://schemas.openxmlformats.org/package/2006/relationships"><Relationship Id="rId11" Type="http://schemas.openxmlformats.org/officeDocument/2006/relationships/image" Target="media/image53.wmf"/><Relationship Id="rId12" Type="http://schemas.openxmlformats.org/officeDocument/2006/relationships/oleObject" Target="embeddings/oleObject43.bin"/><Relationship Id="rId13" Type="http://schemas.openxmlformats.org/officeDocument/2006/relationships/image" Target="media/image54.wmf"/><Relationship Id="rId14" Type="http://schemas.openxmlformats.org/officeDocument/2006/relationships/oleObject" Target="embeddings/oleObject44.bin"/><Relationship Id="rId1" Type="http://schemas.openxmlformats.org/officeDocument/2006/relationships/image" Target="media/image43.wmf"/><Relationship Id="rId2" Type="http://schemas.openxmlformats.org/officeDocument/2006/relationships/oleObject" Target="embeddings/oleObject33.bin"/><Relationship Id="rId3" Type="http://schemas.openxmlformats.org/officeDocument/2006/relationships/image" Target="media/image49.wmf"/><Relationship Id="rId4" Type="http://schemas.openxmlformats.org/officeDocument/2006/relationships/oleObject" Target="embeddings/oleObject39.bin"/><Relationship Id="rId5" Type="http://schemas.openxmlformats.org/officeDocument/2006/relationships/image" Target="media/image50.wmf"/><Relationship Id="rId6" Type="http://schemas.openxmlformats.org/officeDocument/2006/relationships/oleObject" Target="embeddings/oleObject40.bin"/><Relationship Id="rId7" Type="http://schemas.openxmlformats.org/officeDocument/2006/relationships/image" Target="media/image51.wmf"/><Relationship Id="rId8" Type="http://schemas.openxmlformats.org/officeDocument/2006/relationships/oleObject" Target="embeddings/oleObject41.bin"/><Relationship Id="rId9" Type="http://schemas.openxmlformats.org/officeDocument/2006/relationships/image" Target="media/image52.wmf"/><Relationship Id="rId10" Type="http://schemas.openxmlformats.org/officeDocument/2006/relationships/oleObject" Target="embeddings/oleObject42.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D8C035-5637-3641-BDED-DFFA42DD5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9303</Words>
  <Characters>53033</Characters>
  <Application>Microsoft Macintosh Word</Application>
  <DocSecurity>0</DocSecurity>
  <Lines>441</Lines>
  <Paragraphs>124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62212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2014-07-21T16:12:00Z</dcterms:created>
  <dcterms:modified xsi:type="dcterms:W3CDTF">2014-07-22T16:32:00Z</dcterms:modified>
</cp:coreProperties>
</file>