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AB" w:rsidRPr="00E639BA" w:rsidRDefault="004C74E9" w:rsidP="00C17C6A">
      <w:pPr>
        <w:pStyle w:val="Corpodetexto"/>
        <w:contextualSpacing/>
        <w:jc w:val="center"/>
        <w:rPr>
          <w:b/>
          <w:sz w:val="32"/>
          <w:szCs w:val="32"/>
        </w:rPr>
      </w:pPr>
      <w:r w:rsidRPr="00E639BA">
        <w:rPr>
          <w:b/>
          <w:sz w:val="32"/>
          <w:szCs w:val="32"/>
        </w:rPr>
        <w:t>F</w:t>
      </w:r>
      <w:r w:rsidR="00224492" w:rsidRPr="00E639BA">
        <w:rPr>
          <w:b/>
          <w:sz w:val="32"/>
          <w:szCs w:val="32"/>
        </w:rPr>
        <w:t>ield</w:t>
      </w:r>
      <w:r w:rsidRPr="00E639BA">
        <w:rPr>
          <w:b/>
          <w:sz w:val="32"/>
          <w:szCs w:val="32"/>
        </w:rPr>
        <w:t>s</w:t>
      </w:r>
      <w:r w:rsidR="00224492" w:rsidRPr="00E639BA">
        <w:rPr>
          <w:b/>
          <w:sz w:val="32"/>
          <w:szCs w:val="32"/>
        </w:rPr>
        <w:t xml:space="preserve"> of study and the earnings gap by race in Brazil</w:t>
      </w:r>
    </w:p>
    <w:p w:rsidR="00A90FB0" w:rsidRDefault="00A90FB0" w:rsidP="00C17C6A">
      <w:pPr>
        <w:spacing w:line="240" w:lineRule="auto"/>
        <w:contextualSpacing/>
        <w:rPr>
          <w:rFonts w:ascii="Times New Roman" w:eastAsia="Times New Roman" w:hAnsi="Times New Roman"/>
          <w:sz w:val="24"/>
          <w:szCs w:val="24"/>
          <w:lang w:eastAsia="pt-BR"/>
        </w:rPr>
      </w:pPr>
    </w:p>
    <w:p w:rsidR="009C6260" w:rsidRPr="002424B1" w:rsidRDefault="009C6260" w:rsidP="00C17C6A">
      <w:pPr>
        <w:pStyle w:val="Ttulo2"/>
        <w:contextualSpacing/>
        <w:jc w:val="center"/>
        <w:rPr>
          <w:rFonts w:ascii="Times New Roman" w:hAnsi="Times New Roman" w:cs="Times New Roman"/>
          <w:b w:val="0"/>
          <w:bCs w:val="0"/>
          <w:i w:val="0"/>
          <w:iCs w:val="0"/>
          <w:sz w:val="24"/>
          <w:szCs w:val="24"/>
          <w:lang w:val="pt-BR"/>
        </w:rPr>
      </w:pPr>
      <w:r w:rsidRPr="002424B1">
        <w:rPr>
          <w:rFonts w:ascii="Times New Roman" w:hAnsi="Times New Roman" w:cs="Times New Roman"/>
          <w:b w:val="0"/>
          <w:bCs w:val="0"/>
          <w:i w:val="0"/>
          <w:iCs w:val="0"/>
          <w:sz w:val="24"/>
          <w:szCs w:val="24"/>
          <w:lang w:val="pt-BR"/>
        </w:rPr>
        <w:t>Mauricio Reis</w:t>
      </w:r>
    </w:p>
    <w:p w:rsidR="009C6260" w:rsidRPr="009C6260" w:rsidRDefault="009C6260" w:rsidP="00C17C6A">
      <w:pPr>
        <w:spacing w:line="240" w:lineRule="auto"/>
        <w:contextualSpacing/>
        <w:jc w:val="center"/>
        <w:rPr>
          <w:rFonts w:ascii="Times New Roman" w:eastAsia="Times New Roman" w:hAnsi="Times New Roman"/>
          <w:sz w:val="24"/>
          <w:szCs w:val="24"/>
          <w:lang w:val="pt-BR" w:eastAsia="pt-BR"/>
        </w:rPr>
      </w:pPr>
      <w:r w:rsidRPr="009C6260">
        <w:rPr>
          <w:rFonts w:ascii="Times New Roman" w:eastAsia="Times New Roman" w:hAnsi="Times New Roman"/>
          <w:sz w:val="24"/>
          <w:szCs w:val="24"/>
          <w:lang w:val="pt-BR" w:eastAsia="pt-BR"/>
        </w:rPr>
        <w:br/>
        <w:t>Instituto de Pesquisa Economica Aplicada</w:t>
      </w:r>
    </w:p>
    <w:p w:rsidR="009C6260" w:rsidRPr="009C6260" w:rsidRDefault="009C6260" w:rsidP="00C17C6A">
      <w:pPr>
        <w:spacing w:line="240" w:lineRule="auto"/>
        <w:contextualSpacing/>
        <w:jc w:val="center"/>
        <w:rPr>
          <w:rFonts w:ascii="Times New Roman" w:eastAsia="Times New Roman" w:hAnsi="Times New Roman"/>
          <w:sz w:val="24"/>
          <w:szCs w:val="24"/>
          <w:lang w:val="pt-BR" w:eastAsia="pt-BR"/>
        </w:rPr>
      </w:pPr>
      <w:r w:rsidRPr="009C6260">
        <w:rPr>
          <w:rFonts w:ascii="Times New Roman" w:eastAsia="Times New Roman" w:hAnsi="Times New Roman"/>
          <w:sz w:val="24"/>
          <w:szCs w:val="24"/>
          <w:lang w:val="pt-BR" w:eastAsia="pt-BR"/>
        </w:rPr>
        <w:t xml:space="preserve">Av. Presidente Antonio Carlos, </w:t>
      </w:r>
      <w:proofErr w:type="gramStart"/>
      <w:r w:rsidRPr="009C6260">
        <w:rPr>
          <w:rFonts w:ascii="Times New Roman" w:eastAsia="Times New Roman" w:hAnsi="Times New Roman"/>
          <w:sz w:val="24"/>
          <w:szCs w:val="24"/>
          <w:lang w:val="pt-BR" w:eastAsia="pt-BR"/>
        </w:rPr>
        <w:t>51(1409)</w:t>
      </w:r>
      <w:proofErr w:type="gramEnd"/>
    </w:p>
    <w:p w:rsidR="009C6260" w:rsidRPr="009C6260" w:rsidRDefault="009C6260" w:rsidP="00C17C6A">
      <w:pPr>
        <w:spacing w:line="240" w:lineRule="auto"/>
        <w:contextualSpacing/>
        <w:jc w:val="center"/>
        <w:rPr>
          <w:rFonts w:ascii="Times New Roman" w:eastAsia="Times New Roman" w:hAnsi="Times New Roman"/>
          <w:sz w:val="24"/>
          <w:szCs w:val="24"/>
          <w:lang w:val="pt-BR" w:eastAsia="pt-BR"/>
        </w:rPr>
      </w:pPr>
      <w:r w:rsidRPr="009C6260">
        <w:rPr>
          <w:rFonts w:ascii="Times New Roman" w:eastAsia="Times New Roman" w:hAnsi="Times New Roman"/>
          <w:sz w:val="24"/>
          <w:szCs w:val="24"/>
          <w:lang w:val="pt-BR" w:eastAsia="pt-BR"/>
        </w:rPr>
        <w:t xml:space="preserve">Rio de Janeiro, RJ, </w:t>
      </w:r>
      <w:proofErr w:type="spellStart"/>
      <w:r w:rsidRPr="009C6260">
        <w:rPr>
          <w:rFonts w:ascii="Times New Roman" w:eastAsia="Times New Roman" w:hAnsi="Times New Roman"/>
          <w:sz w:val="24"/>
          <w:szCs w:val="24"/>
          <w:lang w:val="pt-BR" w:eastAsia="pt-BR"/>
        </w:rPr>
        <w:t>Brazil</w:t>
      </w:r>
      <w:proofErr w:type="spellEnd"/>
      <w:r w:rsidRPr="009C6260">
        <w:rPr>
          <w:rFonts w:ascii="Times New Roman" w:eastAsia="Times New Roman" w:hAnsi="Times New Roman"/>
          <w:sz w:val="24"/>
          <w:szCs w:val="24"/>
          <w:lang w:val="pt-BR" w:eastAsia="pt-BR"/>
        </w:rPr>
        <w:t xml:space="preserve"> – 20020-</w:t>
      </w:r>
      <w:proofErr w:type="gramStart"/>
      <w:r w:rsidRPr="009C6260">
        <w:rPr>
          <w:rFonts w:ascii="Times New Roman" w:eastAsia="Times New Roman" w:hAnsi="Times New Roman"/>
          <w:sz w:val="24"/>
          <w:szCs w:val="24"/>
          <w:lang w:val="pt-BR" w:eastAsia="pt-BR"/>
        </w:rPr>
        <w:t>010</w:t>
      </w:r>
      <w:proofErr w:type="gramEnd"/>
    </w:p>
    <w:p w:rsidR="009C6260" w:rsidRPr="001C40A4" w:rsidRDefault="009C6260" w:rsidP="00C17C6A">
      <w:pPr>
        <w:spacing w:line="240" w:lineRule="auto"/>
        <w:contextualSpacing/>
        <w:jc w:val="center"/>
        <w:rPr>
          <w:rFonts w:ascii="Times New Roman" w:eastAsia="Times New Roman" w:hAnsi="Times New Roman"/>
          <w:sz w:val="24"/>
          <w:szCs w:val="24"/>
          <w:lang w:eastAsia="pt-BR"/>
        </w:rPr>
      </w:pPr>
      <w:r w:rsidRPr="001C40A4">
        <w:rPr>
          <w:rFonts w:ascii="Times New Roman" w:eastAsia="Times New Roman" w:hAnsi="Times New Roman"/>
          <w:sz w:val="24"/>
          <w:szCs w:val="24"/>
          <w:lang w:eastAsia="pt-BR"/>
        </w:rPr>
        <w:t>(5521)3515-8586</w:t>
      </w:r>
    </w:p>
    <w:p w:rsidR="009C6260" w:rsidRPr="001C40A4" w:rsidRDefault="009C6260" w:rsidP="00C17C6A">
      <w:pPr>
        <w:spacing w:line="240" w:lineRule="auto"/>
        <w:contextualSpacing/>
        <w:jc w:val="center"/>
        <w:rPr>
          <w:rFonts w:ascii="Times New Roman" w:eastAsia="Times New Roman" w:hAnsi="Times New Roman"/>
          <w:sz w:val="24"/>
          <w:szCs w:val="24"/>
          <w:lang w:eastAsia="pt-BR"/>
        </w:rPr>
      </w:pPr>
      <w:r w:rsidRPr="001C40A4">
        <w:rPr>
          <w:rFonts w:ascii="Times New Roman" w:eastAsia="Times New Roman" w:hAnsi="Times New Roman"/>
          <w:sz w:val="24"/>
          <w:szCs w:val="24"/>
          <w:lang w:eastAsia="pt-BR"/>
        </w:rPr>
        <w:t>Fax: (5521)3515-8547</w:t>
      </w:r>
    </w:p>
    <w:p w:rsidR="009C6260" w:rsidRDefault="005852FD" w:rsidP="00C17C6A">
      <w:pPr>
        <w:spacing w:line="240" w:lineRule="auto"/>
        <w:contextualSpacing/>
        <w:jc w:val="center"/>
        <w:rPr>
          <w:rFonts w:ascii="Times New Roman" w:eastAsia="Times New Roman" w:hAnsi="Times New Roman"/>
          <w:sz w:val="24"/>
          <w:szCs w:val="24"/>
          <w:lang w:eastAsia="pt-BR"/>
        </w:rPr>
      </w:pPr>
      <w:hyperlink r:id="rId9" w:history="1">
        <w:r w:rsidR="009C6260" w:rsidRPr="00853535">
          <w:rPr>
            <w:rStyle w:val="Hyperlink"/>
            <w:rFonts w:ascii="Times New Roman" w:eastAsia="Times New Roman" w:hAnsi="Times New Roman"/>
            <w:sz w:val="24"/>
            <w:szCs w:val="24"/>
            <w:lang w:eastAsia="pt-BR"/>
          </w:rPr>
          <w:t>mauricio.reis@ipea.gov.br</w:t>
        </w:r>
      </w:hyperlink>
    </w:p>
    <w:p w:rsidR="009C6260" w:rsidRDefault="009C6260" w:rsidP="00C17C6A">
      <w:pPr>
        <w:spacing w:line="240" w:lineRule="auto"/>
        <w:contextualSpacing/>
        <w:rPr>
          <w:rFonts w:ascii="Times New Roman" w:eastAsia="Times New Roman" w:hAnsi="Times New Roman"/>
          <w:sz w:val="24"/>
          <w:szCs w:val="24"/>
          <w:lang w:eastAsia="pt-BR"/>
        </w:rPr>
      </w:pPr>
    </w:p>
    <w:p w:rsidR="009C6260" w:rsidRPr="00E639BA" w:rsidRDefault="009C6260" w:rsidP="00C17C6A">
      <w:pPr>
        <w:spacing w:line="240" w:lineRule="auto"/>
        <w:contextualSpacing/>
        <w:rPr>
          <w:rFonts w:ascii="Times New Roman" w:eastAsia="Times New Roman" w:hAnsi="Times New Roman"/>
          <w:sz w:val="24"/>
          <w:szCs w:val="24"/>
          <w:lang w:eastAsia="pt-BR"/>
        </w:rPr>
      </w:pPr>
    </w:p>
    <w:p w:rsidR="00A90FB0" w:rsidRPr="00E639BA" w:rsidRDefault="00A90FB0" w:rsidP="00C17C6A">
      <w:pPr>
        <w:spacing w:line="240" w:lineRule="auto"/>
        <w:contextualSpacing/>
        <w:jc w:val="center"/>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Abstract</w:t>
      </w:r>
    </w:p>
    <w:p w:rsidR="00A90FB0" w:rsidRPr="00E639BA" w:rsidRDefault="00A90FB0" w:rsidP="00C17C6A">
      <w:pPr>
        <w:spacing w:line="240" w:lineRule="auto"/>
        <w:contextualSpacing/>
        <w:jc w:val="center"/>
        <w:rPr>
          <w:rFonts w:ascii="Times New Roman" w:eastAsia="Times New Roman" w:hAnsi="Times New Roman"/>
          <w:sz w:val="24"/>
          <w:szCs w:val="24"/>
          <w:lang w:eastAsia="pt-BR"/>
        </w:rPr>
      </w:pPr>
    </w:p>
    <w:p w:rsidR="009E07F3" w:rsidRPr="00E639BA" w:rsidRDefault="00CF7EED" w:rsidP="00C17C6A">
      <w:pPr>
        <w:spacing w:line="240" w:lineRule="auto"/>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The labor earnings differential by race in Brazil is high even among individuals who completed a</w:t>
      </w:r>
      <w:r w:rsidR="00005529" w:rsidRPr="00E639BA">
        <w:rPr>
          <w:rFonts w:ascii="Times New Roman" w:eastAsia="Times New Roman" w:hAnsi="Times New Roman"/>
          <w:sz w:val="24"/>
          <w:szCs w:val="24"/>
          <w:lang w:eastAsia="pt-BR"/>
        </w:rPr>
        <w:t>t least a bachelor</w:t>
      </w:r>
      <w:r w:rsidR="00A63FC9" w:rsidRPr="00E639BA">
        <w:rPr>
          <w:rFonts w:ascii="Times New Roman" w:eastAsia="Times New Roman" w:hAnsi="Times New Roman"/>
          <w:sz w:val="24"/>
          <w:szCs w:val="24"/>
          <w:lang w:eastAsia="pt-BR"/>
        </w:rPr>
        <w:t>’s</w:t>
      </w:r>
      <w:r w:rsidRPr="00E639BA">
        <w:rPr>
          <w:rFonts w:ascii="Times New Roman" w:eastAsia="Times New Roman" w:hAnsi="Times New Roman"/>
          <w:sz w:val="24"/>
          <w:szCs w:val="24"/>
          <w:lang w:eastAsia="pt-BR"/>
        </w:rPr>
        <w:t xml:space="preserve"> degree. </w:t>
      </w:r>
      <w:r w:rsidR="00C61383" w:rsidRPr="00E639BA">
        <w:rPr>
          <w:rFonts w:ascii="Times New Roman" w:eastAsia="Times New Roman" w:hAnsi="Times New Roman"/>
          <w:sz w:val="24"/>
          <w:szCs w:val="24"/>
          <w:lang w:eastAsia="pt-BR"/>
        </w:rPr>
        <w:t xml:space="preserve">Decompositions of the earnings gap between white and black workers using the 2000 and 2010 Census data </w:t>
      </w:r>
      <w:r w:rsidR="009E07F3" w:rsidRPr="00E639BA">
        <w:rPr>
          <w:rFonts w:ascii="Times New Roman" w:eastAsia="Times New Roman" w:hAnsi="Times New Roman"/>
          <w:sz w:val="24"/>
          <w:szCs w:val="24"/>
          <w:lang w:eastAsia="pt-BR"/>
        </w:rPr>
        <w:t xml:space="preserve">indicate </w:t>
      </w:r>
      <w:r w:rsidR="00C61383" w:rsidRPr="00E639BA">
        <w:rPr>
          <w:rFonts w:ascii="Times New Roman" w:eastAsia="Times New Roman" w:hAnsi="Times New Roman"/>
          <w:sz w:val="24"/>
          <w:szCs w:val="24"/>
          <w:lang w:eastAsia="pt-BR"/>
        </w:rPr>
        <w:t xml:space="preserve">that disparities in the distributions of racial groups across fields of study help explain </w:t>
      </w:r>
      <w:r w:rsidR="009E07F3" w:rsidRPr="00E639BA">
        <w:rPr>
          <w:rFonts w:ascii="Times New Roman" w:eastAsia="Times New Roman" w:hAnsi="Times New Roman"/>
          <w:sz w:val="24"/>
          <w:szCs w:val="24"/>
          <w:lang w:eastAsia="pt-BR"/>
        </w:rPr>
        <w:t xml:space="preserve">14% of the total mean earnings differential in 2000 and </w:t>
      </w:r>
      <w:r w:rsidR="00BE58CB" w:rsidRPr="00E639BA">
        <w:rPr>
          <w:rFonts w:ascii="Times New Roman" w:eastAsia="Times New Roman" w:hAnsi="Times New Roman"/>
          <w:sz w:val="24"/>
          <w:szCs w:val="24"/>
          <w:lang w:eastAsia="pt-BR"/>
        </w:rPr>
        <w:t>24</w:t>
      </w:r>
      <w:r w:rsidR="009E07F3" w:rsidRPr="00E639BA">
        <w:rPr>
          <w:rFonts w:ascii="Times New Roman" w:eastAsia="Times New Roman" w:hAnsi="Times New Roman"/>
          <w:sz w:val="24"/>
          <w:szCs w:val="24"/>
          <w:lang w:eastAsia="pt-BR"/>
        </w:rPr>
        <w:t>% in 2010. The estimated contribution of this factor seems to be larger at the median of the earnings distribution</w:t>
      </w:r>
      <w:r w:rsidR="00C52C50" w:rsidRPr="00E639BA">
        <w:rPr>
          <w:rFonts w:ascii="Times New Roman" w:eastAsia="Times New Roman" w:hAnsi="Times New Roman"/>
          <w:sz w:val="24"/>
          <w:szCs w:val="24"/>
          <w:lang w:eastAsia="pt-BR"/>
        </w:rPr>
        <w:t>, accounting for one third of the gap between white and black workers in 2010</w:t>
      </w:r>
      <w:r w:rsidR="009E07F3" w:rsidRPr="00E639BA">
        <w:rPr>
          <w:rFonts w:ascii="Times New Roman" w:eastAsia="Times New Roman" w:hAnsi="Times New Roman"/>
          <w:sz w:val="24"/>
          <w:szCs w:val="24"/>
          <w:lang w:eastAsia="pt-BR"/>
        </w:rPr>
        <w:t>.</w:t>
      </w:r>
    </w:p>
    <w:p w:rsidR="002E13F4" w:rsidRDefault="002E13F4" w:rsidP="00C17C6A">
      <w:pPr>
        <w:spacing w:line="240" w:lineRule="auto"/>
        <w:contextualSpacing/>
        <w:jc w:val="both"/>
        <w:rPr>
          <w:rFonts w:ascii="Times New Roman" w:eastAsia="Times New Roman" w:hAnsi="Times New Roman"/>
          <w:sz w:val="24"/>
          <w:szCs w:val="24"/>
          <w:lang w:eastAsia="pt-BR"/>
        </w:rPr>
      </w:pPr>
    </w:p>
    <w:p w:rsidR="007A32C2" w:rsidRDefault="007A32C2" w:rsidP="00C17C6A">
      <w:pPr>
        <w:spacing w:line="240" w:lineRule="auto"/>
        <w:contextualSpacing/>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JEL: J15, J31, I20.</w:t>
      </w:r>
    </w:p>
    <w:p w:rsidR="007A32C2" w:rsidRDefault="007A32C2" w:rsidP="00C17C6A">
      <w:pPr>
        <w:spacing w:line="240" w:lineRule="auto"/>
        <w:contextualSpacing/>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Keywords: </w:t>
      </w:r>
      <w:r w:rsidR="008A44C3">
        <w:rPr>
          <w:rFonts w:ascii="Times New Roman" w:eastAsia="Times New Roman" w:hAnsi="Times New Roman"/>
          <w:sz w:val="24"/>
          <w:szCs w:val="24"/>
          <w:lang w:eastAsia="pt-BR"/>
        </w:rPr>
        <w:t>Field of study, race, labor earnings gap</w:t>
      </w:r>
      <w:r w:rsidR="00AA121F">
        <w:rPr>
          <w:rFonts w:ascii="Times New Roman" w:eastAsia="Times New Roman" w:hAnsi="Times New Roman"/>
          <w:sz w:val="24"/>
          <w:szCs w:val="24"/>
          <w:lang w:eastAsia="pt-BR"/>
        </w:rPr>
        <w:t>.</w:t>
      </w:r>
    </w:p>
    <w:p w:rsidR="007A32C2" w:rsidRDefault="007A32C2" w:rsidP="00C17C6A">
      <w:pPr>
        <w:spacing w:line="240" w:lineRule="auto"/>
        <w:contextualSpacing/>
        <w:jc w:val="both"/>
        <w:rPr>
          <w:rFonts w:ascii="Times New Roman" w:eastAsia="Times New Roman" w:hAnsi="Times New Roman"/>
          <w:sz w:val="24"/>
          <w:szCs w:val="24"/>
          <w:lang w:eastAsia="pt-BR"/>
        </w:rPr>
      </w:pPr>
    </w:p>
    <w:p w:rsidR="00B53F65" w:rsidRDefault="00B53F65" w:rsidP="00C17C6A">
      <w:pPr>
        <w:spacing w:line="240" w:lineRule="auto"/>
        <w:contextualSpacing/>
        <w:jc w:val="both"/>
        <w:rPr>
          <w:rFonts w:ascii="Times New Roman" w:eastAsia="Times New Roman" w:hAnsi="Times New Roman"/>
          <w:sz w:val="24"/>
          <w:szCs w:val="24"/>
          <w:lang w:eastAsia="pt-BR"/>
        </w:rPr>
      </w:pPr>
    </w:p>
    <w:p w:rsidR="00396E54" w:rsidRPr="00E639BA" w:rsidRDefault="007F2AB5" w:rsidP="00C17C6A">
      <w:pPr>
        <w:pStyle w:val="Corpodetexto"/>
        <w:contextualSpacing/>
        <w:rPr>
          <w:b/>
        </w:rPr>
      </w:pPr>
      <w:r w:rsidRPr="00E639BA">
        <w:rPr>
          <w:b/>
        </w:rPr>
        <w:t xml:space="preserve">1 – Introduction </w:t>
      </w:r>
    </w:p>
    <w:p w:rsidR="00BA34AB" w:rsidRPr="00E639BA" w:rsidRDefault="00BA34AB" w:rsidP="00C17C6A">
      <w:pPr>
        <w:pStyle w:val="Corpodetexto"/>
        <w:contextualSpacing/>
      </w:pPr>
    </w:p>
    <w:p w:rsidR="00F136CB" w:rsidRPr="00E639BA" w:rsidRDefault="00BA34AB" w:rsidP="00C17C6A">
      <w:pPr>
        <w:pStyle w:val="Corpodetexto"/>
        <w:ind w:firstLine="708"/>
        <w:contextualSpacing/>
      </w:pPr>
      <w:r w:rsidRPr="00E639BA">
        <w:t>The earnings difference between white and black worke</w:t>
      </w:r>
      <w:r w:rsidR="00D75240" w:rsidRPr="00E639BA">
        <w:t>rs is noticeably high in Brazil, and</w:t>
      </w:r>
      <w:r w:rsidRPr="00E639BA">
        <w:t xml:space="preserve"> </w:t>
      </w:r>
      <w:r w:rsidR="00D75240" w:rsidRPr="00E639BA">
        <w:t>d</w:t>
      </w:r>
      <w:r w:rsidR="00863829" w:rsidRPr="00E639BA">
        <w:t xml:space="preserve">isparities in the schooling level by race help to explain an </w:t>
      </w:r>
      <w:r w:rsidR="00246C84" w:rsidRPr="00E639BA">
        <w:t>important part of this</w:t>
      </w:r>
      <w:r w:rsidR="00863829" w:rsidRPr="00E639BA">
        <w:t xml:space="preserve"> earnings gap. </w:t>
      </w:r>
      <w:r w:rsidR="000F3EC6" w:rsidRPr="00E639BA">
        <w:t xml:space="preserve">The </w:t>
      </w:r>
      <w:r w:rsidR="009D42EC" w:rsidRPr="00E639BA">
        <w:t xml:space="preserve">average </w:t>
      </w:r>
      <w:r w:rsidR="000F3EC6" w:rsidRPr="00E639BA">
        <w:t xml:space="preserve">educational level of black individuals improved over time, </w:t>
      </w:r>
      <w:r w:rsidR="00A37EA0" w:rsidRPr="00E639BA">
        <w:t xml:space="preserve">as well as the proportion </w:t>
      </w:r>
      <w:r w:rsidR="009A00F6">
        <w:t xml:space="preserve">of blacks </w:t>
      </w:r>
      <w:r w:rsidR="00A37EA0" w:rsidRPr="00E639BA">
        <w:t xml:space="preserve">who reached </w:t>
      </w:r>
      <w:r w:rsidR="004C5869" w:rsidRPr="00E639BA">
        <w:t xml:space="preserve">tertiary </w:t>
      </w:r>
      <w:r w:rsidR="00A7744E" w:rsidRPr="00E639BA">
        <w:t xml:space="preserve">or higher </w:t>
      </w:r>
      <w:r w:rsidR="004C5869" w:rsidRPr="00E639BA">
        <w:t>educational level</w:t>
      </w:r>
      <w:r w:rsidR="00521332" w:rsidRPr="00E639BA">
        <w:t xml:space="preserve">. </w:t>
      </w:r>
      <w:r w:rsidR="00A20A13" w:rsidRPr="00E639BA">
        <w:t xml:space="preserve">In 2000, black workers represented 15% </w:t>
      </w:r>
      <w:r w:rsidR="0069679D" w:rsidRPr="00E639BA">
        <w:t xml:space="preserve">of </w:t>
      </w:r>
      <w:r w:rsidR="00A20A13" w:rsidRPr="00E639BA">
        <w:t xml:space="preserve">the </w:t>
      </w:r>
      <w:r w:rsidR="0069679D" w:rsidRPr="00E639BA">
        <w:t xml:space="preserve">Brazilian </w:t>
      </w:r>
      <w:r w:rsidR="00A20A13" w:rsidRPr="00E639BA">
        <w:t xml:space="preserve">labor force </w:t>
      </w:r>
      <w:r w:rsidR="0069679D" w:rsidRPr="00E639BA">
        <w:t xml:space="preserve">with </w:t>
      </w:r>
      <w:r w:rsidR="00A20A13" w:rsidRPr="00E639BA">
        <w:t xml:space="preserve">a </w:t>
      </w:r>
      <w:r w:rsidR="00A7744E" w:rsidRPr="00E639BA">
        <w:t>bachelor</w:t>
      </w:r>
      <w:r w:rsidR="004C55AF" w:rsidRPr="00E639BA">
        <w:t>’s</w:t>
      </w:r>
      <w:r w:rsidR="00A7744E" w:rsidRPr="00E639BA">
        <w:t xml:space="preserve"> </w:t>
      </w:r>
      <w:r w:rsidR="00D5288A" w:rsidRPr="00E639BA">
        <w:t xml:space="preserve">or graduate </w:t>
      </w:r>
      <w:r w:rsidR="00A20A13" w:rsidRPr="00E639BA">
        <w:t xml:space="preserve">degree, whereas </w:t>
      </w:r>
      <w:r w:rsidR="0069679D" w:rsidRPr="00E639BA">
        <w:t>in 2010 the participation of this racial group increased to 25%</w:t>
      </w:r>
      <w:r w:rsidR="004C55AF" w:rsidRPr="00E639BA">
        <w:t>.</w:t>
      </w:r>
      <w:r w:rsidR="008A16F1" w:rsidRPr="00E639BA">
        <w:rPr>
          <w:rStyle w:val="Refdenotaderodap"/>
        </w:rPr>
        <w:footnoteReference w:id="1"/>
      </w:r>
      <w:r w:rsidR="0069679D" w:rsidRPr="00E639BA">
        <w:t xml:space="preserve"> </w:t>
      </w:r>
      <w:r w:rsidR="00521332" w:rsidRPr="00E639BA">
        <w:t xml:space="preserve">This </w:t>
      </w:r>
      <w:r w:rsidR="008970F9" w:rsidRPr="00E639BA">
        <w:t xml:space="preserve">educational </w:t>
      </w:r>
      <w:r w:rsidR="00521332" w:rsidRPr="00E639BA">
        <w:t>improvement contributed</w:t>
      </w:r>
      <w:r w:rsidR="00B607FD" w:rsidRPr="00E639BA">
        <w:t xml:space="preserve"> to important earnings gains for </w:t>
      </w:r>
      <w:r w:rsidR="008970F9" w:rsidRPr="00E639BA">
        <w:t xml:space="preserve">many </w:t>
      </w:r>
      <w:r w:rsidR="00521332" w:rsidRPr="00E639BA">
        <w:t xml:space="preserve">black individuals, </w:t>
      </w:r>
      <w:r w:rsidR="001532C3" w:rsidRPr="00E639BA">
        <w:t xml:space="preserve">who </w:t>
      </w:r>
      <w:r w:rsidR="00A7744E" w:rsidRPr="00E639BA">
        <w:t xml:space="preserve">entered </w:t>
      </w:r>
      <w:r w:rsidR="001532C3" w:rsidRPr="00E639BA">
        <w:t xml:space="preserve">a select group </w:t>
      </w:r>
      <w:r w:rsidR="00F136CB" w:rsidRPr="00E639BA">
        <w:t>that comprise</w:t>
      </w:r>
      <w:r w:rsidR="00112DF0" w:rsidRPr="00E639BA">
        <w:t>d</w:t>
      </w:r>
      <w:r w:rsidR="00F136CB" w:rsidRPr="00E639BA">
        <w:t xml:space="preserve"> 15%</w:t>
      </w:r>
      <w:r w:rsidR="001532C3" w:rsidRPr="00E639BA">
        <w:t xml:space="preserve"> </w:t>
      </w:r>
      <w:r w:rsidR="00F136CB" w:rsidRPr="00E639BA">
        <w:t xml:space="preserve">of the Brazilian labor force in 2010. Workers with </w:t>
      </w:r>
      <w:r w:rsidR="00A7744E" w:rsidRPr="00E639BA">
        <w:t xml:space="preserve">at least </w:t>
      </w:r>
      <w:r w:rsidR="00F136CB" w:rsidRPr="00E639BA">
        <w:t xml:space="preserve">a </w:t>
      </w:r>
      <w:r w:rsidR="00A7744E" w:rsidRPr="00E639BA">
        <w:t>bachelor</w:t>
      </w:r>
      <w:r w:rsidR="00112DF0" w:rsidRPr="00E639BA">
        <w:t>’s</w:t>
      </w:r>
      <w:r w:rsidR="00A7744E" w:rsidRPr="00E639BA">
        <w:t xml:space="preserve"> </w:t>
      </w:r>
      <w:r w:rsidR="00B72CED">
        <w:t>degree in Brazil earn three</w:t>
      </w:r>
      <w:r w:rsidR="00F136CB" w:rsidRPr="00E639BA">
        <w:t xml:space="preserve"> times more than those with a lower level of schooling, on average. </w:t>
      </w:r>
    </w:p>
    <w:p w:rsidR="009D42EC" w:rsidRPr="00E639BA" w:rsidRDefault="00CF5016" w:rsidP="00C17C6A">
      <w:pPr>
        <w:pStyle w:val="Corpodetexto"/>
        <w:ind w:firstLine="708"/>
        <w:contextualSpacing/>
      </w:pPr>
      <w:r w:rsidRPr="00E639BA">
        <w:t xml:space="preserve">Although the attainment of a </w:t>
      </w:r>
      <w:r w:rsidR="002C0C0A" w:rsidRPr="00E639BA">
        <w:t>bachelor</w:t>
      </w:r>
      <w:r w:rsidR="00112DF0" w:rsidRPr="00E639BA">
        <w:t>’s</w:t>
      </w:r>
      <w:r w:rsidR="002C0C0A" w:rsidRPr="00E639BA">
        <w:t xml:space="preserve"> or graduate </w:t>
      </w:r>
      <w:r w:rsidRPr="00E639BA">
        <w:t>degree by a black worker usuall</w:t>
      </w:r>
      <w:r w:rsidR="00D5288A" w:rsidRPr="00E639BA">
        <w:t>y provides important benefits at</w:t>
      </w:r>
      <w:r w:rsidRPr="00E639BA">
        <w:t xml:space="preserve"> the individual level, it does not assure equal labor market outcomes compared to white workers with the same level of education. </w:t>
      </w:r>
      <w:r w:rsidR="001942E8" w:rsidRPr="00E639BA">
        <w:t xml:space="preserve">Empirical evidence shows that whites earned 39% more per hour than blacks among Brazilian workers with </w:t>
      </w:r>
      <w:r w:rsidR="00CA5D2E" w:rsidRPr="00E639BA">
        <w:t>at least a bachelor</w:t>
      </w:r>
      <w:r w:rsidR="00112DF0" w:rsidRPr="00E639BA">
        <w:t>’s</w:t>
      </w:r>
      <w:r w:rsidR="00CA5D2E" w:rsidRPr="00E639BA">
        <w:t xml:space="preserve"> </w:t>
      </w:r>
      <w:r w:rsidR="001942E8" w:rsidRPr="00E639BA">
        <w:t>degree in 2000, while in 2010 the hourly labor earnings differential between white</w:t>
      </w:r>
      <w:r w:rsidRPr="00E639BA">
        <w:t>s</w:t>
      </w:r>
      <w:r w:rsidR="001942E8" w:rsidRPr="00E639BA">
        <w:t xml:space="preserve"> and black</w:t>
      </w:r>
      <w:r w:rsidRPr="00E639BA">
        <w:t>s</w:t>
      </w:r>
      <w:r w:rsidR="001942E8" w:rsidRPr="00E639BA">
        <w:t xml:space="preserve"> increased to 41%.</w:t>
      </w:r>
    </w:p>
    <w:p w:rsidR="00932135" w:rsidRPr="00E639BA" w:rsidRDefault="0041723B" w:rsidP="00C17C6A">
      <w:pPr>
        <w:pStyle w:val="Corpodetexto"/>
        <w:ind w:firstLine="708"/>
        <w:contextualSpacing/>
      </w:pPr>
      <w:proofErr w:type="gramStart"/>
      <w:r w:rsidRPr="00E639BA">
        <w:lastRenderedPageBreak/>
        <w:t>An aspect</w:t>
      </w:r>
      <w:r w:rsidR="00B24EEF" w:rsidRPr="00E639BA">
        <w:t xml:space="preserve"> that draws attention when comparing </w:t>
      </w:r>
      <w:r w:rsidR="00D402F3" w:rsidRPr="00E639BA">
        <w:t xml:space="preserve">white and black individuals with </w:t>
      </w:r>
      <w:r w:rsidR="00CA5D2E" w:rsidRPr="00E639BA">
        <w:t xml:space="preserve">tertiary education </w:t>
      </w:r>
      <w:r w:rsidR="00D402F3" w:rsidRPr="00E639BA">
        <w:t>in Brazil is the unequal distribution across fields of study.</w:t>
      </w:r>
      <w:proofErr w:type="gramEnd"/>
      <w:r w:rsidR="00172E84" w:rsidRPr="00E639BA">
        <w:t xml:space="preserve"> Black workers are more concentrated in areas </w:t>
      </w:r>
      <w:r w:rsidR="000B6857" w:rsidRPr="00E639BA">
        <w:t xml:space="preserve">like </w:t>
      </w:r>
      <w:r w:rsidR="00506029" w:rsidRPr="00E639BA">
        <w:t>e</w:t>
      </w:r>
      <w:r w:rsidR="00172E84" w:rsidRPr="00E639BA">
        <w:t>ducation</w:t>
      </w:r>
      <w:r w:rsidR="00664F7B" w:rsidRPr="00E639BA">
        <w:t>,</w:t>
      </w:r>
      <w:r w:rsidR="00BE58CB" w:rsidRPr="00E639BA">
        <w:t xml:space="preserve"> </w:t>
      </w:r>
      <w:r w:rsidR="00506029" w:rsidRPr="00E639BA">
        <w:t>a</w:t>
      </w:r>
      <w:r w:rsidR="00BE58CB" w:rsidRPr="00E639BA">
        <w:t>rts,</w:t>
      </w:r>
      <w:r w:rsidR="00172E84" w:rsidRPr="00E639BA">
        <w:t xml:space="preserve"> humanities</w:t>
      </w:r>
      <w:r w:rsidR="00BE58CB" w:rsidRPr="00E639BA">
        <w:t xml:space="preserve"> and languages</w:t>
      </w:r>
      <w:r w:rsidR="00172E84" w:rsidRPr="00E639BA">
        <w:t>,</w:t>
      </w:r>
      <w:r w:rsidR="00664F7B" w:rsidRPr="00E639BA">
        <w:t xml:space="preserve"> and </w:t>
      </w:r>
      <w:r w:rsidR="00506029" w:rsidRPr="00E639BA">
        <w:t>s</w:t>
      </w:r>
      <w:r w:rsidR="00664F7B" w:rsidRPr="00E639BA">
        <w:t>ocial care,</w:t>
      </w:r>
      <w:r w:rsidR="00172E84" w:rsidRPr="00E639BA">
        <w:t xml:space="preserve"> while white individuals are more represented in </w:t>
      </w:r>
      <w:r w:rsidR="00506029" w:rsidRPr="00E639BA">
        <w:t>e</w:t>
      </w:r>
      <w:r w:rsidR="00172E84" w:rsidRPr="00E639BA">
        <w:t xml:space="preserve">ngineering and </w:t>
      </w:r>
      <w:r w:rsidR="00F7313E">
        <w:t>health professions</w:t>
      </w:r>
      <w:r w:rsidR="000B6857" w:rsidRPr="00E639BA">
        <w:t xml:space="preserve">. </w:t>
      </w:r>
      <w:r w:rsidR="008C0ACD" w:rsidRPr="00E639BA">
        <w:t xml:space="preserve">Several studies present evidence for different countries indicating that </w:t>
      </w:r>
      <w:r w:rsidR="004806EC" w:rsidRPr="00E639BA">
        <w:t xml:space="preserve">university </w:t>
      </w:r>
      <w:r w:rsidR="008C0ACD" w:rsidRPr="00E639BA">
        <w:t>premium varies substantially by field of study</w:t>
      </w:r>
      <w:r w:rsidR="00404E89" w:rsidRPr="00E639BA">
        <w:t>.</w:t>
      </w:r>
      <w:r w:rsidR="008C0ACD" w:rsidRPr="00E639BA">
        <w:rPr>
          <w:rStyle w:val="Refdenotaderodap"/>
        </w:rPr>
        <w:footnoteReference w:id="2"/>
      </w:r>
      <w:r w:rsidR="008C0ACD" w:rsidRPr="00E639BA">
        <w:t xml:space="preserve"> </w:t>
      </w:r>
      <w:r w:rsidRPr="00E639BA">
        <w:t xml:space="preserve">The </w:t>
      </w:r>
      <w:r w:rsidR="00B74115" w:rsidRPr="00E639BA">
        <w:t xml:space="preserve">Brazilian labor market </w:t>
      </w:r>
      <w:r w:rsidR="00993E15" w:rsidRPr="00E639BA">
        <w:t xml:space="preserve">not only </w:t>
      </w:r>
      <w:r w:rsidR="00B74115" w:rsidRPr="00E639BA">
        <w:t xml:space="preserve">exhibits </w:t>
      </w:r>
      <w:r w:rsidR="00611DF4" w:rsidRPr="00E639BA">
        <w:t>important earnings differences across fields of study,</w:t>
      </w:r>
      <w:r w:rsidR="003B7C67" w:rsidRPr="00E639BA">
        <w:t xml:space="preserve"> but also</w:t>
      </w:r>
      <w:r w:rsidR="00611DF4" w:rsidRPr="00E639BA">
        <w:t xml:space="preserve"> the participation of black individuals is </w:t>
      </w:r>
      <w:r w:rsidR="004806EC" w:rsidRPr="00E639BA">
        <w:t xml:space="preserve">much </w:t>
      </w:r>
      <w:r w:rsidR="00611DF4" w:rsidRPr="00E639BA">
        <w:t>higher in fields of study with lower average earnings</w:t>
      </w:r>
      <w:r w:rsidR="006F3388" w:rsidRPr="00E639BA">
        <w:t xml:space="preserve">. </w:t>
      </w:r>
      <w:r w:rsidR="004806EC" w:rsidRPr="00E639BA">
        <w:t>I</w:t>
      </w:r>
      <w:r w:rsidR="006F3388" w:rsidRPr="00E639BA">
        <w:t xml:space="preserve">n both 2000 and 2010, </w:t>
      </w:r>
      <w:r w:rsidR="004806EC" w:rsidRPr="00E639BA">
        <w:t xml:space="preserve">for example, </w:t>
      </w:r>
      <w:r w:rsidR="006F3388" w:rsidRPr="00E639BA">
        <w:t xml:space="preserve">the average labor earnings in </w:t>
      </w:r>
      <w:r w:rsidR="00506029" w:rsidRPr="00E639BA">
        <w:t>e</w:t>
      </w:r>
      <w:r w:rsidR="006F3388" w:rsidRPr="00E639BA">
        <w:t xml:space="preserve">ngineering </w:t>
      </w:r>
      <w:r w:rsidRPr="00E639BA">
        <w:t xml:space="preserve">are </w:t>
      </w:r>
      <w:r w:rsidR="006F3388" w:rsidRPr="00E639BA">
        <w:t>three times higher than that in</w:t>
      </w:r>
      <w:r w:rsidR="00650A73" w:rsidRPr="00E639BA">
        <w:t xml:space="preserve"> </w:t>
      </w:r>
      <w:r w:rsidR="00506029" w:rsidRPr="00E639BA">
        <w:t>e</w:t>
      </w:r>
      <w:r w:rsidR="00650A73" w:rsidRPr="00E639BA">
        <w:t>ducation.</w:t>
      </w:r>
      <w:r w:rsidR="00932135" w:rsidRPr="00E639BA">
        <w:t xml:space="preserve"> </w:t>
      </w:r>
      <w:r w:rsidR="00650A73" w:rsidRPr="00E639BA">
        <w:t>Thus, the</w:t>
      </w:r>
      <w:r w:rsidR="006F3388" w:rsidRPr="00E639BA">
        <w:t xml:space="preserve"> distributions of white and black workers with </w:t>
      </w:r>
      <w:r w:rsidR="004806EC" w:rsidRPr="00E639BA">
        <w:t xml:space="preserve">tertiary education </w:t>
      </w:r>
      <w:r w:rsidR="006F3388" w:rsidRPr="00E639BA">
        <w:t>across fields of study may play a role in the labor earnings gap by race in Brazil</w:t>
      </w:r>
      <w:r w:rsidR="001C44EE" w:rsidRPr="00E639BA">
        <w:t xml:space="preserve">. </w:t>
      </w:r>
      <w:r w:rsidR="004806EC" w:rsidRPr="00E639BA">
        <w:t>It should be mentioned that t</w:t>
      </w:r>
      <w:r w:rsidR="00FE2219" w:rsidRPr="00E639BA">
        <w:t xml:space="preserve">here are many other elements that </w:t>
      </w:r>
      <w:r w:rsidR="00932135" w:rsidRPr="00E639BA">
        <w:t xml:space="preserve">may contribute </w:t>
      </w:r>
      <w:r w:rsidR="00664F7B" w:rsidRPr="00E639BA">
        <w:t>to explain</w:t>
      </w:r>
      <w:r w:rsidRPr="00E639BA">
        <w:t>ing</w:t>
      </w:r>
      <w:r w:rsidR="00664F7B" w:rsidRPr="00E639BA">
        <w:t xml:space="preserve"> this</w:t>
      </w:r>
      <w:r w:rsidR="00FE2219" w:rsidRPr="00E639BA">
        <w:t xml:space="preserve"> earnings differential by race</w:t>
      </w:r>
      <w:r w:rsidR="004806EC" w:rsidRPr="00E639BA">
        <w:t xml:space="preserve"> in Brazil</w:t>
      </w:r>
      <w:r w:rsidR="00FE2219" w:rsidRPr="00E639BA">
        <w:t xml:space="preserve">, such as demographic characteristics, </w:t>
      </w:r>
      <w:r w:rsidR="001C44EE" w:rsidRPr="00E639BA">
        <w:t>mismatch between field</w:t>
      </w:r>
      <w:r w:rsidR="004806EC" w:rsidRPr="00E639BA">
        <w:t xml:space="preserve"> of education</w:t>
      </w:r>
      <w:r w:rsidR="001C44EE" w:rsidRPr="00E639BA">
        <w:t xml:space="preserve"> and occupation, proportion</w:t>
      </w:r>
      <w:r w:rsidR="00FE2219" w:rsidRPr="00E639BA">
        <w:t xml:space="preserve"> of workers with </w:t>
      </w:r>
      <w:r w:rsidR="004806EC" w:rsidRPr="00E639BA">
        <w:t xml:space="preserve">a </w:t>
      </w:r>
      <w:r w:rsidR="00FE2219" w:rsidRPr="00E639BA">
        <w:t>graduate degree, as well as unobserved variables, like discrimination and quality of education.</w:t>
      </w:r>
      <w:r w:rsidR="00A91F0A" w:rsidRPr="00E639BA">
        <w:t xml:space="preserve"> </w:t>
      </w:r>
    </w:p>
    <w:p w:rsidR="00F6071F" w:rsidRPr="00E639BA" w:rsidRDefault="004650F1" w:rsidP="00C17C6A">
      <w:pPr>
        <w:pStyle w:val="Corpodetexto"/>
        <w:ind w:firstLine="708"/>
        <w:contextualSpacing/>
      </w:pPr>
      <w:r w:rsidRPr="00E639BA">
        <w:t xml:space="preserve">The aim of this paper is to </w:t>
      </w:r>
      <w:r w:rsidR="009D09E3" w:rsidRPr="00E639BA">
        <w:t xml:space="preserve">investigate </w:t>
      </w:r>
      <w:r w:rsidRPr="00E639BA">
        <w:t xml:space="preserve">the </w:t>
      </w:r>
      <w:r w:rsidR="00644441" w:rsidRPr="00E639BA">
        <w:t xml:space="preserve">labor </w:t>
      </w:r>
      <w:r w:rsidRPr="00E639BA">
        <w:t xml:space="preserve">earnings </w:t>
      </w:r>
      <w:r w:rsidR="00644441" w:rsidRPr="00E639BA">
        <w:t xml:space="preserve">differential </w:t>
      </w:r>
      <w:r w:rsidR="00CB21EE" w:rsidRPr="00E639BA">
        <w:t xml:space="preserve">between white and black </w:t>
      </w:r>
      <w:r w:rsidR="00664F7B" w:rsidRPr="00E639BA">
        <w:t xml:space="preserve">workers </w:t>
      </w:r>
      <w:r w:rsidR="00644441" w:rsidRPr="00E639BA">
        <w:t xml:space="preserve">with </w:t>
      </w:r>
      <w:r w:rsidR="00C16087" w:rsidRPr="00E639BA">
        <w:t>a bachelor</w:t>
      </w:r>
      <w:r w:rsidR="0041723B" w:rsidRPr="00E639BA">
        <w:t>’s</w:t>
      </w:r>
      <w:r w:rsidR="00C16087" w:rsidRPr="00E639BA">
        <w:t xml:space="preserve"> or graduate </w:t>
      </w:r>
      <w:r w:rsidR="00644441" w:rsidRPr="00E639BA">
        <w:t>degree</w:t>
      </w:r>
      <w:r w:rsidR="00CB21EE" w:rsidRPr="00E639BA">
        <w:t xml:space="preserve"> in Brazil</w:t>
      </w:r>
      <w:r w:rsidR="000A16CD" w:rsidRPr="00E639BA">
        <w:t>, decomposing this gap</w:t>
      </w:r>
      <w:r w:rsidR="009D09E3" w:rsidRPr="00E639BA">
        <w:t xml:space="preserve"> </w:t>
      </w:r>
      <w:r w:rsidR="008653B5" w:rsidRPr="00E639BA">
        <w:t>into components accounted for by observable differences across</w:t>
      </w:r>
      <w:r w:rsidR="00664F7B" w:rsidRPr="00E639BA">
        <w:t xml:space="preserve"> individuals</w:t>
      </w:r>
      <w:r w:rsidR="008653B5" w:rsidRPr="00E639BA">
        <w:t xml:space="preserve">, </w:t>
      </w:r>
      <w:r w:rsidR="000A16CD" w:rsidRPr="00E639BA">
        <w:t>and</w:t>
      </w:r>
      <w:r w:rsidR="00C16087" w:rsidRPr="00E639BA">
        <w:t xml:space="preserve"> differences in the return </w:t>
      </w:r>
      <w:r w:rsidR="009B14CB" w:rsidRPr="00E639BA">
        <w:t xml:space="preserve">on </w:t>
      </w:r>
      <w:r w:rsidR="00C16087" w:rsidRPr="00E639BA">
        <w:t>these characteristics</w:t>
      </w:r>
      <w:r w:rsidR="000A16CD" w:rsidRPr="00E639BA">
        <w:t xml:space="preserve">. </w:t>
      </w:r>
      <w:r w:rsidR="00F92BA6" w:rsidRPr="00E639BA">
        <w:t xml:space="preserve">The empirical analysis uses data from the </w:t>
      </w:r>
      <w:r w:rsidR="00A47E42" w:rsidRPr="00E639BA">
        <w:t xml:space="preserve">2000 and </w:t>
      </w:r>
      <w:r w:rsidR="00F92BA6" w:rsidRPr="00E639BA">
        <w:t xml:space="preserve">2010 Brazilian Census. This survey, conducted by the Brazilian Census </w:t>
      </w:r>
      <w:r w:rsidR="00BD1C9E" w:rsidRPr="00E639BA">
        <w:t xml:space="preserve">Bureau (IBGE), has information about </w:t>
      </w:r>
      <w:r w:rsidR="00447B71" w:rsidRPr="00E639BA">
        <w:t xml:space="preserve">labor market and field of study for those </w:t>
      </w:r>
      <w:r w:rsidR="00CF526F" w:rsidRPr="00E639BA">
        <w:t>who</w:t>
      </w:r>
      <w:r w:rsidR="00C16087" w:rsidRPr="00E639BA">
        <w:t xml:space="preserve"> have tertiary education</w:t>
      </w:r>
      <w:r w:rsidR="00447B71" w:rsidRPr="00E639BA">
        <w:t>, in addition to demographic characteristics of the individuals</w:t>
      </w:r>
      <w:r w:rsidR="00A91F0A" w:rsidRPr="00E639BA">
        <w:t>.</w:t>
      </w:r>
      <w:r w:rsidR="009C5BEA" w:rsidRPr="00E639BA">
        <w:t xml:space="preserve"> </w:t>
      </w:r>
      <w:r w:rsidR="00E50B9C" w:rsidRPr="00E639BA">
        <w:t xml:space="preserve">The empirical strategy is based on </w:t>
      </w:r>
      <w:r w:rsidR="00F25D76" w:rsidRPr="00E639BA">
        <w:t xml:space="preserve">decompositions of the </w:t>
      </w:r>
      <w:r w:rsidR="007C0B06" w:rsidRPr="00E639BA">
        <w:t xml:space="preserve">mean </w:t>
      </w:r>
      <w:r w:rsidR="0095720D" w:rsidRPr="00E639BA">
        <w:t xml:space="preserve">labor </w:t>
      </w:r>
      <w:r w:rsidR="00BC4FE1" w:rsidRPr="00E639BA">
        <w:t>earnings difference</w:t>
      </w:r>
      <w:r w:rsidR="00F25D76" w:rsidRPr="00E639BA">
        <w:t xml:space="preserve"> between white and black workers</w:t>
      </w:r>
      <w:r w:rsidR="0061186C" w:rsidRPr="00E639BA">
        <w:t xml:space="preserve"> using the</w:t>
      </w:r>
      <w:r w:rsidR="00F25D76" w:rsidRPr="00E639BA">
        <w:t xml:space="preserve"> </w:t>
      </w:r>
      <w:r w:rsidR="004C2704" w:rsidRPr="00E639BA">
        <w:t xml:space="preserve">traditional </w:t>
      </w:r>
      <w:r w:rsidR="004E2A1B" w:rsidRPr="00E639BA">
        <w:t>Oaxaca</w:t>
      </w:r>
      <w:r w:rsidR="00D90F16">
        <w:t>-Blinder</w:t>
      </w:r>
      <w:r w:rsidR="004E2A1B" w:rsidRPr="00E639BA">
        <w:t xml:space="preserve"> </w:t>
      </w:r>
      <w:r w:rsidR="00C16087" w:rsidRPr="00E639BA">
        <w:t>methodology</w:t>
      </w:r>
      <w:r w:rsidR="00D90F16">
        <w:t xml:space="preserve"> (Oaxaca, </w:t>
      </w:r>
      <w:r w:rsidR="00D90F16" w:rsidRPr="00E639BA">
        <w:t>1973</w:t>
      </w:r>
      <w:r w:rsidR="00D90F16">
        <w:t xml:space="preserve"> and Blinder, 1973</w:t>
      </w:r>
      <w:r w:rsidR="00D90F16" w:rsidRPr="00E639BA">
        <w:t>)</w:t>
      </w:r>
      <w:r w:rsidR="00C16087" w:rsidRPr="00E639BA">
        <w:t xml:space="preserve">, </w:t>
      </w:r>
      <w:r w:rsidR="004E2A1B" w:rsidRPr="00E639BA">
        <w:t>and</w:t>
      </w:r>
      <w:r w:rsidR="004C2704" w:rsidRPr="00E639BA">
        <w:t xml:space="preserve"> decompositions for</w:t>
      </w:r>
      <w:r w:rsidR="004E2A1B" w:rsidRPr="00E639BA">
        <w:t xml:space="preserve"> </w:t>
      </w:r>
      <w:r w:rsidR="004C2704" w:rsidRPr="00E639BA">
        <w:t xml:space="preserve">different quantiles of the earnings distribution, through the method proposed by </w:t>
      </w:r>
      <w:r w:rsidR="004E2A1B" w:rsidRPr="00E639BA">
        <w:t>Fortin, Lemieux and Firpo (2009)</w:t>
      </w:r>
      <w:r w:rsidR="004C2704" w:rsidRPr="00E639BA">
        <w:t xml:space="preserve">. </w:t>
      </w:r>
      <w:r w:rsidR="0095720D" w:rsidRPr="00E639BA">
        <w:t xml:space="preserve">This way, </w:t>
      </w:r>
      <w:r w:rsidR="002C5850" w:rsidRPr="00E639BA">
        <w:t xml:space="preserve">not only the </w:t>
      </w:r>
      <w:r w:rsidR="0095720D" w:rsidRPr="00E639BA">
        <w:t xml:space="preserve">racial earnings gap could be attributed to </w:t>
      </w:r>
      <w:r w:rsidR="00827D9D" w:rsidRPr="00E639BA">
        <w:t xml:space="preserve">differences in the distribution of observable characteristics, </w:t>
      </w:r>
      <w:r w:rsidR="009F180C" w:rsidRPr="00E639BA">
        <w:t xml:space="preserve">and </w:t>
      </w:r>
      <w:r w:rsidR="002C5850" w:rsidRPr="00E639BA">
        <w:t>in the return</w:t>
      </w:r>
      <w:r w:rsidR="00100956">
        <w:t>s</w:t>
      </w:r>
      <w:r w:rsidR="00827D9D" w:rsidRPr="00E639BA">
        <w:t xml:space="preserve"> </w:t>
      </w:r>
      <w:r w:rsidR="009B14CB" w:rsidRPr="00E639BA">
        <w:t xml:space="preserve">on </w:t>
      </w:r>
      <w:r w:rsidR="00827D9D" w:rsidRPr="00E639BA">
        <w:t>these characteristics</w:t>
      </w:r>
      <w:r w:rsidR="002C5850" w:rsidRPr="00E639BA">
        <w:t>, but also the former</w:t>
      </w:r>
      <w:r w:rsidR="009E177C" w:rsidRPr="00E639BA">
        <w:t xml:space="preserve"> component </w:t>
      </w:r>
      <w:r w:rsidR="002C5850" w:rsidRPr="00E639BA">
        <w:t xml:space="preserve">can be </w:t>
      </w:r>
      <w:r w:rsidR="009E177C" w:rsidRPr="00E639BA">
        <w:t>d</w:t>
      </w:r>
      <w:r w:rsidR="004C2704" w:rsidRPr="00E639BA">
        <w:t>ecomposed into contributions associated with</w:t>
      </w:r>
      <w:r w:rsidR="00A91F0A" w:rsidRPr="00E639BA">
        <w:t xml:space="preserve"> </w:t>
      </w:r>
      <w:r w:rsidR="000A16CD" w:rsidRPr="00E639BA">
        <w:t xml:space="preserve">individual’s distribution across fields of study, mismatch between </w:t>
      </w:r>
      <w:r w:rsidR="004C2704" w:rsidRPr="00E639BA">
        <w:t xml:space="preserve">education </w:t>
      </w:r>
      <w:r w:rsidR="000A16CD" w:rsidRPr="00E639BA">
        <w:t>and occupation, attainment of a graduate degree and demographic variables.</w:t>
      </w:r>
      <w:r w:rsidR="00664F7B" w:rsidRPr="00E639BA">
        <w:t xml:space="preserve"> And this could be done for different percentiles of the earnings distribution. </w:t>
      </w:r>
    </w:p>
    <w:p w:rsidR="00932135" w:rsidRPr="00E639BA" w:rsidRDefault="00E87F36" w:rsidP="00C17C6A">
      <w:pPr>
        <w:pStyle w:val="Corpodetexto"/>
        <w:ind w:firstLine="708"/>
        <w:contextualSpacing/>
      </w:pPr>
      <w:r w:rsidRPr="00E639BA">
        <w:t xml:space="preserve">According to estimates, 14% of the mean labor earnings </w:t>
      </w:r>
      <w:r w:rsidR="002C5850" w:rsidRPr="00E639BA">
        <w:t xml:space="preserve">gap </w:t>
      </w:r>
      <w:r w:rsidRPr="00E639BA">
        <w:t xml:space="preserve">between white and black workers with </w:t>
      </w:r>
      <w:r w:rsidR="002C5850" w:rsidRPr="00E639BA">
        <w:t>at least a bachelor</w:t>
      </w:r>
      <w:r w:rsidR="0041723B" w:rsidRPr="00E639BA">
        <w:t>’s</w:t>
      </w:r>
      <w:r w:rsidR="002C5850" w:rsidRPr="00E639BA">
        <w:t xml:space="preserve"> </w:t>
      </w:r>
      <w:r w:rsidRPr="00E639BA">
        <w:t xml:space="preserve">degree in 2000 </w:t>
      </w:r>
      <w:r w:rsidR="00AA1646" w:rsidRPr="00E639BA">
        <w:t xml:space="preserve">seems to be associated with differences </w:t>
      </w:r>
      <w:r w:rsidR="002C5850" w:rsidRPr="00E639BA">
        <w:t xml:space="preserve">by race </w:t>
      </w:r>
      <w:r w:rsidR="00AA1646" w:rsidRPr="00E639BA">
        <w:t xml:space="preserve">in the distribution of individuals across fields of study. In 2010, the estimated contribution of this component </w:t>
      </w:r>
      <w:r w:rsidR="00BE58CB" w:rsidRPr="00E639BA">
        <w:t xml:space="preserve">amounts to </w:t>
      </w:r>
      <w:r w:rsidR="00AA1646" w:rsidRPr="00E639BA">
        <w:t xml:space="preserve">24%, which represents 60% of the mean difference in earnings by race due to the characteristics of white and black individuals. </w:t>
      </w:r>
    </w:p>
    <w:p w:rsidR="00B146E9" w:rsidRPr="00E639BA" w:rsidRDefault="00CC5108" w:rsidP="00C17C6A">
      <w:pPr>
        <w:autoSpaceDE w:val="0"/>
        <w:autoSpaceDN w:val="0"/>
        <w:adjustRightInd w:val="0"/>
        <w:spacing w:line="240" w:lineRule="auto"/>
        <w:ind w:firstLine="709"/>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Earnings differential by race </w:t>
      </w:r>
      <w:r w:rsidR="00270C50" w:rsidRPr="00E639BA">
        <w:rPr>
          <w:rFonts w:ascii="Times New Roman" w:eastAsia="Times New Roman" w:hAnsi="Times New Roman"/>
          <w:sz w:val="24"/>
          <w:szCs w:val="24"/>
          <w:lang w:eastAsia="pt-BR"/>
        </w:rPr>
        <w:t xml:space="preserve">is </w:t>
      </w:r>
      <w:r w:rsidRPr="00E639BA">
        <w:rPr>
          <w:rFonts w:ascii="Times New Roman" w:eastAsia="Times New Roman" w:hAnsi="Times New Roman"/>
          <w:sz w:val="24"/>
          <w:szCs w:val="24"/>
          <w:lang w:eastAsia="pt-BR"/>
        </w:rPr>
        <w:t xml:space="preserve">larger at </w:t>
      </w:r>
      <w:r w:rsidR="00270C50" w:rsidRPr="00E639BA">
        <w:rPr>
          <w:rFonts w:ascii="Times New Roman" w:eastAsia="Times New Roman" w:hAnsi="Times New Roman"/>
          <w:sz w:val="24"/>
          <w:szCs w:val="24"/>
          <w:lang w:eastAsia="pt-BR"/>
        </w:rPr>
        <w:t>the top of the distribution</w:t>
      </w:r>
      <w:r w:rsidR="00837B58" w:rsidRPr="00E639BA">
        <w:rPr>
          <w:rFonts w:ascii="Times New Roman" w:eastAsia="Times New Roman" w:hAnsi="Times New Roman"/>
          <w:sz w:val="24"/>
          <w:szCs w:val="24"/>
          <w:lang w:eastAsia="pt-BR"/>
        </w:rPr>
        <w:t>, but</w:t>
      </w:r>
      <w:r w:rsidR="00270C50" w:rsidRPr="00E639BA">
        <w:rPr>
          <w:rFonts w:ascii="Times New Roman" w:eastAsia="Times New Roman" w:hAnsi="Times New Roman"/>
          <w:sz w:val="24"/>
          <w:szCs w:val="24"/>
          <w:lang w:eastAsia="pt-BR"/>
        </w:rPr>
        <w:t xml:space="preserve"> </w:t>
      </w:r>
      <w:proofErr w:type="spellStart"/>
      <w:r w:rsidR="00D90F16">
        <w:rPr>
          <w:rFonts w:ascii="Times New Roman" w:eastAsia="Times New Roman" w:hAnsi="Times New Roman"/>
          <w:sz w:val="24"/>
          <w:szCs w:val="24"/>
          <w:lang w:eastAsia="pt-BR"/>
        </w:rPr>
        <w:t>quantile</w:t>
      </w:r>
      <w:proofErr w:type="spellEnd"/>
      <w:r w:rsidR="00D90F16">
        <w:rPr>
          <w:rFonts w:ascii="Times New Roman" w:eastAsia="Times New Roman" w:hAnsi="Times New Roman"/>
          <w:sz w:val="24"/>
          <w:szCs w:val="24"/>
          <w:lang w:eastAsia="pt-BR"/>
        </w:rPr>
        <w:t xml:space="preserve"> </w:t>
      </w:r>
      <w:r w:rsidR="00837B58" w:rsidRPr="00E639BA">
        <w:rPr>
          <w:rFonts w:ascii="Times New Roman" w:eastAsia="Times New Roman" w:hAnsi="Times New Roman"/>
          <w:sz w:val="24"/>
          <w:szCs w:val="24"/>
          <w:lang w:eastAsia="pt-BR"/>
        </w:rPr>
        <w:t>d</w:t>
      </w:r>
      <w:r w:rsidR="00B146E9" w:rsidRPr="00E639BA">
        <w:rPr>
          <w:rFonts w:ascii="Times New Roman" w:eastAsia="Times New Roman" w:hAnsi="Times New Roman"/>
          <w:sz w:val="24"/>
          <w:szCs w:val="24"/>
          <w:lang w:eastAsia="pt-BR"/>
        </w:rPr>
        <w:t xml:space="preserve">ecompositions </w:t>
      </w:r>
      <w:r w:rsidR="00837B58" w:rsidRPr="00E639BA">
        <w:rPr>
          <w:rFonts w:ascii="Times New Roman" w:eastAsia="Times New Roman" w:hAnsi="Times New Roman"/>
          <w:sz w:val="24"/>
          <w:szCs w:val="24"/>
          <w:lang w:eastAsia="pt-BR"/>
        </w:rPr>
        <w:t xml:space="preserve">show </w:t>
      </w:r>
      <w:r w:rsidR="00B146E9" w:rsidRPr="00E639BA">
        <w:rPr>
          <w:rFonts w:ascii="Times New Roman" w:eastAsia="Times New Roman" w:hAnsi="Times New Roman"/>
          <w:sz w:val="24"/>
          <w:szCs w:val="24"/>
          <w:lang w:eastAsia="pt-BR"/>
        </w:rPr>
        <w:t xml:space="preserve">that </w:t>
      </w:r>
      <w:r w:rsidR="00270C50" w:rsidRPr="00E639BA">
        <w:rPr>
          <w:rFonts w:ascii="Times New Roman" w:eastAsia="Times New Roman" w:hAnsi="Times New Roman"/>
          <w:sz w:val="24"/>
          <w:szCs w:val="24"/>
          <w:lang w:eastAsia="pt-BR"/>
        </w:rPr>
        <w:t xml:space="preserve">different characteristics of whites and blacks </w:t>
      </w:r>
      <w:r w:rsidR="00837B58" w:rsidRPr="00E639BA">
        <w:rPr>
          <w:rFonts w:ascii="Times New Roman" w:eastAsia="Times New Roman" w:hAnsi="Times New Roman"/>
          <w:sz w:val="24"/>
          <w:szCs w:val="24"/>
          <w:lang w:eastAsia="pt-BR"/>
        </w:rPr>
        <w:t>are associated with a more</w:t>
      </w:r>
      <w:r w:rsidR="00B146E9" w:rsidRPr="00E639BA">
        <w:rPr>
          <w:rFonts w:ascii="Times New Roman" w:eastAsia="Times New Roman" w:hAnsi="Times New Roman"/>
          <w:sz w:val="24"/>
          <w:szCs w:val="24"/>
          <w:lang w:eastAsia="pt-BR"/>
        </w:rPr>
        <w:t xml:space="preserve"> importan</w:t>
      </w:r>
      <w:r w:rsidR="00683825" w:rsidRPr="00E639BA">
        <w:rPr>
          <w:rFonts w:ascii="Times New Roman" w:eastAsia="Times New Roman" w:hAnsi="Times New Roman"/>
          <w:sz w:val="24"/>
          <w:szCs w:val="24"/>
          <w:lang w:eastAsia="pt-BR"/>
        </w:rPr>
        <w:t>t share of the racial gap at</w:t>
      </w:r>
      <w:r w:rsidR="00B146E9" w:rsidRPr="00E639BA">
        <w:rPr>
          <w:rFonts w:ascii="Times New Roman" w:eastAsia="Times New Roman" w:hAnsi="Times New Roman"/>
          <w:sz w:val="24"/>
          <w:szCs w:val="24"/>
          <w:lang w:eastAsia="pt-BR"/>
        </w:rPr>
        <w:t xml:space="preserve"> </w:t>
      </w:r>
      <w:r w:rsidR="00683825" w:rsidRPr="00E639BA">
        <w:rPr>
          <w:rFonts w:ascii="Times New Roman" w:eastAsia="Times New Roman" w:hAnsi="Times New Roman"/>
          <w:sz w:val="24"/>
          <w:szCs w:val="24"/>
          <w:lang w:eastAsia="pt-BR"/>
        </w:rPr>
        <w:t xml:space="preserve">lower percentiles </w:t>
      </w:r>
      <w:r w:rsidR="00837B58" w:rsidRPr="00E639BA">
        <w:rPr>
          <w:rFonts w:ascii="Times New Roman" w:eastAsia="Times New Roman" w:hAnsi="Times New Roman"/>
          <w:sz w:val="24"/>
          <w:szCs w:val="24"/>
          <w:lang w:eastAsia="pt-BR"/>
        </w:rPr>
        <w:t>of the earnings distribution</w:t>
      </w:r>
      <w:r w:rsidR="00270C50" w:rsidRPr="00E639BA">
        <w:rPr>
          <w:rFonts w:ascii="Times New Roman" w:eastAsia="Times New Roman" w:hAnsi="Times New Roman"/>
          <w:sz w:val="24"/>
          <w:szCs w:val="24"/>
          <w:lang w:eastAsia="pt-BR"/>
        </w:rPr>
        <w:t xml:space="preserve">. </w:t>
      </w:r>
      <w:r w:rsidR="00AD6822" w:rsidRPr="00E639BA">
        <w:rPr>
          <w:rFonts w:ascii="Times New Roman" w:eastAsia="Times New Roman" w:hAnsi="Times New Roman"/>
          <w:sz w:val="24"/>
          <w:szCs w:val="24"/>
          <w:lang w:eastAsia="pt-BR"/>
        </w:rPr>
        <w:t xml:space="preserve">About the contribution of racial disparities </w:t>
      </w:r>
      <w:r w:rsidR="001D0539" w:rsidRPr="00E639BA">
        <w:rPr>
          <w:rFonts w:ascii="Times New Roman" w:eastAsia="Times New Roman" w:hAnsi="Times New Roman"/>
          <w:sz w:val="24"/>
          <w:szCs w:val="24"/>
          <w:lang w:eastAsia="pt-BR"/>
        </w:rPr>
        <w:t>in field</w:t>
      </w:r>
      <w:r w:rsidR="000B6529" w:rsidRPr="00E639BA">
        <w:rPr>
          <w:rFonts w:ascii="Times New Roman" w:eastAsia="Times New Roman" w:hAnsi="Times New Roman"/>
          <w:sz w:val="24"/>
          <w:szCs w:val="24"/>
          <w:lang w:eastAsia="pt-BR"/>
        </w:rPr>
        <w:t xml:space="preserve"> of study composition, evidence indicates that it represents a larger share of the total earnings gap at</w:t>
      </w:r>
      <w:r w:rsidR="00683825" w:rsidRPr="00E639BA">
        <w:rPr>
          <w:rFonts w:ascii="Times New Roman" w:eastAsia="Times New Roman" w:hAnsi="Times New Roman"/>
          <w:sz w:val="24"/>
          <w:szCs w:val="24"/>
          <w:lang w:eastAsia="pt-BR"/>
        </w:rPr>
        <w:t xml:space="preserve"> the median of the distribution, </w:t>
      </w:r>
      <w:r w:rsidR="00EF5256" w:rsidRPr="00E639BA">
        <w:rPr>
          <w:rFonts w:ascii="Times New Roman" w:eastAsia="Times New Roman" w:hAnsi="Times New Roman"/>
          <w:sz w:val="24"/>
          <w:szCs w:val="24"/>
          <w:lang w:eastAsia="pt-BR"/>
        </w:rPr>
        <w:t>acc</w:t>
      </w:r>
      <w:r w:rsidR="00BE58CB" w:rsidRPr="00E639BA">
        <w:rPr>
          <w:rFonts w:ascii="Times New Roman" w:eastAsia="Times New Roman" w:hAnsi="Times New Roman"/>
          <w:sz w:val="24"/>
          <w:szCs w:val="24"/>
          <w:lang w:eastAsia="pt-BR"/>
        </w:rPr>
        <w:t xml:space="preserve">ounting </w:t>
      </w:r>
      <w:r w:rsidR="006D0CD6" w:rsidRPr="00E639BA">
        <w:rPr>
          <w:rFonts w:ascii="Times New Roman" w:eastAsia="Times New Roman" w:hAnsi="Times New Roman"/>
          <w:sz w:val="24"/>
          <w:szCs w:val="24"/>
          <w:lang w:eastAsia="pt-BR"/>
        </w:rPr>
        <w:t>for</w:t>
      </w:r>
      <w:r w:rsidR="00EF5256" w:rsidRPr="00E639BA">
        <w:rPr>
          <w:rFonts w:ascii="Times New Roman" w:eastAsia="Times New Roman" w:hAnsi="Times New Roman"/>
          <w:sz w:val="24"/>
          <w:szCs w:val="24"/>
          <w:lang w:eastAsia="pt-BR"/>
        </w:rPr>
        <w:t xml:space="preserve"> 18% of </w:t>
      </w:r>
      <w:r w:rsidR="006D0CD6" w:rsidRPr="00E639BA">
        <w:rPr>
          <w:rFonts w:ascii="Times New Roman" w:eastAsia="Times New Roman" w:hAnsi="Times New Roman"/>
          <w:sz w:val="24"/>
          <w:szCs w:val="24"/>
          <w:lang w:eastAsia="pt-BR"/>
        </w:rPr>
        <w:t xml:space="preserve">all </w:t>
      </w:r>
      <w:r w:rsidR="00EF5256" w:rsidRPr="00E639BA">
        <w:rPr>
          <w:rFonts w:ascii="Times New Roman" w:eastAsia="Times New Roman" w:hAnsi="Times New Roman"/>
          <w:sz w:val="24"/>
          <w:szCs w:val="24"/>
          <w:lang w:eastAsia="pt-BR"/>
        </w:rPr>
        <w:t>difference in 2000 and 33% in 2010</w:t>
      </w:r>
      <w:r w:rsidR="00683825" w:rsidRPr="00E639BA">
        <w:rPr>
          <w:rFonts w:ascii="Times New Roman" w:eastAsia="Times New Roman" w:hAnsi="Times New Roman"/>
          <w:sz w:val="24"/>
          <w:szCs w:val="24"/>
          <w:lang w:eastAsia="pt-BR"/>
        </w:rPr>
        <w:t>.</w:t>
      </w:r>
      <w:r w:rsidR="000B6529" w:rsidRPr="00E639BA">
        <w:rPr>
          <w:rFonts w:ascii="Times New Roman" w:eastAsia="Times New Roman" w:hAnsi="Times New Roman"/>
          <w:sz w:val="24"/>
          <w:szCs w:val="24"/>
          <w:lang w:eastAsia="pt-BR"/>
        </w:rPr>
        <w:t xml:space="preserve"> </w:t>
      </w:r>
    </w:p>
    <w:p w:rsidR="00DA69CC" w:rsidRPr="00E639BA" w:rsidRDefault="00DA69CC"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Th</w:t>
      </w:r>
      <w:r w:rsidR="0041723B" w:rsidRPr="00E639BA">
        <w:rPr>
          <w:rFonts w:ascii="Times New Roman" w:eastAsia="Times New Roman" w:hAnsi="Times New Roman"/>
          <w:sz w:val="24"/>
          <w:szCs w:val="24"/>
          <w:lang w:eastAsia="pt-BR"/>
        </w:rPr>
        <w:t>is paper is</w:t>
      </w:r>
      <w:r w:rsidRPr="00E639BA">
        <w:rPr>
          <w:rFonts w:ascii="Times New Roman" w:eastAsia="Times New Roman" w:hAnsi="Times New Roman"/>
          <w:sz w:val="24"/>
          <w:szCs w:val="24"/>
          <w:lang w:eastAsia="pt-BR"/>
        </w:rPr>
        <w:t xml:space="preserve"> structure</w:t>
      </w:r>
      <w:r w:rsidR="0041723B" w:rsidRPr="00E639BA">
        <w:rPr>
          <w:rFonts w:ascii="Times New Roman" w:eastAsia="Times New Roman" w:hAnsi="Times New Roman"/>
          <w:sz w:val="24"/>
          <w:szCs w:val="24"/>
          <w:lang w:eastAsia="pt-BR"/>
        </w:rPr>
        <w:t>d</w:t>
      </w:r>
      <w:r w:rsidRPr="00E639BA">
        <w:rPr>
          <w:rFonts w:ascii="Times New Roman" w:eastAsia="Times New Roman" w:hAnsi="Times New Roman"/>
          <w:sz w:val="24"/>
          <w:szCs w:val="24"/>
          <w:lang w:eastAsia="pt-BR"/>
        </w:rPr>
        <w:t xml:space="preserve"> </w:t>
      </w:r>
      <w:r w:rsidR="0041723B" w:rsidRPr="00E639BA">
        <w:rPr>
          <w:rFonts w:ascii="Times New Roman" w:eastAsia="Times New Roman" w:hAnsi="Times New Roman"/>
          <w:sz w:val="24"/>
          <w:szCs w:val="24"/>
          <w:lang w:eastAsia="pt-BR"/>
        </w:rPr>
        <w:t>as follows</w:t>
      </w:r>
      <w:r w:rsidRPr="00E639BA">
        <w:rPr>
          <w:rFonts w:ascii="Times New Roman" w:eastAsia="Times New Roman" w:hAnsi="Times New Roman"/>
          <w:sz w:val="24"/>
          <w:szCs w:val="24"/>
          <w:lang w:eastAsia="pt-BR"/>
        </w:rPr>
        <w:t xml:space="preserve">. Section 2 describes the dataset, and Section 3 </w:t>
      </w:r>
      <w:r w:rsidR="0000781F" w:rsidRPr="00E639BA">
        <w:rPr>
          <w:rFonts w:ascii="Times New Roman" w:eastAsia="Times New Roman" w:hAnsi="Times New Roman"/>
          <w:sz w:val="24"/>
          <w:szCs w:val="24"/>
          <w:lang w:eastAsia="pt-BR"/>
        </w:rPr>
        <w:t>shows</w:t>
      </w:r>
      <w:r w:rsidR="00FC42CC" w:rsidRPr="00E639BA">
        <w:rPr>
          <w:rFonts w:ascii="Times New Roman" w:eastAsia="Times New Roman" w:hAnsi="Times New Roman"/>
          <w:sz w:val="24"/>
          <w:szCs w:val="24"/>
          <w:lang w:eastAsia="pt-BR"/>
        </w:rPr>
        <w:t xml:space="preserve"> </w:t>
      </w:r>
      <w:r w:rsidR="0041723B" w:rsidRPr="00E639BA">
        <w:rPr>
          <w:rFonts w:ascii="Times New Roman" w:eastAsia="Times New Roman" w:hAnsi="Times New Roman"/>
          <w:sz w:val="24"/>
          <w:szCs w:val="24"/>
          <w:lang w:eastAsia="pt-BR"/>
        </w:rPr>
        <w:t xml:space="preserve">the </w:t>
      </w:r>
      <w:r w:rsidRPr="00E639BA">
        <w:rPr>
          <w:rFonts w:ascii="Times New Roman" w:eastAsia="Times New Roman" w:hAnsi="Times New Roman"/>
          <w:sz w:val="24"/>
          <w:szCs w:val="24"/>
          <w:lang w:eastAsia="pt-BR"/>
        </w:rPr>
        <w:t>descriptive statistics. Section 4 presents the Oaxaca</w:t>
      </w:r>
      <w:r w:rsidR="000B70F9">
        <w:rPr>
          <w:rFonts w:ascii="Times New Roman" w:eastAsia="Times New Roman" w:hAnsi="Times New Roman"/>
          <w:sz w:val="24"/>
          <w:szCs w:val="24"/>
          <w:lang w:eastAsia="pt-BR"/>
        </w:rPr>
        <w:t>-Blinder</w:t>
      </w:r>
      <w:r w:rsidRPr="00E639BA">
        <w:rPr>
          <w:rFonts w:ascii="Times New Roman" w:eastAsia="Times New Roman" w:hAnsi="Times New Roman"/>
          <w:sz w:val="24"/>
          <w:szCs w:val="24"/>
          <w:lang w:eastAsia="pt-BR"/>
        </w:rPr>
        <w:t xml:space="preserve"> and Fortin, Lemieux and Firpo (</w:t>
      </w:r>
      <w:r w:rsidR="00FC42CC" w:rsidRPr="00E639BA">
        <w:rPr>
          <w:rFonts w:ascii="Times New Roman" w:eastAsia="Times New Roman" w:hAnsi="Times New Roman"/>
          <w:sz w:val="24"/>
          <w:szCs w:val="24"/>
          <w:lang w:eastAsia="pt-BR"/>
        </w:rPr>
        <w:t>2009</w:t>
      </w:r>
      <w:r w:rsidRPr="00E639BA">
        <w:rPr>
          <w:rFonts w:ascii="Times New Roman" w:eastAsia="Times New Roman" w:hAnsi="Times New Roman"/>
          <w:sz w:val="24"/>
          <w:szCs w:val="24"/>
          <w:lang w:eastAsia="pt-BR"/>
        </w:rPr>
        <w:t xml:space="preserve">) decomposition methods, whereas Section 5 reports </w:t>
      </w:r>
      <w:r w:rsidR="00FC42CC" w:rsidRPr="00E639BA">
        <w:rPr>
          <w:rFonts w:ascii="Times New Roman" w:eastAsia="Times New Roman" w:hAnsi="Times New Roman"/>
          <w:sz w:val="24"/>
          <w:szCs w:val="24"/>
          <w:lang w:eastAsia="pt-BR"/>
        </w:rPr>
        <w:t xml:space="preserve">and </w:t>
      </w:r>
      <w:r w:rsidR="00FC42CC" w:rsidRPr="00E639BA">
        <w:rPr>
          <w:rFonts w:ascii="Times New Roman" w:eastAsia="Times New Roman" w:hAnsi="Times New Roman"/>
          <w:sz w:val="24"/>
          <w:szCs w:val="24"/>
          <w:lang w:eastAsia="pt-BR"/>
        </w:rPr>
        <w:lastRenderedPageBreak/>
        <w:t xml:space="preserve">comments </w:t>
      </w:r>
      <w:r w:rsidR="0041723B" w:rsidRPr="00E639BA">
        <w:rPr>
          <w:rFonts w:ascii="Times New Roman" w:eastAsia="Times New Roman" w:hAnsi="Times New Roman"/>
          <w:sz w:val="24"/>
          <w:szCs w:val="24"/>
          <w:lang w:eastAsia="pt-BR"/>
        </w:rPr>
        <w:t xml:space="preserve">on </w:t>
      </w:r>
      <w:r w:rsidRPr="00E639BA">
        <w:rPr>
          <w:rFonts w:ascii="Times New Roman" w:eastAsia="Times New Roman" w:hAnsi="Times New Roman"/>
          <w:sz w:val="24"/>
          <w:szCs w:val="24"/>
          <w:lang w:eastAsia="pt-BR"/>
        </w:rPr>
        <w:t xml:space="preserve">the estimated results. Section 6 </w:t>
      </w:r>
      <w:r w:rsidR="0041723B" w:rsidRPr="00E639BA">
        <w:rPr>
          <w:rFonts w:ascii="Times New Roman" w:eastAsia="Times New Roman" w:hAnsi="Times New Roman"/>
          <w:sz w:val="24"/>
          <w:szCs w:val="24"/>
          <w:lang w:eastAsia="pt-BR"/>
        </w:rPr>
        <w:t xml:space="preserve">presents </w:t>
      </w:r>
      <w:r w:rsidRPr="00E639BA">
        <w:rPr>
          <w:rFonts w:ascii="Times New Roman" w:eastAsia="Times New Roman" w:hAnsi="Times New Roman"/>
          <w:sz w:val="24"/>
          <w:szCs w:val="24"/>
          <w:lang w:eastAsia="pt-BR"/>
        </w:rPr>
        <w:t>the main conclusions of the paper.</w:t>
      </w:r>
    </w:p>
    <w:p w:rsidR="002E13F4" w:rsidRPr="00E639BA" w:rsidRDefault="002E13F4" w:rsidP="00C17C6A">
      <w:pPr>
        <w:autoSpaceDE w:val="0"/>
        <w:autoSpaceDN w:val="0"/>
        <w:adjustRightInd w:val="0"/>
        <w:spacing w:line="240" w:lineRule="auto"/>
        <w:contextualSpacing/>
        <w:jc w:val="both"/>
        <w:rPr>
          <w:rFonts w:ascii="Times New Roman" w:eastAsia="Times New Roman" w:hAnsi="Times New Roman"/>
          <w:sz w:val="24"/>
          <w:szCs w:val="24"/>
          <w:lang w:eastAsia="pt-BR"/>
        </w:rPr>
      </w:pPr>
    </w:p>
    <w:p w:rsidR="005C45A3" w:rsidRPr="00E639BA" w:rsidRDefault="005C45A3" w:rsidP="00C17C6A">
      <w:pPr>
        <w:spacing w:line="240" w:lineRule="auto"/>
        <w:contextualSpacing/>
        <w:rPr>
          <w:rFonts w:ascii="Times New Roman" w:hAnsi="Times New Roman"/>
          <w:b/>
          <w:sz w:val="24"/>
          <w:szCs w:val="24"/>
        </w:rPr>
      </w:pPr>
      <w:r w:rsidRPr="00E639BA">
        <w:rPr>
          <w:rFonts w:ascii="Times New Roman" w:hAnsi="Times New Roman"/>
          <w:b/>
          <w:sz w:val="24"/>
          <w:szCs w:val="24"/>
        </w:rPr>
        <w:t>2 – Data</w:t>
      </w:r>
    </w:p>
    <w:p w:rsidR="005C45A3" w:rsidRPr="00E639BA" w:rsidRDefault="005C45A3" w:rsidP="00C17C6A">
      <w:pPr>
        <w:spacing w:line="240" w:lineRule="auto"/>
        <w:contextualSpacing/>
        <w:rPr>
          <w:rFonts w:ascii="Times New Roman" w:hAnsi="Times New Roman"/>
          <w:sz w:val="24"/>
          <w:szCs w:val="24"/>
        </w:rPr>
      </w:pPr>
    </w:p>
    <w:p w:rsidR="0062553C" w:rsidRPr="00E639BA" w:rsidRDefault="00E8523C"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The analysis in this paper uses</w:t>
      </w:r>
      <w:r w:rsidR="005C45A3" w:rsidRPr="00E639BA">
        <w:rPr>
          <w:rFonts w:ascii="Times New Roman" w:hAnsi="Times New Roman"/>
          <w:sz w:val="24"/>
          <w:szCs w:val="24"/>
        </w:rPr>
        <w:t xml:space="preserve"> data from the </w:t>
      </w:r>
      <w:r w:rsidR="00FB06BA" w:rsidRPr="00E639BA">
        <w:rPr>
          <w:rFonts w:ascii="Times New Roman" w:hAnsi="Times New Roman"/>
          <w:sz w:val="24"/>
          <w:szCs w:val="24"/>
        </w:rPr>
        <w:t xml:space="preserve">2000 and </w:t>
      </w:r>
      <w:r w:rsidR="005C45A3" w:rsidRPr="00E639BA">
        <w:rPr>
          <w:rFonts w:ascii="Times New Roman" w:hAnsi="Times New Roman"/>
          <w:sz w:val="24"/>
          <w:szCs w:val="24"/>
        </w:rPr>
        <w:t>2010 Census, conducted by IBGE (</w:t>
      </w:r>
      <w:r w:rsidR="005C45A3" w:rsidRPr="000B70F9">
        <w:rPr>
          <w:rFonts w:ascii="Times New Roman" w:hAnsi="Times New Roman"/>
          <w:i/>
          <w:sz w:val="24"/>
          <w:szCs w:val="24"/>
        </w:rPr>
        <w:t>Instituto Brasileiro de Geografia e Estatística</w:t>
      </w:r>
      <w:r w:rsidR="005C45A3" w:rsidRPr="00E639BA">
        <w:rPr>
          <w:rFonts w:ascii="Times New Roman" w:hAnsi="Times New Roman"/>
          <w:sz w:val="24"/>
          <w:szCs w:val="24"/>
        </w:rPr>
        <w:t xml:space="preserve">), the Brazilian Census </w:t>
      </w:r>
      <w:r w:rsidR="00A00725" w:rsidRPr="00E639BA">
        <w:rPr>
          <w:rFonts w:ascii="Times New Roman" w:hAnsi="Times New Roman"/>
          <w:sz w:val="24"/>
          <w:szCs w:val="24"/>
        </w:rPr>
        <w:t>Bureau. The 200</w:t>
      </w:r>
      <w:r w:rsidR="005C45A3" w:rsidRPr="00E639BA">
        <w:rPr>
          <w:rFonts w:ascii="Times New Roman" w:hAnsi="Times New Roman"/>
          <w:sz w:val="24"/>
          <w:szCs w:val="24"/>
        </w:rPr>
        <w:t xml:space="preserve">0 Census </w:t>
      </w:r>
      <w:r w:rsidR="00A00725" w:rsidRPr="00E639BA">
        <w:rPr>
          <w:rFonts w:ascii="Times New Roman" w:hAnsi="Times New Roman"/>
          <w:sz w:val="24"/>
          <w:szCs w:val="24"/>
        </w:rPr>
        <w:t xml:space="preserve">has information about </w:t>
      </w:r>
      <w:r w:rsidR="000871C7" w:rsidRPr="00E639BA">
        <w:rPr>
          <w:rFonts w:ascii="Times New Roman" w:hAnsi="Times New Roman"/>
          <w:sz w:val="24"/>
          <w:szCs w:val="24"/>
        </w:rPr>
        <w:t>more than 50</w:t>
      </w:r>
      <w:r w:rsidR="005C45A3" w:rsidRPr="00E639BA">
        <w:rPr>
          <w:rFonts w:ascii="Times New Roman" w:hAnsi="Times New Roman"/>
          <w:sz w:val="24"/>
          <w:szCs w:val="24"/>
        </w:rPr>
        <w:t xml:space="preserve"> million households in </w:t>
      </w:r>
      <w:r w:rsidR="000871C7" w:rsidRPr="00E639BA">
        <w:rPr>
          <w:rFonts w:ascii="Times New Roman" w:hAnsi="Times New Roman"/>
          <w:sz w:val="24"/>
          <w:szCs w:val="24"/>
        </w:rPr>
        <w:t xml:space="preserve">all </w:t>
      </w:r>
      <w:r w:rsidR="005C45A3" w:rsidRPr="00E639BA">
        <w:rPr>
          <w:rFonts w:ascii="Times New Roman" w:hAnsi="Times New Roman"/>
          <w:sz w:val="24"/>
          <w:szCs w:val="24"/>
        </w:rPr>
        <w:t>Brazilian municipalities</w:t>
      </w:r>
      <w:r w:rsidR="00D30CA5" w:rsidRPr="00E639BA">
        <w:rPr>
          <w:rFonts w:ascii="Times New Roman" w:hAnsi="Times New Roman"/>
          <w:sz w:val="24"/>
          <w:szCs w:val="24"/>
        </w:rPr>
        <w:t>, while the 2010 Census covers almost 70 million households in the</w:t>
      </w:r>
      <w:r w:rsidR="00A00725" w:rsidRPr="00E639BA">
        <w:rPr>
          <w:rFonts w:ascii="Times New Roman" w:hAnsi="Times New Roman"/>
          <w:sz w:val="24"/>
          <w:szCs w:val="24"/>
        </w:rPr>
        <w:t xml:space="preserve"> 5,565 Brazilian municipalities</w:t>
      </w:r>
      <w:r w:rsidR="005C45A3" w:rsidRPr="00E639BA">
        <w:rPr>
          <w:rFonts w:ascii="Times New Roman" w:hAnsi="Times New Roman"/>
          <w:sz w:val="24"/>
          <w:szCs w:val="24"/>
        </w:rPr>
        <w:t>. For a selected sample of the households, the survey conducts a more detailed questionnaire.</w:t>
      </w:r>
      <w:r w:rsidR="005C45A3" w:rsidRPr="00E639BA">
        <w:rPr>
          <w:rStyle w:val="Refdenotaderodap"/>
          <w:rFonts w:ascii="Times New Roman" w:hAnsi="Times New Roman"/>
          <w:sz w:val="24"/>
          <w:szCs w:val="24"/>
        </w:rPr>
        <w:footnoteReference w:id="3"/>
      </w:r>
      <w:r w:rsidR="005C45A3" w:rsidRPr="00E639BA">
        <w:rPr>
          <w:rFonts w:ascii="Times New Roman" w:hAnsi="Times New Roman"/>
          <w:sz w:val="24"/>
          <w:szCs w:val="24"/>
        </w:rPr>
        <w:t xml:space="preserve"> This </w:t>
      </w:r>
      <w:r w:rsidR="0062553C" w:rsidRPr="00E639BA">
        <w:rPr>
          <w:rFonts w:ascii="Times New Roman" w:hAnsi="Times New Roman"/>
          <w:sz w:val="24"/>
          <w:szCs w:val="24"/>
        </w:rPr>
        <w:t>study uses information from that</w:t>
      </w:r>
      <w:r w:rsidR="005C45A3" w:rsidRPr="00E639BA">
        <w:rPr>
          <w:rFonts w:ascii="Times New Roman" w:hAnsi="Times New Roman"/>
          <w:sz w:val="24"/>
          <w:szCs w:val="24"/>
        </w:rPr>
        <w:t xml:space="preserve"> selected sample of households, which correspond to around 11% of the total</w:t>
      </w:r>
      <w:r w:rsidR="00DC3A62" w:rsidRPr="00E639BA">
        <w:rPr>
          <w:rFonts w:ascii="Times New Roman" w:hAnsi="Times New Roman"/>
          <w:sz w:val="24"/>
          <w:szCs w:val="24"/>
        </w:rPr>
        <w:t xml:space="preserve"> in each of the two </w:t>
      </w:r>
      <w:r w:rsidR="00604A97" w:rsidRPr="00E639BA">
        <w:rPr>
          <w:rFonts w:ascii="Times New Roman" w:hAnsi="Times New Roman"/>
          <w:sz w:val="24"/>
          <w:szCs w:val="24"/>
        </w:rPr>
        <w:t xml:space="preserve">periods </w:t>
      </w:r>
      <w:r w:rsidR="00DC3A62" w:rsidRPr="00E639BA">
        <w:rPr>
          <w:rFonts w:ascii="Times New Roman" w:hAnsi="Times New Roman"/>
          <w:sz w:val="24"/>
          <w:szCs w:val="24"/>
        </w:rPr>
        <w:t>analyzed</w:t>
      </w:r>
      <w:r w:rsidR="005C45A3" w:rsidRPr="00E639BA">
        <w:rPr>
          <w:rFonts w:ascii="Times New Roman" w:hAnsi="Times New Roman"/>
          <w:sz w:val="24"/>
          <w:szCs w:val="24"/>
        </w:rPr>
        <w:t xml:space="preserve">.  </w:t>
      </w:r>
    </w:p>
    <w:p w:rsidR="00E51D89" w:rsidRPr="00E639BA" w:rsidRDefault="005C45A3"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hAnsi="Times New Roman"/>
          <w:sz w:val="24"/>
          <w:szCs w:val="24"/>
        </w:rPr>
        <w:t xml:space="preserve">The detailed questionnaire of the Census provides individual information about education, age, gender, race, employment status, labor earnings and occupation in the main job, and </w:t>
      </w:r>
      <w:r w:rsidR="0041723B" w:rsidRPr="00E639BA">
        <w:rPr>
          <w:rFonts w:ascii="Times New Roman" w:hAnsi="Times New Roman"/>
          <w:sz w:val="24"/>
          <w:szCs w:val="24"/>
        </w:rPr>
        <w:t xml:space="preserve">place </w:t>
      </w:r>
      <w:r w:rsidR="001435B7" w:rsidRPr="00E639BA">
        <w:rPr>
          <w:rFonts w:ascii="Times New Roman" w:hAnsi="Times New Roman"/>
          <w:sz w:val="24"/>
          <w:szCs w:val="24"/>
        </w:rPr>
        <w:t>of residence, among many other</w:t>
      </w:r>
      <w:r w:rsidR="00A4045E" w:rsidRPr="00E639BA">
        <w:rPr>
          <w:rFonts w:ascii="Times New Roman" w:hAnsi="Times New Roman"/>
          <w:sz w:val="24"/>
          <w:szCs w:val="24"/>
        </w:rPr>
        <w:t xml:space="preserve"> variables</w:t>
      </w:r>
      <w:r w:rsidRPr="00E639BA">
        <w:rPr>
          <w:rFonts w:ascii="Times New Roman" w:hAnsi="Times New Roman"/>
          <w:sz w:val="24"/>
          <w:szCs w:val="24"/>
        </w:rPr>
        <w:t xml:space="preserve">. </w:t>
      </w:r>
      <w:r w:rsidR="00E51D89" w:rsidRPr="00E639BA">
        <w:rPr>
          <w:rFonts w:ascii="Times New Roman" w:eastAsia="Times New Roman" w:hAnsi="Times New Roman"/>
          <w:sz w:val="24"/>
          <w:szCs w:val="24"/>
          <w:lang w:eastAsia="pt-BR"/>
        </w:rPr>
        <w:t>Based on the information about race, which is self-reported, the sample is divided into white and black workers, where individuals who reported themselves as black or colored are included in the latter group. Asian and indigenous are excluded.</w:t>
      </w:r>
      <w:r w:rsidR="00714531" w:rsidRPr="00E639BA">
        <w:rPr>
          <w:rFonts w:ascii="Times New Roman" w:hAnsi="Times New Roman"/>
          <w:sz w:val="24"/>
          <w:szCs w:val="24"/>
        </w:rPr>
        <w:t xml:space="preserve"> </w:t>
      </w:r>
      <w:r w:rsidRPr="00E639BA">
        <w:rPr>
          <w:rFonts w:ascii="Times New Roman" w:eastAsia="Times New Roman" w:hAnsi="Times New Roman"/>
          <w:sz w:val="24"/>
          <w:szCs w:val="24"/>
          <w:lang w:eastAsia="pt-BR"/>
        </w:rPr>
        <w:t xml:space="preserve">For individuals </w:t>
      </w:r>
      <w:r w:rsidR="008065A9" w:rsidRPr="00E639BA">
        <w:rPr>
          <w:rFonts w:ascii="Times New Roman" w:eastAsia="Times New Roman" w:hAnsi="Times New Roman"/>
          <w:sz w:val="24"/>
          <w:szCs w:val="24"/>
          <w:lang w:eastAsia="pt-BR"/>
        </w:rPr>
        <w:t>who completed tertiary education</w:t>
      </w:r>
      <w:r w:rsidRPr="00E639BA">
        <w:rPr>
          <w:rFonts w:ascii="Times New Roman" w:eastAsia="Times New Roman" w:hAnsi="Times New Roman"/>
          <w:sz w:val="24"/>
          <w:szCs w:val="24"/>
          <w:lang w:eastAsia="pt-BR"/>
        </w:rPr>
        <w:t xml:space="preserve">, </w:t>
      </w:r>
      <w:r w:rsidR="00D43288" w:rsidRPr="00E639BA">
        <w:rPr>
          <w:rFonts w:ascii="Times New Roman" w:eastAsia="Times New Roman" w:hAnsi="Times New Roman"/>
          <w:sz w:val="24"/>
          <w:szCs w:val="24"/>
          <w:lang w:eastAsia="pt-BR"/>
        </w:rPr>
        <w:t xml:space="preserve">the </w:t>
      </w:r>
      <w:r w:rsidR="009D0287" w:rsidRPr="00E639BA">
        <w:rPr>
          <w:rFonts w:ascii="Times New Roman" w:eastAsia="Times New Roman" w:hAnsi="Times New Roman"/>
          <w:sz w:val="24"/>
          <w:szCs w:val="24"/>
          <w:lang w:eastAsia="pt-BR"/>
        </w:rPr>
        <w:t>C</w:t>
      </w:r>
      <w:r w:rsidR="00DF06CE" w:rsidRPr="00E639BA">
        <w:rPr>
          <w:rFonts w:ascii="Times New Roman" w:eastAsia="Times New Roman" w:hAnsi="Times New Roman"/>
          <w:sz w:val="24"/>
          <w:szCs w:val="24"/>
          <w:lang w:eastAsia="pt-BR"/>
        </w:rPr>
        <w:t xml:space="preserve">ensus </w:t>
      </w:r>
      <w:r w:rsidRPr="00E639BA">
        <w:rPr>
          <w:rFonts w:ascii="Times New Roman" w:eastAsia="Times New Roman" w:hAnsi="Times New Roman"/>
          <w:sz w:val="24"/>
          <w:szCs w:val="24"/>
          <w:lang w:eastAsia="pt-BR"/>
        </w:rPr>
        <w:t>has informat</w:t>
      </w:r>
      <w:r w:rsidR="008065A9" w:rsidRPr="00E639BA">
        <w:rPr>
          <w:rFonts w:ascii="Times New Roman" w:eastAsia="Times New Roman" w:hAnsi="Times New Roman"/>
          <w:sz w:val="24"/>
          <w:szCs w:val="24"/>
          <w:lang w:eastAsia="pt-BR"/>
        </w:rPr>
        <w:t xml:space="preserve">ion about their fields of study. However, </w:t>
      </w:r>
      <w:r w:rsidR="00AC3A2A" w:rsidRPr="00E639BA">
        <w:rPr>
          <w:rFonts w:ascii="Times New Roman" w:eastAsia="Times New Roman" w:hAnsi="Times New Roman"/>
          <w:sz w:val="24"/>
          <w:szCs w:val="24"/>
          <w:lang w:eastAsia="pt-BR"/>
        </w:rPr>
        <w:t>the</w:t>
      </w:r>
      <w:r w:rsidRPr="00E639BA">
        <w:rPr>
          <w:rFonts w:ascii="Times New Roman" w:eastAsia="Times New Roman" w:hAnsi="Times New Roman"/>
          <w:sz w:val="24"/>
          <w:szCs w:val="24"/>
          <w:lang w:eastAsia="pt-BR"/>
        </w:rPr>
        <w:t xml:space="preserve"> </w:t>
      </w:r>
      <w:r w:rsidR="00AC3A2A" w:rsidRPr="00E639BA">
        <w:rPr>
          <w:rFonts w:ascii="Times New Roman" w:eastAsia="Times New Roman" w:hAnsi="Times New Roman"/>
          <w:sz w:val="24"/>
          <w:szCs w:val="24"/>
          <w:lang w:eastAsia="pt-BR"/>
        </w:rPr>
        <w:t>classification system</w:t>
      </w:r>
      <w:r w:rsidR="00DF06CE" w:rsidRPr="00E639BA">
        <w:rPr>
          <w:rFonts w:ascii="Times New Roman" w:eastAsia="Times New Roman" w:hAnsi="Times New Roman"/>
          <w:sz w:val="24"/>
          <w:szCs w:val="24"/>
          <w:lang w:eastAsia="pt-BR"/>
        </w:rPr>
        <w:t xml:space="preserve"> </w:t>
      </w:r>
      <w:r w:rsidR="00AC3A2A" w:rsidRPr="00E639BA">
        <w:rPr>
          <w:rFonts w:ascii="Times New Roman" w:eastAsia="Times New Roman" w:hAnsi="Times New Roman"/>
          <w:sz w:val="24"/>
          <w:szCs w:val="24"/>
          <w:lang w:eastAsia="pt-BR"/>
        </w:rPr>
        <w:t xml:space="preserve">in 2000 is not the same as that in 2010. </w:t>
      </w:r>
      <w:r w:rsidR="00443E0D" w:rsidRPr="00E639BA">
        <w:rPr>
          <w:rFonts w:ascii="Times New Roman" w:eastAsia="Times New Roman" w:hAnsi="Times New Roman"/>
          <w:sz w:val="24"/>
          <w:szCs w:val="24"/>
          <w:lang w:eastAsia="pt-BR"/>
        </w:rPr>
        <w:t xml:space="preserve">The appendix </w:t>
      </w:r>
      <w:r w:rsidR="000A0112">
        <w:rPr>
          <w:rFonts w:ascii="Times New Roman" w:eastAsia="Times New Roman" w:hAnsi="Times New Roman"/>
          <w:sz w:val="24"/>
          <w:szCs w:val="24"/>
          <w:lang w:eastAsia="pt-BR"/>
        </w:rPr>
        <w:t xml:space="preserve">A </w:t>
      </w:r>
      <w:r w:rsidR="00443E0D" w:rsidRPr="00E639BA">
        <w:rPr>
          <w:rFonts w:ascii="Times New Roman" w:eastAsia="Times New Roman" w:hAnsi="Times New Roman"/>
          <w:sz w:val="24"/>
          <w:szCs w:val="24"/>
          <w:lang w:eastAsia="pt-BR"/>
        </w:rPr>
        <w:t xml:space="preserve">describes how codes </w:t>
      </w:r>
      <w:r w:rsidR="009D0287" w:rsidRPr="00E639BA">
        <w:rPr>
          <w:rFonts w:ascii="Times New Roman" w:eastAsia="Times New Roman" w:hAnsi="Times New Roman"/>
          <w:sz w:val="24"/>
          <w:szCs w:val="24"/>
          <w:lang w:eastAsia="pt-BR"/>
        </w:rPr>
        <w:t>from different C</w:t>
      </w:r>
      <w:r w:rsidR="008065A9" w:rsidRPr="00E639BA">
        <w:rPr>
          <w:rFonts w:ascii="Times New Roman" w:eastAsia="Times New Roman" w:hAnsi="Times New Roman"/>
          <w:sz w:val="24"/>
          <w:szCs w:val="24"/>
          <w:lang w:eastAsia="pt-BR"/>
        </w:rPr>
        <w:t xml:space="preserve">ensus years </w:t>
      </w:r>
      <w:r w:rsidR="00443E0D" w:rsidRPr="00E639BA">
        <w:rPr>
          <w:rFonts w:ascii="Times New Roman" w:eastAsia="Times New Roman" w:hAnsi="Times New Roman"/>
          <w:sz w:val="24"/>
          <w:szCs w:val="24"/>
          <w:lang w:eastAsia="pt-BR"/>
        </w:rPr>
        <w:t>are matched</w:t>
      </w:r>
      <w:r w:rsidR="008065A9" w:rsidRPr="00E639BA">
        <w:rPr>
          <w:rFonts w:ascii="Times New Roman" w:eastAsia="Times New Roman" w:hAnsi="Times New Roman"/>
          <w:sz w:val="24"/>
          <w:szCs w:val="24"/>
          <w:lang w:eastAsia="pt-BR"/>
        </w:rPr>
        <w:t xml:space="preserve"> in this paper. As also shown in the appendix, the detailed categories for fields of study are aggregated into 10 broader</w:t>
      </w:r>
      <w:r w:rsidR="00443E0D" w:rsidRPr="00E639BA">
        <w:rPr>
          <w:rFonts w:ascii="Times New Roman" w:eastAsia="Times New Roman" w:hAnsi="Times New Roman"/>
          <w:sz w:val="24"/>
          <w:szCs w:val="24"/>
          <w:lang w:eastAsia="pt-BR"/>
        </w:rPr>
        <w:t xml:space="preserve"> groups</w:t>
      </w:r>
      <w:r w:rsidR="00714531" w:rsidRPr="00E639BA">
        <w:rPr>
          <w:rFonts w:ascii="Times New Roman" w:eastAsia="Times New Roman" w:hAnsi="Times New Roman"/>
          <w:sz w:val="24"/>
          <w:szCs w:val="24"/>
          <w:lang w:eastAsia="pt-BR"/>
        </w:rPr>
        <w:t>,</w:t>
      </w:r>
      <w:r w:rsidR="00443E0D" w:rsidRPr="00E639BA">
        <w:rPr>
          <w:rFonts w:ascii="Times New Roman" w:eastAsia="Times New Roman" w:hAnsi="Times New Roman"/>
          <w:sz w:val="24"/>
          <w:szCs w:val="24"/>
          <w:lang w:eastAsia="pt-BR"/>
        </w:rPr>
        <w:t xml:space="preserve"> which are used in most of the analysis</w:t>
      </w:r>
      <w:r w:rsidR="008065A9" w:rsidRPr="00E639BA">
        <w:rPr>
          <w:rFonts w:ascii="Times New Roman" w:eastAsia="Times New Roman" w:hAnsi="Times New Roman"/>
          <w:sz w:val="24"/>
          <w:szCs w:val="24"/>
          <w:lang w:eastAsia="pt-BR"/>
        </w:rPr>
        <w:t xml:space="preserve"> presented here</w:t>
      </w:r>
      <w:r w:rsidR="00443E0D" w:rsidRPr="00E639BA">
        <w:rPr>
          <w:rFonts w:ascii="Times New Roman" w:eastAsia="Times New Roman" w:hAnsi="Times New Roman"/>
          <w:sz w:val="24"/>
          <w:szCs w:val="24"/>
          <w:lang w:eastAsia="pt-BR"/>
        </w:rPr>
        <w:t>.</w:t>
      </w:r>
      <w:r w:rsidR="00714531" w:rsidRPr="00E639BA">
        <w:rPr>
          <w:rFonts w:ascii="Times New Roman" w:eastAsia="Times New Roman" w:hAnsi="Times New Roman"/>
          <w:sz w:val="24"/>
          <w:szCs w:val="24"/>
          <w:lang w:eastAsia="pt-BR"/>
        </w:rPr>
        <w:t xml:space="preserve"> </w:t>
      </w:r>
      <w:r w:rsidR="00CC6D1B" w:rsidRPr="00E639BA">
        <w:rPr>
          <w:rFonts w:ascii="Times New Roman" w:eastAsia="Times New Roman" w:hAnsi="Times New Roman"/>
          <w:sz w:val="24"/>
          <w:szCs w:val="24"/>
          <w:lang w:eastAsia="pt-BR"/>
        </w:rPr>
        <w:t xml:space="preserve">The </w:t>
      </w:r>
      <w:r w:rsidR="00714531" w:rsidRPr="00E639BA">
        <w:rPr>
          <w:rFonts w:ascii="Times New Roman" w:eastAsia="Times New Roman" w:hAnsi="Times New Roman"/>
          <w:sz w:val="24"/>
          <w:szCs w:val="24"/>
          <w:lang w:eastAsia="pt-BR"/>
        </w:rPr>
        <w:t>Census questionnaire also allows</w:t>
      </w:r>
      <w:r w:rsidR="00A4045E" w:rsidRPr="00E639BA">
        <w:rPr>
          <w:rFonts w:ascii="Times New Roman" w:eastAsia="Times New Roman" w:hAnsi="Times New Roman"/>
          <w:sz w:val="24"/>
          <w:szCs w:val="24"/>
          <w:lang w:eastAsia="pt-BR"/>
        </w:rPr>
        <w:t xml:space="preserve"> identify</w:t>
      </w:r>
      <w:r w:rsidR="00714531" w:rsidRPr="00E639BA">
        <w:rPr>
          <w:rFonts w:ascii="Times New Roman" w:eastAsia="Times New Roman" w:hAnsi="Times New Roman"/>
          <w:sz w:val="24"/>
          <w:szCs w:val="24"/>
          <w:lang w:eastAsia="pt-BR"/>
        </w:rPr>
        <w:t>ing</w:t>
      </w:r>
      <w:r w:rsidR="00A4045E" w:rsidRPr="00E639BA">
        <w:rPr>
          <w:rFonts w:ascii="Times New Roman" w:eastAsia="Times New Roman" w:hAnsi="Times New Roman"/>
          <w:sz w:val="24"/>
          <w:szCs w:val="24"/>
          <w:lang w:eastAsia="pt-BR"/>
        </w:rPr>
        <w:t xml:space="preserve"> whether an individual has a graduate degree</w:t>
      </w:r>
      <w:r w:rsidR="009D0287" w:rsidRPr="00E639BA">
        <w:rPr>
          <w:rFonts w:ascii="Times New Roman" w:eastAsia="Times New Roman" w:hAnsi="Times New Roman"/>
          <w:sz w:val="24"/>
          <w:szCs w:val="24"/>
          <w:lang w:eastAsia="pt-BR"/>
        </w:rPr>
        <w:t xml:space="preserve">, although the 2000 </w:t>
      </w:r>
      <w:r w:rsidR="001D0539" w:rsidRPr="00E639BA">
        <w:rPr>
          <w:rFonts w:ascii="Times New Roman" w:eastAsia="Times New Roman" w:hAnsi="Times New Roman"/>
          <w:sz w:val="24"/>
          <w:szCs w:val="24"/>
          <w:lang w:eastAsia="pt-BR"/>
        </w:rPr>
        <w:t xml:space="preserve">survey </w:t>
      </w:r>
      <w:r w:rsidR="009D0287" w:rsidRPr="00E639BA">
        <w:rPr>
          <w:rFonts w:ascii="Times New Roman" w:eastAsia="Times New Roman" w:hAnsi="Times New Roman"/>
          <w:sz w:val="24"/>
          <w:szCs w:val="24"/>
          <w:lang w:eastAsia="pt-BR"/>
        </w:rPr>
        <w:t xml:space="preserve">does not distinguish between </w:t>
      </w:r>
      <w:proofErr w:type="gramStart"/>
      <w:r w:rsidR="00CC6D1B" w:rsidRPr="00E639BA">
        <w:rPr>
          <w:rFonts w:ascii="Times New Roman" w:eastAsia="Times New Roman" w:hAnsi="Times New Roman"/>
          <w:sz w:val="24"/>
          <w:szCs w:val="24"/>
          <w:lang w:eastAsia="pt-BR"/>
        </w:rPr>
        <w:t>m</w:t>
      </w:r>
      <w:r w:rsidR="009D0287" w:rsidRPr="00E639BA">
        <w:rPr>
          <w:rFonts w:ascii="Times New Roman" w:eastAsia="Times New Roman" w:hAnsi="Times New Roman"/>
          <w:sz w:val="24"/>
          <w:szCs w:val="24"/>
          <w:lang w:eastAsia="pt-BR"/>
        </w:rPr>
        <w:t>aster</w:t>
      </w:r>
      <w:r w:rsidR="00CC6D1B" w:rsidRPr="00E639BA">
        <w:rPr>
          <w:rFonts w:ascii="Times New Roman" w:eastAsia="Times New Roman" w:hAnsi="Times New Roman"/>
          <w:sz w:val="24"/>
          <w:szCs w:val="24"/>
          <w:lang w:eastAsia="pt-BR"/>
        </w:rPr>
        <w:t>’s</w:t>
      </w:r>
      <w:proofErr w:type="gramEnd"/>
      <w:r w:rsidR="009D0287" w:rsidRPr="00E639BA">
        <w:rPr>
          <w:rFonts w:ascii="Times New Roman" w:eastAsia="Times New Roman" w:hAnsi="Times New Roman"/>
          <w:sz w:val="24"/>
          <w:szCs w:val="24"/>
          <w:lang w:eastAsia="pt-BR"/>
        </w:rPr>
        <w:t xml:space="preserve"> and </w:t>
      </w:r>
      <w:r w:rsidR="00CC6D1B" w:rsidRPr="00E639BA">
        <w:rPr>
          <w:rFonts w:ascii="Times New Roman" w:eastAsia="Times New Roman" w:hAnsi="Times New Roman"/>
          <w:sz w:val="24"/>
          <w:szCs w:val="24"/>
          <w:lang w:eastAsia="pt-BR"/>
        </w:rPr>
        <w:t>d</w:t>
      </w:r>
      <w:r w:rsidR="009D0287" w:rsidRPr="00E639BA">
        <w:rPr>
          <w:rFonts w:ascii="Times New Roman" w:eastAsia="Times New Roman" w:hAnsi="Times New Roman"/>
          <w:sz w:val="24"/>
          <w:szCs w:val="24"/>
          <w:lang w:eastAsia="pt-BR"/>
        </w:rPr>
        <w:t xml:space="preserve">octoral degrees. In both periods, fields of study </w:t>
      </w:r>
      <w:r w:rsidR="00CC6D1B" w:rsidRPr="00E639BA">
        <w:rPr>
          <w:rFonts w:ascii="Times New Roman" w:eastAsia="Times New Roman" w:hAnsi="Times New Roman"/>
          <w:sz w:val="24"/>
          <w:szCs w:val="24"/>
          <w:lang w:eastAsia="pt-BR"/>
        </w:rPr>
        <w:t>refer</w:t>
      </w:r>
      <w:r w:rsidR="009D0287" w:rsidRPr="00E639BA">
        <w:rPr>
          <w:rFonts w:ascii="Times New Roman" w:eastAsia="Times New Roman" w:hAnsi="Times New Roman"/>
          <w:sz w:val="24"/>
          <w:szCs w:val="24"/>
          <w:lang w:eastAsia="pt-BR"/>
        </w:rPr>
        <w:t xml:space="preserve"> to the individuals’ highest degree</w:t>
      </w:r>
      <w:r w:rsidR="00CC6D1B" w:rsidRPr="00E639BA">
        <w:rPr>
          <w:rFonts w:ascii="Times New Roman" w:eastAsia="Times New Roman" w:hAnsi="Times New Roman"/>
          <w:sz w:val="24"/>
          <w:szCs w:val="24"/>
          <w:lang w:eastAsia="pt-BR"/>
        </w:rPr>
        <w:t>s</w:t>
      </w:r>
      <w:r w:rsidR="009D0287" w:rsidRPr="00E639BA">
        <w:rPr>
          <w:rFonts w:ascii="Times New Roman" w:eastAsia="Times New Roman" w:hAnsi="Times New Roman"/>
          <w:sz w:val="24"/>
          <w:szCs w:val="24"/>
          <w:lang w:eastAsia="pt-BR"/>
        </w:rPr>
        <w:t>.</w:t>
      </w:r>
    </w:p>
    <w:p w:rsidR="00F6071F" w:rsidRPr="00E639BA" w:rsidRDefault="005C45A3"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Making use of the </w:t>
      </w:r>
      <w:r w:rsidR="00B92EB9" w:rsidRPr="00E639BA">
        <w:rPr>
          <w:rFonts w:ascii="Times New Roman" w:eastAsia="Times New Roman" w:hAnsi="Times New Roman"/>
          <w:sz w:val="24"/>
          <w:szCs w:val="24"/>
          <w:lang w:eastAsia="pt-BR"/>
        </w:rPr>
        <w:t xml:space="preserve">descriptions of </w:t>
      </w:r>
      <w:r w:rsidRPr="00E639BA">
        <w:rPr>
          <w:rFonts w:ascii="Times New Roman" w:eastAsia="Times New Roman" w:hAnsi="Times New Roman"/>
          <w:sz w:val="24"/>
          <w:szCs w:val="24"/>
          <w:lang w:eastAsia="pt-BR"/>
        </w:rPr>
        <w:t xml:space="preserve">occupations provided by the Brazilian Labor Ministry (Classificação Brasileira de Ocupações, MTE, 2010), </w:t>
      </w:r>
      <w:r w:rsidR="00C8614F" w:rsidRPr="00E639BA">
        <w:rPr>
          <w:rFonts w:ascii="Times New Roman" w:eastAsia="Times New Roman" w:hAnsi="Times New Roman"/>
          <w:sz w:val="24"/>
          <w:szCs w:val="24"/>
          <w:lang w:eastAsia="pt-BR"/>
        </w:rPr>
        <w:t xml:space="preserve">each </w:t>
      </w:r>
      <w:r w:rsidRPr="00E639BA">
        <w:rPr>
          <w:rFonts w:ascii="Times New Roman" w:eastAsia="Times New Roman" w:hAnsi="Times New Roman"/>
          <w:sz w:val="24"/>
          <w:szCs w:val="24"/>
          <w:lang w:eastAsia="pt-BR"/>
        </w:rPr>
        <w:t>field of study</w:t>
      </w:r>
      <w:r w:rsidR="00C8614F" w:rsidRPr="00E639BA">
        <w:rPr>
          <w:rFonts w:ascii="Times New Roman" w:eastAsia="Times New Roman" w:hAnsi="Times New Roman"/>
          <w:sz w:val="24"/>
          <w:szCs w:val="24"/>
          <w:lang w:eastAsia="pt-BR"/>
        </w:rPr>
        <w:t xml:space="preserve"> is associated with</w:t>
      </w:r>
      <w:r w:rsidRPr="00E639BA">
        <w:rPr>
          <w:rFonts w:ascii="Times New Roman" w:eastAsia="Times New Roman" w:hAnsi="Times New Roman"/>
          <w:sz w:val="24"/>
          <w:szCs w:val="24"/>
          <w:lang w:eastAsia="pt-BR"/>
        </w:rPr>
        <w:t xml:space="preserve"> </w:t>
      </w:r>
      <w:r w:rsidR="00C8614F" w:rsidRPr="00E639BA">
        <w:rPr>
          <w:rFonts w:ascii="Times New Roman" w:eastAsia="Times New Roman" w:hAnsi="Times New Roman"/>
          <w:sz w:val="24"/>
          <w:szCs w:val="24"/>
          <w:lang w:eastAsia="pt-BR"/>
        </w:rPr>
        <w:t xml:space="preserve">one or more </w:t>
      </w:r>
      <w:r w:rsidRPr="00E639BA">
        <w:rPr>
          <w:rFonts w:ascii="Times New Roman" w:eastAsia="Times New Roman" w:hAnsi="Times New Roman"/>
          <w:sz w:val="24"/>
          <w:szCs w:val="24"/>
          <w:lang w:eastAsia="pt-BR"/>
        </w:rPr>
        <w:t>occupation</w:t>
      </w:r>
      <w:r w:rsidR="00F517B4" w:rsidRPr="00E639BA">
        <w:rPr>
          <w:rFonts w:ascii="Times New Roman" w:eastAsia="Times New Roman" w:hAnsi="Times New Roman"/>
          <w:sz w:val="24"/>
          <w:szCs w:val="24"/>
          <w:lang w:eastAsia="pt-BR"/>
        </w:rPr>
        <w:t>s, which are defined at the 4-digit level</w:t>
      </w:r>
      <w:r w:rsidR="00C8614F" w:rsidRPr="00E639BA">
        <w:rPr>
          <w:rFonts w:ascii="Times New Roman" w:eastAsia="Times New Roman" w:hAnsi="Times New Roman"/>
          <w:sz w:val="24"/>
          <w:szCs w:val="24"/>
          <w:lang w:eastAsia="pt-BR"/>
        </w:rPr>
        <w:t>.</w:t>
      </w:r>
      <w:r w:rsidR="00F6003D" w:rsidRPr="00E639BA">
        <w:rPr>
          <w:rFonts w:ascii="Times New Roman" w:eastAsia="Times New Roman" w:hAnsi="Times New Roman"/>
          <w:sz w:val="24"/>
          <w:szCs w:val="24"/>
          <w:lang w:eastAsia="pt-BR"/>
        </w:rPr>
        <w:t xml:space="preserve"> </w:t>
      </w:r>
      <w:r w:rsidR="00A73880">
        <w:rPr>
          <w:rFonts w:ascii="Times New Roman" w:eastAsia="Times New Roman" w:hAnsi="Times New Roman"/>
          <w:sz w:val="24"/>
          <w:szCs w:val="24"/>
          <w:lang w:eastAsia="pt-BR"/>
        </w:rPr>
        <w:t xml:space="preserve">In 2000, individuals with tertiary education are distributed across 493 occupations, of which 104 </w:t>
      </w:r>
      <w:r w:rsidR="00181454">
        <w:rPr>
          <w:rFonts w:ascii="Times New Roman" w:eastAsia="Times New Roman" w:hAnsi="Times New Roman"/>
          <w:sz w:val="24"/>
          <w:szCs w:val="24"/>
          <w:lang w:eastAsia="pt-BR"/>
        </w:rPr>
        <w:t xml:space="preserve">are in the groups of </w:t>
      </w:r>
      <w:r w:rsidR="00A73880">
        <w:rPr>
          <w:rFonts w:ascii="Times New Roman" w:eastAsia="Times New Roman" w:hAnsi="Times New Roman"/>
          <w:sz w:val="24"/>
          <w:szCs w:val="24"/>
          <w:lang w:eastAsia="pt-BR"/>
        </w:rPr>
        <w:t>managers and professionals.</w:t>
      </w:r>
      <w:r w:rsidR="00181454">
        <w:rPr>
          <w:rFonts w:ascii="Times New Roman" w:eastAsia="Times New Roman" w:hAnsi="Times New Roman"/>
          <w:sz w:val="24"/>
          <w:szCs w:val="24"/>
          <w:lang w:eastAsia="pt-BR"/>
        </w:rPr>
        <w:t xml:space="preserve"> In 2010,</w:t>
      </w:r>
      <w:r w:rsidR="00817D09">
        <w:rPr>
          <w:rFonts w:ascii="Times New Roman" w:eastAsia="Times New Roman" w:hAnsi="Times New Roman"/>
          <w:sz w:val="24"/>
          <w:szCs w:val="24"/>
          <w:lang w:eastAsia="pt-BR"/>
        </w:rPr>
        <w:t xml:space="preserve"> individuals in the sample</w:t>
      </w:r>
      <w:r w:rsidR="00181454">
        <w:rPr>
          <w:rFonts w:ascii="Times New Roman" w:eastAsia="Times New Roman" w:hAnsi="Times New Roman"/>
          <w:sz w:val="24"/>
          <w:szCs w:val="24"/>
          <w:lang w:eastAsia="pt-BR"/>
        </w:rPr>
        <w:t xml:space="preserve"> are distributed into 433 occupations</w:t>
      </w:r>
      <w:r w:rsidR="00817D09">
        <w:rPr>
          <w:rFonts w:ascii="Times New Roman" w:eastAsia="Times New Roman" w:hAnsi="Times New Roman"/>
          <w:sz w:val="24"/>
          <w:szCs w:val="24"/>
          <w:lang w:eastAsia="pt-BR"/>
        </w:rPr>
        <w:t xml:space="preserve">, </w:t>
      </w:r>
      <w:r w:rsidR="00181454">
        <w:rPr>
          <w:rFonts w:ascii="Times New Roman" w:eastAsia="Times New Roman" w:hAnsi="Times New Roman"/>
          <w:sz w:val="24"/>
          <w:szCs w:val="24"/>
          <w:lang w:eastAsia="pt-BR"/>
        </w:rPr>
        <w:t>of which 133 refer to</w:t>
      </w:r>
      <w:r w:rsidR="00817D09">
        <w:rPr>
          <w:rFonts w:ascii="Times New Roman" w:eastAsia="Times New Roman" w:hAnsi="Times New Roman"/>
          <w:sz w:val="24"/>
          <w:szCs w:val="24"/>
          <w:lang w:eastAsia="pt-BR"/>
        </w:rPr>
        <w:t xml:space="preserve"> managers or </w:t>
      </w:r>
      <w:r w:rsidR="00181454">
        <w:rPr>
          <w:rFonts w:ascii="Times New Roman" w:eastAsia="Times New Roman" w:hAnsi="Times New Roman"/>
          <w:sz w:val="24"/>
          <w:szCs w:val="24"/>
          <w:lang w:eastAsia="pt-BR"/>
        </w:rPr>
        <w:t>professionals’ occupational groups</w:t>
      </w:r>
      <w:r w:rsidR="00817D09">
        <w:rPr>
          <w:rFonts w:ascii="Times New Roman" w:eastAsia="Times New Roman" w:hAnsi="Times New Roman"/>
          <w:sz w:val="24"/>
          <w:szCs w:val="24"/>
          <w:lang w:eastAsia="pt-BR"/>
        </w:rPr>
        <w:t xml:space="preserve">. Each field of study in columns (1) and (2) of Table A.1 is matched to at least one occupation in managers and professionals categories. </w:t>
      </w:r>
      <w:r w:rsidR="007E049F" w:rsidRPr="007E049F">
        <w:rPr>
          <w:rFonts w:ascii="Times New Roman" w:eastAsia="Times New Roman" w:hAnsi="Times New Roman"/>
          <w:sz w:val="24"/>
          <w:szCs w:val="24"/>
          <w:lang w:eastAsia="pt-BR"/>
        </w:rPr>
        <w:t xml:space="preserve">Individuals with a bachelor’s degree </w:t>
      </w:r>
      <w:r w:rsidR="0061587A">
        <w:rPr>
          <w:rFonts w:ascii="Times New Roman" w:eastAsia="Times New Roman" w:hAnsi="Times New Roman"/>
          <w:sz w:val="24"/>
          <w:szCs w:val="24"/>
          <w:lang w:eastAsia="pt-BR"/>
        </w:rPr>
        <w:t xml:space="preserve">working </w:t>
      </w:r>
      <w:r w:rsidR="007E049F" w:rsidRPr="007E049F">
        <w:rPr>
          <w:rFonts w:ascii="Times New Roman" w:eastAsia="Times New Roman" w:hAnsi="Times New Roman"/>
          <w:sz w:val="24"/>
          <w:szCs w:val="24"/>
          <w:lang w:eastAsia="pt-BR"/>
        </w:rPr>
        <w:t xml:space="preserve">in </w:t>
      </w:r>
      <w:r w:rsidR="007E049F" w:rsidRPr="007E049F">
        <w:rPr>
          <w:rFonts w:ascii="Times New Roman" w:eastAsia="Times New Roman" w:hAnsi="Times New Roman"/>
          <w:sz w:val="24"/>
          <w:szCs w:val="24"/>
          <w:lang w:eastAsia="x-none"/>
        </w:rPr>
        <w:t>technical, sales, service and administrative support occupations, farming, forestry, and fishing occupations, as operators, manufacturers, and laborers, or in precision production, craft, and repair</w:t>
      </w:r>
      <w:r w:rsidR="007E049F">
        <w:rPr>
          <w:rFonts w:ascii="Times New Roman" w:eastAsia="Times New Roman" w:hAnsi="Times New Roman"/>
          <w:sz w:val="24"/>
          <w:szCs w:val="24"/>
          <w:lang w:eastAsia="x-none"/>
        </w:rPr>
        <w:t xml:space="preserve"> are classified as having an</w:t>
      </w:r>
      <w:r w:rsidR="007E049F" w:rsidRPr="007E049F">
        <w:rPr>
          <w:rFonts w:ascii="Times New Roman" w:eastAsia="Times New Roman" w:hAnsi="Times New Roman"/>
          <w:sz w:val="24"/>
          <w:szCs w:val="24"/>
          <w:lang w:eastAsia="x-none"/>
        </w:rPr>
        <w:t xml:space="preserve"> o</w:t>
      </w:r>
      <w:r w:rsidR="007E049F">
        <w:rPr>
          <w:rFonts w:ascii="Times New Roman" w:eastAsia="Times New Roman" w:hAnsi="Times New Roman"/>
          <w:sz w:val="24"/>
          <w:szCs w:val="24"/>
          <w:lang w:eastAsia="x-none"/>
        </w:rPr>
        <w:t xml:space="preserve">ccupation </w:t>
      </w:r>
      <w:r w:rsidR="007E049F" w:rsidRPr="007E049F">
        <w:rPr>
          <w:rFonts w:ascii="Times New Roman" w:eastAsia="Times New Roman" w:hAnsi="Times New Roman"/>
          <w:sz w:val="24"/>
          <w:szCs w:val="24"/>
          <w:lang w:eastAsia="pt-BR"/>
        </w:rPr>
        <w:t>that do</w:t>
      </w:r>
      <w:r w:rsidR="007E049F">
        <w:rPr>
          <w:rFonts w:ascii="Times New Roman" w:eastAsia="Times New Roman" w:hAnsi="Times New Roman"/>
          <w:sz w:val="24"/>
          <w:szCs w:val="24"/>
          <w:lang w:eastAsia="pt-BR"/>
        </w:rPr>
        <w:t>es</w:t>
      </w:r>
      <w:r w:rsidR="007E049F" w:rsidRPr="007E049F">
        <w:rPr>
          <w:rFonts w:ascii="Times New Roman" w:eastAsia="Times New Roman" w:hAnsi="Times New Roman"/>
          <w:sz w:val="24"/>
          <w:szCs w:val="24"/>
          <w:lang w:eastAsia="pt-BR"/>
        </w:rPr>
        <w:t xml:space="preserve"> not require th</w:t>
      </w:r>
      <w:r w:rsidR="007E049F">
        <w:rPr>
          <w:rFonts w:ascii="Times New Roman" w:eastAsia="Times New Roman" w:hAnsi="Times New Roman"/>
          <w:sz w:val="24"/>
          <w:szCs w:val="24"/>
          <w:lang w:eastAsia="pt-BR"/>
        </w:rPr>
        <w:t>i</w:t>
      </w:r>
      <w:r w:rsidR="00181454">
        <w:rPr>
          <w:rFonts w:ascii="Times New Roman" w:eastAsia="Times New Roman" w:hAnsi="Times New Roman"/>
          <w:sz w:val="24"/>
          <w:szCs w:val="24"/>
          <w:lang w:eastAsia="pt-BR"/>
        </w:rPr>
        <w:t>s</w:t>
      </w:r>
      <w:r w:rsidR="007E049F" w:rsidRPr="007E049F">
        <w:rPr>
          <w:rFonts w:ascii="Times New Roman" w:eastAsia="Times New Roman" w:hAnsi="Times New Roman"/>
          <w:sz w:val="24"/>
          <w:szCs w:val="24"/>
          <w:lang w:eastAsia="pt-BR"/>
        </w:rPr>
        <w:t xml:space="preserve"> level of education</w:t>
      </w:r>
      <w:r w:rsidR="007E049F">
        <w:rPr>
          <w:rFonts w:ascii="Times New Roman" w:eastAsia="Times New Roman" w:hAnsi="Times New Roman"/>
          <w:sz w:val="24"/>
          <w:szCs w:val="24"/>
          <w:lang w:eastAsia="pt-BR"/>
        </w:rPr>
        <w:t>.</w:t>
      </w:r>
      <w:r w:rsidR="00A73880" w:rsidRPr="007E049F">
        <w:rPr>
          <w:rFonts w:ascii="Times New Roman" w:eastAsia="Times New Roman" w:hAnsi="Times New Roman"/>
          <w:sz w:val="24"/>
          <w:szCs w:val="24"/>
          <w:lang w:eastAsia="pt-BR"/>
        </w:rPr>
        <w:t xml:space="preserve"> </w:t>
      </w:r>
      <w:r w:rsidR="00F6003D" w:rsidRPr="00E639BA">
        <w:rPr>
          <w:rFonts w:ascii="Times New Roman" w:eastAsia="Times New Roman" w:hAnsi="Times New Roman"/>
          <w:sz w:val="24"/>
          <w:szCs w:val="24"/>
          <w:lang w:eastAsia="pt-BR"/>
        </w:rPr>
        <w:t>Thus, individuals in the sample can work in occupations associated with their fields of study or in occupation</w:t>
      </w:r>
      <w:r w:rsidR="00CC6D1B" w:rsidRPr="00E639BA">
        <w:rPr>
          <w:rFonts w:ascii="Times New Roman" w:eastAsia="Times New Roman" w:hAnsi="Times New Roman"/>
          <w:sz w:val="24"/>
          <w:szCs w:val="24"/>
          <w:lang w:eastAsia="pt-BR"/>
        </w:rPr>
        <w:t>s</w:t>
      </w:r>
      <w:r w:rsidR="00F6003D" w:rsidRPr="00E639BA">
        <w:rPr>
          <w:rFonts w:ascii="Times New Roman" w:eastAsia="Times New Roman" w:hAnsi="Times New Roman"/>
          <w:sz w:val="24"/>
          <w:szCs w:val="24"/>
          <w:lang w:eastAsia="pt-BR"/>
        </w:rPr>
        <w:t xml:space="preserve"> unrelated to their degree</w:t>
      </w:r>
      <w:r w:rsidR="00B92EB9" w:rsidRPr="00E639BA">
        <w:rPr>
          <w:rFonts w:ascii="Times New Roman" w:eastAsia="Times New Roman" w:hAnsi="Times New Roman"/>
          <w:sz w:val="24"/>
          <w:szCs w:val="24"/>
          <w:lang w:eastAsia="pt-BR"/>
        </w:rPr>
        <w:t>s</w:t>
      </w:r>
      <w:r w:rsidR="00F6003D" w:rsidRPr="00E639BA">
        <w:rPr>
          <w:rFonts w:ascii="Times New Roman" w:eastAsia="Times New Roman" w:hAnsi="Times New Roman"/>
          <w:sz w:val="24"/>
          <w:szCs w:val="24"/>
          <w:lang w:eastAsia="pt-BR"/>
        </w:rPr>
        <w:t xml:space="preserve">, </w:t>
      </w:r>
      <w:r w:rsidR="005A062B" w:rsidRPr="00E639BA">
        <w:rPr>
          <w:rFonts w:ascii="Times New Roman" w:eastAsia="Times New Roman" w:hAnsi="Times New Roman"/>
          <w:sz w:val="24"/>
          <w:szCs w:val="24"/>
          <w:lang w:eastAsia="pt-BR"/>
        </w:rPr>
        <w:t xml:space="preserve">whereas </w:t>
      </w:r>
      <w:r w:rsidR="00D43288" w:rsidRPr="00E639BA">
        <w:rPr>
          <w:rFonts w:ascii="Times New Roman" w:eastAsia="Times New Roman" w:hAnsi="Times New Roman"/>
          <w:sz w:val="24"/>
          <w:szCs w:val="24"/>
          <w:lang w:eastAsia="pt-BR"/>
        </w:rPr>
        <w:t>some</w:t>
      </w:r>
      <w:r w:rsidR="00F6003D" w:rsidRPr="00E639BA">
        <w:rPr>
          <w:rFonts w:ascii="Times New Roman" w:eastAsia="Times New Roman" w:hAnsi="Times New Roman"/>
          <w:sz w:val="24"/>
          <w:szCs w:val="24"/>
          <w:lang w:eastAsia="pt-BR"/>
        </w:rPr>
        <w:t xml:space="preserve"> of those in the latter group may work in occupations that do not require</w:t>
      </w:r>
      <w:r w:rsidR="005756DA" w:rsidRPr="00E639BA">
        <w:rPr>
          <w:rFonts w:ascii="Times New Roman" w:eastAsia="Times New Roman" w:hAnsi="Times New Roman"/>
          <w:sz w:val="24"/>
          <w:szCs w:val="24"/>
          <w:lang w:eastAsia="pt-BR"/>
        </w:rPr>
        <w:t xml:space="preserve"> tertiary education</w:t>
      </w:r>
      <w:r w:rsidR="00F6003D" w:rsidRPr="00E639BA">
        <w:rPr>
          <w:rFonts w:ascii="Times New Roman" w:eastAsia="Times New Roman" w:hAnsi="Times New Roman"/>
          <w:sz w:val="24"/>
          <w:szCs w:val="24"/>
          <w:lang w:eastAsia="pt-BR"/>
        </w:rPr>
        <w:t>.</w:t>
      </w:r>
    </w:p>
    <w:p w:rsidR="005C45A3" w:rsidRPr="00E639BA" w:rsidRDefault="005C45A3" w:rsidP="00C17C6A">
      <w:pPr>
        <w:spacing w:line="240" w:lineRule="auto"/>
        <w:ind w:firstLine="709"/>
        <w:contextualSpacing/>
        <w:jc w:val="both"/>
        <w:rPr>
          <w:rFonts w:ascii="Times New Roman" w:hAnsi="Times New Roman"/>
          <w:sz w:val="24"/>
          <w:szCs w:val="24"/>
        </w:rPr>
      </w:pPr>
      <w:r w:rsidRPr="00E639BA">
        <w:rPr>
          <w:rFonts w:ascii="Times New Roman" w:eastAsia="Times New Roman" w:hAnsi="Times New Roman"/>
          <w:sz w:val="24"/>
          <w:szCs w:val="24"/>
          <w:lang w:eastAsia="pt-BR"/>
        </w:rPr>
        <w:t xml:space="preserve">The sample used in this paper is limited to individuals with </w:t>
      </w:r>
      <w:r w:rsidR="005A062B" w:rsidRPr="00E639BA">
        <w:rPr>
          <w:rFonts w:ascii="Times New Roman" w:eastAsia="Times New Roman" w:hAnsi="Times New Roman"/>
          <w:sz w:val="24"/>
          <w:szCs w:val="24"/>
          <w:lang w:eastAsia="pt-BR"/>
        </w:rPr>
        <w:t xml:space="preserve">at least a </w:t>
      </w:r>
      <w:r w:rsidR="008065A9" w:rsidRPr="00E639BA">
        <w:rPr>
          <w:rFonts w:ascii="Times New Roman" w:eastAsia="Times New Roman" w:hAnsi="Times New Roman"/>
          <w:sz w:val="24"/>
          <w:szCs w:val="24"/>
          <w:lang w:eastAsia="pt-BR"/>
        </w:rPr>
        <w:t>bachelor</w:t>
      </w:r>
      <w:r w:rsidR="00CC6D1B" w:rsidRPr="00E639BA">
        <w:rPr>
          <w:rFonts w:ascii="Times New Roman" w:eastAsia="Times New Roman" w:hAnsi="Times New Roman"/>
          <w:sz w:val="24"/>
          <w:szCs w:val="24"/>
          <w:lang w:eastAsia="pt-BR"/>
        </w:rPr>
        <w:t>’s</w:t>
      </w:r>
      <w:r w:rsidR="008065A9" w:rsidRPr="00E639BA">
        <w:rPr>
          <w:rFonts w:ascii="Times New Roman" w:eastAsia="Times New Roman" w:hAnsi="Times New Roman"/>
          <w:sz w:val="24"/>
          <w:szCs w:val="24"/>
          <w:lang w:eastAsia="pt-BR"/>
        </w:rPr>
        <w:t xml:space="preserve"> </w:t>
      </w:r>
      <w:r w:rsidR="00267EEF">
        <w:rPr>
          <w:rFonts w:ascii="Times New Roman" w:eastAsia="Times New Roman" w:hAnsi="Times New Roman"/>
          <w:sz w:val="24"/>
          <w:szCs w:val="24"/>
          <w:lang w:eastAsia="pt-BR"/>
        </w:rPr>
        <w:t>degree, who</w:t>
      </w:r>
      <w:r w:rsidRPr="00E639BA">
        <w:rPr>
          <w:rFonts w:ascii="Times New Roman" w:eastAsia="Times New Roman" w:hAnsi="Times New Roman"/>
          <w:sz w:val="24"/>
          <w:szCs w:val="24"/>
          <w:lang w:eastAsia="pt-BR"/>
        </w:rPr>
        <w:t xml:space="preserve"> are occupied in the week of reference </w:t>
      </w:r>
      <w:r w:rsidR="00642EA9" w:rsidRPr="00E639BA">
        <w:rPr>
          <w:rFonts w:ascii="Times New Roman" w:eastAsia="Times New Roman" w:hAnsi="Times New Roman"/>
          <w:sz w:val="24"/>
          <w:szCs w:val="24"/>
          <w:lang w:eastAsia="pt-BR"/>
        </w:rPr>
        <w:t xml:space="preserve">of the survey, </w:t>
      </w:r>
      <w:r w:rsidRPr="00E639BA">
        <w:rPr>
          <w:rFonts w:ascii="Times New Roman" w:eastAsia="Times New Roman" w:hAnsi="Times New Roman"/>
          <w:sz w:val="24"/>
          <w:szCs w:val="24"/>
          <w:lang w:eastAsia="pt-BR"/>
        </w:rPr>
        <w:t xml:space="preserve">with </w:t>
      </w:r>
      <w:r w:rsidRPr="00E639BA">
        <w:rPr>
          <w:rFonts w:ascii="Times New Roman" w:hAnsi="Times New Roman"/>
          <w:sz w:val="24"/>
          <w:szCs w:val="24"/>
        </w:rPr>
        <w:t xml:space="preserve">positive labor </w:t>
      </w:r>
      <w:r w:rsidRPr="00E639BA">
        <w:rPr>
          <w:rFonts w:ascii="Times New Roman" w:hAnsi="Times New Roman"/>
          <w:sz w:val="24"/>
          <w:szCs w:val="24"/>
        </w:rPr>
        <w:lastRenderedPageBreak/>
        <w:t>earnings. Only those aged between 25 and 60 years</w:t>
      </w:r>
      <w:r w:rsidR="00624464" w:rsidRPr="00E639BA">
        <w:rPr>
          <w:rFonts w:ascii="Times New Roman" w:hAnsi="Times New Roman"/>
          <w:sz w:val="24"/>
          <w:szCs w:val="24"/>
        </w:rPr>
        <w:t>, with information about field of study and occupation</w:t>
      </w:r>
      <w:r w:rsidRPr="00E639BA">
        <w:rPr>
          <w:rFonts w:ascii="Times New Roman" w:hAnsi="Times New Roman"/>
          <w:sz w:val="24"/>
          <w:szCs w:val="24"/>
        </w:rPr>
        <w:t xml:space="preserve"> are included in the </w:t>
      </w:r>
      <w:r w:rsidR="00624464" w:rsidRPr="00E639BA">
        <w:rPr>
          <w:rFonts w:ascii="Times New Roman" w:hAnsi="Times New Roman"/>
          <w:sz w:val="24"/>
          <w:szCs w:val="24"/>
        </w:rPr>
        <w:t xml:space="preserve">analysis. The </w:t>
      </w:r>
      <w:r w:rsidRPr="00E639BA">
        <w:rPr>
          <w:rFonts w:ascii="Times New Roman" w:hAnsi="Times New Roman"/>
          <w:sz w:val="24"/>
          <w:szCs w:val="24"/>
        </w:rPr>
        <w:t xml:space="preserve">sample comprises around </w:t>
      </w:r>
      <w:r w:rsidR="002532ED" w:rsidRPr="00E639BA">
        <w:rPr>
          <w:rFonts w:ascii="Times New Roman" w:hAnsi="Times New Roman"/>
          <w:sz w:val="24"/>
          <w:szCs w:val="24"/>
        </w:rPr>
        <w:t xml:space="preserve">450,000 observations in </w:t>
      </w:r>
      <w:proofErr w:type="gramStart"/>
      <w:r w:rsidR="002532ED" w:rsidRPr="00E639BA">
        <w:rPr>
          <w:rFonts w:ascii="Times New Roman" w:hAnsi="Times New Roman"/>
          <w:sz w:val="24"/>
          <w:szCs w:val="24"/>
        </w:rPr>
        <w:t>2000,</w:t>
      </w:r>
      <w:proofErr w:type="gramEnd"/>
      <w:r w:rsidR="002532ED" w:rsidRPr="00E639BA">
        <w:rPr>
          <w:rFonts w:ascii="Times New Roman" w:hAnsi="Times New Roman"/>
          <w:sz w:val="24"/>
          <w:szCs w:val="24"/>
        </w:rPr>
        <w:t xml:space="preserve"> and </w:t>
      </w:r>
      <w:r w:rsidR="001435B7" w:rsidRPr="00E639BA">
        <w:rPr>
          <w:rFonts w:ascii="Times New Roman" w:eastAsia="Times New Roman" w:hAnsi="Times New Roman"/>
          <w:sz w:val="24"/>
          <w:szCs w:val="24"/>
          <w:lang w:eastAsia="pt-BR"/>
        </w:rPr>
        <w:t>650</w:t>
      </w:r>
      <w:r w:rsidRPr="00E639BA">
        <w:rPr>
          <w:rFonts w:ascii="Times New Roman" w:eastAsia="Times New Roman" w:hAnsi="Times New Roman"/>
          <w:sz w:val="24"/>
          <w:szCs w:val="24"/>
          <w:lang w:eastAsia="pt-BR"/>
        </w:rPr>
        <w:t xml:space="preserve">,000 </w:t>
      </w:r>
      <w:r w:rsidR="002532ED" w:rsidRPr="00E639BA">
        <w:rPr>
          <w:rFonts w:ascii="Times New Roman" w:eastAsia="Times New Roman" w:hAnsi="Times New Roman"/>
          <w:sz w:val="24"/>
          <w:szCs w:val="24"/>
          <w:lang w:eastAsia="pt-BR"/>
        </w:rPr>
        <w:t>in 2010</w:t>
      </w:r>
      <w:r w:rsidR="00C66D2B" w:rsidRPr="00E639BA">
        <w:rPr>
          <w:rFonts w:ascii="Times New Roman" w:eastAsia="Times New Roman" w:hAnsi="Times New Roman"/>
          <w:sz w:val="24"/>
          <w:szCs w:val="24"/>
          <w:lang w:eastAsia="pt-BR"/>
        </w:rPr>
        <w:t xml:space="preserve">. </w:t>
      </w:r>
    </w:p>
    <w:p w:rsidR="00BD520D" w:rsidRPr="00E639BA" w:rsidRDefault="00BD520D" w:rsidP="00C17C6A">
      <w:pPr>
        <w:autoSpaceDE w:val="0"/>
        <w:autoSpaceDN w:val="0"/>
        <w:adjustRightInd w:val="0"/>
        <w:spacing w:line="240" w:lineRule="auto"/>
        <w:contextualSpacing/>
        <w:jc w:val="both"/>
        <w:rPr>
          <w:rFonts w:ascii="Times New Roman" w:eastAsia="Times New Roman" w:hAnsi="Times New Roman"/>
          <w:sz w:val="24"/>
          <w:szCs w:val="24"/>
          <w:lang w:eastAsia="pt-BR"/>
        </w:rPr>
      </w:pPr>
    </w:p>
    <w:p w:rsidR="00A74C47" w:rsidRPr="00E639BA" w:rsidRDefault="00A74C47" w:rsidP="00C17C6A">
      <w:pPr>
        <w:spacing w:line="240" w:lineRule="auto"/>
        <w:contextualSpacing/>
        <w:rPr>
          <w:rFonts w:ascii="Times New Roman" w:hAnsi="Times New Roman"/>
          <w:b/>
          <w:sz w:val="24"/>
          <w:szCs w:val="24"/>
        </w:rPr>
      </w:pPr>
      <w:r w:rsidRPr="00E639BA">
        <w:rPr>
          <w:rFonts w:ascii="Times New Roman" w:hAnsi="Times New Roman"/>
          <w:b/>
          <w:sz w:val="24"/>
          <w:szCs w:val="24"/>
        </w:rPr>
        <w:t xml:space="preserve">3 – Descriptive analysis. </w:t>
      </w:r>
    </w:p>
    <w:p w:rsidR="00A74C47" w:rsidRPr="00E639BA" w:rsidRDefault="00A74C47" w:rsidP="00C17C6A">
      <w:pPr>
        <w:spacing w:line="240" w:lineRule="auto"/>
        <w:contextualSpacing/>
        <w:rPr>
          <w:rFonts w:ascii="Times New Roman" w:hAnsi="Times New Roman"/>
          <w:sz w:val="24"/>
          <w:szCs w:val="24"/>
        </w:rPr>
      </w:pPr>
    </w:p>
    <w:p w:rsidR="00531D19" w:rsidRDefault="00E82442" w:rsidP="00C17C6A">
      <w:pPr>
        <w:spacing w:line="240" w:lineRule="auto"/>
        <w:ind w:firstLine="708"/>
        <w:contextualSpacing/>
        <w:jc w:val="both"/>
        <w:rPr>
          <w:rFonts w:ascii="Times New Roman" w:hAnsi="Times New Roman"/>
          <w:sz w:val="24"/>
          <w:szCs w:val="24"/>
        </w:rPr>
      </w:pPr>
      <w:r>
        <w:rPr>
          <w:rFonts w:ascii="Times New Roman" w:hAnsi="Times New Roman"/>
          <w:color w:val="000000"/>
          <w:sz w:val="24"/>
          <w:szCs w:val="24"/>
        </w:rPr>
        <w:t>Before presenting a descriptive analysis regarding indiv</w:t>
      </w:r>
      <w:r w:rsidR="0061587A">
        <w:rPr>
          <w:rFonts w:ascii="Times New Roman" w:hAnsi="Times New Roman"/>
          <w:color w:val="000000"/>
          <w:sz w:val="24"/>
          <w:szCs w:val="24"/>
        </w:rPr>
        <w:t>iduals with tertiary education</w:t>
      </w:r>
      <w:r>
        <w:rPr>
          <w:rFonts w:ascii="Times New Roman" w:hAnsi="Times New Roman"/>
          <w:color w:val="000000"/>
          <w:sz w:val="24"/>
          <w:szCs w:val="24"/>
        </w:rPr>
        <w:t xml:space="preserve">, it is useful to show a few facts about differences by race in the Brazilian labor market, considering workers in all educational levels. Black </w:t>
      </w:r>
      <w:r w:rsidR="00531D19">
        <w:rPr>
          <w:rFonts w:ascii="Times New Roman" w:hAnsi="Times New Roman"/>
          <w:color w:val="000000"/>
          <w:sz w:val="24"/>
          <w:szCs w:val="24"/>
        </w:rPr>
        <w:t xml:space="preserve">workers </w:t>
      </w:r>
      <w:r>
        <w:rPr>
          <w:rFonts w:ascii="Times New Roman" w:hAnsi="Times New Roman"/>
          <w:color w:val="000000"/>
          <w:sz w:val="24"/>
          <w:szCs w:val="24"/>
        </w:rPr>
        <w:t>represent</w:t>
      </w:r>
      <w:r w:rsidR="00531D19">
        <w:rPr>
          <w:rFonts w:ascii="Times New Roman" w:hAnsi="Times New Roman"/>
          <w:color w:val="000000"/>
          <w:sz w:val="24"/>
          <w:szCs w:val="24"/>
        </w:rPr>
        <w:t>ed</w:t>
      </w:r>
      <w:r>
        <w:rPr>
          <w:rFonts w:ascii="Times New Roman" w:hAnsi="Times New Roman"/>
          <w:color w:val="000000"/>
          <w:sz w:val="24"/>
          <w:szCs w:val="24"/>
        </w:rPr>
        <w:t xml:space="preserve"> 41.5% of the Brazilian occupied individuals in 2000, and 48.1% in 2010. As shown in Table 1, white workers </w:t>
      </w:r>
      <w:r w:rsidR="00531D19">
        <w:rPr>
          <w:rFonts w:ascii="Times New Roman" w:hAnsi="Times New Roman"/>
          <w:color w:val="000000"/>
          <w:sz w:val="24"/>
          <w:szCs w:val="24"/>
        </w:rPr>
        <w:t>hourly labor earnings we</w:t>
      </w:r>
      <w:r>
        <w:rPr>
          <w:rFonts w:ascii="Times New Roman" w:hAnsi="Times New Roman"/>
          <w:color w:val="000000"/>
          <w:sz w:val="24"/>
          <w:szCs w:val="24"/>
        </w:rPr>
        <w:t>re 2 times higher than that of black ones in 2000, w</w:t>
      </w:r>
      <w:r w:rsidR="0061587A">
        <w:rPr>
          <w:rFonts w:ascii="Times New Roman" w:hAnsi="Times New Roman"/>
          <w:color w:val="000000"/>
          <w:sz w:val="24"/>
          <w:szCs w:val="24"/>
        </w:rPr>
        <w:t>hile in 2010 whites earn about 7</w:t>
      </w:r>
      <w:r>
        <w:rPr>
          <w:rFonts w:ascii="Times New Roman" w:hAnsi="Times New Roman"/>
          <w:color w:val="000000"/>
          <w:sz w:val="24"/>
          <w:szCs w:val="24"/>
        </w:rPr>
        <w:t xml:space="preserve">0% </w:t>
      </w:r>
      <w:r w:rsidR="00531D19">
        <w:rPr>
          <w:rFonts w:ascii="Times New Roman" w:hAnsi="Times New Roman"/>
          <w:color w:val="000000"/>
          <w:sz w:val="24"/>
          <w:szCs w:val="24"/>
        </w:rPr>
        <w:t xml:space="preserve">more </w:t>
      </w:r>
      <w:r>
        <w:rPr>
          <w:rFonts w:ascii="Times New Roman" w:hAnsi="Times New Roman"/>
          <w:color w:val="000000"/>
          <w:sz w:val="24"/>
          <w:szCs w:val="24"/>
        </w:rPr>
        <w:t xml:space="preserve">than blacks. Differences in the schooling level </w:t>
      </w:r>
      <w:r w:rsidR="00531D19">
        <w:rPr>
          <w:rFonts w:ascii="Times New Roman" w:hAnsi="Times New Roman"/>
          <w:color w:val="000000"/>
          <w:sz w:val="24"/>
          <w:szCs w:val="24"/>
        </w:rPr>
        <w:t xml:space="preserve">by race </w:t>
      </w:r>
      <w:r>
        <w:rPr>
          <w:rFonts w:ascii="Times New Roman" w:hAnsi="Times New Roman"/>
          <w:color w:val="000000"/>
          <w:sz w:val="24"/>
          <w:szCs w:val="24"/>
        </w:rPr>
        <w:t>help to explain an important part of this gap. It could be noticed, for exam</w:t>
      </w:r>
      <w:r w:rsidR="00531D19">
        <w:rPr>
          <w:rFonts w:ascii="Times New Roman" w:hAnsi="Times New Roman"/>
          <w:color w:val="000000"/>
          <w:sz w:val="24"/>
          <w:szCs w:val="24"/>
        </w:rPr>
        <w:t>ple, that 14% of the whites had</w:t>
      </w:r>
      <w:r>
        <w:rPr>
          <w:rFonts w:ascii="Times New Roman" w:hAnsi="Times New Roman"/>
          <w:color w:val="000000"/>
          <w:sz w:val="24"/>
          <w:szCs w:val="24"/>
        </w:rPr>
        <w:t xml:space="preserve"> tertiary education in 2000, but</w:t>
      </w:r>
      <w:r w:rsidR="00531D19">
        <w:rPr>
          <w:rFonts w:ascii="Times New Roman" w:hAnsi="Times New Roman"/>
          <w:color w:val="000000"/>
          <w:sz w:val="24"/>
          <w:szCs w:val="24"/>
        </w:rPr>
        <w:t xml:space="preserve"> less than 4% of the blacks had</w:t>
      </w:r>
      <w:r>
        <w:rPr>
          <w:rFonts w:ascii="Times New Roman" w:hAnsi="Times New Roman"/>
          <w:color w:val="000000"/>
          <w:sz w:val="24"/>
          <w:szCs w:val="24"/>
        </w:rPr>
        <w:t xml:space="preserve"> this same level of schooling. </w:t>
      </w:r>
      <w:r w:rsidR="0061587A">
        <w:rPr>
          <w:rFonts w:ascii="Times New Roman" w:hAnsi="Times New Roman"/>
          <w:sz w:val="24"/>
          <w:szCs w:val="24"/>
        </w:rPr>
        <w:t>In spite of the</w:t>
      </w:r>
      <w:r w:rsidR="009B71B2" w:rsidRPr="00E639BA">
        <w:rPr>
          <w:rFonts w:ascii="Times New Roman" w:hAnsi="Times New Roman"/>
          <w:sz w:val="24"/>
          <w:szCs w:val="24"/>
        </w:rPr>
        <w:t xml:space="preserve"> great improvement</w:t>
      </w:r>
      <w:r w:rsidR="0061587A">
        <w:rPr>
          <w:rFonts w:ascii="Times New Roman" w:hAnsi="Times New Roman"/>
          <w:sz w:val="24"/>
          <w:szCs w:val="24"/>
        </w:rPr>
        <w:t xml:space="preserve"> in the educational level of black individuals</w:t>
      </w:r>
      <w:r w:rsidR="009B71B2" w:rsidRPr="00E639BA">
        <w:rPr>
          <w:rFonts w:ascii="Times New Roman" w:hAnsi="Times New Roman"/>
          <w:sz w:val="24"/>
          <w:szCs w:val="24"/>
        </w:rPr>
        <w:t xml:space="preserve">, the attainment of tertiary education in 2010 is still very unequally distributed by race. </w:t>
      </w:r>
      <w:r w:rsidR="009B71B2">
        <w:rPr>
          <w:rFonts w:ascii="Times New Roman" w:hAnsi="Times New Roman"/>
          <w:sz w:val="24"/>
          <w:szCs w:val="24"/>
        </w:rPr>
        <w:t>T</w:t>
      </w:r>
      <w:r w:rsidR="009B71B2" w:rsidRPr="00E639BA">
        <w:rPr>
          <w:rFonts w:ascii="Times New Roman" w:hAnsi="Times New Roman"/>
          <w:sz w:val="24"/>
          <w:szCs w:val="24"/>
        </w:rPr>
        <w:t>he 2010 Census data show that only 8</w:t>
      </w:r>
      <w:r w:rsidR="009B71B2">
        <w:rPr>
          <w:rFonts w:ascii="Times New Roman" w:hAnsi="Times New Roman"/>
          <w:sz w:val="24"/>
          <w:szCs w:val="24"/>
        </w:rPr>
        <w:t>.5</w:t>
      </w:r>
      <w:r w:rsidR="009B71B2" w:rsidRPr="00E639BA">
        <w:rPr>
          <w:rFonts w:ascii="Times New Roman" w:hAnsi="Times New Roman"/>
          <w:sz w:val="24"/>
          <w:szCs w:val="24"/>
        </w:rPr>
        <w:t>% of the black workers have a bachelor’s or graduate degree, while the percentage of white workers with this level of education is 22</w:t>
      </w:r>
      <w:r w:rsidR="009B71B2">
        <w:rPr>
          <w:rFonts w:ascii="Times New Roman" w:hAnsi="Times New Roman"/>
          <w:sz w:val="24"/>
          <w:szCs w:val="24"/>
        </w:rPr>
        <w:t>.2</w:t>
      </w:r>
      <w:r w:rsidR="009B71B2" w:rsidRPr="00E639BA">
        <w:rPr>
          <w:rFonts w:ascii="Times New Roman" w:hAnsi="Times New Roman"/>
          <w:sz w:val="24"/>
          <w:szCs w:val="24"/>
        </w:rPr>
        <w:t xml:space="preserve">%. </w:t>
      </w:r>
    </w:p>
    <w:p w:rsidR="00AC78CE" w:rsidRDefault="00AC78CE" w:rsidP="00C17C6A">
      <w:pPr>
        <w:spacing w:line="240" w:lineRule="auto"/>
        <w:ind w:firstLine="708"/>
        <w:contextualSpacing/>
        <w:jc w:val="both"/>
        <w:rPr>
          <w:rFonts w:ascii="Times New Roman" w:hAnsi="Times New Roman"/>
          <w:color w:val="000000"/>
          <w:sz w:val="24"/>
          <w:szCs w:val="24"/>
        </w:rPr>
      </w:pPr>
    </w:p>
    <w:p w:rsidR="005E4E55" w:rsidRDefault="005E4E55" w:rsidP="00C17C6A">
      <w:pPr>
        <w:spacing w:line="240" w:lineRule="auto"/>
        <w:contextualSpacing/>
        <w:jc w:val="center"/>
        <w:rPr>
          <w:rFonts w:ascii="Times New Roman" w:hAnsi="Times New Roman"/>
          <w:sz w:val="24"/>
          <w:szCs w:val="24"/>
        </w:rPr>
      </w:pPr>
      <w:r w:rsidRPr="00D93968">
        <w:rPr>
          <w:noProof/>
          <w:lang w:val="pt-BR" w:eastAsia="pt-BR"/>
        </w:rPr>
        <w:drawing>
          <wp:inline distT="0" distB="0" distL="0" distR="0" wp14:anchorId="436AE5B6" wp14:editId="76FB409E">
            <wp:extent cx="5248275" cy="39056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905693"/>
                    </a:xfrm>
                    <a:prstGeom prst="rect">
                      <a:avLst/>
                    </a:prstGeom>
                    <a:noFill/>
                    <a:ln>
                      <a:noFill/>
                    </a:ln>
                  </pic:spPr>
                </pic:pic>
              </a:graphicData>
            </a:graphic>
          </wp:inline>
        </w:drawing>
      </w:r>
    </w:p>
    <w:p w:rsidR="005E4E55" w:rsidRDefault="005E4E55" w:rsidP="00C17C6A">
      <w:pPr>
        <w:spacing w:line="240" w:lineRule="auto"/>
        <w:contextualSpacing/>
        <w:jc w:val="both"/>
        <w:rPr>
          <w:rFonts w:ascii="Times New Roman" w:hAnsi="Times New Roman"/>
          <w:sz w:val="24"/>
          <w:szCs w:val="24"/>
        </w:rPr>
      </w:pPr>
    </w:p>
    <w:p w:rsidR="003A10BA" w:rsidRPr="00E639BA" w:rsidRDefault="00A74C47"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Table </w:t>
      </w:r>
      <w:r w:rsidR="009855E8">
        <w:rPr>
          <w:rFonts w:ascii="Times New Roman" w:hAnsi="Times New Roman"/>
          <w:sz w:val="24"/>
          <w:szCs w:val="24"/>
        </w:rPr>
        <w:t>2</w:t>
      </w:r>
      <w:r w:rsidRPr="00E639BA">
        <w:rPr>
          <w:rFonts w:ascii="Times New Roman" w:hAnsi="Times New Roman"/>
          <w:sz w:val="24"/>
          <w:szCs w:val="24"/>
        </w:rPr>
        <w:t xml:space="preserve"> reports </w:t>
      </w:r>
      <w:r w:rsidR="00CC6D1B" w:rsidRPr="00E639BA">
        <w:rPr>
          <w:rFonts w:ascii="Times New Roman" w:hAnsi="Times New Roman"/>
          <w:sz w:val="24"/>
          <w:szCs w:val="24"/>
        </w:rPr>
        <w:t xml:space="preserve">the </w:t>
      </w:r>
      <w:r w:rsidRPr="00E639BA">
        <w:rPr>
          <w:rFonts w:ascii="Times New Roman" w:hAnsi="Times New Roman"/>
          <w:sz w:val="24"/>
          <w:szCs w:val="24"/>
        </w:rPr>
        <w:t xml:space="preserve">summary statistics regarding labor earnings, demographic characteristics and education separately for white and black workers with </w:t>
      </w:r>
      <w:r w:rsidR="004C5517" w:rsidRPr="00E639BA">
        <w:rPr>
          <w:rFonts w:ascii="Times New Roman" w:hAnsi="Times New Roman"/>
          <w:sz w:val="24"/>
          <w:szCs w:val="24"/>
        </w:rPr>
        <w:t>at least a bachelor</w:t>
      </w:r>
      <w:r w:rsidR="00CC6D1B" w:rsidRPr="00E639BA">
        <w:rPr>
          <w:rFonts w:ascii="Times New Roman" w:hAnsi="Times New Roman"/>
          <w:sz w:val="24"/>
          <w:szCs w:val="24"/>
        </w:rPr>
        <w:t>’s</w:t>
      </w:r>
      <w:r w:rsidR="004C5517" w:rsidRPr="00E639BA">
        <w:rPr>
          <w:rFonts w:ascii="Times New Roman" w:hAnsi="Times New Roman"/>
          <w:sz w:val="24"/>
          <w:szCs w:val="24"/>
        </w:rPr>
        <w:t xml:space="preserve"> </w:t>
      </w:r>
      <w:r w:rsidRPr="00E639BA">
        <w:rPr>
          <w:rFonts w:ascii="Times New Roman" w:hAnsi="Times New Roman"/>
          <w:sz w:val="24"/>
          <w:szCs w:val="24"/>
        </w:rPr>
        <w:t>degree in</w:t>
      </w:r>
      <w:r w:rsidR="00C407B5" w:rsidRPr="00E639BA">
        <w:rPr>
          <w:rFonts w:ascii="Times New Roman" w:hAnsi="Times New Roman"/>
          <w:sz w:val="24"/>
          <w:szCs w:val="24"/>
        </w:rPr>
        <w:t xml:space="preserve"> 2000 and 2010</w:t>
      </w:r>
      <w:r w:rsidRPr="00E639BA">
        <w:rPr>
          <w:rFonts w:ascii="Times New Roman" w:hAnsi="Times New Roman"/>
          <w:sz w:val="24"/>
          <w:szCs w:val="24"/>
        </w:rPr>
        <w:t xml:space="preserve">. </w:t>
      </w:r>
      <w:r w:rsidR="00D53F11" w:rsidRPr="00E639BA">
        <w:rPr>
          <w:rFonts w:ascii="Times New Roman" w:hAnsi="Times New Roman"/>
          <w:sz w:val="24"/>
          <w:szCs w:val="24"/>
        </w:rPr>
        <w:t xml:space="preserve">It is possible to notice that black individuals represented only 15% of the workers with </w:t>
      </w:r>
      <w:r w:rsidR="004C5517" w:rsidRPr="00E639BA">
        <w:rPr>
          <w:rFonts w:ascii="Times New Roman" w:hAnsi="Times New Roman"/>
          <w:sz w:val="24"/>
          <w:szCs w:val="24"/>
        </w:rPr>
        <w:t xml:space="preserve">tertiary education </w:t>
      </w:r>
      <w:r w:rsidR="00D53F11" w:rsidRPr="00E639BA">
        <w:rPr>
          <w:rFonts w:ascii="Times New Roman" w:hAnsi="Times New Roman"/>
          <w:sz w:val="24"/>
          <w:szCs w:val="24"/>
        </w:rPr>
        <w:t>in Brazil</w:t>
      </w:r>
      <w:r w:rsidR="007A7994" w:rsidRPr="00E639BA">
        <w:rPr>
          <w:rFonts w:ascii="Times New Roman" w:hAnsi="Times New Roman"/>
          <w:sz w:val="24"/>
          <w:szCs w:val="24"/>
        </w:rPr>
        <w:t xml:space="preserve"> in 2000</w:t>
      </w:r>
      <w:r w:rsidR="001435B7" w:rsidRPr="00E639BA">
        <w:rPr>
          <w:rFonts w:ascii="Times New Roman" w:hAnsi="Times New Roman"/>
          <w:sz w:val="24"/>
          <w:szCs w:val="24"/>
        </w:rPr>
        <w:t>, but</w:t>
      </w:r>
      <w:r w:rsidR="00D575BC" w:rsidRPr="00E639BA">
        <w:rPr>
          <w:rFonts w:ascii="Times New Roman" w:hAnsi="Times New Roman"/>
          <w:sz w:val="24"/>
          <w:szCs w:val="24"/>
        </w:rPr>
        <w:t xml:space="preserve"> </w:t>
      </w:r>
      <w:r w:rsidR="001435B7" w:rsidRPr="00E639BA">
        <w:rPr>
          <w:rFonts w:ascii="Times New Roman" w:hAnsi="Times New Roman"/>
          <w:sz w:val="24"/>
          <w:szCs w:val="24"/>
        </w:rPr>
        <w:t xml:space="preserve">10 </w:t>
      </w:r>
      <w:r w:rsidR="00D575BC" w:rsidRPr="00E639BA">
        <w:rPr>
          <w:rFonts w:ascii="Times New Roman" w:hAnsi="Times New Roman"/>
          <w:sz w:val="24"/>
          <w:szCs w:val="24"/>
        </w:rPr>
        <w:t>years later,</w:t>
      </w:r>
      <w:r w:rsidR="00D53F11" w:rsidRPr="00E639BA">
        <w:rPr>
          <w:rFonts w:ascii="Times New Roman" w:hAnsi="Times New Roman"/>
          <w:sz w:val="24"/>
          <w:szCs w:val="24"/>
        </w:rPr>
        <w:t xml:space="preserve"> the share of</w:t>
      </w:r>
      <w:r w:rsidR="003C15C9" w:rsidRPr="00E639BA">
        <w:rPr>
          <w:rFonts w:ascii="Times New Roman" w:hAnsi="Times New Roman"/>
          <w:sz w:val="24"/>
          <w:szCs w:val="24"/>
        </w:rPr>
        <w:t xml:space="preserve"> this group</w:t>
      </w:r>
      <w:r w:rsidR="00D53F11" w:rsidRPr="00E639BA">
        <w:rPr>
          <w:rFonts w:ascii="Times New Roman" w:hAnsi="Times New Roman"/>
          <w:sz w:val="24"/>
          <w:szCs w:val="24"/>
        </w:rPr>
        <w:t xml:space="preserve"> increased to one quarter. </w:t>
      </w:r>
      <w:r w:rsidR="003A6150" w:rsidRPr="00E639BA">
        <w:rPr>
          <w:rFonts w:ascii="Times New Roman" w:hAnsi="Times New Roman"/>
          <w:sz w:val="24"/>
          <w:szCs w:val="24"/>
        </w:rPr>
        <w:t xml:space="preserve">Table </w:t>
      </w:r>
      <w:r w:rsidR="009855E8">
        <w:rPr>
          <w:rFonts w:ascii="Times New Roman" w:hAnsi="Times New Roman"/>
          <w:sz w:val="24"/>
          <w:szCs w:val="24"/>
        </w:rPr>
        <w:t>2</w:t>
      </w:r>
      <w:r w:rsidR="003A6150" w:rsidRPr="00E639BA">
        <w:rPr>
          <w:rFonts w:ascii="Times New Roman" w:hAnsi="Times New Roman"/>
          <w:sz w:val="24"/>
          <w:szCs w:val="24"/>
        </w:rPr>
        <w:t xml:space="preserve"> shows that mean hourly earnings</w:t>
      </w:r>
      <w:r w:rsidR="00824A15" w:rsidRPr="00E639BA">
        <w:rPr>
          <w:rFonts w:ascii="Times New Roman" w:hAnsi="Times New Roman"/>
          <w:sz w:val="24"/>
          <w:szCs w:val="24"/>
        </w:rPr>
        <w:t xml:space="preserve"> among white workers </w:t>
      </w:r>
      <w:r w:rsidR="003A10BA" w:rsidRPr="00E639BA">
        <w:rPr>
          <w:rFonts w:ascii="Times New Roman" w:hAnsi="Times New Roman"/>
          <w:sz w:val="24"/>
          <w:szCs w:val="24"/>
        </w:rPr>
        <w:t xml:space="preserve">with </w:t>
      </w:r>
      <w:r w:rsidR="009A79FA" w:rsidRPr="00E639BA">
        <w:rPr>
          <w:rFonts w:ascii="Times New Roman" w:hAnsi="Times New Roman"/>
          <w:sz w:val="24"/>
          <w:szCs w:val="24"/>
        </w:rPr>
        <w:t xml:space="preserve">at least </w:t>
      </w:r>
      <w:r w:rsidR="003A10BA" w:rsidRPr="00E639BA">
        <w:rPr>
          <w:rFonts w:ascii="Times New Roman" w:hAnsi="Times New Roman"/>
          <w:sz w:val="24"/>
          <w:szCs w:val="24"/>
        </w:rPr>
        <w:t xml:space="preserve">a </w:t>
      </w:r>
      <w:r w:rsidR="009A79FA" w:rsidRPr="00E639BA">
        <w:rPr>
          <w:rFonts w:ascii="Times New Roman" w:hAnsi="Times New Roman"/>
          <w:sz w:val="24"/>
          <w:szCs w:val="24"/>
        </w:rPr>
        <w:t>bachelor</w:t>
      </w:r>
      <w:r w:rsidR="00CC6D1B" w:rsidRPr="00E639BA">
        <w:rPr>
          <w:rFonts w:ascii="Times New Roman" w:hAnsi="Times New Roman"/>
          <w:sz w:val="24"/>
          <w:szCs w:val="24"/>
        </w:rPr>
        <w:t>’s</w:t>
      </w:r>
      <w:r w:rsidR="009A79FA" w:rsidRPr="00E639BA">
        <w:rPr>
          <w:rFonts w:ascii="Times New Roman" w:hAnsi="Times New Roman"/>
          <w:sz w:val="24"/>
          <w:szCs w:val="24"/>
        </w:rPr>
        <w:t xml:space="preserve"> </w:t>
      </w:r>
      <w:r w:rsidR="003A10BA" w:rsidRPr="00E639BA">
        <w:rPr>
          <w:rFonts w:ascii="Times New Roman" w:hAnsi="Times New Roman"/>
          <w:sz w:val="24"/>
          <w:szCs w:val="24"/>
        </w:rPr>
        <w:t xml:space="preserve">degree </w:t>
      </w:r>
      <w:r w:rsidR="00824A15" w:rsidRPr="00E639BA">
        <w:rPr>
          <w:rFonts w:ascii="Times New Roman" w:hAnsi="Times New Roman"/>
          <w:sz w:val="24"/>
          <w:szCs w:val="24"/>
        </w:rPr>
        <w:t>(R$ 27.4) was 38</w:t>
      </w:r>
      <w:r w:rsidR="003A6150" w:rsidRPr="00E639BA">
        <w:rPr>
          <w:rFonts w:ascii="Times New Roman" w:hAnsi="Times New Roman"/>
          <w:sz w:val="24"/>
          <w:szCs w:val="24"/>
        </w:rPr>
        <w:t>% higher t</w:t>
      </w:r>
      <w:r w:rsidR="00824A15" w:rsidRPr="00E639BA">
        <w:rPr>
          <w:rFonts w:ascii="Times New Roman" w:hAnsi="Times New Roman"/>
          <w:sz w:val="24"/>
          <w:szCs w:val="24"/>
        </w:rPr>
        <w:t>han that of black workers (R$ 19.9</w:t>
      </w:r>
      <w:r w:rsidR="003A6150" w:rsidRPr="00E639BA">
        <w:rPr>
          <w:rFonts w:ascii="Times New Roman" w:hAnsi="Times New Roman"/>
          <w:sz w:val="24"/>
          <w:szCs w:val="24"/>
        </w:rPr>
        <w:t>)</w:t>
      </w:r>
      <w:r w:rsidR="00824A15" w:rsidRPr="00E639BA">
        <w:rPr>
          <w:rFonts w:ascii="Times New Roman" w:hAnsi="Times New Roman"/>
          <w:sz w:val="24"/>
          <w:szCs w:val="24"/>
        </w:rPr>
        <w:t xml:space="preserve"> </w:t>
      </w:r>
      <w:r w:rsidR="003A10BA" w:rsidRPr="00E639BA">
        <w:rPr>
          <w:rFonts w:ascii="Times New Roman" w:hAnsi="Times New Roman"/>
          <w:sz w:val="24"/>
          <w:szCs w:val="24"/>
        </w:rPr>
        <w:t xml:space="preserve">with the same educational level </w:t>
      </w:r>
      <w:r w:rsidR="00824A15" w:rsidRPr="00E639BA">
        <w:rPr>
          <w:rFonts w:ascii="Times New Roman" w:hAnsi="Times New Roman"/>
          <w:sz w:val="24"/>
          <w:szCs w:val="24"/>
        </w:rPr>
        <w:t xml:space="preserve">in </w:t>
      </w:r>
      <w:r w:rsidR="00824A15" w:rsidRPr="00E639BA">
        <w:rPr>
          <w:rFonts w:ascii="Times New Roman" w:hAnsi="Times New Roman"/>
          <w:sz w:val="24"/>
          <w:szCs w:val="24"/>
        </w:rPr>
        <w:lastRenderedPageBreak/>
        <w:t>2000</w:t>
      </w:r>
      <w:r w:rsidR="00820058" w:rsidRPr="00E639BA">
        <w:rPr>
          <w:rFonts w:ascii="Times New Roman" w:hAnsi="Times New Roman"/>
          <w:sz w:val="24"/>
          <w:szCs w:val="24"/>
        </w:rPr>
        <w:t>, and that</w:t>
      </w:r>
      <w:r w:rsidR="003A6150" w:rsidRPr="00E639BA">
        <w:rPr>
          <w:rFonts w:ascii="Times New Roman" w:hAnsi="Times New Roman"/>
          <w:sz w:val="24"/>
          <w:szCs w:val="24"/>
        </w:rPr>
        <w:t xml:space="preserve"> </w:t>
      </w:r>
      <w:r w:rsidR="00820058" w:rsidRPr="00E639BA">
        <w:rPr>
          <w:rFonts w:ascii="Times New Roman" w:hAnsi="Times New Roman"/>
          <w:sz w:val="24"/>
          <w:szCs w:val="24"/>
        </w:rPr>
        <w:t xml:space="preserve">this differential increased to 41% in 2010. </w:t>
      </w:r>
      <w:r w:rsidR="00D5408C" w:rsidRPr="00E639BA">
        <w:rPr>
          <w:rFonts w:ascii="Times New Roman" w:hAnsi="Times New Roman"/>
          <w:sz w:val="24"/>
          <w:szCs w:val="24"/>
        </w:rPr>
        <w:t xml:space="preserve">Comparing </w:t>
      </w:r>
      <w:r w:rsidR="003A6150" w:rsidRPr="00E639BA">
        <w:rPr>
          <w:rFonts w:ascii="Times New Roman" w:hAnsi="Times New Roman"/>
          <w:sz w:val="24"/>
          <w:szCs w:val="24"/>
        </w:rPr>
        <w:t>mean monthly labor earnings</w:t>
      </w:r>
      <w:r w:rsidR="00D5408C" w:rsidRPr="00E639BA">
        <w:rPr>
          <w:rFonts w:ascii="Times New Roman" w:hAnsi="Times New Roman"/>
          <w:sz w:val="24"/>
          <w:szCs w:val="24"/>
        </w:rPr>
        <w:t>, an even higher</w:t>
      </w:r>
      <w:r w:rsidR="003A6150" w:rsidRPr="00E639BA">
        <w:rPr>
          <w:rFonts w:ascii="Times New Roman" w:hAnsi="Times New Roman"/>
          <w:sz w:val="24"/>
          <w:szCs w:val="24"/>
        </w:rPr>
        <w:t xml:space="preserve"> differe</w:t>
      </w:r>
      <w:r w:rsidR="00C07605" w:rsidRPr="00E639BA">
        <w:rPr>
          <w:rFonts w:ascii="Times New Roman" w:hAnsi="Times New Roman"/>
          <w:sz w:val="24"/>
          <w:szCs w:val="24"/>
        </w:rPr>
        <w:t xml:space="preserve">ntial </w:t>
      </w:r>
      <w:r w:rsidR="00CC6D1B" w:rsidRPr="00E639BA">
        <w:rPr>
          <w:rFonts w:ascii="Times New Roman" w:hAnsi="Times New Roman"/>
          <w:sz w:val="24"/>
          <w:szCs w:val="24"/>
        </w:rPr>
        <w:t xml:space="preserve">can be noticed </w:t>
      </w:r>
      <w:r w:rsidR="00C07605" w:rsidRPr="00E639BA">
        <w:rPr>
          <w:rFonts w:ascii="Times New Roman" w:hAnsi="Times New Roman"/>
          <w:sz w:val="24"/>
          <w:szCs w:val="24"/>
        </w:rPr>
        <w:t xml:space="preserve">between these two </w:t>
      </w:r>
      <w:r w:rsidR="003A10BA" w:rsidRPr="00E639BA">
        <w:rPr>
          <w:rFonts w:ascii="Times New Roman" w:hAnsi="Times New Roman"/>
          <w:sz w:val="24"/>
          <w:szCs w:val="24"/>
        </w:rPr>
        <w:t xml:space="preserve">racial </w:t>
      </w:r>
      <w:r w:rsidR="00C07605" w:rsidRPr="00E639BA">
        <w:rPr>
          <w:rFonts w:ascii="Times New Roman" w:hAnsi="Times New Roman"/>
          <w:sz w:val="24"/>
          <w:szCs w:val="24"/>
        </w:rPr>
        <w:t>groups</w:t>
      </w:r>
      <w:r w:rsidR="003A6150" w:rsidRPr="00E639BA">
        <w:rPr>
          <w:rFonts w:ascii="Times New Roman" w:hAnsi="Times New Roman"/>
          <w:sz w:val="24"/>
          <w:szCs w:val="24"/>
        </w:rPr>
        <w:t xml:space="preserve">, </w:t>
      </w:r>
      <w:r w:rsidR="00D5408C" w:rsidRPr="00E639BA">
        <w:rPr>
          <w:rFonts w:ascii="Times New Roman" w:hAnsi="Times New Roman"/>
          <w:sz w:val="24"/>
          <w:szCs w:val="24"/>
        </w:rPr>
        <w:t xml:space="preserve">amounting to </w:t>
      </w:r>
      <w:r w:rsidR="003A6150" w:rsidRPr="00E639BA">
        <w:rPr>
          <w:rFonts w:ascii="Times New Roman" w:hAnsi="Times New Roman"/>
          <w:sz w:val="24"/>
          <w:szCs w:val="24"/>
        </w:rPr>
        <w:t>45%</w:t>
      </w:r>
      <w:r w:rsidR="00C07605" w:rsidRPr="00E639BA">
        <w:rPr>
          <w:rFonts w:ascii="Times New Roman" w:hAnsi="Times New Roman"/>
          <w:sz w:val="24"/>
          <w:szCs w:val="24"/>
        </w:rPr>
        <w:t xml:space="preserve"> in 2000 and </w:t>
      </w:r>
      <w:r w:rsidR="009C04E5" w:rsidRPr="00E639BA">
        <w:rPr>
          <w:rFonts w:ascii="Times New Roman" w:hAnsi="Times New Roman"/>
          <w:sz w:val="24"/>
          <w:szCs w:val="24"/>
        </w:rPr>
        <w:t xml:space="preserve">to </w:t>
      </w:r>
      <w:r w:rsidR="00C07605" w:rsidRPr="00E639BA">
        <w:rPr>
          <w:rFonts w:ascii="Times New Roman" w:hAnsi="Times New Roman"/>
          <w:sz w:val="24"/>
          <w:szCs w:val="24"/>
        </w:rPr>
        <w:t>47% in 2010</w:t>
      </w:r>
      <w:r w:rsidR="003A6150" w:rsidRPr="00E639BA">
        <w:rPr>
          <w:rFonts w:ascii="Times New Roman" w:hAnsi="Times New Roman"/>
          <w:sz w:val="24"/>
          <w:szCs w:val="24"/>
        </w:rPr>
        <w:t xml:space="preserve">. </w:t>
      </w:r>
    </w:p>
    <w:p w:rsidR="00F573C0" w:rsidRPr="00E639BA" w:rsidRDefault="007B59F0"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A</w:t>
      </w:r>
      <w:r w:rsidR="00B26277" w:rsidRPr="00E639BA">
        <w:rPr>
          <w:rFonts w:ascii="Times New Roman" w:hAnsi="Times New Roman"/>
          <w:sz w:val="24"/>
          <w:szCs w:val="24"/>
        </w:rPr>
        <w:t>s also shown in</w:t>
      </w:r>
      <w:r w:rsidRPr="00E639BA">
        <w:rPr>
          <w:rFonts w:ascii="Times New Roman" w:hAnsi="Times New Roman"/>
          <w:sz w:val="24"/>
          <w:szCs w:val="24"/>
        </w:rPr>
        <w:t xml:space="preserve"> T</w:t>
      </w:r>
      <w:r w:rsidR="00A74C47" w:rsidRPr="00E639BA">
        <w:rPr>
          <w:rFonts w:ascii="Times New Roman" w:hAnsi="Times New Roman"/>
          <w:sz w:val="24"/>
          <w:szCs w:val="24"/>
        </w:rPr>
        <w:t xml:space="preserve">able </w:t>
      </w:r>
      <w:r w:rsidR="009855E8">
        <w:rPr>
          <w:rFonts w:ascii="Times New Roman" w:hAnsi="Times New Roman"/>
          <w:sz w:val="24"/>
          <w:szCs w:val="24"/>
        </w:rPr>
        <w:t>2</w:t>
      </w:r>
      <w:r w:rsidRPr="00E639BA">
        <w:rPr>
          <w:rFonts w:ascii="Times New Roman" w:hAnsi="Times New Roman"/>
          <w:sz w:val="24"/>
          <w:szCs w:val="24"/>
        </w:rPr>
        <w:t>,</w:t>
      </w:r>
      <w:r w:rsidR="00A74C47" w:rsidRPr="00E639BA">
        <w:rPr>
          <w:rFonts w:ascii="Times New Roman" w:hAnsi="Times New Roman"/>
          <w:sz w:val="24"/>
          <w:szCs w:val="24"/>
        </w:rPr>
        <w:t xml:space="preserve"> </w:t>
      </w:r>
      <w:r w:rsidR="00B510E9" w:rsidRPr="00E639BA">
        <w:rPr>
          <w:rFonts w:ascii="Times New Roman" w:hAnsi="Times New Roman"/>
          <w:sz w:val="24"/>
          <w:szCs w:val="24"/>
        </w:rPr>
        <w:t xml:space="preserve">black workers </w:t>
      </w:r>
      <w:r w:rsidR="00716DF0" w:rsidRPr="00E639BA">
        <w:rPr>
          <w:rFonts w:ascii="Times New Roman" w:hAnsi="Times New Roman"/>
          <w:sz w:val="24"/>
          <w:szCs w:val="24"/>
        </w:rPr>
        <w:t>are slightly younger than white</w:t>
      </w:r>
      <w:r w:rsidR="00B510E9" w:rsidRPr="00E639BA">
        <w:rPr>
          <w:rFonts w:ascii="Times New Roman" w:hAnsi="Times New Roman"/>
          <w:sz w:val="24"/>
          <w:szCs w:val="24"/>
        </w:rPr>
        <w:t xml:space="preserve"> ones</w:t>
      </w:r>
      <w:r w:rsidR="003A10BA" w:rsidRPr="00E639BA">
        <w:rPr>
          <w:rFonts w:ascii="Times New Roman" w:hAnsi="Times New Roman"/>
          <w:sz w:val="24"/>
          <w:szCs w:val="24"/>
        </w:rPr>
        <w:t xml:space="preserve"> and this</w:t>
      </w:r>
      <w:r w:rsidRPr="00E639BA">
        <w:rPr>
          <w:rFonts w:ascii="Times New Roman" w:hAnsi="Times New Roman"/>
          <w:sz w:val="24"/>
          <w:szCs w:val="24"/>
        </w:rPr>
        <w:t xml:space="preserve"> age differential increased between 2000 and 2010</w:t>
      </w:r>
      <w:r w:rsidR="00B510E9" w:rsidRPr="00E639BA">
        <w:rPr>
          <w:rFonts w:ascii="Times New Roman" w:hAnsi="Times New Roman"/>
          <w:sz w:val="24"/>
          <w:szCs w:val="24"/>
        </w:rPr>
        <w:t xml:space="preserve">. </w:t>
      </w:r>
      <w:r w:rsidR="00F143C0" w:rsidRPr="00E639BA">
        <w:rPr>
          <w:rFonts w:ascii="Times New Roman" w:hAnsi="Times New Roman"/>
          <w:sz w:val="24"/>
          <w:szCs w:val="24"/>
        </w:rPr>
        <w:t>Women</w:t>
      </w:r>
      <w:r w:rsidR="00CC6D1B" w:rsidRPr="00E639BA">
        <w:rPr>
          <w:rFonts w:ascii="Times New Roman" w:hAnsi="Times New Roman"/>
          <w:sz w:val="24"/>
          <w:szCs w:val="24"/>
        </w:rPr>
        <w:t>’s</w:t>
      </w:r>
      <w:r w:rsidR="00F143C0" w:rsidRPr="00E639BA">
        <w:rPr>
          <w:rFonts w:ascii="Times New Roman" w:hAnsi="Times New Roman"/>
          <w:sz w:val="24"/>
          <w:szCs w:val="24"/>
        </w:rPr>
        <w:t xml:space="preserve"> participation among black </w:t>
      </w:r>
      <w:r w:rsidR="005D5A4F" w:rsidRPr="00E639BA">
        <w:rPr>
          <w:rFonts w:ascii="Times New Roman" w:hAnsi="Times New Roman"/>
          <w:sz w:val="24"/>
          <w:szCs w:val="24"/>
        </w:rPr>
        <w:t xml:space="preserve">workers with </w:t>
      </w:r>
      <w:r w:rsidR="00B26277" w:rsidRPr="00E639BA">
        <w:rPr>
          <w:rFonts w:ascii="Times New Roman" w:hAnsi="Times New Roman"/>
          <w:sz w:val="24"/>
          <w:szCs w:val="24"/>
        </w:rPr>
        <w:t xml:space="preserve">tertiary education </w:t>
      </w:r>
      <w:r w:rsidR="005D5A4F" w:rsidRPr="00E639BA">
        <w:rPr>
          <w:rFonts w:ascii="Times New Roman" w:hAnsi="Times New Roman"/>
          <w:sz w:val="24"/>
          <w:szCs w:val="24"/>
        </w:rPr>
        <w:t>was 54</w:t>
      </w:r>
      <w:r w:rsidR="00F143C0" w:rsidRPr="00E639BA">
        <w:rPr>
          <w:rFonts w:ascii="Times New Roman" w:hAnsi="Times New Roman"/>
          <w:sz w:val="24"/>
          <w:szCs w:val="24"/>
        </w:rPr>
        <w:t>%</w:t>
      </w:r>
      <w:r w:rsidR="005D5A4F" w:rsidRPr="00E639BA">
        <w:rPr>
          <w:rFonts w:ascii="Times New Roman" w:hAnsi="Times New Roman"/>
          <w:sz w:val="24"/>
          <w:szCs w:val="24"/>
        </w:rPr>
        <w:t xml:space="preserve"> i</w:t>
      </w:r>
      <w:r w:rsidR="001435B7" w:rsidRPr="00E639BA">
        <w:rPr>
          <w:rFonts w:ascii="Times New Roman" w:hAnsi="Times New Roman"/>
          <w:sz w:val="24"/>
          <w:szCs w:val="24"/>
        </w:rPr>
        <w:t>n 2000, and augmented to 61% 10</w:t>
      </w:r>
      <w:r w:rsidR="005D5A4F" w:rsidRPr="00E639BA">
        <w:rPr>
          <w:rFonts w:ascii="Times New Roman" w:hAnsi="Times New Roman"/>
          <w:sz w:val="24"/>
          <w:szCs w:val="24"/>
        </w:rPr>
        <w:t xml:space="preserve"> years later. Among white workers</w:t>
      </w:r>
      <w:r w:rsidR="001435B7" w:rsidRPr="00E639BA">
        <w:rPr>
          <w:rFonts w:ascii="Times New Roman" w:hAnsi="Times New Roman"/>
          <w:sz w:val="24"/>
          <w:szCs w:val="24"/>
        </w:rPr>
        <w:t xml:space="preserve"> with this level of education</w:t>
      </w:r>
      <w:r w:rsidR="005D5A4F" w:rsidRPr="00E639BA">
        <w:rPr>
          <w:rFonts w:ascii="Times New Roman" w:hAnsi="Times New Roman"/>
          <w:sz w:val="24"/>
          <w:szCs w:val="24"/>
        </w:rPr>
        <w:t>, the share of women increased from 52</w:t>
      </w:r>
      <w:r w:rsidR="001302CA" w:rsidRPr="00E639BA">
        <w:rPr>
          <w:rFonts w:ascii="Times New Roman" w:hAnsi="Times New Roman"/>
          <w:sz w:val="24"/>
          <w:szCs w:val="24"/>
        </w:rPr>
        <w:t>% to 56% between 2000 and 2010.</w:t>
      </w:r>
      <w:r w:rsidR="00F573C0" w:rsidRPr="00E639BA">
        <w:rPr>
          <w:rFonts w:ascii="Times New Roman" w:hAnsi="Times New Roman"/>
          <w:sz w:val="24"/>
          <w:szCs w:val="24"/>
        </w:rPr>
        <w:t xml:space="preserve"> </w:t>
      </w:r>
    </w:p>
    <w:p w:rsidR="00463006" w:rsidRDefault="00A06568"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The attainment of a graduate degree is much more common among white individuals than among black ones</w:t>
      </w:r>
      <w:r w:rsidR="003D3E22" w:rsidRPr="00E639BA">
        <w:rPr>
          <w:rFonts w:ascii="Times New Roman" w:hAnsi="Times New Roman"/>
          <w:sz w:val="24"/>
          <w:szCs w:val="24"/>
        </w:rPr>
        <w:t xml:space="preserve">, </w:t>
      </w:r>
      <w:r w:rsidR="00CC6D1B" w:rsidRPr="00E639BA">
        <w:rPr>
          <w:rFonts w:ascii="Times New Roman" w:hAnsi="Times New Roman"/>
          <w:sz w:val="24"/>
          <w:szCs w:val="24"/>
        </w:rPr>
        <w:t xml:space="preserve">which </w:t>
      </w:r>
      <w:r w:rsidR="00B26277" w:rsidRPr="00E639BA">
        <w:rPr>
          <w:rFonts w:ascii="Times New Roman" w:hAnsi="Times New Roman"/>
          <w:sz w:val="24"/>
          <w:szCs w:val="24"/>
        </w:rPr>
        <w:t xml:space="preserve">may </w:t>
      </w:r>
      <w:r w:rsidR="00C63241" w:rsidRPr="00E639BA">
        <w:rPr>
          <w:rFonts w:ascii="Times New Roman" w:hAnsi="Times New Roman"/>
          <w:sz w:val="24"/>
          <w:szCs w:val="24"/>
        </w:rPr>
        <w:t xml:space="preserve">help to explain </w:t>
      </w:r>
      <w:r w:rsidR="00CC2C47" w:rsidRPr="00E639BA">
        <w:rPr>
          <w:rFonts w:ascii="Times New Roman" w:hAnsi="Times New Roman"/>
          <w:sz w:val="24"/>
          <w:szCs w:val="24"/>
        </w:rPr>
        <w:t>part of the racial earnings gap</w:t>
      </w:r>
      <w:r w:rsidR="00C63241" w:rsidRPr="00E639BA">
        <w:rPr>
          <w:rFonts w:ascii="Times New Roman" w:hAnsi="Times New Roman"/>
          <w:sz w:val="24"/>
          <w:szCs w:val="24"/>
        </w:rPr>
        <w:t xml:space="preserve">, </w:t>
      </w:r>
      <w:r w:rsidR="00F573C0" w:rsidRPr="00E639BA">
        <w:rPr>
          <w:rFonts w:ascii="Times New Roman" w:hAnsi="Times New Roman"/>
          <w:sz w:val="24"/>
          <w:szCs w:val="24"/>
        </w:rPr>
        <w:t xml:space="preserve">since workers with this level of education earn almost two times more than those with just a </w:t>
      </w:r>
      <w:r w:rsidR="00B26277" w:rsidRPr="00E639BA">
        <w:rPr>
          <w:rFonts w:ascii="Times New Roman" w:hAnsi="Times New Roman"/>
          <w:sz w:val="24"/>
          <w:szCs w:val="24"/>
        </w:rPr>
        <w:t>bachelor</w:t>
      </w:r>
      <w:r w:rsidR="00CC6D1B" w:rsidRPr="00E639BA">
        <w:rPr>
          <w:rFonts w:ascii="Times New Roman" w:hAnsi="Times New Roman"/>
          <w:sz w:val="24"/>
          <w:szCs w:val="24"/>
        </w:rPr>
        <w:t>’s</w:t>
      </w:r>
      <w:r w:rsidR="00B26277" w:rsidRPr="00E639BA">
        <w:rPr>
          <w:rFonts w:ascii="Times New Roman" w:hAnsi="Times New Roman"/>
          <w:sz w:val="24"/>
          <w:szCs w:val="24"/>
        </w:rPr>
        <w:t xml:space="preserve"> </w:t>
      </w:r>
      <w:r w:rsidR="00F573C0" w:rsidRPr="00E639BA">
        <w:rPr>
          <w:rFonts w:ascii="Times New Roman" w:hAnsi="Times New Roman"/>
          <w:sz w:val="24"/>
          <w:szCs w:val="24"/>
        </w:rPr>
        <w:t>degree, on average</w:t>
      </w:r>
      <w:r w:rsidR="00CC2C47" w:rsidRPr="00E639BA">
        <w:rPr>
          <w:rFonts w:ascii="Times New Roman" w:hAnsi="Times New Roman"/>
          <w:sz w:val="24"/>
          <w:szCs w:val="24"/>
        </w:rPr>
        <w:t xml:space="preserve">. Table </w:t>
      </w:r>
      <w:r w:rsidR="009855E8">
        <w:rPr>
          <w:rFonts w:ascii="Times New Roman" w:hAnsi="Times New Roman"/>
          <w:sz w:val="24"/>
          <w:szCs w:val="24"/>
        </w:rPr>
        <w:t>2</w:t>
      </w:r>
      <w:r w:rsidR="00CC2C47" w:rsidRPr="00E639BA">
        <w:rPr>
          <w:rFonts w:ascii="Times New Roman" w:hAnsi="Times New Roman"/>
          <w:sz w:val="24"/>
          <w:szCs w:val="24"/>
        </w:rPr>
        <w:t xml:space="preserve"> shows that</w:t>
      </w:r>
      <w:r w:rsidRPr="00E639BA">
        <w:rPr>
          <w:rFonts w:ascii="Times New Roman" w:hAnsi="Times New Roman"/>
          <w:sz w:val="24"/>
          <w:szCs w:val="24"/>
        </w:rPr>
        <w:t xml:space="preserve"> </w:t>
      </w:r>
      <w:r w:rsidR="00670301" w:rsidRPr="00E639BA">
        <w:rPr>
          <w:rFonts w:ascii="Times New Roman" w:hAnsi="Times New Roman"/>
          <w:sz w:val="24"/>
          <w:szCs w:val="24"/>
        </w:rPr>
        <w:t xml:space="preserve">4.1% of the black workers </w:t>
      </w:r>
      <w:r w:rsidR="00321DA9" w:rsidRPr="00E639BA">
        <w:rPr>
          <w:rFonts w:ascii="Times New Roman" w:hAnsi="Times New Roman"/>
          <w:sz w:val="24"/>
          <w:szCs w:val="24"/>
        </w:rPr>
        <w:t xml:space="preserve">in the sample </w:t>
      </w:r>
      <w:r w:rsidR="00670301" w:rsidRPr="00E639BA">
        <w:rPr>
          <w:rFonts w:ascii="Times New Roman" w:hAnsi="Times New Roman"/>
          <w:sz w:val="24"/>
          <w:szCs w:val="24"/>
        </w:rPr>
        <w:t xml:space="preserve">had a </w:t>
      </w:r>
      <w:r w:rsidR="00CC6D1B" w:rsidRPr="00E639BA">
        <w:rPr>
          <w:rFonts w:ascii="Times New Roman" w:hAnsi="Times New Roman"/>
          <w:sz w:val="24"/>
          <w:szCs w:val="24"/>
        </w:rPr>
        <w:t>m</w:t>
      </w:r>
      <w:r w:rsidR="00670301" w:rsidRPr="00E639BA">
        <w:rPr>
          <w:rFonts w:ascii="Times New Roman" w:hAnsi="Times New Roman"/>
          <w:sz w:val="24"/>
          <w:szCs w:val="24"/>
        </w:rPr>
        <w:t>aster</w:t>
      </w:r>
      <w:r w:rsidR="00CC6D1B" w:rsidRPr="00E639BA">
        <w:rPr>
          <w:rFonts w:ascii="Times New Roman" w:hAnsi="Times New Roman"/>
          <w:sz w:val="24"/>
          <w:szCs w:val="24"/>
        </w:rPr>
        <w:t>’s</w:t>
      </w:r>
      <w:r w:rsidR="00670301" w:rsidRPr="00E639BA">
        <w:rPr>
          <w:rFonts w:ascii="Times New Roman" w:hAnsi="Times New Roman"/>
          <w:sz w:val="24"/>
          <w:szCs w:val="24"/>
        </w:rPr>
        <w:t xml:space="preserve"> or </w:t>
      </w:r>
      <w:r w:rsidR="00CC6D1B" w:rsidRPr="00E639BA">
        <w:rPr>
          <w:rFonts w:ascii="Times New Roman" w:hAnsi="Times New Roman"/>
          <w:sz w:val="24"/>
          <w:szCs w:val="24"/>
        </w:rPr>
        <w:t>d</w:t>
      </w:r>
      <w:r w:rsidR="00670301" w:rsidRPr="00E639BA">
        <w:rPr>
          <w:rFonts w:ascii="Times New Roman" w:hAnsi="Times New Roman"/>
          <w:sz w:val="24"/>
          <w:szCs w:val="24"/>
        </w:rPr>
        <w:t>octoral degree</w:t>
      </w:r>
      <w:r w:rsidR="00EC5EBA" w:rsidRPr="00E639BA">
        <w:rPr>
          <w:rFonts w:ascii="Times New Roman" w:hAnsi="Times New Roman"/>
          <w:sz w:val="24"/>
          <w:szCs w:val="24"/>
        </w:rPr>
        <w:t xml:space="preserve"> in 2000</w:t>
      </w:r>
      <w:r w:rsidR="00670301" w:rsidRPr="00E639BA">
        <w:rPr>
          <w:rFonts w:ascii="Times New Roman" w:hAnsi="Times New Roman"/>
          <w:sz w:val="24"/>
          <w:szCs w:val="24"/>
        </w:rPr>
        <w:t xml:space="preserve">, and this percentage improved only 0.4 percentage </w:t>
      </w:r>
      <w:proofErr w:type="gramStart"/>
      <w:r w:rsidR="00670301" w:rsidRPr="00E639BA">
        <w:rPr>
          <w:rFonts w:ascii="Times New Roman" w:hAnsi="Times New Roman"/>
          <w:sz w:val="24"/>
          <w:szCs w:val="24"/>
        </w:rPr>
        <w:t>point</w:t>
      </w:r>
      <w:proofErr w:type="gramEnd"/>
      <w:r w:rsidR="006A0826" w:rsidRPr="00E639BA">
        <w:rPr>
          <w:rFonts w:ascii="Times New Roman" w:hAnsi="Times New Roman"/>
          <w:sz w:val="24"/>
          <w:szCs w:val="24"/>
        </w:rPr>
        <w:t xml:space="preserve"> in 10</w:t>
      </w:r>
      <w:r w:rsidR="007A26CA" w:rsidRPr="00E639BA">
        <w:rPr>
          <w:rFonts w:ascii="Times New Roman" w:hAnsi="Times New Roman"/>
          <w:sz w:val="24"/>
          <w:szCs w:val="24"/>
        </w:rPr>
        <w:t xml:space="preserve"> years</w:t>
      </w:r>
      <w:r w:rsidR="00670301" w:rsidRPr="00E639BA">
        <w:rPr>
          <w:rFonts w:ascii="Times New Roman" w:hAnsi="Times New Roman"/>
          <w:sz w:val="24"/>
          <w:szCs w:val="24"/>
        </w:rPr>
        <w:t>.</w:t>
      </w:r>
      <w:r w:rsidR="00321DA9" w:rsidRPr="00E639BA">
        <w:rPr>
          <w:rFonts w:ascii="Times New Roman" w:hAnsi="Times New Roman"/>
          <w:sz w:val="24"/>
          <w:szCs w:val="24"/>
        </w:rPr>
        <w:t xml:space="preserve"> Among white individuals</w:t>
      </w:r>
      <w:r w:rsidR="007A26CA" w:rsidRPr="00E639BA">
        <w:rPr>
          <w:rFonts w:ascii="Times New Roman" w:hAnsi="Times New Roman"/>
          <w:sz w:val="24"/>
          <w:szCs w:val="24"/>
        </w:rPr>
        <w:t xml:space="preserve">, 5.8% had a </w:t>
      </w:r>
      <w:r w:rsidR="00CC6D1B" w:rsidRPr="00E639BA">
        <w:rPr>
          <w:rFonts w:ascii="Times New Roman" w:hAnsi="Times New Roman"/>
          <w:sz w:val="24"/>
          <w:szCs w:val="24"/>
        </w:rPr>
        <w:t>m</w:t>
      </w:r>
      <w:r w:rsidR="007A26CA" w:rsidRPr="00E639BA">
        <w:rPr>
          <w:rFonts w:ascii="Times New Roman" w:hAnsi="Times New Roman"/>
          <w:sz w:val="24"/>
          <w:szCs w:val="24"/>
        </w:rPr>
        <w:t>aster</w:t>
      </w:r>
      <w:r w:rsidR="00CC6D1B" w:rsidRPr="00E639BA">
        <w:rPr>
          <w:rFonts w:ascii="Times New Roman" w:hAnsi="Times New Roman"/>
          <w:sz w:val="24"/>
          <w:szCs w:val="24"/>
        </w:rPr>
        <w:t>’s</w:t>
      </w:r>
      <w:r w:rsidR="007A26CA" w:rsidRPr="00E639BA">
        <w:rPr>
          <w:rFonts w:ascii="Times New Roman" w:hAnsi="Times New Roman"/>
          <w:sz w:val="24"/>
          <w:szCs w:val="24"/>
        </w:rPr>
        <w:t xml:space="preserve"> or </w:t>
      </w:r>
      <w:r w:rsidR="00CC6D1B" w:rsidRPr="00E639BA">
        <w:rPr>
          <w:rFonts w:ascii="Times New Roman" w:hAnsi="Times New Roman"/>
          <w:sz w:val="24"/>
          <w:szCs w:val="24"/>
        </w:rPr>
        <w:t>d</w:t>
      </w:r>
      <w:r w:rsidR="007A26CA" w:rsidRPr="00E639BA">
        <w:rPr>
          <w:rFonts w:ascii="Times New Roman" w:hAnsi="Times New Roman"/>
          <w:sz w:val="24"/>
          <w:szCs w:val="24"/>
        </w:rPr>
        <w:t xml:space="preserve">octoral degree in 2000, and this percentage increased to 6.9% in 2010. </w:t>
      </w:r>
    </w:p>
    <w:p w:rsidR="005E4E55" w:rsidRDefault="005E4E55" w:rsidP="00C17C6A">
      <w:pPr>
        <w:spacing w:line="240" w:lineRule="auto"/>
        <w:ind w:firstLine="708"/>
        <w:contextualSpacing/>
        <w:jc w:val="both"/>
        <w:rPr>
          <w:rFonts w:ascii="Times New Roman" w:hAnsi="Times New Roman"/>
          <w:sz w:val="24"/>
          <w:szCs w:val="24"/>
        </w:rPr>
      </w:pPr>
    </w:p>
    <w:p w:rsidR="005E4E55" w:rsidRDefault="005E4E55" w:rsidP="00AC78CE">
      <w:pPr>
        <w:spacing w:line="240" w:lineRule="auto"/>
        <w:contextualSpacing/>
        <w:jc w:val="center"/>
        <w:rPr>
          <w:rFonts w:ascii="Times New Roman" w:hAnsi="Times New Roman"/>
          <w:sz w:val="24"/>
          <w:szCs w:val="24"/>
        </w:rPr>
      </w:pPr>
      <w:r w:rsidRPr="00D93968">
        <w:rPr>
          <w:noProof/>
          <w:lang w:val="pt-BR" w:eastAsia="pt-BR"/>
        </w:rPr>
        <w:drawing>
          <wp:inline distT="0" distB="0" distL="0" distR="0" wp14:anchorId="1FEAF4DF" wp14:editId="13C0D213">
            <wp:extent cx="4791075" cy="49961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4996140"/>
                    </a:xfrm>
                    <a:prstGeom prst="rect">
                      <a:avLst/>
                    </a:prstGeom>
                    <a:noFill/>
                    <a:ln>
                      <a:noFill/>
                    </a:ln>
                  </pic:spPr>
                </pic:pic>
              </a:graphicData>
            </a:graphic>
          </wp:inline>
        </w:drawing>
      </w:r>
    </w:p>
    <w:p w:rsidR="005E4E55" w:rsidRPr="00E639BA" w:rsidRDefault="005E4E55" w:rsidP="00C17C6A">
      <w:pPr>
        <w:spacing w:line="240" w:lineRule="auto"/>
        <w:ind w:firstLine="708"/>
        <w:contextualSpacing/>
        <w:jc w:val="center"/>
        <w:rPr>
          <w:rFonts w:ascii="Times New Roman" w:hAnsi="Times New Roman"/>
          <w:sz w:val="24"/>
          <w:szCs w:val="24"/>
        </w:rPr>
      </w:pPr>
    </w:p>
    <w:p w:rsidR="002E13F4" w:rsidRDefault="0075511F"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Forty percent of the black </w:t>
      </w:r>
      <w:r w:rsidR="00DC3F66" w:rsidRPr="00E639BA">
        <w:rPr>
          <w:rFonts w:ascii="Times New Roman" w:hAnsi="Times New Roman"/>
          <w:sz w:val="24"/>
          <w:szCs w:val="24"/>
        </w:rPr>
        <w:t>individuals we</w:t>
      </w:r>
      <w:r w:rsidR="00A74C47" w:rsidRPr="00E639BA">
        <w:rPr>
          <w:rFonts w:ascii="Times New Roman" w:hAnsi="Times New Roman"/>
          <w:sz w:val="24"/>
          <w:szCs w:val="24"/>
        </w:rPr>
        <w:t>re in occupation</w:t>
      </w:r>
      <w:r w:rsidR="00D74DE3" w:rsidRPr="00E639BA">
        <w:rPr>
          <w:rFonts w:ascii="Times New Roman" w:hAnsi="Times New Roman"/>
          <w:sz w:val="24"/>
          <w:szCs w:val="24"/>
        </w:rPr>
        <w:t>s</w:t>
      </w:r>
      <w:r w:rsidR="00A74C47" w:rsidRPr="00E639BA">
        <w:rPr>
          <w:rFonts w:ascii="Times New Roman" w:hAnsi="Times New Roman"/>
          <w:sz w:val="24"/>
          <w:szCs w:val="24"/>
        </w:rPr>
        <w:t xml:space="preserve"> associated with their fields of study</w:t>
      </w:r>
      <w:r w:rsidR="00DC3F66" w:rsidRPr="00E639BA">
        <w:rPr>
          <w:rFonts w:ascii="Times New Roman" w:hAnsi="Times New Roman"/>
          <w:sz w:val="24"/>
          <w:szCs w:val="24"/>
        </w:rPr>
        <w:t xml:space="preserve"> in 2000, while among whites </w:t>
      </w:r>
      <w:r w:rsidR="00572FC5" w:rsidRPr="00E639BA">
        <w:rPr>
          <w:rFonts w:ascii="Times New Roman" w:hAnsi="Times New Roman"/>
          <w:sz w:val="24"/>
          <w:szCs w:val="24"/>
        </w:rPr>
        <w:t xml:space="preserve">45% were </w:t>
      </w:r>
      <w:r w:rsidR="00DC3F66" w:rsidRPr="00E639BA">
        <w:rPr>
          <w:rFonts w:ascii="Times New Roman" w:hAnsi="Times New Roman"/>
          <w:sz w:val="24"/>
          <w:szCs w:val="24"/>
        </w:rPr>
        <w:t>in this same situation</w:t>
      </w:r>
      <w:r w:rsidR="00A74C47" w:rsidRPr="00E639BA">
        <w:rPr>
          <w:rFonts w:ascii="Times New Roman" w:hAnsi="Times New Roman"/>
          <w:sz w:val="24"/>
          <w:szCs w:val="24"/>
        </w:rPr>
        <w:t>.</w:t>
      </w:r>
      <w:r w:rsidR="001170D5" w:rsidRPr="00E639BA">
        <w:rPr>
          <w:rFonts w:ascii="Times New Roman" w:hAnsi="Times New Roman"/>
          <w:sz w:val="24"/>
          <w:szCs w:val="24"/>
        </w:rPr>
        <w:t xml:space="preserve"> Between 2000 and</w:t>
      </w:r>
      <w:r w:rsidR="00DC3F66" w:rsidRPr="00E639BA">
        <w:rPr>
          <w:rFonts w:ascii="Times New Roman" w:hAnsi="Times New Roman"/>
          <w:sz w:val="24"/>
          <w:szCs w:val="24"/>
        </w:rPr>
        <w:t xml:space="preserve"> 2010, </w:t>
      </w:r>
      <w:r w:rsidR="00BA769B" w:rsidRPr="00E639BA">
        <w:rPr>
          <w:rFonts w:ascii="Times New Roman" w:hAnsi="Times New Roman"/>
          <w:sz w:val="24"/>
          <w:szCs w:val="24"/>
        </w:rPr>
        <w:t>the percentage of those in</w:t>
      </w:r>
      <w:r w:rsidR="00A74C47" w:rsidRPr="00E639BA">
        <w:rPr>
          <w:rFonts w:ascii="Times New Roman" w:hAnsi="Times New Roman"/>
          <w:sz w:val="24"/>
          <w:szCs w:val="24"/>
        </w:rPr>
        <w:t xml:space="preserve"> </w:t>
      </w:r>
      <w:r w:rsidR="00BA769B" w:rsidRPr="00E639BA">
        <w:rPr>
          <w:rFonts w:ascii="Times New Roman" w:hAnsi="Times New Roman"/>
          <w:sz w:val="24"/>
          <w:szCs w:val="24"/>
        </w:rPr>
        <w:t xml:space="preserve">occupations considered related to the area of study improved 9 percentage points among black individuals and 7 percentage points </w:t>
      </w:r>
      <w:r w:rsidR="00BA769B" w:rsidRPr="00E639BA">
        <w:rPr>
          <w:rFonts w:ascii="Times New Roman" w:hAnsi="Times New Roman"/>
          <w:sz w:val="24"/>
          <w:szCs w:val="24"/>
        </w:rPr>
        <w:lastRenderedPageBreak/>
        <w:t>among white ones.</w:t>
      </w:r>
      <w:r w:rsidR="0056225A" w:rsidRPr="00E639BA">
        <w:rPr>
          <w:rFonts w:ascii="Times New Roman" w:hAnsi="Times New Roman"/>
          <w:sz w:val="24"/>
          <w:szCs w:val="24"/>
        </w:rPr>
        <w:t xml:space="preserve"> </w:t>
      </w:r>
      <w:r w:rsidR="00172488" w:rsidRPr="00E639BA">
        <w:rPr>
          <w:rFonts w:ascii="Times New Roman" w:hAnsi="Times New Roman"/>
          <w:sz w:val="24"/>
          <w:szCs w:val="24"/>
        </w:rPr>
        <w:t xml:space="preserve">As also shown in Table </w:t>
      </w:r>
      <w:r w:rsidR="009855E8">
        <w:rPr>
          <w:rFonts w:ascii="Times New Roman" w:hAnsi="Times New Roman"/>
          <w:sz w:val="24"/>
          <w:szCs w:val="24"/>
        </w:rPr>
        <w:t>2</w:t>
      </w:r>
      <w:r w:rsidR="00172488" w:rsidRPr="00E639BA">
        <w:rPr>
          <w:rFonts w:ascii="Times New Roman" w:hAnsi="Times New Roman"/>
          <w:sz w:val="24"/>
          <w:szCs w:val="24"/>
        </w:rPr>
        <w:t xml:space="preserve">, 36.5% of </w:t>
      </w:r>
      <w:r w:rsidR="00C50BD3" w:rsidRPr="00E639BA">
        <w:rPr>
          <w:rFonts w:ascii="Times New Roman" w:hAnsi="Times New Roman"/>
          <w:sz w:val="24"/>
          <w:szCs w:val="24"/>
        </w:rPr>
        <w:t xml:space="preserve">the </w:t>
      </w:r>
      <w:r w:rsidR="0007539E" w:rsidRPr="00E639BA">
        <w:rPr>
          <w:rFonts w:ascii="Times New Roman" w:hAnsi="Times New Roman"/>
          <w:sz w:val="24"/>
          <w:szCs w:val="24"/>
        </w:rPr>
        <w:t>black</w:t>
      </w:r>
      <w:r w:rsidR="00172488" w:rsidRPr="00E639BA">
        <w:rPr>
          <w:rFonts w:ascii="Times New Roman" w:hAnsi="Times New Roman"/>
          <w:sz w:val="24"/>
          <w:szCs w:val="24"/>
        </w:rPr>
        <w:t xml:space="preserve"> </w:t>
      </w:r>
      <w:r w:rsidR="0007539E" w:rsidRPr="00E639BA">
        <w:rPr>
          <w:rFonts w:ascii="Times New Roman" w:hAnsi="Times New Roman"/>
          <w:sz w:val="24"/>
          <w:szCs w:val="24"/>
        </w:rPr>
        <w:t xml:space="preserve">individuals </w:t>
      </w:r>
      <w:r w:rsidR="00B81DED" w:rsidRPr="00E639BA">
        <w:rPr>
          <w:rFonts w:ascii="Times New Roman" w:hAnsi="Times New Roman"/>
          <w:sz w:val="24"/>
          <w:szCs w:val="24"/>
        </w:rPr>
        <w:t xml:space="preserve">in 2000 </w:t>
      </w:r>
      <w:r w:rsidR="0007539E" w:rsidRPr="00E639BA">
        <w:rPr>
          <w:rFonts w:ascii="Times New Roman" w:hAnsi="Times New Roman"/>
          <w:sz w:val="24"/>
          <w:szCs w:val="24"/>
        </w:rPr>
        <w:t>were work</w:t>
      </w:r>
      <w:r w:rsidR="00C50BD3" w:rsidRPr="00E639BA">
        <w:rPr>
          <w:rFonts w:ascii="Times New Roman" w:hAnsi="Times New Roman"/>
          <w:sz w:val="24"/>
          <w:szCs w:val="24"/>
        </w:rPr>
        <w:t>ing in occupations that require</w:t>
      </w:r>
      <w:r w:rsidR="0007539E" w:rsidRPr="00E639BA">
        <w:rPr>
          <w:rFonts w:ascii="Times New Roman" w:hAnsi="Times New Roman"/>
          <w:sz w:val="24"/>
          <w:szCs w:val="24"/>
        </w:rPr>
        <w:t xml:space="preserve"> a lower level of education than a </w:t>
      </w:r>
      <w:r w:rsidR="002C33F8" w:rsidRPr="00E639BA">
        <w:rPr>
          <w:rFonts w:ascii="Times New Roman" w:hAnsi="Times New Roman"/>
          <w:sz w:val="24"/>
          <w:szCs w:val="24"/>
        </w:rPr>
        <w:t>bachelor</w:t>
      </w:r>
      <w:r w:rsidR="00CC6D1B" w:rsidRPr="00E639BA">
        <w:rPr>
          <w:rFonts w:ascii="Times New Roman" w:hAnsi="Times New Roman"/>
          <w:sz w:val="24"/>
          <w:szCs w:val="24"/>
        </w:rPr>
        <w:t>’s</w:t>
      </w:r>
      <w:r w:rsidR="002C33F8" w:rsidRPr="00E639BA">
        <w:rPr>
          <w:rFonts w:ascii="Times New Roman" w:hAnsi="Times New Roman"/>
          <w:sz w:val="24"/>
          <w:szCs w:val="24"/>
        </w:rPr>
        <w:t xml:space="preserve"> </w:t>
      </w:r>
      <w:r w:rsidR="0007539E" w:rsidRPr="00E639BA">
        <w:rPr>
          <w:rFonts w:ascii="Times New Roman" w:hAnsi="Times New Roman"/>
          <w:sz w:val="24"/>
          <w:szCs w:val="24"/>
        </w:rPr>
        <w:t>degree</w:t>
      </w:r>
      <w:r w:rsidR="00CC6D1B" w:rsidRPr="00E639BA">
        <w:rPr>
          <w:rFonts w:ascii="Times New Roman" w:hAnsi="Times New Roman"/>
          <w:sz w:val="24"/>
          <w:szCs w:val="24"/>
        </w:rPr>
        <w:t>,</w:t>
      </w:r>
      <w:r w:rsidR="0007539E" w:rsidRPr="00E639BA">
        <w:rPr>
          <w:rFonts w:ascii="Times New Roman" w:hAnsi="Times New Roman"/>
          <w:sz w:val="24"/>
          <w:szCs w:val="24"/>
        </w:rPr>
        <w:t xml:space="preserve"> which was 5 percentage points higher </w:t>
      </w:r>
      <w:r w:rsidR="00B81DED" w:rsidRPr="00E639BA">
        <w:rPr>
          <w:rFonts w:ascii="Times New Roman" w:hAnsi="Times New Roman"/>
          <w:sz w:val="24"/>
          <w:szCs w:val="24"/>
        </w:rPr>
        <w:t>compared to</w:t>
      </w:r>
      <w:r w:rsidR="0007539E" w:rsidRPr="00E639BA">
        <w:rPr>
          <w:rFonts w:ascii="Times New Roman" w:hAnsi="Times New Roman"/>
          <w:sz w:val="24"/>
          <w:szCs w:val="24"/>
        </w:rPr>
        <w:t xml:space="preserve"> white </w:t>
      </w:r>
      <w:r w:rsidR="00B81DED" w:rsidRPr="00E639BA">
        <w:rPr>
          <w:rFonts w:ascii="Times New Roman" w:hAnsi="Times New Roman"/>
          <w:sz w:val="24"/>
          <w:szCs w:val="24"/>
        </w:rPr>
        <w:t xml:space="preserve">individuals </w:t>
      </w:r>
      <w:r w:rsidR="0007539E" w:rsidRPr="00E639BA">
        <w:rPr>
          <w:rFonts w:ascii="Times New Roman" w:hAnsi="Times New Roman"/>
          <w:sz w:val="24"/>
          <w:szCs w:val="24"/>
        </w:rPr>
        <w:t xml:space="preserve">in the same situation. </w:t>
      </w:r>
      <w:r w:rsidR="00655BE4" w:rsidRPr="00E639BA">
        <w:rPr>
          <w:rFonts w:ascii="Times New Roman" w:hAnsi="Times New Roman"/>
          <w:sz w:val="24"/>
          <w:szCs w:val="24"/>
        </w:rPr>
        <w:t xml:space="preserve">This difference diminished </w:t>
      </w:r>
      <w:r w:rsidR="00ED61EC" w:rsidRPr="00E639BA">
        <w:rPr>
          <w:rFonts w:ascii="Times New Roman" w:hAnsi="Times New Roman"/>
          <w:sz w:val="24"/>
          <w:szCs w:val="24"/>
        </w:rPr>
        <w:t>2 percentage points from 2000 to 2010.</w:t>
      </w:r>
      <w:r w:rsidR="00192616" w:rsidRPr="00E639BA">
        <w:rPr>
          <w:rFonts w:ascii="Times New Roman" w:hAnsi="Times New Roman"/>
          <w:sz w:val="24"/>
          <w:szCs w:val="24"/>
        </w:rPr>
        <w:t xml:space="preserve"> </w:t>
      </w:r>
      <w:r w:rsidR="001631E1" w:rsidRPr="00E639BA">
        <w:rPr>
          <w:rFonts w:ascii="Times New Roman" w:hAnsi="Times New Roman"/>
          <w:sz w:val="24"/>
          <w:szCs w:val="24"/>
        </w:rPr>
        <w:t xml:space="preserve">Some human capital accumulated during </w:t>
      </w:r>
      <w:r w:rsidR="002C33F8" w:rsidRPr="00E639BA">
        <w:rPr>
          <w:rFonts w:ascii="Times New Roman" w:hAnsi="Times New Roman"/>
          <w:sz w:val="24"/>
          <w:szCs w:val="24"/>
        </w:rPr>
        <w:t xml:space="preserve">tertiary </w:t>
      </w:r>
      <w:r w:rsidR="001631E1" w:rsidRPr="00E639BA">
        <w:rPr>
          <w:rFonts w:ascii="Times New Roman" w:hAnsi="Times New Roman"/>
          <w:sz w:val="24"/>
          <w:szCs w:val="24"/>
        </w:rPr>
        <w:t>education is occupation-specific, and an individual may have an income penalty when his or her occupation does not match the field of study (</w:t>
      </w:r>
      <w:proofErr w:type="spellStart"/>
      <w:r w:rsidR="001631E1" w:rsidRPr="00E639BA">
        <w:rPr>
          <w:rFonts w:ascii="Times New Roman" w:hAnsi="Times New Roman"/>
          <w:sz w:val="24"/>
          <w:szCs w:val="24"/>
        </w:rPr>
        <w:t>Robst</w:t>
      </w:r>
      <w:proofErr w:type="spellEnd"/>
      <w:r w:rsidR="001631E1" w:rsidRPr="00E639BA">
        <w:rPr>
          <w:rFonts w:ascii="Times New Roman" w:hAnsi="Times New Roman"/>
          <w:sz w:val="24"/>
          <w:szCs w:val="24"/>
        </w:rPr>
        <w:t xml:space="preserve">, 2007; and </w:t>
      </w:r>
      <w:proofErr w:type="spellStart"/>
      <w:r w:rsidR="001631E1" w:rsidRPr="00E639BA">
        <w:rPr>
          <w:rFonts w:ascii="Times New Roman" w:hAnsi="Times New Roman"/>
          <w:sz w:val="24"/>
          <w:szCs w:val="24"/>
        </w:rPr>
        <w:t>Nordin</w:t>
      </w:r>
      <w:proofErr w:type="spellEnd"/>
      <w:r w:rsidR="001631E1" w:rsidRPr="00E639BA">
        <w:rPr>
          <w:rFonts w:ascii="Times New Roman" w:hAnsi="Times New Roman"/>
          <w:sz w:val="24"/>
          <w:szCs w:val="24"/>
        </w:rPr>
        <w:t xml:space="preserve"> et al.</w:t>
      </w:r>
      <w:r w:rsidR="00AF3436">
        <w:rPr>
          <w:rFonts w:ascii="Times New Roman" w:hAnsi="Times New Roman"/>
          <w:sz w:val="24"/>
          <w:szCs w:val="24"/>
        </w:rPr>
        <w:t>,</w:t>
      </w:r>
      <w:r w:rsidR="001631E1" w:rsidRPr="00E639BA">
        <w:rPr>
          <w:rFonts w:ascii="Times New Roman" w:hAnsi="Times New Roman"/>
          <w:sz w:val="24"/>
          <w:szCs w:val="24"/>
        </w:rPr>
        <w:t xml:space="preserve"> 2010)</w:t>
      </w:r>
      <w:r w:rsidR="00ED61EC" w:rsidRPr="00E639BA">
        <w:rPr>
          <w:rFonts w:ascii="Times New Roman" w:hAnsi="Times New Roman"/>
          <w:sz w:val="24"/>
          <w:szCs w:val="24"/>
        </w:rPr>
        <w:t xml:space="preserve"> or requires a lower level of schooling </w:t>
      </w:r>
      <w:r w:rsidR="001631E1" w:rsidRPr="00E639BA">
        <w:rPr>
          <w:rFonts w:ascii="Times New Roman" w:hAnsi="Times New Roman"/>
          <w:sz w:val="24"/>
          <w:szCs w:val="24"/>
        </w:rPr>
        <w:t xml:space="preserve">(Hartog, 2000). Thus, </w:t>
      </w:r>
      <w:r w:rsidR="0085023D" w:rsidRPr="00E639BA">
        <w:rPr>
          <w:rFonts w:ascii="Times New Roman" w:hAnsi="Times New Roman"/>
          <w:sz w:val="24"/>
          <w:szCs w:val="24"/>
        </w:rPr>
        <w:t xml:space="preserve">the </w:t>
      </w:r>
      <w:r w:rsidR="001631E1" w:rsidRPr="00E639BA">
        <w:rPr>
          <w:rFonts w:ascii="Times New Roman" w:hAnsi="Times New Roman"/>
          <w:sz w:val="24"/>
          <w:szCs w:val="24"/>
        </w:rPr>
        <w:t xml:space="preserve">descriptive statistics in Table </w:t>
      </w:r>
      <w:r w:rsidR="009855E8">
        <w:rPr>
          <w:rFonts w:ascii="Times New Roman" w:hAnsi="Times New Roman"/>
          <w:sz w:val="24"/>
          <w:szCs w:val="24"/>
        </w:rPr>
        <w:t>2</w:t>
      </w:r>
      <w:r w:rsidR="001631E1" w:rsidRPr="00E639BA">
        <w:rPr>
          <w:rFonts w:ascii="Times New Roman" w:hAnsi="Times New Roman"/>
          <w:sz w:val="24"/>
          <w:szCs w:val="24"/>
        </w:rPr>
        <w:t xml:space="preserve"> also suggest that </w:t>
      </w:r>
      <w:r w:rsidR="00ED61EC" w:rsidRPr="00E639BA">
        <w:rPr>
          <w:rFonts w:ascii="Times New Roman" w:hAnsi="Times New Roman"/>
          <w:sz w:val="24"/>
          <w:szCs w:val="24"/>
        </w:rPr>
        <w:t xml:space="preserve">part of </w:t>
      </w:r>
      <w:r w:rsidR="00192616" w:rsidRPr="00E639BA">
        <w:rPr>
          <w:rFonts w:ascii="Times New Roman" w:hAnsi="Times New Roman"/>
          <w:sz w:val="24"/>
          <w:szCs w:val="24"/>
        </w:rPr>
        <w:t xml:space="preserve">the earnings gap by race may be due to </w:t>
      </w:r>
      <w:r w:rsidR="0085023D" w:rsidRPr="00E639BA">
        <w:rPr>
          <w:rFonts w:ascii="Times New Roman" w:hAnsi="Times New Roman"/>
          <w:sz w:val="24"/>
          <w:szCs w:val="24"/>
        </w:rPr>
        <w:t xml:space="preserve">a </w:t>
      </w:r>
      <w:r w:rsidR="001631E1" w:rsidRPr="00E639BA">
        <w:rPr>
          <w:rFonts w:ascii="Times New Roman" w:hAnsi="Times New Roman"/>
          <w:sz w:val="24"/>
          <w:szCs w:val="24"/>
        </w:rPr>
        <w:t>job-education mismatch</w:t>
      </w:r>
      <w:r w:rsidR="00192616" w:rsidRPr="00E639BA">
        <w:rPr>
          <w:rFonts w:ascii="Times New Roman" w:hAnsi="Times New Roman"/>
          <w:sz w:val="24"/>
          <w:szCs w:val="24"/>
        </w:rPr>
        <w:t>.</w:t>
      </w:r>
      <w:r w:rsidR="001631E1" w:rsidRPr="00E639BA">
        <w:rPr>
          <w:rFonts w:ascii="Times New Roman" w:hAnsi="Times New Roman"/>
          <w:sz w:val="24"/>
          <w:szCs w:val="24"/>
        </w:rPr>
        <w:t xml:space="preserve"> </w:t>
      </w:r>
    </w:p>
    <w:p w:rsidR="00AC78CE" w:rsidRPr="00E639BA" w:rsidRDefault="00AC78CE" w:rsidP="00C17C6A">
      <w:pPr>
        <w:spacing w:line="240" w:lineRule="auto"/>
        <w:ind w:firstLine="708"/>
        <w:contextualSpacing/>
        <w:jc w:val="both"/>
        <w:rPr>
          <w:rFonts w:ascii="Times New Roman" w:hAnsi="Times New Roman"/>
          <w:sz w:val="24"/>
          <w:szCs w:val="24"/>
        </w:rPr>
      </w:pPr>
    </w:p>
    <w:p w:rsidR="005E4E55" w:rsidRDefault="005E4E55" w:rsidP="00C17C6A">
      <w:pPr>
        <w:spacing w:line="240" w:lineRule="auto"/>
        <w:ind w:firstLine="708"/>
        <w:contextualSpacing/>
        <w:jc w:val="both"/>
        <w:rPr>
          <w:rFonts w:ascii="Times New Roman" w:hAnsi="Times New Roman"/>
          <w:sz w:val="24"/>
          <w:szCs w:val="24"/>
        </w:rPr>
      </w:pPr>
      <w:r w:rsidRPr="00B53F65">
        <w:rPr>
          <w:noProof/>
          <w:lang w:val="pt-BR" w:eastAsia="pt-BR"/>
        </w:rPr>
        <w:drawing>
          <wp:inline distT="0" distB="0" distL="0" distR="0" wp14:anchorId="6747EC2E" wp14:editId="4D3C9347">
            <wp:extent cx="4476750" cy="69987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046" cy="7002330"/>
                    </a:xfrm>
                    <a:prstGeom prst="rect">
                      <a:avLst/>
                    </a:prstGeom>
                    <a:noFill/>
                    <a:ln>
                      <a:noFill/>
                    </a:ln>
                  </pic:spPr>
                </pic:pic>
              </a:graphicData>
            </a:graphic>
          </wp:inline>
        </w:drawing>
      </w:r>
    </w:p>
    <w:p w:rsidR="005E4E55" w:rsidRPr="00E639BA" w:rsidRDefault="00463006"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lastRenderedPageBreak/>
        <w:t xml:space="preserve">Figure 1 presents the relationship between the participation of black workers in a given field of study and the mean hourly labor earnings for white and black workers in the same field. As can be seen, both periods reveal that the distribution of white and black workers is very different across fields of study. In 2000, the share of black individuals in each area of study ranges from 10.6% in engineering to 23% in </w:t>
      </w:r>
      <w:r w:rsidR="0085023D" w:rsidRPr="00E639BA">
        <w:rPr>
          <w:rFonts w:ascii="Times New Roman" w:hAnsi="Times New Roman"/>
          <w:sz w:val="24"/>
          <w:szCs w:val="24"/>
        </w:rPr>
        <w:t>s</w:t>
      </w:r>
      <w:r w:rsidRPr="00E639BA">
        <w:rPr>
          <w:rFonts w:ascii="Times New Roman" w:hAnsi="Times New Roman"/>
          <w:sz w:val="24"/>
          <w:szCs w:val="24"/>
        </w:rPr>
        <w:t>ocial care. The three fields with higher proportions of black individuals (</w:t>
      </w:r>
      <w:r w:rsidR="0085023D" w:rsidRPr="00E639BA">
        <w:rPr>
          <w:rFonts w:ascii="Times New Roman" w:hAnsi="Times New Roman"/>
          <w:sz w:val="24"/>
          <w:szCs w:val="24"/>
        </w:rPr>
        <w:t>e</w:t>
      </w:r>
      <w:r w:rsidRPr="00E639BA">
        <w:rPr>
          <w:rFonts w:ascii="Times New Roman" w:hAnsi="Times New Roman"/>
          <w:sz w:val="24"/>
          <w:szCs w:val="24"/>
        </w:rPr>
        <w:t xml:space="preserve">ducation and </w:t>
      </w:r>
      <w:r w:rsidR="0085023D" w:rsidRPr="00E639BA">
        <w:rPr>
          <w:rFonts w:ascii="Times New Roman" w:hAnsi="Times New Roman"/>
          <w:sz w:val="24"/>
          <w:szCs w:val="24"/>
        </w:rPr>
        <w:t>a</w:t>
      </w:r>
      <w:r w:rsidRPr="00E639BA">
        <w:rPr>
          <w:rFonts w:ascii="Times New Roman" w:hAnsi="Times New Roman"/>
          <w:sz w:val="24"/>
          <w:szCs w:val="24"/>
        </w:rPr>
        <w:t xml:space="preserve">rts, languages and humanities, in addition to </w:t>
      </w:r>
      <w:r w:rsidR="0085023D" w:rsidRPr="00E639BA">
        <w:rPr>
          <w:rFonts w:ascii="Times New Roman" w:hAnsi="Times New Roman"/>
          <w:sz w:val="24"/>
          <w:szCs w:val="24"/>
        </w:rPr>
        <w:t>s</w:t>
      </w:r>
      <w:r w:rsidRPr="00E639BA">
        <w:rPr>
          <w:rFonts w:ascii="Times New Roman" w:hAnsi="Times New Roman"/>
          <w:sz w:val="24"/>
          <w:szCs w:val="24"/>
        </w:rPr>
        <w:t xml:space="preserve">ocial care) are also those with lower mean hourly earnings among black and white individuals in 2000, whereas fields with lower percentages of blacks, such as </w:t>
      </w:r>
      <w:r w:rsidR="0085023D" w:rsidRPr="00E639BA">
        <w:rPr>
          <w:rFonts w:ascii="Times New Roman" w:hAnsi="Times New Roman"/>
          <w:sz w:val="24"/>
          <w:szCs w:val="24"/>
        </w:rPr>
        <w:t>e</w:t>
      </w:r>
      <w:r w:rsidRPr="00E639BA">
        <w:rPr>
          <w:rFonts w:ascii="Times New Roman" w:hAnsi="Times New Roman"/>
          <w:sz w:val="24"/>
          <w:szCs w:val="24"/>
        </w:rPr>
        <w:t xml:space="preserve">ngineering and </w:t>
      </w:r>
      <w:r w:rsidR="0085023D" w:rsidRPr="00E639BA">
        <w:rPr>
          <w:rFonts w:ascii="Times New Roman" w:hAnsi="Times New Roman"/>
          <w:sz w:val="24"/>
          <w:szCs w:val="24"/>
        </w:rPr>
        <w:t>h</w:t>
      </w:r>
      <w:r w:rsidRPr="00E639BA">
        <w:rPr>
          <w:rFonts w:ascii="Times New Roman" w:hAnsi="Times New Roman"/>
          <w:sz w:val="24"/>
          <w:szCs w:val="24"/>
        </w:rPr>
        <w:t xml:space="preserve">ealth professions, have mean earnings more than two times higher than the former ones. </w:t>
      </w:r>
    </w:p>
    <w:p w:rsidR="00204237" w:rsidRPr="00E639BA" w:rsidRDefault="00906E99"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Between 2000 and 2010, the share of black individuals improved in all fields of study. </w:t>
      </w:r>
      <w:r w:rsidR="00456A4F" w:rsidRPr="00E639BA">
        <w:rPr>
          <w:rFonts w:ascii="Times New Roman" w:hAnsi="Times New Roman"/>
          <w:sz w:val="24"/>
          <w:szCs w:val="24"/>
        </w:rPr>
        <w:t xml:space="preserve">In </w:t>
      </w:r>
      <w:r w:rsidR="006F25FB" w:rsidRPr="00E639BA">
        <w:rPr>
          <w:rFonts w:ascii="Times New Roman" w:hAnsi="Times New Roman"/>
          <w:sz w:val="24"/>
          <w:szCs w:val="24"/>
        </w:rPr>
        <w:t>spite</w:t>
      </w:r>
      <w:r w:rsidR="00456A4F" w:rsidRPr="00E639BA">
        <w:rPr>
          <w:rFonts w:ascii="Times New Roman" w:hAnsi="Times New Roman"/>
          <w:sz w:val="24"/>
          <w:szCs w:val="24"/>
        </w:rPr>
        <w:t xml:space="preserve"> of</w:t>
      </w:r>
      <w:r w:rsidR="006F25FB" w:rsidRPr="00E639BA">
        <w:rPr>
          <w:rFonts w:ascii="Times New Roman" w:hAnsi="Times New Roman"/>
          <w:sz w:val="24"/>
          <w:szCs w:val="24"/>
        </w:rPr>
        <w:t xml:space="preserve"> this change, </w:t>
      </w:r>
      <w:r w:rsidR="00456A4F" w:rsidRPr="00E639BA">
        <w:rPr>
          <w:rFonts w:ascii="Times New Roman" w:hAnsi="Times New Roman"/>
          <w:sz w:val="24"/>
          <w:szCs w:val="24"/>
        </w:rPr>
        <w:t xml:space="preserve">black workers in 2010 </w:t>
      </w:r>
      <w:r w:rsidR="00442116" w:rsidRPr="00E639BA">
        <w:rPr>
          <w:rFonts w:ascii="Times New Roman" w:hAnsi="Times New Roman"/>
          <w:sz w:val="24"/>
          <w:szCs w:val="24"/>
        </w:rPr>
        <w:t xml:space="preserve">remained </w:t>
      </w:r>
      <w:r w:rsidR="00456A4F" w:rsidRPr="00E639BA">
        <w:rPr>
          <w:rFonts w:ascii="Times New Roman" w:hAnsi="Times New Roman"/>
          <w:sz w:val="24"/>
          <w:szCs w:val="24"/>
        </w:rPr>
        <w:t>more concentrated in the same areas</w:t>
      </w:r>
      <w:r w:rsidR="00442116" w:rsidRPr="00E639BA">
        <w:rPr>
          <w:rFonts w:ascii="Times New Roman" w:hAnsi="Times New Roman"/>
          <w:sz w:val="24"/>
          <w:szCs w:val="24"/>
        </w:rPr>
        <w:t xml:space="preserve"> </w:t>
      </w:r>
      <w:r w:rsidR="0085023D" w:rsidRPr="00E639BA">
        <w:rPr>
          <w:rFonts w:ascii="Times New Roman" w:hAnsi="Times New Roman"/>
          <w:sz w:val="24"/>
          <w:szCs w:val="24"/>
        </w:rPr>
        <w:t>as</w:t>
      </w:r>
      <w:r w:rsidR="00345ACF" w:rsidRPr="00E639BA">
        <w:rPr>
          <w:rFonts w:ascii="Times New Roman" w:hAnsi="Times New Roman"/>
          <w:sz w:val="24"/>
          <w:szCs w:val="24"/>
        </w:rPr>
        <w:t xml:space="preserve"> 10</w:t>
      </w:r>
      <w:r w:rsidR="00456A4F" w:rsidRPr="00E639BA">
        <w:rPr>
          <w:rFonts w:ascii="Times New Roman" w:hAnsi="Times New Roman"/>
          <w:sz w:val="24"/>
          <w:szCs w:val="24"/>
        </w:rPr>
        <w:t xml:space="preserve"> years before. </w:t>
      </w:r>
      <w:r w:rsidR="001D0539" w:rsidRPr="00E639BA">
        <w:rPr>
          <w:rFonts w:ascii="Times New Roman" w:hAnsi="Times New Roman"/>
          <w:sz w:val="24"/>
          <w:szCs w:val="24"/>
        </w:rPr>
        <w:t xml:space="preserve">In fact, the most </w:t>
      </w:r>
      <w:r w:rsidR="009B49AE" w:rsidRPr="00E639BA">
        <w:rPr>
          <w:rFonts w:ascii="Times New Roman" w:hAnsi="Times New Roman"/>
          <w:sz w:val="24"/>
          <w:szCs w:val="24"/>
        </w:rPr>
        <w:t xml:space="preserve">remarkable </w:t>
      </w:r>
      <w:r w:rsidR="001D0539" w:rsidRPr="00E639BA">
        <w:rPr>
          <w:rFonts w:ascii="Times New Roman" w:hAnsi="Times New Roman"/>
          <w:sz w:val="24"/>
          <w:szCs w:val="24"/>
        </w:rPr>
        <w:t xml:space="preserve">changes in </w:t>
      </w:r>
      <w:r w:rsidR="00345ACF" w:rsidRPr="00E639BA">
        <w:rPr>
          <w:rFonts w:ascii="Times New Roman" w:hAnsi="Times New Roman"/>
          <w:sz w:val="24"/>
          <w:szCs w:val="24"/>
        </w:rPr>
        <w:t xml:space="preserve">terms of </w:t>
      </w:r>
      <w:r w:rsidR="001D0539" w:rsidRPr="00E639BA">
        <w:rPr>
          <w:rFonts w:ascii="Times New Roman" w:hAnsi="Times New Roman"/>
          <w:sz w:val="24"/>
          <w:szCs w:val="24"/>
        </w:rPr>
        <w:t xml:space="preserve">percentage points occurred in fields with higher participation of black individuals in 2000. </w:t>
      </w:r>
      <w:r w:rsidR="000F24AB" w:rsidRPr="00E639BA">
        <w:rPr>
          <w:rFonts w:ascii="Times New Roman" w:hAnsi="Times New Roman"/>
          <w:sz w:val="24"/>
          <w:szCs w:val="24"/>
        </w:rPr>
        <w:t>Another similarity</w:t>
      </w:r>
      <w:r w:rsidR="004D7408" w:rsidRPr="00E639BA">
        <w:rPr>
          <w:rFonts w:ascii="Times New Roman" w:hAnsi="Times New Roman"/>
          <w:sz w:val="24"/>
          <w:szCs w:val="24"/>
        </w:rPr>
        <w:t xml:space="preserve"> between 2000 and 2010 data is </w:t>
      </w:r>
      <w:r w:rsidR="00204237" w:rsidRPr="00E639BA">
        <w:rPr>
          <w:rFonts w:ascii="Times New Roman" w:hAnsi="Times New Roman"/>
          <w:sz w:val="24"/>
          <w:szCs w:val="24"/>
        </w:rPr>
        <w:t xml:space="preserve">the negative relationship between </w:t>
      </w:r>
      <w:r w:rsidR="002568DA" w:rsidRPr="00E639BA">
        <w:rPr>
          <w:rFonts w:ascii="Times New Roman" w:hAnsi="Times New Roman"/>
          <w:sz w:val="24"/>
          <w:szCs w:val="24"/>
        </w:rPr>
        <w:t xml:space="preserve">the proportion of black workers and mean hourly earnings. </w:t>
      </w:r>
      <w:r w:rsidR="00D74DE3" w:rsidRPr="00E639BA">
        <w:rPr>
          <w:rFonts w:ascii="Times New Roman" w:hAnsi="Times New Roman"/>
          <w:sz w:val="24"/>
          <w:szCs w:val="24"/>
        </w:rPr>
        <w:t>In 2010, b</w:t>
      </w:r>
      <w:r w:rsidR="002568DA" w:rsidRPr="00E639BA">
        <w:rPr>
          <w:rFonts w:ascii="Times New Roman" w:hAnsi="Times New Roman"/>
          <w:sz w:val="24"/>
          <w:szCs w:val="24"/>
        </w:rPr>
        <w:t>lack workers represent</w:t>
      </w:r>
      <w:r w:rsidR="0085023D" w:rsidRPr="00E639BA">
        <w:rPr>
          <w:rFonts w:ascii="Times New Roman" w:hAnsi="Times New Roman"/>
          <w:sz w:val="24"/>
          <w:szCs w:val="24"/>
        </w:rPr>
        <w:t>ed</w:t>
      </w:r>
      <w:r w:rsidR="002568DA" w:rsidRPr="00E639BA">
        <w:rPr>
          <w:rFonts w:ascii="Times New Roman" w:hAnsi="Times New Roman"/>
          <w:sz w:val="24"/>
          <w:szCs w:val="24"/>
        </w:rPr>
        <w:t xml:space="preserve"> 38% of those who </w:t>
      </w:r>
      <w:r w:rsidR="002804D3" w:rsidRPr="00E639BA">
        <w:rPr>
          <w:rFonts w:ascii="Times New Roman" w:hAnsi="Times New Roman"/>
          <w:sz w:val="24"/>
          <w:szCs w:val="24"/>
        </w:rPr>
        <w:t>completed a program</w:t>
      </w:r>
      <w:r w:rsidR="002568DA" w:rsidRPr="00E639BA">
        <w:rPr>
          <w:rFonts w:ascii="Times New Roman" w:hAnsi="Times New Roman"/>
          <w:sz w:val="24"/>
          <w:szCs w:val="24"/>
        </w:rPr>
        <w:t xml:space="preserve"> in education, but only 19% of those who completed a </w:t>
      </w:r>
      <w:r w:rsidR="002804D3" w:rsidRPr="00E639BA">
        <w:rPr>
          <w:rFonts w:ascii="Times New Roman" w:hAnsi="Times New Roman"/>
          <w:sz w:val="24"/>
          <w:szCs w:val="24"/>
        </w:rPr>
        <w:t xml:space="preserve">program </w:t>
      </w:r>
      <w:r w:rsidR="002568DA" w:rsidRPr="00E639BA">
        <w:rPr>
          <w:rFonts w:ascii="Times New Roman" w:hAnsi="Times New Roman"/>
          <w:sz w:val="24"/>
          <w:szCs w:val="24"/>
        </w:rPr>
        <w:t xml:space="preserve">in engineering. Mean hourly earnings </w:t>
      </w:r>
      <w:r w:rsidR="0085023D" w:rsidRPr="00E639BA">
        <w:rPr>
          <w:rFonts w:ascii="Times New Roman" w:hAnsi="Times New Roman"/>
          <w:sz w:val="24"/>
          <w:szCs w:val="24"/>
        </w:rPr>
        <w:t xml:space="preserve">were </w:t>
      </w:r>
      <w:r w:rsidR="002568DA" w:rsidRPr="00E639BA">
        <w:rPr>
          <w:rFonts w:ascii="Times New Roman" w:hAnsi="Times New Roman"/>
          <w:sz w:val="24"/>
          <w:szCs w:val="24"/>
        </w:rPr>
        <w:t>R$ 12.4 for the former group and R$ 29.8 for the latter.</w:t>
      </w:r>
    </w:p>
    <w:p w:rsidR="00BC2578" w:rsidRDefault="00A74C47" w:rsidP="00C17C6A">
      <w:pPr>
        <w:spacing w:line="240" w:lineRule="auto"/>
        <w:contextualSpacing/>
        <w:jc w:val="both"/>
        <w:rPr>
          <w:rFonts w:ascii="Times New Roman" w:hAnsi="Times New Roman"/>
          <w:sz w:val="24"/>
          <w:szCs w:val="24"/>
        </w:rPr>
      </w:pPr>
      <w:r w:rsidRPr="00E639BA">
        <w:rPr>
          <w:rFonts w:ascii="Times New Roman" w:hAnsi="Times New Roman"/>
          <w:sz w:val="24"/>
          <w:szCs w:val="24"/>
        </w:rPr>
        <w:tab/>
      </w:r>
      <w:r w:rsidR="00DF7F5C" w:rsidRPr="00E639BA">
        <w:rPr>
          <w:rFonts w:ascii="Times New Roman" w:hAnsi="Times New Roman"/>
          <w:sz w:val="24"/>
          <w:szCs w:val="24"/>
        </w:rPr>
        <w:t>In summary</w:t>
      </w:r>
      <w:r w:rsidRPr="00E639BA">
        <w:rPr>
          <w:rFonts w:ascii="Times New Roman" w:hAnsi="Times New Roman"/>
          <w:sz w:val="24"/>
          <w:szCs w:val="24"/>
        </w:rPr>
        <w:t xml:space="preserve">, </w:t>
      </w:r>
      <w:r w:rsidR="00DB1B0B" w:rsidRPr="00E639BA">
        <w:rPr>
          <w:rFonts w:ascii="Times New Roman" w:hAnsi="Times New Roman"/>
          <w:sz w:val="24"/>
          <w:szCs w:val="24"/>
        </w:rPr>
        <w:t xml:space="preserve">the racial earnings gap is very high in Brazil </w:t>
      </w:r>
      <w:r w:rsidRPr="00E639BA">
        <w:rPr>
          <w:rFonts w:ascii="Times New Roman" w:hAnsi="Times New Roman"/>
          <w:sz w:val="24"/>
          <w:szCs w:val="24"/>
        </w:rPr>
        <w:t>even among workers with</w:t>
      </w:r>
      <w:r w:rsidR="002568DA" w:rsidRPr="00E639BA">
        <w:rPr>
          <w:rFonts w:ascii="Times New Roman" w:hAnsi="Times New Roman"/>
          <w:sz w:val="24"/>
          <w:szCs w:val="24"/>
        </w:rPr>
        <w:t xml:space="preserve"> tertiary education, and</w:t>
      </w:r>
      <w:r w:rsidRPr="00E639BA">
        <w:rPr>
          <w:rFonts w:ascii="Times New Roman" w:hAnsi="Times New Roman"/>
          <w:sz w:val="24"/>
          <w:szCs w:val="24"/>
        </w:rPr>
        <w:t xml:space="preserve"> </w:t>
      </w:r>
      <w:r w:rsidR="00DF7F5C" w:rsidRPr="00E639BA">
        <w:rPr>
          <w:rFonts w:ascii="Times New Roman" w:hAnsi="Times New Roman"/>
          <w:sz w:val="24"/>
          <w:szCs w:val="24"/>
        </w:rPr>
        <w:t xml:space="preserve">the </w:t>
      </w:r>
      <w:r w:rsidR="002568DA" w:rsidRPr="00E639BA">
        <w:rPr>
          <w:rFonts w:ascii="Times New Roman" w:hAnsi="Times New Roman"/>
          <w:sz w:val="24"/>
          <w:szCs w:val="24"/>
        </w:rPr>
        <w:t>d</w:t>
      </w:r>
      <w:r w:rsidR="005238DA" w:rsidRPr="00E639BA">
        <w:rPr>
          <w:rFonts w:ascii="Times New Roman" w:hAnsi="Times New Roman"/>
          <w:sz w:val="24"/>
          <w:szCs w:val="24"/>
        </w:rPr>
        <w:t xml:space="preserve">escriptive </w:t>
      </w:r>
      <w:r w:rsidR="00DB1B0B" w:rsidRPr="00E639BA">
        <w:rPr>
          <w:rFonts w:ascii="Times New Roman" w:hAnsi="Times New Roman"/>
          <w:sz w:val="24"/>
          <w:szCs w:val="24"/>
        </w:rPr>
        <w:t>statistics suggest that a</w:t>
      </w:r>
      <w:r w:rsidRPr="00E639BA">
        <w:rPr>
          <w:rFonts w:ascii="Times New Roman" w:hAnsi="Times New Roman"/>
          <w:sz w:val="24"/>
          <w:szCs w:val="24"/>
        </w:rPr>
        <w:t xml:space="preserve"> number of factors could be associated with this differential. </w:t>
      </w:r>
      <w:r w:rsidR="00982D21" w:rsidRPr="00E639BA">
        <w:rPr>
          <w:rFonts w:ascii="Times New Roman" w:hAnsi="Times New Roman"/>
          <w:sz w:val="24"/>
          <w:szCs w:val="24"/>
        </w:rPr>
        <w:t>For example, t</w:t>
      </w:r>
      <w:r w:rsidRPr="00E639BA">
        <w:rPr>
          <w:rFonts w:ascii="Times New Roman" w:hAnsi="Times New Roman"/>
          <w:sz w:val="24"/>
          <w:szCs w:val="24"/>
        </w:rPr>
        <w:t xml:space="preserve">he proportion of workers with </w:t>
      </w:r>
      <w:r w:rsidR="002568DA" w:rsidRPr="00E639BA">
        <w:rPr>
          <w:rFonts w:ascii="Times New Roman" w:hAnsi="Times New Roman"/>
          <w:sz w:val="24"/>
          <w:szCs w:val="24"/>
        </w:rPr>
        <w:t xml:space="preserve">a </w:t>
      </w:r>
      <w:r w:rsidR="001028E1" w:rsidRPr="00E639BA">
        <w:rPr>
          <w:rFonts w:ascii="Times New Roman" w:hAnsi="Times New Roman"/>
          <w:sz w:val="24"/>
          <w:szCs w:val="24"/>
        </w:rPr>
        <w:t>graduate degree</w:t>
      </w:r>
      <w:r w:rsidRPr="00E639BA">
        <w:rPr>
          <w:rFonts w:ascii="Times New Roman" w:hAnsi="Times New Roman"/>
          <w:sz w:val="24"/>
          <w:szCs w:val="24"/>
        </w:rPr>
        <w:t xml:space="preserve"> is lower amo</w:t>
      </w:r>
      <w:r w:rsidR="00982D21" w:rsidRPr="00E639BA">
        <w:rPr>
          <w:rFonts w:ascii="Times New Roman" w:hAnsi="Times New Roman"/>
          <w:sz w:val="24"/>
          <w:szCs w:val="24"/>
        </w:rPr>
        <w:t xml:space="preserve">ng black than </w:t>
      </w:r>
      <w:r w:rsidR="00DF7F5C" w:rsidRPr="00E639BA">
        <w:rPr>
          <w:rFonts w:ascii="Times New Roman" w:hAnsi="Times New Roman"/>
          <w:sz w:val="24"/>
          <w:szCs w:val="24"/>
        </w:rPr>
        <w:t xml:space="preserve">among </w:t>
      </w:r>
      <w:r w:rsidR="00982D21" w:rsidRPr="00E639BA">
        <w:rPr>
          <w:rFonts w:ascii="Times New Roman" w:hAnsi="Times New Roman"/>
          <w:sz w:val="24"/>
          <w:szCs w:val="24"/>
        </w:rPr>
        <w:t xml:space="preserve">white individuals, and </w:t>
      </w:r>
      <w:r w:rsidR="00DF7F5C" w:rsidRPr="00E639BA">
        <w:rPr>
          <w:rFonts w:ascii="Times New Roman" w:hAnsi="Times New Roman"/>
          <w:sz w:val="24"/>
          <w:szCs w:val="24"/>
        </w:rPr>
        <w:t xml:space="preserve">the </w:t>
      </w:r>
      <w:r w:rsidRPr="00E639BA">
        <w:rPr>
          <w:rFonts w:ascii="Times New Roman" w:hAnsi="Times New Roman"/>
          <w:sz w:val="24"/>
          <w:szCs w:val="24"/>
        </w:rPr>
        <w:t xml:space="preserve">incidence of mismatch between field of study and occupation is greater </w:t>
      </w:r>
      <w:r w:rsidR="00B13172">
        <w:rPr>
          <w:rFonts w:ascii="Times New Roman" w:hAnsi="Times New Roman"/>
          <w:sz w:val="24"/>
          <w:szCs w:val="24"/>
        </w:rPr>
        <w:t xml:space="preserve">for </w:t>
      </w:r>
      <w:r w:rsidRPr="00E639BA">
        <w:rPr>
          <w:rFonts w:ascii="Times New Roman" w:hAnsi="Times New Roman"/>
          <w:sz w:val="24"/>
          <w:szCs w:val="24"/>
        </w:rPr>
        <w:t xml:space="preserve">black workers, who are also more concentrated in fields of study that usually have lower labor earnings. The </w:t>
      </w:r>
      <w:r w:rsidR="002568DA" w:rsidRPr="00E639BA">
        <w:rPr>
          <w:rFonts w:ascii="Times New Roman" w:hAnsi="Times New Roman"/>
          <w:sz w:val="24"/>
          <w:szCs w:val="24"/>
        </w:rPr>
        <w:t xml:space="preserve">next section presents </w:t>
      </w:r>
      <w:r w:rsidR="00DF7F5C" w:rsidRPr="00E639BA">
        <w:rPr>
          <w:rFonts w:ascii="Times New Roman" w:hAnsi="Times New Roman"/>
          <w:sz w:val="24"/>
          <w:szCs w:val="24"/>
        </w:rPr>
        <w:t xml:space="preserve">the </w:t>
      </w:r>
      <w:r w:rsidR="002568DA" w:rsidRPr="00E639BA">
        <w:rPr>
          <w:rFonts w:ascii="Times New Roman" w:hAnsi="Times New Roman"/>
          <w:sz w:val="24"/>
          <w:szCs w:val="24"/>
        </w:rPr>
        <w:t>methods</w:t>
      </w:r>
      <w:r w:rsidR="00FD505E">
        <w:rPr>
          <w:rFonts w:ascii="Times New Roman" w:hAnsi="Times New Roman"/>
          <w:sz w:val="24"/>
          <w:szCs w:val="24"/>
        </w:rPr>
        <w:t xml:space="preserve"> used in this paper</w:t>
      </w:r>
      <w:r w:rsidRPr="00E639BA">
        <w:rPr>
          <w:rFonts w:ascii="Times New Roman" w:hAnsi="Times New Roman"/>
          <w:sz w:val="24"/>
          <w:szCs w:val="24"/>
        </w:rPr>
        <w:t xml:space="preserve"> </w:t>
      </w:r>
      <w:r w:rsidR="00DF7F5C" w:rsidRPr="00E639BA">
        <w:rPr>
          <w:rFonts w:ascii="Times New Roman" w:hAnsi="Times New Roman"/>
          <w:sz w:val="24"/>
          <w:szCs w:val="24"/>
        </w:rPr>
        <w:t xml:space="preserve">for </w:t>
      </w:r>
      <w:r w:rsidRPr="00E639BA">
        <w:rPr>
          <w:rFonts w:ascii="Times New Roman" w:hAnsi="Times New Roman"/>
          <w:sz w:val="24"/>
          <w:szCs w:val="24"/>
        </w:rPr>
        <w:t>decompos</w:t>
      </w:r>
      <w:r w:rsidR="00DF7F5C" w:rsidRPr="00E639BA">
        <w:rPr>
          <w:rFonts w:ascii="Times New Roman" w:hAnsi="Times New Roman"/>
          <w:sz w:val="24"/>
          <w:szCs w:val="24"/>
        </w:rPr>
        <w:t>ing</w:t>
      </w:r>
      <w:r w:rsidRPr="00E639BA">
        <w:rPr>
          <w:rFonts w:ascii="Times New Roman" w:hAnsi="Times New Roman"/>
          <w:sz w:val="24"/>
          <w:szCs w:val="24"/>
        </w:rPr>
        <w:t xml:space="preserve"> the relative importance of each one of these factors on the earnings differential by race</w:t>
      </w:r>
      <w:r w:rsidR="003D13A2" w:rsidRPr="00E639BA">
        <w:rPr>
          <w:rFonts w:ascii="Times New Roman" w:hAnsi="Times New Roman"/>
          <w:sz w:val="24"/>
          <w:szCs w:val="24"/>
        </w:rPr>
        <w:t xml:space="preserve"> in 2000 and in 2010</w:t>
      </w:r>
      <w:r w:rsidRPr="00E639BA">
        <w:rPr>
          <w:rFonts w:ascii="Times New Roman" w:hAnsi="Times New Roman"/>
          <w:sz w:val="24"/>
          <w:szCs w:val="24"/>
        </w:rPr>
        <w:t xml:space="preserve">.   </w:t>
      </w:r>
    </w:p>
    <w:p w:rsidR="005E4E55" w:rsidRPr="007D5B2F" w:rsidRDefault="005E4E55" w:rsidP="00C17C6A">
      <w:pPr>
        <w:spacing w:line="240" w:lineRule="auto"/>
        <w:contextualSpacing/>
        <w:jc w:val="both"/>
        <w:rPr>
          <w:rFonts w:ascii="Times New Roman" w:hAnsi="Times New Roman"/>
          <w:sz w:val="24"/>
          <w:szCs w:val="24"/>
        </w:rPr>
      </w:pPr>
    </w:p>
    <w:p w:rsidR="001F2655" w:rsidRPr="00E639BA" w:rsidRDefault="00200480" w:rsidP="00C17C6A">
      <w:pPr>
        <w:spacing w:line="240" w:lineRule="auto"/>
        <w:contextualSpacing/>
        <w:jc w:val="both"/>
        <w:rPr>
          <w:rFonts w:ascii="Times New Roman" w:hAnsi="Times New Roman"/>
          <w:b/>
          <w:sz w:val="24"/>
          <w:szCs w:val="24"/>
        </w:rPr>
      </w:pPr>
      <w:r w:rsidRPr="00E639BA">
        <w:rPr>
          <w:rFonts w:ascii="Times New Roman" w:hAnsi="Times New Roman"/>
          <w:b/>
          <w:sz w:val="24"/>
          <w:szCs w:val="24"/>
        </w:rPr>
        <w:t>4</w:t>
      </w:r>
      <w:r w:rsidR="001F2655" w:rsidRPr="00E639BA">
        <w:rPr>
          <w:rFonts w:ascii="Times New Roman" w:hAnsi="Times New Roman"/>
          <w:b/>
          <w:sz w:val="24"/>
          <w:szCs w:val="24"/>
        </w:rPr>
        <w:t xml:space="preserve"> – Decomposing the earnings gap by race</w:t>
      </w:r>
    </w:p>
    <w:p w:rsidR="001F2655" w:rsidRPr="00E639BA" w:rsidRDefault="001F2655" w:rsidP="00C17C6A">
      <w:pPr>
        <w:spacing w:line="240" w:lineRule="auto"/>
        <w:contextualSpacing/>
        <w:jc w:val="both"/>
        <w:rPr>
          <w:rFonts w:ascii="Times New Roman" w:hAnsi="Times New Roman"/>
          <w:sz w:val="24"/>
          <w:szCs w:val="24"/>
        </w:rPr>
      </w:pPr>
    </w:p>
    <w:p w:rsidR="001F2655" w:rsidRPr="00E639BA" w:rsidRDefault="00200480"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t>4</w:t>
      </w:r>
      <w:r w:rsidR="001F2655" w:rsidRPr="00E639BA">
        <w:rPr>
          <w:rFonts w:ascii="Times New Roman" w:hAnsi="Times New Roman"/>
          <w:sz w:val="24"/>
          <w:szCs w:val="24"/>
        </w:rPr>
        <w:t>.1 – Oaxaca</w:t>
      </w:r>
      <w:r w:rsidR="00C03D84">
        <w:rPr>
          <w:rFonts w:ascii="Times New Roman" w:hAnsi="Times New Roman"/>
          <w:sz w:val="24"/>
          <w:szCs w:val="24"/>
        </w:rPr>
        <w:t>-Blinder</w:t>
      </w:r>
      <w:r w:rsidR="001F2655" w:rsidRPr="00E639BA">
        <w:rPr>
          <w:rFonts w:ascii="Times New Roman" w:hAnsi="Times New Roman"/>
          <w:sz w:val="24"/>
          <w:szCs w:val="24"/>
        </w:rPr>
        <w:t xml:space="preserve"> decomposition</w:t>
      </w:r>
    </w:p>
    <w:p w:rsidR="001F2655" w:rsidRPr="00E639BA" w:rsidRDefault="001F2655" w:rsidP="00C17C6A">
      <w:pPr>
        <w:autoSpaceDE w:val="0"/>
        <w:autoSpaceDN w:val="0"/>
        <w:adjustRightInd w:val="0"/>
        <w:spacing w:line="240" w:lineRule="auto"/>
        <w:ind w:firstLine="708"/>
        <w:contextualSpacing/>
        <w:jc w:val="both"/>
        <w:rPr>
          <w:rFonts w:ascii="Times New Roman" w:hAnsi="Times New Roman"/>
          <w:sz w:val="24"/>
          <w:szCs w:val="24"/>
        </w:rPr>
      </w:pPr>
    </w:p>
    <w:p w:rsidR="008F26B9" w:rsidRPr="00E639BA" w:rsidRDefault="001F2655"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The Oaxaca</w:t>
      </w:r>
      <w:r w:rsidR="00B13172">
        <w:rPr>
          <w:rFonts w:ascii="Times New Roman" w:hAnsi="Times New Roman"/>
          <w:sz w:val="24"/>
          <w:szCs w:val="24"/>
        </w:rPr>
        <w:t>-Blinder</w:t>
      </w:r>
      <w:r w:rsidRPr="00E639BA">
        <w:rPr>
          <w:rFonts w:ascii="Times New Roman" w:hAnsi="Times New Roman"/>
          <w:sz w:val="24"/>
          <w:szCs w:val="24"/>
        </w:rPr>
        <w:t xml:space="preserve"> methodology (Oaxaca, 1973</w:t>
      </w:r>
      <w:r w:rsidR="00B13172">
        <w:rPr>
          <w:rFonts w:ascii="Times New Roman" w:hAnsi="Times New Roman"/>
          <w:sz w:val="24"/>
          <w:szCs w:val="24"/>
        </w:rPr>
        <w:t xml:space="preserve"> and Blinder, 1973</w:t>
      </w:r>
      <w:r w:rsidRPr="00E639BA">
        <w:rPr>
          <w:rFonts w:ascii="Times New Roman" w:hAnsi="Times New Roman"/>
          <w:sz w:val="24"/>
          <w:szCs w:val="24"/>
        </w:rPr>
        <w:t>) offers a way to decompose differences in mean earnings between whites and b</w:t>
      </w:r>
      <w:r w:rsidR="000B5FE4" w:rsidRPr="00E639BA">
        <w:rPr>
          <w:rFonts w:ascii="Times New Roman" w:hAnsi="Times New Roman"/>
          <w:sz w:val="24"/>
          <w:szCs w:val="24"/>
        </w:rPr>
        <w:t xml:space="preserve">lacks into </w:t>
      </w:r>
      <w:r w:rsidR="00511708" w:rsidRPr="00E639BA">
        <w:rPr>
          <w:rFonts w:ascii="Times New Roman" w:hAnsi="Times New Roman"/>
          <w:sz w:val="24"/>
          <w:szCs w:val="24"/>
        </w:rPr>
        <w:t xml:space="preserve">characteristic </w:t>
      </w:r>
      <w:r w:rsidR="000B5FE4" w:rsidRPr="00E639BA">
        <w:rPr>
          <w:rFonts w:ascii="Times New Roman" w:hAnsi="Times New Roman"/>
          <w:sz w:val="24"/>
          <w:szCs w:val="24"/>
        </w:rPr>
        <w:t>and price</w:t>
      </w:r>
      <w:r w:rsidRPr="00E639BA">
        <w:rPr>
          <w:rFonts w:ascii="Times New Roman" w:hAnsi="Times New Roman"/>
          <w:sz w:val="24"/>
          <w:szCs w:val="24"/>
        </w:rPr>
        <w:t xml:space="preserve"> components. </w:t>
      </w:r>
      <w:r w:rsidR="008F26B9" w:rsidRPr="00E639BA">
        <w:rPr>
          <w:rFonts w:ascii="Times New Roman" w:hAnsi="Times New Roman"/>
          <w:sz w:val="24"/>
          <w:szCs w:val="24"/>
        </w:rPr>
        <w:t xml:space="preserve">Following this method, suppose that the log hourly labor earnings for individual </w:t>
      </w:r>
      <w:r w:rsidR="008F26B9" w:rsidRPr="00E639BA">
        <w:rPr>
          <w:rFonts w:ascii="Times New Roman" w:hAnsi="Times New Roman"/>
          <w:i/>
          <w:sz w:val="24"/>
          <w:szCs w:val="24"/>
        </w:rPr>
        <w:t>i</w:t>
      </w:r>
      <w:r w:rsidR="008F26B9" w:rsidRPr="00E639BA">
        <w:rPr>
          <w:rFonts w:ascii="Times New Roman" w:hAnsi="Times New Roman"/>
          <w:sz w:val="24"/>
          <w:szCs w:val="24"/>
        </w:rPr>
        <w:t xml:space="preserve"> in racial group </w:t>
      </w:r>
      <w:r w:rsidR="008F26B9" w:rsidRPr="00E639BA">
        <w:rPr>
          <w:rFonts w:ascii="Times New Roman" w:hAnsi="Times New Roman"/>
          <w:i/>
          <w:sz w:val="24"/>
          <w:szCs w:val="24"/>
        </w:rPr>
        <w:t>r</w:t>
      </w:r>
      <w:r w:rsidR="008F26B9" w:rsidRPr="00E639BA">
        <w:rPr>
          <w:rFonts w:ascii="Times New Roman" w:hAnsi="Times New Roman"/>
          <w:sz w:val="24"/>
          <w:szCs w:val="24"/>
        </w:rPr>
        <w:t xml:space="preserve"> (w</w:t>
      </w:r>
      <w:r w:rsidR="008F26B9" w:rsidRPr="00E639BA">
        <w:rPr>
          <w:rFonts w:ascii="Times New Roman" w:hAnsi="Times New Roman"/>
          <w:sz w:val="24"/>
          <w:szCs w:val="24"/>
        </w:rPr>
        <w:softHyphen/>
      </w:r>
      <w:r w:rsidR="008F26B9" w:rsidRPr="00E639BA">
        <w:rPr>
          <w:rFonts w:ascii="Times New Roman" w:hAnsi="Times New Roman"/>
          <w:sz w:val="24"/>
          <w:szCs w:val="24"/>
          <w:vertAlign w:val="subscript"/>
        </w:rPr>
        <w:t>ir</w:t>
      </w:r>
      <w:r w:rsidR="008F26B9" w:rsidRPr="00E639BA">
        <w:rPr>
          <w:rFonts w:ascii="Times New Roman" w:hAnsi="Times New Roman"/>
          <w:sz w:val="24"/>
          <w:szCs w:val="24"/>
        </w:rPr>
        <w:t>) can be written as:</w:t>
      </w:r>
    </w:p>
    <w:p w:rsidR="001F2655" w:rsidRPr="00E639BA" w:rsidRDefault="001F2655" w:rsidP="00C17C6A">
      <w:pPr>
        <w:autoSpaceDE w:val="0"/>
        <w:autoSpaceDN w:val="0"/>
        <w:adjustRightInd w:val="0"/>
        <w:spacing w:line="240" w:lineRule="auto"/>
        <w:ind w:firstLine="708"/>
        <w:contextualSpacing/>
        <w:jc w:val="both"/>
        <w:rPr>
          <w:rFonts w:ascii="Times New Roman" w:hAnsi="Times New Roman"/>
          <w:sz w:val="24"/>
          <w:szCs w:val="24"/>
        </w:rPr>
      </w:pPr>
    </w:p>
    <w:p w:rsidR="001F2655" w:rsidRPr="00E639BA" w:rsidRDefault="001F2655"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t>(1</w:t>
      </w:r>
      <w:proofErr w:type="gramStart"/>
      <w:r w:rsidRPr="00E639BA">
        <w:rPr>
          <w:rFonts w:ascii="Times New Roman" w:hAnsi="Times New Roman"/>
          <w:sz w:val="24"/>
          <w:szCs w:val="24"/>
        </w:rPr>
        <w:t xml:space="preserve">) </w:t>
      </w:r>
      <w:proofErr w:type="gramEnd"/>
      <w:r w:rsidR="00351184" w:rsidRPr="00E639BA">
        <w:rPr>
          <w:rFonts w:ascii="Times New Roman" w:hAnsi="Times New Roman"/>
          <w:position w:val="-12"/>
          <w:sz w:val="24"/>
          <w:szCs w:val="24"/>
        </w:rPr>
        <w:object w:dxaOrig="1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8pt" o:ole="">
            <v:imagedata r:id="rId13" o:title=""/>
          </v:shape>
          <o:OLEObject Type="Embed" ProgID="Equation.3" ShapeID="_x0000_i1025" DrawAspect="Content" ObjectID="_1466597858" r:id="rId14"/>
        </w:object>
      </w:r>
      <w:r w:rsidRPr="00E639BA">
        <w:rPr>
          <w:rFonts w:ascii="Times New Roman" w:hAnsi="Times New Roman"/>
          <w:position w:val="-12"/>
          <w:sz w:val="24"/>
          <w:szCs w:val="24"/>
        </w:rPr>
        <w:t xml:space="preserve">, </w:t>
      </w:r>
    </w:p>
    <w:p w:rsidR="001F2655" w:rsidRPr="00E639BA" w:rsidRDefault="001F2655" w:rsidP="00C17C6A">
      <w:pPr>
        <w:autoSpaceDE w:val="0"/>
        <w:autoSpaceDN w:val="0"/>
        <w:adjustRightInd w:val="0"/>
        <w:spacing w:line="240" w:lineRule="auto"/>
        <w:ind w:firstLine="708"/>
        <w:contextualSpacing/>
        <w:jc w:val="both"/>
        <w:rPr>
          <w:rFonts w:ascii="Times New Roman" w:hAnsi="Times New Roman"/>
          <w:sz w:val="24"/>
          <w:szCs w:val="24"/>
        </w:rPr>
      </w:pPr>
    </w:p>
    <w:p w:rsidR="001F2655" w:rsidRPr="00E639BA" w:rsidRDefault="001F2655"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t xml:space="preserve">where </w:t>
      </w:r>
      <w:r w:rsidRPr="00E639BA">
        <w:rPr>
          <w:rFonts w:ascii="Times New Roman" w:hAnsi="Times New Roman"/>
          <w:i/>
          <w:sz w:val="24"/>
          <w:szCs w:val="24"/>
        </w:rPr>
        <w:t>X</w:t>
      </w:r>
      <w:r w:rsidRPr="00E639BA">
        <w:rPr>
          <w:rFonts w:ascii="Times New Roman" w:hAnsi="Times New Roman"/>
          <w:i/>
          <w:sz w:val="24"/>
          <w:szCs w:val="24"/>
          <w:vertAlign w:val="subscript"/>
        </w:rPr>
        <w:t>ir</w:t>
      </w:r>
      <w:r w:rsidRPr="00E639BA">
        <w:rPr>
          <w:rFonts w:ascii="Times New Roman" w:hAnsi="Times New Roman"/>
          <w:sz w:val="24"/>
          <w:szCs w:val="24"/>
        </w:rPr>
        <w:t xml:space="preserve"> is</w:t>
      </w:r>
      <w:r w:rsidR="00FF5E41" w:rsidRPr="00E639BA">
        <w:rPr>
          <w:rFonts w:ascii="Times New Roman" w:eastAsia="MS Mincho" w:hAnsi="Times New Roman"/>
          <w:sz w:val="24"/>
          <w:szCs w:val="24"/>
        </w:rPr>
        <w:t xml:space="preserve"> a vector of characteristics (age, </w:t>
      </w:r>
      <w:r w:rsidR="008316B1" w:rsidRPr="00E639BA">
        <w:rPr>
          <w:rFonts w:ascii="Times New Roman" w:eastAsia="MS Mincho" w:hAnsi="Times New Roman"/>
          <w:sz w:val="24"/>
          <w:szCs w:val="24"/>
        </w:rPr>
        <w:t xml:space="preserve">age squared, </w:t>
      </w:r>
      <w:r w:rsidR="00FF5E41" w:rsidRPr="00E639BA">
        <w:rPr>
          <w:rFonts w:ascii="Times New Roman" w:eastAsia="MS Mincho" w:hAnsi="Times New Roman"/>
          <w:sz w:val="24"/>
          <w:szCs w:val="24"/>
        </w:rPr>
        <w:t xml:space="preserve">gender, </w:t>
      </w:r>
      <w:r w:rsidR="008316B1" w:rsidRPr="00E639BA">
        <w:rPr>
          <w:rFonts w:ascii="Times New Roman" w:eastAsia="MS Mincho" w:hAnsi="Times New Roman"/>
          <w:sz w:val="24"/>
          <w:szCs w:val="24"/>
        </w:rPr>
        <w:t xml:space="preserve">state </w:t>
      </w:r>
      <w:r w:rsidR="00FF5E41" w:rsidRPr="00E639BA">
        <w:rPr>
          <w:rFonts w:ascii="Times New Roman" w:eastAsia="MS Mincho" w:hAnsi="Times New Roman"/>
          <w:sz w:val="24"/>
          <w:szCs w:val="24"/>
        </w:rPr>
        <w:t>dummies,</w:t>
      </w:r>
      <w:r w:rsidR="008316B1" w:rsidRPr="00E639BA">
        <w:rPr>
          <w:rFonts w:ascii="Times New Roman" w:eastAsia="MS Mincho" w:hAnsi="Times New Roman"/>
          <w:sz w:val="24"/>
          <w:szCs w:val="24"/>
        </w:rPr>
        <w:t xml:space="preserve"> dummy variables for residence in metropolitan and urban areas,</w:t>
      </w:r>
      <w:r w:rsidR="00FF5E41" w:rsidRPr="00E639BA">
        <w:rPr>
          <w:rFonts w:ascii="Times New Roman" w:eastAsia="MS Mincho" w:hAnsi="Times New Roman"/>
          <w:sz w:val="24"/>
          <w:szCs w:val="24"/>
        </w:rPr>
        <w:t xml:space="preserve"> </w:t>
      </w:r>
      <w:r w:rsidR="008316B1" w:rsidRPr="00E639BA">
        <w:rPr>
          <w:rFonts w:ascii="Times New Roman" w:eastAsia="MS Mincho" w:hAnsi="Times New Roman"/>
          <w:sz w:val="24"/>
          <w:szCs w:val="24"/>
        </w:rPr>
        <w:t>a dummy</w:t>
      </w:r>
      <w:r w:rsidR="00FF5E41" w:rsidRPr="00E639BA">
        <w:rPr>
          <w:rFonts w:ascii="Times New Roman" w:eastAsia="MS Mincho" w:hAnsi="Times New Roman"/>
          <w:sz w:val="24"/>
          <w:szCs w:val="24"/>
        </w:rPr>
        <w:t xml:space="preserve"> for </w:t>
      </w:r>
      <w:r w:rsidR="001B1EB7" w:rsidRPr="00E639BA">
        <w:rPr>
          <w:rFonts w:ascii="Times New Roman" w:eastAsia="MS Mincho" w:hAnsi="Times New Roman"/>
          <w:sz w:val="24"/>
          <w:szCs w:val="24"/>
        </w:rPr>
        <w:t xml:space="preserve">those who concluded a </w:t>
      </w:r>
      <w:r w:rsidR="00DF7F5C" w:rsidRPr="00E639BA">
        <w:rPr>
          <w:rFonts w:ascii="Times New Roman" w:eastAsia="MS Mincho" w:hAnsi="Times New Roman"/>
          <w:sz w:val="24"/>
          <w:szCs w:val="24"/>
        </w:rPr>
        <w:t>m</w:t>
      </w:r>
      <w:r w:rsidR="00FF5E41" w:rsidRPr="00E639BA">
        <w:rPr>
          <w:rFonts w:ascii="Times New Roman" w:eastAsia="MS Mincho" w:hAnsi="Times New Roman"/>
          <w:sz w:val="24"/>
          <w:szCs w:val="24"/>
        </w:rPr>
        <w:t>aster</w:t>
      </w:r>
      <w:r w:rsidR="00DF7F5C" w:rsidRPr="00E639BA">
        <w:rPr>
          <w:rFonts w:ascii="Times New Roman" w:eastAsia="MS Mincho" w:hAnsi="Times New Roman"/>
          <w:sz w:val="24"/>
          <w:szCs w:val="24"/>
        </w:rPr>
        <w:t>’s</w:t>
      </w:r>
      <w:r w:rsidR="00FF5E41" w:rsidRPr="00E639BA">
        <w:rPr>
          <w:rFonts w:ascii="Times New Roman" w:eastAsia="MS Mincho" w:hAnsi="Times New Roman"/>
          <w:sz w:val="24"/>
          <w:szCs w:val="24"/>
        </w:rPr>
        <w:t xml:space="preserve"> </w:t>
      </w:r>
      <w:r w:rsidR="008316B1" w:rsidRPr="00E639BA">
        <w:rPr>
          <w:rFonts w:ascii="Times New Roman" w:eastAsia="MS Mincho" w:hAnsi="Times New Roman"/>
          <w:sz w:val="24"/>
          <w:szCs w:val="24"/>
        </w:rPr>
        <w:t xml:space="preserve">or </w:t>
      </w:r>
      <w:r w:rsidR="00DF7F5C" w:rsidRPr="00E639BA">
        <w:rPr>
          <w:rFonts w:ascii="Times New Roman" w:eastAsia="MS Mincho" w:hAnsi="Times New Roman"/>
          <w:sz w:val="24"/>
          <w:szCs w:val="24"/>
        </w:rPr>
        <w:t>d</w:t>
      </w:r>
      <w:r w:rsidR="008316B1" w:rsidRPr="00E639BA">
        <w:rPr>
          <w:rFonts w:ascii="Times New Roman" w:eastAsia="MS Mincho" w:hAnsi="Times New Roman"/>
          <w:sz w:val="24"/>
          <w:szCs w:val="24"/>
        </w:rPr>
        <w:t>octoral degree</w:t>
      </w:r>
      <w:r w:rsidR="009516B6" w:rsidRPr="00E639BA">
        <w:rPr>
          <w:rFonts w:ascii="Times New Roman" w:eastAsia="MS Mincho" w:hAnsi="Times New Roman"/>
          <w:sz w:val="24"/>
          <w:szCs w:val="24"/>
        </w:rPr>
        <w:t>, dummies for field</w:t>
      </w:r>
      <w:r w:rsidR="00FF5E41" w:rsidRPr="00E639BA">
        <w:rPr>
          <w:rFonts w:ascii="Times New Roman" w:eastAsia="MS Mincho" w:hAnsi="Times New Roman"/>
          <w:sz w:val="24"/>
          <w:szCs w:val="24"/>
        </w:rPr>
        <w:t xml:space="preserve"> of study, </w:t>
      </w:r>
      <w:r w:rsidR="001B1EB7" w:rsidRPr="00E639BA">
        <w:rPr>
          <w:rFonts w:ascii="Times New Roman" w:eastAsia="MS Mincho" w:hAnsi="Times New Roman"/>
          <w:sz w:val="24"/>
          <w:szCs w:val="24"/>
        </w:rPr>
        <w:t xml:space="preserve">an indicator </w:t>
      </w:r>
      <w:r w:rsidR="00FF5E41" w:rsidRPr="00E639BA">
        <w:rPr>
          <w:rFonts w:ascii="Times New Roman" w:eastAsia="MS Mincho" w:hAnsi="Times New Roman"/>
          <w:sz w:val="24"/>
          <w:szCs w:val="24"/>
        </w:rPr>
        <w:t>for mismatch between area of study and occupation</w:t>
      </w:r>
      <w:r w:rsidR="008316B1" w:rsidRPr="00E639BA">
        <w:rPr>
          <w:rFonts w:ascii="Times New Roman" w:eastAsia="MS Mincho" w:hAnsi="Times New Roman"/>
          <w:sz w:val="24"/>
          <w:szCs w:val="24"/>
        </w:rPr>
        <w:t>, and a dummy</w:t>
      </w:r>
      <w:r w:rsidR="00596723" w:rsidRPr="00E639BA">
        <w:rPr>
          <w:rFonts w:ascii="Times New Roman" w:eastAsia="MS Mincho" w:hAnsi="Times New Roman"/>
          <w:sz w:val="24"/>
          <w:szCs w:val="24"/>
        </w:rPr>
        <w:t xml:space="preserve"> indicating that the occupation</w:t>
      </w:r>
      <w:r w:rsidR="008316B1" w:rsidRPr="00E639BA">
        <w:rPr>
          <w:rFonts w:ascii="Times New Roman" w:eastAsia="MS Mincho" w:hAnsi="Times New Roman"/>
          <w:sz w:val="24"/>
          <w:szCs w:val="24"/>
        </w:rPr>
        <w:t xml:space="preserve"> does not require a </w:t>
      </w:r>
      <w:r w:rsidR="00511708" w:rsidRPr="00E639BA">
        <w:rPr>
          <w:rFonts w:ascii="Times New Roman" w:eastAsia="MS Mincho" w:hAnsi="Times New Roman"/>
          <w:sz w:val="24"/>
          <w:szCs w:val="24"/>
        </w:rPr>
        <w:t>bachelor</w:t>
      </w:r>
      <w:r w:rsidR="00DF7F5C" w:rsidRPr="00E639BA">
        <w:rPr>
          <w:rFonts w:ascii="Times New Roman" w:eastAsia="MS Mincho" w:hAnsi="Times New Roman"/>
          <w:sz w:val="24"/>
          <w:szCs w:val="24"/>
        </w:rPr>
        <w:t>’s</w:t>
      </w:r>
      <w:r w:rsidR="00511708" w:rsidRPr="00E639BA">
        <w:rPr>
          <w:rFonts w:ascii="Times New Roman" w:eastAsia="MS Mincho" w:hAnsi="Times New Roman"/>
          <w:sz w:val="24"/>
          <w:szCs w:val="24"/>
        </w:rPr>
        <w:t xml:space="preserve"> </w:t>
      </w:r>
      <w:r w:rsidR="008316B1" w:rsidRPr="00E639BA">
        <w:rPr>
          <w:rFonts w:ascii="Times New Roman" w:eastAsia="MS Mincho" w:hAnsi="Times New Roman"/>
          <w:sz w:val="24"/>
          <w:szCs w:val="24"/>
        </w:rPr>
        <w:t>degree</w:t>
      </w:r>
      <w:r w:rsidR="00FF5E41" w:rsidRPr="00E639BA">
        <w:rPr>
          <w:rFonts w:ascii="Times New Roman" w:eastAsia="MS Mincho" w:hAnsi="Times New Roman"/>
          <w:sz w:val="24"/>
          <w:szCs w:val="24"/>
        </w:rPr>
        <w:t>)</w:t>
      </w:r>
      <w:r w:rsidR="00596723" w:rsidRPr="00E639BA">
        <w:rPr>
          <w:rFonts w:ascii="Times New Roman" w:eastAsia="MS Mincho" w:hAnsi="Times New Roman"/>
          <w:sz w:val="24"/>
          <w:szCs w:val="24"/>
        </w:rPr>
        <w:t>. The term</w:t>
      </w:r>
      <w:r w:rsidR="00FF5E41" w:rsidRPr="00E639BA">
        <w:rPr>
          <w:rFonts w:ascii="Times New Roman" w:eastAsia="MS Mincho"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ir</m:t>
            </m:r>
          </m:sub>
        </m:sSub>
      </m:oMath>
      <w:r w:rsidR="00FF5E41" w:rsidRPr="00E639BA">
        <w:rPr>
          <w:rFonts w:ascii="Times New Roman" w:eastAsia="MS Mincho" w:hAnsi="Times New Roman"/>
          <w:sz w:val="24"/>
          <w:szCs w:val="24"/>
        </w:rPr>
        <w:t xml:space="preserve"> </w:t>
      </w:r>
      <w:r w:rsidR="006329D0" w:rsidRPr="00E639BA">
        <w:rPr>
          <w:rFonts w:ascii="Times New Roman" w:eastAsia="MS Mincho" w:hAnsi="Times New Roman"/>
          <w:sz w:val="24"/>
          <w:szCs w:val="24"/>
        </w:rPr>
        <w:t>represents unobserved factors</w:t>
      </w:r>
      <w:r w:rsidRPr="00E639BA">
        <w:rPr>
          <w:rFonts w:ascii="Times New Roman" w:hAnsi="Times New Roman"/>
          <w:sz w:val="24"/>
          <w:szCs w:val="24"/>
        </w:rPr>
        <w:t>,</w:t>
      </w:r>
      <w:r w:rsidR="001B1EB7" w:rsidRPr="00E639BA">
        <w:rPr>
          <w:rFonts w:ascii="Times New Roman" w:hAnsi="Times New Roman"/>
          <w:sz w:val="24"/>
          <w:szCs w:val="24"/>
        </w:rPr>
        <w:t xml:space="preserve"> </w:t>
      </w:r>
      <w:r w:rsidR="00FA28B1" w:rsidRPr="00E639BA">
        <w:rPr>
          <w:rFonts w:ascii="Times New Roman" w:hAnsi="Times New Roman"/>
          <w:sz w:val="24"/>
          <w:szCs w:val="24"/>
        </w:rPr>
        <w:t>where it is assumed that</w:t>
      </w:r>
      <w:r w:rsidR="00E02696" w:rsidRPr="00E639BA">
        <w:rPr>
          <w:rFonts w:ascii="Times New Roman" w:hAnsi="Times New Roman"/>
          <w:position w:val="-12"/>
          <w:sz w:val="24"/>
          <w:szCs w:val="24"/>
        </w:rPr>
        <w:object w:dxaOrig="1440" w:dyaOrig="360">
          <v:shape id="_x0000_i1026" type="#_x0000_t75" style="width:72.5pt;height:18pt" o:ole="">
            <v:imagedata r:id="rId15" o:title=""/>
          </v:shape>
          <o:OLEObject Type="Embed" ProgID="Equation.3" ShapeID="_x0000_i1026" DrawAspect="Content" ObjectID="_1466597859" r:id="rId16"/>
        </w:object>
      </w:r>
      <w:r w:rsidR="00FA28B1" w:rsidRPr="00E639BA">
        <w:rPr>
          <w:rFonts w:ascii="Times New Roman" w:hAnsi="Times New Roman"/>
          <w:sz w:val="24"/>
          <w:szCs w:val="24"/>
        </w:rPr>
        <w:t xml:space="preserve">, </w:t>
      </w:r>
      <w:r w:rsidR="001B1EB7" w:rsidRPr="00E639BA">
        <w:rPr>
          <w:rFonts w:ascii="Times New Roman" w:hAnsi="Times New Roman"/>
          <w:sz w:val="24"/>
          <w:szCs w:val="24"/>
        </w:rPr>
        <w:t>and</w:t>
      </w:r>
      <w:r w:rsidRPr="00E639BA">
        <w:rPr>
          <w:rFonts w:ascii="Times New Roman" w:hAnsi="Times New Roman"/>
          <w:sz w:val="24"/>
          <w:szCs w:val="24"/>
        </w:rPr>
        <w:t xml:space="preserve"> </w:t>
      </w:r>
      <w:r w:rsidRPr="00E639BA">
        <w:rPr>
          <w:rFonts w:ascii="Times New Roman" w:hAnsi="Times New Roman"/>
          <w:position w:val="-10"/>
          <w:sz w:val="24"/>
          <w:szCs w:val="24"/>
        </w:rPr>
        <w:object w:dxaOrig="300" w:dyaOrig="340">
          <v:shape id="_x0000_i1027" type="#_x0000_t75" style="width:15pt;height:17.5pt" o:ole="">
            <v:imagedata r:id="rId17" o:title=""/>
          </v:shape>
          <o:OLEObject Type="Embed" ProgID="Equation.3" ShapeID="_x0000_i1027" DrawAspect="Content" ObjectID="_1466597860" r:id="rId18"/>
        </w:object>
      </w:r>
      <w:r w:rsidRPr="00E639BA">
        <w:rPr>
          <w:rFonts w:ascii="Times New Roman" w:hAnsi="Times New Roman"/>
          <w:sz w:val="24"/>
          <w:szCs w:val="24"/>
        </w:rPr>
        <w:t xml:space="preserve"> is a vector of parameters.</w:t>
      </w:r>
    </w:p>
    <w:p w:rsidR="001F2655" w:rsidRPr="00E639BA" w:rsidRDefault="001B1EB7" w:rsidP="00C17C6A">
      <w:pPr>
        <w:autoSpaceDE w:val="0"/>
        <w:autoSpaceDN w:val="0"/>
        <w:adjustRightInd w:val="0"/>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Thus</w:t>
      </w:r>
      <w:r w:rsidR="001F2655" w:rsidRPr="00E639BA">
        <w:rPr>
          <w:rFonts w:ascii="Times New Roman" w:hAnsi="Times New Roman"/>
          <w:sz w:val="24"/>
          <w:szCs w:val="24"/>
        </w:rPr>
        <w:t xml:space="preserve">, differences in mean </w:t>
      </w:r>
      <w:r w:rsidR="00F01B97" w:rsidRPr="00E639BA">
        <w:rPr>
          <w:rFonts w:ascii="Times New Roman" w:hAnsi="Times New Roman"/>
          <w:sz w:val="24"/>
          <w:szCs w:val="24"/>
        </w:rPr>
        <w:t xml:space="preserve">earnings </w:t>
      </w:r>
      <w:r w:rsidR="001F2655" w:rsidRPr="00E639BA">
        <w:rPr>
          <w:rFonts w:ascii="Times New Roman" w:hAnsi="Times New Roman"/>
          <w:sz w:val="24"/>
          <w:szCs w:val="24"/>
        </w:rPr>
        <w:t xml:space="preserve">between </w:t>
      </w:r>
      <w:r w:rsidR="00F01B97" w:rsidRPr="00E639BA">
        <w:rPr>
          <w:rFonts w:ascii="Times New Roman" w:hAnsi="Times New Roman"/>
          <w:sz w:val="24"/>
          <w:szCs w:val="24"/>
        </w:rPr>
        <w:t xml:space="preserve">whites (W) and blacks (B) </w:t>
      </w:r>
      <w:r w:rsidR="009C4670" w:rsidRPr="00E639BA">
        <w:rPr>
          <w:rFonts w:ascii="Times New Roman" w:hAnsi="Times New Roman"/>
          <w:sz w:val="24"/>
          <w:szCs w:val="24"/>
        </w:rPr>
        <w:t>can</w:t>
      </w:r>
      <w:r w:rsidR="001F2655" w:rsidRPr="00E639BA">
        <w:rPr>
          <w:rFonts w:ascii="Times New Roman" w:hAnsi="Times New Roman"/>
          <w:sz w:val="24"/>
          <w:szCs w:val="24"/>
        </w:rPr>
        <w:t xml:space="preserve"> be decomposed into two components:</w:t>
      </w:r>
    </w:p>
    <w:p w:rsidR="001F2655" w:rsidRPr="00E639BA" w:rsidRDefault="001F2655" w:rsidP="00C17C6A">
      <w:pPr>
        <w:autoSpaceDE w:val="0"/>
        <w:autoSpaceDN w:val="0"/>
        <w:adjustRightInd w:val="0"/>
        <w:spacing w:line="240" w:lineRule="auto"/>
        <w:contextualSpacing/>
        <w:jc w:val="both"/>
        <w:rPr>
          <w:rFonts w:ascii="Times New Roman" w:hAnsi="Times New Roman"/>
          <w:sz w:val="24"/>
          <w:szCs w:val="24"/>
        </w:rPr>
      </w:pPr>
    </w:p>
    <w:p w:rsidR="001F2655" w:rsidRPr="00E639BA" w:rsidRDefault="001F2655"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lastRenderedPageBreak/>
        <w:t xml:space="preserve"> (2) </w:t>
      </w:r>
      <w:r w:rsidRPr="00E639BA">
        <w:rPr>
          <w:rFonts w:ascii="Times New Roman" w:hAnsi="Times New Roman"/>
          <w:position w:val="-12"/>
          <w:sz w:val="24"/>
          <w:szCs w:val="24"/>
        </w:rPr>
        <w:object w:dxaOrig="3960" w:dyaOrig="400">
          <v:shape id="_x0000_i1028" type="#_x0000_t75" style="width:198pt;height:20.5pt" o:ole="">
            <v:imagedata r:id="rId19" o:title=""/>
          </v:shape>
          <o:OLEObject Type="Embed" ProgID="Equation.3" ShapeID="_x0000_i1028" DrawAspect="Content" ObjectID="_1466597861" r:id="rId20"/>
        </w:object>
      </w:r>
    </w:p>
    <w:p w:rsidR="001F2655" w:rsidRPr="00E639BA" w:rsidRDefault="001F2655" w:rsidP="00C17C6A">
      <w:pPr>
        <w:autoSpaceDE w:val="0"/>
        <w:autoSpaceDN w:val="0"/>
        <w:adjustRightInd w:val="0"/>
        <w:spacing w:line="240" w:lineRule="auto"/>
        <w:ind w:firstLine="708"/>
        <w:contextualSpacing/>
        <w:jc w:val="both"/>
        <w:rPr>
          <w:rFonts w:ascii="Times New Roman" w:hAnsi="Times New Roman"/>
          <w:sz w:val="24"/>
          <w:szCs w:val="24"/>
        </w:rPr>
      </w:pPr>
    </w:p>
    <w:p w:rsidR="001F2655" w:rsidRPr="00E639BA" w:rsidRDefault="001F2655" w:rsidP="00C17C6A">
      <w:pPr>
        <w:autoSpaceDE w:val="0"/>
        <w:autoSpaceDN w:val="0"/>
        <w:adjustRightInd w:val="0"/>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The first term on the right side of equation (2) is the amount of the earnings gap due to differences in characteristics, while the</w:t>
      </w:r>
      <w:r w:rsidR="00915DAD" w:rsidRPr="00E639BA">
        <w:rPr>
          <w:rFonts w:ascii="Times New Roman" w:hAnsi="Times New Roman"/>
          <w:sz w:val="24"/>
          <w:szCs w:val="24"/>
        </w:rPr>
        <w:t xml:space="preserve"> second</w:t>
      </w:r>
      <w:r w:rsidRPr="00E639BA">
        <w:rPr>
          <w:rFonts w:ascii="Times New Roman" w:hAnsi="Times New Roman"/>
          <w:sz w:val="24"/>
          <w:szCs w:val="24"/>
        </w:rPr>
        <w:t xml:space="preserve"> term represents differences in the returns </w:t>
      </w:r>
      <w:r w:rsidR="009B14CB" w:rsidRPr="00E639BA">
        <w:rPr>
          <w:rFonts w:ascii="Times New Roman" w:hAnsi="Times New Roman"/>
          <w:sz w:val="24"/>
          <w:szCs w:val="24"/>
        </w:rPr>
        <w:t xml:space="preserve">on </w:t>
      </w:r>
      <w:r w:rsidRPr="00E639BA">
        <w:rPr>
          <w:rFonts w:ascii="Times New Roman" w:hAnsi="Times New Roman"/>
          <w:sz w:val="24"/>
          <w:szCs w:val="24"/>
        </w:rPr>
        <w:t>similar characteristics between white and black workers</w:t>
      </w:r>
      <w:r w:rsidRPr="00E639BA">
        <w:rPr>
          <w:rFonts w:ascii="Times New Roman" w:hAnsi="Times New Roman"/>
          <w:i/>
          <w:sz w:val="24"/>
          <w:szCs w:val="24"/>
        </w:rPr>
        <w:t>.</w:t>
      </w:r>
      <w:r w:rsidRPr="00E639BA">
        <w:rPr>
          <w:rFonts w:ascii="Times New Roman" w:hAnsi="Times New Roman"/>
          <w:sz w:val="24"/>
          <w:szCs w:val="24"/>
        </w:rPr>
        <w:t xml:space="preserve"> </w:t>
      </w:r>
      <w:r w:rsidR="008A185A" w:rsidRPr="00E639BA">
        <w:rPr>
          <w:rFonts w:ascii="Times New Roman" w:hAnsi="Times New Roman"/>
          <w:sz w:val="24"/>
          <w:szCs w:val="24"/>
        </w:rPr>
        <w:t>Although the Oaxaca</w:t>
      </w:r>
      <w:r w:rsidR="00B13172">
        <w:rPr>
          <w:rFonts w:ascii="Times New Roman" w:hAnsi="Times New Roman"/>
          <w:sz w:val="24"/>
          <w:szCs w:val="24"/>
        </w:rPr>
        <w:t>-Blinder</w:t>
      </w:r>
      <w:r w:rsidR="008A185A" w:rsidRPr="00E639BA">
        <w:rPr>
          <w:rFonts w:ascii="Times New Roman" w:hAnsi="Times New Roman"/>
          <w:sz w:val="24"/>
          <w:szCs w:val="24"/>
        </w:rPr>
        <w:t xml:space="preserve"> method offers a simple way to decompose earnings di</w:t>
      </w:r>
      <w:r w:rsidR="00CA3E0C" w:rsidRPr="00E639BA">
        <w:rPr>
          <w:rFonts w:ascii="Times New Roman" w:hAnsi="Times New Roman"/>
          <w:sz w:val="24"/>
          <w:szCs w:val="24"/>
        </w:rPr>
        <w:t>fferences between two groups, it</w:t>
      </w:r>
      <w:r w:rsidR="008A185A" w:rsidRPr="00E639BA">
        <w:rPr>
          <w:rFonts w:ascii="Times New Roman" w:hAnsi="Times New Roman"/>
          <w:sz w:val="24"/>
          <w:szCs w:val="24"/>
        </w:rPr>
        <w:t xml:space="preserve"> has important limitations</w:t>
      </w:r>
      <w:r w:rsidR="00981764" w:rsidRPr="00E639BA">
        <w:rPr>
          <w:rFonts w:ascii="Times New Roman" w:hAnsi="Times New Roman"/>
          <w:sz w:val="24"/>
          <w:szCs w:val="24"/>
        </w:rPr>
        <w:t xml:space="preserve"> </w:t>
      </w:r>
      <w:r w:rsidR="00CA3E0C" w:rsidRPr="00E639BA">
        <w:rPr>
          <w:rFonts w:ascii="Times New Roman" w:hAnsi="Times New Roman"/>
          <w:sz w:val="24"/>
          <w:szCs w:val="24"/>
        </w:rPr>
        <w:t>(</w:t>
      </w:r>
      <w:r w:rsidR="00981764" w:rsidRPr="00E639BA">
        <w:rPr>
          <w:rFonts w:ascii="Times New Roman" w:hAnsi="Times New Roman"/>
          <w:sz w:val="24"/>
          <w:szCs w:val="24"/>
        </w:rPr>
        <w:t>Fortin, Lemieux and Firpo</w:t>
      </w:r>
      <w:r w:rsidR="00CA3E0C" w:rsidRPr="00E639BA">
        <w:rPr>
          <w:rFonts w:ascii="Times New Roman" w:hAnsi="Times New Roman"/>
          <w:sz w:val="24"/>
          <w:szCs w:val="24"/>
        </w:rPr>
        <w:t xml:space="preserve">, </w:t>
      </w:r>
      <w:r w:rsidR="00981764" w:rsidRPr="00E639BA">
        <w:rPr>
          <w:rFonts w:ascii="Times New Roman" w:hAnsi="Times New Roman"/>
          <w:sz w:val="24"/>
          <w:szCs w:val="24"/>
        </w:rPr>
        <w:t>2011)</w:t>
      </w:r>
      <w:r w:rsidR="008A185A" w:rsidRPr="00E639BA">
        <w:rPr>
          <w:rFonts w:ascii="Times New Roman" w:hAnsi="Times New Roman"/>
          <w:sz w:val="24"/>
          <w:szCs w:val="24"/>
        </w:rPr>
        <w:t xml:space="preserve">. </w:t>
      </w:r>
      <w:r w:rsidR="00CA3E0C" w:rsidRPr="00E639BA">
        <w:rPr>
          <w:rFonts w:ascii="Times New Roman" w:hAnsi="Times New Roman"/>
          <w:sz w:val="24"/>
          <w:szCs w:val="24"/>
        </w:rPr>
        <w:t xml:space="preserve">It should be mentioned, for example, that general equilibrium </w:t>
      </w:r>
      <w:r w:rsidR="00307C70" w:rsidRPr="00E639BA">
        <w:rPr>
          <w:rFonts w:ascii="Times New Roman" w:hAnsi="Times New Roman"/>
          <w:sz w:val="24"/>
          <w:szCs w:val="24"/>
        </w:rPr>
        <w:t xml:space="preserve">effects are not taken into account and the results depend on the order of the decomposition. </w:t>
      </w:r>
      <w:r w:rsidR="0066567C" w:rsidRPr="00E639BA">
        <w:rPr>
          <w:rFonts w:ascii="Times New Roman" w:hAnsi="Times New Roman"/>
          <w:sz w:val="24"/>
          <w:szCs w:val="24"/>
        </w:rPr>
        <w:t>A</w:t>
      </w:r>
      <w:r w:rsidR="00DE6F99" w:rsidRPr="00E639BA">
        <w:rPr>
          <w:rFonts w:ascii="Times New Roman" w:hAnsi="Times New Roman"/>
          <w:sz w:val="24"/>
          <w:szCs w:val="24"/>
        </w:rPr>
        <w:t xml:space="preserve">lso, </w:t>
      </w:r>
      <w:r w:rsidR="007316D2" w:rsidRPr="00E639BA">
        <w:rPr>
          <w:rFonts w:ascii="Times New Roman" w:hAnsi="Times New Roman"/>
          <w:sz w:val="24"/>
          <w:szCs w:val="24"/>
        </w:rPr>
        <w:t>Oaxaca</w:t>
      </w:r>
      <w:r w:rsidR="00B13172">
        <w:rPr>
          <w:rFonts w:ascii="Times New Roman" w:hAnsi="Times New Roman"/>
          <w:sz w:val="24"/>
          <w:szCs w:val="24"/>
        </w:rPr>
        <w:t>-Blinder</w:t>
      </w:r>
      <w:r w:rsidR="007316D2" w:rsidRPr="00E639BA">
        <w:rPr>
          <w:rFonts w:ascii="Times New Roman" w:hAnsi="Times New Roman"/>
          <w:sz w:val="24"/>
          <w:szCs w:val="24"/>
        </w:rPr>
        <w:t xml:space="preserve"> </w:t>
      </w:r>
      <w:r w:rsidR="00DE6F99" w:rsidRPr="00E639BA">
        <w:rPr>
          <w:rFonts w:ascii="Times New Roman" w:hAnsi="Times New Roman"/>
          <w:sz w:val="24"/>
          <w:szCs w:val="24"/>
        </w:rPr>
        <w:t>method is useful only for decomposing mean differences</w:t>
      </w:r>
      <w:r w:rsidR="008A185A" w:rsidRPr="00E639BA">
        <w:rPr>
          <w:rFonts w:ascii="Times New Roman" w:hAnsi="Times New Roman"/>
          <w:sz w:val="24"/>
          <w:szCs w:val="24"/>
        </w:rPr>
        <w:t>.</w:t>
      </w:r>
      <w:r w:rsidR="007316D2" w:rsidRPr="00E639BA">
        <w:rPr>
          <w:rFonts w:ascii="Times New Roman" w:hAnsi="Times New Roman"/>
          <w:sz w:val="24"/>
          <w:szCs w:val="24"/>
        </w:rPr>
        <w:t xml:space="preserve"> </w:t>
      </w:r>
      <w:r w:rsidR="00F52C7D" w:rsidRPr="00E639BA">
        <w:rPr>
          <w:rFonts w:ascii="Times New Roman" w:hAnsi="Times New Roman"/>
          <w:sz w:val="24"/>
          <w:szCs w:val="24"/>
        </w:rPr>
        <w:t xml:space="preserve">About this last point, </w:t>
      </w:r>
      <w:r w:rsidR="007316D2" w:rsidRPr="00E639BA">
        <w:rPr>
          <w:rFonts w:ascii="Times New Roman" w:hAnsi="Times New Roman"/>
          <w:sz w:val="24"/>
          <w:szCs w:val="24"/>
        </w:rPr>
        <w:t>decompositions for different quantiles of the earnings distribution</w:t>
      </w:r>
      <w:r w:rsidR="00F52C7D" w:rsidRPr="00E639BA">
        <w:rPr>
          <w:rFonts w:ascii="Times New Roman" w:hAnsi="Times New Roman"/>
          <w:sz w:val="24"/>
          <w:szCs w:val="24"/>
        </w:rPr>
        <w:t xml:space="preserve"> are performed using the method</w:t>
      </w:r>
      <w:r w:rsidR="007316D2" w:rsidRPr="00E639BA">
        <w:rPr>
          <w:rFonts w:ascii="Times New Roman" w:hAnsi="Times New Roman"/>
          <w:sz w:val="24"/>
          <w:szCs w:val="24"/>
        </w:rPr>
        <w:t xml:space="preserve"> described in the next subsection.</w:t>
      </w:r>
      <w:r w:rsidR="008A185A" w:rsidRPr="00E639BA">
        <w:rPr>
          <w:rFonts w:ascii="Times New Roman" w:hAnsi="Times New Roman"/>
          <w:sz w:val="24"/>
          <w:szCs w:val="24"/>
        </w:rPr>
        <w:t xml:space="preserve">  </w:t>
      </w:r>
    </w:p>
    <w:p w:rsidR="00C92556" w:rsidRPr="00E639BA" w:rsidRDefault="00C92556" w:rsidP="00C17C6A">
      <w:pPr>
        <w:autoSpaceDE w:val="0"/>
        <w:autoSpaceDN w:val="0"/>
        <w:adjustRightInd w:val="0"/>
        <w:spacing w:line="240" w:lineRule="auto"/>
        <w:ind w:firstLine="708"/>
        <w:contextualSpacing/>
        <w:jc w:val="both"/>
        <w:rPr>
          <w:rFonts w:ascii="Times New Roman" w:hAnsi="Times New Roman"/>
          <w:sz w:val="24"/>
          <w:szCs w:val="24"/>
        </w:rPr>
      </w:pPr>
    </w:p>
    <w:p w:rsidR="00A94DD8" w:rsidRPr="00E639BA" w:rsidRDefault="00ED69DA" w:rsidP="00C17C6A">
      <w:pPr>
        <w:spacing w:line="240" w:lineRule="auto"/>
        <w:contextualSpacing/>
        <w:jc w:val="both"/>
        <w:rPr>
          <w:rFonts w:ascii="Times New Roman" w:hAnsi="Times New Roman"/>
          <w:sz w:val="24"/>
          <w:szCs w:val="24"/>
        </w:rPr>
      </w:pPr>
      <w:proofErr w:type="gramStart"/>
      <w:r w:rsidRPr="00E639BA">
        <w:rPr>
          <w:rFonts w:ascii="Times New Roman" w:hAnsi="Times New Roman"/>
          <w:sz w:val="24"/>
          <w:szCs w:val="24"/>
        </w:rPr>
        <w:t>4</w:t>
      </w:r>
      <w:r w:rsidR="00A94DD8" w:rsidRPr="00E639BA">
        <w:rPr>
          <w:rFonts w:ascii="Times New Roman" w:hAnsi="Times New Roman"/>
          <w:sz w:val="24"/>
          <w:szCs w:val="24"/>
        </w:rPr>
        <w:t>.2 –RIF-regression decomposition.</w:t>
      </w:r>
      <w:proofErr w:type="gramEnd"/>
    </w:p>
    <w:p w:rsidR="00EE668C" w:rsidRPr="00E639BA" w:rsidRDefault="00EE668C" w:rsidP="00C17C6A">
      <w:pPr>
        <w:spacing w:line="240" w:lineRule="auto"/>
        <w:contextualSpacing/>
        <w:jc w:val="both"/>
        <w:rPr>
          <w:rFonts w:ascii="Times New Roman" w:hAnsi="Times New Roman"/>
          <w:sz w:val="24"/>
          <w:szCs w:val="24"/>
        </w:rPr>
      </w:pPr>
    </w:p>
    <w:p w:rsidR="00B67899" w:rsidRPr="00E639BA" w:rsidRDefault="00E94730"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This subsection </w:t>
      </w:r>
      <w:r w:rsidR="00ED69DA" w:rsidRPr="00E639BA">
        <w:rPr>
          <w:rFonts w:ascii="Times New Roman" w:hAnsi="Times New Roman"/>
          <w:sz w:val="24"/>
          <w:szCs w:val="24"/>
        </w:rPr>
        <w:t>presents a brief description of</w:t>
      </w:r>
      <w:r w:rsidRPr="00E639BA">
        <w:rPr>
          <w:rFonts w:ascii="Times New Roman" w:hAnsi="Times New Roman"/>
          <w:sz w:val="24"/>
          <w:szCs w:val="24"/>
        </w:rPr>
        <w:t xml:space="preserve"> the RIF-regression decomposition method, following</w:t>
      </w:r>
      <w:r w:rsidR="00E01813" w:rsidRPr="00E639BA">
        <w:rPr>
          <w:rFonts w:ascii="Times New Roman" w:hAnsi="Times New Roman"/>
          <w:sz w:val="24"/>
          <w:szCs w:val="24"/>
        </w:rPr>
        <w:t xml:space="preserve"> Fortin, Lemieux and Firpo (2009</w:t>
      </w:r>
      <w:r w:rsidRPr="00E639BA">
        <w:rPr>
          <w:rFonts w:ascii="Times New Roman" w:hAnsi="Times New Roman"/>
          <w:sz w:val="24"/>
          <w:szCs w:val="24"/>
        </w:rPr>
        <w:t xml:space="preserve">). </w:t>
      </w:r>
      <w:r w:rsidR="00A94DD8" w:rsidRPr="00E639BA">
        <w:rPr>
          <w:rFonts w:ascii="Times New Roman" w:hAnsi="Times New Roman"/>
          <w:sz w:val="24"/>
          <w:szCs w:val="24"/>
        </w:rPr>
        <w:t>This method</w:t>
      </w:r>
      <w:r w:rsidR="00ED69DA" w:rsidRPr="00E639BA">
        <w:rPr>
          <w:rFonts w:ascii="Times New Roman" w:hAnsi="Times New Roman"/>
          <w:sz w:val="24"/>
          <w:szCs w:val="24"/>
        </w:rPr>
        <w:t>ology</w:t>
      </w:r>
      <w:r w:rsidR="00A94DD8" w:rsidRPr="00E639BA">
        <w:rPr>
          <w:rFonts w:ascii="Times New Roman" w:hAnsi="Times New Roman"/>
          <w:sz w:val="24"/>
          <w:szCs w:val="24"/>
        </w:rPr>
        <w:t xml:space="preserve"> allows performing an Oaxaca-Blinder-type decomposition for different quantiles</w:t>
      </w:r>
      <w:r w:rsidR="000F751E" w:rsidRPr="00E639BA">
        <w:rPr>
          <w:rFonts w:ascii="Times New Roman" w:hAnsi="Times New Roman"/>
          <w:sz w:val="24"/>
          <w:szCs w:val="24"/>
        </w:rPr>
        <w:t xml:space="preserve"> of the earnings distribution</w:t>
      </w:r>
      <w:r w:rsidR="00A94DD8" w:rsidRPr="00E639BA">
        <w:rPr>
          <w:rFonts w:ascii="Times New Roman" w:hAnsi="Times New Roman"/>
          <w:sz w:val="24"/>
          <w:szCs w:val="24"/>
        </w:rPr>
        <w:t xml:space="preserve">. </w:t>
      </w:r>
      <w:r w:rsidR="00B67899" w:rsidRPr="00E639BA">
        <w:rPr>
          <w:rFonts w:ascii="Times New Roman" w:hAnsi="Times New Roman"/>
          <w:sz w:val="24"/>
          <w:szCs w:val="24"/>
        </w:rPr>
        <w:t xml:space="preserve">Thus, it is possible to investigate, for example, the role of </w:t>
      </w:r>
      <w:r w:rsidR="00472942" w:rsidRPr="00E639BA">
        <w:rPr>
          <w:rFonts w:ascii="Times New Roman" w:hAnsi="Times New Roman"/>
          <w:sz w:val="24"/>
          <w:szCs w:val="24"/>
        </w:rPr>
        <w:t xml:space="preserve">differences in the </w:t>
      </w:r>
      <w:r w:rsidR="00B67899" w:rsidRPr="00E639BA">
        <w:rPr>
          <w:rFonts w:ascii="Times New Roman" w:hAnsi="Times New Roman"/>
          <w:sz w:val="24"/>
          <w:szCs w:val="24"/>
        </w:rPr>
        <w:t xml:space="preserve">distribution of </w:t>
      </w:r>
      <w:r w:rsidR="00472942" w:rsidRPr="00E639BA">
        <w:rPr>
          <w:rFonts w:ascii="Times New Roman" w:hAnsi="Times New Roman"/>
          <w:sz w:val="24"/>
          <w:szCs w:val="24"/>
        </w:rPr>
        <w:t xml:space="preserve">white and black </w:t>
      </w:r>
      <w:r w:rsidR="00B67899" w:rsidRPr="00E639BA">
        <w:rPr>
          <w:rFonts w:ascii="Times New Roman" w:hAnsi="Times New Roman"/>
          <w:sz w:val="24"/>
          <w:szCs w:val="24"/>
        </w:rPr>
        <w:t>workers across fields of study</w:t>
      </w:r>
      <w:r w:rsidR="00472942" w:rsidRPr="00E639BA">
        <w:rPr>
          <w:rFonts w:ascii="Times New Roman" w:hAnsi="Times New Roman"/>
          <w:sz w:val="24"/>
          <w:szCs w:val="24"/>
        </w:rPr>
        <w:t xml:space="preserve"> </w:t>
      </w:r>
      <w:r w:rsidR="00CB6F92" w:rsidRPr="00E639BA">
        <w:rPr>
          <w:rFonts w:ascii="Times New Roman" w:hAnsi="Times New Roman"/>
          <w:sz w:val="24"/>
          <w:szCs w:val="24"/>
        </w:rPr>
        <w:t xml:space="preserve">in </w:t>
      </w:r>
      <w:r w:rsidR="00472942" w:rsidRPr="00E639BA">
        <w:rPr>
          <w:rFonts w:ascii="Times New Roman" w:hAnsi="Times New Roman"/>
          <w:sz w:val="24"/>
          <w:szCs w:val="24"/>
        </w:rPr>
        <w:t xml:space="preserve">the earnings gap at the bottom as well as at the top of the earnings distribution. </w:t>
      </w:r>
    </w:p>
    <w:p w:rsidR="008921EF" w:rsidRPr="00E639BA" w:rsidRDefault="00A94DD8"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A RIF-regression consists </w:t>
      </w:r>
      <w:r w:rsidR="00CB6F92" w:rsidRPr="00E639BA">
        <w:rPr>
          <w:rFonts w:ascii="Times New Roman" w:hAnsi="Times New Roman"/>
          <w:sz w:val="24"/>
          <w:szCs w:val="24"/>
        </w:rPr>
        <w:t xml:space="preserve">in </w:t>
      </w:r>
      <w:r w:rsidRPr="00E639BA">
        <w:rPr>
          <w:rFonts w:ascii="Times New Roman" w:hAnsi="Times New Roman"/>
          <w:sz w:val="24"/>
          <w:szCs w:val="24"/>
        </w:rPr>
        <w:t xml:space="preserve">estimating a regression </w:t>
      </w:r>
      <w:r w:rsidR="007C4894" w:rsidRPr="00E639BA">
        <w:rPr>
          <w:rFonts w:ascii="Times New Roman" w:hAnsi="Times New Roman"/>
          <w:sz w:val="24"/>
          <w:szCs w:val="24"/>
        </w:rPr>
        <w:t xml:space="preserve">similar </w:t>
      </w:r>
      <w:r w:rsidRPr="00E639BA">
        <w:rPr>
          <w:rFonts w:ascii="Times New Roman" w:hAnsi="Times New Roman"/>
          <w:sz w:val="24"/>
          <w:szCs w:val="24"/>
        </w:rPr>
        <w:t xml:space="preserve">to a standard one, where the dependent variable is replaced </w:t>
      </w:r>
      <w:r w:rsidR="00CB6F92" w:rsidRPr="00E639BA">
        <w:rPr>
          <w:rFonts w:ascii="Times New Roman" w:hAnsi="Times New Roman"/>
          <w:sz w:val="24"/>
          <w:szCs w:val="24"/>
        </w:rPr>
        <w:t xml:space="preserve">with </w:t>
      </w:r>
      <w:r w:rsidRPr="00E639BA">
        <w:rPr>
          <w:rFonts w:ascii="Times New Roman" w:hAnsi="Times New Roman"/>
          <w:sz w:val="24"/>
          <w:szCs w:val="24"/>
        </w:rPr>
        <w:t xml:space="preserve">the </w:t>
      </w:r>
      <w:proofErr w:type="spellStart"/>
      <w:r w:rsidRPr="00E639BA">
        <w:rPr>
          <w:rFonts w:ascii="Times New Roman" w:hAnsi="Times New Roman"/>
          <w:sz w:val="24"/>
          <w:szCs w:val="24"/>
        </w:rPr>
        <w:t>recentered</w:t>
      </w:r>
      <w:proofErr w:type="spellEnd"/>
      <w:r w:rsidRPr="00E639BA">
        <w:rPr>
          <w:rFonts w:ascii="Times New Roman" w:hAnsi="Times New Roman"/>
          <w:sz w:val="24"/>
          <w:szCs w:val="24"/>
        </w:rPr>
        <w:t xml:space="preserve"> influence function (RIF) for a quantile Q</w:t>
      </w:r>
      <w:r w:rsidRPr="00E639BA">
        <w:rPr>
          <w:rFonts w:ascii="Symbol" w:hAnsi="Symbol"/>
          <w:sz w:val="24"/>
          <w:szCs w:val="24"/>
          <w:vertAlign w:val="subscript"/>
        </w:rPr>
        <w:t></w:t>
      </w:r>
      <w:r w:rsidR="007C51C5" w:rsidRPr="00E639BA">
        <w:rPr>
          <w:rFonts w:ascii="Times New Roman" w:hAnsi="Times New Roman"/>
          <w:sz w:val="24"/>
          <w:szCs w:val="24"/>
        </w:rPr>
        <w:t xml:space="preserve"> </w:t>
      </w:r>
      <w:r w:rsidR="00975EF7" w:rsidRPr="00E639BA">
        <w:rPr>
          <w:rFonts w:ascii="Times New Roman" w:hAnsi="Times New Roman"/>
          <w:sz w:val="24"/>
          <w:szCs w:val="24"/>
        </w:rPr>
        <w:t xml:space="preserve">or another statistic of interest </w:t>
      </w:r>
      <w:r w:rsidR="007C51C5" w:rsidRPr="00E639BA">
        <w:rPr>
          <w:rFonts w:ascii="Times New Roman" w:hAnsi="Times New Roman"/>
          <w:sz w:val="24"/>
          <w:szCs w:val="24"/>
        </w:rPr>
        <w:t xml:space="preserve">(Firpo, Fortin and Lemieux, </w:t>
      </w:r>
      <w:r w:rsidR="00975EF7" w:rsidRPr="00E639BA">
        <w:rPr>
          <w:rFonts w:ascii="Times New Roman" w:hAnsi="Times New Roman"/>
          <w:sz w:val="24"/>
          <w:szCs w:val="24"/>
        </w:rPr>
        <w:t>2009</w:t>
      </w:r>
      <w:r w:rsidR="007C51C5" w:rsidRPr="00E639BA">
        <w:rPr>
          <w:rFonts w:ascii="Times New Roman" w:hAnsi="Times New Roman"/>
          <w:sz w:val="24"/>
          <w:szCs w:val="24"/>
        </w:rPr>
        <w:t>).</w:t>
      </w:r>
      <w:r w:rsidRPr="00E639BA">
        <w:rPr>
          <w:rFonts w:ascii="Times New Roman" w:hAnsi="Times New Roman"/>
          <w:sz w:val="24"/>
          <w:szCs w:val="24"/>
        </w:rPr>
        <w:t xml:space="preserve"> </w:t>
      </w:r>
      <w:r w:rsidR="00D43984" w:rsidRPr="00E639BA">
        <w:rPr>
          <w:rFonts w:ascii="Times New Roman" w:hAnsi="Times New Roman"/>
          <w:sz w:val="24"/>
          <w:szCs w:val="24"/>
        </w:rPr>
        <w:t>T</w:t>
      </w:r>
      <w:r w:rsidRPr="00E639BA">
        <w:rPr>
          <w:rFonts w:ascii="Times New Roman" w:hAnsi="Times New Roman"/>
          <w:sz w:val="24"/>
          <w:szCs w:val="24"/>
        </w:rPr>
        <w:t xml:space="preserve">he influence function </w:t>
      </w:r>
      <w:r w:rsidR="005A4458" w:rsidRPr="00E639BA">
        <w:rPr>
          <w:rFonts w:ascii="Times New Roman" w:hAnsi="Times New Roman"/>
          <w:sz w:val="24"/>
          <w:szCs w:val="24"/>
        </w:rPr>
        <w:t>for a quantile Q</w:t>
      </w:r>
      <w:r w:rsidR="005A4458" w:rsidRPr="00E639BA">
        <w:rPr>
          <w:rFonts w:ascii="Symbol" w:hAnsi="Symbol"/>
          <w:sz w:val="24"/>
          <w:szCs w:val="24"/>
          <w:vertAlign w:val="subscript"/>
        </w:rPr>
        <w:t></w:t>
      </w:r>
      <w:r w:rsidR="005A4458" w:rsidRPr="00E639BA">
        <w:rPr>
          <w:rFonts w:ascii="Times New Roman" w:hAnsi="Times New Roman"/>
          <w:sz w:val="24"/>
          <w:szCs w:val="24"/>
        </w:rPr>
        <w:t xml:space="preserve"> is defined </w:t>
      </w:r>
      <w:r w:rsidRPr="00E639BA">
        <w:rPr>
          <w:rFonts w:ascii="Times New Roman" w:hAnsi="Times New Roman"/>
          <w:sz w:val="24"/>
          <w:szCs w:val="24"/>
        </w:rPr>
        <w:t>as</w:t>
      </w:r>
      <w:r w:rsidR="008921EF" w:rsidRPr="00E639BA">
        <w:rPr>
          <w:rFonts w:ascii="Times New Roman" w:hAnsi="Times New Roman"/>
          <w:sz w:val="24"/>
          <w:szCs w:val="24"/>
        </w:rPr>
        <w:t>:</w:t>
      </w:r>
    </w:p>
    <w:p w:rsidR="008921EF" w:rsidRPr="00E639BA" w:rsidRDefault="008921EF" w:rsidP="00C17C6A">
      <w:pPr>
        <w:spacing w:line="240" w:lineRule="auto"/>
        <w:contextualSpacing/>
        <w:jc w:val="both"/>
        <w:rPr>
          <w:rFonts w:ascii="Times New Roman" w:hAnsi="Times New Roman"/>
          <w:sz w:val="24"/>
          <w:szCs w:val="24"/>
        </w:rPr>
      </w:pPr>
    </w:p>
    <w:p w:rsidR="00A94DD8" w:rsidRPr="00E639BA" w:rsidRDefault="008921EF" w:rsidP="00C17C6A">
      <w:pPr>
        <w:spacing w:line="240" w:lineRule="auto"/>
        <w:contextualSpacing/>
        <w:jc w:val="both"/>
        <w:rPr>
          <w:rFonts w:ascii="Times New Roman" w:eastAsia="MS Mincho" w:hAnsi="Times New Roman"/>
          <w:sz w:val="24"/>
          <w:szCs w:val="24"/>
        </w:rPr>
      </w:pPr>
      <w:r w:rsidRPr="00E639BA">
        <w:rPr>
          <w:rFonts w:ascii="Times New Roman" w:hAnsi="Times New Roman"/>
          <w:sz w:val="24"/>
          <w:szCs w:val="24"/>
        </w:rPr>
        <w:t xml:space="preserve"> (3</w:t>
      </w:r>
      <w:proofErr w:type="gramStart"/>
      <w:r w:rsidRPr="00E639BA">
        <w:rPr>
          <w:rFonts w:ascii="Times New Roman" w:hAnsi="Times New Roman"/>
          <w:sz w:val="24"/>
          <w:szCs w:val="24"/>
        </w:rPr>
        <w:t xml:space="preserve">) </w:t>
      </w:r>
      <w:proofErr w:type="gramEnd"/>
      <w:r w:rsidR="00CB7030" w:rsidRPr="00E639BA">
        <w:rPr>
          <w:rFonts w:ascii="Times New Roman" w:eastAsia="MS Mincho" w:hAnsi="Times New Roman"/>
          <w:sz w:val="24"/>
          <w:szCs w:val="24"/>
        </w:rPr>
        <w:fldChar w:fldCharType="begin"/>
      </w:r>
      <w:r w:rsidR="00CB7030" w:rsidRPr="00E639BA">
        <w:rPr>
          <w:rFonts w:ascii="Times New Roman" w:eastAsia="MS Mincho" w:hAnsi="Times New Roman"/>
          <w:sz w:val="24"/>
          <w:szCs w:val="24"/>
        </w:rPr>
        <w:instrText xml:space="preserve"> QUOTE </w:instrText>
      </w:r>
      <m:oMath>
        <m:r>
          <m:rPr>
            <m:sty m:val="p"/>
          </m:rPr>
          <w:rPr>
            <w:rFonts w:ascii="Cambria Math" w:hAnsi="Cambria Math"/>
            <w:sz w:val="24"/>
            <w:szCs w:val="24"/>
          </w:rPr>
          <m:t>IF</m:t>
        </m:r>
        <m:d>
          <m:dPr>
            <m:ctrlPr>
              <w:rPr>
                <w:rFonts w:ascii="Cambria Math" w:hAnsi="Cambria Math"/>
                <w:i/>
                <w:sz w:val="24"/>
                <w:szCs w:val="24"/>
              </w:rPr>
            </m:ctrlPr>
          </m:dPr>
          <m:e>
            <m:r>
              <m:rPr>
                <m:sty m:val="p"/>
              </m:rPr>
              <w:rPr>
                <w:rFonts w:ascii="Cambria Math" w:hAnsi="Cambria Math"/>
                <w:sz w:val="24"/>
                <w:szCs w:val="24"/>
              </w:rPr>
              <m:t>Y;</m:t>
            </m:r>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r>
          <m:rPr>
            <m:sty m:val="p"/>
          </m:rP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τ-I</m:t>
            </m:r>
            <m:d>
              <m:dPr>
                <m:ctrlPr>
                  <w:rPr>
                    <w:rFonts w:ascii="Cambria Math" w:hAnsi="Cambria Math"/>
                    <w:i/>
                    <w:sz w:val="24"/>
                    <w:szCs w:val="24"/>
                  </w:rPr>
                </m:ctrlPr>
              </m:dPr>
              <m:e>
                <m:r>
                  <m:rPr>
                    <m:sty m:val="p"/>
                  </m:rPr>
                  <w:rPr>
                    <w:rFonts w:ascii="Cambria Math" w:hAnsi="Cambria Math"/>
                    <w:sz w:val="24"/>
                    <w:szCs w:val="24"/>
                  </w:rPr>
                  <m:t>Y≤</m:t>
                </m:r>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num>
          <m:den>
            <m:sSub>
              <m:sSubPr>
                <m:ctrlPr>
                  <w:rPr>
                    <w:rFonts w:ascii="Cambria Math" w:hAnsi="Cambria Math"/>
                    <w:i/>
                    <w:sz w:val="24"/>
                    <w:szCs w:val="24"/>
                  </w:rPr>
                </m:ctrlPr>
              </m:sSubPr>
              <m:e>
                <m:r>
                  <m:rPr>
                    <m:sty m:val="p"/>
                  </m:rPr>
                  <w:rPr>
                    <w:rFonts w:ascii="Cambria Math" w:hAnsi="Cambria Math"/>
                    <w:sz w:val="24"/>
                    <w:szCs w:val="24"/>
                  </w:rPr>
                  <m:t>f</m:t>
                </m:r>
              </m:e>
              <m:sub>
                <m:r>
                  <m:rPr>
                    <m:sty m:val="p"/>
                  </m:rP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den>
        </m:f>
      </m:oMath>
      <w:r w:rsidR="00CB7030" w:rsidRPr="00E639BA">
        <w:rPr>
          <w:rFonts w:ascii="Times New Roman" w:eastAsia="MS Mincho" w:hAnsi="Times New Roman"/>
          <w:sz w:val="24"/>
          <w:szCs w:val="24"/>
        </w:rPr>
        <w:instrText xml:space="preserve"> </w:instrText>
      </w:r>
      <w:r w:rsidR="00CB7030" w:rsidRPr="00E639BA">
        <w:rPr>
          <w:rFonts w:ascii="Times New Roman" w:eastAsia="MS Mincho" w:hAnsi="Times New Roman"/>
          <w:sz w:val="24"/>
          <w:szCs w:val="24"/>
        </w:rPr>
        <w:fldChar w:fldCharType="separate"/>
      </w:r>
      <m:oMath>
        <m:r>
          <m:rPr>
            <m:sty m:val="p"/>
          </m:rPr>
          <w:rPr>
            <w:rFonts w:ascii="Cambria Math" w:hAnsi="Cambria Math"/>
            <w:sz w:val="24"/>
            <w:szCs w:val="24"/>
          </w:rPr>
          <m:t xml:space="preserve"> IF</m:t>
        </m:r>
        <m:d>
          <m:dPr>
            <m:ctrlPr>
              <w:rPr>
                <w:rFonts w:ascii="Cambria Math" w:hAnsi="Cambria Math"/>
                <w:i/>
                <w:sz w:val="24"/>
                <w:szCs w:val="24"/>
              </w:rPr>
            </m:ctrlPr>
          </m:dPr>
          <m:e>
            <m:r>
              <m:rPr>
                <m:sty m:val="p"/>
              </m:rPr>
              <w:rPr>
                <w:rFonts w:ascii="Cambria Math" w:hAnsi="Cambria Math"/>
                <w:sz w:val="24"/>
                <w:szCs w:val="24"/>
              </w:rPr>
              <m:t>Y;</m:t>
            </m:r>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r>
          <m:rPr>
            <m:sty m:val="p"/>
          </m:rP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τ-I</m:t>
            </m:r>
            <m:d>
              <m:dPr>
                <m:ctrlPr>
                  <w:rPr>
                    <w:rFonts w:ascii="Cambria Math" w:hAnsi="Cambria Math"/>
                    <w:i/>
                    <w:sz w:val="24"/>
                    <w:szCs w:val="24"/>
                  </w:rPr>
                </m:ctrlPr>
              </m:dPr>
              <m:e>
                <m:r>
                  <m:rPr>
                    <m:sty m:val="p"/>
                  </m:rPr>
                  <w:rPr>
                    <w:rFonts w:ascii="Cambria Math" w:hAnsi="Cambria Math"/>
                    <w:sz w:val="24"/>
                    <w:szCs w:val="24"/>
                  </w:rPr>
                  <m:t>Y≤</m:t>
                </m:r>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num>
          <m:den>
            <m:sSub>
              <m:sSubPr>
                <m:ctrlPr>
                  <w:rPr>
                    <w:rFonts w:ascii="Cambria Math" w:hAnsi="Cambria Math"/>
                    <w:i/>
                    <w:sz w:val="24"/>
                    <w:szCs w:val="24"/>
                  </w:rPr>
                </m:ctrlPr>
              </m:sSubPr>
              <m:e>
                <m:r>
                  <m:rPr>
                    <m:sty m:val="p"/>
                  </m:rPr>
                  <w:rPr>
                    <w:rFonts w:ascii="Cambria Math" w:hAnsi="Cambria Math"/>
                    <w:sz w:val="24"/>
                    <w:szCs w:val="24"/>
                  </w:rPr>
                  <m:t>f</m:t>
                </m:r>
              </m:e>
              <m:sub>
                <m:r>
                  <m:rPr>
                    <m:sty m:val="p"/>
                  </m:rP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Q</m:t>
                    </m:r>
                  </m:e>
                  <m:sub>
                    <m:r>
                      <m:rPr>
                        <m:sty m:val="p"/>
                      </m:rPr>
                      <w:rPr>
                        <w:rFonts w:ascii="Cambria Math" w:hAnsi="Cambria Math"/>
                        <w:sz w:val="24"/>
                        <w:szCs w:val="24"/>
                      </w:rPr>
                      <m:t>τ</m:t>
                    </m:r>
                  </m:sub>
                </m:sSub>
              </m:e>
            </m:d>
          </m:den>
        </m:f>
      </m:oMath>
      <w:r w:rsidR="0004091C" w:rsidRPr="0004091C">
        <w:rPr>
          <w:rFonts w:ascii="Times New Roman" w:eastAsia="Times New Roman" w:hAnsi="Times New Roman"/>
          <w:sz w:val="24"/>
          <w:szCs w:val="24"/>
        </w:rPr>
        <w:t>,</w:t>
      </w:r>
      <w:r w:rsidR="00CB7030" w:rsidRPr="00E639BA">
        <w:rPr>
          <w:rFonts w:ascii="Times New Roman" w:eastAsia="MS Mincho" w:hAnsi="Times New Roman"/>
          <w:sz w:val="24"/>
          <w:szCs w:val="24"/>
        </w:rPr>
        <w:fldChar w:fldCharType="end"/>
      </w:r>
    </w:p>
    <w:p w:rsidR="008921EF" w:rsidRPr="00E639BA" w:rsidRDefault="008921EF" w:rsidP="00C17C6A">
      <w:pPr>
        <w:spacing w:line="240" w:lineRule="auto"/>
        <w:contextualSpacing/>
        <w:jc w:val="both"/>
        <w:rPr>
          <w:rFonts w:ascii="Times New Roman" w:eastAsia="MS Mincho" w:hAnsi="Times New Roman"/>
          <w:sz w:val="24"/>
          <w:szCs w:val="24"/>
        </w:rPr>
      </w:pPr>
    </w:p>
    <w:p w:rsidR="008921EF" w:rsidRPr="00E639BA" w:rsidRDefault="008921EF" w:rsidP="00C17C6A">
      <w:pPr>
        <w:spacing w:line="240" w:lineRule="auto"/>
        <w:contextualSpacing/>
        <w:jc w:val="both"/>
        <w:rPr>
          <w:rFonts w:ascii="Times New Roman" w:eastAsia="MS Mincho" w:hAnsi="Times New Roman"/>
          <w:sz w:val="24"/>
          <w:szCs w:val="24"/>
        </w:rPr>
      </w:pPr>
      <w:proofErr w:type="gramStart"/>
      <w:r w:rsidRPr="00E639BA">
        <w:rPr>
          <w:rFonts w:ascii="Times New Roman" w:hAnsi="Times New Roman"/>
          <w:sz w:val="24"/>
          <w:szCs w:val="24"/>
        </w:rPr>
        <w:t>where</w:t>
      </w:r>
      <w:proofErr w:type="gramEnd"/>
      <w:r w:rsidRPr="00E639B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Y</m:t>
            </m:r>
          </m:sub>
        </m:sSub>
      </m:oMath>
      <w:r w:rsidRPr="00E639BA">
        <w:rPr>
          <w:rFonts w:ascii="Times New Roman" w:eastAsia="MS Mincho" w:hAnsi="Times New Roman"/>
          <w:sz w:val="24"/>
          <w:szCs w:val="24"/>
        </w:rPr>
        <w:t xml:space="preserve"> is the density of the marginal distribution of Y, and I(.) is an indicator function. </w:t>
      </w:r>
      <w:r w:rsidRPr="00E639BA">
        <w:rPr>
          <w:rFonts w:ascii="Times New Roman" w:hAnsi="Times New Roman"/>
          <w:sz w:val="24"/>
          <w:szCs w:val="24"/>
        </w:rPr>
        <w:t>Thus,</w:t>
      </w:r>
      <w:r w:rsidR="00C23B77" w:rsidRPr="00E639BA">
        <w:rPr>
          <w:rFonts w:ascii="Times New Roman" w:hAnsi="Times New Roman"/>
          <w:sz w:val="24"/>
          <w:szCs w:val="24"/>
        </w:rPr>
        <w:t xml:space="preserve"> </w:t>
      </w:r>
      <w:proofErr w:type="gramStart"/>
      <w:r w:rsidR="00C23B77" w:rsidRPr="00E639BA">
        <w:rPr>
          <w:rFonts w:ascii="Times New Roman" w:hAnsi="Times New Roman"/>
          <w:sz w:val="24"/>
          <w:szCs w:val="24"/>
        </w:rPr>
        <w:t>the</w:t>
      </w:r>
      <w:r w:rsidR="00556324" w:rsidRPr="00E639BA">
        <w:rPr>
          <w:rFonts w:ascii="Times New Roman" w:hAnsi="Times New Roman"/>
          <w:sz w:val="24"/>
          <w:szCs w:val="24"/>
        </w:rPr>
        <w:t xml:space="preserve"> </w:t>
      </w:r>
      <w:proofErr w:type="gramEnd"/>
      <m:oMath>
        <m:r>
          <w:rPr>
            <w:rFonts w:ascii="Cambria Math" w:hAnsi="Cambria Math"/>
            <w:sz w:val="24"/>
            <w:szCs w:val="24"/>
          </w:rPr>
          <m:t xml:space="preserve">RIF </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oMath>
      <w:r w:rsidRPr="00E639BA">
        <w:rPr>
          <w:rFonts w:ascii="Times New Roman" w:hAnsi="Times New Roman"/>
          <w:sz w:val="24"/>
          <w:szCs w:val="24"/>
        </w:rPr>
        <w:t xml:space="preserve">, which is equal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r>
          <w:rPr>
            <w:rFonts w:ascii="Cambria Math" w:hAnsi="Cambria Math"/>
            <w:sz w:val="24"/>
            <w:szCs w:val="24"/>
          </w:rPr>
          <m:t>+IF</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oMath>
      <w:r w:rsidRPr="00E639BA">
        <w:rPr>
          <w:rFonts w:ascii="Times New Roman" w:eastAsia="MS Mincho" w:hAnsi="Times New Roman"/>
          <w:sz w:val="24"/>
          <w:szCs w:val="24"/>
        </w:rPr>
        <w:t>,</w:t>
      </w:r>
      <w:r w:rsidRPr="00E639BA">
        <w:rPr>
          <w:rFonts w:ascii="Times New Roman" w:hAnsi="Times New Roman"/>
          <w:sz w:val="24"/>
          <w:szCs w:val="24"/>
        </w:rPr>
        <w:t xml:space="preserve"> can be represented by:</w:t>
      </w:r>
    </w:p>
    <w:p w:rsidR="008921EF" w:rsidRPr="00E639BA" w:rsidRDefault="008921EF" w:rsidP="00C17C6A">
      <w:pPr>
        <w:spacing w:line="240" w:lineRule="auto"/>
        <w:contextualSpacing/>
        <w:jc w:val="both"/>
        <w:rPr>
          <w:rFonts w:ascii="Times New Roman" w:hAnsi="Times New Roman"/>
          <w:sz w:val="24"/>
          <w:szCs w:val="24"/>
        </w:rPr>
      </w:pPr>
    </w:p>
    <w:p w:rsidR="00A94DD8" w:rsidRPr="00E639BA" w:rsidRDefault="008921EF" w:rsidP="00C17C6A">
      <w:pPr>
        <w:spacing w:line="240" w:lineRule="auto"/>
        <w:contextualSpacing/>
        <w:jc w:val="both"/>
        <w:rPr>
          <w:rFonts w:ascii="Times New Roman" w:eastAsia="MS Mincho" w:hAnsi="Times New Roman"/>
          <w:sz w:val="24"/>
          <w:szCs w:val="24"/>
        </w:rPr>
      </w:pPr>
      <w:r w:rsidRPr="00E639BA">
        <w:rPr>
          <w:rFonts w:ascii="Times New Roman" w:hAnsi="Times New Roman"/>
          <w:sz w:val="24"/>
          <w:szCs w:val="24"/>
        </w:rPr>
        <w:t>(4</w:t>
      </w:r>
      <w:r w:rsidR="00A94DD8" w:rsidRPr="00E639BA">
        <w:rPr>
          <w:rFonts w:ascii="Times New Roman" w:hAnsi="Times New Roman"/>
          <w:sz w:val="24"/>
          <w:szCs w:val="24"/>
        </w:rPr>
        <w:t xml:space="preserve">) </w:t>
      </w:r>
      <m:oMath>
        <m:r>
          <w:rPr>
            <w:rFonts w:ascii="Cambria Math" w:hAnsi="Cambria Math"/>
            <w:sz w:val="24"/>
            <w:szCs w:val="24"/>
          </w:rPr>
          <m:t>RIF</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τ-I</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den>
        </m:f>
      </m:oMath>
      <w:r w:rsidRPr="00E639BA">
        <w:rPr>
          <w:rFonts w:ascii="Times New Roman" w:eastAsia="MS Mincho" w:hAnsi="Times New Roman"/>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1,τ</m:t>
            </m:r>
          </m:sub>
        </m:sSub>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y&gt;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2,τ</m:t>
            </m:r>
          </m:sub>
        </m:sSub>
      </m:oMath>
    </w:p>
    <w:p w:rsidR="009007F0" w:rsidRPr="00E639BA" w:rsidRDefault="009007F0" w:rsidP="00C17C6A">
      <w:pPr>
        <w:spacing w:line="240" w:lineRule="auto"/>
        <w:contextualSpacing/>
        <w:jc w:val="both"/>
        <w:rPr>
          <w:rFonts w:ascii="Times New Roman" w:eastAsia="MS Mincho" w:hAnsi="Times New Roman"/>
          <w:sz w:val="24"/>
          <w:szCs w:val="24"/>
        </w:rPr>
      </w:pPr>
    </w:p>
    <w:p w:rsidR="00A94DD8" w:rsidRPr="00E639BA" w:rsidRDefault="00A94DD8" w:rsidP="00C17C6A">
      <w:pPr>
        <w:spacing w:line="240" w:lineRule="auto"/>
        <w:contextualSpacing/>
        <w:jc w:val="both"/>
        <w:rPr>
          <w:rFonts w:ascii="Times New Roman" w:eastAsia="MS Mincho" w:hAnsi="Times New Roman"/>
          <w:sz w:val="24"/>
          <w:szCs w:val="24"/>
        </w:rPr>
      </w:pPr>
      <w:proofErr w:type="gramStart"/>
      <w:r w:rsidRPr="00E639BA">
        <w:rPr>
          <w:rFonts w:ascii="Times New Roman" w:eastAsia="MS Mincho" w:hAnsi="Times New Roman"/>
          <w:sz w:val="24"/>
          <w:szCs w:val="24"/>
        </w:rPr>
        <w:t>where</w:t>
      </w:r>
      <w:proofErr w:type="gramEnd"/>
      <w:r w:rsidRPr="00E639BA">
        <w:rPr>
          <w:rFonts w:ascii="Times New Roman" w:eastAsia="MS Mincho" w:hAnsi="Times New Roman"/>
          <w:sz w:val="24"/>
          <w:szCs w:val="24"/>
        </w:rPr>
        <w:t xml:space="preserve"> </w:t>
      </w:r>
      <w:r w:rsidRPr="00E639BA">
        <w:rPr>
          <w:rFonts w:ascii="Times New Roman" w:hAnsi="Times New Roman"/>
          <w:sz w:val="24"/>
          <w:szCs w:val="24"/>
        </w:rPr>
        <w:t xml:space="preserve"> </w:t>
      </w:r>
      <m:oMath>
        <m:sSub>
          <m:sSubPr>
            <m:ctrlPr>
              <w:rPr>
                <w:rFonts w:ascii="Cambria Math" w:eastAsia="MS Mincho" w:hAnsi="Cambria Math"/>
                <w:i/>
                <w:sz w:val="24"/>
                <w:szCs w:val="24"/>
              </w:rPr>
            </m:ctrlPr>
          </m:sSubPr>
          <m:e>
            <m:r>
              <w:rPr>
                <w:rFonts w:ascii="Cambria Math" w:eastAsia="MS Mincho" w:hAnsi="Cambria Math"/>
                <w:sz w:val="24"/>
                <w:szCs w:val="24"/>
              </w:rPr>
              <m:t>c</m:t>
            </m:r>
          </m:e>
          <m:sub>
            <m:r>
              <w:rPr>
                <w:rFonts w:ascii="Cambria Math" w:eastAsia="MS Mincho" w:hAnsi="Cambria Math"/>
                <w:sz w:val="24"/>
                <w:szCs w:val="24"/>
              </w:rPr>
              <m:t>1,τ</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den>
        </m:f>
      </m:oMath>
      <w:r w:rsidRPr="00E639BA">
        <w:rPr>
          <w:rFonts w:ascii="Times New Roman" w:eastAsia="MS Mincho" w:hAnsi="Times New Roman"/>
          <w:sz w:val="24"/>
          <w:szCs w:val="24"/>
        </w:rPr>
        <w:t xml:space="preserve"> and </w:t>
      </w:r>
      <m:oMath>
        <m:sSub>
          <m:sSubPr>
            <m:ctrlPr>
              <w:rPr>
                <w:rFonts w:ascii="Cambria Math" w:eastAsia="MS Mincho" w:hAnsi="Cambria Math"/>
                <w:i/>
                <w:sz w:val="24"/>
                <w:szCs w:val="24"/>
              </w:rPr>
            </m:ctrlPr>
          </m:sSubPr>
          <m:e>
            <m:r>
              <w:rPr>
                <w:rFonts w:ascii="Cambria Math" w:eastAsia="MS Mincho" w:hAnsi="Cambria Math"/>
                <w:sz w:val="24"/>
                <w:szCs w:val="24"/>
              </w:rPr>
              <m:t>c</m:t>
            </m:r>
          </m:e>
          <m:sub>
            <m:r>
              <w:rPr>
                <w:rFonts w:ascii="Cambria Math" w:eastAsia="MS Mincho" w:hAnsi="Cambria Math"/>
                <w:sz w:val="24"/>
                <w:szCs w:val="24"/>
              </w:rPr>
              <m:t>2,τ</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r>
          <w:rPr>
            <w:rFonts w:ascii="Cambria Math"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c</m:t>
            </m:r>
          </m:e>
          <m:sub>
            <m:r>
              <w:rPr>
                <w:rFonts w:ascii="Cambria Math" w:eastAsia="MS Mincho" w:hAnsi="Cambria Math"/>
                <w:sz w:val="24"/>
                <w:szCs w:val="24"/>
              </w:rPr>
              <m:t>1,τ</m:t>
            </m:r>
          </m:sub>
        </m:sSub>
        <m:d>
          <m:dPr>
            <m:ctrlPr>
              <w:rPr>
                <w:rFonts w:ascii="Cambria Math" w:eastAsia="MS Mincho" w:hAnsi="Cambria Math"/>
                <w:i/>
                <w:sz w:val="24"/>
                <w:szCs w:val="24"/>
              </w:rPr>
            </m:ctrlPr>
          </m:dPr>
          <m:e>
            <m:r>
              <w:rPr>
                <w:rFonts w:ascii="Cambria Math" w:eastAsia="MS Mincho" w:hAnsi="Cambria Math"/>
                <w:sz w:val="24"/>
                <w:szCs w:val="24"/>
              </w:rPr>
              <m:t>1-τ</m:t>
            </m:r>
          </m:e>
        </m:d>
      </m:oMath>
      <w:r w:rsidRPr="00E639BA">
        <w:rPr>
          <w:rFonts w:ascii="Times New Roman" w:eastAsia="MS Mincho" w:hAnsi="Times New Roman"/>
          <w:sz w:val="24"/>
          <w:szCs w:val="24"/>
        </w:rPr>
        <w:t xml:space="preserve"> are constants. Thus, the RIF for a quantile Q</w:t>
      </w:r>
      <w:r w:rsidRPr="00E639BA">
        <w:rPr>
          <w:rFonts w:ascii="Symbol" w:eastAsia="MS Mincho" w:hAnsi="Symbol"/>
          <w:sz w:val="24"/>
          <w:szCs w:val="24"/>
          <w:vertAlign w:val="subscript"/>
        </w:rPr>
        <w:t></w:t>
      </w:r>
      <w:r w:rsidRPr="00E639BA">
        <w:rPr>
          <w:rFonts w:ascii="Times New Roman" w:eastAsia="MS Mincho" w:hAnsi="Times New Roman"/>
          <w:sz w:val="24"/>
          <w:szCs w:val="24"/>
        </w:rPr>
        <w:t xml:space="preserve"> is a function of the constants c</w:t>
      </w:r>
      <w:r w:rsidRPr="00E639BA">
        <w:rPr>
          <w:rFonts w:ascii="Times New Roman" w:eastAsia="MS Mincho" w:hAnsi="Times New Roman"/>
          <w:sz w:val="24"/>
          <w:szCs w:val="24"/>
          <w:vertAlign w:val="subscript"/>
        </w:rPr>
        <w:t>1,</w:t>
      </w:r>
      <w:r w:rsidRPr="00E639BA">
        <w:rPr>
          <w:rFonts w:ascii="Symbol" w:eastAsia="MS Mincho" w:hAnsi="Symbol"/>
          <w:sz w:val="24"/>
          <w:szCs w:val="24"/>
          <w:vertAlign w:val="subscript"/>
        </w:rPr>
        <w:t></w:t>
      </w:r>
      <w:r w:rsidRPr="00E639BA">
        <w:rPr>
          <w:rFonts w:ascii="Symbol" w:eastAsia="MS Mincho" w:hAnsi="Symbol"/>
          <w:sz w:val="24"/>
          <w:szCs w:val="24"/>
        </w:rPr>
        <w:t></w:t>
      </w:r>
      <w:r w:rsidRPr="00E639BA">
        <w:rPr>
          <w:rFonts w:ascii="Times New Roman" w:eastAsia="MS Mincho" w:hAnsi="Times New Roman"/>
          <w:sz w:val="24"/>
          <w:szCs w:val="24"/>
        </w:rPr>
        <w:t>and c</w:t>
      </w:r>
      <w:r w:rsidRPr="00E639BA">
        <w:rPr>
          <w:rFonts w:ascii="Times New Roman" w:eastAsia="MS Mincho" w:hAnsi="Times New Roman"/>
          <w:sz w:val="24"/>
          <w:szCs w:val="24"/>
          <w:vertAlign w:val="subscript"/>
        </w:rPr>
        <w:t>2,</w:t>
      </w:r>
      <w:r w:rsidRPr="00E639BA">
        <w:rPr>
          <w:rFonts w:ascii="Symbol" w:eastAsia="MS Mincho" w:hAnsi="Symbol"/>
          <w:sz w:val="24"/>
          <w:szCs w:val="24"/>
          <w:vertAlign w:val="subscript"/>
        </w:rPr>
        <w:t></w:t>
      </w:r>
      <w:r w:rsidRPr="00E639BA">
        <w:rPr>
          <w:rFonts w:ascii="Symbol" w:eastAsia="MS Mincho" w:hAnsi="Symbol"/>
          <w:sz w:val="24"/>
          <w:szCs w:val="24"/>
        </w:rPr>
        <w:t></w:t>
      </w:r>
      <w:r w:rsidRPr="00E639BA">
        <w:rPr>
          <w:rFonts w:ascii="Symbol" w:eastAsia="MS Mincho" w:hAnsi="Symbol"/>
          <w:sz w:val="24"/>
          <w:szCs w:val="24"/>
        </w:rPr>
        <w:t></w:t>
      </w:r>
      <w:r w:rsidRPr="00E639BA">
        <w:rPr>
          <w:rFonts w:ascii="Times New Roman" w:eastAsia="MS Mincho" w:hAnsi="Times New Roman"/>
          <w:sz w:val="24"/>
          <w:szCs w:val="24"/>
        </w:rPr>
        <w:t>and</w:t>
      </w:r>
      <w:r w:rsidR="00901521" w:rsidRPr="00E639BA">
        <w:rPr>
          <w:rFonts w:ascii="Times New Roman" w:eastAsia="MS Mincho" w:hAnsi="Times New Roman"/>
          <w:sz w:val="24"/>
          <w:szCs w:val="24"/>
        </w:rPr>
        <w:t xml:space="preserve"> a</w:t>
      </w:r>
      <w:r w:rsidRPr="00E639BA">
        <w:rPr>
          <w:rFonts w:ascii="Times New Roman" w:eastAsia="MS Mincho" w:hAnsi="Times New Roman"/>
          <w:sz w:val="24"/>
          <w:szCs w:val="24"/>
        </w:rPr>
        <w:t xml:space="preserve"> variable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oMath>
      <w:r w:rsidRPr="00E639BA">
        <w:rPr>
          <w:rFonts w:ascii="Times New Roman" w:eastAsia="MS Mincho" w:hAnsi="Times New Roman"/>
          <w:sz w:val="24"/>
          <w:szCs w:val="24"/>
        </w:rPr>
        <w:t xml:space="preserve"> </w:t>
      </w:r>
      <w:r w:rsidR="00901521" w:rsidRPr="00E639BA">
        <w:rPr>
          <w:rFonts w:ascii="Times New Roman" w:eastAsia="MS Mincho" w:hAnsi="Times New Roman"/>
          <w:sz w:val="24"/>
          <w:szCs w:val="24"/>
        </w:rPr>
        <w:t xml:space="preserve">indicating </w:t>
      </w:r>
      <w:r w:rsidRPr="00E639BA">
        <w:rPr>
          <w:rFonts w:ascii="Times New Roman" w:eastAsia="MS Mincho" w:hAnsi="Times New Roman"/>
          <w:sz w:val="24"/>
          <w:szCs w:val="24"/>
        </w:rPr>
        <w:t xml:space="preserve">whether labor earnings </w:t>
      </w:r>
      <w:r w:rsidR="000A3E45" w:rsidRPr="00E639BA">
        <w:rPr>
          <w:rFonts w:ascii="Times New Roman" w:eastAsia="MS Mincho" w:hAnsi="Times New Roman"/>
          <w:sz w:val="24"/>
          <w:szCs w:val="24"/>
        </w:rPr>
        <w:t xml:space="preserve">are </w:t>
      </w:r>
      <w:r w:rsidRPr="00E639BA">
        <w:rPr>
          <w:rFonts w:ascii="Times New Roman" w:eastAsia="MS Mincho" w:hAnsi="Times New Roman"/>
          <w:sz w:val="24"/>
          <w:szCs w:val="24"/>
        </w:rPr>
        <w:t>smaller</w:t>
      </w:r>
      <w:r w:rsidR="00CB6F92" w:rsidRPr="00E639BA">
        <w:rPr>
          <w:rFonts w:ascii="Times New Roman" w:eastAsia="MS Mincho" w:hAnsi="Times New Roman"/>
          <w:sz w:val="24"/>
          <w:szCs w:val="24"/>
        </w:rPr>
        <w:t xml:space="preserve"> than</w:t>
      </w:r>
      <w:r w:rsidRPr="00E639BA">
        <w:rPr>
          <w:rFonts w:ascii="Times New Roman" w:eastAsia="MS Mincho" w:hAnsi="Times New Roman"/>
          <w:sz w:val="24"/>
          <w:szCs w:val="24"/>
        </w:rPr>
        <w:t xml:space="preserve"> or equal to the quantile Q</w:t>
      </w:r>
      <w:r w:rsidRPr="00E639BA">
        <w:rPr>
          <w:rFonts w:ascii="Symbol" w:eastAsia="MS Mincho" w:hAnsi="Symbol"/>
          <w:sz w:val="24"/>
          <w:szCs w:val="24"/>
          <w:vertAlign w:val="subscript"/>
        </w:rPr>
        <w:t></w:t>
      </w:r>
      <w:r w:rsidRPr="00E639BA">
        <w:rPr>
          <w:rFonts w:ascii="Symbol" w:eastAsia="MS Mincho" w:hAnsi="Symbol"/>
          <w:sz w:val="24"/>
          <w:szCs w:val="24"/>
        </w:rPr>
        <w:t></w:t>
      </w:r>
      <w:r w:rsidR="00AD3E94" w:rsidRPr="00E639BA">
        <w:rPr>
          <w:rFonts w:ascii="Symbol" w:eastAsia="MS Mincho" w:hAnsi="Symbol"/>
          <w:sz w:val="24"/>
          <w:szCs w:val="24"/>
        </w:rPr>
        <w:t></w:t>
      </w:r>
      <w:r w:rsidR="003E0675" w:rsidRPr="00E639BA">
        <w:rPr>
          <w:rFonts w:ascii="Times New Roman" w:eastAsia="MS Mincho" w:hAnsi="Times New Roman"/>
          <w:sz w:val="24"/>
          <w:szCs w:val="24"/>
        </w:rPr>
        <w:t xml:space="preserve">Using equation (4) and </w:t>
      </w:r>
      <w:r w:rsidR="00CB6F92" w:rsidRPr="00E639BA">
        <w:rPr>
          <w:rFonts w:ascii="Times New Roman" w:eastAsia="MS Mincho" w:hAnsi="Times New Roman"/>
          <w:sz w:val="24"/>
          <w:szCs w:val="24"/>
        </w:rPr>
        <w:t>c</w:t>
      </w:r>
      <w:r w:rsidRPr="00E639BA">
        <w:rPr>
          <w:rFonts w:ascii="Times New Roman" w:eastAsia="MS Mincho" w:hAnsi="Times New Roman"/>
          <w:sz w:val="24"/>
          <w:szCs w:val="24"/>
        </w:rPr>
        <w:t xml:space="preserve">omputing the estimates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τ</m:t>
            </m:r>
          </m:sub>
        </m:sSub>
      </m:oMath>
      <w:r w:rsidRPr="00E639BA">
        <w:rPr>
          <w:rFonts w:ascii="Times New Roman" w:eastAsia="MS Mincho" w:hAnsi="Times New Roman"/>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τ</m:t>
                </m:r>
              </m:sub>
            </m:sSub>
          </m:e>
        </m:d>
      </m:oMath>
      <w:r w:rsidRPr="00E639BA">
        <w:rPr>
          <w:rFonts w:ascii="Times New Roman" w:eastAsia="MS Mincho" w:hAnsi="Times New Roman"/>
          <w:sz w:val="24"/>
          <w:szCs w:val="24"/>
        </w:rPr>
        <w:t>, it is possible to obtain an estimate of the RIF:</w:t>
      </w:r>
    </w:p>
    <w:p w:rsidR="009007F0" w:rsidRPr="00E639BA" w:rsidRDefault="009007F0" w:rsidP="00C17C6A">
      <w:pPr>
        <w:spacing w:line="240" w:lineRule="auto"/>
        <w:contextualSpacing/>
        <w:jc w:val="both"/>
        <w:rPr>
          <w:rFonts w:ascii="Symbol" w:eastAsia="MS Mincho" w:hAnsi="Symbol"/>
          <w:sz w:val="24"/>
          <w:szCs w:val="24"/>
        </w:rPr>
      </w:pPr>
    </w:p>
    <w:p w:rsidR="0026290F" w:rsidRPr="00E639BA" w:rsidRDefault="00800E54" w:rsidP="00C17C6A">
      <w:pPr>
        <w:spacing w:line="240" w:lineRule="auto"/>
        <w:contextualSpacing/>
        <w:jc w:val="both"/>
        <w:rPr>
          <w:rFonts w:ascii="Times New Roman" w:eastAsia="MS Mincho" w:hAnsi="Times New Roman"/>
          <w:sz w:val="24"/>
          <w:szCs w:val="24"/>
        </w:rPr>
      </w:pPr>
      <w:r w:rsidRPr="00E639BA">
        <w:rPr>
          <w:rFonts w:ascii="Times New Roman" w:hAnsi="Times New Roman"/>
          <w:sz w:val="24"/>
          <w:szCs w:val="24"/>
        </w:rPr>
        <w:t>(5</w:t>
      </w:r>
      <w:r w:rsidR="00A94DD8" w:rsidRPr="00E639BA">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RIF</m:t>
            </m:r>
          </m:e>
        </m:acc>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τ</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τ-I</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τ</m:t>
                    </m:r>
                  </m:sub>
                </m:sSub>
              </m:e>
            </m:d>
          </m:num>
          <m:den>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τ</m:t>
                    </m:r>
                  </m:sub>
                </m:sSub>
              </m:e>
            </m:d>
          </m:den>
        </m:f>
      </m:oMath>
    </w:p>
    <w:p w:rsidR="002E13F4" w:rsidRPr="00E639BA" w:rsidRDefault="002E13F4" w:rsidP="00C17C6A">
      <w:pPr>
        <w:spacing w:line="240" w:lineRule="auto"/>
        <w:ind w:firstLine="708"/>
        <w:contextualSpacing/>
        <w:jc w:val="both"/>
        <w:rPr>
          <w:rFonts w:ascii="Times New Roman" w:eastAsia="MS Mincho" w:hAnsi="Times New Roman"/>
          <w:sz w:val="24"/>
          <w:szCs w:val="24"/>
        </w:rPr>
      </w:pPr>
    </w:p>
    <w:p w:rsidR="00A94DD8" w:rsidRPr="00E639BA" w:rsidRDefault="00AD3E94" w:rsidP="00C17C6A">
      <w:pPr>
        <w:spacing w:line="240" w:lineRule="auto"/>
        <w:ind w:firstLine="708"/>
        <w:contextualSpacing/>
        <w:jc w:val="both"/>
        <w:rPr>
          <w:rFonts w:ascii="Times New Roman" w:eastAsia="MS Mincho" w:hAnsi="Times New Roman"/>
          <w:sz w:val="24"/>
          <w:szCs w:val="24"/>
        </w:rPr>
      </w:pPr>
      <w:r w:rsidRPr="00E639BA">
        <w:rPr>
          <w:rFonts w:ascii="Times New Roman" w:eastAsia="MS Mincho" w:hAnsi="Times New Roman"/>
          <w:sz w:val="24"/>
          <w:szCs w:val="24"/>
        </w:rPr>
        <w:t>Assuming that the conditional expectation of the RIF is a linear function of the covariates (</w:t>
      </w:r>
      <w:r w:rsidRPr="00E639BA">
        <w:rPr>
          <w:rFonts w:ascii="Times New Roman" w:eastAsia="MS Mincho" w:hAnsi="Times New Roman"/>
          <w:i/>
          <w:sz w:val="24"/>
          <w:szCs w:val="24"/>
        </w:rPr>
        <w:t>X</w:t>
      </w:r>
      <w:r w:rsidRPr="00E639BA">
        <w:rPr>
          <w:rFonts w:ascii="Times New Roman" w:eastAsia="MS Mincho" w:hAnsi="Times New Roman"/>
          <w:sz w:val="24"/>
          <w:szCs w:val="24"/>
        </w:rPr>
        <w:t>), that is</w:t>
      </w:r>
      <w:proofErr w:type="gramStart"/>
      <w:r w:rsidRPr="00E639BA">
        <w:rPr>
          <w:rFonts w:ascii="Times New Roman" w:eastAsia="MS Mincho" w:hAnsi="Times New Roman"/>
          <w:sz w:val="24"/>
          <w:szCs w:val="24"/>
        </w:rPr>
        <w:t xml:space="preserve">, </w:t>
      </w:r>
      <w:proofErr w:type="gramEnd"/>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RIF</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τ</m:t>
                    </m:r>
                  </m:sub>
                </m:sSub>
              </m:e>
            </m:d>
            <m:r>
              <w:rPr>
                <w:rFonts w:ascii="Cambria Math" w:hAnsi="Cambria Math"/>
                <w:sz w:val="24"/>
                <w:szCs w:val="24"/>
              </w:rPr>
              <m:t>|X</m:t>
            </m:r>
          </m:e>
        </m:d>
        <m:r>
          <w:rPr>
            <w:rFonts w:ascii="Cambria Math" w:hAnsi="Cambria Math"/>
            <w:sz w:val="24"/>
            <w:szCs w:val="24"/>
          </w:rPr>
          <m:t>=Xγ+e</m:t>
        </m:r>
      </m:oMath>
      <w:r w:rsidRPr="00E639BA">
        <w:rPr>
          <w:rFonts w:ascii="Times New Roman" w:eastAsia="MS Mincho" w:hAnsi="Times New Roman"/>
          <w:sz w:val="24"/>
          <w:szCs w:val="24"/>
        </w:rPr>
        <w:t xml:space="preserve">, the vector of parameters </w:t>
      </w:r>
      <w:r w:rsidRPr="00E639BA">
        <w:rPr>
          <w:rFonts w:ascii="Symbol" w:eastAsia="MS Mincho" w:hAnsi="Symbol"/>
          <w:i/>
          <w:sz w:val="24"/>
          <w:szCs w:val="24"/>
        </w:rPr>
        <w:t></w:t>
      </w:r>
      <w:r w:rsidRPr="00E639BA">
        <w:rPr>
          <w:rFonts w:ascii="Times New Roman" w:eastAsia="MS Mincho" w:hAnsi="Times New Roman"/>
          <w:sz w:val="24"/>
          <w:szCs w:val="24"/>
        </w:rPr>
        <w:t xml:space="preserve"> can be estimated by </w:t>
      </w:r>
      <w:r w:rsidR="000D322D" w:rsidRPr="00E639BA">
        <w:rPr>
          <w:rFonts w:ascii="Times New Roman" w:eastAsia="MS Mincho" w:hAnsi="Times New Roman"/>
          <w:sz w:val="24"/>
          <w:szCs w:val="24"/>
        </w:rPr>
        <w:t>o</w:t>
      </w:r>
      <w:r w:rsidRPr="00E639BA">
        <w:rPr>
          <w:rFonts w:ascii="Times New Roman" w:eastAsia="MS Mincho" w:hAnsi="Times New Roman"/>
          <w:sz w:val="24"/>
          <w:szCs w:val="24"/>
        </w:rPr>
        <w:t xml:space="preserve">rdinary </w:t>
      </w:r>
      <w:r w:rsidR="000D322D" w:rsidRPr="00E639BA">
        <w:rPr>
          <w:rFonts w:ascii="Times New Roman" w:eastAsia="MS Mincho" w:hAnsi="Times New Roman"/>
          <w:sz w:val="24"/>
          <w:szCs w:val="24"/>
        </w:rPr>
        <w:t>l</w:t>
      </w:r>
      <w:r w:rsidRPr="00E639BA">
        <w:rPr>
          <w:rFonts w:ascii="Times New Roman" w:eastAsia="MS Mincho" w:hAnsi="Times New Roman"/>
          <w:sz w:val="24"/>
          <w:szCs w:val="24"/>
        </w:rPr>
        <w:t xml:space="preserve">east </w:t>
      </w:r>
      <w:r w:rsidR="000D322D" w:rsidRPr="00E639BA">
        <w:rPr>
          <w:rFonts w:ascii="Times New Roman" w:eastAsia="MS Mincho" w:hAnsi="Times New Roman"/>
          <w:sz w:val="24"/>
          <w:szCs w:val="24"/>
        </w:rPr>
        <w:t>s</w:t>
      </w:r>
      <w:r w:rsidRPr="00E639BA">
        <w:rPr>
          <w:rFonts w:ascii="Times New Roman" w:eastAsia="MS Mincho" w:hAnsi="Times New Roman"/>
          <w:sz w:val="24"/>
          <w:szCs w:val="24"/>
        </w:rPr>
        <w:t>quare</w:t>
      </w:r>
      <w:r w:rsidR="000D322D" w:rsidRPr="00E639BA">
        <w:rPr>
          <w:rFonts w:ascii="Times New Roman" w:eastAsia="MS Mincho" w:hAnsi="Times New Roman"/>
          <w:sz w:val="24"/>
          <w:szCs w:val="24"/>
        </w:rPr>
        <w:t>s</w:t>
      </w:r>
      <w:r w:rsidRPr="00E639BA">
        <w:rPr>
          <w:rFonts w:ascii="Times New Roman" w:eastAsia="MS Mincho" w:hAnsi="Times New Roman"/>
          <w:sz w:val="24"/>
          <w:szCs w:val="24"/>
        </w:rPr>
        <w:t xml:space="preserve">. </w:t>
      </w:r>
      <w:r w:rsidR="00A94DD8" w:rsidRPr="00E639BA">
        <w:rPr>
          <w:rFonts w:ascii="Times New Roman" w:eastAsia="MS Mincho" w:hAnsi="Times New Roman"/>
          <w:sz w:val="24"/>
          <w:szCs w:val="24"/>
        </w:rPr>
        <w:t>The coefficients of the unconditional quantile regression (</w:t>
      </w:r>
      <w:r w:rsidR="00A94DD8" w:rsidRPr="00E639BA">
        <w:rPr>
          <w:rFonts w:ascii="Symbol" w:eastAsia="MS Mincho" w:hAnsi="Symbol"/>
          <w:sz w:val="24"/>
          <w:szCs w:val="24"/>
        </w:rPr>
        <w:t></w:t>
      </w:r>
      <w:r w:rsidR="00A94DD8" w:rsidRPr="00E639BA">
        <w:rPr>
          <w:rFonts w:ascii="Times New Roman" w:eastAsia="MS Mincho" w:hAnsi="Times New Roman"/>
          <w:sz w:val="24"/>
          <w:szCs w:val="24"/>
        </w:rPr>
        <w:t xml:space="preserve">) for </w:t>
      </w:r>
      <w:r w:rsidR="00CE7366" w:rsidRPr="00E639BA">
        <w:rPr>
          <w:rFonts w:ascii="Times New Roman" w:eastAsia="MS Mincho" w:hAnsi="Times New Roman"/>
          <w:sz w:val="24"/>
          <w:szCs w:val="24"/>
        </w:rPr>
        <w:t xml:space="preserve">a given </w:t>
      </w:r>
      <w:r w:rsidR="00A94DD8" w:rsidRPr="00E639BA">
        <w:rPr>
          <w:rFonts w:ascii="Times New Roman" w:eastAsia="MS Mincho" w:hAnsi="Times New Roman"/>
          <w:sz w:val="24"/>
          <w:szCs w:val="24"/>
        </w:rPr>
        <w:t>racial gro</w:t>
      </w:r>
      <w:r w:rsidRPr="00E639BA">
        <w:rPr>
          <w:rFonts w:ascii="Times New Roman" w:eastAsia="MS Mincho" w:hAnsi="Times New Roman"/>
          <w:sz w:val="24"/>
          <w:szCs w:val="24"/>
        </w:rPr>
        <w:t>up</w:t>
      </w:r>
      <w:r w:rsidR="00CE7366" w:rsidRPr="00E639BA">
        <w:rPr>
          <w:rFonts w:ascii="Times New Roman" w:eastAsia="MS Mincho" w:hAnsi="Times New Roman"/>
          <w:sz w:val="24"/>
          <w:szCs w:val="24"/>
        </w:rPr>
        <w:t xml:space="preserve"> </w:t>
      </w:r>
      <w:r w:rsidR="00CE7366" w:rsidRPr="00E639BA">
        <w:rPr>
          <w:rFonts w:ascii="Times New Roman" w:eastAsia="MS Mincho" w:hAnsi="Times New Roman"/>
          <w:i/>
          <w:sz w:val="24"/>
          <w:szCs w:val="24"/>
        </w:rPr>
        <w:t>r</w:t>
      </w:r>
      <w:r w:rsidR="00CE7366" w:rsidRPr="00E639BA">
        <w:rPr>
          <w:rFonts w:ascii="Times New Roman" w:eastAsia="MS Mincho" w:hAnsi="Times New Roman"/>
          <w:sz w:val="24"/>
          <w:szCs w:val="24"/>
        </w:rPr>
        <w:t xml:space="preserve"> in each quantile </w:t>
      </w:r>
      <w:r w:rsidR="00CE7366" w:rsidRPr="00E639BA">
        <w:rPr>
          <w:rFonts w:ascii="Symbol" w:eastAsia="MS Mincho" w:hAnsi="Symbol"/>
          <w:sz w:val="24"/>
          <w:szCs w:val="24"/>
        </w:rPr>
        <w:t></w:t>
      </w:r>
      <w:r w:rsidRPr="00E639BA">
        <w:rPr>
          <w:rFonts w:ascii="Times New Roman" w:eastAsia="MS Mincho" w:hAnsi="Times New Roman"/>
          <w:sz w:val="24"/>
          <w:szCs w:val="24"/>
        </w:rPr>
        <w:t xml:space="preserve"> can be estimated as follows</w:t>
      </w:r>
      <w:r w:rsidR="00A94DD8" w:rsidRPr="00E639BA">
        <w:rPr>
          <w:rFonts w:ascii="Times New Roman" w:eastAsia="MS Mincho" w:hAnsi="Times New Roman"/>
          <w:sz w:val="24"/>
          <w:szCs w:val="24"/>
        </w:rPr>
        <w:t xml:space="preserve">:  </w:t>
      </w:r>
    </w:p>
    <w:p w:rsidR="00A94DD8" w:rsidRPr="00E639BA" w:rsidRDefault="00A94DD8" w:rsidP="00C17C6A">
      <w:pPr>
        <w:spacing w:line="240" w:lineRule="auto"/>
        <w:contextualSpacing/>
        <w:jc w:val="both"/>
        <w:rPr>
          <w:rFonts w:ascii="Times New Roman" w:hAnsi="Times New Roman"/>
          <w:sz w:val="24"/>
          <w:szCs w:val="24"/>
        </w:rPr>
      </w:pPr>
    </w:p>
    <w:p w:rsidR="00A94DD8" w:rsidRPr="00E639BA" w:rsidRDefault="00800E54" w:rsidP="00C17C6A">
      <w:pPr>
        <w:spacing w:line="240" w:lineRule="auto"/>
        <w:contextualSpacing/>
        <w:jc w:val="both"/>
        <w:rPr>
          <w:rFonts w:ascii="Times New Roman" w:eastAsia="MS Mincho" w:hAnsi="Times New Roman"/>
          <w:sz w:val="24"/>
          <w:szCs w:val="24"/>
        </w:rPr>
      </w:pPr>
      <w:r w:rsidRPr="00E639BA">
        <w:rPr>
          <w:rFonts w:ascii="Times New Roman" w:hAnsi="Times New Roman"/>
          <w:sz w:val="24"/>
          <w:szCs w:val="24"/>
        </w:rPr>
        <w:t>(6</w:t>
      </w:r>
      <w:proofErr w:type="gramStart"/>
      <w:r w:rsidR="00A94DD8" w:rsidRPr="00E639BA">
        <w:rPr>
          <w:rFonts w:ascii="Times New Roman" w:hAnsi="Times New Roman"/>
          <w:sz w:val="24"/>
          <w:szCs w:val="24"/>
        </w:rPr>
        <w:t xml:space="preserve">) </w:t>
      </w:r>
      <w:proofErr w:type="gramEnd"/>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r,τ</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i=R</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e>
            </m:d>
          </m:e>
          <m:sup>
            <m:r>
              <w:rPr>
                <w:rFonts w:ascii="Cambria Math" w:hAnsi="Cambria Math"/>
                <w:sz w:val="24"/>
                <w:szCs w:val="24"/>
              </w:rPr>
              <m:t>-1</m:t>
            </m:r>
          </m:sup>
        </m:sSup>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i=R</m:t>
                </m:r>
              </m:sub>
              <m:sup/>
              <m:e>
                <m:acc>
                  <m:accPr>
                    <m:ctrlPr>
                      <w:rPr>
                        <w:rFonts w:ascii="Cambria Math" w:hAnsi="Cambria Math"/>
                        <w:i/>
                        <w:sz w:val="24"/>
                        <w:szCs w:val="24"/>
                      </w:rPr>
                    </m:ctrlPr>
                  </m:accPr>
                  <m:e>
                    <m:r>
                      <w:rPr>
                        <w:rFonts w:ascii="Cambria Math" w:hAnsi="Cambria Math"/>
                        <w:sz w:val="24"/>
                        <w:szCs w:val="24"/>
                      </w:rPr>
                      <m:t>RIF</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r,τ</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oMath>
      <w:r w:rsidR="00AD3E94" w:rsidRPr="00E639BA">
        <w:rPr>
          <w:rFonts w:ascii="Times New Roman" w:eastAsia="MS Mincho" w:hAnsi="Times New Roman"/>
          <w:sz w:val="24"/>
          <w:szCs w:val="24"/>
        </w:rPr>
        <w:t xml:space="preserve">. </w:t>
      </w:r>
      <w:r w:rsidR="00A94DD8" w:rsidRPr="00E639BA">
        <w:rPr>
          <w:rFonts w:ascii="Times New Roman" w:eastAsia="MS Mincho" w:hAnsi="Times New Roman"/>
          <w:sz w:val="24"/>
          <w:szCs w:val="24"/>
        </w:rPr>
        <w:t xml:space="preserve"> </w:t>
      </w:r>
    </w:p>
    <w:p w:rsidR="00A94DD8" w:rsidRPr="00E639BA" w:rsidRDefault="00A94DD8" w:rsidP="00C17C6A">
      <w:pPr>
        <w:spacing w:line="240" w:lineRule="auto"/>
        <w:contextualSpacing/>
        <w:jc w:val="both"/>
        <w:rPr>
          <w:rFonts w:ascii="Times New Roman" w:hAnsi="Times New Roman"/>
          <w:sz w:val="24"/>
          <w:szCs w:val="24"/>
        </w:rPr>
      </w:pPr>
    </w:p>
    <w:p w:rsidR="00A94DD8" w:rsidRPr="00E639BA" w:rsidRDefault="00A94DD8" w:rsidP="00C17C6A">
      <w:pPr>
        <w:spacing w:line="240" w:lineRule="auto"/>
        <w:contextualSpacing/>
        <w:jc w:val="both"/>
        <w:rPr>
          <w:rFonts w:ascii="Times New Roman" w:hAnsi="Times New Roman"/>
          <w:sz w:val="24"/>
          <w:szCs w:val="24"/>
        </w:rPr>
      </w:pPr>
      <w:r w:rsidRPr="00E639BA">
        <w:rPr>
          <w:rFonts w:ascii="Times New Roman" w:hAnsi="Times New Roman"/>
          <w:sz w:val="24"/>
          <w:szCs w:val="24"/>
        </w:rPr>
        <w:tab/>
        <w:t>Making use of the estim</w:t>
      </w:r>
      <w:r w:rsidR="00800E54" w:rsidRPr="00E639BA">
        <w:rPr>
          <w:rFonts w:ascii="Times New Roman" w:hAnsi="Times New Roman"/>
          <w:sz w:val="24"/>
          <w:szCs w:val="24"/>
        </w:rPr>
        <w:t>ated coefficients in equation (6</w:t>
      </w:r>
      <w:r w:rsidRPr="00E639BA">
        <w:rPr>
          <w:rFonts w:ascii="Times New Roman" w:hAnsi="Times New Roman"/>
          <w:sz w:val="24"/>
          <w:szCs w:val="24"/>
        </w:rPr>
        <w:t xml:space="preserve">), it is possible to compute a decomposition of the labor earnings gap by race for any quantile: </w:t>
      </w:r>
    </w:p>
    <w:p w:rsidR="00A94DD8" w:rsidRPr="00E639BA" w:rsidRDefault="00A94DD8" w:rsidP="00C17C6A">
      <w:pPr>
        <w:spacing w:line="240" w:lineRule="auto"/>
        <w:contextualSpacing/>
        <w:jc w:val="both"/>
        <w:rPr>
          <w:rFonts w:ascii="Times New Roman" w:hAnsi="Times New Roman"/>
          <w:sz w:val="24"/>
          <w:szCs w:val="24"/>
        </w:rPr>
      </w:pPr>
    </w:p>
    <w:p w:rsidR="00A94DD8" w:rsidRPr="00E639BA" w:rsidRDefault="00800E54" w:rsidP="00C17C6A">
      <w:pPr>
        <w:spacing w:line="240" w:lineRule="auto"/>
        <w:contextualSpacing/>
        <w:jc w:val="both"/>
        <w:rPr>
          <w:rFonts w:ascii="Times New Roman" w:eastAsia="MS Mincho" w:hAnsi="Times New Roman"/>
          <w:sz w:val="24"/>
          <w:szCs w:val="24"/>
        </w:rPr>
      </w:pPr>
      <w:r w:rsidRPr="00E639BA">
        <w:rPr>
          <w:rFonts w:ascii="Times New Roman" w:hAnsi="Times New Roman"/>
          <w:sz w:val="24"/>
          <w:szCs w:val="24"/>
        </w:rPr>
        <w:t>(7</w:t>
      </w:r>
      <w:proofErr w:type="gramStart"/>
      <w:r w:rsidR="00A94DD8" w:rsidRPr="00E639BA">
        <w:rPr>
          <w:rFonts w:ascii="Times New Roman" w:hAnsi="Times New Roman"/>
          <w:sz w:val="24"/>
          <w:szCs w:val="24"/>
        </w:rPr>
        <w:t xml:space="preserve">) </w:t>
      </w:r>
      <m:oMath>
        <m:sSup>
          <m:sSupPr>
            <m:ctrlPr>
              <w:rPr>
                <w:rFonts w:ascii="Cambria Math" w:hAnsi="Cambria Math"/>
                <w:i/>
                <w:sz w:val="24"/>
                <w:szCs w:val="24"/>
              </w:rPr>
            </m:ctrlPr>
          </m:sSupPr>
          <m:e>
            <w:proofErr w:type="gramEnd"/>
            <m:acc>
              <m:accPr>
                <m:ctrlPr>
                  <w:rPr>
                    <w:rFonts w:ascii="Cambria Math" w:hAnsi="Cambria Math"/>
                    <w:i/>
                    <w:sz w:val="24"/>
                    <w:szCs w:val="24"/>
                  </w:rPr>
                </m:ctrlPr>
              </m:accPr>
              <m:e>
                <m:r>
                  <w:rPr>
                    <w:rFonts w:ascii="Cambria Math" w:hAnsi="Cambria Math"/>
                    <w:sz w:val="24"/>
                    <w:szCs w:val="24"/>
                  </w:rPr>
                  <m:t>∆</m:t>
                </m:r>
              </m:e>
            </m:acc>
          </m:e>
          <m:sup>
            <m:r>
              <w:rPr>
                <w:rFonts w:ascii="Cambria Math" w:hAnsi="Cambria Math"/>
                <w:sz w:val="24"/>
                <w:szCs w:val="24"/>
              </w:rPr>
              <m:t>τ</m:t>
            </m:r>
          </m:sup>
        </m:sSup>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B</m:t>
                </m:r>
              </m:sub>
            </m:sSub>
          </m:e>
        </m:d>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B,τ</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W,τ</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B,τ</m:t>
                </m:r>
              </m:sub>
            </m:sSub>
          </m:e>
        </m:d>
      </m:oMath>
      <w:r w:rsidR="00A94DD8" w:rsidRPr="00E639BA">
        <w:rPr>
          <w:rFonts w:ascii="Times New Roman" w:eastAsia="MS Mincho" w:hAnsi="Times New Roman"/>
          <w:sz w:val="24"/>
          <w:szCs w:val="24"/>
        </w:rPr>
        <w:t xml:space="preserve"> </w:t>
      </w:r>
      <w:r w:rsidR="00CA0C05" w:rsidRPr="00E639BA">
        <w:rPr>
          <w:rFonts w:ascii="Times New Roman" w:eastAsia="MS Mincho" w:hAnsi="Times New Roman"/>
          <w:sz w:val="24"/>
          <w:szCs w:val="24"/>
        </w:rPr>
        <w:t>,</w:t>
      </w:r>
    </w:p>
    <w:p w:rsidR="00A94DD8" w:rsidRPr="00E639BA" w:rsidRDefault="00A94DD8" w:rsidP="00C17C6A">
      <w:pPr>
        <w:spacing w:line="240" w:lineRule="auto"/>
        <w:contextualSpacing/>
        <w:jc w:val="both"/>
        <w:rPr>
          <w:rFonts w:ascii="Times New Roman" w:eastAsia="MS Mincho" w:hAnsi="Times New Roman"/>
          <w:sz w:val="24"/>
          <w:szCs w:val="24"/>
        </w:rPr>
      </w:pPr>
    </w:p>
    <w:p w:rsidR="00A94DD8" w:rsidRPr="00E639BA" w:rsidRDefault="00CA0C05" w:rsidP="00C17C6A">
      <w:pPr>
        <w:spacing w:line="240" w:lineRule="auto"/>
        <w:contextualSpacing/>
        <w:jc w:val="both"/>
        <w:rPr>
          <w:rFonts w:ascii="Times New Roman" w:eastAsia="MS Mincho" w:hAnsi="Times New Roman"/>
          <w:sz w:val="24"/>
          <w:szCs w:val="24"/>
        </w:rPr>
      </w:pPr>
      <w:proofErr w:type="gramStart"/>
      <w:r w:rsidRPr="00E639BA">
        <w:rPr>
          <w:rFonts w:ascii="Times New Roman" w:eastAsia="MS Mincho" w:hAnsi="Times New Roman"/>
          <w:sz w:val="24"/>
          <w:szCs w:val="24"/>
        </w:rPr>
        <w:t>where</w:t>
      </w:r>
      <w:proofErr w:type="gramEnd"/>
      <w:r w:rsidRPr="00E639BA">
        <w:rPr>
          <w:rFonts w:ascii="Times New Roman" w:eastAsia="MS Mincho" w:hAnsi="Times New Roman"/>
          <w:sz w:val="24"/>
          <w:szCs w:val="24"/>
        </w:rPr>
        <w:tab/>
        <w:t>t</w:t>
      </w:r>
      <w:r w:rsidR="00A94DD8" w:rsidRPr="00E639BA">
        <w:rPr>
          <w:rFonts w:ascii="Times New Roman" w:eastAsia="MS Mincho" w:hAnsi="Times New Roman"/>
          <w:sz w:val="24"/>
          <w:szCs w:val="24"/>
        </w:rPr>
        <w:t>he first term represents</w:t>
      </w:r>
      <w:r w:rsidR="00EA44B7" w:rsidRPr="00E639BA">
        <w:rPr>
          <w:rFonts w:ascii="Times New Roman" w:eastAsia="MS Mincho" w:hAnsi="Times New Roman"/>
          <w:sz w:val="24"/>
          <w:szCs w:val="24"/>
        </w:rPr>
        <w:t xml:space="preserve"> </w:t>
      </w:r>
      <w:r w:rsidR="000D322D" w:rsidRPr="00E639BA">
        <w:rPr>
          <w:rFonts w:ascii="Times New Roman" w:eastAsia="MS Mincho" w:hAnsi="Times New Roman"/>
          <w:sz w:val="24"/>
          <w:szCs w:val="24"/>
        </w:rPr>
        <w:t xml:space="preserve">the </w:t>
      </w:r>
      <w:r w:rsidR="00EA44B7" w:rsidRPr="00E639BA">
        <w:rPr>
          <w:rFonts w:ascii="Times New Roman" w:eastAsia="MS Mincho" w:hAnsi="Times New Roman"/>
          <w:sz w:val="24"/>
          <w:szCs w:val="24"/>
        </w:rPr>
        <w:t>characteristic effects</w:t>
      </w:r>
      <w:r w:rsidR="00A94DD8" w:rsidRPr="00E639BA">
        <w:rPr>
          <w:rFonts w:ascii="Times New Roman" w:eastAsia="MS Mincho" w:hAnsi="Times New Roman"/>
          <w:sz w:val="24"/>
          <w:szCs w:val="24"/>
        </w:rPr>
        <w:t xml:space="preserve">, while the second term represents the </w:t>
      </w:r>
      <w:r w:rsidR="00EA44B7" w:rsidRPr="00E639BA">
        <w:rPr>
          <w:rFonts w:ascii="Times New Roman" w:eastAsia="MS Mincho" w:hAnsi="Times New Roman"/>
          <w:sz w:val="24"/>
          <w:szCs w:val="24"/>
        </w:rPr>
        <w:t>price differences</w:t>
      </w:r>
      <w:r w:rsidRPr="00E639BA">
        <w:rPr>
          <w:rFonts w:ascii="Times New Roman" w:eastAsia="MS Mincho" w:hAnsi="Times New Roman"/>
          <w:sz w:val="24"/>
          <w:szCs w:val="24"/>
        </w:rPr>
        <w:t>. The former</w:t>
      </w:r>
      <w:r w:rsidR="00A94DD8" w:rsidRPr="00E639BA">
        <w:rPr>
          <w:rFonts w:ascii="Times New Roman" w:eastAsia="MS Mincho" w:hAnsi="Times New Roman"/>
          <w:sz w:val="24"/>
          <w:szCs w:val="24"/>
        </w:rPr>
        <w:t xml:space="preserve"> component can be represented as the sum of the contributions of each covariate </w:t>
      </w:r>
      <w:r w:rsidR="00A94DD8" w:rsidRPr="00E639BA">
        <w:rPr>
          <w:rFonts w:ascii="Times New Roman" w:eastAsia="MS Mincho" w:hAnsi="Times New Roman"/>
          <w:i/>
          <w:sz w:val="24"/>
          <w:szCs w:val="24"/>
        </w:rPr>
        <w:t>k</w:t>
      </w:r>
      <w:r w:rsidR="00A94DD8" w:rsidRPr="00E639BA">
        <w:rPr>
          <w:rFonts w:ascii="Times New Roman" w:eastAsia="MS Mincho" w:hAnsi="Times New Roman"/>
          <w:sz w:val="24"/>
          <w:szCs w:val="24"/>
        </w:rPr>
        <w:t xml:space="preserve">: </w:t>
      </w:r>
    </w:p>
    <w:p w:rsidR="0026290F" w:rsidRPr="00E639BA" w:rsidRDefault="0026290F" w:rsidP="00C17C6A">
      <w:pPr>
        <w:spacing w:line="240" w:lineRule="auto"/>
        <w:contextualSpacing/>
        <w:jc w:val="both"/>
        <w:rPr>
          <w:rFonts w:ascii="Times New Roman" w:eastAsia="MS Mincho" w:hAnsi="Times New Roman"/>
          <w:sz w:val="24"/>
          <w:szCs w:val="24"/>
        </w:rPr>
      </w:pPr>
    </w:p>
    <w:p w:rsidR="00A94DD8" w:rsidRPr="00E639BA" w:rsidRDefault="00800E54" w:rsidP="00C17C6A">
      <w:pPr>
        <w:spacing w:line="240" w:lineRule="auto"/>
        <w:contextualSpacing/>
        <w:jc w:val="both"/>
        <w:rPr>
          <w:rFonts w:ascii="Times New Roman" w:hAnsi="Times New Roman"/>
          <w:sz w:val="24"/>
          <w:szCs w:val="24"/>
        </w:rPr>
      </w:pPr>
      <w:r w:rsidRPr="00E639BA">
        <w:rPr>
          <w:rFonts w:ascii="Times New Roman" w:eastAsia="MS Mincho" w:hAnsi="Times New Roman"/>
          <w:sz w:val="24"/>
          <w:szCs w:val="24"/>
        </w:rPr>
        <w:t>(8</w:t>
      </w:r>
      <w:r w:rsidR="00A94DD8" w:rsidRPr="00E639BA">
        <w:rPr>
          <w:rFonts w:ascii="Times New Roman" w:eastAsia="MS Mincho" w:hAnsi="Times New Roman"/>
          <w:sz w:val="24"/>
          <w:szCs w:val="24"/>
        </w:rPr>
        <w:t xml:space="preserve">)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m:t>
                </m:r>
              </m:e>
            </m:acc>
          </m:e>
          <m:sub>
            <m:r>
              <w:rPr>
                <w:rFonts w:ascii="Cambria Math" w:hAnsi="Cambria Math"/>
                <w:sz w:val="24"/>
                <w:szCs w:val="24"/>
              </w:rPr>
              <m:t>X</m:t>
            </m:r>
          </m:sub>
          <m:sup>
            <m:r>
              <w:rPr>
                <w:rFonts w:ascii="Cambria Math" w:hAnsi="Cambria Math"/>
                <w:sz w:val="24"/>
                <w:szCs w:val="24"/>
              </w:rPr>
              <m:t>τ</m:t>
            </m:r>
          </m:sup>
        </m:sSub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Wk</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Bk</m:t>
                    </m:r>
                  </m:sub>
                </m:sSub>
              </m:e>
            </m:d>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Bk,τ</m:t>
                </m:r>
              </m:sub>
            </m:sSub>
          </m:e>
        </m:nary>
      </m:oMath>
      <w:r w:rsidR="00A94DD8" w:rsidRPr="00E639BA">
        <w:rPr>
          <w:rFonts w:ascii="Times New Roman" w:eastAsia="MS Mincho" w:hAnsi="Times New Roman"/>
          <w:sz w:val="24"/>
          <w:szCs w:val="24"/>
        </w:rPr>
        <w:t xml:space="preserve"> </w:t>
      </w:r>
    </w:p>
    <w:p w:rsidR="00F54C7D" w:rsidRPr="00E639BA" w:rsidRDefault="008D1601" w:rsidP="00C17C6A">
      <w:pPr>
        <w:autoSpaceDE w:val="0"/>
        <w:autoSpaceDN w:val="0"/>
        <w:adjustRightInd w:val="0"/>
        <w:spacing w:line="240" w:lineRule="auto"/>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ab/>
      </w:r>
    </w:p>
    <w:p w:rsidR="008D1601" w:rsidRPr="00E639BA" w:rsidRDefault="008D1601" w:rsidP="00C17C6A">
      <w:pPr>
        <w:autoSpaceDE w:val="0"/>
        <w:autoSpaceDN w:val="0"/>
        <w:adjustRightInd w:val="0"/>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Then, it is possible to compute the contribution of differences between whites and blacks regarding demographic characteristics, attainment of a graduate degree, education-job mismatch and distribution across </w:t>
      </w:r>
      <w:r w:rsidRPr="00E639BA">
        <w:rPr>
          <w:rFonts w:ascii="Times New Roman" w:eastAsia="MS Mincho" w:hAnsi="Times New Roman"/>
          <w:sz w:val="24"/>
          <w:szCs w:val="24"/>
        </w:rPr>
        <w:t>fields of study</w:t>
      </w:r>
      <w:r w:rsidRPr="00E639BA">
        <w:rPr>
          <w:rFonts w:ascii="Times New Roman" w:eastAsia="Times New Roman" w:hAnsi="Times New Roman"/>
          <w:sz w:val="24"/>
          <w:szCs w:val="24"/>
          <w:lang w:eastAsia="pt-BR"/>
        </w:rPr>
        <w:t xml:space="preserve"> </w:t>
      </w:r>
      <w:r w:rsidR="000D322D" w:rsidRPr="00E639BA">
        <w:rPr>
          <w:rFonts w:ascii="Times New Roman" w:eastAsia="Times New Roman" w:hAnsi="Times New Roman"/>
          <w:sz w:val="24"/>
          <w:szCs w:val="24"/>
          <w:lang w:eastAsia="pt-BR"/>
        </w:rPr>
        <w:t xml:space="preserve">towards the </w:t>
      </w:r>
      <w:r w:rsidRPr="00E639BA">
        <w:rPr>
          <w:rFonts w:ascii="Times New Roman" w:eastAsia="Times New Roman" w:hAnsi="Times New Roman"/>
          <w:sz w:val="24"/>
          <w:szCs w:val="24"/>
          <w:lang w:eastAsia="pt-BR"/>
        </w:rPr>
        <w:t xml:space="preserve">earnings differential between these two racial groups for each quantile of the earnings distribution.  </w:t>
      </w:r>
    </w:p>
    <w:p w:rsidR="002E13F4" w:rsidRPr="00E639BA" w:rsidRDefault="002E13F4" w:rsidP="00C17C6A">
      <w:pPr>
        <w:autoSpaceDE w:val="0"/>
        <w:autoSpaceDN w:val="0"/>
        <w:adjustRightInd w:val="0"/>
        <w:spacing w:line="240" w:lineRule="auto"/>
        <w:ind w:firstLine="709"/>
        <w:contextualSpacing/>
        <w:jc w:val="both"/>
        <w:rPr>
          <w:rFonts w:ascii="Times New Roman" w:eastAsia="Times New Roman" w:hAnsi="Times New Roman"/>
          <w:sz w:val="24"/>
          <w:szCs w:val="24"/>
          <w:lang w:eastAsia="pt-BR"/>
        </w:rPr>
      </w:pPr>
    </w:p>
    <w:p w:rsidR="004C74E9" w:rsidRPr="00E639BA" w:rsidRDefault="00367A38" w:rsidP="00C17C6A">
      <w:pPr>
        <w:autoSpaceDE w:val="0"/>
        <w:autoSpaceDN w:val="0"/>
        <w:adjustRightInd w:val="0"/>
        <w:spacing w:line="240" w:lineRule="auto"/>
        <w:contextualSpacing/>
        <w:jc w:val="both"/>
        <w:rPr>
          <w:rFonts w:ascii="Times New Roman" w:eastAsia="Times New Roman" w:hAnsi="Times New Roman"/>
          <w:b/>
          <w:sz w:val="24"/>
          <w:szCs w:val="24"/>
          <w:lang w:eastAsia="pt-BR"/>
        </w:rPr>
      </w:pPr>
      <w:r w:rsidRPr="00E639BA">
        <w:rPr>
          <w:rFonts w:ascii="Times New Roman" w:eastAsia="Times New Roman" w:hAnsi="Times New Roman"/>
          <w:b/>
          <w:sz w:val="24"/>
          <w:szCs w:val="24"/>
          <w:lang w:eastAsia="pt-BR"/>
        </w:rPr>
        <w:t>5</w:t>
      </w:r>
      <w:r w:rsidR="00226771" w:rsidRPr="00E639BA">
        <w:rPr>
          <w:rFonts w:ascii="Times New Roman" w:eastAsia="Times New Roman" w:hAnsi="Times New Roman"/>
          <w:b/>
          <w:sz w:val="24"/>
          <w:szCs w:val="24"/>
          <w:lang w:eastAsia="pt-BR"/>
        </w:rPr>
        <w:t xml:space="preserve"> – Results</w:t>
      </w:r>
    </w:p>
    <w:p w:rsidR="00226771" w:rsidRPr="00E639BA" w:rsidRDefault="00226771" w:rsidP="00C17C6A">
      <w:pPr>
        <w:autoSpaceDE w:val="0"/>
        <w:autoSpaceDN w:val="0"/>
        <w:adjustRightInd w:val="0"/>
        <w:spacing w:line="240" w:lineRule="auto"/>
        <w:contextualSpacing/>
        <w:jc w:val="both"/>
        <w:rPr>
          <w:rFonts w:ascii="Times New Roman" w:eastAsia="Times New Roman" w:hAnsi="Times New Roman"/>
          <w:sz w:val="24"/>
          <w:szCs w:val="24"/>
          <w:lang w:eastAsia="pt-BR"/>
        </w:rPr>
      </w:pPr>
    </w:p>
    <w:p w:rsidR="00226771" w:rsidRPr="00E639BA" w:rsidRDefault="00367A38"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t>5</w:t>
      </w:r>
      <w:r w:rsidR="00226771" w:rsidRPr="00E639BA">
        <w:rPr>
          <w:rFonts w:ascii="Times New Roman" w:hAnsi="Times New Roman"/>
          <w:sz w:val="24"/>
          <w:szCs w:val="24"/>
        </w:rPr>
        <w:t>.1 – Evidence for Oaxaca</w:t>
      </w:r>
      <w:r w:rsidR="0059659E">
        <w:rPr>
          <w:rFonts w:ascii="Times New Roman" w:hAnsi="Times New Roman"/>
          <w:sz w:val="24"/>
          <w:szCs w:val="24"/>
        </w:rPr>
        <w:t>-Blinder</w:t>
      </w:r>
      <w:r w:rsidR="00226771" w:rsidRPr="00E639BA">
        <w:rPr>
          <w:rFonts w:ascii="Times New Roman" w:hAnsi="Times New Roman"/>
          <w:sz w:val="24"/>
          <w:szCs w:val="24"/>
        </w:rPr>
        <w:t xml:space="preserve"> decomposition</w:t>
      </w:r>
    </w:p>
    <w:p w:rsidR="00FA0CAB" w:rsidRPr="00E639BA" w:rsidRDefault="00FA0CAB" w:rsidP="00C17C6A">
      <w:pPr>
        <w:autoSpaceDE w:val="0"/>
        <w:autoSpaceDN w:val="0"/>
        <w:adjustRightInd w:val="0"/>
        <w:spacing w:line="240" w:lineRule="auto"/>
        <w:contextualSpacing/>
        <w:jc w:val="both"/>
        <w:rPr>
          <w:rFonts w:ascii="Times New Roman" w:eastAsia="Times New Roman" w:hAnsi="Times New Roman"/>
          <w:sz w:val="24"/>
          <w:szCs w:val="24"/>
          <w:lang w:eastAsia="pt-BR"/>
        </w:rPr>
      </w:pPr>
    </w:p>
    <w:p w:rsidR="00B31215" w:rsidRDefault="00FB608C" w:rsidP="00C17C6A">
      <w:pPr>
        <w:autoSpaceDE w:val="0"/>
        <w:autoSpaceDN w:val="0"/>
        <w:adjustRightInd w:val="0"/>
        <w:spacing w:line="240" w:lineRule="auto"/>
        <w:ind w:firstLine="709"/>
        <w:contextualSpacing/>
        <w:jc w:val="both"/>
        <w:rPr>
          <w:rFonts w:ascii="Times New Roman" w:hAnsi="Times New Roman"/>
          <w:sz w:val="24"/>
          <w:szCs w:val="24"/>
        </w:rPr>
      </w:pPr>
      <w:r w:rsidRPr="00E639BA">
        <w:rPr>
          <w:rFonts w:ascii="Times New Roman" w:hAnsi="Times New Roman"/>
          <w:sz w:val="24"/>
          <w:szCs w:val="24"/>
        </w:rPr>
        <w:t xml:space="preserve">Table </w:t>
      </w:r>
      <w:r w:rsidR="00C27538">
        <w:rPr>
          <w:rFonts w:ascii="Times New Roman" w:hAnsi="Times New Roman"/>
          <w:sz w:val="24"/>
          <w:szCs w:val="24"/>
        </w:rPr>
        <w:t>3</w:t>
      </w:r>
      <w:r w:rsidRPr="00E639BA">
        <w:rPr>
          <w:rFonts w:ascii="Times New Roman" w:hAnsi="Times New Roman"/>
          <w:sz w:val="24"/>
          <w:szCs w:val="24"/>
        </w:rPr>
        <w:t xml:space="preserve"> presents the results for decompositions of the mean log hourly labor earnings difference between white and black workers in 2000</w:t>
      </w:r>
      <w:r w:rsidR="00A425FA" w:rsidRPr="00E639BA">
        <w:rPr>
          <w:rFonts w:ascii="Times New Roman" w:hAnsi="Times New Roman"/>
          <w:sz w:val="24"/>
          <w:szCs w:val="24"/>
        </w:rPr>
        <w:t xml:space="preserve"> into c</w:t>
      </w:r>
      <w:r w:rsidR="004C2672" w:rsidRPr="00E639BA">
        <w:rPr>
          <w:rFonts w:ascii="Times New Roman" w:hAnsi="Times New Roman"/>
          <w:sz w:val="24"/>
          <w:szCs w:val="24"/>
        </w:rPr>
        <w:t>omponents due to characteristic and price</w:t>
      </w:r>
      <w:r w:rsidR="00A425FA" w:rsidRPr="00E639BA">
        <w:rPr>
          <w:rFonts w:ascii="Times New Roman" w:hAnsi="Times New Roman"/>
          <w:sz w:val="24"/>
          <w:szCs w:val="24"/>
        </w:rPr>
        <w:t xml:space="preserve"> effects. </w:t>
      </w:r>
      <w:r w:rsidR="000D322D" w:rsidRPr="00E639BA">
        <w:rPr>
          <w:rFonts w:ascii="Times New Roman" w:hAnsi="Times New Roman"/>
          <w:sz w:val="24"/>
          <w:szCs w:val="24"/>
        </w:rPr>
        <w:t>The</w:t>
      </w:r>
      <w:r w:rsidR="00D54824" w:rsidRPr="00E639BA">
        <w:rPr>
          <w:rFonts w:ascii="Times New Roman" w:hAnsi="Times New Roman"/>
          <w:sz w:val="24"/>
          <w:szCs w:val="24"/>
        </w:rPr>
        <w:t xml:space="preserve"> </w:t>
      </w:r>
      <w:r w:rsidR="004C2672" w:rsidRPr="00E639BA">
        <w:rPr>
          <w:rFonts w:ascii="Times New Roman" w:hAnsi="Times New Roman"/>
          <w:sz w:val="24"/>
          <w:szCs w:val="24"/>
        </w:rPr>
        <w:t>estimated contribution</w:t>
      </w:r>
      <w:r w:rsidR="00720B22" w:rsidRPr="00E639BA">
        <w:rPr>
          <w:rFonts w:ascii="Times New Roman" w:hAnsi="Times New Roman"/>
          <w:sz w:val="24"/>
          <w:szCs w:val="24"/>
        </w:rPr>
        <w:t xml:space="preserve"> of each variable or set of variables representing the individual’s characteristics</w:t>
      </w:r>
      <w:r w:rsidR="000D322D" w:rsidRPr="00E639BA">
        <w:rPr>
          <w:rFonts w:ascii="Times New Roman" w:hAnsi="Times New Roman"/>
          <w:sz w:val="24"/>
          <w:szCs w:val="24"/>
        </w:rPr>
        <w:t xml:space="preserve"> is also reported</w:t>
      </w:r>
      <w:r w:rsidR="00720B22" w:rsidRPr="00E639BA">
        <w:rPr>
          <w:rFonts w:ascii="Times New Roman" w:hAnsi="Times New Roman"/>
          <w:sz w:val="24"/>
          <w:szCs w:val="24"/>
        </w:rPr>
        <w:t xml:space="preserve">. </w:t>
      </w:r>
      <w:r w:rsidR="00B22A22" w:rsidRPr="00E639BA">
        <w:rPr>
          <w:rFonts w:ascii="Times New Roman" w:hAnsi="Times New Roman"/>
          <w:sz w:val="24"/>
          <w:szCs w:val="24"/>
        </w:rPr>
        <w:t>V</w:t>
      </w:r>
      <w:r w:rsidR="00B31215" w:rsidRPr="00E639BA">
        <w:rPr>
          <w:rFonts w:ascii="Times New Roman" w:hAnsi="Times New Roman"/>
          <w:sz w:val="24"/>
          <w:szCs w:val="24"/>
        </w:rPr>
        <w:t>alues in bracket</w:t>
      </w:r>
      <w:r w:rsidR="000D322D" w:rsidRPr="00E639BA">
        <w:rPr>
          <w:rFonts w:ascii="Times New Roman" w:hAnsi="Times New Roman"/>
          <w:sz w:val="24"/>
          <w:szCs w:val="24"/>
        </w:rPr>
        <w:t>s</w:t>
      </w:r>
      <w:r w:rsidR="00B31215" w:rsidRPr="00E639BA">
        <w:rPr>
          <w:rFonts w:ascii="Times New Roman" w:hAnsi="Times New Roman"/>
          <w:sz w:val="24"/>
          <w:szCs w:val="24"/>
        </w:rPr>
        <w:t xml:space="preserve"> in Table </w:t>
      </w:r>
      <w:r w:rsidR="00C27538">
        <w:rPr>
          <w:rFonts w:ascii="Times New Roman" w:hAnsi="Times New Roman"/>
          <w:sz w:val="24"/>
          <w:szCs w:val="24"/>
        </w:rPr>
        <w:t>3</w:t>
      </w:r>
      <w:r w:rsidR="00B31215" w:rsidRPr="00E639BA">
        <w:rPr>
          <w:rFonts w:ascii="Times New Roman" w:hAnsi="Times New Roman"/>
          <w:sz w:val="24"/>
          <w:szCs w:val="24"/>
        </w:rPr>
        <w:t xml:space="preserve"> </w:t>
      </w:r>
      <w:r w:rsidR="00251075" w:rsidRPr="00E639BA">
        <w:rPr>
          <w:rFonts w:ascii="Times New Roman" w:hAnsi="Times New Roman"/>
          <w:sz w:val="24"/>
          <w:szCs w:val="24"/>
        </w:rPr>
        <w:t xml:space="preserve">display </w:t>
      </w:r>
      <w:r w:rsidR="00B31215" w:rsidRPr="00E639BA">
        <w:rPr>
          <w:rFonts w:ascii="Times New Roman" w:hAnsi="Times New Roman"/>
          <w:sz w:val="24"/>
          <w:szCs w:val="24"/>
        </w:rPr>
        <w:t xml:space="preserve">the share of the total difference between whites and blacks attributed to each factor. </w:t>
      </w:r>
    </w:p>
    <w:p w:rsidR="00AC78CE" w:rsidRPr="00E639BA" w:rsidRDefault="00AC78CE" w:rsidP="00AC78CE">
      <w:pPr>
        <w:autoSpaceDE w:val="0"/>
        <w:autoSpaceDN w:val="0"/>
        <w:adjustRightInd w:val="0"/>
        <w:spacing w:line="240" w:lineRule="auto"/>
        <w:ind w:firstLine="709"/>
        <w:contextualSpacing/>
        <w:jc w:val="both"/>
        <w:rPr>
          <w:rFonts w:ascii="Times New Roman" w:hAnsi="Times New Roman"/>
          <w:sz w:val="24"/>
          <w:szCs w:val="24"/>
        </w:rPr>
      </w:pPr>
      <w:r w:rsidRPr="00E639BA">
        <w:rPr>
          <w:rFonts w:ascii="Times New Roman" w:hAnsi="Times New Roman"/>
          <w:sz w:val="24"/>
          <w:szCs w:val="24"/>
        </w:rPr>
        <w:t>According to column (1), almost one third of the earnings difference by race in 2000 seems to be due to disparities in observed characteristics between white and black workers. The estimated contribution of differences in fields of study corresponds to 15% of the total gap, which is half of the difference associated with characteristics. Regional distribution of white and black workers represents 12% of the earnings gap between these two groups, while differences regarding the attainment of a graduate degree, and composition by age and gender seem to play a minor or non-significant role.</w:t>
      </w:r>
    </w:p>
    <w:p w:rsidR="00AC78CE" w:rsidRDefault="00AC78CE" w:rsidP="00AC78CE">
      <w:pPr>
        <w:autoSpaceDE w:val="0"/>
        <w:autoSpaceDN w:val="0"/>
        <w:adjustRightInd w:val="0"/>
        <w:spacing w:line="240" w:lineRule="auto"/>
        <w:ind w:firstLine="709"/>
        <w:contextualSpacing/>
        <w:jc w:val="both"/>
        <w:rPr>
          <w:rFonts w:ascii="Times New Roman" w:hAnsi="Times New Roman"/>
          <w:sz w:val="24"/>
          <w:szCs w:val="24"/>
        </w:rPr>
      </w:pPr>
      <w:r w:rsidRPr="00E639BA">
        <w:rPr>
          <w:rFonts w:ascii="Times New Roman" w:hAnsi="Times New Roman"/>
          <w:sz w:val="24"/>
          <w:szCs w:val="24"/>
        </w:rPr>
        <w:t>Decomposition in column (2) considers the contribution of variables representing the mismatch between education and job. In this case, the share of the earnings differential due to characteristics increases from 32% to 37%. The estimated contributions of the terms reported in column (1) remain almost the same, including the one representing differences in field of study composition by race. Around 4% of the earnings difference between white and black workers is associated with education-job mismatch, according to estimates.</w:t>
      </w:r>
      <w:r>
        <w:rPr>
          <w:rFonts w:ascii="Times New Roman" w:hAnsi="Times New Roman"/>
          <w:sz w:val="24"/>
          <w:szCs w:val="24"/>
        </w:rPr>
        <w:t xml:space="preserve"> </w:t>
      </w:r>
    </w:p>
    <w:p w:rsidR="00AC78CE" w:rsidRPr="00E639BA" w:rsidRDefault="00AC78CE" w:rsidP="00AC78CE">
      <w:pPr>
        <w:autoSpaceDE w:val="0"/>
        <w:autoSpaceDN w:val="0"/>
        <w:adjustRightInd w:val="0"/>
        <w:spacing w:line="240" w:lineRule="auto"/>
        <w:ind w:firstLine="709"/>
        <w:contextualSpacing/>
        <w:jc w:val="both"/>
        <w:rPr>
          <w:rFonts w:ascii="Times New Roman" w:hAnsi="Times New Roman"/>
          <w:sz w:val="24"/>
          <w:szCs w:val="24"/>
        </w:rPr>
      </w:pPr>
      <w:r w:rsidRPr="00E639BA">
        <w:rPr>
          <w:rFonts w:ascii="Times New Roman" w:hAnsi="Times New Roman"/>
          <w:sz w:val="24"/>
          <w:szCs w:val="24"/>
        </w:rPr>
        <w:t>The results in column (3) are estimated using a more disaggrega</w:t>
      </w:r>
      <w:r>
        <w:rPr>
          <w:rFonts w:ascii="Times New Roman" w:hAnsi="Times New Roman"/>
          <w:sz w:val="24"/>
          <w:szCs w:val="24"/>
        </w:rPr>
        <w:t>ted classification with 35</w:t>
      </w:r>
      <w:r w:rsidRPr="00E639BA">
        <w:rPr>
          <w:rFonts w:ascii="Times New Roman" w:hAnsi="Times New Roman"/>
          <w:sz w:val="24"/>
          <w:szCs w:val="24"/>
        </w:rPr>
        <w:t xml:space="preserve"> fields of study. Because graduate degree is defined only for 9 aggregated areas in 2000 and fields of study refer to the individuals’ highest degree, decomposition in column (3) is limited to those who have only a bachelor’s degree. Individuals who concluded a program </w:t>
      </w:r>
      <w:r>
        <w:rPr>
          <w:rFonts w:ascii="Times New Roman" w:hAnsi="Times New Roman"/>
          <w:sz w:val="24"/>
          <w:szCs w:val="24"/>
        </w:rPr>
        <w:t>in one of the six fields in 2000</w:t>
      </w:r>
      <w:r w:rsidRPr="00E639BA">
        <w:rPr>
          <w:rFonts w:ascii="Times New Roman" w:hAnsi="Times New Roman"/>
          <w:sz w:val="24"/>
          <w:szCs w:val="24"/>
        </w:rPr>
        <w:t xml:space="preserve"> for whom a corresponding one in </w:t>
      </w:r>
      <w:r w:rsidRPr="00E639BA">
        <w:rPr>
          <w:rFonts w:ascii="Times New Roman" w:hAnsi="Times New Roman"/>
          <w:sz w:val="24"/>
          <w:szCs w:val="24"/>
        </w:rPr>
        <w:lastRenderedPageBreak/>
        <w:t>2010 is not assigned, as shown in the appendix, are also excluded. Column (3) indicates that differences in the characteristics of white and black workers represent 3</w:t>
      </w:r>
      <w:r>
        <w:rPr>
          <w:rFonts w:ascii="Times New Roman" w:hAnsi="Times New Roman"/>
          <w:sz w:val="24"/>
          <w:szCs w:val="24"/>
        </w:rPr>
        <w:t>8</w:t>
      </w:r>
      <w:r w:rsidRPr="00E639BA">
        <w:rPr>
          <w:rFonts w:ascii="Times New Roman" w:hAnsi="Times New Roman"/>
          <w:sz w:val="24"/>
          <w:szCs w:val="24"/>
        </w:rPr>
        <w:t xml:space="preserve">% of the earnings gap by race. About half of this differential is attributed to the distribution of each racial group across fields of study.  </w:t>
      </w:r>
    </w:p>
    <w:p w:rsidR="005E4E55" w:rsidRDefault="005E4E55" w:rsidP="00C17C6A">
      <w:pPr>
        <w:autoSpaceDE w:val="0"/>
        <w:autoSpaceDN w:val="0"/>
        <w:adjustRightInd w:val="0"/>
        <w:spacing w:line="240" w:lineRule="auto"/>
        <w:ind w:firstLine="709"/>
        <w:contextualSpacing/>
        <w:jc w:val="both"/>
        <w:rPr>
          <w:rFonts w:ascii="Times New Roman" w:hAnsi="Times New Roman"/>
          <w:sz w:val="24"/>
          <w:szCs w:val="24"/>
        </w:rPr>
      </w:pPr>
    </w:p>
    <w:p w:rsidR="005E4E55" w:rsidRDefault="005E4E55" w:rsidP="00C17C6A">
      <w:pPr>
        <w:autoSpaceDE w:val="0"/>
        <w:autoSpaceDN w:val="0"/>
        <w:adjustRightInd w:val="0"/>
        <w:spacing w:line="240" w:lineRule="auto"/>
        <w:contextualSpacing/>
        <w:jc w:val="center"/>
        <w:rPr>
          <w:rFonts w:ascii="Times New Roman" w:hAnsi="Times New Roman"/>
          <w:sz w:val="24"/>
          <w:szCs w:val="24"/>
        </w:rPr>
      </w:pPr>
      <w:r w:rsidRPr="008A4BF0">
        <w:rPr>
          <w:noProof/>
          <w:lang w:val="pt-BR" w:eastAsia="pt-BR"/>
        </w:rPr>
        <w:drawing>
          <wp:inline distT="0" distB="0" distL="0" distR="0" wp14:anchorId="27EADA38" wp14:editId="77C25E7F">
            <wp:extent cx="4583409" cy="514350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3409" cy="5143500"/>
                    </a:xfrm>
                    <a:prstGeom prst="rect">
                      <a:avLst/>
                    </a:prstGeom>
                    <a:noFill/>
                    <a:ln>
                      <a:noFill/>
                    </a:ln>
                  </pic:spPr>
                </pic:pic>
              </a:graphicData>
            </a:graphic>
          </wp:inline>
        </w:drawing>
      </w:r>
    </w:p>
    <w:p w:rsidR="005E4E55" w:rsidRPr="00E639BA" w:rsidRDefault="005E4E55" w:rsidP="00C17C6A">
      <w:pPr>
        <w:autoSpaceDE w:val="0"/>
        <w:autoSpaceDN w:val="0"/>
        <w:adjustRightInd w:val="0"/>
        <w:spacing w:line="240" w:lineRule="auto"/>
        <w:contextualSpacing/>
        <w:jc w:val="center"/>
        <w:rPr>
          <w:rFonts w:ascii="Times New Roman" w:hAnsi="Times New Roman"/>
          <w:sz w:val="24"/>
          <w:szCs w:val="24"/>
        </w:rPr>
      </w:pPr>
    </w:p>
    <w:p w:rsidR="0010257E" w:rsidRPr="00E639BA" w:rsidRDefault="001B0CE0" w:rsidP="00C17C6A">
      <w:pPr>
        <w:spacing w:line="240" w:lineRule="auto"/>
        <w:contextualSpacing/>
        <w:jc w:val="both"/>
        <w:rPr>
          <w:rFonts w:ascii="Times New Roman" w:hAnsi="Times New Roman"/>
          <w:sz w:val="24"/>
          <w:szCs w:val="24"/>
        </w:rPr>
      </w:pPr>
      <w:r w:rsidRPr="00E639BA">
        <w:rPr>
          <w:rFonts w:ascii="Times New Roman" w:hAnsi="Times New Roman"/>
          <w:sz w:val="24"/>
          <w:szCs w:val="24"/>
        </w:rPr>
        <w:tab/>
      </w:r>
      <w:r w:rsidR="00012FEC" w:rsidRPr="00E639BA">
        <w:rPr>
          <w:rFonts w:ascii="Times New Roman" w:hAnsi="Times New Roman"/>
          <w:sz w:val="24"/>
          <w:szCs w:val="24"/>
        </w:rPr>
        <w:t xml:space="preserve">Table </w:t>
      </w:r>
      <w:r w:rsidR="00C27538">
        <w:rPr>
          <w:rFonts w:ascii="Times New Roman" w:hAnsi="Times New Roman"/>
          <w:sz w:val="24"/>
          <w:szCs w:val="24"/>
        </w:rPr>
        <w:t>4</w:t>
      </w:r>
      <w:r w:rsidR="00012FEC" w:rsidRPr="00E639BA">
        <w:rPr>
          <w:rFonts w:ascii="Times New Roman" w:hAnsi="Times New Roman"/>
          <w:sz w:val="24"/>
          <w:szCs w:val="24"/>
        </w:rPr>
        <w:t xml:space="preserve"> reports the estimated results for 2010. As can be seen in column (1), </w:t>
      </w:r>
      <w:r w:rsidR="00442C88" w:rsidRPr="00E639BA">
        <w:rPr>
          <w:rFonts w:ascii="Times New Roman" w:hAnsi="Times New Roman"/>
          <w:sz w:val="24"/>
          <w:szCs w:val="24"/>
        </w:rPr>
        <w:t xml:space="preserve">the </w:t>
      </w:r>
      <w:r w:rsidR="00375AC0" w:rsidRPr="00E639BA">
        <w:rPr>
          <w:rFonts w:ascii="Times New Roman" w:hAnsi="Times New Roman"/>
          <w:sz w:val="24"/>
          <w:szCs w:val="24"/>
        </w:rPr>
        <w:t>characteristic</w:t>
      </w:r>
      <w:r w:rsidR="000E0704" w:rsidRPr="00E639BA">
        <w:rPr>
          <w:rFonts w:ascii="Times New Roman" w:hAnsi="Times New Roman"/>
          <w:sz w:val="24"/>
          <w:szCs w:val="24"/>
        </w:rPr>
        <w:t xml:space="preserve"> effects represent </w:t>
      </w:r>
      <w:r w:rsidR="003E3BAA" w:rsidRPr="00E639BA">
        <w:rPr>
          <w:rFonts w:ascii="Times New Roman" w:hAnsi="Times New Roman"/>
          <w:sz w:val="24"/>
          <w:szCs w:val="24"/>
        </w:rPr>
        <w:t>34% of the difference in mean hourly labor earnings between whites and blacks</w:t>
      </w:r>
      <w:r w:rsidR="000E0704" w:rsidRPr="00E639BA">
        <w:rPr>
          <w:rFonts w:ascii="Times New Roman" w:hAnsi="Times New Roman"/>
          <w:sz w:val="24"/>
          <w:szCs w:val="24"/>
        </w:rPr>
        <w:t xml:space="preserve">. </w:t>
      </w:r>
      <w:r w:rsidR="00375AC0" w:rsidRPr="00E639BA">
        <w:rPr>
          <w:rFonts w:ascii="Times New Roman" w:hAnsi="Times New Roman"/>
          <w:sz w:val="24"/>
          <w:szCs w:val="24"/>
        </w:rPr>
        <w:t xml:space="preserve">Differences </w:t>
      </w:r>
      <w:r w:rsidR="002241D1" w:rsidRPr="00E639BA">
        <w:rPr>
          <w:rFonts w:ascii="Times New Roman" w:hAnsi="Times New Roman"/>
          <w:sz w:val="24"/>
          <w:szCs w:val="24"/>
        </w:rPr>
        <w:t xml:space="preserve">in </w:t>
      </w:r>
      <w:r w:rsidR="00375AC0" w:rsidRPr="00E639BA">
        <w:rPr>
          <w:rFonts w:ascii="Times New Roman" w:hAnsi="Times New Roman"/>
          <w:sz w:val="24"/>
          <w:szCs w:val="24"/>
        </w:rPr>
        <w:t>racial composition across fields of study contribute</w:t>
      </w:r>
      <w:r w:rsidR="002241D1" w:rsidRPr="00E639BA">
        <w:rPr>
          <w:rFonts w:ascii="Times New Roman" w:hAnsi="Times New Roman"/>
          <w:sz w:val="24"/>
          <w:szCs w:val="24"/>
        </w:rPr>
        <w:t xml:space="preserve"> </w:t>
      </w:r>
      <w:r w:rsidR="00442C88" w:rsidRPr="00E639BA">
        <w:rPr>
          <w:rFonts w:ascii="Times New Roman" w:hAnsi="Times New Roman"/>
          <w:sz w:val="24"/>
          <w:szCs w:val="24"/>
        </w:rPr>
        <w:t xml:space="preserve">to </w:t>
      </w:r>
      <w:r w:rsidR="002241D1" w:rsidRPr="00E639BA">
        <w:rPr>
          <w:rFonts w:ascii="Times New Roman" w:hAnsi="Times New Roman"/>
          <w:sz w:val="24"/>
          <w:szCs w:val="24"/>
        </w:rPr>
        <w:t xml:space="preserve">one quarter of </w:t>
      </w:r>
      <w:r w:rsidR="00442C88" w:rsidRPr="00E639BA">
        <w:rPr>
          <w:rFonts w:ascii="Times New Roman" w:hAnsi="Times New Roman"/>
          <w:sz w:val="24"/>
          <w:szCs w:val="24"/>
        </w:rPr>
        <w:t xml:space="preserve">the </w:t>
      </w:r>
      <w:r w:rsidR="002241D1" w:rsidRPr="00E639BA">
        <w:rPr>
          <w:rFonts w:ascii="Times New Roman" w:hAnsi="Times New Roman"/>
          <w:sz w:val="24"/>
          <w:szCs w:val="24"/>
        </w:rPr>
        <w:t xml:space="preserve">total difference in </w:t>
      </w:r>
      <w:r w:rsidR="007E6718" w:rsidRPr="00E639BA">
        <w:rPr>
          <w:rFonts w:ascii="Times New Roman" w:hAnsi="Times New Roman"/>
          <w:sz w:val="24"/>
          <w:szCs w:val="24"/>
        </w:rPr>
        <w:t xml:space="preserve">mean </w:t>
      </w:r>
      <w:r w:rsidR="002241D1" w:rsidRPr="00E639BA">
        <w:rPr>
          <w:rFonts w:ascii="Times New Roman" w:hAnsi="Times New Roman"/>
          <w:sz w:val="24"/>
          <w:szCs w:val="24"/>
        </w:rPr>
        <w:t xml:space="preserve">earnings, </w:t>
      </w:r>
      <w:r w:rsidR="00375AC0" w:rsidRPr="00E639BA">
        <w:rPr>
          <w:rFonts w:ascii="Times New Roman" w:hAnsi="Times New Roman"/>
          <w:sz w:val="24"/>
          <w:szCs w:val="24"/>
        </w:rPr>
        <w:t xml:space="preserve">which </w:t>
      </w:r>
      <w:r w:rsidR="002241D1" w:rsidRPr="00E639BA">
        <w:rPr>
          <w:rFonts w:ascii="Times New Roman" w:hAnsi="Times New Roman"/>
          <w:sz w:val="24"/>
          <w:szCs w:val="24"/>
        </w:rPr>
        <w:t xml:space="preserve">represents </w:t>
      </w:r>
      <w:r w:rsidR="0028335E" w:rsidRPr="00E639BA">
        <w:rPr>
          <w:rFonts w:ascii="Times New Roman" w:hAnsi="Times New Roman"/>
          <w:sz w:val="24"/>
          <w:szCs w:val="24"/>
        </w:rPr>
        <w:t>70% of the share</w:t>
      </w:r>
      <w:r w:rsidR="00375AC0" w:rsidRPr="00E639BA">
        <w:rPr>
          <w:rFonts w:ascii="Times New Roman" w:hAnsi="Times New Roman"/>
          <w:sz w:val="24"/>
          <w:szCs w:val="24"/>
        </w:rPr>
        <w:t xml:space="preserve"> associated with </w:t>
      </w:r>
      <w:r w:rsidR="00442C88" w:rsidRPr="00E639BA">
        <w:rPr>
          <w:rFonts w:ascii="Times New Roman" w:hAnsi="Times New Roman"/>
          <w:sz w:val="24"/>
          <w:szCs w:val="24"/>
        </w:rPr>
        <w:t xml:space="preserve">the </w:t>
      </w:r>
      <w:r w:rsidR="00375AC0" w:rsidRPr="00E639BA">
        <w:rPr>
          <w:rFonts w:ascii="Times New Roman" w:hAnsi="Times New Roman"/>
          <w:sz w:val="24"/>
          <w:szCs w:val="24"/>
        </w:rPr>
        <w:t>characteristic</w:t>
      </w:r>
      <w:r w:rsidR="0028335E" w:rsidRPr="00E639BA">
        <w:rPr>
          <w:rFonts w:ascii="Times New Roman" w:hAnsi="Times New Roman"/>
          <w:sz w:val="24"/>
          <w:szCs w:val="24"/>
        </w:rPr>
        <w:t xml:space="preserve"> effects. </w:t>
      </w:r>
    </w:p>
    <w:p w:rsidR="00C106D1" w:rsidRPr="00E639BA" w:rsidRDefault="00E03827" w:rsidP="00C17C6A">
      <w:pPr>
        <w:autoSpaceDE w:val="0"/>
        <w:autoSpaceDN w:val="0"/>
        <w:adjustRightInd w:val="0"/>
        <w:spacing w:line="240" w:lineRule="auto"/>
        <w:ind w:firstLine="709"/>
        <w:contextualSpacing/>
        <w:jc w:val="both"/>
        <w:rPr>
          <w:rFonts w:ascii="Times New Roman" w:hAnsi="Times New Roman"/>
          <w:sz w:val="24"/>
          <w:szCs w:val="24"/>
        </w:rPr>
      </w:pPr>
      <w:r w:rsidRPr="00E639BA">
        <w:rPr>
          <w:rFonts w:ascii="Times New Roman" w:hAnsi="Times New Roman"/>
          <w:sz w:val="24"/>
          <w:szCs w:val="24"/>
        </w:rPr>
        <w:t xml:space="preserve">In column (2), </w:t>
      </w:r>
      <w:r w:rsidR="00F507B5" w:rsidRPr="00E639BA">
        <w:rPr>
          <w:rFonts w:ascii="Times New Roman" w:hAnsi="Times New Roman"/>
          <w:sz w:val="24"/>
          <w:szCs w:val="24"/>
        </w:rPr>
        <w:t xml:space="preserve">the inclusion of education-job </w:t>
      </w:r>
      <w:r w:rsidR="00741613" w:rsidRPr="00E639BA">
        <w:rPr>
          <w:rFonts w:ascii="Times New Roman" w:hAnsi="Times New Roman"/>
          <w:sz w:val="24"/>
          <w:szCs w:val="24"/>
        </w:rPr>
        <w:t>mismatch</w:t>
      </w:r>
      <w:r w:rsidR="00F507B5" w:rsidRPr="00E639BA">
        <w:rPr>
          <w:rFonts w:ascii="Times New Roman" w:hAnsi="Times New Roman"/>
          <w:sz w:val="24"/>
          <w:szCs w:val="24"/>
        </w:rPr>
        <w:t xml:space="preserve"> variables increase</w:t>
      </w:r>
      <w:r w:rsidR="00B74335" w:rsidRPr="00E639BA">
        <w:rPr>
          <w:rFonts w:ascii="Times New Roman" w:hAnsi="Times New Roman"/>
          <w:sz w:val="24"/>
          <w:szCs w:val="24"/>
        </w:rPr>
        <w:t>s</w:t>
      </w:r>
      <w:r w:rsidR="00F507B5" w:rsidRPr="00E639BA">
        <w:rPr>
          <w:rFonts w:ascii="Times New Roman" w:hAnsi="Times New Roman"/>
          <w:sz w:val="24"/>
          <w:szCs w:val="24"/>
        </w:rPr>
        <w:t xml:space="preserve"> the contribution o</w:t>
      </w:r>
      <w:r w:rsidR="00B74335" w:rsidRPr="00E639BA">
        <w:rPr>
          <w:rFonts w:ascii="Times New Roman" w:hAnsi="Times New Roman"/>
          <w:sz w:val="24"/>
          <w:szCs w:val="24"/>
        </w:rPr>
        <w:t xml:space="preserve">f </w:t>
      </w:r>
      <w:r w:rsidR="003E2E00" w:rsidRPr="00E639BA">
        <w:rPr>
          <w:rFonts w:ascii="Times New Roman" w:hAnsi="Times New Roman"/>
          <w:sz w:val="24"/>
          <w:szCs w:val="24"/>
        </w:rPr>
        <w:t xml:space="preserve">the </w:t>
      </w:r>
      <w:r w:rsidR="00B74335" w:rsidRPr="00E639BA">
        <w:rPr>
          <w:rFonts w:ascii="Times New Roman" w:hAnsi="Times New Roman"/>
          <w:sz w:val="24"/>
          <w:szCs w:val="24"/>
        </w:rPr>
        <w:t xml:space="preserve">characteristic effects </w:t>
      </w:r>
      <w:r w:rsidR="00D86759" w:rsidRPr="00E639BA">
        <w:rPr>
          <w:rFonts w:ascii="Times New Roman" w:hAnsi="Times New Roman"/>
          <w:sz w:val="24"/>
          <w:szCs w:val="24"/>
        </w:rPr>
        <w:t xml:space="preserve">from 34% </w:t>
      </w:r>
      <w:r w:rsidR="00B74335" w:rsidRPr="00E639BA">
        <w:rPr>
          <w:rFonts w:ascii="Times New Roman" w:hAnsi="Times New Roman"/>
          <w:sz w:val="24"/>
          <w:szCs w:val="24"/>
        </w:rPr>
        <w:t xml:space="preserve">to 41%. </w:t>
      </w:r>
      <w:r w:rsidR="005B6222" w:rsidRPr="00E639BA">
        <w:rPr>
          <w:rFonts w:ascii="Times New Roman" w:hAnsi="Times New Roman"/>
          <w:sz w:val="24"/>
          <w:szCs w:val="24"/>
        </w:rPr>
        <w:t>Indeed, m</w:t>
      </w:r>
      <w:r w:rsidR="00B74335" w:rsidRPr="00E639BA">
        <w:rPr>
          <w:rFonts w:ascii="Times New Roman" w:hAnsi="Times New Roman"/>
          <w:sz w:val="24"/>
          <w:szCs w:val="24"/>
        </w:rPr>
        <w:t>ost of this change is related</w:t>
      </w:r>
      <w:r w:rsidR="005B6222" w:rsidRPr="00E639BA">
        <w:rPr>
          <w:rFonts w:ascii="Times New Roman" w:hAnsi="Times New Roman"/>
          <w:sz w:val="24"/>
          <w:szCs w:val="24"/>
        </w:rPr>
        <w:t xml:space="preserve"> </w:t>
      </w:r>
      <w:r w:rsidR="00B74335" w:rsidRPr="00E639BA">
        <w:rPr>
          <w:rFonts w:ascii="Times New Roman" w:hAnsi="Times New Roman"/>
          <w:sz w:val="24"/>
          <w:szCs w:val="24"/>
        </w:rPr>
        <w:t xml:space="preserve">to </w:t>
      </w:r>
      <w:r w:rsidR="008301FA" w:rsidRPr="00E639BA">
        <w:rPr>
          <w:rFonts w:ascii="Times New Roman" w:hAnsi="Times New Roman"/>
          <w:sz w:val="24"/>
          <w:szCs w:val="24"/>
        </w:rPr>
        <w:t xml:space="preserve">effects associated with education-job </w:t>
      </w:r>
      <w:r w:rsidR="00741613" w:rsidRPr="00E639BA">
        <w:rPr>
          <w:rFonts w:ascii="Times New Roman" w:hAnsi="Times New Roman"/>
          <w:sz w:val="24"/>
          <w:szCs w:val="24"/>
        </w:rPr>
        <w:t>mismatch</w:t>
      </w:r>
      <w:r w:rsidR="008301FA" w:rsidRPr="00E639BA">
        <w:rPr>
          <w:rFonts w:ascii="Times New Roman" w:hAnsi="Times New Roman"/>
          <w:sz w:val="24"/>
          <w:szCs w:val="24"/>
        </w:rPr>
        <w:t>.</w:t>
      </w:r>
      <w:r w:rsidR="00F507B5" w:rsidRPr="00E639BA">
        <w:rPr>
          <w:rFonts w:ascii="Times New Roman" w:hAnsi="Times New Roman"/>
          <w:sz w:val="24"/>
          <w:szCs w:val="24"/>
        </w:rPr>
        <w:t xml:space="preserve"> </w:t>
      </w:r>
      <w:proofErr w:type="gramStart"/>
      <w:r w:rsidR="00D41565" w:rsidRPr="00E639BA">
        <w:rPr>
          <w:rFonts w:ascii="Times New Roman" w:hAnsi="Times New Roman"/>
          <w:sz w:val="24"/>
          <w:szCs w:val="24"/>
        </w:rPr>
        <w:t xml:space="preserve">According to </w:t>
      </w:r>
      <w:r w:rsidR="00FF5D6E" w:rsidRPr="00E639BA">
        <w:rPr>
          <w:rFonts w:ascii="Times New Roman" w:hAnsi="Times New Roman"/>
          <w:sz w:val="24"/>
          <w:szCs w:val="24"/>
        </w:rPr>
        <w:t xml:space="preserve">estimates in </w:t>
      </w:r>
      <w:r w:rsidR="00D41565" w:rsidRPr="00E639BA">
        <w:rPr>
          <w:rFonts w:ascii="Times New Roman" w:hAnsi="Times New Roman"/>
          <w:sz w:val="24"/>
          <w:szCs w:val="24"/>
        </w:rPr>
        <w:t>column (3),</w:t>
      </w:r>
      <w:r w:rsidR="008301FA" w:rsidRPr="00E639BA">
        <w:rPr>
          <w:rFonts w:ascii="Times New Roman" w:hAnsi="Times New Roman"/>
          <w:sz w:val="24"/>
          <w:szCs w:val="24"/>
        </w:rPr>
        <w:t xml:space="preserve"> using a classifi</w:t>
      </w:r>
      <w:r w:rsidR="000C7971">
        <w:rPr>
          <w:rFonts w:ascii="Times New Roman" w:hAnsi="Times New Roman"/>
          <w:sz w:val="24"/>
          <w:szCs w:val="24"/>
        </w:rPr>
        <w:t>cation of areas of study with 35</w:t>
      </w:r>
      <w:r w:rsidR="008301FA" w:rsidRPr="00E639BA">
        <w:rPr>
          <w:rFonts w:ascii="Times New Roman" w:hAnsi="Times New Roman"/>
          <w:sz w:val="24"/>
          <w:szCs w:val="24"/>
        </w:rPr>
        <w:t xml:space="preserve"> c</w:t>
      </w:r>
      <w:r w:rsidR="00741613" w:rsidRPr="00E639BA">
        <w:rPr>
          <w:rFonts w:ascii="Times New Roman" w:hAnsi="Times New Roman"/>
          <w:sz w:val="24"/>
          <w:szCs w:val="24"/>
        </w:rPr>
        <w:t xml:space="preserve">ategories, </w:t>
      </w:r>
      <w:r w:rsidR="003E2E00" w:rsidRPr="00E639BA">
        <w:rPr>
          <w:rFonts w:ascii="Times New Roman" w:hAnsi="Times New Roman"/>
          <w:sz w:val="24"/>
          <w:szCs w:val="24"/>
        </w:rPr>
        <w:t xml:space="preserve">as </w:t>
      </w:r>
      <w:r w:rsidR="00741613" w:rsidRPr="00E639BA">
        <w:rPr>
          <w:rFonts w:ascii="Times New Roman" w:hAnsi="Times New Roman"/>
          <w:sz w:val="24"/>
          <w:szCs w:val="24"/>
        </w:rPr>
        <w:t>in column (3) of</w:t>
      </w:r>
      <w:r w:rsidR="00351184">
        <w:rPr>
          <w:rFonts w:ascii="Times New Roman" w:hAnsi="Times New Roman"/>
          <w:sz w:val="24"/>
          <w:szCs w:val="24"/>
        </w:rPr>
        <w:t xml:space="preserve"> Table 3</w:t>
      </w:r>
      <w:r w:rsidR="008301FA" w:rsidRPr="00E639BA">
        <w:rPr>
          <w:rFonts w:ascii="Times New Roman" w:hAnsi="Times New Roman"/>
          <w:sz w:val="24"/>
          <w:szCs w:val="24"/>
        </w:rPr>
        <w:t>,</w:t>
      </w:r>
      <w:r w:rsidR="00D41565" w:rsidRPr="00E639BA">
        <w:rPr>
          <w:rFonts w:ascii="Times New Roman" w:hAnsi="Times New Roman"/>
          <w:sz w:val="24"/>
          <w:szCs w:val="24"/>
        </w:rPr>
        <w:t xml:space="preserve"> </w:t>
      </w:r>
      <w:r w:rsidR="003E2E00" w:rsidRPr="00E639BA">
        <w:rPr>
          <w:rFonts w:ascii="Times New Roman" w:hAnsi="Times New Roman"/>
          <w:sz w:val="24"/>
          <w:szCs w:val="24"/>
        </w:rPr>
        <w:t xml:space="preserve">the </w:t>
      </w:r>
      <w:r w:rsidR="00FF5D6E" w:rsidRPr="00E639BA">
        <w:rPr>
          <w:rFonts w:ascii="Times New Roman" w:hAnsi="Times New Roman"/>
          <w:sz w:val="24"/>
          <w:szCs w:val="24"/>
        </w:rPr>
        <w:t xml:space="preserve">characteristic effects </w:t>
      </w:r>
      <w:r w:rsidR="00D86759" w:rsidRPr="00E639BA">
        <w:rPr>
          <w:rFonts w:ascii="Times New Roman" w:hAnsi="Times New Roman"/>
          <w:sz w:val="24"/>
          <w:szCs w:val="24"/>
        </w:rPr>
        <w:t xml:space="preserve">represent </w:t>
      </w:r>
      <w:r w:rsidR="00FF5D6E" w:rsidRPr="00E639BA">
        <w:rPr>
          <w:rFonts w:ascii="Times New Roman" w:hAnsi="Times New Roman"/>
          <w:sz w:val="24"/>
          <w:szCs w:val="24"/>
        </w:rPr>
        <w:t xml:space="preserve">44% of the </w:t>
      </w:r>
      <w:r w:rsidR="00741613" w:rsidRPr="00E639BA">
        <w:rPr>
          <w:rFonts w:ascii="Times New Roman" w:hAnsi="Times New Roman"/>
          <w:sz w:val="24"/>
          <w:szCs w:val="24"/>
        </w:rPr>
        <w:t xml:space="preserve">mean </w:t>
      </w:r>
      <w:r w:rsidR="00FF5D6E" w:rsidRPr="00E639BA">
        <w:rPr>
          <w:rFonts w:ascii="Times New Roman" w:hAnsi="Times New Roman"/>
          <w:sz w:val="24"/>
          <w:szCs w:val="24"/>
        </w:rPr>
        <w:t>earnings differential between white and black workers in 2010.</w:t>
      </w:r>
      <w:proofErr w:type="gramEnd"/>
      <w:r w:rsidR="00FF5D6E" w:rsidRPr="00E639BA">
        <w:rPr>
          <w:rFonts w:ascii="Times New Roman" w:hAnsi="Times New Roman"/>
          <w:sz w:val="24"/>
          <w:szCs w:val="24"/>
        </w:rPr>
        <w:t xml:space="preserve"> Most of this component seems to</w:t>
      </w:r>
      <w:r w:rsidR="005B6222" w:rsidRPr="00E639BA">
        <w:rPr>
          <w:rFonts w:ascii="Times New Roman" w:hAnsi="Times New Roman"/>
          <w:sz w:val="24"/>
          <w:szCs w:val="24"/>
        </w:rPr>
        <w:t xml:space="preserve"> be due to differences in field</w:t>
      </w:r>
      <w:r w:rsidR="00FF5D6E" w:rsidRPr="00E639BA">
        <w:rPr>
          <w:rFonts w:ascii="Times New Roman" w:hAnsi="Times New Roman"/>
          <w:sz w:val="24"/>
          <w:szCs w:val="24"/>
        </w:rPr>
        <w:t xml:space="preserve"> of study</w:t>
      </w:r>
      <w:r w:rsidR="00741613" w:rsidRPr="00E639BA">
        <w:rPr>
          <w:rFonts w:ascii="Times New Roman" w:hAnsi="Times New Roman"/>
          <w:sz w:val="24"/>
          <w:szCs w:val="24"/>
        </w:rPr>
        <w:t xml:space="preserve"> composition</w:t>
      </w:r>
      <w:r w:rsidR="00FF5D6E" w:rsidRPr="00E639BA">
        <w:rPr>
          <w:rFonts w:ascii="Times New Roman" w:hAnsi="Times New Roman"/>
          <w:sz w:val="24"/>
          <w:szCs w:val="24"/>
        </w:rPr>
        <w:t xml:space="preserve"> by race, which contributes with one third of the total difference, and </w:t>
      </w:r>
      <w:r w:rsidR="008301FA" w:rsidRPr="00E639BA">
        <w:rPr>
          <w:rFonts w:ascii="Times New Roman" w:hAnsi="Times New Roman"/>
          <w:sz w:val="24"/>
          <w:szCs w:val="24"/>
        </w:rPr>
        <w:t xml:space="preserve">with </w:t>
      </w:r>
      <w:r w:rsidR="00FF5D6E" w:rsidRPr="00E639BA">
        <w:rPr>
          <w:rFonts w:ascii="Times New Roman" w:hAnsi="Times New Roman"/>
          <w:sz w:val="24"/>
          <w:szCs w:val="24"/>
        </w:rPr>
        <w:t xml:space="preserve">75% of the share associated with </w:t>
      </w:r>
      <w:r w:rsidR="003E2E00" w:rsidRPr="00E639BA">
        <w:rPr>
          <w:rFonts w:ascii="Times New Roman" w:hAnsi="Times New Roman"/>
          <w:sz w:val="24"/>
          <w:szCs w:val="24"/>
        </w:rPr>
        <w:t xml:space="preserve">the </w:t>
      </w:r>
      <w:r w:rsidR="00FF5D6E" w:rsidRPr="00E639BA">
        <w:rPr>
          <w:rFonts w:ascii="Times New Roman" w:hAnsi="Times New Roman"/>
          <w:sz w:val="24"/>
          <w:szCs w:val="24"/>
        </w:rPr>
        <w:t>characteristic effects.</w:t>
      </w:r>
      <w:r w:rsidR="00F507B5" w:rsidRPr="00E639BA">
        <w:rPr>
          <w:rFonts w:ascii="Times New Roman" w:hAnsi="Times New Roman"/>
          <w:sz w:val="24"/>
          <w:szCs w:val="24"/>
        </w:rPr>
        <w:t xml:space="preserve"> </w:t>
      </w:r>
      <w:r w:rsidR="00C2663D" w:rsidRPr="00E639BA">
        <w:rPr>
          <w:rFonts w:ascii="Times New Roman" w:hAnsi="Times New Roman"/>
          <w:sz w:val="24"/>
          <w:szCs w:val="24"/>
        </w:rPr>
        <w:t xml:space="preserve">The </w:t>
      </w:r>
      <w:r w:rsidR="008301FA" w:rsidRPr="00E639BA">
        <w:rPr>
          <w:rFonts w:ascii="Times New Roman" w:hAnsi="Times New Roman"/>
          <w:sz w:val="24"/>
          <w:szCs w:val="24"/>
        </w:rPr>
        <w:t xml:space="preserve">estimated </w:t>
      </w:r>
      <w:r w:rsidR="00D86759" w:rsidRPr="00E639BA">
        <w:rPr>
          <w:rFonts w:ascii="Times New Roman" w:hAnsi="Times New Roman"/>
          <w:sz w:val="24"/>
          <w:szCs w:val="24"/>
        </w:rPr>
        <w:t xml:space="preserve">effects associated with </w:t>
      </w:r>
      <w:r w:rsidR="00C2663D" w:rsidRPr="00E639BA">
        <w:rPr>
          <w:rFonts w:ascii="Times New Roman" w:hAnsi="Times New Roman"/>
          <w:sz w:val="24"/>
          <w:szCs w:val="24"/>
        </w:rPr>
        <w:t xml:space="preserve">differences in the other covariates are similar to those reported in the first two columns of Table </w:t>
      </w:r>
      <w:r w:rsidR="007B060D">
        <w:rPr>
          <w:rFonts w:ascii="Times New Roman" w:hAnsi="Times New Roman"/>
          <w:sz w:val="24"/>
          <w:szCs w:val="24"/>
        </w:rPr>
        <w:t>4</w:t>
      </w:r>
      <w:r w:rsidR="00C2663D" w:rsidRPr="00E639BA">
        <w:rPr>
          <w:rFonts w:ascii="Times New Roman" w:hAnsi="Times New Roman"/>
          <w:sz w:val="24"/>
          <w:szCs w:val="24"/>
        </w:rPr>
        <w:t>.</w:t>
      </w:r>
    </w:p>
    <w:p w:rsidR="002E13F4" w:rsidRPr="00E639BA" w:rsidRDefault="0095537C"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lastRenderedPageBreak/>
        <w:t xml:space="preserve">According to estimates, the share of racial earnings difference attributed to disparities in the distribution of whites and blacks across fields of study is larger in 2010 than in 2000. Although </w:t>
      </w:r>
      <w:r w:rsidR="003E2E00" w:rsidRPr="00E639BA">
        <w:rPr>
          <w:rFonts w:ascii="Times New Roman" w:hAnsi="Times New Roman"/>
          <w:sz w:val="24"/>
          <w:szCs w:val="24"/>
        </w:rPr>
        <w:t xml:space="preserve">the </w:t>
      </w:r>
      <w:r w:rsidRPr="00E639BA">
        <w:rPr>
          <w:rFonts w:ascii="Times New Roman" w:hAnsi="Times New Roman"/>
          <w:sz w:val="24"/>
          <w:szCs w:val="24"/>
        </w:rPr>
        <w:t>characteristic effects represent around one third of all differential in both years, disparities in fields of study composition account for half of this component in 2000, and 70% in 2010. In the former period, regional distribution contribute</w:t>
      </w:r>
      <w:r w:rsidR="0059659E">
        <w:rPr>
          <w:rFonts w:ascii="Times New Roman" w:hAnsi="Times New Roman"/>
          <w:sz w:val="24"/>
          <w:szCs w:val="24"/>
        </w:rPr>
        <w:t>s</w:t>
      </w:r>
      <w:r w:rsidRPr="00E639BA">
        <w:rPr>
          <w:rFonts w:ascii="Times New Roman" w:hAnsi="Times New Roman"/>
          <w:sz w:val="24"/>
          <w:szCs w:val="24"/>
        </w:rPr>
        <w:t xml:space="preserve"> with 12% of the total racial earnings gap, but </w:t>
      </w:r>
      <w:r w:rsidR="003E2E00" w:rsidRPr="00E639BA">
        <w:rPr>
          <w:rFonts w:ascii="Times New Roman" w:hAnsi="Times New Roman"/>
          <w:sz w:val="24"/>
          <w:szCs w:val="24"/>
        </w:rPr>
        <w:t xml:space="preserve">the </w:t>
      </w:r>
      <w:r w:rsidRPr="00E639BA">
        <w:rPr>
          <w:rFonts w:ascii="Times New Roman" w:hAnsi="Times New Roman"/>
          <w:sz w:val="24"/>
          <w:szCs w:val="24"/>
        </w:rPr>
        <w:t xml:space="preserve">effect associated with this term </w:t>
      </w:r>
      <w:r w:rsidR="0059659E">
        <w:rPr>
          <w:rFonts w:ascii="Times New Roman" w:hAnsi="Times New Roman"/>
          <w:sz w:val="24"/>
          <w:szCs w:val="24"/>
        </w:rPr>
        <w:t>i</w:t>
      </w:r>
      <w:r w:rsidR="000A3E45" w:rsidRPr="00E639BA">
        <w:rPr>
          <w:rFonts w:ascii="Times New Roman" w:hAnsi="Times New Roman"/>
          <w:sz w:val="24"/>
          <w:szCs w:val="24"/>
        </w:rPr>
        <w:t>s</w:t>
      </w:r>
      <w:r w:rsidR="003E2E00" w:rsidRPr="00E639BA">
        <w:rPr>
          <w:rFonts w:ascii="Times New Roman" w:hAnsi="Times New Roman"/>
          <w:sz w:val="24"/>
          <w:szCs w:val="24"/>
        </w:rPr>
        <w:t xml:space="preserve"> </w:t>
      </w:r>
      <w:r w:rsidRPr="00E639BA">
        <w:rPr>
          <w:rFonts w:ascii="Times New Roman" w:hAnsi="Times New Roman"/>
          <w:sz w:val="24"/>
          <w:szCs w:val="24"/>
        </w:rPr>
        <w:t>close to zero in 20</w:t>
      </w:r>
      <w:r w:rsidR="00351184">
        <w:rPr>
          <w:rFonts w:ascii="Times New Roman" w:hAnsi="Times New Roman"/>
          <w:sz w:val="24"/>
          <w:szCs w:val="24"/>
        </w:rPr>
        <w:t>10. Comparisons between Tables 3 and 4</w:t>
      </w:r>
      <w:r w:rsidRPr="00E639BA">
        <w:rPr>
          <w:rFonts w:ascii="Times New Roman" w:hAnsi="Times New Roman"/>
          <w:sz w:val="24"/>
          <w:szCs w:val="24"/>
        </w:rPr>
        <w:t xml:space="preserve"> should be made with caution because the classification system is not the same in the 2000 and 2010 Census, as described in the appendix. Nevertheless, this evidence is also verified for a number of different classifications of fields of study adopted</w:t>
      </w:r>
      <w:r w:rsidR="003E2E00" w:rsidRPr="00E639BA">
        <w:rPr>
          <w:rFonts w:ascii="Times New Roman" w:hAnsi="Times New Roman"/>
          <w:sz w:val="24"/>
          <w:szCs w:val="24"/>
        </w:rPr>
        <w:t>.</w:t>
      </w:r>
      <w:r w:rsidRPr="00E639BA">
        <w:rPr>
          <w:rStyle w:val="Refdenotaderodap"/>
          <w:rFonts w:ascii="Times New Roman" w:hAnsi="Times New Roman"/>
          <w:sz w:val="24"/>
          <w:szCs w:val="24"/>
        </w:rPr>
        <w:footnoteReference w:id="4"/>
      </w:r>
      <w:r w:rsidRPr="00E639BA">
        <w:rPr>
          <w:rFonts w:ascii="Times New Roman" w:hAnsi="Times New Roman"/>
          <w:sz w:val="24"/>
          <w:szCs w:val="24"/>
        </w:rPr>
        <w:t xml:space="preserve"> </w:t>
      </w:r>
    </w:p>
    <w:p w:rsidR="005E4E55" w:rsidRDefault="005E4E55" w:rsidP="00C17C6A">
      <w:pPr>
        <w:spacing w:line="240" w:lineRule="auto"/>
        <w:ind w:firstLine="708"/>
        <w:contextualSpacing/>
        <w:jc w:val="both"/>
        <w:rPr>
          <w:rFonts w:ascii="Times New Roman" w:hAnsi="Times New Roman"/>
          <w:sz w:val="24"/>
          <w:szCs w:val="24"/>
        </w:rPr>
      </w:pPr>
    </w:p>
    <w:p w:rsidR="005E4E55" w:rsidRDefault="005E4E55" w:rsidP="00C17C6A">
      <w:pPr>
        <w:spacing w:line="240" w:lineRule="auto"/>
        <w:ind w:firstLine="708"/>
        <w:contextualSpacing/>
        <w:jc w:val="center"/>
        <w:rPr>
          <w:rFonts w:ascii="Times New Roman" w:hAnsi="Times New Roman"/>
          <w:sz w:val="24"/>
          <w:szCs w:val="24"/>
        </w:rPr>
      </w:pPr>
      <w:r w:rsidRPr="008A4BF0">
        <w:rPr>
          <w:noProof/>
          <w:lang w:val="pt-BR" w:eastAsia="pt-BR"/>
        </w:rPr>
        <w:drawing>
          <wp:inline distT="0" distB="0" distL="0" distR="0" wp14:anchorId="76B02B44" wp14:editId="5F78B6BA">
            <wp:extent cx="4517080" cy="51530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080" cy="5153025"/>
                    </a:xfrm>
                    <a:prstGeom prst="rect">
                      <a:avLst/>
                    </a:prstGeom>
                    <a:noFill/>
                    <a:ln>
                      <a:noFill/>
                    </a:ln>
                  </pic:spPr>
                </pic:pic>
              </a:graphicData>
            </a:graphic>
          </wp:inline>
        </w:drawing>
      </w:r>
    </w:p>
    <w:p w:rsidR="005E4E55" w:rsidRDefault="005E4E55" w:rsidP="00C17C6A">
      <w:pPr>
        <w:spacing w:line="240" w:lineRule="auto"/>
        <w:ind w:firstLine="708"/>
        <w:contextualSpacing/>
        <w:jc w:val="center"/>
        <w:rPr>
          <w:rFonts w:ascii="Times New Roman" w:hAnsi="Times New Roman"/>
          <w:sz w:val="24"/>
          <w:szCs w:val="24"/>
        </w:rPr>
      </w:pPr>
    </w:p>
    <w:p w:rsidR="00FB54C8" w:rsidRPr="00E639BA" w:rsidRDefault="00F851D0"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The results </w:t>
      </w:r>
      <w:r w:rsidR="00B362C4" w:rsidRPr="00E639BA">
        <w:rPr>
          <w:rFonts w:ascii="Times New Roman" w:hAnsi="Times New Roman"/>
          <w:sz w:val="24"/>
          <w:szCs w:val="24"/>
        </w:rPr>
        <w:t xml:space="preserve">presented in this subsection </w:t>
      </w:r>
      <w:r w:rsidRPr="00E639BA">
        <w:rPr>
          <w:rFonts w:ascii="Times New Roman" w:hAnsi="Times New Roman"/>
          <w:sz w:val="24"/>
          <w:szCs w:val="24"/>
        </w:rPr>
        <w:t xml:space="preserve">are robust to other specifications, which include changing the </w:t>
      </w:r>
      <w:r w:rsidR="007B060D">
        <w:rPr>
          <w:rFonts w:ascii="Times New Roman" w:hAnsi="Times New Roman"/>
          <w:sz w:val="24"/>
          <w:szCs w:val="24"/>
        </w:rPr>
        <w:t xml:space="preserve">order of the decomposition in equation (2) </w:t>
      </w:r>
      <w:r w:rsidRPr="00E639BA">
        <w:rPr>
          <w:rFonts w:ascii="Times New Roman" w:hAnsi="Times New Roman"/>
          <w:sz w:val="24"/>
          <w:szCs w:val="24"/>
        </w:rPr>
        <w:t>and using monthly instead of hourly earnings.</w:t>
      </w:r>
      <w:r w:rsidR="0070029E" w:rsidRPr="00E639BA">
        <w:rPr>
          <w:rFonts w:ascii="Times New Roman" w:hAnsi="Times New Roman"/>
          <w:sz w:val="24"/>
          <w:szCs w:val="24"/>
        </w:rPr>
        <w:t xml:space="preserve"> </w:t>
      </w:r>
      <w:r w:rsidR="00FB54C8" w:rsidRPr="00E639BA">
        <w:rPr>
          <w:rFonts w:ascii="Times New Roman" w:hAnsi="Times New Roman"/>
          <w:sz w:val="24"/>
          <w:szCs w:val="24"/>
        </w:rPr>
        <w:t xml:space="preserve">In another robustness check, the analysis is carried out separately by gender, </w:t>
      </w:r>
      <w:r w:rsidR="00B362C4" w:rsidRPr="00E639BA">
        <w:rPr>
          <w:rFonts w:ascii="Times New Roman" w:hAnsi="Times New Roman"/>
          <w:sz w:val="24"/>
          <w:szCs w:val="24"/>
        </w:rPr>
        <w:t xml:space="preserve">without changes in </w:t>
      </w:r>
      <w:r w:rsidR="00C351CB" w:rsidRPr="00E639BA">
        <w:rPr>
          <w:rFonts w:ascii="Times New Roman" w:hAnsi="Times New Roman"/>
          <w:sz w:val="24"/>
          <w:szCs w:val="24"/>
        </w:rPr>
        <w:t xml:space="preserve">the </w:t>
      </w:r>
      <w:r w:rsidR="00FB54C8" w:rsidRPr="00E639BA">
        <w:rPr>
          <w:rFonts w:ascii="Times New Roman" w:hAnsi="Times New Roman"/>
          <w:sz w:val="24"/>
          <w:szCs w:val="24"/>
        </w:rPr>
        <w:t xml:space="preserve">main conclusions about the role of </w:t>
      </w:r>
      <w:r w:rsidR="00C351CB" w:rsidRPr="00E639BA">
        <w:rPr>
          <w:rFonts w:ascii="Times New Roman" w:hAnsi="Times New Roman"/>
          <w:sz w:val="24"/>
          <w:szCs w:val="24"/>
        </w:rPr>
        <w:lastRenderedPageBreak/>
        <w:t xml:space="preserve">disparities </w:t>
      </w:r>
      <w:r w:rsidR="00FB54C8" w:rsidRPr="00E639BA">
        <w:rPr>
          <w:rFonts w:ascii="Times New Roman" w:hAnsi="Times New Roman"/>
          <w:sz w:val="24"/>
          <w:szCs w:val="24"/>
        </w:rPr>
        <w:t xml:space="preserve">in field of study composition </w:t>
      </w:r>
      <w:r w:rsidR="003E2E00" w:rsidRPr="00E639BA">
        <w:rPr>
          <w:rFonts w:ascii="Times New Roman" w:hAnsi="Times New Roman"/>
          <w:sz w:val="24"/>
          <w:szCs w:val="24"/>
        </w:rPr>
        <w:t xml:space="preserve">in </w:t>
      </w:r>
      <w:r w:rsidR="00C351CB" w:rsidRPr="00E639BA">
        <w:rPr>
          <w:rFonts w:ascii="Times New Roman" w:hAnsi="Times New Roman"/>
          <w:sz w:val="24"/>
          <w:szCs w:val="24"/>
        </w:rPr>
        <w:t>earnings differential by race</w:t>
      </w:r>
      <w:r w:rsidR="00C6409D" w:rsidRPr="00E639BA">
        <w:rPr>
          <w:rFonts w:ascii="Times New Roman" w:hAnsi="Times New Roman"/>
          <w:sz w:val="24"/>
          <w:szCs w:val="24"/>
        </w:rPr>
        <w:t>.</w:t>
      </w:r>
      <w:r w:rsidR="008E54A3" w:rsidRPr="00E639BA">
        <w:rPr>
          <w:rStyle w:val="Refdenotaderodap"/>
          <w:rFonts w:ascii="Times New Roman" w:hAnsi="Times New Roman"/>
          <w:sz w:val="24"/>
          <w:szCs w:val="24"/>
        </w:rPr>
        <w:footnoteReference w:id="5"/>
      </w:r>
      <w:r w:rsidR="008E54A3" w:rsidRPr="00E639BA">
        <w:rPr>
          <w:rFonts w:ascii="Times New Roman" w:hAnsi="Times New Roman"/>
          <w:sz w:val="24"/>
          <w:szCs w:val="24"/>
        </w:rPr>
        <w:t xml:space="preserve"> Decompositions are also performed using the Juhn, Murphy and Pierce</w:t>
      </w:r>
      <w:r w:rsidR="00C17C6A">
        <w:rPr>
          <w:rFonts w:ascii="Times New Roman" w:hAnsi="Times New Roman"/>
          <w:sz w:val="24"/>
          <w:szCs w:val="24"/>
        </w:rPr>
        <w:t xml:space="preserve"> (1993) method, and the results</w:t>
      </w:r>
      <w:r w:rsidR="008E54A3" w:rsidRPr="00E639BA">
        <w:rPr>
          <w:rFonts w:ascii="Times New Roman" w:hAnsi="Times New Roman"/>
          <w:sz w:val="24"/>
          <w:szCs w:val="24"/>
        </w:rPr>
        <w:t xml:space="preserve"> are very similar to those presented in Tables </w:t>
      </w:r>
      <w:r w:rsidR="007B060D">
        <w:rPr>
          <w:rFonts w:ascii="Times New Roman" w:hAnsi="Times New Roman"/>
          <w:sz w:val="24"/>
          <w:szCs w:val="24"/>
        </w:rPr>
        <w:t>3</w:t>
      </w:r>
      <w:r w:rsidR="008E54A3" w:rsidRPr="00E639BA">
        <w:rPr>
          <w:rFonts w:ascii="Times New Roman" w:hAnsi="Times New Roman"/>
          <w:sz w:val="24"/>
          <w:szCs w:val="24"/>
        </w:rPr>
        <w:t xml:space="preserve"> and </w:t>
      </w:r>
      <w:r w:rsidR="007B060D">
        <w:rPr>
          <w:rFonts w:ascii="Times New Roman" w:hAnsi="Times New Roman"/>
          <w:sz w:val="24"/>
          <w:szCs w:val="24"/>
        </w:rPr>
        <w:t>4</w:t>
      </w:r>
      <w:r w:rsidR="008E54A3" w:rsidRPr="00E639BA">
        <w:rPr>
          <w:rFonts w:ascii="Times New Roman" w:hAnsi="Times New Roman"/>
          <w:sz w:val="24"/>
          <w:szCs w:val="24"/>
        </w:rPr>
        <w:t>.</w:t>
      </w:r>
    </w:p>
    <w:p w:rsidR="00E405D9" w:rsidRPr="00E639BA" w:rsidRDefault="00E405D9" w:rsidP="00C17C6A">
      <w:pPr>
        <w:spacing w:line="240" w:lineRule="auto"/>
        <w:contextualSpacing/>
        <w:jc w:val="both"/>
        <w:rPr>
          <w:rFonts w:ascii="Times New Roman" w:hAnsi="Times New Roman"/>
          <w:sz w:val="24"/>
          <w:szCs w:val="24"/>
        </w:rPr>
      </w:pPr>
    </w:p>
    <w:p w:rsidR="007D2995" w:rsidRPr="00E639BA" w:rsidRDefault="0020124A" w:rsidP="00C17C6A">
      <w:pPr>
        <w:autoSpaceDE w:val="0"/>
        <w:autoSpaceDN w:val="0"/>
        <w:adjustRightInd w:val="0"/>
        <w:spacing w:line="240" w:lineRule="auto"/>
        <w:contextualSpacing/>
        <w:jc w:val="both"/>
        <w:rPr>
          <w:rFonts w:ascii="Times New Roman" w:hAnsi="Times New Roman"/>
          <w:sz w:val="24"/>
          <w:szCs w:val="24"/>
        </w:rPr>
      </w:pPr>
      <w:r w:rsidRPr="00E639BA">
        <w:rPr>
          <w:rFonts w:ascii="Times New Roman" w:hAnsi="Times New Roman"/>
          <w:sz w:val="24"/>
          <w:szCs w:val="24"/>
        </w:rPr>
        <w:t>5</w:t>
      </w:r>
      <w:r w:rsidR="007D2995" w:rsidRPr="00E639BA">
        <w:rPr>
          <w:rFonts w:ascii="Times New Roman" w:hAnsi="Times New Roman"/>
          <w:sz w:val="24"/>
          <w:szCs w:val="24"/>
        </w:rPr>
        <w:t xml:space="preserve">.2 – Evidence for RIF-regression decomposition </w:t>
      </w:r>
    </w:p>
    <w:p w:rsidR="007D2995" w:rsidRPr="00E639BA" w:rsidRDefault="007D2995" w:rsidP="00C17C6A">
      <w:pPr>
        <w:spacing w:line="240" w:lineRule="auto"/>
        <w:contextualSpacing/>
        <w:rPr>
          <w:rFonts w:ascii="Times New Roman" w:eastAsia="Times New Roman" w:hAnsi="Times New Roman"/>
          <w:sz w:val="24"/>
          <w:szCs w:val="24"/>
          <w:lang w:eastAsia="pt-BR"/>
        </w:rPr>
      </w:pPr>
    </w:p>
    <w:p w:rsidR="002E13F4" w:rsidRPr="00E639BA" w:rsidRDefault="009E0B69"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Table </w:t>
      </w:r>
      <w:r w:rsidR="007B060D">
        <w:rPr>
          <w:rFonts w:ascii="Times New Roman" w:hAnsi="Times New Roman"/>
          <w:sz w:val="24"/>
          <w:szCs w:val="24"/>
        </w:rPr>
        <w:t>5</w:t>
      </w:r>
      <w:r w:rsidR="00521730" w:rsidRPr="00E639BA">
        <w:rPr>
          <w:rFonts w:ascii="Times New Roman" w:hAnsi="Times New Roman"/>
          <w:sz w:val="24"/>
          <w:szCs w:val="24"/>
        </w:rPr>
        <w:t xml:space="preserve"> reports racial earnings gap decomposition of the 10</w:t>
      </w:r>
      <w:r w:rsidR="00521730" w:rsidRPr="00E639BA">
        <w:rPr>
          <w:rFonts w:ascii="Times New Roman" w:hAnsi="Times New Roman"/>
          <w:sz w:val="24"/>
          <w:szCs w:val="24"/>
          <w:vertAlign w:val="superscript"/>
        </w:rPr>
        <w:t>th</w:t>
      </w:r>
      <w:r w:rsidR="00521730" w:rsidRPr="00E639BA">
        <w:rPr>
          <w:rFonts w:ascii="Times New Roman" w:hAnsi="Times New Roman"/>
          <w:sz w:val="24"/>
          <w:szCs w:val="24"/>
        </w:rPr>
        <w:t>, 25</w:t>
      </w:r>
      <w:r w:rsidR="00521730" w:rsidRPr="00E639BA">
        <w:rPr>
          <w:rFonts w:ascii="Times New Roman" w:hAnsi="Times New Roman"/>
          <w:sz w:val="24"/>
          <w:szCs w:val="24"/>
          <w:vertAlign w:val="superscript"/>
        </w:rPr>
        <w:t>th</w:t>
      </w:r>
      <w:r w:rsidR="00521730" w:rsidRPr="00E639BA">
        <w:rPr>
          <w:rFonts w:ascii="Times New Roman" w:hAnsi="Times New Roman"/>
          <w:sz w:val="24"/>
          <w:szCs w:val="24"/>
        </w:rPr>
        <w:t>, 50</w:t>
      </w:r>
      <w:r w:rsidR="00521730" w:rsidRPr="00E639BA">
        <w:rPr>
          <w:rFonts w:ascii="Times New Roman" w:hAnsi="Times New Roman"/>
          <w:sz w:val="24"/>
          <w:szCs w:val="24"/>
          <w:vertAlign w:val="superscript"/>
        </w:rPr>
        <w:t>th</w:t>
      </w:r>
      <w:r w:rsidR="00521730" w:rsidRPr="00E639BA">
        <w:rPr>
          <w:rFonts w:ascii="Times New Roman" w:hAnsi="Times New Roman"/>
          <w:sz w:val="24"/>
          <w:szCs w:val="24"/>
        </w:rPr>
        <w:t>, 75</w:t>
      </w:r>
      <w:r w:rsidR="00521730" w:rsidRPr="00E639BA">
        <w:rPr>
          <w:rFonts w:ascii="Times New Roman" w:hAnsi="Times New Roman"/>
          <w:sz w:val="24"/>
          <w:szCs w:val="24"/>
          <w:vertAlign w:val="superscript"/>
        </w:rPr>
        <w:t>th</w:t>
      </w:r>
      <w:r w:rsidR="00521730" w:rsidRPr="00E639BA">
        <w:rPr>
          <w:rFonts w:ascii="Times New Roman" w:hAnsi="Times New Roman"/>
          <w:sz w:val="24"/>
          <w:szCs w:val="24"/>
        </w:rPr>
        <w:t>, and 90</w:t>
      </w:r>
      <w:r w:rsidR="00521730" w:rsidRPr="00E639BA">
        <w:rPr>
          <w:rFonts w:ascii="Times New Roman" w:hAnsi="Times New Roman"/>
          <w:sz w:val="24"/>
          <w:szCs w:val="24"/>
          <w:vertAlign w:val="superscript"/>
        </w:rPr>
        <w:t>th</w:t>
      </w:r>
      <w:r w:rsidR="00521730" w:rsidRPr="00E639BA">
        <w:rPr>
          <w:rFonts w:ascii="Times New Roman" w:hAnsi="Times New Roman"/>
          <w:sz w:val="24"/>
          <w:szCs w:val="24"/>
        </w:rPr>
        <w:t xml:space="preserve"> percentiles of the unconditioned distribution of </w:t>
      </w:r>
      <w:r w:rsidR="00C6409D" w:rsidRPr="00E639BA">
        <w:rPr>
          <w:rFonts w:ascii="Times New Roman" w:hAnsi="Times New Roman"/>
          <w:sz w:val="24"/>
          <w:szCs w:val="24"/>
        </w:rPr>
        <w:t xml:space="preserve">hourly </w:t>
      </w:r>
      <w:r w:rsidR="00521730" w:rsidRPr="00E639BA">
        <w:rPr>
          <w:rFonts w:ascii="Times New Roman" w:hAnsi="Times New Roman"/>
          <w:sz w:val="24"/>
          <w:szCs w:val="24"/>
        </w:rPr>
        <w:t xml:space="preserve">labor earnings for 2000. It can be noticed that the earnings differential is </w:t>
      </w:r>
      <w:r w:rsidR="003D65E8" w:rsidRPr="00E639BA">
        <w:rPr>
          <w:rFonts w:ascii="Times New Roman" w:hAnsi="Times New Roman"/>
          <w:sz w:val="24"/>
          <w:szCs w:val="24"/>
        </w:rPr>
        <w:t xml:space="preserve">much </w:t>
      </w:r>
      <w:r w:rsidR="00521730" w:rsidRPr="00E639BA">
        <w:rPr>
          <w:rFonts w:ascii="Times New Roman" w:hAnsi="Times New Roman"/>
          <w:sz w:val="24"/>
          <w:szCs w:val="24"/>
        </w:rPr>
        <w:t xml:space="preserve">larger at the top of the </w:t>
      </w:r>
      <w:r w:rsidR="003D65E8" w:rsidRPr="00E639BA">
        <w:rPr>
          <w:rFonts w:ascii="Times New Roman" w:hAnsi="Times New Roman"/>
          <w:sz w:val="24"/>
          <w:szCs w:val="24"/>
        </w:rPr>
        <w:t xml:space="preserve">distribution than at the bottom. Also, </w:t>
      </w:r>
      <w:r w:rsidR="00CD5573" w:rsidRPr="00E639BA">
        <w:rPr>
          <w:rFonts w:ascii="Times New Roman" w:hAnsi="Times New Roman"/>
          <w:sz w:val="24"/>
          <w:szCs w:val="24"/>
        </w:rPr>
        <w:t xml:space="preserve">the share of the racial difference attributed to </w:t>
      </w:r>
      <w:r w:rsidR="00C35AF6" w:rsidRPr="00E639BA">
        <w:rPr>
          <w:rFonts w:ascii="Times New Roman" w:hAnsi="Times New Roman"/>
          <w:sz w:val="24"/>
          <w:szCs w:val="24"/>
        </w:rPr>
        <w:t xml:space="preserve">individuals’ </w:t>
      </w:r>
      <w:r w:rsidR="00CD5573" w:rsidRPr="00E639BA">
        <w:rPr>
          <w:rFonts w:ascii="Times New Roman" w:hAnsi="Times New Roman"/>
          <w:sz w:val="24"/>
          <w:szCs w:val="24"/>
        </w:rPr>
        <w:t xml:space="preserve">characteristics </w:t>
      </w:r>
      <w:r w:rsidR="003D65E8" w:rsidRPr="00E639BA">
        <w:rPr>
          <w:rFonts w:ascii="Times New Roman" w:hAnsi="Times New Roman"/>
          <w:sz w:val="24"/>
          <w:szCs w:val="24"/>
        </w:rPr>
        <w:t xml:space="preserve">seems to be more </w:t>
      </w:r>
      <w:r w:rsidR="00C35720" w:rsidRPr="00E639BA">
        <w:rPr>
          <w:rFonts w:ascii="Times New Roman" w:hAnsi="Times New Roman"/>
          <w:sz w:val="24"/>
          <w:szCs w:val="24"/>
        </w:rPr>
        <w:t>important at</w:t>
      </w:r>
      <w:r w:rsidR="00CD5573" w:rsidRPr="00E639BA">
        <w:rPr>
          <w:rFonts w:ascii="Times New Roman" w:hAnsi="Times New Roman"/>
          <w:sz w:val="24"/>
          <w:szCs w:val="24"/>
        </w:rPr>
        <w:t xml:space="preserve"> </w:t>
      </w:r>
      <w:r w:rsidR="00C35720" w:rsidRPr="00E639BA">
        <w:rPr>
          <w:rFonts w:ascii="Times New Roman" w:hAnsi="Times New Roman"/>
          <w:sz w:val="24"/>
          <w:szCs w:val="24"/>
        </w:rPr>
        <w:t>lower</w:t>
      </w:r>
      <w:r w:rsidR="007A2602" w:rsidRPr="00E639BA">
        <w:rPr>
          <w:rFonts w:ascii="Times New Roman" w:hAnsi="Times New Roman"/>
          <w:sz w:val="24"/>
          <w:szCs w:val="24"/>
        </w:rPr>
        <w:t xml:space="preserve"> percentiles </w:t>
      </w:r>
      <w:r w:rsidR="00CD5573" w:rsidRPr="00E639BA">
        <w:rPr>
          <w:rFonts w:ascii="Times New Roman" w:hAnsi="Times New Roman"/>
          <w:sz w:val="24"/>
          <w:szCs w:val="24"/>
        </w:rPr>
        <w:t>of the distribution</w:t>
      </w:r>
      <w:r w:rsidR="00521730" w:rsidRPr="00E639BA">
        <w:rPr>
          <w:rFonts w:ascii="Times New Roman" w:hAnsi="Times New Roman"/>
          <w:sz w:val="24"/>
          <w:szCs w:val="24"/>
        </w:rPr>
        <w:t>.</w:t>
      </w:r>
      <w:r w:rsidR="00355D42" w:rsidRPr="00E639BA">
        <w:rPr>
          <w:rFonts w:ascii="Times New Roman" w:hAnsi="Times New Roman"/>
          <w:sz w:val="24"/>
          <w:szCs w:val="24"/>
        </w:rPr>
        <w:t xml:space="preserve"> At the 10</w:t>
      </w:r>
      <w:r w:rsidR="00355D42" w:rsidRPr="00E639BA">
        <w:rPr>
          <w:rFonts w:ascii="Times New Roman" w:hAnsi="Times New Roman"/>
          <w:sz w:val="24"/>
          <w:szCs w:val="24"/>
          <w:vertAlign w:val="superscript"/>
        </w:rPr>
        <w:t>th</w:t>
      </w:r>
      <w:r w:rsidR="00355D42" w:rsidRPr="00E639BA">
        <w:rPr>
          <w:rFonts w:ascii="Times New Roman" w:hAnsi="Times New Roman"/>
          <w:sz w:val="24"/>
          <w:szCs w:val="24"/>
        </w:rPr>
        <w:t xml:space="preserve"> percentile, differences in observable characteristics of white and black workers represent almost two thirds of </w:t>
      </w:r>
      <w:r w:rsidR="00C35720" w:rsidRPr="00E639BA">
        <w:rPr>
          <w:rFonts w:ascii="Times New Roman" w:hAnsi="Times New Roman"/>
          <w:sz w:val="24"/>
          <w:szCs w:val="24"/>
        </w:rPr>
        <w:t xml:space="preserve">the </w:t>
      </w:r>
      <w:r w:rsidR="00355D42" w:rsidRPr="00E639BA">
        <w:rPr>
          <w:rFonts w:ascii="Times New Roman" w:hAnsi="Times New Roman"/>
          <w:sz w:val="24"/>
          <w:szCs w:val="24"/>
        </w:rPr>
        <w:t xml:space="preserve">hourly earnings gap between these two groups, </w:t>
      </w:r>
      <w:r w:rsidR="00CD5573" w:rsidRPr="00E639BA">
        <w:rPr>
          <w:rFonts w:ascii="Times New Roman" w:hAnsi="Times New Roman"/>
          <w:sz w:val="24"/>
          <w:szCs w:val="24"/>
        </w:rPr>
        <w:t xml:space="preserve">while this component </w:t>
      </w:r>
      <w:r w:rsidR="00355D42" w:rsidRPr="00E639BA">
        <w:rPr>
          <w:rFonts w:ascii="Times New Roman" w:hAnsi="Times New Roman"/>
          <w:sz w:val="24"/>
          <w:szCs w:val="24"/>
        </w:rPr>
        <w:t>represent</w:t>
      </w:r>
      <w:r w:rsidR="00CD5573" w:rsidRPr="00E639BA">
        <w:rPr>
          <w:rFonts w:ascii="Times New Roman" w:hAnsi="Times New Roman"/>
          <w:sz w:val="24"/>
          <w:szCs w:val="24"/>
        </w:rPr>
        <w:t>s</w:t>
      </w:r>
      <w:r w:rsidR="00355D42" w:rsidRPr="00E639BA">
        <w:rPr>
          <w:rFonts w:ascii="Times New Roman" w:hAnsi="Times New Roman"/>
          <w:sz w:val="24"/>
          <w:szCs w:val="24"/>
        </w:rPr>
        <w:t xml:space="preserve"> </w:t>
      </w:r>
      <w:r w:rsidR="003D65E8" w:rsidRPr="00E639BA">
        <w:rPr>
          <w:rFonts w:ascii="Times New Roman" w:hAnsi="Times New Roman"/>
          <w:sz w:val="24"/>
          <w:szCs w:val="24"/>
        </w:rPr>
        <w:t xml:space="preserve">only </w:t>
      </w:r>
      <w:r w:rsidR="00355D42" w:rsidRPr="00E639BA">
        <w:rPr>
          <w:rFonts w:ascii="Times New Roman" w:hAnsi="Times New Roman"/>
          <w:sz w:val="24"/>
          <w:szCs w:val="24"/>
        </w:rPr>
        <w:t>one quarter of the racial earnings gap at the 90</w:t>
      </w:r>
      <w:r w:rsidR="00355D42" w:rsidRPr="00E639BA">
        <w:rPr>
          <w:rFonts w:ascii="Times New Roman" w:hAnsi="Times New Roman"/>
          <w:sz w:val="24"/>
          <w:szCs w:val="24"/>
          <w:vertAlign w:val="superscript"/>
        </w:rPr>
        <w:t>th</w:t>
      </w:r>
      <w:r w:rsidR="00CD5573" w:rsidRPr="00E639BA">
        <w:rPr>
          <w:rFonts w:ascii="Times New Roman" w:hAnsi="Times New Roman"/>
          <w:sz w:val="24"/>
          <w:szCs w:val="24"/>
        </w:rPr>
        <w:t xml:space="preserve"> percentile</w:t>
      </w:r>
      <w:r w:rsidR="00355D42" w:rsidRPr="00E639BA">
        <w:rPr>
          <w:rFonts w:ascii="Times New Roman" w:hAnsi="Times New Roman"/>
          <w:sz w:val="24"/>
          <w:szCs w:val="24"/>
        </w:rPr>
        <w:t>.</w:t>
      </w:r>
    </w:p>
    <w:p w:rsidR="005E4E55" w:rsidRDefault="005E4E55" w:rsidP="00C17C6A">
      <w:pPr>
        <w:spacing w:line="240" w:lineRule="auto"/>
        <w:ind w:firstLine="708"/>
        <w:contextualSpacing/>
        <w:jc w:val="both"/>
        <w:rPr>
          <w:rFonts w:ascii="Times New Roman" w:hAnsi="Times New Roman"/>
          <w:sz w:val="24"/>
          <w:szCs w:val="24"/>
        </w:rPr>
      </w:pPr>
    </w:p>
    <w:p w:rsidR="005E4E55" w:rsidRPr="00E639BA" w:rsidRDefault="005E4E55" w:rsidP="00AC78CE">
      <w:pPr>
        <w:spacing w:line="240" w:lineRule="auto"/>
        <w:contextualSpacing/>
        <w:jc w:val="center"/>
        <w:rPr>
          <w:rFonts w:ascii="Times New Roman" w:hAnsi="Times New Roman"/>
          <w:sz w:val="24"/>
          <w:szCs w:val="24"/>
        </w:rPr>
      </w:pPr>
      <w:r w:rsidRPr="008A4BF0">
        <w:rPr>
          <w:noProof/>
          <w:lang w:val="pt-BR" w:eastAsia="pt-BR"/>
        </w:rPr>
        <w:drawing>
          <wp:inline distT="0" distB="0" distL="0" distR="0" wp14:anchorId="319A908D" wp14:editId="11A850FC">
            <wp:extent cx="5162550" cy="5560381"/>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5560381"/>
                    </a:xfrm>
                    <a:prstGeom prst="rect">
                      <a:avLst/>
                    </a:prstGeom>
                    <a:noFill/>
                    <a:ln>
                      <a:noFill/>
                    </a:ln>
                  </pic:spPr>
                </pic:pic>
              </a:graphicData>
            </a:graphic>
          </wp:inline>
        </w:drawing>
      </w:r>
    </w:p>
    <w:p w:rsidR="00AC78CE" w:rsidRDefault="00AC78CE" w:rsidP="00AC78CE">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lastRenderedPageBreak/>
        <w:t>Estimates indicate that the distribution of whites and blacks across areas of study accounts for 18% of the total difference in hourly earnings by race at the median of the distribution. At the 10</w:t>
      </w:r>
      <w:r w:rsidRPr="00E639BA">
        <w:rPr>
          <w:rFonts w:ascii="Times New Roman" w:hAnsi="Times New Roman"/>
          <w:sz w:val="24"/>
          <w:szCs w:val="24"/>
          <w:vertAlign w:val="superscript"/>
        </w:rPr>
        <w:t>th</w:t>
      </w:r>
      <w:r w:rsidRPr="00E639BA">
        <w:rPr>
          <w:rFonts w:ascii="Times New Roman" w:hAnsi="Times New Roman"/>
          <w:sz w:val="24"/>
          <w:szCs w:val="24"/>
        </w:rPr>
        <w:t xml:space="preserve"> and 90</w:t>
      </w:r>
      <w:r w:rsidRPr="00E639BA">
        <w:rPr>
          <w:rFonts w:ascii="Times New Roman" w:hAnsi="Times New Roman"/>
          <w:sz w:val="24"/>
          <w:szCs w:val="24"/>
          <w:vertAlign w:val="superscript"/>
        </w:rPr>
        <w:t>th</w:t>
      </w:r>
      <w:r w:rsidRPr="00E639BA">
        <w:rPr>
          <w:rFonts w:ascii="Times New Roman" w:hAnsi="Times New Roman"/>
          <w:sz w:val="24"/>
          <w:szCs w:val="24"/>
        </w:rPr>
        <w:t xml:space="preserve"> percentiles, the estimated contributions of this factor represent 13% and 12% of the total. About the other characteristic effects, racial differences in regional distribution and education-job mismatch, in particular the proportion of workers with at least a bachelor’s degree who work in occupations that do not require this level of education, seem to represent an important share of the earnings gap by race at the 10</w:t>
      </w:r>
      <w:r w:rsidRPr="00E639BA">
        <w:rPr>
          <w:rFonts w:ascii="Times New Roman" w:hAnsi="Times New Roman"/>
          <w:sz w:val="24"/>
          <w:szCs w:val="24"/>
          <w:vertAlign w:val="superscript"/>
        </w:rPr>
        <w:t>th</w:t>
      </w:r>
      <w:r w:rsidRPr="00E639BA">
        <w:rPr>
          <w:rFonts w:ascii="Times New Roman" w:hAnsi="Times New Roman"/>
          <w:sz w:val="24"/>
          <w:szCs w:val="24"/>
        </w:rPr>
        <w:t xml:space="preserve"> percentile, but the effects associated with these factors become less important at the top of the distribution.    </w:t>
      </w:r>
    </w:p>
    <w:p w:rsidR="005E4E55" w:rsidRDefault="005E4E55" w:rsidP="00C17C6A">
      <w:pPr>
        <w:spacing w:line="240" w:lineRule="auto"/>
        <w:ind w:firstLine="708"/>
        <w:contextualSpacing/>
        <w:jc w:val="both"/>
        <w:rPr>
          <w:rFonts w:ascii="Times New Roman" w:hAnsi="Times New Roman"/>
          <w:sz w:val="24"/>
          <w:szCs w:val="24"/>
        </w:rPr>
      </w:pPr>
    </w:p>
    <w:p w:rsidR="005E4E55" w:rsidRPr="00E639BA" w:rsidRDefault="005E4E55" w:rsidP="00C17C6A">
      <w:pPr>
        <w:spacing w:line="240" w:lineRule="auto"/>
        <w:contextualSpacing/>
        <w:jc w:val="center"/>
        <w:rPr>
          <w:rFonts w:ascii="Times New Roman" w:hAnsi="Times New Roman"/>
          <w:sz w:val="24"/>
          <w:szCs w:val="24"/>
        </w:rPr>
      </w:pPr>
      <w:r w:rsidRPr="008A4BF0">
        <w:rPr>
          <w:noProof/>
          <w:lang w:val="pt-BR" w:eastAsia="pt-BR"/>
        </w:rPr>
        <w:drawing>
          <wp:inline distT="0" distB="0" distL="0" distR="0" wp14:anchorId="6C4BB0E4" wp14:editId="2ECE0753">
            <wp:extent cx="5372100" cy="57245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5724525"/>
                    </a:xfrm>
                    <a:prstGeom prst="rect">
                      <a:avLst/>
                    </a:prstGeom>
                    <a:noFill/>
                    <a:ln>
                      <a:noFill/>
                    </a:ln>
                  </pic:spPr>
                </pic:pic>
              </a:graphicData>
            </a:graphic>
          </wp:inline>
        </w:drawing>
      </w:r>
    </w:p>
    <w:p w:rsidR="00AC78CE" w:rsidRDefault="00AC78CE" w:rsidP="00C17C6A">
      <w:pPr>
        <w:spacing w:line="240" w:lineRule="auto"/>
        <w:ind w:firstLine="708"/>
        <w:contextualSpacing/>
        <w:jc w:val="both"/>
        <w:rPr>
          <w:rFonts w:ascii="Times New Roman" w:hAnsi="Times New Roman"/>
          <w:sz w:val="24"/>
          <w:szCs w:val="24"/>
        </w:rPr>
      </w:pPr>
    </w:p>
    <w:p w:rsidR="00AC78CE" w:rsidRPr="00E639BA" w:rsidRDefault="00AC78CE" w:rsidP="00AC78CE">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Table </w:t>
      </w:r>
      <w:r>
        <w:rPr>
          <w:rFonts w:ascii="Times New Roman" w:hAnsi="Times New Roman"/>
          <w:sz w:val="24"/>
          <w:szCs w:val="24"/>
        </w:rPr>
        <w:t>6</w:t>
      </w:r>
      <w:r w:rsidRPr="00E639BA">
        <w:rPr>
          <w:rFonts w:ascii="Times New Roman" w:hAnsi="Times New Roman"/>
          <w:sz w:val="24"/>
          <w:szCs w:val="24"/>
        </w:rPr>
        <w:t xml:space="preserve"> reports the results of </w:t>
      </w:r>
      <w:proofErr w:type="spellStart"/>
      <w:r>
        <w:rPr>
          <w:rFonts w:ascii="Times New Roman" w:hAnsi="Times New Roman"/>
          <w:sz w:val="24"/>
          <w:szCs w:val="24"/>
        </w:rPr>
        <w:t>quantile</w:t>
      </w:r>
      <w:proofErr w:type="spellEnd"/>
      <w:r>
        <w:rPr>
          <w:rFonts w:ascii="Times New Roman" w:hAnsi="Times New Roman"/>
          <w:sz w:val="24"/>
          <w:szCs w:val="24"/>
        </w:rPr>
        <w:t xml:space="preserve"> </w:t>
      </w:r>
      <w:r w:rsidRPr="00E639BA">
        <w:rPr>
          <w:rFonts w:ascii="Times New Roman" w:hAnsi="Times New Roman"/>
          <w:sz w:val="24"/>
          <w:szCs w:val="24"/>
        </w:rPr>
        <w:t xml:space="preserve">decompositions of the earnings distribution in 2010. Hourly earnings differential between white and black workers is also higher at the top of the distribution, while the contribution of characteristic effects is higher at the lower part of the distribution. These patterns are similar to the ones reported in Table </w:t>
      </w:r>
      <w:r>
        <w:rPr>
          <w:rFonts w:ascii="Times New Roman" w:hAnsi="Times New Roman"/>
          <w:sz w:val="24"/>
          <w:szCs w:val="24"/>
        </w:rPr>
        <w:t>5</w:t>
      </w:r>
      <w:r w:rsidRPr="00E639BA">
        <w:rPr>
          <w:rFonts w:ascii="Times New Roman" w:hAnsi="Times New Roman"/>
          <w:sz w:val="24"/>
          <w:szCs w:val="24"/>
        </w:rPr>
        <w:t xml:space="preserve"> for 2000. Disparities in the distribution of whites and blacks across fields of study represent about one quarter of the earnings gap by race at the 10</w:t>
      </w:r>
      <w:r w:rsidRPr="00E639BA">
        <w:rPr>
          <w:rFonts w:ascii="Times New Roman" w:hAnsi="Times New Roman"/>
          <w:sz w:val="24"/>
          <w:szCs w:val="24"/>
          <w:vertAlign w:val="superscript"/>
        </w:rPr>
        <w:t>th</w:t>
      </w:r>
      <w:r w:rsidRPr="00E639BA">
        <w:rPr>
          <w:rFonts w:ascii="Times New Roman" w:hAnsi="Times New Roman"/>
          <w:sz w:val="24"/>
          <w:szCs w:val="24"/>
        </w:rPr>
        <w:t>, 25</w:t>
      </w:r>
      <w:r w:rsidRPr="00E639BA">
        <w:rPr>
          <w:rFonts w:ascii="Times New Roman" w:hAnsi="Times New Roman"/>
          <w:sz w:val="24"/>
          <w:szCs w:val="24"/>
          <w:vertAlign w:val="superscript"/>
        </w:rPr>
        <w:t>th</w:t>
      </w:r>
      <w:r w:rsidRPr="00E639BA">
        <w:rPr>
          <w:rFonts w:ascii="Times New Roman" w:hAnsi="Times New Roman"/>
          <w:sz w:val="24"/>
          <w:szCs w:val="24"/>
        </w:rPr>
        <w:t xml:space="preserve"> and 90</w:t>
      </w:r>
      <w:r w:rsidRPr="00E639BA">
        <w:rPr>
          <w:rFonts w:ascii="Times New Roman" w:hAnsi="Times New Roman"/>
          <w:sz w:val="24"/>
          <w:szCs w:val="24"/>
          <w:vertAlign w:val="superscript"/>
        </w:rPr>
        <w:t>th</w:t>
      </w:r>
      <w:r w:rsidRPr="00E639BA">
        <w:rPr>
          <w:rFonts w:ascii="Times New Roman" w:hAnsi="Times New Roman"/>
          <w:sz w:val="24"/>
          <w:szCs w:val="24"/>
        </w:rPr>
        <w:t xml:space="preserve"> percentiles, and 19% at the 75</w:t>
      </w:r>
      <w:r w:rsidRPr="00E639BA">
        <w:rPr>
          <w:rFonts w:ascii="Times New Roman" w:hAnsi="Times New Roman"/>
          <w:sz w:val="24"/>
          <w:szCs w:val="24"/>
          <w:vertAlign w:val="superscript"/>
        </w:rPr>
        <w:t>th</w:t>
      </w:r>
      <w:r w:rsidRPr="00E639BA">
        <w:rPr>
          <w:rFonts w:ascii="Times New Roman" w:hAnsi="Times New Roman"/>
          <w:sz w:val="24"/>
          <w:szCs w:val="24"/>
        </w:rPr>
        <w:t xml:space="preserve"> percentile. </w:t>
      </w:r>
    </w:p>
    <w:p w:rsidR="00AC78CE" w:rsidRDefault="00AC78CE" w:rsidP="00AC78CE">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lastRenderedPageBreak/>
        <w:t>The relative importance of differences in fields of study reaches its highest value at the 50</w:t>
      </w:r>
      <w:r w:rsidRPr="00E639BA">
        <w:rPr>
          <w:rFonts w:ascii="Times New Roman" w:hAnsi="Times New Roman"/>
          <w:sz w:val="24"/>
          <w:szCs w:val="24"/>
          <w:vertAlign w:val="superscript"/>
        </w:rPr>
        <w:t>th</w:t>
      </w:r>
      <w:r>
        <w:rPr>
          <w:rFonts w:ascii="Times New Roman" w:hAnsi="Times New Roman"/>
          <w:sz w:val="24"/>
          <w:szCs w:val="24"/>
        </w:rPr>
        <w:t xml:space="preserve"> percentile, corresponding to 33</w:t>
      </w:r>
      <w:r w:rsidRPr="00E639BA">
        <w:rPr>
          <w:rFonts w:ascii="Times New Roman" w:hAnsi="Times New Roman"/>
          <w:sz w:val="24"/>
          <w:szCs w:val="24"/>
        </w:rPr>
        <w:t xml:space="preserve">% of the total difference. Therefore, decompositions using RIF-regressions also suggest that the share of the earnings differential by race attributed to disparities in the distributions of whites and blacks across fields of study is larger for 2010 compared to 2000. At the top half of the earnings distribution in 2010, it can be noticed that almost </w:t>
      </w:r>
      <w:proofErr w:type="gramStart"/>
      <w:r>
        <w:rPr>
          <w:rFonts w:ascii="Times New Roman" w:hAnsi="Times New Roman"/>
          <w:sz w:val="24"/>
          <w:szCs w:val="24"/>
        </w:rPr>
        <w:t>all of the</w:t>
      </w:r>
      <w:proofErr w:type="gramEnd"/>
      <w:r>
        <w:rPr>
          <w:rFonts w:ascii="Times New Roman" w:hAnsi="Times New Roman"/>
          <w:sz w:val="24"/>
          <w:szCs w:val="24"/>
        </w:rPr>
        <w:t xml:space="preserve"> </w:t>
      </w:r>
      <w:r w:rsidRPr="00E639BA">
        <w:rPr>
          <w:rFonts w:ascii="Times New Roman" w:hAnsi="Times New Roman"/>
          <w:sz w:val="24"/>
          <w:szCs w:val="24"/>
        </w:rPr>
        <w:t>racial earnings gap due to characteristic effects is represented by differences in field of study composition. In 2000, the contribution of this term at the 75</w:t>
      </w:r>
      <w:r w:rsidRPr="00E639BA">
        <w:rPr>
          <w:rFonts w:ascii="Times New Roman" w:hAnsi="Times New Roman"/>
          <w:sz w:val="24"/>
          <w:szCs w:val="24"/>
          <w:vertAlign w:val="superscript"/>
        </w:rPr>
        <w:t>th</w:t>
      </w:r>
      <w:r w:rsidRPr="00E639BA">
        <w:rPr>
          <w:rFonts w:ascii="Times New Roman" w:hAnsi="Times New Roman"/>
          <w:sz w:val="24"/>
          <w:szCs w:val="24"/>
        </w:rPr>
        <w:t xml:space="preserve"> and 90</w:t>
      </w:r>
      <w:r w:rsidRPr="00E639BA">
        <w:rPr>
          <w:rFonts w:ascii="Times New Roman" w:hAnsi="Times New Roman"/>
          <w:sz w:val="24"/>
          <w:szCs w:val="24"/>
          <w:vertAlign w:val="superscript"/>
        </w:rPr>
        <w:t>th</w:t>
      </w:r>
      <w:r w:rsidRPr="00E639BA">
        <w:rPr>
          <w:rFonts w:ascii="Times New Roman" w:hAnsi="Times New Roman"/>
          <w:sz w:val="24"/>
          <w:szCs w:val="24"/>
        </w:rPr>
        <w:t xml:space="preserve"> percentiles corresponded to half of the estimated characteristic effects. </w:t>
      </w:r>
    </w:p>
    <w:p w:rsidR="0095537C" w:rsidRPr="00E639BA" w:rsidRDefault="0095537C" w:rsidP="00C17C6A">
      <w:pPr>
        <w:spacing w:line="240" w:lineRule="auto"/>
        <w:ind w:firstLine="708"/>
        <w:contextualSpacing/>
        <w:jc w:val="both"/>
        <w:rPr>
          <w:rFonts w:ascii="Times New Roman" w:hAnsi="Times New Roman"/>
          <w:sz w:val="24"/>
          <w:szCs w:val="24"/>
        </w:rPr>
      </w:pPr>
      <w:r w:rsidRPr="00E639BA">
        <w:rPr>
          <w:rFonts w:ascii="Times New Roman" w:hAnsi="Times New Roman"/>
          <w:sz w:val="24"/>
          <w:szCs w:val="24"/>
        </w:rPr>
        <w:t xml:space="preserve">Also according to Table </w:t>
      </w:r>
      <w:r w:rsidR="006F3BFD">
        <w:rPr>
          <w:rFonts w:ascii="Times New Roman" w:hAnsi="Times New Roman"/>
          <w:sz w:val="24"/>
          <w:szCs w:val="24"/>
        </w:rPr>
        <w:t>6</w:t>
      </w:r>
      <w:r w:rsidRPr="00E639BA">
        <w:rPr>
          <w:rFonts w:ascii="Times New Roman" w:hAnsi="Times New Roman"/>
          <w:sz w:val="24"/>
          <w:szCs w:val="24"/>
        </w:rPr>
        <w:t>, regional composition by race represents an important share of the earnings gap at the bottom of the distribution, whereas differences regarding</w:t>
      </w:r>
      <w:r w:rsidR="00251075" w:rsidRPr="00E639BA">
        <w:rPr>
          <w:rFonts w:ascii="Times New Roman" w:hAnsi="Times New Roman"/>
          <w:sz w:val="24"/>
          <w:szCs w:val="24"/>
        </w:rPr>
        <w:t xml:space="preserve"> age and</w:t>
      </w:r>
      <w:r w:rsidRPr="00E639BA">
        <w:rPr>
          <w:rFonts w:ascii="Times New Roman" w:hAnsi="Times New Roman"/>
          <w:sz w:val="24"/>
          <w:szCs w:val="24"/>
        </w:rPr>
        <w:t xml:space="preserve"> the attainment of a </w:t>
      </w:r>
      <w:r w:rsidR="001A6289" w:rsidRPr="00E639BA">
        <w:rPr>
          <w:rFonts w:ascii="Times New Roman" w:hAnsi="Times New Roman"/>
          <w:sz w:val="24"/>
          <w:szCs w:val="24"/>
        </w:rPr>
        <w:t>m</w:t>
      </w:r>
      <w:r w:rsidRPr="00E639BA">
        <w:rPr>
          <w:rFonts w:ascii="Times New Roman" w:hAnsi="Times New Roman"/>
          <w:sz w:val="24"/>
          <w:szCs w:val="24"/>
        </w:rPr>
        <w:t>aster</w:t>
      </w:r>
      <w:r w:rsidR="001A6289" w:rsidRPr="00E639BA">
        <w:rPr>
          <w:rFonts w:ascii="Times New Roman" w:hAnsi="Times New Roman"/>
          <w:sz w:val="24"/>
          <w:szCs w:val="24"/>
        </w:rPr>
        <w:t>’s</w:t>
      </w:r>
      <w:r w:rsidRPr="00E639BA">
        <w:rPr>
          <w:rFonts w:ascii="Times New Roman" w:hAnsi="Times New Roman"/>
          <w:sz w:val="24"/>
          <w:szCs w:val="24"/>
        </w:rPr>
        <w:t xml:space="preserve"> or </w:t>
      </w:r>
      <w:r w:rsidR="001A6289" w:rsidRPr="00E639BA">
        <w:rPr>
          <w:rFonts w:ascii="Times New Roman" w:hAnsi="Times New Roman"/>
          <w:sz w:val="24"/>
          <w:szCs w:val="24"/>
        </w:rPr>
        <w:t>d</w:t>
      </w:r>
      <w:r w:rsidRPr="00E639BA">
        <w:rPr>
          <w:rFonts w:ascii="Times New Roman" w:hAnsi="Times New Roman"/>
          <w:sz w:val="24"/>
          <w:szCs w:val="24"/>
        </w:rPr>
        <w:t>octoral degree are more important at the top of the distribution than at lower percentiles.</w:t>
      </w:r>
    </w:p>
    <w:p w:rsidR="005E4E55" w:rsidRPr="00E639BA" w:rsidRDefault="005E4E55" w:rsidP="00C17C6A">
      <w:pPr>
        <w:spacing w:line="240" w:lineRule="auto"/>
        <w:contextualSpacing/>
        <w:rPr>
          <w:rFonts w:ascii="Times New Roman" w:eastAsia="Times New Roman" w:hAnsi="Times New Roman"/>
          <w:b/>
          <w:sz w:val="24"/>
          <w:szCs w:val="24"/>
          <w:lang w:eastAsia="pt-BR"/>
        </w:rPr>
      </w:pPr>
    </w:p>
    <w:p w:rsidR="002B1564" w:rsidRPr="00E639BA" w:rsidRDefault="002B1564" w:rsidP="00C17C6A">
      <w:pPr>
        <w:spacing w:line="240" w:lineRule="auto"/>
        <w:contextualSpacing/>
        <w:rPr>
          <w:rFonts w:ascii="Times New Roman" w:eastAsia="Times New Roman" w:hAnsi="Times New Roman"/>
          <w:b/>
          <w:sz w:val="24"/>
          <w:szCs w:val="24"/>
          <w:lang w:eastAsia="pt-BR"/>
        </w:rPr>
      </w:pPr>
      <w:r w:rsidRPr="00E639BA">
        <w:rPr>
          <w:rFonts w:ascii="Times New Roman" w:eastAsia="Times New Roman" w:hAnsi="Times New Roman"/>
          <w:b/>
          <w:sz w:val="24"/>
          <w:szCs w:val="24"/>
          <w:lang w:eastAsia="pt-BR"/>
        </w:rPr>
        <w:t>6 - Conclusions</w:t>
      </w:r>
    </w:p>
    <w:p w:rsidR="002B1564" w:rsidRPr="00E639BA" w:rsidRDefault="002B1564" w:rsidP="00C17C6A">
      <w:pPr>
        <w:spacing w:line="240" w:lineRule="auto"/>
        <w:contextualSpacing/>
        <w:rPr>
          <w:rFonts w:ascii="Times New Roman" w:eastAsia="Times New Roman" w:hAnsi="Times New Roman"/>
          <w:sz w:val="24"/>
          <w:szCs w:val="24"/>
          <w:lang w:eastAsia="pt-BR"/>
        </w:rPr>
      </w:pPr>
    </w:p>
    <w:p w:rsidR="00890E64" w:rsidRPr="00E639BA" w:rsidRDefault="00E45C8B"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The labor </w:t>
      </w:r>
      <w:r w:rsidR="002B1564" w:rsidRPr="00E639BA">
        <w:rPr>
          <w:rFonts w:ascii="Times New Roman" w:eastAsia="Times New Roman" w:hAnsi="Times New Roman"/>
          <w:sz w:val="24"/>
          <w:szCs w:val="24"/>
          <w:lang w:eastAsia="pt-BR"/>
        </w:rPr>
        <w:t xml:space="preserve">earnings </w:t>
      </w:r>
      <w:r w:rsidRPr="00E639BA">
        <w:rPr>
          <w:rFonts w:ascii="Times New Roman" w:eastAsia="Times New Roman" w:hAnsi="Times New Roman"/>
          <w:sz w:val="24"/>
          <w:szCs w:val="24"/>
          <w:lang w:eastAsia="pt-BR"/>
        </w:rPr>
        <w:t>differential between w</w:t>
      </w:r>
      <w:r w:rsidR="00A5779F" w:rsidRPr="00E639BA">
        <w:rPr>
          <w:rFonts w:ascii="Times New Roman" w:eastAsia="Times New Roman" w:hAnsi="Times New Roman"/>
          <w:sz w:val="24"/>
          <w:szCs w:val="24"/>
          <w:lang w:eastAsia="pt-BR"/>
        </w:rPr>
        <w:t>hite and black workers is very high</w:t>
      </w:r>
      <w:r w:rsidRPr="00E639BA">
        <w:rPr>
          <w:rFonts w:ascii="Times New Roman" w:eastAsia="Times New Roman" w:hAnsi="Times New Roman"/>
          <w:sz w:val="24"/>
          <w:szCs w:val="24"/>
          <w:lang w:eastAsia="pt-BR"/>
        </w:rPr>
        <w:t xml:space="preserve"> </w:t>
      </w:r>
      <w:r w:rsidR="00890E64" w:rsidRPr="00E639BA">
        <w:rPr>
          <w:rFonts w:ascii="Times New Roman" w:eastAsia="Times New Roman" w:hAnsi="Times New Roman"/>
          <w:sz w:val="24"/>
          <w:szCs w:val="24"/>
          <w:lang w:eastAsia="pt-BR"/>
        </w:rPr>
        <w:t xml:space="preserve">in Brazil, </w:t>
      </w:r>
      <w:r w:rsidRPr="00E639BA">
        <w:rPr>
          <w:rFonts w:ascii="Times New Roman" w:eastAsia="Times New Roman" w:hAnsi="Times New Roman"/>
          <w:sz w:val="24"/>
          <w:szCs w:val="24"/>
          <w:lang w:eastAsia="pt-BR"/>
        </w:rPr>
        <w:t xml:space="preserve">even </w:t>
      </w:r>
      <w:r w:rsidR="00890E64" w:rsidRPr="00E639BA">
        <w:rPr>
          <w:rFonts w:ascii="Times New Roman" w:eastAsia="Times New Roman" w:hAnsi="Times New Roman"/>
          <w:sz w:val="24"/>
          <w:szCs w:val="24"/>
          <w:lang w:eastAsia="pt-BR"/>
        </w:rPr>
        <w:t xml:space="preserve">restricting the comparison to </w:t>
      </w:r>
      <w:r w:rsidRPr="00E639BA">
        <w:rPr>
          <w:rFonts w:ascii="Times New Roman" w:eastAsia="Times New Roman" w:hAnsi="Times New Roman"/>
          <w:sz w:val="24"/>
          <w:szCs w:val="24"/>
          <w:lang w:eastAsia="pt-BR"/>
        </w:rPr>
        <w:t xml:space="preserve">individuals </w:t>
      </w:r>
      <w:r w:rsidR="00890E64" w:rsidRPr="00E639BA">
        <w:rPr>
          <w:rFonts w:ascii="Times New Roman" w:eastAsia="Times New Roman" w:hAnsi="Times New Roman"/>
          <w:sz w:val="24"/>
          <w:szCs w:val="24"/>
          <w:lang w:eastAsia="pt-BR"/>
        </w:rPr>
        <w:t xml:space="preserve">who completed at least a </w:t>
      </w:r>
      <w:r w:rsidR="00E25886" w:rsidRPr="00E639BA">
        <w:rPr>
          <w:rFonts w:ascii="Times New Roman" w:eastAsia="Times New Roman" w:hAnsi="Times New Roman"/>
          <w:sz w:val="24"/>
          <w:szCs w:val="24"/>
          <w:lang w:eastAsia="pt-BR"/>
        </w:rPr>
        <w:t>bachelor</w:t>
      </w:r>
      <w:r w:rsidR="001A6289" w:rsidRPr="00E639BA">
        <w:rPr>
          <w:rFonts w:ascii="Times New Roman" w:eastAsia="Times New Roman" w:hAnsi="Times New Roman"/>
          <w:sz w:val="24"/>
          <w:szCs w:val="24"/>
          <w:lang w:eastAsia="pt-BR"/>
        </w:rPr>
        <w:t>’s</w:t>
      </w:r>
      <w:r w:rsidR="00E25886" w:rsidRPr="00E639BA">
        <w:rPr>
          <w:rFonts w:ascii="Times New Roman" w:eastAsia="Times New Roman" w:hAnsi="Times New Roman"/>
          <w:sz w:val="24"/>
          <w:szCs w:val="24"/>
          <w:lang w:eastAsia="pt-BR"/>
        </w:rPr>
        <w:t xml:space="preserve"> </w:t>
      </w:r>
      <w:r w:rsidR="00890E64" w:rsidRPr="00E639BA">
        <w:rPr>
          <w:rFonts w:ascii="Times New Roman" w:eastAsia="Times New Roman" w:hAnsi="Times New Roman"/>
          <w:sz w:val="24"/>
          <w:szCs w:val="24"/>
          <w:lang w:eastAsia="pt-BR"/>
        </w:rPr>
        <w:t>degree</w:t>
      </w:r>
      <w:r w:rsidR="002B1564" w:rsidRPr="00E639BA">
        <w:rPr>
          <w:rFonts w:ascii="Times New Roman" w:eastAsia="Times New Roman" w:hAnsi="Times New Roman"/>
          <w:sz w:val="24"/>
          <w:szCs w:val="24"/>
          <w:lang w:eastAsia="pt-BR"/>
        </w:rPr>
        <w:t>.</w:t>
      </w:r>
      <w:r w:rsidR="009B112B" w:rsidRPr="00E639BA">
        <w:rPr>
          <w:rFonts w:ascii="Times New Roman" w:eastAsia="Times New Roman" w:hAnsi="Times New Roman"/>
          <w:sz w:val="24"/>
          <w:szCs w:val="24"/>
          <w:lang w:eastAsia="pt-BR"/>
        </w:rPr>
        <w:t xml:space="preserve"> </w:t>
      </w:r>
      <w:r w:rsidR="001417AC" w:rsidRPr="00E639BA">
        <w:rPr>
          <w:rFonts w:ascii="Times New Roman" w:eastAsia="Times New Roman" w:hAnsi="Times New Roman"/>
          <w:sz w:val="24"/>
          <w:szCs w:val="24"/>
          <w:lang w:eastAsia="pt-BR"/>
        </w:rPr>
        <w:t xml:space="preserve">This paper analyzes </w:t>
      </w:r>
      <w:r w:rsidR="007A6AF7" w:rsidRPr="00E639BA">
        <w:rPr>
          <w:rFonts w:ascii="Times New Roman" w:eastAsia="Times New Roman" w:hAnsi="Times New Roman"/>
          <w:sz w:val="24"/>
          <w:szCs w:val="24"/>
          <w:lang w:eastAsia="pt-BR"/>
        </w:rPr>
        <w:t xml:space="preserve">whether </w:t>
      </w:r>
      <w:r w:rsidR="00335AF2" w:rsidRPr="00E639BA">
        <w:rPr>
          <w:rFonts w:ascii="Times New Roman" w:eastAsia="Times New Roman" w:hAnsi="Times New Roman"/>
          <w:sz w:val="24"/>
          <w:szCs w:val="24"/>
          <w:lang w:eastAsia="pt-BR"/>
        </w:rPr>
        <w:t xml:space="preserve">racial </w:t>
      </w:r>
      <w:r w:rsidR="003B5020" w:rsidRPr="00E639BA">
        <w:rPr>
          <w:rFonts w:ascii="Times New Roman" w:eastAsia="Times New Roman" w:hAnsi="Times New Roman"/>
          <w:sz w:val="24"/>
          <w:szCs w:val="24"/>
          <w:lang w:eastAsia="pt-BR"/>
        </w:rPr>
        <w:t xml:space="preserve">differences in the distribution </w:t>
      </w:r>
      <w:r w:rsidR="007A6AF7" w:rsidRPr="00E639BA">
        <w:rPr>
          <w:rFonts w:ascii="Times New Roman" w:eastAsia="Times New Roman" w:hAnsi="Times New Roman"/>
          <w:sz w:val="24"/>
          <w:szCs w:val="24"/>
          <w:lang w:eastAsia="pt-BR"/>
        </w:rPr>
        <w:t xml:space="preserve">of workers </w:t>
      </w:r>
      <w:r w:rsidR="003B5020" w:rsidRPr="00E639BA">
        <w:rPr>
          <w:rFonts w:ascii="Times New Roman" w:eastAsia="Times New Roman" w:hAnsi="Times New Roman"/>
          <w:sz w:val="24"/>
          <w:szCs w:val="24"/>
          <w:lang w:eastAsia="pt-BR"/>
        </w:rPr>
        <w:t xml:space="preserve">across fields of study </w:t>
      </w:r>
      <w:r w:rsidR="007A6AF7" w:rsidRPr="00E639BA">
        <w:rPr>
          <w:rFonts w:ascii="Times New Roman" w:eastAsia="Times New Roman" w:hAnsi="Times New Roman"/>
          <w:sz w:val="24"/>
          <w:szCs w:val="24"/>
          <w:lang w:eastAsia="pt-BR"/>
        </w:rPr>
        <w:t xml:space="preserve">contribute to </w:t>
      </w:r>
      <w:r w:rsidR="001417AC" w:rsidRPr="00E639BA">
        <w:rPr>
          <w:rFonts w:ascii="Times New Roman" w:eastAsia="Times New Roman" w:hAnsi="Times New Roman"/>
          <w:sz w:val="24"/>
          <w:szCs w:val="24"/>
          <w:lang w:eastAsia="pt-BR"/>
        </w:rPr>
        <w:t>this earnings</w:t>
      </w:r>
      <w:r w:rsidR="00E93002" w:rsidRPr="00E639BA">
        <w:rPr>
          <w:rFonts w:ascii="Times New Roman" w:eastAsia="Times New Roman" w:hAnsi="Times New Roman"/>
          <w:sz w:val="24"/>
          <w:szCs w:val="24"/>
          <w:lang w:eastAsia="pt-BR"/>
        </w:rPr>
        <w:t xml:space="preserve"> gap, </w:t>
      </w:r>
      <w:r w:rsidR="00C918F2" w:rsidRPr="00E639BA">
        <w:rPr>
          <w:rFonts w:ascii="Times New Roman" w:eastAsia="Times New Roman" w:hAnsi="Times New Roman"/>
          <w:sz w:val="24"/>
          <w:szCs w:val="24"/>
          <w:lang w:eastAsia="pt-BR"/>
        </w:rPr>
        <w:t xml:space="preserve">using </w:t>
      </w:r>
      <w:r w:rsidR="00A92A53" w:rsidRPr="00E639BA">
        <w:rPr>
          <w:rFonts w:ascii="Times New Roman" w:eastAsia="Times New Roman" w:hAnsi="Times New Roman"/>
          <w:sz w:val="24"/>
          <w:szCs w:val="24"/>
          <w:lang w:eastAsia="pt-BR"/>
        </w:rPr>
        <w:t xml:space="preserve">Brazilian </w:t>
      </w:r>
      <w:r w:rsidR="00C918F2" w:rsidRPr="00E639BA">
        <w:rPr>
          <w:rFonts w:ascii="Times New Roman" w:eastAsia="Times New Roman" w:hAnsi="Times New Roman"/>
          <w:sz w:val="24"/>
          <w:szCs w:val="24"/>
          <w:lang w:eastAsia="pt-BR"/>
        </w:rPr>
        <w:t>Census data from 2000 and 2010.</w:t>
      </w:r>
      <w:r w:rsidR="00E93002" w:rsidRPr="00E639BA">
        <w:rPr>
          <w:rFonts w:ascii="Times New Roman" w:eastAsia="Times New Roman" w:hAnsi="Times New Roman"/>
          <w:sz w:val="24"/>
          <w:szCs w:val="24"/>
          <w:lang w:eastAsia="pt-BR"/>
        </w:rPr>
        <w:t xml:space="preserve"> </w:t>
      </w:r>
    </w:p>
    <w:p w:rsidR="00AA199D" w:rsidRPr="00E639BA" w:rsidRDefault="007D7260" w:rsidP="00C17C6A">
      <w:pPr>
        <w:autoSpaceDE w:val="0"/>
        <w:autoSpaceDN w:val="0"/>
        <w:adjustRightInd w:val="0"/>
        <w:spacing w:line="240" w:lineRule="auto"/>
        <w:ind w:firstLine="709"/>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E</w:t>
      </w:r>
      <w:r w:rsidR="009A1236" w:rsidRPr="00E639BA">
        <w:rPr>
          <w:rFonts w:ascii="Times New Roman" w:eastAsia="Times New Roman" w:hAnsi="Times New Roman"/>
          <w:sz w:val="24"/>
          <w:szCs w:val="24"/>
          <w:lang w:eastAsia="pt-BR"/>
        </w:rPr>
        <w:t>stimates</w:t>
      </w:r>
      <w:r w:rsidR="000B0A34" w:rsidRPr="00E639BA">
        <w:rPr>
          <w:rFonts w:ascii="Times New Roman" w:eastAsia="Times New Roman" w:hAnsi="Times New Roman"/>
          <w:sz w:val="24"/>
          <w:szCs w:val="24"/>
          <w:lang w:eastAsia="pt-BR"/>
        </w:rPr>
        <w:t xml:space="preserve"> indicate that </w:t>
      </w:r>
      <w:r w:rsidR="00FA3F03" w:rsidRPr="00E639BA">
        <w:rPr>
          <w:rFonts w:ascii="Times New Roman" w:eastAsia="Times New Roman" w:hAnsi="Times New Roman"/>
          <w:sz w:val="24"/>
          <w:szCs w:val="24"/>
          <w:lang w:eastAsia="pt-BR"/>
        </w:rPr>
        <w:t xml:space="preserve">14% of the </w:t>
      </w:r>
      <w:r w:rsidR="00DB5C41" w:rsidRPr="00E639BA">
        <w:rPr>
          <w:rFonts w:ascii="Times New Roman" w:eastAsia="Times New Roman" w:hAnsi="Times New Roman"/>
          <w:sz w:val="24"/>
          <w:szCs w:val="24"/>
          <w:lang w:eastAsia="pt-BR"/>
        </w:rPr>
        <w:t xml:space="preserve">difference in mean earnings </w:t>
      </w:r>
      <w:r w:rsidR="004D65C7" w:rsidRPr="00E639BA">
        <w:rPr>
          <w:rFonts w:ascii="Times New Roman" w:eastAsia="Times New Roman" w:hAnsi="Times New Roman"/>
          <w:sz w:val="24"/>
          <w:szCs w:val="24"/>
          <w:lang w:eastAsia="pt-BR"/>
        </w:rPr>
        <w:t xml:space="preserve">by race </w:t>
      </w:r>
      <w:r w:rsidR="00DB5C41" w:rsidRPr="00E639BA">
        <w:rPr>
          <w:rFonts w:ascii="Times New Roman" w:eastAsia="Times New Roman" w:hAnsi="Times New Roman"/>
          <w:sz w:val="24"/>
          <w:szCs w:val="24"/>
          <w:lang w:eastAsia="pt-BR"/>
        </w:rPr>
        <w:t xml:space="preserve">in 2000 seems to be due to the </w:t>
      </w:r>
      <w:r w:rsidR="00AA199D" w:rsidRPr="00E639BA">
        <w:rPr>
          <w:rFonts w:ascii="Times New Roman" w:eastAsia="Times New Roman" w:hAnsi="Times New Roman"/>
          <w:sz w:val="24"/>
          <w:szCs w:val="24"/>
          <w:lang w:eastAsia="pt-BR"/>
        </w:rPr>
        <w:t xml:space="preserve">fact that black individuals </w:t>
      </w:r>
      <w:r w:rsidR="004D65C7" w:rsidRPr="00E639BA">
        <w:rPr>
          <w:rFonts w:ascii="Times New Roman" w:eastAsia="Times New Roman" w:hAnsi="Times New Roman"/>
          <w:sz w:val="24"/>
          <w:szCs w:val="24"/>
          <w:lang w:eastAsia="pt-BR"/>
        </w:rPr>
        <w:t>were much more concentrated in</w:t>
      </w:r>
      <w:r w:rsidR="00AA199D" w:rsidRPr="00E639BA">
        <w:rPr>
          <w:rFonts w:ascii="Times New Roman" w:eastAsia="Times New Roman" w:hAnsi="Times New Roman"/>
          <w:sz w:val="24"/>
          <w:szCs w:val="24"/>
          <w:lang w:eastAsia="pt-BR"/>
        </w:rPr>
        <w:t xml:space="preserve"> fields of study with lower mean earnings. </w:t>
      </w:r>
      <w:r w:rsidR="005A18E5" w:rsidRPr="00E639BA">
        <w:rPr>
          <w:rFonts w:ascii="Times New Roman" w:eastAsia="Times New Roman" w:hAnsi="Times New Roman"/>
          <w:sz w:val="24"/>
          <w:szCs w:val="24"/>
          <w:lang w:eastAsia="pt-BR"/>
        </w:rPr>
        <w:t xml:space="preserve">Between 2000 and 2010, </w:t>
      </w:r>
      <w:r w:rsidR="00A83B79" w:rsidRPr="00E639BA">
        <w:rPr>
          <w:rFonts w:ascii="Times New Roman" w:eastAsia="Times New Roman" w:hAnsi="Times New Roman"/>
          <w:sz w:val="24"/>
          <w:szCs w:val="24"/>
          <w:lang w:eastAsia="pt-BR"/>
        </w:rPr>
        <w:t xml:space="preserve">the percentage of </w:t>
      </w:r>
      <w:r w:rsidR="004D65C7" w:rsidRPr="00E639BA">
        <w:rPr>
          <w:rFonts w:ascii="Times New Roman" w:eastAsia="Times New Roman" w:hAnsi="Times New Roman"/>
          <w:sz w:val="24"/>
          <w:szCs w:val="24"/>
          <w:lang w:eastAsia="pt-BR"/>
        </w:rPr>
        <w:t xml:space="preserve">black </w:t>
      </w:r>
      <w:r w:rsidR="00A83B79" w:rsidRPr="00E639BA">
        <w:rPr>
          <w:rFonts w:ascii="Times New Roman" w:eastAsia="Times New Roman" w:hAnsi="Times New Roman"/>
          <w:sz w:val="24"/>
          <w:szCs w:val="24"/>
          <w:lang w:eastAsia="pt-BR"/>
        </w:rPr>
        <w:t>workers who completed at least a bachelor</w:t>
      </w:r>
      <w:r w:rsidR="001A6289" w:rsidRPr="00E639BA">
        <w:rPr>
          <w:rFonts w:ascii="Times New Roman" w:eastAsia="Times New Roman" w:hAnsi="Times New Roman"/>
          <w:sz w:val="24"/>
          <w:szCs w:val="24"/>
          <w:lang w:eastAsia="pt-BR"/>
        </w:rPr>
        <w:t>’s</w:t>
      </w:r>
      <w:r w:rsidR="00A83B79" w:rsidRPr="00E639BA">
        <w:rPr>
          <w:rFonts w:ascii="Times New Roman" w:eastAsia="Times New Roman" w:hAnsi="Times New Roman"/>
          <w:sz w:val="24"/>
          <w:szCs w:val="24"/>
          <w:lang w:eastAsia="pt-BR"/>
        </w:rPr>
        <w:t xml:space="preserve"> degree increased from 3.</w:t>
      </w:r>
      <w:r w:rsidR="006F3BFD">
        <w:rPr>
          <w:rFonts w:ascii="Times New Roman" w:eastAsia="Times New Roman" w:hAnsi="Times New Roman"/>
          <w:sz w:val="24"/>
          <w:szCs w:val="24"/>
          <w:lang w:eastAsia="pt-BR"/>
        </w:rPr>
        <w:t>7</w:t>
      </w:r>
      <w:r w:rsidR="00A83B79" w:rsidRPr="00E639BA">
        <w:rPr>
          <w:rFonts w:ascii="Times New Roman" w:eastAsia="Times New Roman" w:hAnsi="Times New Roman"/>
          <w:sz w:val="24"/>
          <w:szCs w:val="24"/>
          <w:lang w:eastAsia="pt-BR"/>
        </w:rPr>
        <w:t>% to 8</w:t>
      </w:r>
      <w:r w:rsidR="006F3BFD">
        <w:rPr>
          <w:rFonts w:ascii="Times New Roman" w:eastAsia="Times New Roman" w:hAnsi="Times New Roman"/>
          <w:sz w:val="24"/>
          <w:szCs w:val="24"/>
          <w:lang w:eastAsia="pt-BR"/>
        </w:rPr>
        <w:t>.5</w:t>
      </w:r>
      <w:r w:rsidR="00A83B79" w:rsidRPr="00E639BA">
        <w:rPr>
          <w:rFonts w:ascii="Times New Roman" w:eastAsia="Times New Roman" w:hAnsi="Times New Roman"/>
          <w:sz w:val="24"/>
          <w:szCs w:val="24"/>
          <w:lang w:eastAsia="pt-BR"/>
        </w:rPr>
        <w:t>%, which is still much lower compared to white</w:t>
      </w:r>
      <w:r w:rsidR="004D65C7" w:rsidRPr="00E639BA">
        <w:rPr>
          <w:rFonts w:ascii="Times New Roman" w:eastAsia="Times New Roman" w:hAnsi="Times New Roman"/>
          <w:sz w:val="24"/>
          <w:szCs w:val="24"/>
          <w:lang w:eastAsia="pt-BR"/>
        </w:rPr>
        <w:t>s</w:t>
      </w:r>
      <w:r w:rsidR="00A83B79" w:rsidRPr="00E639BA">
        <w:rPr>
          <w:rFonts w:ascii="Times New Roman" w:eastAsia="Times New Roman" w:hAnsi="Times New Roman"/>
          <w:sz w:val="24"/>
          <w:szCs w:val="24"/>
          <w:lang w:eastAsia="pt-BR"/>
        </w:rPr>
        <w:t xml:space="preserve"> w</w:t>
      </w:r>
      <w:r w:rsidR="004D65C7" w:rsidRPr="00E639BA">
        <w:rPr>
          <w:rFonts w:ascii="Times New Roman" w:eastAsia="Times New Roman" w:hAnsi="Times New Roman"/>
          <w:sz w:val="24"/>
          <w:szCs w:val="24"/>
          <w:lang w:eastAsia="pt-BR"/>
        </w:rPr>
        <w:t>ith this same educational level</w:t>
      </w:r>
      <w:r w:rsidR="00A83B79" w:rsidRPr="00E639BA">
        <w:rPr>
          <w:rFonts w:ascii="Times New Roman" w:eastAsia="Times New Roman" w:hAnsi="Times New Roman"/>
          <w:sz w:val="24"/>
          <w:szCs w:val="24"/>
          <w:lang w:eastAsia="pt-BR"/>
        </w:rPr>
        <w:t xml:space="preserve"> </w:t>
      </w:r>
      <w:r w:rsidR="001A6289" w:rsidRPr="00E639BA">
        <w:rPr>
          <w:rFonts w:ascii="Times New Roman" w:eastAsia="Times New Roman" w:hAnsi="Times New Roman"/>
          <w:sz w:val="24"/>
          <w:szCs w:val="24"/>
          <w:lang w:eastAsia="pt-BR"/>
        </w:rPr>
        <w:t>(</w:t>
      </w:r>
      <w:r w:rsidR="00A83B79" w:rsidRPr="00E639BA">
        <w:rPr>
          <w:rFonts w:ascii="Times New Roman" w:eastAsia="Times New Roman" w:hAnsi="Times New Roman"/>
          <w:sz w:val="24"/>
          <w:szCs w:val="24"/>
          <w:lang w:eastAsia="pt-BR"/>
        </w:rPr>
        <w:t>22</w:t>
      </w:r>
      <w:r w:rsidR="006F3BFD">
        <w:rPr>
          <w:rFonts w:ascii="Times New Roman" w:eastAsia="Times New Roman" w:hAnsi="Times New Roman"/>
          <w:sz w:val="24"/>
          <w:szCs w:val="24"/>
          <w:lang w:eastAsia="pt-BR"/>
        </w:rPr>
        <w:t>.2</w:t>
      </w:r>
      <w:r w:rsidR="00A83B79" w:rsidRPr="00E639BA">
        <w:rPr>
          <w:rFonts w:ascii="Times New Roman" w:eastAsia="Times New Roman" w:hAnsi="Times New Roman"/>
          <w:sz w:val="24"/>
          <w:szCs w:val="24"/>
          <w:lang w:eastAsia="pt-BR"/>
        </w:rPr>
        <w:t>%</w:t>
      </w:r>
      <w:r w:rsidR="001A6289" w:rsidRPr="00E639BA">
        <w:rPr>
          <w:rFonts w:ascii="Times New Roman" w:eastAsia="Times New Roman" w:hAnsi="Times New Roman"/>
          <w:sz w:val="24"/>
          <w:szCs w:val="24"/>
          <w:lang w:eastAsia="pt-BR"/>
        </w:rPr>
        <w:t>)</w:t>
      </w:r>
      <w:r w:rsidR="00A83B79" w:rsidRPr="00E639BA">
        <w:rPr>
          <w:rFonts w:ascii="Times New Roman" w:eastAsia="Times New Roman" w:hAnsi="Times New Roman"/>
          <w:sz w:val="24"/>
          <w:szCs w:val="24"/>
          <w:lang w:eastAsia="pt-BR"/>
        </w:rPr>
        <w:t xml:space="preserve">. In addition, </w:t>
      </w:r>
      <w:r w:rsidR="004D65C7" w:rsidRPr="00E639BA">
        <w:rPr>
          <w:rFonts w:ascii="Times New Roman" w:eastAsia="Times New Roman" w:hAnsi="Times New Roman"/>
          <w:sz w:val="24"/>
          <w:szCs w:val="24"/>
          <w:lang w:eastAsia="pt-BR"/>
        </w:rPr>
        <w:t xml:space="preserve">10 years later, </w:t>
      </w:r>
      <w:r w:rsidR="0000171B" w:rsidRPr="00E639BA">
        <w:rPr>
          <w:rFonts w:ascii="Times New Roman" w:eastAsia="Times New Roman" w:hAnsi="Times New Roman"/>
          <w:sz w:val="24"/>
          <w:szCs w:val="24"/>
          <w:lang w:eastAsia="pt-BR"/>
        </w:rPr>
        <w:t>black indivi</w:t>
      </w:r>
      <w:r w:rsidR="004D65C7" w:rsidRPr="00E639BA">
        <w:rPr>
          <w:rFonts w:ascii="Times New Roman" w:eastAsia="Times New Roman" w:hAnsi="Times New Roman"/>
          <w:sz w:val="24"/>
          <w:szCs w:val="24"/>
          <w:lang w:eastAsia="pt-BR"/>
        </w:rPr>
        <w:t>duals remained concentrated in</w:t>
      </w:r>
      <w:r w:rsidR="0000171B" w:rsidRPr="00E639BA">
        <w:rPr>
          <w:rFonts w:ascii="Times New Roman" w:eastAsia="Times New Roman" w:hAnsi="Times New Roman"/>
          <w:sz w:val="24"/>
          <w:szCs w:val="24"/>
          <w:lang w:eastAsia="pt-BR"/>
        </w:rPr>
        <w:t xml:space="preserve"> fields of study where </w:t>
      </w:r>
      <w:r w:rsidR="00335AF2" w:rsidRPr="00E639BA">
        <w:rPr>
          <w:rFonts w:ascii="Times New Roman" w:eastAsia="Times New Roman" w:hAnsi="Times New Roman"/>
          <w:sz w:val="24"/>
          <w:szCs w:val="24"/>
          <w:lang w:eastAsia="pt-BR"/>
        </w:rPr>
        <w:t xml:space="preserve">labor </w:t>
      </w:r>
      <w:r w:rsidR="0000171B" w:rsidRPr="00E639BA">
        <w:rPr>
          <w:rFonts w:ascii="Times New Roman" w:eastAsia="Times New Roman" w:hAnsi="Times New Roman"/>
          <w:sz w:val="24"/>
          <w:szCs w:val="24"/>
          <w:lang w:eastAsia="pt-BR"/>
        </w:rPr>
        <w:t>earnings are usually lower.</w:t>
      </w:r>
      <w:r w:rsidR="00A83B79" w:rsidRPr="00E639BA">
        <w:rPr>
          <w:rFonts w:ascii="Times New Roman" w:eastAsia="Times New Roman" w:hAnsi="Times New Roman"/>
          <w:sz w:val="24"/>
          <w:szCs w:val="24"/>
          <w:lang w:eastAsia="pt-BR"/>
        </w:rPr>
        <w:t xml:space="preserve"> </w:t>
      </w:r>
      <w:r w:rsidR="0000171B" w:rsidRPr="00E639BA">
        <w:rPr>
          <w:rFonts w:ascii="Times New Roman" w:eastAsia="Times New Roman" w:hAnsi="Times New Roman"/>
          <w:sz w:val="24"/>
          <w:szCs w:val="24"/>
          <w:lang w:eastAsia="pt-BR"/>
        </w:rPr>
        <w:t>I</w:t>
      </w:r>
      <w:r w:rsidR="00A83B79" w:rsidRPr="00E639BA">
        <w:rPr>
          <w:rFonts w:ascii="Times New Roman" w:eastAsia="Times New Roman" w:hAnsi="Times New Roman"/>
          <w:sz w:val="24"/>
          <w:szCs w:val="24"/>
          <w:lang w:eastAsia="pt-BR"/>
        </w:rPr>
        <w:t>n 2010</w:t>
      </w:r>
      <w:r w:rsidR="00C4079C" w:rsidRPr="00E639BA">
        <w:rPr>
          <w:rFonts w:ascii="Times New Roman" w:eastAsia="Times New Roman" w:hAnsi="Times New Roman"/>
          <w:sz w:val="24"/>
          <w:szCs w:val="24"/>
          <w:lang w:eastAsia="pt-BR"/>
        </w:rPr>
        <w:t>, racial disparities in fields of study composition represent</w:t>
      </w:r>
      <w:r w:rsidR="00AA199D" w:rsidRPr="00E639BA">
        <w:rPr>
          <w:rFonts w:ascii="Times New Roman" w:eastAsia="Times New Roman" w:hAnsi="Times New Roman"/>
          <w:sz w:val="24"/>
          <w:szCs w:val="24"/>
          <w:lang w:eastAsia="pt-BR"/>
        </w:rPr>
        <w:t xml:space="preserve"> </w:t>
      </w:r>
      <w:r w:rsidR="006F3BFD">
        <w:rPr>
          <w:rFonts w:ascii="Times New Roman" w:eastAsia="Times New Roman" w:hAnsi="Times New Roman"/>
          <w:sz w:val="24"/>
          <w:szCs w:val="24"/>
          <w:lang w:eastAsia="pt-BR"/>
        </w:rPr>
        <w:t>25</w:t>
      </w:r>
      <w:r w:rsidR="00C4079C" w:rsidRPr="00E639BA">
        <w:rPr>
          <w:rFonts w:ascii="Times New Roman" w:eastAsia="Times New Roman" w:hAnsi="Times New Roman"/>
          <w:sz w:val="24"/>
          <w:szCs w:val="24"/>
          <w:lang w:eastAsia="pt-BR"/>
        </w:rPr>
        <w:t>% of the mean earnings gap</w:t>
      </w:r>
      <w:r w:rsidR="004D65C7" w:rsidRPr="00E639BA">
        <w:rPr>
          <w:rFonts w:ascii="Times New Roman" w:eastAsia="Times New Roman" w:hAnsi="Times New Roman"/>
          <w:sz w:val="24"/>
          <w:szCs w:val="24"/>
          <w:lang w:eastAsia="pt-BR"/>
        </w:rPr>
        <w:t>, according to estimates</w:t>
      </w:r>
      <w:r w:rsidR="00C4079C" w:rsidRPr="00E639BA">
        <w:rPr>
          <w:rFonts w:ascii="Times New Roman" w:eastAsia="Times New Roman" w:hAnsi="Times New Roman"/>
          <w:sz w:val="24"/>
          <w:szCs w:val="24"/>
          <w:lang w:eastAsia="pt-BR"/>
        </w:rPr>
        <w:t xml:space="preserve">. </w:t>
      </w:r>
    </w:p>
    <w:p w:rsidR="003F4E81" w:rsidRPr="00E639BA" w:rsidRDefault="0039775B"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Evidence also shows that earnings difference by race is greater at the top of the distribution than at the bottom. </w:t>
      </w:r>
      <w:proofErr w:type="spellStart"/>
      <w:r w:rsidR="00887DC6">
        <w:rPr>
          <w:rFonts w:ascii="Times New Roman" w:eastAsia="Times New Roman" w:hAnsi="Times New Roman"/>
          <w:sz w:val="24"/>
          <w:szCs w:val="24"/>
          <w:lang w:eastAsia="pt-BR"/>
        </w:rPr>
        <w:t>Quantile</w:t>
      </w:r>
      <w:proofErr w:type="spellEnd"/>
      <w:r w:rsidR="00887DC6">
        <w:rPr>
          <w:rFonts w:ascii="Times New Roman" w:eastAsia="Times New Roman" w:hAnsi="Times New Roman"/>
          <w:sz w:val="24"/>
          <w:szCs w:val="24"/>
          <w:lang w:eastAsia="pt-BR"/>
        </w:rPr>
        <w:t xml:space="preserve"> d</w:t>
      </w:r>
      <w:r w:rsidRPr="00E639BA">
        <w:rPr>
          <w:rFonts w:ascii="Times New Roman" w:eastAsia="Times New Roman" w:hAnsi="Times New Roman"/>
          <w:sz w:val="24"/>
          <w:szCs w:val="24"/>
          <w:lang w:eastAsia="pt-BR"/>
        </w:rPr>
        <w:t>ecompositions of the earnings distribution</w:t>
      </w:r>
      <w:r w:rsidR="007C4894" w:rsidRPr="00E639BA">
        <w:rPr>
          <w:rFonts w:ascii="Times New Roman" w:eastAsia="Times New Roman" w:hAnsi="Times New Roman"/>
          <w:sz w:val="24"/>
          <w:szCs w:val="24"/>
          <w:lang w:eastAsia="pt-BR"/>
        </w:rPr>
        <w:t xml:space="preserve"> </w:t>
      </w:r>
      <w:r w:rsidRPr="00E639BA">
        <w:rPr>
          <w:rFonts w:ascii="Times New Roman" w:eastAsia="Times New Roman" w:hAnsi="Times New Roman"/>
          <w:sz w:val="24"/>
          <w:szCs w:val="24"/>
          <w:lang w:eastAsia="pt-BR"/>
        </w:rPr>
        <w:t xml:space="preserve">indicate that </w:t>
      </w:r>
      <w:r w:rsidR="00335AF2" w:rsidRPr="00E639BA">
        <w:rPr>
          <w:rFonts w:ascii="Times New Roman" w:eastAsia="Times New Roman" w:hAnsi="Times New Roman"/>
          <w:sz w:val="24"/>
          <w:szCs w:val="24"/>
          <w:lang w:eastAsia="pt-BR"/>
        </w:rPr>
        <w:t>field of study composition by race</w:t>
      </w:r>
      <w:r w:rsidR="004E2915" w:rsidRPr="00E639BA">
        <w:rPr>
          <w:rFonts w:ascii="Times New Roman" w:eastAsia="Times New Roman" w:hAnsi="Times New Roman"/>
          <w:sz w:val="24"/>
          <w:szCs w:val="24"/>
          <w:lang w:eastAsia="pt-BR"/>
        </w:rPr>
        <w:t xml:space="preserve"> seem</w:t>
      </w:r>
      <w:r w:rsidR="00335AF2" w:rsidRPr="00E639BA">
        <w:rPr>
          <w:rFonts w:ascii="Times New Roman" w:eastAsia="Times New Roman" w:hAnsi="Times New Roman"/>
          <w:sz w:val="24"/>
          <w:szCs w:val="24"/>
          <w:lang w:eastAsia="pt-BR"/>
        </w:rPr>
        <w:t>s</w:t>
      </w:r>
      <w:r w:rsidR="004E2915" w:rsidRPr="00E639BA">
        <w:rPr>
          <w:rFonts w:ascii="Times New Roman" w:eastAsia="Times New Roman" w:hAnsi="Times New Roman"/>
          <w:sz w:val="24"/>
          <w:szCs w:val="24"/>
          <w:lang w:eastAsia="pt-BR"/>
        </w:rPr>
        <w:t xml:space="preserve"> to be more important </w:t>
      </w:r>
      <w:r w:rsidR="001A6289" w:rsidRPr="00E639BA">
        <w:rPr>
          <w:rFonts w:ascii="Times New Roman" w:eastAsia="Times New Roman" w:hAnsi="Times New Roman"/>
          <w:sz w:val="24"/>
          <w:szCs w:val="24"/>
          <w:lang w:eastAsia="pt-BR"/>
        </w:rPr>
        <w:t xml:space="preserve">in </w:t>
      </w:r>
      <w:r w:rsidR="004E2915" w:rsidRPr="00E639BA">
        <w:rPr>
          <w:rFonts w:ascii="Times New Roman" w:eastAsia="Times New Roman" w:hAnsi="Times New Roman"/>
          <w:sz w:val="24"/>
          <w:szCs w:val="24"/>
          <w:lang w:eastAsia="pt-BR"/>
        </w:rPr>
        <w:t>ex</w:t>
      </w:r>
      <w:r w:rsidR="004D65C7" w:rsidRPr="00E639BA">
        <w:rPr>
          <w:rFonts w:ascii="Times New Roman" w:eastAsia="Times New Roman" w:hAnsi="Times New Roman"/>
          <w:sz w:val="24"/>
          <w:szCs w:val="24"/>
          <w:lang w:eastAsia="pt-BR"/>
        </w:rPr>
        <w:t>plain</w:t>
      </w:r>
      <w:r w:rsidR="001A6289" w:rsidRPr="00E639BA">
        <w:rPr>
          <w:rFonts w:ascii="Times New Roman" w:eastAsia="Times New Roman" w:hAnsi="Times New Roman"/>
          <w:sz w:val="24"/>
          <w:szCs w:val="24"/>
          <w:lang w:eastAsia="pt-BR"/>
        </w:rPr>
        <w:t>ing</w:t>
      </w:r>
      <w:r w:rsidR="004D65C7" w:rsidRPr="00E639BA">
        <w:rPr>
          <w:rFonts w:ascii="Times New Roman" w:eastAsia="Times New Roman" w:hAnsi="Times New Roman"/>
          <w:sz w:val="24"/>
          <w:szCs w:val="24"/>
          <w:lang w:eastAsia="pt-BR"/>
        </w:rPr>
        <w:t xml:space="preserve"> total earnings difference</w:t>
      </w:r>
      <w:r w:rsidR="004E2915" w:rsidRPr="00E639BA">
        <w:rPr>
          <w:rFonts w:ascii="Times New Roman" w:eastAsia="Times New Roman" w:hAnsi="Times New Roman"/>
          <w:sz w:val="24"/>
          <w:szCs w:val="24"/>
          <w:lang w:eastAsia="pt-BR"/>
        </w:rPr>
        <w:t xml:space="preserve"> at the median of the distribution, representi</w:t>
      </w:r>
      <w:r w:rsidR="00351184">
        <w:rPr>
          <w:rFonts w:ascii="Times New Roman" w:eastAsia="Times New Roman" w:hAnsi="Times New Roman"/>
          <w:sz w:val="24"/>
          <w:szCs w:val="24"/>
          <w:lang w:eastAsia="pt-BR"/>
        </w:rPr>
        <w:t>ng 18% of the gap in 2000 and 33</w:t>
      </w:r>
      <w:r w:rsidR="004E2915" w:rsidRPr="00E639BA">
        <w:rPr>
          <w:rFonts w:ascii="Times New Roman" w:eastAsia="Times New Roman" w:hAnsi="Times New Roman"/>
          <w:sz w:val="24"/>
          <w:szCs w:val="24"/>
          <w:lang w:eastAsia="pt-BR"/>
        </w:rPr>
        <w:t xml:space="preserve">% in 2010. </w:t>
      </w:r>
    </w:p>
    <w:p w:rsidR="00BC2578" w:rsidRPr="00E639BA" w:rsidRDefault="004D65C7" w:rsidP="00C17C6A">
      <w:pPr>
        <w:autoSpaceDE w:val="0"/>
        <w:autoSpaceDN w:val="0"/>
        <w:adjustRightInd w:val="0"/>
        <w:spacing w:line="240" w:lineRule="auto"/>
        <w:ind w:firstLine="709"/>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Thus, the results suggest that black </w:t>
      </w:r>
      <w:r w:rsidR="00C72DF8" w:rsidRPr="00E639BA">
        <w:rPr>
          <w:rFonts w:ascii="Times New Roman" w:eastAsia="Times New Roman" w:hAnsi="Times New Roman"/>
          <w:sz w:val="24"/>
          <w:szCs w:val="24"/>
          <w:lang w:eastAsia="pt-BR"/>
        </w:rPr>
        <w:t xml:space="preserve">individuals </w:t>
      </w:r>
      <w:r w:rsidRPr="00E639BA">
        <w:rPr>
          <w:rFonts w:ascii="Times New Roman" w:eastAsia="Times New Roman" w:hAnsi="Times New Roman"/>
          <w:sz w:val="24"/>
          <w:szCs w:val="24"/>
          <w:lang w:eastAsia="pt-BR"/>
        </w:rPr>
        <w:t>are underrepresented not only in the group of workers with</w:t>
      </w:r>
      <w:r w:rsidR="00C72DF8" w:rsidRPr="00E639BA">
        <w:rPr>
          <w:rFonts w:ascii="Times New Roman" w:eastAsia="Times New Roman" w:hAnsi="Times New Roman"/>
          <w:sz w:val="24"/>
          <w:szCs w:val="24"/>
          <w:lang w:eastAsia="pt-BR"/>
        </w:rPr>
        <w:t xml:space="preserve"> a</w:t>
      </w:r>
      <w:r w:rsidRPr="00E639BA">
        <w:rPr>
          <w:rFonts w:ascii="Times New Roman" w:eastAsia="Times New Roman" w:hAnsi="Times New Roman"/>
          <w:sz w:val="24"/>
          <w:szCs w:val="24"/>
          <w:lang w:eastAsia="pt-BR"/>
        </w:rPr>
        <w:t xml:space="preserve"> </w:t>
      </w:r>
      <w:r w:rsidR="00D0046C" w:rsidRPr="00E639BA">
        <w:rPr>
          <w:rFonts w:ascii="Times New Roman" w:eastAsia="Times New Roman" w:hAnsi="Times New Roman"/>
          <w:sz w:val="24"/>
          <w:szCs w:val="24"/>
          <w:lang w:eastAsia="pt-BR"/>
        </w:rPr>
        <w:t>bachelor</w:t>
      </w:r>
      <w:r w:rsidR="001A6289" w:rsidRPr="00E639BA">
        <w:rPr>
          <w:rFonts w:ascii="Times New Roman" w:eastAsia="Times New Roman" w:hAnsi="Times New Roman"/>
          <w:sz w:val="24"/>
          <w:szCs w:val="24"/>
          <w:lang w:eastAsia="pt-BR"/>
        </w:rPr>
        <w:t>’s</w:t>
      </w:r>
      <w:r w:rsidR="00D0046C" w:rsidRPr="00E639BA">
        <w:rPr>
          <w:rFonts w:ascii="Times New Roman" w:eastAsia="Times New Roman" w:hAnsi="Times New Roman"/>
          <w:sz w:val="24"/>
          <w:szCs w:val="24"/>
          <w:lang w:eastAsia="pt-BR"/>
        </w:rPr>
        <w:t xml:space="preserve"> or graduate </w:t>
      </w:r>
      <w:r w:rsidRPr="00E639BA">
        <w:rPr>
          <w:rFonts w:ascii="Times New Roman" w:eastAsia="Times New Roman" w:hAnsi="Times New Roman"/>
          <w:sz w:val="24"/>
          <w:szCs w:val="24"/>
          <w:lang w:eastAsia="pt-BR"/>
        </w:rPr>
        <w:t>degree</w:t>
      </w:r>
      <w:r w:rsidR="001A6289" w:rsidRPr="00E639BA">
        <w:rPr>
          <w:rFonts w:ascii="Times New Roman" w:eastAsia="Times New Roman" w:hAnsi="Times New Roman"/>
          <w:sz w:val="24"/>
          <w:szCs w:val="24"/>
          <w:lang w:eastAsia="pt-BR"/>
        </w:rPr>
        <w:t>,</w:t>
      </w:r>
      <w:r w:rsidRPr="00E639BA">
        <w:rPr>
          <w:rFonts w:ascii="Times New Roman" w:eastAsia="Times New Roman" w:hAnsi="Times New Roman"/>
          <w:sz w:val="24"/>
          <w:szCs w:val="24"/>
          <w:lang w:eastAsia="pt-BR"/>
        </w:rPr>
        <w:t xml:space="preserve"> but also in fields of study where la</w:t>
      </w:r>
      <w:r w:rsidR="00D0046C" w:rsidRPr="00E639BA">
        <w:rPr>
          <w:rFonts w:ascii="Times New Roman" w:eastAsia="Times New Roman" w:hAnsi="Times New Roman"/>
          <w:sz w:val="24"/>
          <w:szCs w:val="24"/>
          <w:lang w:eastAsia="pt-BR"/>
        </w:rPr>
        <w:t>bor earnings are usually higher, which helps to explain part of the elevated earnings differential by race among highly educated individuals in Brazil. Also, it seems that the improvement</w:t>
      </w:r>
      <w:r w:rsidR="00C72DF8" w:rsidRPr="00E639BA">
        <w:rPr>
          <w:rFonts w:ascii="Times New Roman" w:eastAsia="Times New Roman" w:hAnsi="Times New Roman"/>
          <w:sz w:val="24"/>
          <w:szCs w:val="24"/>
          <w:lang w:eastAsia="pt-BR"/>
        </w:rPr>
        <w:t xml:space="preserve"> over time</w:t>
      </w:r>
      <w:r w:rsidR="00D0046C" w:rsidRPr="00E639BA">
        <w:rPr>
          <w:rFonts w:ascii="Times New Roman" w:eastAsia="Times New Roman" w:hAnsi="Times New Roman"/>
          <w:sz w:val="24"/>
          <w:szCs w:val="24"/>
          <w:lang w:eastAsia="pt-BR"/>
        </w:rPr>
        <w:t xml:space="preserve"> in the proportion of black workers with tertiary education has been mainly driven by fields with low mean earnings, contributin</w:t>
      </w:r>
      <w:r w:rsidR="00CE4739" w:rsidRPr="00E639BA">
        <w:rPr>
          <w:rFonts w:ascii="Times New Roman" w:eastAsia="Times New Roman" w:hAnsi="Times New Roman"/>
          <w:sz w:val="24"/>
          <w:szCs w:val="24"/>
          <w:lang w:eastAsia="pt-BR"/>
        </w:rPr>
        <w:t>g to increas</w:t>
      </w:r>
      <w:r w:rsidR="001A6289" w:rsidRPr="00E639BA">
        <w:rPr>
          <w:rFonts w:ascii="Times New Roman" w:eastAsia="Times New Roman" w:hAnsi="Times New Roman"/>
          <w:sz w:val="24"/>
          <w:szCs w:val="24"/>
          <w:lang w:eastAsia="pt-BR"/>
        </w:rPr>
        <w:t>ing</w:t>
      </w:r>
      <w:r w:rsidR="00CE4739" w:rsidRPr="00E639BA">
        <w:rPr>
          <w:rFonts w:ascii="Times New Roman" w:eastAsia="Times New Roman" w:hAnsi="Times New Roman"/>
          <w:sz w:val="24"/>
          <w:szCs w:val="24"/>
          <w:lang w:eastAsia="pt-BR"/>
        </w:rPr>
        <w:t xml:space="preserve"> the role of racial composition of fields</w:t>
      </w:r>
      <w:r w:rsidR="00D0046C" w:rsidRPr="00E639BA">
        <w:rPr>
          <w:rFonts w:ascii="Times New Roman" w:eastAsia="Times New Roman" w:hAnsi="Times New Roman"/>
          <w:sz w:val="24"/>
          <w:szCs w:val="24"/>
          <w:lang w:eastAsia="pt-BR"/>
        </w:rPr>
        <w:t xml:space="preserve"> </w:t>
      </w:r>
      <w:r w:rsidR="00CE4739" w:rsidRPr="00E639BA">
        <w:rPr>
          <w:rFonts w:ascii="Times New Roman" w:eastAsia="Times New Roman" w:hAnsi="Times New Roman"/>
          <w:sz w:val="24"/>
          <w:szCs w:val="24"/>
          <w:lang w:eastAsia="pt-BR"/>
        </w:rPr>
        <w:t xml:space="preserve">of study </w:t>
      </w:r>
      <w:r w:rsidR="001A6289" w:rsidRPr="00E639BA">
        <w:rPr>
          <w:rFonts w:ascii="Times New Roman" w:eastAsia="Times New Roman" w:hAnsi="Times New Roman"/>
          <w:sz w:val="24"/>
          <w:szCs w:val="24"/>
          <w:lang w:eastAsia="pt-BR"/>
        </w:rPr>
        <w:t xml:space="preserve">in </w:t>
      </w:r>
      <w:r w:rsidR="005F2AF9" w:rsidRPr="00E639BA">
        <w:rPr>
          <w:rFonts w:ascii="Times New Roman" w:eastAsia="Times New Roman" w:hAnsi="Times New Roman"/>
          <w:sz w:val="24"/>
          <w:szCs w:val="24"/>
          <w:lang w:eastAsia="pt-BR"/>
        </w:rPr>
        <w:t>earnings differential.</w:t>
      </w:r>
    </w:p>
    <w:p w:rsidR="00BC2578" w:rsidRPr="00E639BA" w:rsidRDefault="00BC2578" w:rsidP="00C17C6A">
      <w:pPr>
        <w:spacing w:line="240" w:lineRule="auto"/>
        <w:ind w:firstLine="708"/>
        <w:contextualSpacing/>
        <w:jc w:val="both"/>
        <w:rPr>
          <w:rFonts w:ascii="Times New Roman" w:eastAsia="Times New Roman" w:hAnsi="Times New Roman"/>
          <w:sz w:val="24"/>
          <w:szCs w:val="24"/>
          <w:lang w:eastAsia="pt-BR"/>
        </w:rPr>
      </w:pPr>
    </w:p>
    <w:p w:rsidR="00BC2578" w:rsidRPr="00E639BA" w:rsidRDefault="00BC2578" w:rsidP="00C17C6A">
      <w:pPr>
        <w:spacing w:line="240" w:lineRule="auto"/>
        <w:contextualSpacing/>
        <w:jc w:val="both"/>
        <w:rPr>
          <w:rFonts w:ascii="Times New Roman" w:eastAsia="Times New Roman" w:hAnsi="Times New Roman"/>
          <w:sz w:val="24"/>
          <w:szCs w:val="24"/>
          <w:lang w:eastAsia="pt-BR"/>
        </w:rPr>
      </w:pPr>
    </w:p>
    <w:p w:rsidR="00BC2578" w:rsidRDefault="00BC2578" w:rsidP="00C17C6A">
      <w:pPr>
        <w:spacing w:line="240" w:lineRule="auto"/>
        <w:ind w:firstLine="708"/>
        <w:contextualSpacing/>
        <w:jc w:val="both"/>
        <w:rPr>
          <w:rFonts w:ascii="Times New Roman" w:eastAsia="Times New Roman" w:hAnsi="Times New Roman"/>
          <w:sz w:val="24"/>
          <w:szCs w:val="24"/>
          <w:lang w:eastAsia="pt-BR"/>
        </w:rPr>
      </w:pPr>
    </w:p>
    <w:p w:rsidR="00B53F65" w:rsidRDefault="00B53F65" w:rsidP="00C17C6A">
      <w:pPr>
        <w:spacing w:line="240" w:lineRule="auto"/>
        <w:ind w:firstLine="708"/>
        <w:contextualSpacing/>
        <w:jc w:val="both"/>
        <w:rPr>
          <w:rFonts w:ascii="Times New Roman" w:eastAsia="Times New Roman" w:hAnsi="Times New Roman"/>
          <w:sz w:val="24"/>
          <w:szCs w:val="24"/>
          <w:lang w:eastAsia="pt-BR"/>
        </w:rPr>
      </w:pPr>
    </w:p>
    <w:p w:rsidR="00B53F65" w:rsidRDefault="00B53F65" w:rsidP="00C17C6A">
      <w:pPr>
        <w:spacing w:line="240" w:lineRule="auto"/>
        <w:ind w:firstLine="708"/>
        <w:contextualSpacing/>
        <w:jc w:val="both"/>
        <w:rPr>
          <w:rFonts w:ascii="Times New Roman" w:eastAsia="Times New Roman" w:hAnsi="Times New Roman"/>
          <w:sz w:val="24"/>
          <w:szCs w:val="24"/>
          <w:lang w:eastAsia="pt-BR"/>
        </w:rPr>
      </w:pPr>
    </w:p>
    <w:p w:rsidR="00B53F65" w:rsidRDefault="00B53F65" w:rsidP="00C17C6A">
      <w:pPr>
        <w:spacing w:line="240" w:lineRule="auto"/>
        <w:ind w:firstLine="708"/>
        <w:contextualSpacing/>
        <w:jc w:val="both"/>
        <w:rPr>
          <w:rFonts w:ascii="Times New Roman" w:eastAsia="Times New Roman" w:hAnsi="Times New Roman"/>
          <w:sz w:val="24"/>
          <w:szCs w:val="24"/>
          <w:lang w:eastAsia="pt-BR"/>
        </w:rPr>
      </w:pPr>
    </w:p>
    <w:p w:rsidR="00B53F65" w:rsidRDefault="00B53F65" w:rsidP="00C17C6A">
      <w:pPr>
        <w:spacing w:line="240" w:lineRule="auto"/>
        <w:ind w:firstLine="708"/>
        <w:contextualSpacing/>
        <w:jc w:val="both"/>
        <w:rPr>
          <w:rFonts w:ascii="Times New Roman" w:eastAsia="Times New Roman" w:hAnsi="Times New Roman"/>
          <w:sz w:val="24"/>
          <w:szCs w:val="24"/>
          <w:lang w:eastAsia="pt-BR"/>
        </w:rPr>
      </w:pPr>
    </w:p>
    <w:p w:rsidR="00AC78CE" w:rsidRDefault="00AC78CE" w:rsidP="00C17C6A">
      <w:pPr>
        <w:spacing w:line="240" w:lineRule="auto"/>
        <w:contextualSpacing/>
        <w:jc w:val="both"/>
        <w:rPr>
          <w:rFonts w:ascii="Times New Roman" w:eastAsia="Times New Roman" w:hAnsi="Times New Roman"/>
          <w:b/>
          <w:sz w:val="24"/>
          <w:szCs w:val="24"/>
          <w:lang w:eastAsia="pt-BR"/>
        </w:rPr>
      </w:pPr>
    </w:p>
    <w:p w:rsidR="00AC78CE" w:rsidRDefault="00AC78CE" w:rsidP="00C17C6A">
      <w:pPr>
        <w:spacing w:line="240" w:lineRule="auto"/>
        <w:contextualSpacing/>
        <w:jc w:val="both"/>
        <w:rPr>
          <w:rFonts w:ascii="Times New Roman" w:eastAsia="Times New Roman" w:hAnsi="Times New Roman"/>
          <w:b/>
          <w:sz w:val="24"/>
          <w:szCs w:val="24"/>
          <w:lang w:eastAsia="pt-BR"/>
        </w:rPr>
      </w:pPr>
    </w:p>
    <w:p w:rsidR="00BA1E27" w:rsidRDefault="00BA1E27" w:rsidP="00C17C6A">
      <w:pPr>
        <w:spacing w:line="240" w:lineRule="auto"/>
        <w:contextualSpacing/>
        <w:jc w:val="both"/>
        <w:rPr>
          <w:rFonts w:ascii="Times New Roman" w:eastAsia="Times New Roman" w:hAnsi="Times New Roman"/>
          <w:sz w:val="24"/>
          <w:szCs w:val="24"/>
          <w:lang w:eastAsia="pt-BR"/>
        </w:rPr>
      </w:pPr>
      <w:r w:rsidRPr="00651677">
        <w:rPr>
          <w:rFonts w:ascii="Times New Roman" w:eastAsia="Times New Roman" w:hAnsi="Times New Roman"/>
          <w:b/>
          <w:sz w:val="24"/>
          <w:szCs w:val="24"/>
          <w:lang w:eastAsia="pt-BR"/>
        </w:rPr>
        <w:lastRenderedPageBreak/>
        <w:t>References</w:t>
      </w:r>
      <w:r>
        <w:rPr>
          <w:rFonts w:ascii="Times New Roman" w:eastAsia="Times New Roman" w:hAnsi="Times New Roman"/>
          <w:sz w:val="24"/>
          <w:szCs w:val="24"/>
          <w:lang w:eastAsia="pt-BR"/>
        </w:rPr>
        <w:t>:</w:t>
      </w:r>
    </w:p>
    <w:p w:rsidR="00BA1E27" w:rsidRDefault="00BA1E27" w:rsidP="00C17C6A">
      <w:pPr>
        <w:spacing w:line="240" w:lineRule="auto"/>
        <w:contextualSpacing/>
        <w:jc w:val="both"/>
        <w:rPr>
          <w:rFonts w:ascii="Times New Roman" w:eastAsia="Times New Roman" w:hAnsi="Times New Roman"/>
          <w:sz w:val="24"/>
          <w:szCs w:val="24"/>
          <w:lang w:eastAsia="pt-BR"/>
        </w:rPr>
      </w:pPr>
    </w:p>
    <w:p w:rsidR="00BA1E27" w:rsidRDefault="00BA1E27" w:rsidP="00C17C6A">
      <w:pPr>
        <w:autoSpaceDE w:val="0"/>
        <w:autoSpaceDN w:val="0"/>
        <w:adjustRightInd w:val="0"/>
        <w:spacing w:after="0" w:line="240" w:lineRule="auto"/>
        <w:contextualSpacing/>
        <w:jc w:val="both"/>
        <w:rPr>
          <w:rFonts w:ascii="Times New Roman" w:hAnsi="Times New Roman"/>
          <w:sz w:val="24"/>
          <w:szCs w:val="24"/>
        </w:rPr>
      </w:pPr>
      <w:proofErr w:type="spellStart"/>
      <w:r w:rsidRPr="00475B8E">
        <w:rPr>
          <w:rFonts w:ascii="Times New Roman" w:hAnsi="Times New Roman"/>
          <w:sz w:val="24"/>
          <w:szCs w:val="24"/>
        </w:rPr>
        <w:t>Altonji</w:t>
      </w:r>
      <w:proofErr w:type="spellEnd"/>
      <w:r w:rsidRPr="00475B8E">
        <w:rPr>
          <w:rFonts w:ascii="Times New Roman" w:hAnsi="Times New Roman"/>
          <w:sz w:val="24"/>
          <w:szCs w:val="24"/>
        </w:rPr>
        <w:t>, J. G. (1993). The demand for and return to education when education</w:t>
      </w:r>
      <w:r>
        <w:rPr>
          <w:rFonts w:ascii="Times New Roman" w:hAnsi="Times New Roman"/>
          <w:sz w:val="24"/>
          <w:szCs w:val="24"/>
        </w:rPr>
        <w:t xml:space="preserve"> </w:t>
      </w:r>
      <w:r w:rsidRPr="00475B8E">
        <w:rPr>
          <w:rFonts w:ascii="Times New Roman" w:hAnsi="Times New Roman"/>
          <w:sz w:val="24"/>
          <w:szCs w:val="24"/>
        </w:rPr>
        <w:t xml:space="preserve">outcomes are uncertain. Journal of </w:t>
      </w:r>
      <w:proofErr w:type="spellStart"/>
      <w:r w:rsidRPr="00475B8E">
        <w:rPr>
          <w:rFonts w:ascii="Times New Roman" w:hAnsi="Times New Roman"/>
          <w:sz w:val="24"/>
          <w:szCs w:val="24"/>
        </w:rPr>
        <w:t>Labour</w:t>
      </w:r>
      <w:proofErr w:type="spellEnd"/>
      <w:r w:rsidRPr="00475B8E">
        <w:rPr>
          <w:rFonts w:ascii="Times New Roman" w:hAnsi="Times New Roman"/>
          <w:sz w:val="24"/>
          <w:szCs w:val="24"/>
        </w:rPr>
        <w:t xml:space="preserve"> Economics, 11</w:t>
      </w:r>
      <w:r>
        <w:rPr>
          <w:rFonts w:ascii="Times New Roman" w:hAnsi="Times New Roman"/>
          <w:sz w:val="24"/>
          <w:szCs w:val="24"/>
        </w:rPr>
        <w:t>(1)</w:t>
      </w:r>
      <w:proofErr w:type="gramStart"/>
      <w:r>
        <w:rPr>
          <w:rFonts w:ascii="Times New Roman" w:hAnsi="Times New Roman"/>
          <w:sz w:val="24"/>
          <w:szCs w:val="24"/>
        </w:rPr>
        <w:t>,</w:t>
      </w:r>
      <w:r w:rsidRPr="00475B8E">
        <w:rPr>
          <w:rFonts w:ascii="Times New Roman" w:hAnsi="Times New Roman"/>
          <w:sz w:val="24"/>
          <w:szCs w:val="24"/>
        </w:rPr>
        <w:t>48</w:t>
      </w:r>
      <w:proofErr w:type="gramEnd"/>
      <w:r w:rsidRPr="00475B8E">
        <w:rPr>
          <w:rFonts w:ascii="Times New Roman" w:hAnsi="Times New Roman"/>
          <w:sz w:val="24"/>
          <w:szCs w:val="24"/>
        </w:rPr>
        <w:t>–83.</w:t>
      </w:r>
    </w:p>
    <w:p w:rsidR="00BA1E27" w:rsidRDefault="00BA1E27" w:rsidP="00C17C6A">
      <w:pPr>
        <w:spacing w:line="240" w:lineRule="auto"/>
        <w:contextualSpacing/>
        <w:jc w:val="both"/>
        <w:rPr>
          <w:rFonts w:ascii="Times New Roman" w:eastAsia="Times New Roman" w:hAnsi="Times New Roman"/>
          <w:sz w:val="24"/>
          <w:szCs w:val="24"/>
          <w:lang w:eastAsia="pt-BR"/>
        </w:rPr>
      </w:pPr>
    </w:p>
    <w:p w:rsidR="00BA1E27" w:rsidRPr="00D122D4" w:rsidRDefault="00BA1E27" w:rsidP="00C17C6A">
      <w:pPr>
        <w:autoSpaceDE w:val="0"/>
        <w:autoSpaceDN w:val="0"/>
        <w:adjustRightInd w:val="0"/>
        <w:spacing w:after="0" w:line="240" w:lineRule="auto"/>
        <w:contextualSpacing/>
        <w:jc w:val="both"/>
        <w:rPr>
          <w:rFonts w:ascii="Times New Roman" w:eastAsia="Times New Roman" w:hAnsi="Times New Roman"/>
          <w:sz w:val="24"/>
          <w:szCs w:val="24"/>
          <w:lang w:eastAsia="pt-BR"/>
        </w:rPr>
      </w:pPr>
      <w:proofErr w:type="gramStart"/>
      <w:r w:rsidRPr="00D122D4">
        <w:rPr>
          <w:rFonts w:ascii="Times New Roman" w:eastAsia="Times New Roman" w:hAnsi="Times New Roman"/>
          <w:sz w:val="24"/>
          <w:szCs w:val="24"/>
          <w:lang w:eastAsia="pt-BR"/>
        </w:rPr>
        <w:t>Blinder, A. (1973).</w:t>
      </w:r>
      <w:proofErr w:type="gramEnd"/>
      <w:r w:rsidRPr="00D122D4">
        <w:rPr>
          <w:rFonts w:ascii="Times New Roman" w:eastAsia="Times New Roman" w:hAnsi="Times New Roman"/>
          <w:sz w:val="24"/>
          <w:szCs w:val="24"/>
          <w:lang w:eastAsia="pt-BR"/>
        </w:rPr>
        <w:t xml:space="preserve"> Wage discrimination: Reduced form and structural estimates.</w:t>
      </w:r>
      <w:r>
        <w:rPr>
          <w:rFonts w:ascii="Times New Roman" w:eastAsia="Times New Roman" w:hAnsi="Times New Roman"/>
          <w:sz w:val="24"/>
          <w:szCs w:val="24"/>
          <w:lang w:eastAsia="pt-BR"/>
        </w:rPr>
        <w:t xml:space="preserve"> </w:t>
      </w:r>
      <w:r w:rsidRPr="00D122D4">
        <w:rPr>
          <w:rFonts w:ascii="Times New Roman" w:eastAsia="Times New Roman" w:hAnsi="Times New Roman"/>
          <w:sz w:val="24"/>
          <w:szCs w:val="24"/>
          <w:lang w:eastAsia="pt-BR"/>
        </w:rPr>
        <w:t>Journal of Human Resources 8 (4), 436-</w:t>
      </w:r>
      <w:r w:rsidR="00D4793B">
        <w:rPr>
          <w:rFonts w:ascii="Times New Roman" w:eastAsia="Times New Roman" w:hAnsi="Times New Roman"/>
          <w:sz w:val="24"/>
          <w:szCs w:val="24"/>
          <w:lang w:eastAsia="pt-BR"/>
        </w:rPr>
        <w:t>8</w:t>
      </w:r>
      <w:r w:rsidRPr="00D122D4">
        <w:rPr>
          <w:rFonts w:ascii="Times New Roman" w:eastAsia="Times New Roman" w:hAnsi="Times New Roman"/>
          <w:sz w:val="24"/>
          <w:szCs w:val="24"/>
          <w:lang w:eastAsia="pt-BR"/>
        </w:rPr>
        <w:t>55.</w:t>
      </w:r>
    </w:p>
    <w:p w:rsidR="00BA1E27" w:rsidRDefault="00BA1E27" w:rsidP="00C17C6A">
      <w:pPr>
        <w:spacing w:line="240" w:lineRule="auto"/>
        <w:contextualSpacing/>
        <w:jc w:val="both"/>
        <w:rPr>
          <w:rFonts w:ascii="Times New Roman" w:eastAsia="Times New Roman" w:hAnsi="Times New Roman"/>
          <w:sz w:val="24"/>
          <w:szCs w:val="24"/>
          <w:lang w:eastAsia="pt-BR"/>
        </w:rPr>
      </w:pPr>
    </w:p>
    <w:p w:rsidR="00BA1E27" w:rsidRPr="00BA1E27" w:rsidRDefault="00BA1E27" w:rsidP="00C17C6A">
      <w:pPr>
        <w:autoSpaceDE w:val="0"/>
        <w:autoSpaceDN w:val="0"/>
        <w:adjustRightInd w:val="0"/>
        <w:spacing w:after="0" w:line="240" w:lineRule="auto"/>
        <w:contextualSpacing/>
        <w:jc w:val="both"/>
        <w:rPr>
          <w:rFonts w:ascii="Times New Roman" w:hAnsi="Times New Roman"/>
          <w:sz w:val="24"/>
          <w:szCs w:val="24"/>
          <w:lang w:val="pt-BR"/>
        </w:rPr>
      </w:pPr>
      <w:proofErr w:type="gramStart"/>
      <w:r w:rsidRPr="00475B8E">
        <w:rPr>
          <w:rFonts w:ascii="Times New Roman" w:hAnsi="Times New Roman"/>
          <w:sz w:val="24"/>
          <w:szCs w:val="24"/>
        </w:rPr>
        <w:t xml:space="preserve">Blundell, R., </w:t>
      </w:r>
      <w:proofErr w:type="spellStart"/>
      <w:r w:rsidRPr="00475B8E">
        <w:rPr>
          <w:rFonts w:ascii="Times New Roman" w:hAnsi="Times New Roman"/>
          <w:sz w:val="24"/>
          <w:szCs w:val="24"/>
        </w:rPr>
        <w:t>Dearden</w:t>
      </w:r>
      <w:proofErr w:type="spellEnd"/>
      <w:r w:rsidRPr="00475B8E">
        <w:rPr>
          <w:rFonts w:ascii="Times New Roman" w:hAnsi="Times New Roman"/>
          <w:sz w:val="24"/>
          <w:szCs w:val="24"/>
        </w:rPr>
        <w:t>, L., Goodman, A.,</w:t>
      </w:r>
      <w:r>
        <w:rPr>
          <w:rFonts w:ascii="Times New Roman" w:hAnsi="Times New Roman"/>
          <w:sz w:val="24"/>
          <w:szCs w:val="24"/>
        </w:rPr>
        <w:t xml:space="preserve"> &amp; Reed, H. (2000).</w:t>
      </w:r>
      <w:proofErr w:type="gramEnd"/>
      <w:r>
        <w:rPr>
          <w:rFonts w:ascii="Times New Roman" w:hAnsi="Times New Roman"/>
          <w:sz w:val="24"/>
          <w:szCs w:val="24"/>
        </w:rPr>
        <w:t xml:space="preserve"> The returns </w:t>
      </w:r>
      <w:r w:rsidRPr="00475B8E">
        <w:rPr>
          <w:rFonts w:ascii="Times New Roman" w:hAnsi="Times New Roman"/>
          <w:sz w:val="24"/>
          <w:szCs w:val="24"/>
        </w:rPr>
        <w:t xml:space="preserve">to higher education in Britain: Evidence from a British cohort. </w:t>
      </w:r>
      <w:r w:rsidRPr="00BA1E27">
        <w:rPr>
          <w:rFonts w:ascii="Times New Roman" w:hAnsi="Times New Roman"/>
          <w:sz w:val="24"/>
          <w:szCs w:val="24"/>
          <w:lang w:val="pt-BR"/>
        </w:rPr>
        <w:t xml:space="preserve">The </w:t>
      </w:r>
      <w:proofErr w:type="spellStart"/>
      <w:r w:rsidRPr="00BA1E27">
        <w:rPr>
          <w:rFonts w:ascii="Times New Roman" w:hAnsi="Times New Roman"/>
          <w:sz w:val="24"/>
          <w:szCs w:val="24"/>
          <w:lang w:val="pt-BR"/>
        </w:rPr>
        <w:t>Economic</w:t>
      </w:r>
      <w:proofErr w:type="spellEnd"/>
      <w:r w:rsidRPr="00BA1E27">
        <w:rPr>
          <w:rFonts w:ascii="Times New Roman" w:hAnsi="Times New Roman"/>
          <w:sz w:val="24"/>
          <w:szCs w:val="24"/>
          <w:lang w:val="pt-BR"/>
        </w:rPr>
        <w:t xml:space="preserve"> Journal, 110(461), F82–F99.</w:t>
      </w:r>
    </w:p>
    <w:p w:rsidR="00BA1E27" w:rsidRPr="00BA1E27" w:rsidRDefault="00BA1E27" w:rsidP="00C17C6A">
      <w:pPr>
        <w:spacing w:line="240" w:lineRule="auto"/>
        <w:contextualSpacing/>
        <w:jc w:val="both"/>
        <w:rPr>
          <w:rFonts w:ascii="Times New Roman" w:eastAsia="Times New Roman" w:hAnsi="Times New Roman"/>
          <w:sz w:val="24"/>
          <w:szCs w:val="24"/>
          <w:lang w:val="pt-BR" w:eastAsia="pt-BR"/>
        </w:rPr>
      </w:pPr>
    </w:p>
    <w:p w:rsidR="00BA1E27" w:rsidRPr="00BA1E27" w:rsidRDefault="00BA1E27" w:rsidP="00C17C6A">
      <w:pPr>
        <w:spacing w:line="240" w:lineRule="auto"/>
        <w:contextualSpacing/>
        <w:rPr>
          <w:rFonts w:ascii="Times New Roman" w:eastAsia="Times New Roman" w:hAnsi="Times New Roman"/>
          <w:sz w:val="24"/>
          <w:szCs w:val="24"/>
          <w:lang w:val="pt-BR" w:eastAsia="pt-BR"/>
        </w:rPr>
      </w:pPr>
      <w:r w:rsidRPr="00BA1E27">
        <w:rPr>
          <w:rFonts w:ascii="Times New Roman" w:eastAsia="Times New Roman" w:hAnsi="Times New Roman"/>
          <w:sz w:val="24"/>
          <w:szCs w:val="24"/>
          <w:lang w:val="pt-BR" w:eastAsia="pt-BR"/>
        </w:rPr>
        <w:t>Classificação Brasileira de Ocupações, 2010. Minis</w:t>
      </w:r>
      <w:r>
        <w:rPr>
          <w:rFonts w:ascii="Times New Roman" w:eastAsia="Times New Roman" w:hAnsi="Times New Roman"/>
          <w:sz w:val="24"/>
          <w:szCs w:val="24"/>
          <w:lang w:val="pt-BR" w:eastAsia="pt-BR"/>
        </w:rPr>
        <w:t xml:space="preserve">tério do Trabalho e do Emprego, </w:t>
      </w:r>
      <w:r w:rsidRPr="00BA1E27">
        <w:rPr>
          <w:rFonts w:ascii="Times New Roman" w:eastAsia="Times New Roman" w:hAnsi="Times New Roman"/>
          <w:sz w:val="24"/>
          <w:szCs w:val="24"/>
          <w:lang w:val="pt-BR" w:eastAsia="pt-BR"/>
        </w:rPr>
        <w:t xml:space="preserve">Brasília, 3ª. </w:t>
      </w:r>
      <w:proofErr w:type="gramStart"/>
      <w:r w:rsidRPr="00BA1E27">
        <w:rPr>
          <w:rFonts w:ascii="Times New Roman" w:eastAsia="Times New Roman" w:hAnsi="Times New Roman"/>
          <w:sz w:val="24"/>
          <w:szCs w:val="24"/>
          <w:lang w:val="pt-BR" w:eastAsia="pt-BR"/>
        </w:rPr>
        <w:t>edição</w:t>
      </w:r>
      <w:proofErr w:type="gramEnd"/>
      <w:r w:rsidRPr="00BA1E27">
        <w:rPr>
          <w:rFonts w:ascii="Times New Roman" w:eastAsia="Times New Roman" w:hAnsi="Times New Roman"/>
          <w:sz w:val="24"/>
          <w:szCs w:val="24"/>
          <w:lang w:val="pt-BR" w:eastAsia="pt-BR"/>
        </w:rPr>
        <w:t xml:space="preserve">. </w:t>
      </w:r>
    </w:p>
    <w:p w:rsidR="00BA1E27" w:rsidRPr="00BA1E27" w:rsidRDefault="00BA1E27" w:rsidP="00C17C6A">
      <w:pPr>
        <w:spacing w:line="240" w:lineRule="auto"/>
        <w:contextualSpacing/>
        <w:rPr>
          <w:rFonts w:ascii="Times New Roman" w:eastAsia="Times New Roman" w:hAnsi="Times New Roman"/>
          <w:sz w:val="24"/>
          <w:szCs w:val="24"/>
          <w:lang w:val="pt-BR" w:eastAsia="pt-BR"/>
        </w:rPr>
      </w:pPr>
    </w:p>
    <w:p w:rsidR="00BA1E27" w:rsidRPr="00475B8E" w:rsidRDefault="00BA1E27" w:rsidP="00C17C6A">
      <w:pPr>
        <w:autoSpaceDE w:val="0"/>
        <w:autoSpaceDN w:val="0"/>
        <w:adjustRightInd w:val="0"/>
        <w:spacing w:after="0" w:line="240" w:lineRule="auto"/>
        <w:contextualSpacing/>
        <w:jc w:val="both"/>
        <w:rPr>
          <w:rFonts w:ascii="Times New Roman" w:hAnsi="Times New Roman"/>
          <w:sz w:val="24"/>
          <w:szCs w:val="24"/>
        </w:rPr>
      </w:pPr>
      <w:proofErr w:type="gramStart"/>
      <w:r w:rsidRPr="00475B8E">
        <w:rPr>
          <w:rFonts w:ascii="Times New Roman" w:hAnsi="Times New Roman"/>
          <w:sz w:val="24"/>
          <w:szCs w:val="24"/>
        </w:rPr>
        <w:t xml:space="preserve">Finnie, R., &amp; </w:t>
      </w:r>
      <w:proofErr w:type="spellStart"/>
      <w:r w:rsidRPr="00475B8E">
        <w:rPr>
          <w:rFonts w:ascii="Times New Roman" w:hAnsi="Times New Roman"/>
          <w:sz w:val="24"/>
          <w:szCs w:val="24"/>
        </w:rPr>
        <w:t>Frenette</w:t>
      </w:r>
      <w:proofErr w:type="spellEnd"/>
      <w:r w:rsidRPr="00475B8E">
        <w:rPr>
          <w:rFonts w:ascii="Times New Roman" w:hAnsi="Times New Roman"/>
          <w:sz w:val="24"/>
          <w:szCs w:val="24"/>
        </w:rPr>
        <w:t>, M. (2003).</w:t>
      </w:r>
      <w:proofErr w:type="gramEnd"/>
      <w:r w:rsidRPr="00475B8E">
        <w:rPr>
          <w:rFonts w:ascii="Times New Roman" w:hAnsi="Times New Roman"/>
          <w:sz w:val="24"/>
          <w:szCs w:val="24"/>
        </w:rPr>
        <w:t xml:space="preserve"> Earning</w:t>
      </w:r>
      <w:r>
        <w:rPr>
          <w:rFonts w:ascii="Times New Roman" w:hAnsi="Times New Roman"/>
          <w:sz w:val="24"/>
          <w:szCs w:val="24"/>
        </w:rPr>
        <w:t xml:space="preserve">s differences by major field of </w:t>
      </w:r>
      <w:r w:rsidRPr="00475B8E">
        <w:rPr>
          <w:rFonts w:ascii="Times New Roman" w:hAnsi="Times New Roman"/>
          <w:sz w:val="24"/>
          <w:szCs w:val="24"/>
        </w:rPr>
        <w:t>study: Evidence from three cohort</w:t>
      </w:r>
      <w:r>
        <w:rPr>
          <w:rFonts w:ascii="Times New Roman" w:hAnsi="Times New Roman"/>
          <w:sz w:val="24"/>
          <w:szCs w:val="24"/>
        </w:rPr>
        <w:t xml:space="preserve">s of recent Canadian graduates. Economics of Education </w:t>
      </w:r>
      <w:r w:rsidRPr="00475B8E">
        <w:rPr>
          <w:rFonts w:ascii="Times New Roman" w:hAnsi="Times New Roman"/>
          <w:sz w:val="24"/>
          <w:szCs w:val="24"/>
        </w:rPr>
        <w:t>Review, 22(2), 179–192.</w:t>
      </w:r>
    </w:p>
    <w:p w:rsidR="00BA1E27" w:rsidRDefault="00BA1E27" w:rsidP="00C17C6A">
      <w:pPr>
        <w:spacing w:line="240" w:lineRule="auto"/>
        <w:contextualSpacing/>
        <w:rPr>
          <w:rFonts w:ascii="Times New Roman" w:eastAsia="Times New Roman" w:hAnsi="Times New Roman"/>
          <w:sz w:val="24"/>
          <w:szCs w:val="24"/>
          <w:lang w:eastAsia="pt-BR"/>
        </w:rPr>
      </w:pPr>
    </w:p>
    <w:p w:rsidR="00BA1E27" w:rsidRPr="00BA1E27" w:rsidRDefault="00BA1E27" w:rsidP="00C17C6A">
      <w:pPr>
        <w:autoSpaceDE w:val="0"/>
        <w:autoSpaceDN w:val="0"/>
        <w:adjustRightInd w:val="0"/>
        <w:spacing w:after="0" w:line="240" w:lineRule="auto"/>
        <w:contextualSpacing/>
        <w:jc w:val="both"/>
        <w:rPr>
          <w:rFonts w:ascii="Times New Roman" w:eastAsia="Times New Roman" w:hAnsi="Times New Roman"/>
          <w:sz w:val="24"/>
          <w:szCs w:val="24"/>
          <w:lang w:val="pt-BR" w:eastAsia="pt-BR"/>
        </w:rPr>
      </w:pPr>
      <w:proofErr w:type="gramStart"/>
      <w:r>
        <w:rPr>
          <w:rFonts w:ascii="Times New Roman" w:eastAsia="Times New Roman" w:hAnsi="Times New Roman"/>
          <w:sz w:val="24"/>
          <w:szCs w:val="24"/>
          <w:lang w:eastAsia="pt-BR"/>
        </w:rPr>
        <w:t>Firpo, S.</w:t>
      </w:r>
      <w:r w:rsidRPr="00374879">
        <w:rPr>
          <w:rFonts w:ascii="Times New Roman" w:eastAsia="Times New Roman" w:hAnsi="Times New Roman"/>
          <w:sz w:val="24"/>
          <w:szCs w:val="24"/>
          <w:lang w:eastAsia="pt-BR"/>
        </w:rPr>
        <w:t>, Fortin,</w:t>
      </w:r>
      <w:r>
        <w:rPr>
          <w:rFonts w:ascii="Times New Roman" w:eastAsia="Times New Roman" w:hAnsi="Times New Roman"/>
          <w:sz w:val="24"/>
          <w:szCs w:val="24"/>
          <w:lang w:eastAsia="pt-BR"/>
        </w:rPr>
        <w:t xml:space="preserve"> N.</w:t>
      </w:r>
      <w:r w:rsidRPr="00374879">
        <w:rPr>
          <w:rFonts w:ascii="Times New Roman" w:eastAsia="Times New Roman" w:hAnsi="Times New Roman"/>
          <w:sz w:val="24"/>
          <w:szCs w:val="24"/>
          <w:lang w:eastAsia="pt-BR"/>
        </w:rPr>
        <w:t xml:space="preserve"> and T</w:t>
      </w:r>
      <w:r>
        <w:rPr>
          <w:rFonts w:ascii="Times New Roman" w:eastAsia="Times New Roman" w:hAnsi="Times New Roman"/>
          <w:sz w:val="24"/>
          <w:szCs w:val="24"/>
          <w:lang w:eastAsia="pt-BR"/>
        </w:rPr>
        <w:t>. Lemieux, 2009</w:t>
      </w:r>
      <w:r w:rsidRPr="00374879">
        <w:rPr>
          <w:rFonts w:ascii="Times New Roman" w:eastAsia="Times New Roman" w:hAnsi="Times New Roman"/>
          <w:sz w:val="24"/>
          <w:szCs w:val="24"/>
          <w:lang w:eastAsia="pt-BR"/>
        </w:rPr>
        <w:t>.</w:t>
      </w:r>
      <w:proofErr w:type="gramEnd"/>
      <w:r>
        <w:rPr>
          <w:rFonts w:ascii="Times New Roman" w:eastAsia="Times New Roman" w:hAnsi="Times New Roman"/>
          <w:sz w:val="24"/>
          <w:szCs w:val="24"/>
          <w:lang w:eastAsia="pt-BR"/>
        </w:rPr>
        <w:t xml:space="preserve"> </w:t>
      </w:r>
      <w:r w:rsidRPr="00BA1E27">
        <w:rPr>
          <w:rFonts w:ascii="Times New Roman" w:eastAsia="Times New Roman" w:hAnsi="Times New Roman"/>
          <w:sz w:val="24"/>
          <w:szCs w:val="24"/>
          <w:lang w:val="pt-BR" w:eastAsia="pt-BR"/>
        </w:rPr>
        <w:t>“</w:t>
      </w:r>
      <w:proofErr w:type="spellStart"/>
      <w:r w:rsidRPr="00BA1E27">
        <w:rPr>
          <w:rFonts w:ascii="Times New Roman" w:eastAsia="Times New Roman" w:hAnsi="Times New Roman"/>
          <w:sz w:val="24"/>
          <w:szCs w:val="24"/>
          <w:lang w:val="pt-BR" w:eastAsia="pt-BR"/>
        </w:rPr>
        <w:t>Unconditional</w:t>
      </w:r>
      <w:proofErr w:type="spellEnd"/>
      <w:r w:rsidRPr="00BA1E27">
        <w:rPr>
          <w:rFonts w:ascii="Times New Roman" w:eastAsia="Times New Roman" w:hAnsi="Times New Roman"/>
          <w:sz w:val="24"/>
          <w:szCs w:val="24"/>
          <w:lang w:val="pt-BR" w:eastAsia="pt-BR"/>
        </w:rPr>
        <w:t xml:space="preserve"> </w:t>
      </w:r>
      <w:proofErr w:type="spellStart"/>
      <w:r w:rsidRPr="00BA1E27">
        <w:rPr>
          <w:rFonts w:ascii="Times New Roman" w:eastAsia="Times New Roman" w:hAnsi="Times New Roman"/>
          <w:sz w:val="24"/>
          <w:szCs w:val="24"/>
          <w:lang w:val="pt-BR" w:eastAsia="pt-BR"/>
        </w:rPr>
        <w:t>Quantile</w:t>
      </w:r>
      <w:proofErr w:type="spellEnd"/>
      <w:r w:rsidRPr="00BA1E27">
        <w:rPr>
          <w:rFonts w:ascii="Times New Roman" w:eastAsia="Times New Roman" w:hAnsi="Times New Roman"/>
          <w:sz w:val="24"/>
          <w:szCs w:val="24"/>
          <w:lang w:val="pt-BR" w:eastAsia="pt-BR"/>
        </w:rPr>
        <w:t xml:space="preserve"> </w:t>
      </w:r>
      <w:proofErr w:type="spellStart"/>
      <w:r w:rsidRPr="00BA1E27">
        <w:rPr>
          <w:rFonts w:ascii="Times New Roman" w:eastAsia="Times New Roman" w:hAnsi="Times New Roman"/>
          <w:sz w:val="24"/>
          <w:szCs w:val="24"/>
          <w:lang w:val="pt-BR" w:eastAsia="pt-BR"/>
        </w:rPr>
        <w:t>Regressions</w:t>
      </w:r>
      <w:proofErr w:type="spellEnd"/>
      <w:r w:rsidRPr="00BA1E27">
        <w:rPr>
          <w:rFonts w:ascii="Times New Roman" w:eastAsia="Times New Roman" w:hAnsi="Times New Roman"/>
          <w:sz w:val="24"/>
          <w:szCs w:val="24"/>
          <w:lang w:val="pt-BR" w:eastAsia="pt-BR"/>
        </w:rPr>
        <w:t xml:space="preserve">”, </w:t>
      </w:r>
      <w:proofErr w:type="spellStart"/>
      <w:r w:rsidRPr="00BA1E27">
        <w:rPr>
          <w:rFonts w:ascii="Times New Roman" w:eastAsia="Times New Roman" w:hAnsi="Times New Roman"/>
          <w:sz w:val="24"/>
          <w:szCs w:val="24"/>
          <w:lang w:val="pt-BR" w:eastAsia="pt-BR"/>
        </w:rPr>
        <w:t>Econometrica</w:t>
      </w:r>
      <w:proofErr w:type="spellEnd"/>
      <w:r w:rsidRPr="00BA1E27">
        <w:rPr>
          <w:rFonts w:ascii="Times New Roman" w:eastAsia="Times New Roman" w:hAnsi="Times New Roman"/>
          <w:sz w:val="24"/>
          <w:szCs w:val="24"/>
          <w:lang w:val="pt-BR" w:eastAsia="pt-BR"/>
        </w:rPr>
        <w:t>, 77(3), pp. 953-973.</w:t>
      </w:r>
    </w:p>
    <w:p w:rsidR="00BA1E27" w:rsidRP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val="pt-BR" w:eastAsia="pt-BR"/>
        </w:rPr>
      </w:pPr>
    </w:p>
    <w:p w:rsidR="00BA1E27" w:rsidRDefault="00BA1E27" w:rsidP="00C17C6A">
      <w:pPr>
        <w:autoSpaceDE w:val="0"/>
        <w:autoSpaceDN w:val="0"/>
        <w:adjustRightInd w:val="0"/>
        <w:spacing w:after="0" w:line="240" w:lineRule="auto"/>
        <w:contextualSpacing/>
        <w:jc w:val="both"/>
        <w:rPr>
          <w:rFonts w:ascii="Times New Roman" w:eastAsia="Times New Roman" w:hAnsi="Times New Roman"/>
          <w:sz w:val="24"/>
          <w:szCs w:val="24"/>
          <w:lang w:eastAsia="pt-BR"/>
        </w:rPr>
      </w:pPr>
      <w:proofErr w:type="gramStart"/>
      <w:r w:rsidRPr="00374879">
        <w:rPr>
          <w:rFonts w:ascii="Times New Roman" w:eastAsia="Times New Roman" w:hAnsi="Times New Roman"/>
          <w:sz w:val="24"/>
          <w:szCs w:val="24"/>
          <w:lang w:eastAsia="pt-BR"/>
        </w:rPr>
        <w:t>Fortin,</w:t>
      </w:r>
      <w:r>
        <w:rPr>
          <w:rFonts w:ascii="Times New Roman" w:eastAsia="Times New Roman" w:hAnsi="Times New Roman"/>
          <w:sz w:val="24"/>
          <w:szCs w:val="24"/>
          <w:lang w:eastAsia="pt-BR"/>
        </w:rPr>
        <w:t xml:space="preserve"> N., Lemieux, T. and S.</w:t>
      </w:r>
      <w:r w:rsidRPr="00B9268C">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Firpo, S., 2011.</w:t>
      </w:r>
      <w:proofErr w:type="gramEnd"/>
      <w:r>
        <w:rPr>
          <w:rFonts w:ascii="Times New Roman" w:eastAsia="Times New Roman" w:hAnsi="Times New Roman"/>
          <w:sz w:val="24"/>
          <w:szCs w:val="24"/>
          <w:lang w:eastAsia="pt-BR"/>
        </w:rPr>
        <w:t xml:space="preserve"> </w:t>
      </w:r>
      <w:r w:rsidRPr="0004312C">
        <w:rPr>
          <w:rFonts w:ascii="Times New Roman" w:eastAsia="Times New Roman" w:hAnsi="Times New Roman"/>
          <w:sz w:val="24"/>
          <w:szCs w:val="24"/>
          <w:lang w:eastAsia="pt-BR"/>
        </w:rPr>
        <w:t>Decomposition Methods in Economics</w:t>
      </w:r>
      <w:r>
        <w:rPr>
          <w:rFonts w:ascii="Times New Roman" w:eastAsia="Times New Roman" w:hAnsi="Times New Roman"/>
          <w:sz w:val="24"/>
          <w:szCs w:val="24"/>
          <w:lang w:eastAsia="pt-BR"/>
        </w:rPr>
        <w:t>, Handbook of Labor Economics, Vol. 4A</w:t>
      </w:r>
      <w:r w:rsidRPr="00B9268C">
        <w:rPr>
          <w:rFonts w:ascii="Times New Roman" w:eastAsia="Times New Roman" w:hAnsi="Times New Roman"/>
          <w:sz w:val="24"/>
          <w:szCs w:val="24"/>
          <w:lang w:eastAsia="pt-BR"/>
        </w:rPr>
        <w:t xml:space="preserve">, Pages </w:t>
      </w:r>
      <w:r>
        <w:rPr>
          <w:rFonts w:ascii="Times New Roman" w:eastAsia="Times New Roman" w:hAnsi="Times New Roman"/>
          <w:sz w:val="24"/>
          <w:szCs w:val="24"/>
          <w:lang w:eastAsia="pt-BR"/>
        </w:rPr>
        <w:t>1-102.</w:t>
      </w:r>
    </w:p>
    <w:p w:rsidR="00BA1E27" w:rsidRDefault="00BA1E27" w:rsidP="00C17C6A">
      <w:pPr>
        <w:spacing w:line="240" w:lineRule="auto"/>
        <w:contextualSpacing/>
        <w:rPr>
          <w:rFonts w:ascii="Times New Roman" w:eastAsia="Times New Roman" w:hAnsi="Times New Roman"/>
          <w:sz w:val="24"/>
          <w:szCs w:val="24"/>
          <w:lang w:eastAsia="pt-BR"/>
        </w:rPr>
      </w:pPr>
    </w:p>
    <w:p w:rsidR="00BA1E27" w:rsidRPr="00030C59"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roofErr w:type="spellStart"/>
      <w:r w:rsidRPr="00E37AC1">
        <w:rPr>
          <w:rFonts w:ascii="Times New Roman" w:eastAsia="Times New Roman" w:hAnsi="Times New Roman"/>
          <w:sz w:val="24"/>
          <w:szCs w:val="24"/>
          <w:lang w:eastAsia="pt-BR"/>
        </w:rPr>
        <w:t>Hartog</w:t>
      </w:r>
      <w:proofErr w:type="spellEnd"/>
      <w:r w:rsidRPr="00E37AC1">
        <w:rPr>
          <w:rFonts w:ascii="Times New Roman" w:eastAsia="Times New Roman" w:hAnsi="Times New Roman"/>
          <w:sz w:val="24"/>
          <w:szCs w:val="24"/>
          <w:lang w:eastAsia="pt-BR"/>
        </w:rPr>
        <w:t xml:space="preserve">, J. (2000). </w:t>
      </w:r>
      <w:proofErr w:type="gramStart"/>
      <w:r>
        <w:rPr>
          <w:rFonts w:ascii="Times New Roman" w:eastAsia="Times New Roman" w:hAnsi="Times New Roman"/>
          <w:sz w:val="24"/>
          <w:szCs w:val="24"/>
          <w:lang w:eastAsia="pt-BR"/>
        </w:rPr>
        <w:t>“</w:t>
      </w:r>
      <w:proofErr w:type="spellStart"/>
      <w:r w:rsidRPr="00E37AC1">
        <w:rPr>
          <w:rFonts w:ascii="Times New Roman" w:eastAsia="Times New Roman" w:hAnsi="Times New Roman"/>
          <w:sz w:val="24"/>
          <w:szCs w:val="24"/>
          <w:lang w:eastAsia="pt-BR"/>
        </w:rPr>
        <w:t>Overeducation</w:t>
      </w:r>
      <w:proofErr w:type="spellEnd"/>
      <w:r w:rsidRPr="00E37AC1">
        <w:rPr>
          <w:rFonts w:ascii="Times New Roman" w:eastAsia="Times New Roman" w:hAnsi="Times New Roman"/>
          <w:sz w:val="24"/>
          <w:szCs w:val="24"/>
          <w:lang w:eastAsia="pt-BR"/>
        </w:rPr>
        <w:t xml:space="preserve"> and earnings.</w:t>
      </w:r>
      <w:proofErr w:type="gramEnd"/>
      <w:r w:rsidRPr="00E37AC1">
        <w:rPr>
          <w:rFonts w:ascii="Times New Roman" w:eastAsia="Times New Roman" w:hAnsi="Times New Roman"/>
          <w:sz w:val="24"/>
          <w:szCs w:val="24"/>
          <w:lang w:eastAsia="pt-BR"/>
        </w:rPr>
        <w:t xml:space="preserve"> Where are we, where</w:t>
      </w:r>
      <w:r>
        <w:rPr>
          <w:rFonts w:ascii="Times New Roman" w:eastAsia="Times New Roman" w:hAnsi="Times New Roman"/>
          <w:sz w:val="24"/>
          <w:szCs w:val="24"/>
          <w:lang w:eastAsia="pt-BR"/>
        </w:rPr>
        <w:t xml:space="preserve"> </w:t>
      </w:r>
      <w:r w:rsidRPr="00E37AC1">
        <w:rPr>
          <w:rFonts w:ascii="Times New Roman" w:eastAsia="Times New Roman" w:hAnsi="Times New Roman"/>
          <w:sz w:val="24"/>
          <w:szCs w:val="24"/>
          <w:lang w:eastAsia="pt-BR"/>
        </w:rPr>
        <w:t>should we go?</w:t>
      </w:r>
      <w:r>
        <w:rPr>
          <w:rFonts w:ascii="Times New Roman" w:eastAsia="Times New Roman" w:hAnsi="Times New Roman"/>
          <w:sz w:val="24"/>
          <w:szCs w:val="24"/>
          <w:lang w:eastAsia="pt-BR"/>
        </w:rPr>
        <w:t>”</w:t>
      </w:r>
      <w:r w:rsidRPr="00E37AC1">
        <w:rPr>
          <w:rFonts w:ascii="Times New Roman" w:eastAsia="Times New Roman" w:hAnsi="Times New Roman"/>
          <w:sz w:val="24"/>
          <w:szCs w:val="24"/>
          <w:lang w:eastAsia="pt-BR"/>
        </w:rPr>
        <w:t xml:space="preserve"> Economics of Education Review, 19(2), 131–147.</w:t>
      </w:r>
    </w:p>
    <w:p w:rsidR="00BA1E27" w:rsidRDefault="00BA1E27" w:rsidP="00C17C6A">
      <w:pPr>
        <w:spacing w:line="240" w:lineRule="auto"/>
        <w:contextualSpacing/>
        <w:rPr>
          <w:rFonts w:ascii="Times New Roman" w:eastAsia="Times New Roman" w:hAnsi="Times New Roman"/>
          <w:sz w:val="24"/>
          <w:szCs w:val="24"/>
          <w:lang w:eastAsia="pt-BR"/>
        </w:rPr>
      </w:pPr>
    </w:p>
    <w:p w:rsidR="00BA1E27" w:rsidRPr="001C40A4" w:rsidRDefault="00BA1E27" w:rsidP="00C17C6A">
      <w:pPr>
        <w:spacing w:after="120" w:line="240" w:lineRule="auto"/>
        <w:contextualSpacing/>
        <w:jc w:val="both"/>
        <w:rPr>
          <w:rFonts w:ascii="Times New Roman" w:eastAsia="Times New Roman" w:hAnsi="Times New Roman"/>
          <w:sz w:val="24"/>
          <w:szCs w:val="24"/>
          <w:lang w:eastAsia="pt-BR"/>
        </w:rPr>
      </w:pPr>
      <w:proofErr w:type="spellStart"/>
      <w:r w:rsidRPr="001C40A4">
        <w:rPr>
          <w:rFonts w:ascii="Times New Roman" w:eastAsia="Times New Roman" w:hAnsi="Times New Roman"/>
          <w:sz w:val="24"/>
          <w:szCs w:val="24"/>
          <w:lang w:eastAsia="pt-BR"/>
        </w:rPr>
        <w:t>Juhn</w:t>
      </w:r>
      <w:proofErr w:type="spellEnd"/>
      <w:r w:rsidRPr="001C40A4">
        <w:rPr>
          <w:rFonts w:ascii="Times New Roman" w:eastAsia="Times New Roman" w:hAnsi="Times New Roman"/>
          <w:sz w:val="24"/>
          <w:szCs w:val="24"/>
          <w:lang w:eastAsia="pt-BR"/>
        </w:rPr>
        <w:t>, C., Murphy, K., Pierce, B., 1993. Wage inequality and the rise in returns to skill. Journal of Political Economy 101 (3), 410-442.</w:t>
      </w:r>
    </w:p>
    <w:p w:rsid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A1E27" w:rsidRPr="0041463D"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roofErr w:type="spellStart"/>
      <w:proofErr w:type="gramStart"/>
      <w:r w:rsidRPr="0041463D">
        <w:rPr>
          <w:rFonts w:ascii="Times New Roman" w:eastAsia="Times New Roman" w:hAnsi="Times New Roman"/>
          <w:sz w:val="24"/>
          <w:szCs w:val="24"/>
          <w:lang w:eastAsia="pt-BR"/>
        </w:rPr>
        <w:t>Nordin</w:t>
      </w:r>
      <w:proofErr w:type="spellEnd"/>
      <w:r w:rsidRPr="0041463D">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M.</w:t>
      </w:r>
      <w:r w:rsidRPr="0041463D">
        <w:rPr>
          <w:rFonts w:ascii="Times New Roman" w:eastAsia="Times New Roman" w:hAnsi="Times New Roman"/>
          <w:sz w:val="24"/>
          <w:szCs w:val="24"/>
          <w:lang w:eastAsia="pt-BR"/>
        </w:rPr>
        <w:t xml:space="preserve">, </w:t>
      </w:r>
      <w:proofErr w:type="spellStart"/>
      <w:r w:rsidRPr="0041463D">
        <w:rPr>
          <w:rFonts w:ascii="Times New Roman" w:eastAsia="Times New Roman" w:hAnsi="Times New Roman"/>
          <w:sz w:val="24"/>
          <w:szCs w:val="24"/>
          <w:lang w:eastAsia="pt-BR"/>
        </w:rPr>
        <w:t>Persson</w:t>
      </w:r>
      <w:proofErr w:type="spellEnd"/>
      <w:r w:rsidRPr="0041463D">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I.</w:t>
      </w:r>
      <w:r w:rsidRPr="0041463D">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 xml:space="preserve">and R. </w:t>
      </w:r>
      <w:r w:rsidRPr="0041463D">
        <w:rPr>
          <w:rFonts w:ascii="Times New Roman" w:eastAsia="Times New Roman" w:hAnsi="Times New Roman"/>
          <w:sz w:val="24"/>
          <w:szCs w:val="24"/>
          <w:lang w:eastAsia="pt-BR"/>
        </w:rPr>
        <w:t>Dan-</w:t>
      </w:r>
      <w:proofErr w:type="spellStart"/>
      <w:r w:rsidRPr="0041463D">
        <w:rPr>
          <w:rFonts w:ascii="Times New Roman" w:eastAsia="Times New Roman" w:hAnsi="Times New Roman"/>
          <w:sz w:val="24"/>
          <w:szCs w:val="24"/>
          <w:lang w:eastAsia="pt-BR"/>
        </w:rPr>
        <w:t>Olof</w:t>
      </w:r>
      <w:proofErr w:type="spellEnd"/>
      <w:r>
        <w:rPr>
          <w:rFonts w:ascii="Times New Roman" w:eastAsia="Times New Roman" w:hAnsi="Times New Roman"/>
          <w:sz w:val="24"/>
          <w:szCs w:val="24"/>
          <w:lang w:eastAsia="pt-BR"/>
        </w:rPr>
        <w:t>, 2010.</w:t>
      </w:r>
      <w:proofErr w:type="gramEnd"/>
      <w:r>
        <w:rPr>
          <w:rFonts w:ascii="Times New Roman" w:eastAsia="Times New Roman" w:hAnsi="Times New Roman"/>
          <w:sz w:val="24"/>
          <w:szCs w:val="24"/>
          <w:lang w:eastAsia="pt-BR"/>
        </w:rPr>
        <w:t xml:space="preserve"> “</w:t>
      </w:r>
      <w:r w:rsidRPr="0041463D">
        <w:rPr>
          <w:rFonts w:ascii="Times New Roman" w:eastAsia="Times New Roman" w:hAnsi="Times New Roman"/>
          <w:sz w:val="24"/>
          <w:szCs w:val="24"/>
          <w:lang w:eastAsia="pt-BR"/>
        </w:rPr>
        <w:t>Education–occupation mismatch: Is there an income penalty?</w:t>
      </w:r>
      <w:r>
        <w:rPr>
          <w:rFonts w:ascii="Times New Roman" w:eastAsia="Times New Roman" w:hAnsi="Times New Roman"/>
          <w:sz w:val="24"/>
          <w:szCs w:val="24"/>
          <w:lang w:eastAsia="pt-BR"/>
        </w:rPr>
        <w:t>”</w:t>
      </w:r>
      <w:proofErr w:type="gramStart"/>
      <w:r>
        <w:rPr>
          <w:rFonts w:ascii="Times New Roman" w:eastAsia="Times New Roman" w:hAnsi="Times New Roman"/>
          <w:sz w:val="24"/>
          <w:szCs w:val="24"/>
          <w:lang w:eastAsia="pt-BR"/>
        </w:rPr>
        <w:t xml:space="preserve">,  </w:t>
      </w:r>
      <w:r w:rsidRPr="0041463D">
        <w:rPr>
          <w:rFonts w:ascii="Times New Roman" w:eastAsia="Times New Roman" w:hAnsi="Times New Roman"/>
          <w:sz w:val="24"/>
          <w:szCs w:val="24"/>
          <w:lang w:eastAsia="pt-BR"/>
        </w:rPr>
        <w:t>Economics</w:t>
      </w:r>
      <w:proofErr w:type="gramEnd"/>
      <w:r w:rsidRPr="0041463D">
        <w:rPr>
          <w:rFonts w:ascii="Times New Roman" w:eastAsia="Times New Roman" w:hAnsi="Times New Roman"/>
          <w:sz w:val="24"/>
          <w:szCs w:val="24"/>
          <w:lang w:eastAsia="pt-BR"/>
        </w:rPr>
        <w:t xml:space="preserve"> of Education Review 29, 1047-1059.</w:t>
      </w:r>
    </w:p>
    <w:p w:rsid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A1E27" w:rsidRPr="00FC4F79" w:rsidRDefault="00BA1E27" w:rsidP="00C17C6A">
      <w:pPr>
        <w:pStyle w:val="Recuodecorpodetexto"/>
        <w:spacing w:before="120" w:line="240" w:lineRule="auto"/>
        <w:ind w:left="0"/>
        <w:contextualSpacing/>
        <w:rPr>
          <w:rFonts w:ascii="Times New Roman" w:eastAsia="Times New Roman" w:hAnsi="Times New Roman"/>
          <w:sz w:val="24"/>
          <w:szCs w:val="24"/>
          <w:lang w:eastAsia="pt-BR"/>
        </w:rPr>
      </w:pPr>
      <w:proofErr w:type="gramStart"/>
      <w:r w:rsidRPr="00FC4F79">
        <w:rPr>
          <w:rFonts w:ascii="Times New Roman" w:eastAsia="Times New Roman" w:hAnsi="Times New Roman"/>
          <w:sz w:val="24"/>
          <w:szCs w:val="24"/>
          <w:lang w:eastAsia="pt-BR"/>
        </w:rPr>
        <w:t>Oaxaca, R. L. “Male-female wage differentials in urban labor markets”, International Economic Review, 14, 1973, p. 693-709.</w:t>
      </w:r>
      <w:proofErr w:type="gramEnd"/>
    </w:p>
    <w:p w:rsidR="00BA1E27" w:rsidRPr="0041463D"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A1E27" w:rsidRPr="00E37AC1"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roofErr w:type="spellStart"/>
      <w:r w:rsidRPr="00E37AC1">
        <w:rPr>
          <w:rFonts w:ascii="Times New Roman" w:eastAsia="Times New Roman" w:hAnsi="Times New Roman"/>
          <w:sz w:val="24"/>
          <w:szCs w:val="24"/>
          <w:lang w:eastAsia="pt-BR"/>
        </w:rPr>
        <w:t>Robst</w:t>
      </w:r>
      <w:proofErr w:type="spellEnd"/>
      <w:r w:rsidRPr="00E37AC1">
        <w:rPr>
          <w:rFonts w:ascii="Times New Roman" w:eastAsia="Times New Roman" w:hAnsi="Times New Roman"/>
          <w:sz w:val="24"/>
          <w:szCs w:val="24"/>
          <w:lang w:eastAsia="pt-BR"/>
        </w:rPr>
        <w:t xml:space="preserve">, J. (2007a). </w:t>
      </w:r>
      <w:r>
        <w:rPr>
          <w:rFonts w:ascii="Times New Roman" w:eastAsia="Times New Roman" w:hAnsi="Times New Roman"/>
          <w:sz w:val="24"/>
          <w:szCs w:val="24"/>
          <w:lang w:eastAsia="pt-BR"/>
        </w:rPr>
        <w:t>“</w:t>
      </w:r>
      <w:r w:rsidRPr="00E37AC1">
        <w:rPr>
          <w:rFonts w:ascii="Times New Roman" w:eastAsia="Times New Roman" w:hAnsi="Times New Roman"/>
          <w:sz w:val="24"/>
          <w:szCs w:val="24"/>
          <w:lang w:eastAsia="pt-BR"/>
        </w:rPr>
        <w:t>Education and job match: The relatedness of college</w:t>
      </w:r>
      <w:r>
        <w:rPr>
          <w:rFonts w:ascii="Times New Roman" w:eastAsia="Times New Roman" w:hAnsi="Times New Roman"/>
          <w:sz w:val="24"/>
          <w:szCs w:val="24"/>
          <w:lang w:eastAsia="pt-BR"/>
        </w:rPr>
        <w:t xml:space="preserve"> major and </w:t>
      </w:r>
      <w:r w:rsidRPr="00E37AC1">
        <w:rPr>
          <w:rFonts w:ascii="Times New Roman" w:eastAsia="Times New Roman" w:hAnsi="Times New Roman"/>
          <w:sz w:val="24"/>
          <w:szCs w:val="24"/>
          <w:lang w:eastAsia="pt-BR"/>
        </w:rPr>
        <w:t>work</w:t>
      </w:r>
      <w:r>
        <w:rPr>
          <w:rFonts w:ascii="Times New Roman" w:eastAsia="Times New Roman" w:hAnsi="Times New Roman"/>
          <w:sz w:val="24"/>
          <w:szCs w:val="24"/>
          <w:lang w:eastAsia="pt-BR"/>
        </w:rPr>
        <w:t>”</w:t>
      </w:r>
      <w:r w:rsidRPr="00E37AC1">
        <w:rPr>
          <w:rFonts w:ascii="Times New Roman" w:eastAsia="Times New Roman" w:hAnsi="Times New Roman"/>
          <w:sz w:val="24"/>
          <w:szCs w:val="24"/>
          <w:lang w:eastAsia="pt-BR"/>
        </w:rPr>
        <w:t>. Economics of Education Review, 26(4), 397–407.</w:t>
      </w:r>
    </w:p>
    <w:p w:rsidR="00BA1E27" w:rsidRP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A1E27" w:rsidRP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A1E27" w:rsidRDefault="00BA1E27"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B53F65" w:rsidRDefault="00B53F65" w:rsidP="00C17C6A">
      <w:pPr>
        <w:autoSpaceDE w:val="0"/>
        <w:autoSpaceDN w:val="0"/>
        <w:adjustRightInd w:val="0"/>
        <w:spacing w:after="0" w:line="240" w:lineRule="auto"/>
        <w:contextualSpacing/>
        <w:rPr>
          <w:rFonts w:ascii="Times New Roman" w:eastAsia="Times New Roman" w:hAnsi="Times New Roman"/>
          <w:sz w:val="24"/>
          <w:szCs w:val="24"/>
          <w:lang w:eastAsia="pt-BR"/>
        </w:rPr>
      </w:pPr>
    </w:p>
    <w:p w:rsidR="007F3C00" w:rsidRPr="00E639BA" w:rsidRDefault="007F3C00" w:rsidP="00C17C6A">
      <w:pPr>
        <w:spacing w:line="240" w:lineRule="auto"/>
        <w:contextualSpacing/>
        <w:rPr>
          <w:rFonts w:ascii="Times New Roman" w:eastAsia="Times New Roman" w:hAnsi="Times New Roman"/>
          <w:b/>
          <w:sz w:val="24"/>
          <w:szCs w:val="24"/>
          <w:lang w:eastAsia="pt-BR"/>
        </w:rPr>
      </w:pPr>
      <w:bookmarkStart w:id="0" w:name="_GoBack"/>
      <w:bookmarkEnd w:id="0"/>
      <w:r w:rsidRPr="00E639BA">
        <w:rPr>
          <w:rFonts w:ascii="Times New Roman" w:eastAsia="Times New Roman" w:hAnsi="Times New Roman"/>
          <w:b/>
          <w:sz w:val="24"/>
          <w:szCs w:val="24"/>
          <w:lang w:eastAsia="pt-BR"/>
        </w:rPr>
        <w:lastRenderedPageBreak/>
        <w:t>Appendix</w:t>
      </w:r>
      <w:r w:rsidR="002E13F4" w:rsidRPr="00E639BA">
        <w:rPr>
          <w:rFonts w:ascii="Times New Roman" w:eastAsia="Times New Roman" w:hAnsi="Times New Roman"/>
          <w:b/>
          <w:sz w:val="24"/>
          <w:szCs w:val="24"/>
          <w:lang w:eastAsia="pt-BR"/>
        </w:rPr>
        <w:t xml:space="preserve"> A</w:t>
      </w:r>
    </w:p>
    <w:p w:rsidR="002E020C" w:rsidRPr="00E639BA" w:rsidRDefault="00A22B3E" w:rsidP="00C17C6A">
      <w:pPr>
        <w:spacing w:line="240" w:lineRule="auto"/>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ab/>
      </w:r>
    </w:p>
    <w:p w:rsidR="00C8583B" w:rsidRPr="00E639BA" w:rsidRDefault="00A22B3E"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The 2000 Brazilian Census classifies individuals with </w:t>
      </w:r>
      <w:r w:rsidR="006B6946" w:rsidRPr="00E639BA">
        <w:rPr>
          <w:rFonts w:ascii="Times New Roman" w:eastAsia="Times New Roman" w:hAnsi="Times New Roman"/>
          <w:sz w:val="24"/>
          <w:szCs w:val="24"/>
          <w:lang w:eastAsia="pt-BR"/>
        </w:rPr>
        <w:t xml:space="preserve">a </w:t>
      </w:r>
      <w:r w:rsidR="00EE46B0" w:rsidRPr="00E639BA">
        <w:rPr>
          <w:rFonts w:ascii="Times New Roman" w:eastAsia="Times New Roman" w:hAnsi="Times New Roman"/>
          <w:sz w:val="24"/>
          <w:szCs w:val="24"/>
          <w:lang w:eastAsia="pt-BR"/>
        </w:rPr>
        <w:t>bachelor</w:t>
      </w:r>
      <w:r w:rsidR="005F2AF9" w:rsidRPr="00E639BA">
        <w:rPr>
          <w:rFonts w:ascii="Times New Roman" w:eastAsia="Times New Roman" w:hAnsi="Times New Roman"/>
          <w:sz w:val="24"/>
          <w:szCs w:val="24"/>
          <w:lang w:eastAsia="pt-BR"/>
        </w:rPr>
        <w:t>’s</w:t>
      </w:r>
      <w:r w:rsidR="00EE46B0" w:rsidRPr="00E639BA">
        <w:rPr>
          <w:rFonts w:ascii="Times New Roman" w:eastAsia="Times New Roman" w:hAnsi="Times New Roman"/>
          <w:sz w:val="24"/>
          <w:szCs w:val="24"/>
          <w:lang w:eastAsia="pt-BR"/>
        </w:rPr>
        <w:t xml:space="preserve"> </w:t>
      </w:r>
      <w:r w:rsidR="006B6946" w:rsidRPr="00E639BA">
        <w:rPr>
          <w:rFonts w:ascii="Times New Roman" w:eastAsia="Times New Roman" w:hAnsi="Times New Roman"/>
          <w:sz w:val="24"/>
          <w:szCs w:val="24"/>
          <w:lang w:eastAsia="pt-BR"/>
        </w:rPr>
        <w:t xml:space="preserve">degree </w:t>
      </w:r>
      <w:r w:rsidR="00100D69" w:rsidRPr="00E639BA">
        <w:rPr>
          <w:rFonts w:ascii="Times New Roman" w:eastAsia="Times New Roman" w:hAnsi="Times New Roman"/>
          <w:sz w:val="24"/>
          <w:szCs w:val="24"/>
          <w:lang w:eastAsia="pt-BR"/>
        </w:rPr>
        <w:t>into 4</w:t>
      </w:r>
      <w:r w:rsidR="006B6946" w:rsidRPr="00E639BA">
        <w:rPr>
          <w:rFonts w:ascii="Times New Roman" w:eastAsia="Times New Roman" w:hAnsi="Times New Roman"/>
          <w:sz w:val="24"/>
          <w:szCs w:val="24"/>
          <w:lang w:eastAsia="pt-BR"/>
        </w:rPr>
        <w:t>1</w:t>
      </w:r>
      <w:r w:rsidRPr="00E639BA">
        <w:rPr>
          <w:rFonts w:ascii="Times New Roman" w:eastAsia="Times New Roman" w:hAnsi="Times New Roman"/>
          <w:sz w:val="24"/>
          <w:szCs w:val="24"/>
          <w:lang w:eastAsia="pt-BR"/>
        </w:rPr>
        <w:t xml:space="preserve"> fields of study</w:t>
      </w:r>
      <w:r w:rsidR="006B6946" w:rsidRPr="00E639BA">
        <w:rPr>
          <w:rFonts w:ascii="Times New Roman" w:eastAsia="Times New Roman" w:hAnsi="Times New Roman"/>
          <w:sz w:val="24"/>
          <w:szCs w:val="24"/>
          <w:lang w:eastAsia="pt-BR"/>
        </w:rPr>
        <w:t>, and those</w:t>
      </w:r>
      <w:r w:rsidR="00100D69" w:rsidRPr="00E639BA">
        <w:rPr>
          <w:rFonts w:ascii="Times New Roman" w:eastAsia="Times New Roman" w:hAnsi="Times New Roman"/>
          <w:sz w:val="24"/>
          <w:szCs w:val="24"/>
          <w:lang w:eastAsia="pt-BR"/>
        </w:rPr>
        <w:t xml:space="preserve"> with a graduate degree</w:t>
      </w:r>
      <w:r w:rsidR="00AD58E5" w:rsidRPr="00E639BA">
        <w:rPr>
          <w:rFonts w:ascii="Times New Roman" w:eastAsia="Times New Roman" w:hAnsi="Times New Roman"/>
          <w:sz w:val="24"/>
          <w:szCs w:val="24"/>
          <w:lang w:eastAsia="pt-BR"/>
        </w:rPr>
        <w:t xml:space="preserve"> (master</w:t>
      </w:r>
      <w:r w:rsidR="005F2AF9" w:rsidRPr="00E639BA">
        <w:rPr>
          <w:rFonts w:ascii="Times New Roman" w:eastAsia="Times New Roman" w:hAnsi="Times New Roman"/>
          <w:sz w:val="24"/>
          <w:szCs w:val="24"/>
          <w:lang w:eastAsia="pt-BR"/>
        </w:rPr>
        <w:t>’s</w:t>
      </w:r>
      <w:r w:rsidR="00AD58E5" w:rsidRPr="00E639BA">
        <w:rPr>
          <w:rFonts w:ascii="Times New Roman" w:eastAsia="Times New Roman" w:hAnsi="Times New Roman"/>
          <w:sz w:val="24"/>
          <w:szCs w:val="24"/>
          <w:lang w:eastAsia="pt-BR"/>
        </w:rPr>
        <w:t xml:space="preserve"> or</w:t>
      </w:r>
      <w:r w:rsidR="00405C92" w:rsidRPr="00E639BA">
        <w:rPr>
          <w:rFonts w:ascii="Times New Roman" w:eastAsia="Times New Roman" w:hAnsi="Times New Roman"/>
          <w:sz w:val="24"/>
          <w:szCs w:val="24"/>
          <w:lang w:eastAsia="pt-BR"/>
        </w:rPr>
        <w:t xml:space="preserve"> doctoral</w:t>
      </w:r>
      <w:r w:rsidR="00AD58E5" w:rsidRPr="00E639BA">
        <w:rPr>
          <w:rFonts w:ascii="Times New Roman" w:eastAsia="Times New Roman" w:hAnsi="Times New Roman"/>
          <w:sz w:val="24"/>
          <w:szCs w:val="24"/>
          <w:lang w:eastAsia="pt-BR"/>
        </w:rPr>
        <w:t>, without distinction between them</w:t>
      </w:r>
      <w:r w:rsidR="00405C92" w:rsidRPr="00E639BA">
        <w:rPr>
          <w:rFonts w:ascii="Times New Roman" w:eastAsia="Times New Roman" w:hAnsi="Times New Roman"/>
          <w:sz w:val="24"/>
          <w:szCs w:val="24"/>
          <w:lang w:eastAsia="pt-BR"/>
        </w:rPr>
        <w:t>)</w:t>
      </w:r>
      <w:r w:rsidR="00210F15" w:rsidRPr="00E639BA">
        <w:rPr>
          <w:rFonts w:ascii="Times New Roman" w:eastAsia="Times New Roman" w:hAnsi="Times New Roman"/>
          <w:sz w:val="24"/>
          <w:szCs w:val="24"/>
          <w:lang w:eastAsia="pt-BR"/>
        </w:rPr>
        <w:t xml:space="preserve"> into</w:t>
      </w:r>
      <w:r w:rsidR="00100D69" w:rsidRPr="00E639BA">
        <w:rPr>
          <w:rFonts w:ascii="Times New Roman" w:eastAsia="Times New Roman" w:hAnsi="Times New Roman"/>
          <w:sz w:val="24"/>
          <w:szCs w:val="24"/>
          <w:lang w:eastAsia="pt-BR"/>
        </w:rPr>
        <w:t xml:space="preserve"> </w:t>
      </w:r>
      <w:r w:rsidR="00405C92" w:rsidRPr="00E639BA">
        <w:rPr>
          <w:rFonts w:ascii="Times New Roman" w:eastAsia="Times New Roman" w:hAnsi="Times New Roman"/>
          <w:sz w:val="24"/>
          <w:szCs w:val="24"/>
          <w:lang w:eastAsia="pt-BR"/>
        </w:rPr>
        <w:t>9</w:t>
      </w:r>
      <w:r w:rsidRPr="00E639BA">
        <w:rPr>
          <w:rFonts w:ascii="Times New Roman" w:eastAsia="Times New Roman" w:hAnsi="Times New Roman"/>
          <w:sz w:val="24"/>
          <w:szCs w:val="24"/>
          <w:lang w:eastAsia="pt-BR"/>
        </w:rPr>
        <w:t xml:space="preserve"> </w:t>
      </w:r>
      <w:r w:rsidR="00210F15" w:rsidRPr="00E639BA">
        <w:rPr>
          <w:rFonts w:ascii="Times New Roman" w:eastAsia="Times New Roman" w:hAnsi="Times New Roman"/>
          <w:sz w:val="24"/>
          <w:szCs w:val="24"/>
          <w:lang w:eastAsia="pt-BR"/>
        </w:rPr>
        <w:t>groups</w:t>
      </w:r>
      <w:r w:rsidRPr="00E639BA">
        <w:rPr>
          <w:rFonts w:ascii="Times New Roman" w:eastAsia="Times New Roman" w:hAnsi="Times New Roman"/>
          <w:sz w:val="24"/>
          <w:szCs w:val="24"/>
          <w:lang w:eastAsia="pt-BR"/>
        </w:rPr>
        <w:t xml:space="preserve">. </w:t>
      </w:r>
      <w:r w:rsidR="0089004D" w:rsidRPr="00E639BA">
        <w:rPr>
          <w:rFonts w:ascii="Times New Roman" w:eastAsia="Times New Roman" w:hAnsi="Times New Roman"/>
          <w:sz w:val="24"/>
          <w:szCs w:val="24"/>
          <w:lang w:eastAsia="pt-BR"/>
        </w:rPr>
        <w:t>In</w:t>
      </w:r>
      <w:r w:rsidR="00DB0DEB" w:rsidRPr="00E639BA">
        <w:rPr>
          <w:rFonts w:ascii="Times New Roman" w:eastAsia="Times New Roman" w:hAnsi="Times New Roman"/>
          <w:sz w:val="24"/>
          <w:szCs w:val="24"/>
          <w:lang w:eastAsia="pt-BR"/>
        </w:rPr>
        <w:t xml:space="preserve"> the</w:t>
      </w:r>
      <w:r w:rsidR="0089004D" w:rsidRPr="00E639BA">
        <w:rPr>
          <w:rFonts w:ascii="Times New Roman" w:eastAsia="Times New Roman" w:hAnsi="Times New Roman"/>
          <w:sz w:val="24"/>
          <w:szCs w:val="24"/>
          <w:lang w:eastAsia="pt-BR"/>
        </w:rPr>
        <w:t xml:space="preserve"> 2010</w:t>
      </w:r>
      <w:r w:rsidR="00DB0DEB" w:rsidRPr="00E639BA">
        <w:rPr>
          <w:rFonts w:ascii="Times New Roman" w:eastAsia="Times New Roman" w:hAnsi="Times New Roman"/>
          <w:sz w:val="24"/>
          <w:szCs w:val="24"/>
          <w:lang w:eastAsia="pt-BR"/>
        </w:rPr>
        <w:t xml:space="preserve"> Census</w:t>
      </w:r>
      <w:r w:rsidR="0089004D" w:rsidRPr="00E639BA">
        <w:rPr>
          <w:rFonts w:ascii="Times New Roman" w:eastAsia="Times New Roman" w:hAnsi="Times New Roman"/>
          <w:sz w:val="24"/>
          <w:szCs w:val="24"/>
          <w:lang w:eastAsia="pt-BR"/>
        </w:rPr>
        <w:t xml:space="preserve">, </w:t>
      </w:r>
      <w:r w:rsidR="00100D69" w:rsidRPr="00E639BA">
        <w:rPr>
          <w:rFonts w:ascii="Times New Roman" w:eastAsia="Times New Roman" w:hAnsi="Times New Roman"/>
          <w:sz w:val="24"/>
          <w:szCs w:val="24"/>
          <w:lang w:eastAsia="pt-BR"/>
        </w:rPr>
        <w:t xml:space="preserve">individuals </w:t>
      </w:r>
      <w:r w:rsidR="00210F15" w:rsidRPr="00E639BA">
        <w:rPr>
          <w:rFonts w:ascii="Times New Roman" w:eastAsia="Times New Roman" w:hAnsi="Times New Roman"/>
          <w:sz w:val="24"/>
          <w:szCs w:val="24"/>
          <w:lang w:eastAsia="pt-BR"/>
        </w:rPr>
        <w:t xml:space="preserve">with a </w:t>
      </w:r>
      <w:r w:rsidR="00EE46B0" w:rsidRPr="00E639BA">
        <w:rPr>
          <w:rFonts w:ascii="Times New Roman" w:eastAsia="Times New Roman" w:hAnsi="Times New Roman"/>
          <w:sz w:val="24"/>
          <w:szCs w:val="24"/>
          <w:lang w:eastAsia="pt-BR"/>
        </w:rPr>
        <w:t>bachelor</w:t>
      </w:r>
      <w:r w:rsidR="005F2AF9" w:rsidRPr="00E639BA">
        <w:rPr>
          <w:rFonts w:ascii="Times New Roman" w:eastAsia="Times New Roman" w:hAnsi="Times New Roman"/>
          <w:sz w:val="24"/>
          <w:szCs w:val="24"/>
          <w:lang w:eastAsia="pt-BR"/>
        </w:rPr>
        <w:t>’s</w:t>
      </w:r>
      <w:r w:rsidR="00EE46B0" w:rsidRPr="00E639BA">
        <w:rPr>
          <w:rFonts w:ascii="Times New Roman" w:eastAsia="Times New Roman" w:hAnsi="Times New Roman"/>
          <w:sz w:val="24"/>
          <w:szCs w:val="24"/>
          <w:lang w:eastAsia="pt-BR"/>
        </w:rPr>
        <w:t xml:space="preserve"> </w:t>
      </w:r>
      <w:r w:rsidR="00210F15" w:rsidRPr="00E639BA">
        <w:rPr>
          <w:rFonts w:ascii="Times New Roman" w:eastAsia="Times New Roman" w:hAnsi="Times New Roman"/>
          <w:sz w:val="24"/>
          <w:szCs w:val="24"/>
          <w:lang w:eastAsia="pt-BR"/>
        </w:rPr>
        <w:t xml:space="preserve">degree </w:t>
      </w:r>
      <w:r w:rsidR="00100D69" w:rsidRPr="00E639BA">
        <w:rPr>
          <w:rFonts w:ascii="Times New Roman" w:eastAsia="Times New Roman" w:hAnsi="Times New Roman"/>
          <w:sz w:val="24"/>
          <w:szCs w:val="24"/>
          <w:lang w:eastAsia="pt-BR"/>
        </w:rPr>
        <w:t xml:space="preserve">are classified into </w:t>
      </w:r>
      <w:r w:rsidR="00C9268F" w:rsidRPr="00E639BA">
        <w:rPr>
          <w:rFonts w:ascii="Times New Roman" w:eastAsia="Times New Roman" w:hAnsi="Times New Roman"/>
          <w:sz w:val="24"/>
          <w:szCs w:val="24"/>
          <w:lang w:eastAsia="pt-BR"/>
        </w:rPr>
        <w:t>89</w:t>
      </w:r>
      <w:r w:rsidR="00210F15" w:rsidRPr="00E639BA">
        <w:rPr>
          <w:rFonts w:ascii="Times New Roman" w:eastAsia="Times New Roman" w:hAnsi="Times New Roman"/>
          <w:sz w:val="24"/>
          <w:szCs w:val="24"/>
          <w:lang w:eastAsia="pt-BR"/>
        </w:rPr>
        <w:t xml:space="preserve"> areas of study, </w:t>
      </w:r>
      <w:r w:rsidR="00C8583B" w:rsidRPr="00E639BA">
        <w:rPr>
          <w:rFonts w:ascii="Times New Roman" w:eastAsia="Times New Roman" w:hAnsi="Times New Roman"/>
          <w:sz w:val="24"/>
          <w:szCs w:val="24"/>
          <w:lang w:eastAsia="pt-BR"/>
        </w:rPr>
        <w:t>which are similar to the ones available to classify those with a master</w:t>
      </w:r>
      <w:r w:rsidR="005F2AF9" w:rsidRPr="00E639BA">
        <w:rPr>
          <w:rFonts w:ascii="Times New Roman" w:eastAsia="Times New Roman" w:hAnsi="Times New Roman"/>
          <w:sz w:val="24"/>
          <w:szCs w:val="24"/>
          <w:lang w:eastAsia="pt-BR"/>
        </w:rPr>
        <w:t>’s</w:t>
      </w:r>
      <w:r w:rsidR="00C8583B" w:rsidRPr="00E639BA">
        <w:rPr>
          <w:rFonts w:ascii="Times New Roman" w:eastAsia="Times New Roman" w:hAnsi="Times New Roman"/>
          <w:sz w:val="24"/>
          <w:szCs w:val="24"/>
          <w:lang w:eastAsia="pt-BR"/>
        </w:rPr>
        <w:t xml:space="preserve"> or doctoral degree. In both periods, an individual</w:t>
      </w:r>
      <w:r w:rsidR="005F2AF9" w:rsidRPr="00E639BA">
        <w:rPr>
          <w:rFonts w:ascii="Times New Roman" w:eastAsia="Times New Roman" w:hAnsi="Times New Roman"/>
          <w:sz w:val="24"/>
          <w:szCs w:val="24"/>
          <w:lang w:eastAsia="pt-BR"/>
        </w:rPr>
        <w:t>’s</w:t>
      </w:r>
      <w:r w:rsidR="00C8583B" w:rsidRPr="00E639BA">
        <w:rPr>
          <w:rFonts w:ascii="Times New Roman" w:eastAsia="Times New Roman" w:hAnsi="Times New Roman"/>
          <w:sz w:val="24"/>
          <w:szCs w:val="24"/>
          <w:lang w:eastAsia="pt-BR"/>
        </w:rPr>
        <w:t xml:space="preserve"> field of study is defined according to his or her highest educational degree.</w:t>
      </w:r>
    </w:p>
    <w:p w:rsidR="00F730AD" w:rsidRPr="00E639BA" w:rsidRDefault="00154D39"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The 2000 and 2010 codes for field of study are matched following the description reported in Table A1</w:t>
      </w:r>
      <w:r w:rsidR="00930C14" w:rsidRPr="00E639BA">
        <w:rPr>
          <w:rFonts w:ascii="Times New Roman" w:eastAsia="Times New Roman" w:hAnsi="Times New Roman"/>
          <w:sz w:val="24"/>
          <w:szCs w:val="24"/>
          <w:lang w:eastAsia="pt-BR"/>
        </w:rPr>
        <w:t xml:space="preserve"> (columns (1) and (2))</w:t>
      </w:r>
      <w:r w:rsidRPr="00E639BA">
        <w:rPr>
          <w:rFonts w:ascii="Times New Roman" w:eastAsia="Times New Roman" w:hAnsi="Times New Roman"/>
          <w:sz w:val="24"/>
          <w:szCs w:val="24"/>
          <w:lang w:eastAsia="pt-BR"/>
        </w:rPr>
        <w:t>. For</w:t>
      </w:r>
      <w:r w:rsidR="00930C14" w:rsidRPr="00E639BA">
        <w:rPr>
          <w:rFonts w:ascii="Times New Roman" w:eastAsia="Times New Roman" w:hAnsi="Times New Roman"/>
          <w:sz w:val="24"/>
          <w:szCs w:val="24"/>
          <w:lang w:eastAsia="pt-BR"/>
        </w:rPr>
        <w:t xml:space="preserve"> many</w:t>
      </w:r>
      <w:r w:rsidRPr="00E639BA">
        <w:rPr>
          <w:rFonts w:ascii="Times New Roman" w:eastAsia="Times New Roman" w:hAnsi="Times New Roman"/>
          <w:sz w:val="24"/>
          <w:szCs w:val="24"/>
          <w:lang w:eastAsia="pt-BR"/>
        </w:rPr>
        <w:t xml:space="preserve"> areas of study</w:t>
      </w:r>
      <w:r w:rsidR="00930C14" w:rsidRPr="00E639BA">
        <w:rPr>
          <w:rFonts w:ascii="Times New Roman" w:eastAsia="Times New Roman" w:hAnsi="Times New Roman"/>
          <w:sz w:val="24"/>
          <w:szCs w:val="24"/>
          <w:lang w:eastAsia="pt-BR"/>
        </w:rPr>
        <w:t>, mainly for those</w:t>
      </w:r>
      <w:r w:rsidRPr="00E639BA">
        <w:rPr>
          <w:rFonts w:ascii="Times New Roman" w:eastAsia="Times New Roman" w:hAnsi="Times New Roman"/>
          <w:sz w:val="24"/>
          <w:szCs w:val="24"/>
          <w:lang w:eastAsia="pt-BR"/>
        </w:rPr>
        <w:t xml:space="preserve"> </w:t>
      </w:r>
      <w:r w:rsidR="00930C14" w:rsidRPr="00E639BA">
        <w:rPr>
          <w:rFonts w:ascii="Times New Roman" w:eastAsia="Times New Roman" w:hAnsi="Times New Roman"/>
          <w:sz w:val="24"/>
          <w:szCs w:val="24"/>
          <w:lang w:eastAsia="pt-BR"/>
        </w:rPr>
        <w:t>comprising</w:t>
      </w:r>
      <w:r w:rsidR="007C69C4" w:rsidRPr="00E639BA">
        <w:rPr>
          <w:rFonts w:ascii="Times New Roman" w:eastAsia="Times New Roman" w:hAnsi="Times New Roman"/>
          <w:sz w:val="24"/>
          <w:szCs w:val="24"/>
          <w:lang w:eastAsia="pt-BR"/>
        </w:rPr>
        <w:t xml:space="preserve"> a</w:t>
      </w:r>
      <w:r w:rsidR="00122EDD" w:rsidRPr="00E639BA">
        <w:rPr>
          <w:rFonts w:ascii="Times New Roman" w:eastAsia="Times New Roman" w:hAnsi="Times New Roman"/>
          <w:sz w:val="24"/>
          <w:szCs w:val="24"/>
          <w:lang w:eastAsia="pt-BR"/>
        </w:rPr>
        <w:t>n important</w:t>
      </w:r>
      <w:r w:rsidR="007C69C4" w:rsidRPr="00E639BA">
        <w:rPr>
          <w:rFonts w:ascii="Times New Roman" w:eastAsia="Times New Roman" w:hAnsi="Times New Roman"/>
          <w:sz w:val="24"/>
          <w:szCs w:val="24"/>
          <w:lang w:eastAsia="pt-BR"/>
        </w:rPr>
        <w:t xml:space="preserve"> share of the individuals with tertiary education</w:t>
      </w:r>
      <w:r w:rsidR="00122EDD" w:rsidRPr="00E639BA">
        <w:rPr>
          <w:rFonts w:ascii="Times New Roman" w:eastAsia="Times New Roman" w:hAnsi="Times New Roman"/>
          <w:sz w:val="24"/>
          <w:szCs w:val="24"/>
          <w:lang w:eastAsia="pt-BR"/>
        </w:rPr>
        <w:t xml:space="preserve"> in Brazil</w:t>
      </w:r>
      <w:r w:rsidR="007C69C4" w:rsidRPr="00E639BA">
        <w:rPr>
          <w:rFonts w:ascii="Times New Roman" w:eastAsia="Times New Roman" w:hAnsi="Times New Roman"/>
          <w:sz w:val="24"/>
          <w:szCs w:val="24"/>
          <w:lang w:eastAsia="pt-BR"/>
        </w:rPr>
        <w:t xml:space="preserve">, </w:t>
      </w:r>
      <w:r w:rsidR="00122EDD" w:rsidRPr="00E639BA">
        <w:rPr>
          <w:rFonts w:ascii="Times New Roman" w:eastAsia="Times New Roman" w:hAnsi="Times New Roman"/>
          <w:sz w:val="24"/>
          <w:szCs w:val="24"/>
          <w:lang w:eastAsia="pt-BR"/>
        </w:rPr>
        <w:t xml:space="preserve">such as medicine and law, </w:t>
      </w:r>
      <w:r w:rsidR="007C69C4" w:rsidRPr="00E639BA">
        <w:rPr>
          <w:rFonts w:ascii="Times New Roman" w:eastAsia="Times New Roman" w:hAnsi="Times New Roman"/>
          <w:sz w:val="24"/>
          <w:szCs w:val="24"/>
          <w:lang w:eastAsia="pt-BR"/>
        </w:rPr>
        <w:t xml:space="preserve">the match is </w:t>
      </w:r>
      <w:r w:rsidR="00CD7073" w:rsidRPr="00E639BA">
        <w:rPr>
          <w:rFonts w:ascii="Times New Roman" w:eastAsia="Times New Roman" w:hAnsi="Times New Roman"/>
          <w:sz w:val="24"/>
          <w:szCs w:val="24"/>
          <w:lang w:eastAsia="pt-BR"/>
        </w:rPr>
        <w:t>clear</w:t>
      </w:r>
      <w:r w:rsidR="0079540F" w:rsidRPr="00E639BA">
        <w:rPr>
          <w:rFonts w:ascii="Times New Roman" w:eastAsia="Times New Roman" w:hAnsi="Times New Roman"/>
          <w:sz w:val="24"/>
          <w:szCs w:val="24"/>
          <w:lang w:eastAsia="pt-BR"/>
        </w:rPr>
        <w:t xml:space="preserve">. </w:t>
      </w:r>
      <w:r w:rsidR="007117D0" w:rsidRPr="00E639BA">
        <w:rPr>
          <w:rFonts w:ascii="Times New Roman" w:eastAsia="Times New Roman" w:hAnsi="Times New Roman"/>
          <w:sz w:val="24"/>
          <w:szCs w:val="24"/>
          <w:lang w:eastAsia="pt-BR"/>
        </w:rPr>
        <w:t>As can be seen, t</w:t>
      </w:r>
      <w:r w:rsidR="00122EDD" w:rsidRPr="00E639BA">
        <w:rPr>
          <w:rFonts w:ascii="Times New Roman" w:eastAsia="Times New Roman" w:hAnsi="Times New Roman"/>
          <w:sz w:val="24"/>
          <w:szCs w:val="24"/>
          <w:lang w:eastAsia="pt-BR"/>
        </w:rPr>
        <w:t xml:space="preserve">here are fields </w:t>
      </w:r>
      <w:r w:rsidR="0079540F" w:rsidRPr="00E639BA">
        <w:rPr>
          <w:rFonts w:ascii="Times New Roman" w:eastAsia="Times New Roman" w:hAnsi="Times New Roman"/>
          <w:sz w:val="24"/>
          <w:szCs w:val="24"/>
          <w:lang w:eastAsia="pt-BR"/>
        </w:rPr>
        <w:t>in the 2000 classification system</w:t>
      </w:r>
      <w:r w:rsidR="00122EDD" w:rsidRPr="00E639BA">
        <w:rPr>
          <w:rFonts w:ascii="Times New Roman" w:eastAsia="Times New Roman" w:hAnsi="Times New Roman"/>
          <w:sz w:val="24"/>
          <w:szCs w:val="24"/>
          <w:lang w:eastAsia="pt-BR"/>
        </w:rPr>
        <w:t>,</w:t>
      </w:r>
      <w:r w:rsidR="0079540F" w:rsidRPr="00E639BA">
        <w:rPr>
          <w:rFonts w:ascii="Times New Roman" w:eastAsia="Times New Roman" w:hAnsi="Times New Roman"/>
          <w:sz w:val="24"/>
          <w:szCs w:val="24"/>
          <w:lang w:eastAsia="pt-BR"/>
        </w:rPr>
        <w:t xml:space="preserve"> </w:t>
      </w:r>
      <w:r w:rsidR="00FC130A" w:rsidRPr="00E639BA">
        <w:rPr>
          <w:rFonts w:ascii="Times New Roman" w:eastAsia="Times New Roman" w:hAnsi="Times New Roman"/>
          <w:sz w:val="24"/>
          <w:szCs w:val="24"/>
          <w:lang w:eastAsia="pt-BR"/>
        </w:rPr>
        <w:t xml:space="preserve">such as </w:t>
      </w:r>
      <w:r w:rsidR="00122EDD" w:rsidRPr="00E639BA">
        <w:rPr>
          <w:rFonts w:ascii="Times New Roman" w:eastAsia="Times New Roman" w:hAnsi="Times New Roman"/>
          <w:sz w:val="24"/>
          <w:szCs w:val="24"/>
          <w:lang w:eastAsia="pt-BR"/>
        </w:rPr>
        <w:t>business administration and</w:t>
      </w:r>
      <w:r w:rsidR="002B1BC4">
        <w:rPr>
          <w:rFonts w:ascii="Times New Roman" w:eastAsia="Times New Roman" w:hAnsi="Times New Roman"/>
          <w:sz w:val="24"/>
          <w:szCs w:val="24"/>
          <w:lang w:eastAsia="pt-BR"/>
        </w:rPr>
        <w:t xml:space="preserve"> arts</w:t>
      </w:r>
      <w:r w:rsidR="00122EDD" w:rsidRPr="00E639BA">
        <w:rPr>
          <w:rFonts w:ascii="Times New Roman" w:eastAsia="Times New Roman" w:hAnsi="Times New Roman"/>
          <w:sz w:val="24"/>
          <w:szCs w:val="24"/>
          <w:lang w:eastAsia="pt-BR"/>
        </w:rPr>
        <w:t xml:space="preserve">, </w:t>
      </w:r>
      <w:r w:rsidR="00FC130A" w:rsidRPr="00E639BA">
        <w:rPr>
          <w:rFonts w:ascii="Times New Roman" w:eastAsia="Times New Roman" w:hAnsi="Times New Roman"/>
          <w:sz w:val="24"/>
          <w:szCs w:val="24"/>
          <w:lang w:eastAsia="pt-BR"/>
        </w:rPr>
        <w:t xml:space="preserve">which </w:t>
      </w:r>
      <w:r w:rsidR="0079540F" w:rsidRPr="00E639BA">
        <w:rPr>
          <w:rFonts w:ascii="Times New Roman" w:eastAsia="Times New Roman" w:hAnsi="Times New Roman"/>
          <w:sz w:val="24"/>
          <w:szCs w:val="24"/>
          <w:lang w:eastAsia="pt-BR"/>
        </w:rPr>
        <w:t xml:space="preserve">refer to </w:t>
      </w:r>
      <w:r w:rsidR="00F730AD" w:rsidRPr="00E639BA">
        <w:rPr>
          <w:rFonts w:ascii="Times New Roman" w:eastAsia="Times New Roman" w:hAnsi="Times New Roman"/>
          <w:sz w:val="24"/>
          <w:szCs w:val="24"/>
          <w:lang w:eastAsia="pt-BR"/>
        </w:rPr>
        <w:t xml:space="preserve">many </w:t>
      </w:r>
      <w:r w:rsidR="0079540F" w:rsidRPr="00E639BA">
        <w:rPr>
          <w:rFonts w:ascii="Times New Roman" w:eastAsia="Times New Roman" w:hAnsi="Times New Roman"/>
          <w:sz w:val="24"/>
          <w:szCs w:val="24"/>
          <w:lang w:eastAsia="pt-BR"/>
        </w:rPr>
        <w:t>n</w:t>
      </w:r>
      <w:r w:rsidR="00AC4DD8" w:rsidRPr="00E639BA">
        <w:rPr>
          <w:rFonts w:ascii="Times New Roman" w:eastAsia="Times New Roman" w:hAnsi="Times New Roman"/>
          <w:sz w:val="24"/>
          <w:szCs w:val="24"/>
          <w:lang w:eastAsia="pt-BR"/>
        </w:rPr>
        <w:t>arrow</w:t>
      </w:r>
      <w:r w:rsidR="00F730AD" w:rsidRPr="00E639BA">
        <w:rPr>
          <w:rFonts w:ascii="Times New Roman" w:eastAsia="Times New Roman" w:hAnsi="Times New Roman"/>
          <w:sz w:val="24"/>
          <w:szCs w:val="24"/>
          <w:lang w:eastAsia="pt-BR"/>
        </w:rPr>
        <w:t>er</w:t>
      </w:r>
      <w:r w:rsidR="00AC4DD8" w:rsidRPr="00E639BA">
        <w:rPr>
          <w:rFonts w:ascii="Times New Roman" w:eastAsia="Times New Roman" w:hAnsi="Times New Roman"/>
          <w:sz w:val="24"/>
          <w:szCs w:val="24"/>
          <w:lang w:eastAsia="pt-BR"/>
        </w:rPr>
        <w:t xml:space="preserve"> </w:t>
      </w:r>
      <w:r w:rsidR="00122EDD" w:rsidRPr="00E639BA">
        <w:rPr>
          <w:rFonts w:ascii="Times New Roman" w:eastAsia="Times New Roman" w:hAnsi="Times New Roman"/>
          <w:sz w:val="24"/>
          <w:szCs w:val="24"/>
          <w:lang w:eastAsia="pt-BR"/>
        </w:rPr>
        <w:t>codes in the 2010 system</w:t>
      </w:r>
      <w:r w:rsidR="00AC4DD8" w:rsidRPr="00E639BA">
        <w:rPr>
          <w:rFonts w:ascii="Times New Roman" w:eastAsia="Times New Roman" w:hAnsi="Times New Roman"/>
          <w:sz w:val="24"/>
          <w:szCs w:val="24"/>
          <w:lang w:eastAsia="pt-BR"/>
        </w:rPr>
        <w:t>.</w:t>
      </w:r>
      <w:r w:rsidR="00F577C5" w:rsidRPr="00E639BA">
        <w:rPr>
          <w:rFonts w:ascii="Times New Roman" w:eastAsia="Times New Roman" w:hAnsi="Times New Roman"/>
          <w:sz w:val="24"/>
          <w:szCs w:val="24"/>
          <w:lang w:eastAsia="pt-BR"/>
        </w:rPr>
        <w:t xml:space="preserve"> Also,</w:t>
      </w:r>
      <w:r w:rsidR="00887DC6">
        <w:rPr>
          <w:rFonts w:ascii="Times New Roman" w:eastAsia="Times New Roman" w:hAnsi="Times New Roman"/>
          <w:sz w:val="24"/>
          <w:szCs w:val="24"/>
          <w:lang w:eastAsia="pt-BR"/>
        </w:rPr>
        <w:t xml:space="preserve"> a</w:t>
      </w:r>
      <w:r w:rsidR="00F577C5" w:rsidRPr="00E639BA">
        <w:rPr>
          <w:rFonts w:ascii="Times New Roman" w:eastAsia="Times New Roman" w:hAnsi="Times New Roman"/>
          <w:sz w:val="24"/>
          <w:szCs w:val="24"/>
          <w:lang w:eastAsia="pt-BR"/>
        </w:rPr>
        <w:t xml:space="preserve"> few codes in 2000 are not assigned to a code in 2010. This is done </w:t>
      </w:r>
      <w:r w:rsidR="007117D0" w:rsidRPr="00E639BA">
        <w:rPr>
          <w:rFonts w:ascii="Times New Roman" w:eastAsia="Times New Roman" w:hAnsi="Times New Roman"/>
          <w:sz w:val="24"/>
          <w:szCs w:val="24"/>
          <w:lang w:eastAsia="pt-BR"/>
        </w:rPr>
        <w:t>in situation</w:t>
      </w:r>
      <w:r w:rsidR="00FC130A" w:rsidRPr="00E639BA">
        <w:rPr>
          <w:rFonts w:ascii="Times New Roman" w:eastAsia="Times New Roman" w:hAnsi="Times New Roman"/>
          <w:sz w:val="24"/>
          <w:szCs w:val="24"/>
          <w:lang w:eastAsia="pt-BR"/>
        </w:rPr>
        <w:t>s</w:t>
      </w:r>
      <w:r w:rsidR="007117D0" w:rsidRPr="00E639BA">
        <w:rPr>
          <w:rFonts w:ascii="Times New Roman" w:eastAsia="Times New Roman" w:hAnsi="Times New Roman"/>
          <w:sz w:val="24"/>
          <w:szCs w:val="24"/>
          <w:lang w:eastAsia="pt-BR"/>
        </w:rPr>
        <w:t xml:space="preserve"> where </w:t>
      </w:r>
      <w:r w:rsidR="00F577C5" w:rsidRPr="00E639BA">
        <w:rPr>
          <w:rFonts w:ascii="Times New Roman" w:eastAsia="Times New Roman" w:hAnsi="Times New Roman"/>
          <w:sz w:val="24"/>
          <w:szCs w:val="24"/>
          <w:lang w:eastAsia="pt-BR"/>
        </w:rPr>
        <w:t xml:space="preserve">the </w:t>
      </w:r>
      <w:r w:rsidR="006832CF" w:rsidRPr="00E639BA">
        <w:rPr>
          <w:rFonts w:ascii="Times New Roman" w:eastAsia="Times New Roman" w:hAnsi="Times New Roman"/>
          <w:sz w:val="24"/>
          <w:szCs w:val="24"/>
          <w:lang w:eastAsia="pt-BR"/>
        </w:rPr>
        <w:t xml:space="preserve">program </w:t>
      </w:r>
      <w:r w:rsidR="00F577C5" w:rsidRPr="00E639BA">
        <w:rPr>
          <w:rFonts w:ascii="Times New Roman" w:eastAsia="Times New Roman" w:hAnsi="Times New Roman"/>
          <w:sz w:val="24"/>
          <w:szCs w:val="24"/>
          <w:lang w:eastAsia="pt-BR"/>
        </w:rPr>
        <w:t>in the former system does not have an equivalent one in the latter (geography, physical education)</w:t>
      </w:r>
      <w:r w:rsidR="00794086" w:rsidRPr="00E639BA">
        <w:rPr>
          <w:rFonts w:ascii="Times New Roman" w:eastAsia="Times New Roman" w:hAnsi="Times New Roman"/>
          <w:sz w:val="24"/>
          <w:szCs w:val="24"/>
          <w:lang w:eastAsia="pt-BR"/>
        </w:rPr>
        <w:t>, or the match</w:t>
      </w:r>
      <w:r w:rsidR="00F577C5" w:rsidRPr="00E639BA">
        <w:rPr>
          <w:rFonts w:ascii="Times New Roman" w:eastAsia="Times New Roman" w:hAnsi="Times New Roman"/>
          <w:sz w:val="24"/>
          <w:szCs w:val="24"/>
          <w:lang w:eastAsia="pt-BR"/>
        </w:rPr>
        <w:t xml:space="preserve"> is not </w:t>
      </w:r>
      <w:r w:rsidR="007117D0" w:rsidRPr="00E639BA">
        <w:rPr>
          <w:rFonts w:ascii="Times New Roman" w:eastAsia="Times New Roman" w:hAnsi="Times New Roman"/>
          <w:sz w:val="24"/>
          <w:szCs w:val="24"/>
          <w:lang w:eastAsia="pt-BR"/>
        </w:rPr>
        <w:t>considered clear, as are</w:t>
      </w:r>
      <w:r w:rsidR="00F577C5" w:rsidRPr="00E639BA">
        <w:rPr>
          <w:rFonts w:ascii="Times New Roman" w:eastAsia="Times New Roman" w:hAnsi="Times New Roman"/>
          <w:sz w:val="24"/>
          <w:szCs w:val="24"/>
          <w:lang w:eastAsia="pt-BR"/>
        </w:rPr>
        <w:t xml:space="preserve"> the case</w:t>
      </w:r>
      <w:r w:rsidR="007117D0" w:rsidRPr="00E639BA">
        <w:rPr>
          <w:rFonts w:ascii="Times New Roman" w:eastAsia="Times New Roman" w:hAnsi="Times New Roman"/>
          <w:sz w:val="24"/>
          <w:szCs w:val="24"/>
          <w:lang w:eastAsia="pt-BR"/>
        </w:rPr>
        <w:t>s</w:t>
      </w:r>
      <w:r w:rsidR="00F577C5" w:rsidRPr="00E639BA">
        <w:rPr>
          <w:rFonts w:ascii="Times New Roman" w:eastAsia="Times New Roman" w:hAnsi="Times New Roman"/>
          <w:sz w:val="24"/>
          <w:szCs w:val="24"/>
          <w:lang w:eastAsia="pt-BR"/>
        </w:rPr>
        <w:t xml:space="preserve"> of science </w:t>
      </w:r>
      <w:r w:rsidR="00FC130A" w:rsidRPr="00E639BA">
        <w:rPr>
          <w:rFonts w:ascii="Times New Roman" w:eastAsia="Times New Roman" w:hAnsi="Times New Roman"/>
          <w:sz w:val="24"/>
          <w:szCs w:val="24"/>
          <w:lang w:eastAsia="pt-BR"/>
        </w:rPr>
        <w:t>programs</w:t>
      </w:r>
      <w:r w:rsidR="00F577C5" w:rsidRPr="00E639BA">
        <w:rPr>
          <w:rFonts w:ascii="Times New Roman" w:eastAsia="Times New Roman" w:hAnsi="Times New Roman"/>
          <w:sz w:val="24"/>
          <w:szCs w:val="24"/>
          <w:lang w:eastAsia="pt-BR"/>
        </w:rPr>
        <w:t xml:space="preserve">, other agriculture </w:t>
      </w:r>
      <w:r w:rsidR="00FC130A" w:rsidRPr="00E639BA">
        <w:rPr>
          <w:rFonts w:ascii="Times New Roman" w:eastAsia="Times New Roman" w:hAnsi="Times New Roman"/>
          <w:sz w:val="24"/>
          <w:szCs w:val="24"/>
          <w:lang w:eastAsia="pt-BR"/>
        </w:rPr>
        <w:t>programs</w:t>
      </w:r>
      <w:r w:rsidR="00F577C5" w:rsidRPr="00E639BA">
        <w:rPr>
          <w:rFonts w:ascii="Times New Roman" w:eastAsia="Times New Roman" w:hAnsi="Times New Roman"/>
          <w:sz w:val="24"/>
          <w:szCs w:val="24"/>
          <w:lang w:eastAsia="pt-BR"/>
        </w:rPr>
        <w:t xml:space="preserve">, other social science, and other arts and languages </w:t>
      </w:r>
      <w:r w:rsidR="00FC130A" w:rsidRPr="00E639BA">
        <w:rPr>
          <w:rFonts w:ascii="Times New Roman" w:eastAsia="Times New Roman" w:hAnsi="Times New Roman"/>
          <w:sz w:val="24"/>
          <w:szCs w:val="24"/>
          <w:lang w:eastAsia="pt-BR"/>
        </w:rPr>
        <w:t>programs</w:t>
      </w:r>
      <w:r w:rsidR="00F577C5" w:rsidRPr="00E639BA">
        <w:rPr>
          <w:rFonts w:ascii="Times New Roman" w:eastAsia="Times New Roman" w:hAnsi="Times New Roman"/>
          <w:sz w:val="24"/>
          <w:szCs w:val="24"/>
          <w:lang w:eastAsia="pt-BR"/>
        </w:rPr>
        <w:t xml:space="preserve">. </w:t>
      </w:r>
    </w:p>
    <w:p w:rsidR="00F730AD" w:rsidRPr="00E639BA" w:rsidRDefault="00C13CB1" w:rsidP="00C17C6A">
      <w:pPr>
        <w:spacing w:line="240" w:lineRule="auto"/>
        <w:ind w:firstLine="708"/>
        <w:contextualSpacing/>
        <w:jc w:val="both"/>
        <w:rPr>
          <w:rFonts w:ascii="Times New Roman" w:eastAsia="Times New Roman" w:hAnsi="Times New Roman"/>
          <w:sz w:val="24"/>
          <w:szCs w:val="24"/>
          <w:lang w:eastAsia="pt-BR"/>
        </w:rPr>
      </w:pPr>
      <w:r w:rsidRPr="00E639BA">
        <w:rPr>
          <w:rFonts w:ascii="Times New Roman" w:eastAsia="Times New Roman" w:hAnsi="Times New Roman"/>
          <w:sz w:val="24"/>
          <w:szCs w:val="24"/>
          <w:lang w:eastAsia="pt-BR"/>
        </w:rPr>
        <w:t xml:space="preserve">The 41 fields of study are aggregated into 10 </w:t>
      </w:r>
      <w:r w:rsidR="00F730AD" w:rsidRPr="00E639BA">
        <w:rPr>
          <w:rFonts w:ascii="Times New Roman" w:eastAsia="Times New Roman" w:hAnsi="Times New Roman"/>
          <w:sz w:val="24"/>
          <w:szCs w:val="24"/>
          <w:lang w:eastAsia="pt-BR"/>
        </w:rPr>
        <w:t>groups, as reported in column (3</w:t>
      </w:r>
      <w:r w:rsidRPr="00E639BA">
        <w:rPr>
          <w:rFonts w:ascii="Times New Roman" w:eastAsia="Times New Roman" w:hAnsi="Times New Roman"/>
          <w:sz w:val="24"/>
          <w:szCs w:val="24"/>
          <w:lang w:eastAsia="pt-BR"/>
        </w:rPr>
        <w:t xml:space="preserve">) of Table A1, which </w:t>
      </w:r>
      <w:r w:rsidR="00F730AD" w:rsidRPr="00E639BA">
        <w:rPr>
          <w:rFonts w:ascii="Times New Roman" w:eastAsia="Times New Roman" w:hAnsi="Times New Roman"/>
          <w:sz w:val="24"/>
          <w:szCs w:val="24"/>
          <w:lang w:eastAsia="pt-BR"/>
        </w:rPr>
        <w:t>may help</w:t>
      </w:r>
      <w:r w:rsidRPr="00E639BA">
        <w:rPr>
          <w:rFonts w:ascii="Times New Roman" w:eastAsia="Times New Roman" w:hAnsi="Times New Roman"/>
          <w:sz w:val="24"/>
          <w:szCs w:val="24"/>
          <w:lang w:eastAsia="pt-BR"/>
        </w:rPr>
        <w:t xml:space="preserve"> to mitiga</w:t>
      </w:r>
      <w:r w:rsidR="00AC2ADF" w:rsidRPr="00E639BA">
        <w:rPr>
          <w:rFonts w:ascii="Times New Roman" w:eastAsia="Times New Roman" w:hAnsi="Times New Roman"/>
          <w:sz w:val="24"/>
          <w:szCs w:val="24"/>
          <w:lang w:eastAsia="pt-BR"/>
        </w:rPr>
        <w:t>te part of the problems due to</w:t>
      </w:r>
      <w:r w:rsidRPr="00E639BA">
        <w:rPr>
          <w:rFonts w:ascii="Times New Roman" w:eastAsia="Times New Roman" w:hAnsi="Times New Roman"/>
          <w:sz w:val="24"/>
          <w:szCs w:val="24"/>
          <w:lang w:eastAsia="pt-BR"/>
        </w:rPr>
        <w:t xml:space="preserve"> missing or unclear correspondence.</w:t>
      </w:r>
      <w:r w:rsidR="00794086" w:rsidRPr="00E639BA">
        <w:rPr>
          <w:rFonts w:ascii="Times New Roman" w:eastAsia="Times New Roman" w:hAnsi="Times New Roman"/>
          <w:sz w:val="24"/>
          <w:szCs w:val="24"/>
          <w:lang w:eastAsia="pt-BR"/>
        </w:rPr>
        <w:t xml:space="preserve"> </w:t>
      </w:r>
      <w:r w:rsidR="00F730AD" w:rsidRPr="00E639BA">
        <w:rPr>
          <w:rFonts w:ascii="Times New Roman" w:eastAsia="Times New Roman" w:hAnsi="Times New Roman"/>
          <w:sz w:val="24"/>
          <w:szCs w:val="24"/>
          <w:lang w:eastAsia="pt-BR"/>
        </w:rPr>
        <w:t>It can be noticed that</w:t>
      </w:r>
      <w:r w:rsidR="00887DC6">
        <w:rPr>
          <w:rFonts w:ascii="Times New Roman" w:eastAsia="Times New Roman" w:hAnsi="Times New Roman"/>
          <w:sz w:val="24"/>
          <w:szCs w:val="24"/>
          <w:lang w:eastAsia="pt-BR"/>
        </w:rPr>
        <w:t xml:space="preserve"> a</w:t>
      </w:r>
      <w:r w:rsidR="00F730AD" w:rsidRPr="00E639BA">
        <w:rPr>
          <w:rFonts w:ascii="Times New Roman" w:eastAsia="Times New Roman" w:hAnsi="Times New Roman"/>
          <w:sz w:val="24"/>
          <w:szCs w:val="24"/>
          <w:lang w:eastAsia="pt-BR"/>
        </w:rPr>
        <w:t xml:space="preserve"> f</w:t>
      </w:r>
      <w:r w:rsidR="00794086" w:rsidRPr="00E639BA">
        <w:rPr>
          <w:rFonts w:ascii="Times New Roman" w:eastAsia="Times New Roman" w:hAnsi="Times New Roman"/>
          <w:sz w:val="24"/>
          <w:szCs w:val="24"/>
          <w:lang w:eastAsia="pt-BR"/>
        </w:rPr>
        <w:t xml:space="preserve">ew </w:t>
      </w:r>
      <w:r w:rsidR="00FC130A" w:rsidRPr="00E639BA">
        <w:rPr>
          <w:rFonts w:ascii="Times New Roman" w:eastAsia="Times New Roman" w:hAnsi="Times New Roman"/>
          <w:sz w:val="24"/>
          <w:szCs w:val="24"/>
          <w:lang w:eastAsia="pt-BR"/>
        </w:rPr>
        <w:t xml:space="preserve">programs </w:t>
      </w:r>
      <w:r w:rsidR="00794086" w:rsidRPr="00E639BA">
        <w:rPr>
          <w:rFonts w:ascii="Times New Roman" w:eastAsia="Times New Roman" w:hAnsi="Times New Roman"/>
          <w:sz w:val="24"/>
          <w:szCs w:val="24"/>
          <w:lang w:eastAsia="pt-BR"/>
        </w:rPr>
        <w:t>related to sciences and soc</w:t>
      </w:r>
      <w:r w:rsidR="00AC2ADF" w:rsidRPr="00E639BA">
        <w:rPr>
          <w:rFonts w:ascii="Times New Roman" w:eastAsia="Times New Roman" w:hAnsi="Times New Roman"/>
          <w:sz w:val="24"/>
          <w:szCs w:val="24"/>
          <w:lang w:eastAsia="pt-BR"/>
        </w:rPr>
        <w:t xml:space="preserve">ial sciences are classified as </w:t>
      </w:r>
      <w:r w:rsidR="00FC130A" w:rsidRPr="00E639BA">
        <w:rPr>
          <w:rFonts w:ascii="Times New Roman" w:eastAsia="Times New Roman" w:hAnsi="Times New Roman"/>
          <w:sz w:val="24"/>
          <w:szCs w:val="24"/>
          <w:lang w:eastAsia="pt-BR"/>
        </w:rPr>
        <w:t>e</w:t>
      </w:r>
      <w:r w:rsidR="00794086" w:rsidRPr="00E639BA">
        <w:rPr>
          <w:rFonts w:ascii="Times New Roman" w:eastAsia="Times New Roman" w:hAnsi="Times New Roman"/>
          <w:sz w:val="24"/>
          <w:szCs w:val="24"/>
          <w:lang w:eastAsia="pt-BR"/>
        </w:rPr>
        <w:t>ducation i</w:t>
      </w:r>
      <w:r w:rsidR="00F730AD" w:rsidRPr="00E639BA">
        <w:rPr>
          <w:rFonts w:ascii="Times New Roman" w:eastAsia="Times New Roman" w:hAnsi="Times New Roman"/>
          <w:sz w:val="24"/>
          <w:szCs w:val="24"/>
          <w:lang w:eastAsia="pt-BR"/>
        </w:rPr>
        <w:t>n the aggregated classification. This is done because</w:t>
      </w:r>
      <w:r w:rsidR="008D60A3" w:rsidRPr="00E639BA">
        <w:rPr>
          <w:rFonts w:ascii="Times New Roman" w:eastAsia="Times New Roman" w:hAnsi="Times New Roman"/>
          <w:sz w:val="24"/>
          <w:szCs w:val="24"/>
          <w:lang w:eastAsia="pt-BR"/>
        </w:rPr>
        <w:t xml:space="preserve"> comparisons between data from 2000 and 2010 show a remarkable reduction in the participation of these groups over time, which could be due to the fact that the 2010 system has a more detailed</w:t>
      </w:r>
      <w:r w:rsidR="00AC2ADF" w:rsidRPr="00E639BA">
        <w:rPr>
          <w:rFonts w:ascii="Times New Roman" w:eastAsia="Times New Roman" w:hAnsi="Times New Roman"/>
          <w:sz w:val="24"/>
          <w:szCs w:val="24"/>
          <w:lang w:eastAsia="pt-BR"/>
        </w:rPr>
        <w:t xml:space="preserve"> classification for </w:t>
      </w:r>
      <w:r w:rsidR="00FC130A" w:rsidRPr="00E639BA">
        <w:rPr>
          <w:rFonts w:ascii="Times New Roman" w:eastAsia="Times New Roman" w:hAnsi="Times New Roman"/>
          <w:sz w:val="24"/>
          <w:szCs w:val="24"/>
          <w:lang w:eastAsia="pt-BR"/>
        </w:rPr>
        <w:t xml:space="preserve">programs </w:t>
      </w:r>
      <w:r w:rsidR="00AC2ADF" w:rsidRPr="00E639BA">
        <w:rPr>
          <w:rFonts w:ascii="Times New Roman" w:eastAsia="Times New Roman" w:hAnsi="Times New Roman"/>
          <w:sz w:val="24"/>
          <w:szCs w:val="24"/>
          <w:lang w:eastAsia="pt-BR"/>
        </w:rPr>
        <w:t xml:space="preserve">in </w:t>
      </w:r>
      <w:r w:rsidR="006832CF" w:rsidRPr="00E639BA">
        <w:rPr>
          <w:rFonts w:ascii="Times New Roman" w:eastAsia="Times New Roman" w:hAnsi="Times New Roman"/>
          <w:sz w:val="24"/>
          <w:szCs w:val="24"/>
          <w:lang w:eastAsia="pt-BR"/>
        </w:rPr>
        <w:t>e</w:t>
      </w:r>
      <w:r w:rsidR="008D60A3" w:rsidRPr="00E639BA">
        <w:rPr>
          <w:rFonts w:ascii="Times New Roman" w:eastAsia="Times New Roman" w:hAnsi="Times New Roman"/>
          <w:sz w:val="24"/>
          <w:szCs w:val="24"/>
          <w:lang w:eastAsia="pt-BR"/>
        </w:rPr>
        <w:t xml:space="preserve">ducation. The </w:t>
      </w:r>
      <w:r w:rsidR="002B1BC4">
        <w:rPr>
          <w:rFonts w:ascii="Times New Roman" w:eastAsia="Times New Roman" w:hAnsi="Times New Roman"/>
          <w:sz w:val="24"/>
          <w:szCs w:val="24"/>
          <w:lang w:eastAsia="pt-BR"/>
        </w:rPr>
        <w:t xml:space="preserve">estimated </w:t>
      </w:r>
      <w:r w:rsidR="008D60A3" w:rsidRPr="00E639BA">
        <w:rPr>
          <w:rFonts w:ascii="Times New Roman" w:eastAsia="Times New Roman" w:hAnsi="Times New Roman"/>
          <w:sz w:val="24"/>
          <w:szCs w:val="24"/>
          <w:lang w:eastAsia="pt-BR"/>
        </w:rPr>
        <w:t xml:space="preserve">results are robust to other criteria used to classify these areas of study.  </w:t>
      </w:r>
    </w:p>
    <w:p w:rsidR="00EE6522" w:rsidRPr="00E639BA" w:rsidRDefault="00FD505E" w:rsidP="00C17C6A">
      <w:pPr>
        <w:spacing w:line="240" w:lineRule="auto"/>
        <w:ind w:firstLine="708"/>
        <w:contextualSpacing/>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It should be also mentioned that t</w:t>
      </w:r>
      <w:r w:rsidR="00900E8C" w:rsidRPr="00E639BA">
        <w:rPr>
          <w:rFonts w:ascii="Times New Roman" w:eastAsia="Times New Roman" w:hAnsi="Times New Roman"/>
          <w:sz w:val="24"/>
          <w:szCs w:val="24"/>
          <w:lang w:eastAsia="pt-BR"/>
        </w:rPr>
        <w:t>he 2000 census</w:t>
      </w:r>
      <w:r w:rsidR="000A5092" w:rsidRPr="00E639BA">
        <w:rPr>
          <w:rFonts w:ascii="Times New Roman" w:eastAsia="Times New Roman" w:hAnsi="Times New Roman"/>
          <w:sz w:val="24"/>
          <w:szCs w:val="24"/>
          <w:lang w:eastAsia="pt-BR"/>
        </w:rPr>
        <w:t xml:space="preserve"> classification </w:t>
      </w:r>
      <w:r w:rsidR="00406970" w:rsidRPr="00E639BA">
        <w:rPr>
          <w:rFonts w:ascii="Times New Roman" w:eastAsia="Times New Roman" w:hAnsi="Times New Roman"/>
          <w:sz w:val="24"/>
          <w:szCs w:val="24"/>
          <w:lang w:eastAsia="pt-BR"/>
        </w:rPr>
        <w:t xml:space="preserve">system </w:t>
      </w:r>
      <w:r w:rsidR="009659CC" w:rsidRPr="00E639BA">
        <w:rPr>
          <w:rFonts w:ascii="Times New Roman" w:eastAsia="Times New Roman" w:hAnsi="Times New Roman"/>
          <w:sz w:val="24"/>
          <w:szCs w:val="24"/>
          <w:lang w:eastAsia="pt-BR"/>
        </w:rPr>
        <w:t>aggregates the 41 groups defined for those with a bachelor</w:t>
      </w:r>
      <w:r w:rsidR="00FC130A" w:rsidRPr="00E639BA">
        <w:rPr>
          <w:rFonts w:ascii="Times New Roman" w:eastAsia="Times New Roman" w:hAnsi="Times New Roman"/>
          <w:sz w:val="24"/>
          <w:szCs w:val="24"/>
          <w:lang w:eastAsia="pt-BR"/>
        </w:rPr>
        <w:t>’s</w:t>
      </w:r>
      <w:r w:rsidR="009659CC" w:rsidRPr="00E639BA">
        <w:rPr>
          <w:rFonts w:ascii="Times New Roman" w:eastAsia="Times New Roman" w:hAnsi="Times New Roman"/>
          <w:sz w:val="24"/>
          <w:szCs w:val="24"/>
          <w:lang w:eastAsia="pt-BR"/>
        </w:rPr>
        <w:t xml:space="preserve"> degree into </w:t>
      </w:r>
      <w:r w:rsidR="000A5092" w:rsidRPr="00E639BA">
        <w:rPr>
          <w:rFonts w:ascii="Times New Roman" w:eastAsia="Times New Roman" w:hAnsi="Times New Roman"/>
          <w:sz w:val="24"/>
          <w:szCs w:val="24"/>
          <w:lang w:eastAsia="pt-BR"/>
        </w:rPr>
        <w:t>9</w:t>
      </w:r>
      <w:r w:rsidR="00900E8C" w:rsidRPr="00E639BA">
        <w:rPr>
          <w:rFonts w:ascii="Times New Roman" w:eastAsia="Times New Roman" w:hAnsi="Times New Roman"/>
          <w:sz w:val="24"/>
          <w:szCs w:val="24"/>
          <w:lang w:eastAsia="pt-BR"/>
        </w:rPr>
        <w:t xml:space="preserve"> graduate categories</w:t>
      </w:r>
      <w:r w:rsidR="009659CC" w:rsidRPr="00E639BA">
        <w:rPr>
          <w:rFonts w:ascii="Times New Roman" w:eastAsia="Times New Roman" w:hAnsi="Times New Roman"/>
          <w:sz w:val="24"/>
          <w:szCs w:val="24"/>
          <w:lang w:eastAsia="pt-BR"/>
        </w:rPr>
        <w:t>.</w:t>
      </w:r>
      <w:r w:rsidR="00A51EF3" w:rsidRPr="00E639BA">
        <w:rPr>
          <w:rFonts w:ascii="Times New Roman" w:eastAsia="Times New Roman" w:hAnsi="Times New Roman"/>
          <w:sz w:val="24"/>
          <w:szCs w:val="24"/>
          <w:lang w:eastAsia="pt-BR"/>
        </w:rPr>
        <w:t xml:space="preserve"> This restriction </w:t>
      </w:r>
      <w:r w:rsidR="00FC130A" w:rsidRPr="00E639BA">
        <w:rPr>
          <w:rFonts w:ascii="Times New Roman" w:eastAsia="Times New Roman" w:hAnsi="Times New Roman"/>
          <w:sz w:val="24"/>
          <w:szCs w:val="24"/>
          <w:lang w:eastAsia="pt-BR"/>
        </w:rPr>
        <w:t xml:space="preserve">causes </w:t>
      </w:r>
      <w:r w:rsidR="00A51EF3" w:rsidRPr="00E639BA">
        <w:rPr>
          <w:rFonts w:ascii="Times New Roman" w:eastAsia="Times New Roman" w:hAnsi="Times New Roman"/>
          <w:sz w:val="24"/>
          <w:szCs w:val="24"/>
          <w:lang w:eastAsia="pt-BR"/>
        </w:rPr>
        <w:t xml:space="preserve">a problem when a graduate group includes </w:t>
      </w:r>
      <w:r w:rsidR="00FC130A" w:rsidRPr="00E639BA">
        <w:rPr>
          <w:rFonts w:ascii="Times New Roman" w:eastAsia="Times New Roman" w:hAnsi="Times New Roman"/>
          <w:sz w:val="24"/>
          <w:szCs w:val="24"/>
          <w:lang w:eastAsia="pt-BR"/>
        </w:rPr>
        <w:t xml:space="preserve">programs </w:t>
      </w:r>
      <w:r w:rsidR="00A51EF3" w:rsidRPr="00E639BA">
        <w:rPr>
          <w:rFonts w:ascii="Times New Roman" w:eastAsia="Times New Roman" w:hAnsi="Times New Roman"/>
          <w:sz w:val="24"/>
          <w:szCs w:val="24"/>
          <w:lang w:eastAsia="pt-BR"/>
        </w:rPr>
        <w:t xml:space="preserve">assigned to different </w:t>
      </w:r>
      <w:r w:rsidR="00AC2ADF" w:rsidRPr="00E639BA">
        <w:rPr>
          <w:rFonts w:ascii="Times New Roman" w:eastAsia="Times New Roman" w:hAnsi="Times New Roman"/>
          <w:sz w:val="24"/>
          <w:szCs w:val="24"/>
          <w:lang w:eastAsia="pt-BR"/>
        </w:rPr>
        <w:t xml:space="preserve">areas in </w:t>
      </w:r>
      <w:r w:rsidR="00A51EF3" w:rsidRPr="00E639BA">
        <w:rPr>
          <w:rFonts w:ascii="Times New Roman" w:eastAsia="Times New Roman" w:hAnsi="Times New Roman"/>
          <w:sz w:val="24"/>
          <w:szCs w:val="24"/>
          <w:lang w:eastAsia="pt-BR"/>
        </w:rPr>
        <w:t>the aggregated classification</w:t>
      </w:r>
      <w:r w:rsidR="00406970" w:rsidRPr="00E639BA">
        <w:rPr>
          <w:rFonts w:ascii="Times New Roman" w:eastAsia="Times New Roman" w:hAnsi="Times New Roman"/>
          <w:sz w:val="24"/>
          <w:szCs w:val="24"/>
          <w:lang w:eastAsia="pt-BR"/>
        </w:rPr>
        <w:t xml:space="preserve">, as is the case, for example, of </w:t>
      </w:r>
      <w:r w:rsidR="00FC130A" w:rsidRPr="00E639BA">
        <w:rPr>
          <w:rFonts w:ascii="Times New Roman" w:eastAsia="Times New Roman" w:hAnsi="Times New Roman"/>
          <w:sz w:val="24"/>
          <w:szCs w:val="24"/>
          <w:lang w:eastAsia="pt-BR"/>
        </w:rPr>
        <w:t>some programs in</w:t>
      </w:r>
      <w:r w:rsidR="00406970" w:rsidRPr="00E639BA">
        <w:rPr>
          <w:rFonts w:ascii="Times New Roman" w:eastAsia="Times New Roman" w:hAnsi="Times New Roman"/>
          <w:sz w:val="24"/>
          <w:szCs w:val="24"/>
          <w:lang w:eastAsia="pt-BR"/>
        </w:rPr>
        <w:t xml:space="preserve"> </w:t>
      </w:r>
      <w:r w:rsidR="00FC130A" w:rsidRPr="00E639BA">
        <w:rPr>
          <w:rFonts w:ascii="Times New Roman" w:eastAsia="Times New Roman" w:hAnsi="Times New Roman"/>
          <w:sz w:val="24"/>
          <w:szCs w:val="24"/>
          <w:lang w:eastAsia="pt-BR"/>
        </w:rPr>
        <w:t>h</w:t>
      </w:r>
      <w:r w:rsidR="00406970" w:rsidRPr="00E639BA">
        <w:rPr>
          <w:rFonts w:ascii="Times New Roman" w:eastAsia="Times New Roman" w:hAnsi="Times New Roman"/>
          <w:sz w:val="24"/>
          <w:szCs w:val="24"/>
          <w:lang w:eastAsia="pt-BR"/>
        </w:rPr>
        <w:t xml:space="preserve">umanities and </w:t>
      </w:r>
      <w:r w:rsidR="00FC130A" w:rsidRPr="00E639BA">
        <w:rPr>
          <w:rFonts w:ascii="Times New Roman" w:eastAsia="Times New Roman" w:hAnsi="Times New Roman"/>
          <w:sz w:val="24"/>
          <w:szCs w:val="24"/>
          <w:lang w:eastAsia="pt-BR"/>
        </w:rPr>
        <w:t>s</w:t>
      </w:r>
      <w:r w:rsidR="00406970" w:rsidRPr="00E639BA">
        <w:rPr>
          <w:rFonts w:ascii="Times New Roman" w:eastAsia="Times New Roman" w:hAnsi="Times New Roman"/>
          <w:sz w:val="24"/>
          <w:szCs w:val="24"/>
          <w:lang w:eastAsia="pt-BR"/>
        </w:rPr>
        <w:t xml:space="preserve">ocial </w:t>
      </w:r>
      <w:r w:rsidR="00FC130A" w:rsidRPr="00E639BA">
        <w:rPr>
          <w:rFonts w:ascii="Times New Roman" w:eastAsia="Times New Roman" w:hAnsi="Times New Roman"/>
          <w:sz w:val="24"/>
          <w:szCs w:val="24"/>
          <w:lang w:eastAsia="pt-BR"/>
        </w:rPr>
        <w:t>s</w:t>
      </w:r>
      <w:r w:rsidR="00406970" w:rsidRPr="00E639BA">
        <w:rPr>
          <w:rFonts w:ascii="Times New Roman" w:eastAsia="Times New Roman" w:hAnsi="Times New Roman"/>
          <w:sz w:val="24"/>
          <w:szCs w:val="24"/>
          <w:lang w:eastAsia="pt-BR"/>
        </w:rPr>
        <w:t>cience</w:t>
      </w:r>
      <w:r w:rsidR="00A51EF3" w:rsidRPr="00E639BA">
        <w:rPr>
          <w:rFonts w:ascii="Times New Roman" w:eastAsia="Times New Roman" w:hAnsi="Times New Roman"/>
          <w:sz w:val="24"/>
          <w:szCs w:val="24"/>
          <w:lang w:eastAsia="pt-BR"/>
        </w:rPr>
        <w:t>.</w:t>
      </w:r>
      <w:r w:rsidR="00A90430" w:rsidRPr="00E639BA">
        <w:rPr>
          <w:rFonts w:ascii="Times New Roman" w:eastAsia="Times New Roman" w:hAnsi="Times New Roman"/>
          <w:sz w:val="24"/>
          <w:szCs w:val="24"/>
          <w:lang w:eastAsia="pt-BR"/>
        </w:rPr>
        <w:t xml:space="preserve"> </w:t>
      </w:r>
    </w:p>
    <w:p w:rsidR="00050472" w:rsidRDefault="00050472" w:rsidP="00C17C6A">
      <w:pPr>
        <w:spacing w:line="240" w:lineRule="auto"/>
        <w:contextualSpacing/>
        <w:jc w:val="both"/>
        <w:rPr>
          <w:rFonts w:ascii="Times New Roman" w:eastAsia="Times New Roman" w:hAnsi="Times New Roman"/>
          <w:sz w:val="24"/>
          <w:szCs w:val="24"/>
          <w:lang w:eastAsia="pt-BR"/>
        </w:rPr>
      </w:pPr>
    </w:p>
    <w:p w:rsidR="00B53F65" w:rsidRDefault="00B53F65" w:rsidP="00C17C6A">
      <w:pPr>
        <w:spacing w:line="240" w:lineRule="auto"/>
        <w:contextualSpacing/>
        <w:jc w:val="both"/>
        <w:rPr>
          <w:rFonts w:ascii="Times New Roman" w:eastAsia="Times New Roman" w:hAnsi="Times New Roman"/>
          <w:sz w:val="24"/>
          <w:szCs w:val="24"/>
          <w:lang w:eastAsia="pt-BR"/>
        </w:rPr>
      </w:pPr>
    </w:p>
    <w:p w:rsidR="00B53F65" w:rsidRDefault="00B53F65" w:rsidP="00C17C6A">
      <w:pPr>
        <w:spacing w:line="240" w:lineRule="auto"/>
        <w:contextualSpacing/>
        <w:jc w:val="both"/>
        <w:rPr>
          <w:rFonts w:ascii="Times New Roman" w:eastAsia="Times New Roman" w:hAnsi="Times New Roman"/>
          <w:sz w:val="24"/>
          <w:szCs w:val="24"/>
          <w:lang w:eastAsia="pt-BR"/>
        </w:rPr>
      </w:pPr>
    </w:p>
    <w:p w:rsidR="00B53F65" w:rsidRDefault="00521D96" w:rsidP="00C17C6A">
      <w:pPr>
        <w:spacing w:line="240" w:lineRule="auto"/>
        <w:contextualSpacing/>
        <w:jc w:val="center"/>
        <w:rPr>
          <w:rFonts w:ascii="Times New Roman" w:eastAsia="Times New Roman" w:hAnsi="Times New Roman"/>
          <w:sz w:val="24"/>
          <w:szCs w:val="24"/>
          <w:lang w:eastAsia="pt-BR"/>
        </w:rPr>
      </w:pPr>
      <w:r w:rsidRPr="00521D96">
        <w:rPr>
          <w:noProof/>
          <w:lang w:val="pt-BR" w:eastAsia="pt-BR"/>
        </w:rPr>
        <w:lastRenderedPageBreak/>
        <w:drawing>
          <wp:inline distT="0" distB="0" distL="0" distR="0" wp14:anchorId="30FBD598" wp14:editId="483DE4E9">
            <wp:extent cx="5654808" cy="6753225"/>
            <wp:effectExtent l="0" t="0" r="317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5285" cy="6753795"/>
                    </a:xfrm>
                    <a:prstGeom prst="rect">
                      <a:avLst/>
                    </a:prstGeom>
                    <a:noFill/>
                    <a:ln>
                      <a:noFill/>
                    </a:ln>
                  </pic:spPr>
                </pic:pic>
              </a:graphicData>
            </a:graphic>
          </wp:inline>
        </w:drawing>
      </w:r>
    </w:p>
    <w:p w:rsidR="00B53F65" w:rsidRDefault="00B53F65" w:rsidP="00C17C6A">
      <w:pPr>
        <w:spacing w:line="240" w:lineRule="auto"/>
        <w:contextualSpacing/>
        <w:jc w:val="both"/>
        <w:rPr>
          <w:rFonts w:ascii="Times New Roman" w:eastAsia="Times New Roman" w:hAnsi="Times New Roman"/>
          <w:sz w:val="24"/>
          <w:szCs w:val="24"/>
          <w:lang w:eastAsia="pt-BR"/>
        </w:rPr>
      </w:pPr>
    </w:p>
    <w:p w:rsidR="00521D96" w:rsidRDefault="00521D96" w:rsidP="00C17C6A">
      <w:pPr>
        <w:spacing w:line="240" w:lineRule="auto"/>
        <w:contextualSpacing/>
        <w:jc w:val="center"/>
        <w:rPr>
          <w:rFonts w:ascii="Times New Roman" w:eastAsia="Times New Roman" w:hAnsi="Times New Roman"/>
          <w:sz w:val="24"/>
          <w:szCs w:val="24"/>
          <w:lang w:eastAsia="pt-BR"/>
        </w:rPr>
      </w:pPr>
      <w:r w:rsidRPr="00521D96">
        <w:rPr>
          <w:noProof/>
          <w:lang w:val="pt-BR" w:eastAsia="pt-BR"/>
        </w:rPr>
        <w:lastRenderedPageBreak/>
        <w:drawing>
          <wp:inline distT="0" distB="0" distL="0" distR="0" wp14:anchorId="09839D6F" wp14:editId="193B5630">
            <wp:extent cx="5513609" cy="34575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1731" cy="3462668"/>
                    </a:xfrm>
                    <a:prstGeom prst="rect">
                      <a:avLst/>
                    </a:prstGeom>
                    <a:noFill/>
                    <a:ln>
                      <a:noFill/>
                    </a:ln>
                  </pic:spPr>
                </pic:pic>
              </a:graphicData>
            </a:graphic>
          </wp:inline>
        </w:drawing>
      </w:r>
    </w:p>
    <w:p w:rsidR="00B53F65" w:rsidRDefault="00B53F65" w:rsidP="00C17C6A">
      <w:pPr>
        <w:spacing w:line="240" w:lineRule="auto"/>
        <w:contextualSpacing/>
        <w:jc w:val="center"/>
        <w:rPr>
          <w:rFonts w:ascii="Times New Roman" w:eastAsia="Times New Roman" w:hAnsi="Times New Roman"/>
          <w:sz w:val="24"/>
          <w:szCs w:val="24"/>
          <w:lang w:eastAsia="pt-BR"/>
        </w:rPr>
      </w:pPr>
    </w:p>
    <w:p w:rsidR="00B53F65" w:rsidRPr="00E639BA" w:rsidRDefault="00B53F65" w:rsidP="00C17C6A">
      <w:pPr>
        <w:spacing w:line="240" w:lineRule="auto"/>
        <w:contextualSpacing/>
        <w:jc w:val="both"/>
        <w:rPr>
          <w:rFonts w:ascii="Times New Roman" w:eastAsia="Times New Roman" w:hAnsi="Times New Roman"/>
          <w:sz w:val="24"/>
          <w:szCs w:val="24"/>
          <w:lang w:eastAsia="pt-BR"/>
        </w:rPr>
      </w:pPr>
    </w:p>
    <w:p w:rsidR="005C0729" w:rsidRPr="00E639BA" w:rsidRDefault="005C0729" w:rsidP="00C17C6A">
      <w:pPr>
        <w:spacing w:line="240" w:lineRule="auto"/>
        <w:contextualSpacing/>
        <w:jc w:val="both"/>
        <w:rPr>
          <w:rFonts w:ascii="Times New Roman" w:eastAsia="Times New Roman" w:hAnsi="Times New Roman"/>
          <w:sz w:val="24"/>
          <w:szCs w:val="24"/>
          <w:lang w:eastAsia="pt-BR"/>
        </w:rPr>
      </w:pPr>
    </w:p>
    <w:p w:rsidR="000B2E30" w:rsidRDefault="000B2E3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Default="008A4BF0" w:rsidP="00C17C6A">
      <w:pPr>
        <w:autoSpaceDE w:val="0"/>
        <w:autoSpaceDN w:val="0"/>
        <w:adjustRightInd w:val="0"/>
        <w:spacing w:after="0" w:line="240" w:lineRule="auto"/>
        <w:contextualSpacing/>
        <w:rPr>
          <w:rFonts w:ascii="GulliverRM" w:hAnsi="GulliverRM" w:cs="GulliverRM"/>
          <w:sz w:val="13"/>
          <w:szCs w:val="13"/>
        </w:rPr>
      </w:pPr>
    </w:p>
    <w:p w:rsidR="008A4BF0" w:rsidRPr="00E639BA" w:rsidRDefault="008A4BF0" w:rsidP="00C17C6A">
      <w:pPr>
        <w:autoSpaceDE w:val="0"/>
        <w:autoSpaceDN w:val="0"/>
        <w:adjustRightInd w:val="0"/>
        <w:spacing w:after="0" w:line="240" w:lineRule="auto"/>
        <w:contextualSpacing/>
        <w:jc w:val="center"/>
        <w:rPr>
          <w:rFonts w:ascii="GulliverRM" w:hAnsi="GulliverRM" w:cs="GulliverRM"/>
          <w:sz w:val="13"/>
          <w:szCs w:val="13"/>
        </w:rPr>
      </w:pPr>
    </w:p>
    <w:sectPr w:rsidR="008A4BF0" w:rsidRPr="00E639BA">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2FD" w:rsidRDefault="005852FD" w:rsidP="00BA34AB">
      <w:pPr>
        <w:spacing w:after="0" w:line="240" w:lineRule="auto"/>
      </w:pPr>
      <w:r>
        <w:separator/>
      </w:r>
    </w:p>
  </w:endnote>
  <w:endnote w:type="continuationSeparator" w:id="0">
    <w:p w:rsidR="005852FD" w:rsidRDefault="005852FD" w:rsidP="00BA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ulliverR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36" w:rsidRDefault="00F03836">
    <w:pPr>
      <w:pStyle w:val="Rodap"/>
      <w:jc w:val="center"/>
    </w:pPr>
    <w:r>
      <w:fldChar w:fldCharType="begin"/>
    </w:r>
    <w:r>
      <w:instrText>PAGE   \* MERGEFORMAT</w:instrText>
    </w:r>
    <w:r>
      <w:fldChar w:fldCharType="separate"/>
    </w:r>
    <w:r w:rsidR="00AC78CE">
      <w:rPr>
        <w:noProof/>
      </w:rPr>
      <w:t>1</w:t>
    </w:r>
    <w:r>
      <w:fldChar w:fldCharType="end"/>
    </w:r>
  </w:p>
  <w:p w:rsidR="00F03836" w:rsidRDefault="00F038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2FD" w:rsidRDefault="005852FD" w:rsidP="00BA34AB">
      <w:pPr>
        <w:spacing w:after="0" w:line="240" w:lineRule="auto"/>
      </w:pPr>
      <w:r>
        <w:separator/>
      </w:r>
    </w:p>
  </w:footnote>
  <w:footnote w:type="continuationSeparator" w:id="0">
    <w:p w:rsidR="005852FD" w:rsidRDefault="005852FD" w:rsidP="00BA34AB">
      <w:pPr>
        <w:spacing w:after="0" w:line="240" w:lineRule="auto"/>
      </w:pPr>
      <w:r>
        <w:continuationSeparator/>
      </w:r>
    </w:p>
  </w:footnote>
  <w:footnote w:id="1">
    <w:p w:rsidR="00F03836" w:rsidRPr="008A16F1" w:rsidRDefault="00F03836" w:rsidP="00CA5D2E">
      <w:pPr>
        <w:pStyle w:val="Textodenotaderodap"/>
        <w:jc w:val="both"/>
      </w:pPr>
      <w:r>
        <w:rPr>
          <w:rStyle w:val="Refdenotaderodap"/>
        </w:rPr>
        <w:footnoteRef/>
      </w:r>
      <w:r>
        <w:t xml:space="preserve"> According to Census data, only 3.</w:t>
      </w:r>
      <w:r w:rsidR="00BD0FE2">
        <w:t>7</w:t>
      </w:r>
      <w:r>
        <w:t>% of the black workers in Brazil had at least a bachelor’s degree in 2000, while 8</w:t>
      </w:r>
      <w:r w:rsidR="00BD0FE2">
        <w:t>.5</w:t>
      </w:r>
      <w:r>
        <w:t>% reached this level of schooling in 2010. In the latter period, 22</w:t>
      </w:r>
      <w:r w:rsidR="00BD0FE2">
        <w:t>.2</w:t>
      </w:r>
      <w:r>
        <w:t>% of the white workers had a bachelor’s or graduate degree.</w:t>
      </w:r>
    </w:p>
  </w:footnote>
  <w:footnote w:id="2">
    <w:p w:rsidR="00F03836" w:rsidRPr="00FF45B3" w:rsidRDefault="00F03836" w:rsidP="008C0ACD">
      <w:pPr>
        <w:pStyle w:val="Textodenotaderodap"/>
      </w:pPr>
      <w:r>
        <w:rPr>
          <w:rStyle w:val="Refdenotaderodap"/>
        </w:rPr>
        <w:footnoteRef/>
      </w:r>
      <w:r>
        <w:t xml:space="preserve"> See Altonji (1993), Bundell et</w:t>
      </w:r>
      <w:r w:rsidRPr="00FF45B3">
        <w:t xml:space="preserve"> </w:t>
      </w:r>
      <w:r>
        <w:t>a</w:t>
      </w:r>
      <w:r w:rsidRPr="00FF45B3">
        <w:t>l. (2000), Finnie and Frenette (2003)</w:t>
      </w:r>
      <w:r>
        <w:t xml:space="preserve">, among many others. </w:t>
      </w:r>
    </w:p>
  </w:footnote>
  <w:footnote w:id="3">
    <w:p w:rsidR="00F03836" w:rsidRPr="0024219B" w:rsidRDefault="00F03836" w:rsidP="005C45A3">
      <w:pPr>
        <w:pStyle w:val="Textodenotaderodap"/>
        <w:jc w:val="both"/>
      </w:pPr>
      <w:r>
        <w:rPr>
          <w:rStyle w:val="Refdenotaderodap"/>
        </w:rPr>
        <w:footnoteRef/>
      </w:r>
      <w:r w:rsidRPr="0024219B">
        <w:t xml:space="preserve"> </w:t>
      </w:r>
      <w:r w:rsidRPr="00FB7CAC">
        <w:t xml:space="preserve">In each municipality, the proportion of households </w:t>
      </w:r>
      <w:r>
        <w:t xml:space="preserve">selected to answer the more detailed questionnaire </w:t>
      </w:r>
      <w:r w:rsidRPr="00FB7CAC">
        <w:t>depends negatively on its population.</w:t>
      </w:r>
      <w:r>
        <w:t xml:space="preserve"> In 2000, it was applied for 10% of the households in municipalities with more than 15,000 inhabitants, and in 20% of the households in smaller municipalities. In 2010, m</w:t>
      </w:r>
      <w:r w:rsidRPr="0024219B">
        <w:t>unici</w:t>
      </w:r>
      <w:r>
        <w:t>palities were classified into fiv</w:t>
      </w:r>
      <w:r w:rsidRPr="0024219B">
        <w:t>e gr</w:t>
      </w:r>
      <w:r>
        <w:t>o</w:t>
      </w:r>
      <w:r w:rsidRPr="0024219B">
        <w:t xml:space="preserve">ups according to their population. </w:t>
      </w:r>
      <w:r>
        <w:t>For municipalities with less than 2,500 inhabitants, 50% of the households were selected, and for municipalities with more than 500,000 inhabitants, 5% of the households were selected to respond the more detailed questionnaire.</w:t>
      </w:r>
    </w:p>
  </w:footnote>
  <w:footnote w:id="4">
    <w:p w:rsidR="00F03836" w:rsidRPr="0005659A" w:rsidRDefault="00F03836" w:rsidP="0095537C">
      <w:pPr>
        <w:spacing w:line="240" w:lineRule="auto"/>
        <w:contextualSpacing/>
        <w:jc w:val="both"/>
        <w:rPr>
          <w:rFonts w:ascii="Times New Roman" w:eastAsia="Times New Roman" w:hAnsi="Times New Roman"/>
          <w:sz w:val="20"/>
          <w:szCs w:val="20"/>
          <w:lang w:eastAsia="x-none"/>
        </w:rPr>
      </w:pPr>
      <w:r>
        <w:rPr>
          <w:rStyle w:val="Refdenotaderodap"/>
        </w:rPr>
        <w:footnoteRef/>
      </w:r>
      <w:r w:rsidRPr="0005659A">
        <w:t xml:space="preserve"> </w:t>
      </w:r>
      <w:r w:rsidRPr="0005659A">
        <w:rPr>
          <w:rFonts w:ascii="Times New Roman" w:eastAsia="Times New Roman" w:hAnsi="Times New Roman"/>
          <w:sz w:val="20"/>
          <w:szCs w:val="20"/>
          <w:lang w:eastAsia="x-none"/>
        </w:rPr>
        <w:t xml:space="preserve">In addition, decompositions of the </w:t>
      </w:r>
      <w:r w:rsidRPr="007C4894">
        <w:rPr>
          <w:rFonts w:ascii="Times New Roman" w:eastAsia="Times New Roman" w:hAnsi="Times New Roman"/>
          <w:sz w:val="20"/>
          <w:szCs w:val="20"/>
          <w:lang w:eastAsia="x-none"/>
        </w:rPr>
        <w:t>racial hourly earnings</w:t>
      </w:r>
      <w:r w:rsidRPr="0005659A">
        <w:rPr>
          <w:rFonts w:ascii="Times New Roman" w:eastAsia="Times New Roman" w:hAnsi="Times New Roman"/>
          <w:sz w:val="20"/>
          <w:szCs w:val="20"/>
          <w:lang w:eastAsia="x-none"/>
        </w:rPr>
        <w:t xml:space="preserve"> gap in 2010 using the aggregated classification pro</w:t>
      </w:r>
      <w:r w:rsidR="001D2F42">
        <w:rPr>
          <w:rFonts w:ascii="Times New Roman" w:eastAsia="Times New Roman" w:hAnsi="Times New Roman"/>
          <w:sz w:val="20"/>
          <w:szCs w:val="20"/>
          <w:lang w:eastAsia="x-none"/>
        </w:rPr>
        <w:t>vided by the 2010 Census with 8</w:t>
      </w:r>
      <w:r w:rsidRPr="0005659A">
        <w:rPr>
          <w:rFonts w:ascii="Times New Roman" w:eastAsia="Times New Roman" w:hAnsi="Times New Roman"/>
          <w:sz w:val="20"/>
          <w:szCs w:val="20"/>
          <w:lang w:eastAsia="x-none"/>
        </w:rPr>
        <w:t xml:space="preserve"> groups, instead of the one adopted in </w:t>
      </w:r>
      <w:r>
        <w:rPr>
          <w:rFonts w:ascii="Times New Roman" w:eastAsia="Times New Roman" w:hAnsi="Times New Roman"/>
          <w:sz w:val="20"/>
          <w:szCs w:val="20"/>
          <w:lang w:eastAsia="x-none"/>
        </w:rPr>
        <w:t xml:space="preserve">the </w:t>
      </w:r>
      <w:r w:rsidRPr="0005659A">
        <w:rPr>
          <w:rFonts w:ascii="Times New Roman" w:eastAsia="Times New Roman" w:hAnsi="Times New Roman"/>
          <w:sz w:val="20"/>
          <w:szCs w:val="20"/>
          <w:lang w:eastAsia="x-none"/>
        </w:rPr>
        <w:t xml:space="preserve">estimates reported in Table </w:t>
      </w:r>
      <w:r w:rsidR="007B060D">
        <w:rPr>
          <w:rFonts w:ascii="Times New Roman" w:eastAsia="Times New Roman" w:hAnsi="Times New Roman"/>
          <w:sz w:val="20"/>
          <w:szCs w:val="20"/>
          <w:lang w:eastAsia="x-none"/>
        </w:rPr>
        <w:t>4</w:t>
      </w:r>
      <w:r w:rsidRPr="0005659A">
        <w:rPr>
          <w:rFonts w:ascii="Times New Roman" w:eastAsia="Times New Roman" w:hAnsi="Times New Roman"/>
          <w:sz w:val="20"/>
          <w:szCs w:val="20"/>
          <w:lang w:eastAsia="x-none"/>
        </w:rPr>
        <w:t xml:space="preserve">, show that differences regarding fields of study contribute with 23% of the total gap. This value is very similar to the estimated effects in columns (1) and (2) of Table </w:t>
      </w:r>
      <w:r w:rsidR="007B060D">
        <w:rPr>
          <w:rFonts w:ascii="Times New Roman" w:eastAsia="Times New Roman" w:hAnsi="Times New Roman"/>
          <w:sz w:val="20"/>
          <w:szCs w:val="20"/>
          <w:lang w:eastAsia="x-none"/>
        </w:rPr>
        <w:t>4</w:t>
      </w:r>
      <w:r w:rsidRPr="0005659A">
        <w:rPr>
          <w:rFonts w:ascii="Times New Roman" w:eastAsia="Times New Roman" w:hAnsi="Times New Roman"/>
          <w:sz w:val="20"/>
          <w:szCs w:val="20"/>
          <w:lang w:eastAsia="x-none"/>
        </w:rPr>
        <w:t>.</w:t>
      </w:r>
    </w:p>
  </w:footnote>
  <w:footnote w:id="5">
    <w:p w:rsidR="00F03836" w:rsidRPr="001D0539" w:rsidRDefault="00F03836" w:rsidP="008E54A3">
      <w:r>
        <w:rPr>
          <w:rStyle w:val="Refdenotaderodap"/>
        </w:rPr>
        <w:footnoteRef/>
      </w:r>
      <w:r w:rsidRPr="001D0539">
        <w:rPr>
          <w:rStyle w:val="Refdenotaderodap"/>
        </w:rPr>
        <w:t xml:space="preserve"> </w:t>
      </w:r>
      <w:r>
        <w:rPr>
          <w:rFonts w:ascii="Times New Roman" w:eastAsia="Times New Roman" w:hAnsi="Times New Roman"/>
          <w:sz w:val="20"/>
          <w:szCs w:val="20"/>
          <w:lang w:eastAsia="x-none"/>
        </w:rPr>
        <w:t xml:space="preserve">These results are </w:t>
      </w:r>
      <w:r w:rsidRPr="008E54A3">
        <w:rPr>
          <w:rFonts w:ascii="Times New Roman" w:eastAsia="Times New Roman" w:hAnsi="Times New Roman"/>
          <w:sz w:val="20"/>
          <w:szCs w:val="20"/>
          <w:lang w:eastAsia="x-none"/>
        </w:rPr>
        <w:t>available upon request.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7061"/>
    <w:multiLevelType w:val="hybridMultilevel"/>
    <w:tmpl w:val="3238F926"/>
    <w:lvl w:ilvl="0" w:tplc="FB44078E">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759680B"/>
    <w:multiLevelType w:val="hybridMultilevel"/>
    <w:tmpl w:val="CCF6AECA"/>
    <w:lvl w:ilvl="0" w:tplc="13C83C12">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9E10550"/>
    <w:multiLevelType w:val="hybridMultilevel"/>
    <w:tmpl w:val="0554A918"/>
    <w:lvl w:ilvl="0" w:tplc="1B8C494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AB"/>
    <w:rsid w:val="00000EC7"/>
    <w:rsid w:val="00001518"/>
    <w:rsid w:val="0000171B"/>
    <w:rsid w:val="0000227D"/>
    <w:rsid w:val="00002B1B"/>
    <w:rsid w:val="000034BB"/>
    <w:rsid w:val="00004D9C"/>
    <w:rsid w:val="00005345"/>
    <w:rsid w:val="00005529"/>
    <w:rsid w:val="0000781F"/>
    <w:rsid w:val="00012FEC"/>
    <w:rsid w:val="000133F1"/>
    <w:rsid w:val="000231F2"/>
    <w:rsid w:val="0002633E"/>
    <w:rsid w:val="0002699F"/>
    <w:rsid w:val="000303D0"/>
    <w:rsid w:val="00030C59"/>
    <w:rsid w:val="00031295"/>
    <w:rsid w:val="0003278C"/>
    <w:rsid w:val="000357E7"/>
    <w:rsid w:val="0004091C"/>
    <w:rsid w:val="00043114"/>
    <w:rsid w:val="0004312C"/>
    <w:rsid w:val="0004439F"/>
    <w:rsid w:val="00044F52"/>
    <w:rsid w:val="00045282"/>
    <w:rsid w:val="000473B9"/>
    <w:rsid w:val="00050472"/>
    <w:rsid w:val="00053D5D"/>
    <w:rsid w:val="0005594B"/>
    <w:rsid w:val="0005659A"/>
    <w:rsid w:val="0005735B"/>
    <w:rsid w:val="00060CA7"/>
    <w:rsid w:val="0006555E"/>
    <w:rsid w:val="00067BAD"/>
    <w:rsid w:val="00070141"/>
    <w:rsid w:val="0007539E"/>
    <w:rsid w:val="00081146"/>
    <w:rsid w:val="00083A9F"/>
    <w:rsid w:val="00083F89"/>
    <w:rsid w:val="000871C7"/>
    <w:rsid w:val="00087477"/>
    <w:rsid w:val="000904C9"/>
    <w:rsid w:val="00090D19"/>
    <w:rsid w:val="000A0112"/>
    <w:rsid w:val="000A12C9"/>
    <w:rsid w:val="000A16CD"/>
    <w:rsid w:val="000A305C"/>
    <w:rsid w:val="000A397E"/>
    <w:rsid w:val="000A3E45"/>
    <w:rsid w:val="000A5092"/>
    <w:rsid w:val="000A6185"/>
    <w:rsid w:val="000A6629"/>
    <w:rsid w:val="000B0A34"/>
    <w:rsid w:val="000B15C6"/>
    <w:rsid w:val="000B29A4"/>
    <w:rsid w:val="000B2A20"/>
    <w:rsid w:val="000B2E30"/>
    <w:rsid w:val="000B461F"/>
    <w:rsid w:val="000B468A"/>
    <w:rsid w:val="000B5FD9"/>
    <w:rsid w:val="000B5FE4"/>
    <w:rsid w:val="000B6529"/>
    <w:rsid w:val="000B655F"/>
    <w:rsid w:val="000B6857"/>
    <w:rsid w:val="000B70F9"/>
    <w:rsid w:val="000C7971"/>
    <w:rsid w:val="000D0BC1"/>
    <w:rsid w:val="000D322D"/>
    <w:rsid w:val="000D6B41"/>
    <w:rsid w:val="000D73DE"/>
    <w:rsid w:val="000E0704"/>
    <w:rsid w:val="000E1041"/>
    <w:rsid w:val="000E27B4"/>
    <w:rsid w:val="000E2B2B"/>
    <w:rsid w:val="000E30BD"/>
    <w:rsid w:val="000E5D43"/>
    <w:rsid w:val="000F24AB"/>
    <w:rsid w:val="000F39C3"/>
    <w:rsid w:val="000F3A0F"/>
    <w:rsid w:val="000F3EC6"/>
    <w:rsid w:val="000F4AF2"/>
    <w:rsid w:val="000F4D27"/>
    <w:rsid w:val="000F54D9"/>
    <w:rsid w:val="000F751E"/>
    <w:rsid w:val="00100798"/>
    <w:rsid w:val="00100956"/>
    <w:rsid w:val="00100D69"/>
    <w:rsid w:val="00101096"/>
    <w:rsid w:val="0010257E"/>
    <w:rsid w:val="001028E1"/>
    <w:rsid w:val="00105593"/>
    <w:rsid w:val="00112DF0"/>
    <w:rsid w:val="00113E29"/>
    <w:rsid w:val="00116F63"/>
    <w:rsid w:val="001170D5"/>
    <w:rsid w:val="00121733"/>
    <w:rsid w:val="00122EDD"/>
    <w:rsid w:val="00125CBC"/>
    <w:rsid w:val="001266FC"/>
    <w:rsid w:val="00126806"/>
    <w:rsid w:val="001302CA"/>
    <w:rsid w:val="0013068A"/>
    <w:rsid w:val="001307E6"/>
    <w:rsid w:val="001345E9"/>
    <w:rsid w:val="00136BDD"/>
    <w:rsid w:val="00137E75"/>
    <w:rsid w:val="001417AC"/>
    <w:rsid w:val="00141BBA"/>
    <w:rsid w:val="00141DCC"/>
    <w:rsid w:val="001435B7"/>
    <w:rsid w:val="00143705"/>
    <w:rsid w:val="0014530C"/>
    <w:rsid w:val="00145495"/>
    <w:rsid w:val="00150004"/>
    <w:rsid w:val="00152780"/>
    <w:rsid w:val="001532C3"/>
    <w:rsid w:val="001538D2"/>
    <w:rsid w:val="00154924"/>
    <w:rsid w:val="00154D39"/>
    <w:rsid w:val="00154FD5"/>
    <w:rsid w:val="00157A8A"/>
    <w:rsid w:val="00157AF0"/>
    <w:rsid w:val="00162315"/>
    <w:rsid w:val="001631E1"/>
    <w:rsid w:val="00171C82"/>
    <w:rsid w:val="00172488"/>
    <w:rsid w:val="00172E84"/>
    <w:rsid w:val="001737AE"/>
    <w:rsid w:val="00181454"/>
    <w:rsid w:val="00187902"/>
    <w:rsid w:val="00192616"/>
    <w:rsid w:val="00192A60"/>
    <w:rsid w:val="00193443"/>
    <w:rsid w:val="001937B1"/>
    <w:rsid w:val="00193EC1"/>
    <w:rsid w:val="001942E8"/>
    <w:rsid w:val="001948BB"/>
    <w:rsid w:val="001948ED"/>
    <w:rsid w:val="0019744C"/>
    <w:rsid w:val="0019760E"/>
    <w:rsid w:val="001A1478"/>
    <w:rsid w:val="001A1549"/>
    <w:rsid w:val="001A241A"/>
    <w:rsid w:val="001A6289"/>
    <w:rsid w:val="001A70D1"/>
    <w:rsid w:val="001A7ECE"/>
    <w:rsid w:val="001B0856"/>
    <w:rsid w:val="001B0CE0"/>
    <w:rsid w:val="001B1719"/>
    <w:rsid w:val="001B1EB7"/>
    <w:rsid w:val="001B22A4"/>
    <w:rsid w:val="001B36B7"/>
    <w:rsid w:val="001B47FD"/>
    <w:rsid w:val="001B4A57"/>
    <w:rsid w:val="001B4ADB"/>
    <w:rsid w:val="001B4F35"/>
    <w:rsid w:val="001C13F6"/>
    <w:rsid w:val="001C40A4"/>
    <w:rsid w:val="001C44EE"/>
    <w:rsid w:val="001C624A"/>
    <w:rsid w:val="001D0539"/>
    <w:rsid w:val="001D2F42"/>
    <w:rsid w:val="001D7697"/>
    <w:rsid w:val="001E08CE"/>
    <w:rsid w:val="001E2550"/>
    <w:rsid w:val="001E32CF"/>
    <w:rsid w:val="001E7218"/>
    <w:rsid w:val="001F0B18"/>
    <w:rsid w:val="001F1F8B"/>
    <w:rsid w:val="001F2655"/>
    <w:rsid w:val="001F69AB"/>
    <w:rsid w:val="001F6D8C"/>
    <w:rsid w:val="001F7B01"/>
    <w:rsid w:val="00200480"/>
    <w:rsid w:val="00200C48"/>
    <w:rsid w:val="0020124A"/>
    <w:rsid w:val="002022C7"/>
    <w:rsid w:val="00204237"/>
    <w:rsid w:val="00206436"/>
    <w:rsid w:val="00210DAF"/>
    <w:rsid w:val="00210F15"/>
    <w:rsid w:val="00220924"/>
    <w:rsid w:val="00223D3E"/>
    <w:rsid w:val="002241D1"/>
    <w:rsid w:val="00224492"/>
    <w:rsid w:val="00226771"/>
    <w:rsid w:val="00227A13"/>
    <w:rsid w:val="00232EB9"/>
    <w:rsid w:val="002338B5"/>
    <w:rsid w:val="00235F77"/>
    <w:rsid w:val="002424B1"/>
    <w:rsid w:val="00246C84"/>
    <w:rsid w:val="00250639"/>
    <w:rsid w:val="00251075"/>
    <w:rsid w:val="002532ED"/>
    <w:rsid w:val="0025354C"/>
    <w:rsid w:val="00254A78"/>
    <w:rsid w:val="00255B85"/>
    <w:rsid w:val="002568DA"/>
    <w:rsid w:val="002621D3"/>
    <w:rsid w:val="0026290F"/>
    <w:rsid w:val="0026328B"/>
    <w:rsid w:val="00264D36"/>
    <w:rsid w:val="00265682"/>
    <w:rsid w:val="00267EEF"/>
    <w:rsid w:val="00270C50"/>
    <w:rsid w:val="00272A72"/>
    <w:rsid w:val="002755E8"/>
    <w:rsid w:val="00277F87"/>
    <w:rsid w:val="002804D3"/>
    <w:rsid w:val="00281423"/>
    <w:rsid w:val="00281FD0"/>
    <w:rsid w:val="0028219B"/>
    <w:rsid w:val="00282E2B"/>
    <w:rsid w:val="0028335E"/>
    <w:rsid w:val="002905B7"/>
    <w:rsid w:val="002A211E"/>
    <w:rsid w:val="002A531C"/>
    <w:rsid w:val="002B09C9"/>
    <w:rsid w:val="002B1564"/>
    <w:rsid w:val="002B1BC4"/>
    <w:rsid w:val="002C0C0A"/>
    <w:rsid w:val="002C2F8F"/>
    <w:rsid w:val="002C33F8"/>
    <w:rsid w:val="002C4C9C"/>
    <w:rsid w:val="002C5850"/>
    <w:rsid w:val="002C6FA6"/>
    <w:rsid w:val="002C77A2"/>
    <w:rsid w:val="002D029B"/>
    <w:rsid w:val="002D415C"/>
    <w:rsid w:val="002D6D95"/>
    <w:rsid w:val="002D7065"/>
    <w:rsid w:val="002E020C"/>
    <w:rsid w:val="002E0FFC"/>
    <w:rsid w:val="002E13F4"/>
    <w:rsid w:val="002E62BC"/>
    <w:rsid w:val="002E65B2"/>
    <w:rsid w:val="002E72AB"/>
    <w:rsid w:val="002F0FB2"/>
    <w:rsid w:val="002F3421"/>
    <w:rsid w:val="002F37D4"/>
    <w:rsid w:val="002F44AC"/>
    <w:rsid w:val="002F5218"/>
    <w:rsid w:val="002F5D9B"/>
    <w:rsid w:val="00300932"/>
    <w:rsid w:val="0030132B"/>
    <w:rsid w:val="003079B2"/>
    <w:rsid w:val="00307C70"/>
    <w:rsid w:val="00314794"/>
    <w:rsid w:val="00316A62"/>
    <w:rsid w:val="00317717"/>
    <w:rsid w:val="00321DA9"/>
    <w:rsid w:val="00322EEA"/>
    <w:rsid w:val="00326010"/>
    <w:rsid w:val="0033012D"/>
    <w:rsid w:val="003350EE"/>
    <w:rsid w:val="00335AF2"/>
    <w:rsid w:val="00343089"/>
    <w:rsid w:val="00345ACF"/>
    <w:rsid w:val="0035098F"/>
    <w:rsid w:val="00351184"/>
    <w:rsid w:val="00353E99"/>
    <w:rsid w:val="00353FA0"/>
    <w:rsid w:val="00353FA9"/>
    <w:rsid w:val="00355D42"/>
    <w:rsid w:val="00361150"/>
    <w:rsid w:val="00363BA0"/>
    <w:rsid w:val="00364255"/>
    <w:rsid w:val="00366312"/>
    <w:rsid w:val="00366D85"/>
    <w:rsid w:val="00367A38"/>
    <w:rsid w:val="00370070"/>
    <w:rsid w:val="00374879"/>
    <w:rsid w:val="00375AC0"/>
    <w:rsid w:val="0037773F"/>
    <w:rsid w:val="00377979"/>
    <w:rsid w:val="00383113"/>
    <w:rsid w:val="003847A4"/>
    <w:rsid w:val="00385CEB"/>
    <w:rsid w:val="00386EBA"/>
    <w:rsid w:val="00387142"/>
    <w:rsid w:val="00391621"/>
    <w:rsid w:val="00391FAB"/>
    <w:rsid w:val="0039489D"/>
    <w:rsid w:val="00396E54"/>
    <w:rsid w:val="0039775B"/>
    <w:rsid w:val="00397C1A"/>
    <w:rsid w:val="003A10BA"/>
    <w:rsid w:val="003A3DCE"/>
    <w:rsid w:val="003A415C"/>
    <w:rsid w:val="003A4FC2"/>
    <w:rsid w:val="003A6150"/>
    <w:rsid w:val="003A6E51"/>
    <w:rsid w:val="003B028E"/>
    <w:rsid w:val="003B3D5C"/>
    <w:rsid w:val="003B4EF1"/>
    <w:rsid w:val="003B5020"/>
    <w:rsid w:val="003B7C67"/>
    <w:rsid w:val="003C0691"/>
    <w:rsid w:val="003C15C9"/>
    <w:rsid w:val="003C6754"/>
    <w:rsid w:val="003D0C64"/>
    <w:rsid w:val="003D13A2"/>
    <w:rsid w:val="003D21DD"/>
    <w:rsid w:val="003D3E22"/>
    <w:rsid w:val="003D65E8"/>
    <w:rsid w:val="003D7F20"/>
    <w:rsid w:val="003E0675"/>
    <w:rsid w:val="003E142D"/>
    <w:rsid w:val="003E2E00"/>
    <w:rsid w:val="003E3BAA"/>
    <w:rsid w:val="003E51DE"/>
    <w:rsid w:val="003E544F"/>
    <w:rsid w:val="003E6A04"/>
    <w:rsid w:val="003F10F0"/>
    <w:rsid w:val="003F21E0"/>
    <w:rsid w:val="003F32ED"/>
    <w:rsid w:val="003F48D6"/>
    <w:rsid w:val="003F4E81"/>
    <w:rsid w:val="003F60C4"/>
    <w:rsid w:val="003F74E4"/>
    <w:rsid w:val="004044DF"/>
    <w:rsid w:val="00404E89"/>
    <w:rsid w:val="00405C92"/>
    <w:rsid w:val="00406970"/>
    <w:rsid w:val="00406B58"/>
    <w:rsid w:val="004075BE"/>
    <w:rsid w:val="004114AF"/>
    <w:rsid w:val="00411C9D"/>
    <w:rsid w:val="0041463D"/>
    <w:rsid w:val="00414B53"/>
    <w:rsid w:val="004154AA"/>
    <w:rsid w:val="004164EB"/>
    <w:rsid w:val="0041723B"/>
    <w:rsid w:val="00417450"/>
    <w:rsid w:val="00417705"/>
    <w:rsid w:val="00420199"/>
    <w:rsid w:val="0042052E"/>
    <w:rsid w:val="00421885"/>
    <w:rsid w:val="00422539"/>
    <w:rsid w:val="004267E9"/>
    <w:rsid w:val="0043053A"/>
    <w:rsid w:val="004331E8"/>
    <w:rsid w:val="00434634"/>
    <w:rsid w:val="00436DF1"/>
    <w:rsid w:val="00442116"/>
    <w:rsid w:val="0044275D"/>
    <w:rsid w:val="00442C6C"/>
    <w:rsid w:val="00442C88"/>
    <w:rsid w:val="004437B6"/>
    <w:rsid w:val="00443E0D"/>
    <w:rsid w:val="00447B71"/>
    <w:rsid w:val="00447FF3"/>
    <w:rsid w:val="00452586"/>
    <w:rsid w:val="004552F9"/>
    <w:rsid w:val="00456A4F"/>
    <w:rsid w:val="00461FA6"/>
    <w:rsid w:val="00463006"/>
    <w:rsid w:val="004650F1"/>
    <w:rsid w:val="00467B74"/>
    <w:rsid w:val="00472942"/>
    <w:rsid w:val="0047627A"/>
    <w:rsid w:val="004806EC"/>
    <w:rsid w:val="00483826"/>
    <w:rsid w:val="00485115"/>
    <w:rsid w:val="004877D8"/>
    <w:rsid w:val="00491B42"/>
    <w:rsid w:val="00493E91"/>
    <w:rsid w:val="00495933"/>
    <w:rsid w:val="00497B9D"/>
    <w:rsid w:val="004A00BD"/>
    <w:rsid w:val="004A1470"/>
    <w:rsid w:val="004A242C"/>
    <w:rsid w:val="004A6817"/>
    <w:rsid w:val="004B0545"/>
    <w:rsid w:val="004B4AA5"/>
    <w:rsid w:val="004B5A49"/>
    <w:rsid w:val="004B7712"/>
    <w:rsid w:val="004C08F4"/>
    <w:rsid w:val="004C2672"/>
    <w:rsid w:val="004C2704"/>
    <w:rsid w:val="004C5517"/>
    <w:rsid w:val="004C55AF"/>
    <w:rsid w:val="004C5869"/>
    <w:rsid w:val="004C6F38"/>
    <w:rsid w:val="004C74E9"/>
    <w:rsid w:val="004C7F14"/>
    <w:rsid w:val="004D3F02"/>
    <w:rsid w:val="004D65C7"/>
    <w:rsid w:val="004D7408"/>
    <w:rsid w:val="004E2915"/>
    <w:rsid w:val="004E2A1B"/>
    <w:rsid w:val="004E34D8"/>
    <w:rsid w:val="004E3D3B"/>
    <w:rsid w:val="004E60DE"/>
    <w:rsid w:val="004F0DC0"/>
    <w:rsid w:val="004F114C"/>
    <w:rsid w:val="004F2EE8"/>
    <w:rsid w:val="004F4D7D"/>
    <w:rsid w:val="004F7883"/>
    <w:rsid w:val="004F7B75"/>
    <w:rsid w:val="005007D2"/>
    <w:rsid w:val="00502E0D"/>
    <w:rsid w:val="00503100"/>
    <w:rsid w:val="00503369"/>
    <w:rsid w:val="00503EF7"/>
    <w:rsid w:val="0050415D"/>
    <w:rsid w:val="00506029"/>
    <w:rsid w:val="00511708"/>
    <w:rsid w:val="005121A4"/>
    <w:rsid w:val="00513306"/>
    <w:rsid w:val="005144F1"/>
    <w:rsid w:val="00521332"/>
    <w:rsid w:val="00521730"/>
    <w:rsid w:val="00521D96"/>
    <w:rsid w:val="005238DA"/>
    <w:rsid w:val="00523EFF"/>
    <w:rsid w:val="00527A91"/>
    <w:rsid w:val="005306B5"/>
    <w:rsid w:val="00531D19"/>
    <w:rsid w:val="00532B4C"/>
    <w:rsid w:val="00535305"/>
    <w:rsid w:val="00541DAF"/>
    <w:rsid w:val="00547369"/>
    <w:rsid w:val="00547AB9"/>
    <w:rsid w:val="00552B56"/>
    <w:rsid w:val="00553E46"/>
    <w:rsid w:val="005558AA"/>
    <w:rsid w:val="00556324"/>
    <w:rsid w:val="0055700D"/>
    <w:rsid w:val="00561612"/>
    <w:rsid w:val="00561CA6"/>
    <w:rsid w:val="0056225A"/>
    <w:rsid w:val="005643CC"/>
    <w:rsid w:val="005652DA"/>
    <w:rsid w:val="00566B72"/>
    <w:rsid w:val="00567DC0"/>
    <w:rsid w:val="00570A5C"/>
    <w:rsid w:val="005715B6"/>
    <w:rsid w:val="00571A17"/>
    <w:rsid w:val="00572FC5"/>
    <w:rsid w:val="00573AC5"/>
    <w:rsid w:val="00575042"/>
    <w:rsid w:val="005756DA"/>
    <w:rsid w:val="00580ACF"/>
    <w:rsid w:val="00581032"/>
    <w:rsid w:val="00582A9B"/>
    <w:rsid w:val="005835C4"/>
    <w:rsid w:val="00584557"/>
    <w:rsid w:val="005852FD"/>
    <w:rsid w:val="00590A67"/>
    <w:rsid w:val="005925F4"/>
    <w:rsid w:val="005944EB"/>
    <w:rsid w:val="0059659E"/>
    <w:rsid w:val="00596723"/>
    <w:rsid w:val="00596C58"/>
    <w:rsid w:val="005A000F"/>
    <w:rsid w:val="005A049D"/>
    <w:rsid w:val="005A062B"/>
    <w:rsid w:val="005A0921"/>
    <w:rsid w:val="005A0962"/>
    <w:rsid w:val="005A10F4"/>
    <w:rsid w:val="005A18E5"/>
    <w:rsid w:val="005A1EAE"/>
    <w:rsid w:val="005A4458"/>
    <w:rsid w:val="005A71EE"/>
    <w:rsid w:val="005B06AA"/>
    <w:rsid w:val="005B5326"/>
    <w:rsid w:val="005B6222"/>
    <w:rsid w:val="005B6DEC"/>
    <w:rsid w:val="005B6F7F"/>
    <w:rsid w:val="005C0729"/>
    <w:rsid w:val="005C22FF"/>
    <w:rsid w:val="005C2807"/>
    <w:rsid w:val="005C45A3"/>
    <w:rsid w:val="005C6A8F"/>
    <w:rsid w:val="005D10F1"/>
    <w:rsid w:val="005D1FAA"/>
    <w:rsid w:val="005D242E"/>
    <w:rsid w:val="005D5A4F"/>
    <w:rsid w:val="005E4E55"/>
    <w:rsid w:val="005E7674"/>
    <w:rsid w:val="005F1884"/>
    <w:rsid w:val="005F2AF9"/>
    <w:rsid w:val="005F3275"/>
    <w:rsid w:val="005F6E4C"/>
    <w:rsid w:val="005F770C"/>
    <w:rsid w:val="005F7BED"/>
    <w:rsid w:val="0060022B"/>
    <w:rsid w:val="006002D6"/>
    <w:rsid w:val="0060081B"/>
    <w:rsid w:val="006013AA"/>
    <w:rsid w:val="00603E04"/>
    <w:rsid w:val="006040E4"/>
    <w:rsid w:val="006042CC"/>
    <w:rsid w:val="00604A97"/>
    <w:rsid w:val="006054FF"/>
    <w:rsid w:val="00607281"/>
    <w:rsid w:val="006102D9"/>
    <w:rsid w:val="0061186C"/>
    <w:rsid w:val="00611DF4"/>
    <w:rsid w:val="00613F65"/>
    <w:rsid w:val="0061587A"/>
    <w:rsid w:val="006213D9"/>
    <w:rsid w:val="00623CC6"/>
    <w:rsid w:val="00624464"/>
    <w:rsid w:val="0062553C"/>
    <w:rsid w:val="006329D0"/>
    <w:rsid w:val="0063765C"/>
    <w:rsid w:val="00642100"/>
    <w:rsid w:val="00642CC6"/>
    <w:rsid w:val="00642DD3"/>
    <w:rsid w:val="00642EA9"/>
    <w:rsid w:val="00644441"/>
    <w:rsid w:val="00647D57"/>
    <w:rsid w:val="006502BA"/>
    <w:rsid w:val="00650A73"/>
    <w:rsid w:val="00651677"/>
    <w:rsid w:val="0065402A"/>
    <w:rsid w:val="006556E4"/>
    <w:rsid w:val="00655BE4"/>
    <w:rsid w:val="00660500"/>
    <w:rsid w:val="00664F7B"/>
    <w:rsid w:val="0066567C"/>
    <w:rsid w:val="00670301"/>
    <w:rsid w:val="0067066E"/>
    <w:rsid w:val="00672ABA"/>
    <w:rsid w:val="006739CD"/>
    <w:rsid w:val="0067683E"/>
    <w:rsid w:val="0068172E"/>
    <w:rsid w:val="0068180C"/>
    <w:rsid w:val="006824C9"/>
    <w:rsid w:val="006832CF"/>
    <w:rsid w:val="00683825"/>
    <w:rsid w:val="006909D9"/>
    <w:rsid w:val="00692DF3"/>
    <w:rsid w:val="00693871"/>
    <w:rsid w:val="0069495D"/>
    <w:rsid w:val="006959D5"/>
    <w:rsid w:val="0069679D"/>
    <w:rsid w:val="00697096"/>
    <w:rsid w:val="00697994"/>
    <w:rsid w:val="00697FF8"/>
    <w:rsid w:val="006A0826"/>
    <w:rsid w:val="006A2C7B"/>
    <w:rsid w:val="006A455A"/>
    <w:rsid w:val="006B00CD"/>
    <w:rsid w:val="006B2A7F"/>
    <w:rsid w:val="006B689F"/>
    <w:rsid w:val="006B6946"/>
    <w:rsid w:val="006B7DEC"/>
    <w:rsid w:val="006B7FA2"/>
    <w:rsid w:val="006C02E9"/>
    <w:rsid w:val="006C0F77"/>
    <w:rsid w:val="006C11C3"/>
    <w:rsid w:val="006C5287"/>
    <w:rsid w:val="006C77AC"/>
    <w:rsid w:val="006D0CD6"/>
    <w:rsid w:val="006D2F01"/>
    <w:rsid w:val="006D554C"/>
    <w:rsid w:val="006E5403"/>
    <w:rsid w:val="006E77BC"/>
    <w:rsid w:val="006F05AD"/>
    <w:rsid w:val="006F25FB"/>
    <w:rsid w:val="006F313F"/>
    <w:rsid w:val="006F3388"/>
    <w:rsid w:val="006F3BFD"/>
    <w:rsid w:val="006F3F11"/>
    <w:rsid w:val="006F4F4A"/>
    <w:rsid w:val="006F515D"/>
    <w:rsid w:val="006F5F0B"/>
    <w:rsid w:val="0070029E"/>
    <w:rsid w:val="00700EF1"/>
    <w:rsid w:val="00701493"/>
    <w:rsid w:val="007014D8"/>
    <w:rsid w:val="00705DFC"/>
    <w:rsid w:val="007117D0"/>
    <w:rsid w:val="00713812"/>
    <w:rsid w:val="00714531"/>
    <w:rsid w:val="00714F77"/>
    <w:rsid w:val="00716DF0"/>
    <w:rsid w:val="00717965"/>
    <w:rsid w:val="00720B22"/>
    <w:rsid w:val="007316D2"/>
    <w:rsid w:val="007361A8"/>
    <w:rsid w:val="00741613"/>
    <w:rsid w:val="00744A56"/>
    <w:rsid w:val="00753C69"/>
    <w:rsid w:val="0075511F"/>
    <w:rsid w:val="0076590E"/>
    <w:rsid w:val="00765BA3"/>
    <w:rsid w:val="00766A82"/>
    <w:rsid w:val="00772AD8"/>
    <w:rsid w:val="00775CA6"/>
    <w:rsid w:val="00776176"/>
    <w:rsid w:val="00780B82"/>
    <w:rsid w:val="007820FC"/>
    <w:rsid w:val="0078236D"/>
    <w:rsid w:val="00783CB3"/>
    <w:rsid w:val="00785C34"/>
    <w:rsid w:val="007865AC"/>
    <w:rsid w:val="007878E8"/>
    <w:rsid w:val="00793F67"/>
    <w:rsid w:val="00794086"/>
    <w:rsid w:val="0079540F"/>
    <w:rsid w:val="00797285"/>
    <w:rsid w:val="007A1654"/>
    <w:rsid w:val="007A2602"/>
    <w:rsid w:val="007A2694"/>
    <w:rsid w:val="007A26CA"/>
    <w:rsid w:val="007A32C2"/>
    <w:rsid w:val="007A6AF7"/>
    <w:rsid w:val="007A7994"/>
    <w:rsid w:val="007A7DCE"/>
    <w:rsid w:val="007B060D"/>
    <w:rsid w:val="007B3366"/>
    <w:rsid w:val="007B59F0"/>
    <w:rsid w:val="007B5E2F"/>
    <w:rsid w:val="007C08A5"/>
    <w:rsid w:val="007C0B06"/>
    <w:rsid w:val="007C1326"/>
    <w:rsid w:val="007C213D"/>
    <w:rsid w:val="007C3076"/>
    <w:rsid w:val="007C4894"/>
    <w:rsid w:val="007C51C5"/>
    <w:rsid w:val="007C59A4"/>
    <w:rsid w:val="007C69C4"/>
    <w:rsid w:val="007D0BBA"/>
    <w:rsid w:val="007D2995"/>
    <w:rsid w:val="007D4F62"/>
    <w:rsid w:val="007D50B9"/>
    <w:rsid w:val="007D5B2F"/>
    <w:rsid w:val="007D7260"/>
    <w:rsid w:val="007E03D5"/>
    <w:rsid w:val="007E049F"/>
    <w:rsid w:val="007E398B"/>
    <w:rsid w:val="007E65F9"/>
    <w:rsid w:val="007E6718"/>
    <w:rsid w:val="007F04AE"/>
    <w:rsid w:val="007F2AB5"/>
    <w:rsid w:val="007F3C00"/>
    <w:rsid w:val="007F633F"/>
    <w:rsid w:val="00800E54"/>
    <w:rsid w:val="00801A1B"/>
    <w:rsid w:val="00801C80"/>
    <w:rsid w:val="00802314"/>
    <w:rsid w:val="0080505A"/>
    <w:rsid w:val="008065A9"/>
    <w:rsid w:val="00807A61"/>
    <w:rsid w:val="008109F9"/>
    <w:rsid w:val="008134A1"/>
    <w:rsid w:val="00813B50"/>
    <w:rsid w:val="00815F71"/>
    <w:rsid w:val="00817D09"/>
    <w:rsid w:val="00817F90"/>
    <w:rsid w:val="00820058"/>
    <w:rsid w:val="00822012"/>
    <w:rsid w:val="008220C5"/>
    <w:rsid w:val="008237F1"/>
    <w:rsid w:val="00824A15"/>
    <w:rsid w:val="00826A10"/>
    <w:rsid w:val="00827D9D"/>
    <w:rsid w:val="008301FA"/>
    <w:rsid w:val="008316B1"/>
    <w:rsid w:val="008334AB"/>
    <w:rsid w:val="00835AF5"/>
    <w:rsid w:val="008372DF"/>
    <w:rsid w:val="00837B58"/>
    <w:rsid w:val="0084651F"/>
    <w:rsid w:val="0085023D"/>
    <w:rsid w:val="00851E52"/>
    <w:rsid w:val="00852EC8"/>
    <w:rsid w:val="008605BE"/>
    <w:rsid w:val="00860D43"/>
    <w:rsid w:val="00863829"/>
    <w:rsid w:val="008653B5"/>
    <w:rsid w:val="00865B8D"/>
    <w:rsid w:val="008756CA"/>
    <w:rsid w:val="008756E3"/>
    <w:rsid w:val="00876245"/>
    <w:rsid w:val="00880457"/>
    <w:rsid w:val="00881430"/>
    <w:rsid w:val="00881436"/>
    <w:rsid w:val="00884EC6"/>
    <w:rsid w:val="00887D63"/>
    <w:rsid w:val="00887DC6"/>
    <w:rsid w:val="0089004D"/>
    <w:rsid w:val="00890E64"/>
    <w:rsid w:val="00891BE1"/>
    <w:rsid w:val="008921EF"/>
    <w:rsid w:val="00894791"/>
    <w:rsid w:val="008947E3"/>
    <w:rsid w:val="008970F9"/>
    <w:rsid w:val="008977E9"/>
    <w:rsid w:val="008A0B25"/>
    <w:rsid w:val="008A16F1"/>
    <w:rsid w:val="008A185A"/>
    <w:rsid w:val="008A24C2"/>
    <w:rsid w:val="008A44C3"/>
    <w:rsid w:val="008A4BF0"/>
    <w:rsid w:val="008A5C7D"/>
    <w:rsid w:val="008A760D"/>
    <w:rsid w:val="008B1C3A"/>
    <w:rsid w:val="008B6EA0"/>
    <w:rsid w:val="008C0ACD"/>
    <w:rsid w:val="008C14F3"/>
    <w:rsid w:val="008C4634"/>
    <w:rsid w:val="008C758D"/>
    <w:rsid w:val="008C7BC0"/>
    <w:rsid w:val="008D1601"/>
    <w:rsid w:val="008D60A3"/>
    <w:rsid w:val="008E15B2"/>
    <w:rsid w:val="008E3036"/>
    <w:rsid w:val="008E53DA"/>
    <w:rsid w:val="008E54A3"/>
    <w:rsid w:val="008F1226"/>
    <w:rsid w:val="008F26B9"/>
    <w:rsid w:val="008F5DF1"/>
    <w:rsid w:val="009007F0"/>
    <w:rsid w:val="00900E8C"/>
    <w:rsid w:val="009012D2"/>
    <w:rsid w:val="00901521"/>
    <w:rsid w:val="00904061"/>
    <w:rsid w:val="0090416F"/>
    <w:rsid w:val="009057B5"/>
    <w:rsid w:val="00906E99"/>
    <w:rsid w:val="00913847"/>
    <w:rsid w:val="0091429B"/>
    <w:rsid w:val="00915DAD"/>
    <w:rsid w:val="009171B3"/>
    <w:rsid w:val="009240E0"/>
    <w:rsid w:val="009277CE"/>
    <w:rsid w:val="00930C14"/>
    <w:rsid w:val="00932135"/>
    <w:rsid w:val="00937640"/>
    <w:rsid w:val="009407D1"/>
    <w:rsid w:val="00940830"/>
    <w:rsid w:val="0094162E"/>
    <w:rsid w:val="00944068"/>
    <w:rsid w:val="00946F53"/>
    <w:rsid w:val="009505C0"/>
    <w:rsid w:val="00950F91"/>
    <w:rsid w:val="00951035"/>
    <w:rsid w:val="009516B6"/>
    <w:rsid w:val="0095537C"/>
    <w:rsid w:val="0095720D"/>
    <w:rsid w:val="00965796"/>
    <w:rsid w:val="009659CC"/>
    <w:rsid w:val="00966219"/>
    <w:rsid w:val="0096720A"/>
    <w:rsid w:val="00973A96"/>
    <w:rsid w:val="00974B28"/>
    <w:rsid w:val="00975EF7"/>
    <w:rsid w:val="00981764"/>
    <w:rsid w:val="00982889"/>
    <w:rsid w:val="00982D21"/>
    <w:rsid w:val="0098474F"/>
    <w:rsid w:val="009855E8"/>
    <w:rsid w:val="00986862"/>
    <w:rsid w:val="009905D9"/>
    <w:rsid w:val="00993767"/>
    <w:rsid w:val="00993E15"/>
    <w:rsid w:val="009A00F6"/>
    <w:rsid w:val="009A1236"/>
    <w:rsid w:val="009A534D"/>
    <w:rsid w:val="009A6DC0"/>
    <w:rsid w:val="009A6E7A"/>
    <w:rsid w:val="009A79FA"/>
    <w:rsid w:val="009B0EE2"/>
    <w:rsid w:val="009B112B"/>
    <w:rsid w:val="009B14CB"/>
    <w:rsid w:val="009B49AE"/>
    <w:rsid w:val="009B5EB3"/>
    <w:rsid w:val="009B6F0B"/>
    <w:rsid w:val="009B71B2"/>
    <w:rsid w:val="009C04E5"/>
    <w:rsid w:val="009C1B07"/>
    <w:rsid w:val="009C2DB1"/>
    <w:rsid w:val="009C4541"/>
    <w:rsid w:val="009C4569"/>
    <w:rsid w:val="009C4670"/>
    <w:rsid w:val="009C53A1"/>
    <w:rsid w:val="009C5BEA"/>
    <w:rsid w:val="009C6260"/>
    <w:rsid w:val="009D0287"/>
    <w:rsid w:val="009D09E3"/>
    <w:rsid w:val="009D0E74"/>
    <w:rsid w:val="009D42EC"/>
    <w:rsid w:val="009E07F3"/>
    <w:rsid w:val="009E0B69"/>
    <w:rsid w:val="009E177C"/>
    <w:rsid w:val="009E3AFD"/>
    <w:rsid w:val="009E407D"/>
    <w:rsid w:val="009F180C"/>
    <w:rsid w:val="009F3F71"/>
    <w:rsid w:val="009F53B8"/>
    <w:rsid w:val="009F62CC"/>
    <w:rsid w:val="009F64D2"/>
    <w:rsid w:val="00A00725"/>
    <w:rsid w:val="00A01A9B"/>
    <w:rsid w:val="00A03F1E"/>
    <w:rsid w:val="00A06568"/>
    <w:rsid w:val="00A07E68"/>
    <w:rsid w:val="00A153C3"/>
    <w:rsid w:val="00A16F74"/>
    <w:rsid w:val="00A20A13"/>
    <w:rsid w:val="00A21CDD"/>
    <w:rsid w:val="00A22B3E"/>
    <w:rsid w:val="00A23BE4"/>
    <w:rsid w:val="00A249C5"/>
    <w:rsid w:val="00A24E45"/>
    <w:rsid w:val="00A277DC"/>
    <w:rsid w:val="00A31744"/>
    <w:rsid w:val="00A3654C"/>
    <w:rsid w:val="00A369C8"/>
    <w:rsid w:val="00A3720E"/>
    <w:rsid w:val="00A37EA0"/>
    <w:rsid w:val="00A4045E"/>
    <w:rsid w:val="00A41980"/>
    <w:rsid w:val="00A425FA"/>
    <w:rsid w:val="00A47258"/>
    <w:rsid w:val="00A47E13"/>
    <w:rsid w:val="00A47E42"/>
    <w:rsid w:val="00A51EF3"/>
    <w:rsid w:val="00A53FC3"/>
    <w:rsid w:val="00A54D40"/>
    <w:rsid w:val="00A5779F"/>
    <w:rsid w:val="00A619C1"/>
    <w:rsid w:val="00A62080"/>
    <w:rsid w:val="00A6279F"/>
    <w:rsid w:val="00A62F28"/>
    <w:rsid w:val="00A63FC9"/>
    <w:rsid w:val="00A64448"/>
    <w:rsid w:val="00A717F3"/>
    <w:rsid w:val="00A73880"/>
    <w:rsid w:val="00A73ABB"/>
    <w:rsid w:val="00A74C47"/>
    <w:rsid w:val="00A76126"/>
    <w:rsid w:val="00A77119"/>
    <w:rsid w:val="00A7744E"/>
    <w:rsid w:val="00A83363"/>
    <w:rsid w:val="00A83B79"/>
    <w:rsid w:val="00A84564"/>
    <w:rsid w:val="00A8558D"/>
    <w:rsid w:val="00A90430"/>
    <w:rsid w:val="00A90FB0"/>
    <w:rsid w:val="00A91C73"/>
    <w:rsid w:val="00A91F0A"/>
    <w:rsid w:val="00A92A53"/>
    <w:rsid w:val="00A94A21"/>
    <w:rsid w:val="00A94DD8"/>
    <w:rsid w:val="00AA121F"/>
    <w:rsid w:val="00AA1646"/>
    <w:rsid w:val="00AA199D"/>
    <w:rsid w:val="00AA1F95"/>
    <w:rsid w:val="00AA36D6"/>
    <w:rsid w:val="00AB3105"/>
    <w:rsid w:val="00AB425D"/>
    <w:rsid w:val="00AC2ADF"/>
    <w:rsid w:val="00AC3A2A"/>
    <w:rsid w:val="00AC4900"/>
    <w:rsid w:val="00AC49F0"/>
    <w:rsid w:val="00AC4DD8"/>
    <w:rsid w:val="00AC6EAA"/>
    <w:rsid w:val="00AC78CE"/>
    <w:rsid w:val="00AD0243"/>
    <w:rsid w:val="00AD15B4"/>
    <w:rsid w:val="00AD3824"/>
    <w:rsid w:val="00AD3A23"/>
    <w:rsid w:val="00AD3E94"/>
    <w:rsid w:val="00AD411D"/>
    <w:rsid w:val="00AD5734"/>
    <w:rsid w:val="00AD58E5"/>
    <w:rsid w:val="00AD6126"/>
    <w:rsid w:val="00AD6822"/>
    <w:rsid w:val="00AE023B"/>
    <w:rsid w:val="00AE45AD"/>
    <w:rsid w:val="00AF1313"/>
    <w:rsid w:val="00AF1AF9"/>
    <w:rsid w:val="00AF3436"/>
    <w:rsid w:val="00AF3D28"/>
    <w:rsid w:val="00AF7685"/>
    <w:rsid w:val="00B02FCB"/>
    <w:rsid w:val="00B052BF"/>
    <w:rsid w:val="00B05408"/>
    <w:rsid w:val="00B05671"/>
    <w:rsid w:val="00B070E5"/>
    <w:rsid w:val="00B10930"/>
    <w:rsid w:val="00B122F2"/>
    <w:rsid w:val="00B13172"/>
    <w:rsid w:val="00B146E9"/>
    <w:rsid w:val="00B15E18"/>
    <w:rsid w:val="00B15FE7"/>
    <w:rsid w:val="00B20524"/>
    <w:rsid w:val="00B22A22"/>
    <w:rsid w:val="00B24C09"/>
    <w:rsid w:val="00B24E45"/>
    <w:rsid w:val="00B24EEF"/>
    <w:rsid w:val="00B250FD"/>
    <w:rsid w:val="00B26277"/>
    <w:rsid w:val="00B31215"/>
    <w:rsid w:val="00B32BA6"/>
    <w:rsid w:val="00B33455"/>
    <w:rsid w:val="00B33A73"/>
    <w:rsid w:val="00B33CD2"/>
    <w:rsid w:val="00B35EBF"/>
    <w:rsid w:val="00B362C4"/>
    <w:rsid w:val="00B3695B"/>
    <w:rsid w:val="00B40EC7"/>
    <w:rsid w:val="00B4533A"/>
    <w:rsid w:val="00B46972"/>
    <w:rsid w:val="00B510E9"/>
    <w:rsid w:val="00B51312"/>
    <w:rsid w:val="00B52199"/>
    <w:rsid w:val="00B539A7"/>
    <w:rsid w:val="00B53F65"/>
    <w:rsid w:val="00B54D7D"/>
    <w:rsid w:val="00B607FD"/>
    <w:rsid w:val="00B6705E"/>
    <w:rsid w:val="00B67899"/>
    <w:rsid w:val="00B72900"/>
    <w:rsid w:val="00B72CED"/>
    <w:rsid w:val="00B74115"/>
    <w:rsid w:val="00B74335"/>
    <w:rsid w:val="00B74EC4"/>
    <w:rsid w:val="00B762E1"/>
    <w:rsid w:val="00B77E00"/>
    <w:rsid w:val="00B809B8"/>
    <w:rsid w:val="00B81DED"/>
    <w:rsid w:val="00B83394"/>
    <w:rsid w:val="00B85832"/>
    <w:rsid w:val="00B9268C"/>
    <w:rsid w:val="00B92EB9"/>
    <w:rsid w:val="00B9736A"/>
    <w:rsid w:val="00BA1810"/>
    <w:rsid w:val="00BA1E27"/>
    <w:rsid w:val="00BA1EFF"/>
    <w:rsid w:val="00BA34AB"/>
    <w:rsid w:val="00BA4C3C"/>
    <w:rsid w:val="00BA769B"/>
    <w:rsid w:val="00BB22BB"/>
    <w:rsid w:val="00BB4C4A"/>
    <w:rsid w:val="00BB5758"/>
    <w:rsid w:val="00BB6996"/>
    <w:rsid w:val="00BC2578"/>
    <w:rsid w:val="00BC46DB"/>
    <w:rsid w:val="00BC4F4D"/>
    <w:rsid w:val="00BC4FE1"/>
    <w:rsid w:val="00BD04CD"/>
    <w:rsid w:val="00BD0FE2"/>
    <w:rsid w:val="00BD1C9E"/>
    <w:rsid w:val="00BD22DE"/>
    <w:rsid w:val="00BD520D"/>
    <w:rsid w:val="00BD605E"/>
    <w:rsid w:val="00BE58CB"/>
    <w:rsid w:val="00BE72D6"/>
    <w:rsid w:val="00BF3694"/>
    <w:rsid w:val="00C00A41"/>
    <w:rsid w:val="00C02F3A"/>
    <w:rsid w:val="00C03004"/>
    <w:rsid w:val="00C03D84"/>
    <w:rsid w:val="00C05DC0"/>
    <w:rsid w:val="00C066B9"/>
    <w:rsid w:val="00C06CDC"/>
    <w:rsid w:val="00C07605"/>
    <w:rsid w:val="00C10149"/>
    <w:rsid w:val="00C106D1"/>
    <w:rsid w:val="00C113D9"/>
    <w:rsid w:val="00C1236E"/>
    <w:rsid w:val="00C13662"/>
    <w:rsid w:val="00C13CB1"/>
    <w:rsid w:val="00C15F7D"/>
    <w:rsid w:val="00C16087"/>
    <w:rsid w:val="00C16A95"/>
    <w:rsid w:val="00C17C6A"/>
    <w:rsid w:val="00C20914"/>
    <w:rsid w:val="00C2392A"/>
    <w:rsid w:val="00C23B77"/>
    <w:rsid w:val="00C23E1E"/>
    <w:rsid w:val="00C2663D"/>
    <w:rsid w:val="00C27538"/>
    <w:rsid w:val="00C27AF5"/>
    <w:rsid w:val="00C27D17"/>
    <w:rsid w:val="00C351CB"/>
    <w:rsid w:val="00C35720"/>
    <w:rsid w:val="00C35AF6"/>
    <w:rsid w:val="00C371EE"/>
    <w:rsid w:val="00C375BB"/>
    <w:rsid w:val="00C4079C"/>
    <w:rsid w:val="00C407B5"/>
    <w:rsid w:val="00C41C17"/>
    <w:rsid w:val="00C43FFE"/>
    <w:rsid w:val="00C46B86"/>
    <w:rsid w:val="00C50BD3"/>
    <w:rsid w:val="00C51765"/>
    <w:rsid w:val="00C52C50"/>
    <w:rsid w:val="00C538D5"/>
    <w:rsid w:val="00C53D8A"/>
    <w:rsid w:val="00C61383"/>
    <w:rsid w:val="00C63241"/>
    <w:rsid w:val="00C6409D"/>
    <w:rsid w:val="00C66D2B"/>
    <w:rsid w:val="00C70FB7"/>
    <w:rsid w:val="00C72DF8"/>
    <w:rsid w:val="00C811E7"/>
    <w:rsid w:val="00C8156E"/>
    <w:rsid w:val="00C83005"/>
    <w:rsid w:val="00C84CD4"/>
    <w:rsid w:val="00C8583B"/>
    <w:rsid w:val="00C858D0"/>
    <w:rsid w:val="00C8614F"/>
    <w:rsid w:val="00C91269"/>
    <w:rsid w:val="00C918F2"/>
    <w:rsid w:val="00C92556"/>
    <w:rsid w:val="00C9268F"/>
    <w:rsid w:val="00C93E8E"/>
    <w:rsid w:val="00CA0C05"/>
    <w:rsid w:val="00CA18FA"/>
    <w:rsid w:val="00CA1E4F"/>
    <w:rsid w:val="00CA3E0C"/>
    <w:rsid w:val="00CA41B2"/>
    <w:rsid w:val="00CA53F8"/>
    <w:rsid w:val="00CA5D2E"/>
    <w:rsid w:val="00CA7F88"/>
    <w:rsid w:val="00CB21EE"/>
    <w:rsid w:val="00CB2A25"/>
    <w:rsid w:val="00CB2C96"/>
    <w:rsid w:val="00CB6F92"/>
    <w:rsid w:val="00CB7030"/>
    <w:rsid w:val="00CC1AE1"/>
    <w:rsid w:val="00CC2C47"/>
    <w:rsid w:val="00CC5108"/>
    <w:rsid w:val="00CC6D1B"/>
    <w:rsid w:val="00CC722A"/>
    <w:rsid w:val="00CD2F9C"/>
    <w:rsid w:val="00CD32DA"/>
    <w:rsid w:val="00CD47BA"/>
    <w:rsid w:val="00CD5573"/>
    <w:rsid w:val="00CD7073"/>
    <w:rsid w:val="00CE0015"/>
    <w:rsid w:val="00CE0CD5"/>
    <w:rsid w:val="00CE21CF"/>
    <w:rsid w:val="00CE4739"/>
    <w:rsid w:val="00CE4ADC"/>
    <w:rsid w:val="00CE4C45"/>
    <w:rsid w:val="00CE5AFE"/>
    <w:rsid w:val="00CE7366"/>
    <w:rsid w:val="00CF2390"/>
    <w:rsid w:val="00CF4751"/>
    <w:rsid w:val="00CF47AF"/>
    <w:rsid w:val="00CF49B9"/>
    <w:rsid w:val="00CF5016"/>
    <w:rsid w:val="00CF526F"/>
    <w:rsid w:val="00CF7EED"/>
    <w:rsid w:val="00D0046C"/>
    <w:rsid w:val="00D00A48"/>
    <w:rsid w:val="00D01C71"/>
    <w:rsid w:val="00D034D9"/>
    <w:rsid w:val="00D0473E"/>
    <w:rsid w:val="00D05650"/>
    <w:rsid w:val="00D071B9"/>
    <w:rsid w:val="00D10A91"/>
    <w:rsid w:val="00D12517"/>
    <w:rsid w:val="00D12F43"/>
    <w:rsid w:val="00D13BA3"/>
    <w:rsid w:val="00D159C5"/>
    <w:rsid w:val="00D20CBC"/>
    <w:rsid w:val="00D2168A"/>
    <w:rsid w:val="00D237A8"/>
    <w:rsid w:val="00D257E5"/>
    <w:rsid w:val="00D26878"/>
    <w:rsid w:val="00D26AE7"/>
    <w:rsid w:val="00D30AB9"/>
    <w:rsid w:val="00D30CA5"/>
    <w:rsid w:val="00D36497"/>
    <w:rsid w:val="00D402F3"/>
    <w:rsid w:val="00D41565"/>
    <w:rsid w:val="00D43288"/>
    <w:rsid w:val="00D43984"/>
    <w:rsid w:val="00D43BA3"/>
    <w:rsid w:val="00D4793B"/>
    <w:rsid w:val="00D47964"/>
    <w:rsid w:val="00D51AF4"/>
    <w:rsid w:val="00D5288A"/>
    <w:rsid w:val="00D53F11"/>
    <w:rsid w:val="00D5408C"/>
    <w:rsid w:val="00D54824"/>
    <w:rsid w:val="00D575BC"/>
    <w:rsid w:val="00D61234"/>
    <w:rsid w:val="00D6140A"/>
    <w:rsid w:val="00D61499"/>
    <w:rsid w:val="00D619A9"/>
    <w:rsid w:val="00D62504"/>
    <w:rsid w:val="00D628AE"/>
    <w:rsid w:val="00D64BAA"/>
    <w:rsid w:val="00D71CC9"/>
    <w:rsid w:val="00D73598"/>
    <w:rsid w:val="00D74DE3"/>
    <w:rsid w:val="00D75240"/>
    <w:rsid w:val="00D77A0D"/>
    <w:rsid w:val="00D809A5"/>
    <w:rsid w:val="00D86759"/>
    <w:rsid w:val="00D90B61"/>
    <w:rsid w:val="00D90F16"/>
    <w:rsid w:val="00D92461"/>
    <w:rsid w:val="00D93968"/>
    <w:rsid w:val="00D942B0"/>
    <w:rsid w:val="00D953DF"/>
    <w:rsid w:val="00D95576"/>
    <w:rsid w:val="00DA43F8"/>
    <w:rsid w:val="00DA4533"/>
    <w:rsid w:val="00DA69CC"/>
    <w:rsid w:val="00DB0A12"/>
    <w:rsid w:val="00DB0DEB"/>
    <w:rsid w:val="00DB1A33"/>
    <w:rsid w:val="00DB1B0B"/>
    <w:rsid w:val="00DB4328"/>
    <w:rsid w:val="00DB5C41"/>
    <w:rsid w:val="00DC06BC"/>
    <w:rsid w:val="00DC3145"/>
    <w:rsid w:val="00DC3A62"/>
    <w:rsid w:val="00DC3F66"/>
    <w:rsid w:val="00DC748F"/>
    <w:rsid w:val="00DD69B3"/>
    <w:rsid w:val="00DE4E5F"/>
    <w:rsid w:val="00DE5557"/>
    <w:rsid w:val="00DE6D96"/>
    <w:rsid w:val="00DE6F99"/>
    <w:rsid w:val="00DE77B3"/>
    <w:rsid w:val="00DE7BFB"/>
    <w:rsid w:val="00DE7F59"/>
    <w:rsid w:val="00DF06CE"/>
    <w:rsid w:val="00DF5E6B"/>
    <w:rsid w:val="00DF7F5C"/>
    <w:rsid w:val="00E01813"/>
    <w:rsid w:val="00E02696"/>
    <w:rsid w:val="00E02AFA"/>
    <w:rsid w:val="00E031DB"/>
    <w:rsid w:val="00E03827"/>
    <w:rsid w:val="00E05CD0"/>
    <w:rsid w:val="00E11B56"/>
    <w:rsid w:val="00E16421"/>
    <w:rsid w:val="00E16B46"/>
    <w:rsid w:val="00E20423"/>
    <w:rsid w:val="00E2054A"/>
    <w:rsid w:val="00E23226"/>
    <w:rsid w:val="00E24C4E"/>
    <w:rsid w:val="00E24FDD"/>
    <w:rsid w:val="00E25886"/>
    <w:rsid w:val="00E26150"/>
    <w:rsid w:val="00E308B2"/>
    <w:rsid w:val="00E30DD8"/>
    <w:rsid w:val="00E3113C"/>
    <w:rsid w:val="00E33F9A"/>
    <w:rsid w:val="00E34326"/>
    <w:rsid w:val="00E34895"/>
    <w:rsid w:val="00E37AC1"/>
    <w:rsid w:val="00E405D9"/>
    <w:rsid w:val="00E44C16"/>
    <w:rsid w:val="00E45C8B"/>
    <w:rsid w:val="00E468BA"/>
    <w:rsid w:val="00E50B9C"/>
    <w:rsid w:val="00E51D89"/>
    <w:rsid w:val="00E57374"/>
    <w:rsid w:val="00E625DF"/>
    <w:rsid w:val="00E639BA"/>
    <w:rsid w:val="00E653EC"/>
    <w:rsid w:val="00E656AE"/>
    <w:rsid w:val="00E70596"/>
    <w:rsid w:val="00E7357A"/>
    <w:rsid w:val="00E76441"/>
    <w:rsid w:val="00E82442"/>
    <w:rsid w:val="00E82D8A"/>
    <w:rsid w:val="00E8523C"/>
    <w:rsid w:val="00E87F36"/>
    <w:rsid w:val="00E93002"/>
    <w:rsid w:val="00E93CF5"/>
    <w:rsid w:val="00E94730"/>
    <w:rsid w:val="00E96D23"/>
    <w:rsid w:val="00EA007A"/>
    <w:rsid w:val="00EA44B7"/>
    <w:rsid w:val="00EA6888"/>
    <w:rsid w:val="00EA6B42"/>
    <w:rsid w:val="00EB0C83"/>
    <w:rsid w:val="00EB513D"/>
    <w:rsid w:val="00EC4B04"/>
    <w:rsid w:val="00EC5EBA"/>
    <w:rsid w:val="00EC7533"/>
    <w:rsid w:val="00ED0657"/>
    <w:rsid w:val="00ED1C89"/>
    <w:rsid w:val="00ED1EFD"/>
    <w:rsid w:val="00ED201F"/>
    <w:rsid w:val="00ED3073"/>
    <w:rsid w:val="00ED61EC"/>
    <w:rsid w:val="00ED64D2"/>
    <w:rsid w:val="00ED69DA"/>
    <w:rsid w:val="00ED7751"/>
    <w:rsid w:val="00EE46B0"/>
    <w:rsid w:val="00EE6522"/>
    <w:rsid w:val="00EE668C"/>
    <w:rsid w:val="00EE756A"/>
    <w:rsid w:val="00EF51EF"/>
    <w:rsid w:val="00EF5256"/>
    <w:rsid w:val="00F01B97"/>
    <w:rsid w:val="00F01F1F"/>
    <w:rsid w:val="00F03836"/>
    <w:rsid w:val="00F1352B"/>
    <w:rsid w:val="00F136CB"/>
    <w:rsid w:val="00F143C0"/>
    <w:rsid w:val="00F257BD"/>
    <w:rsid w:val="00F25D76"/>
    <w:rsid w:val="00F25F1D"/>
    <w:rsid w:val="00F36013"/>
    <w:rsid w:val="00F36233"/>
    <w:rsid w:val="00F365F8"/>
    <w:rsid w:val="00F4037E"/>
    <w:rsid w:val="00F407E6"/>
    <w:rsid w:val="00F435A8"/>
    <w:rsid w:val="00F46806"/>
    <w:rsid w:val="00F47165"/>
    <w:rsid w:val="00F47C71"/>
    <w:rsid w:val="00F507B5"/>
    <w:rsid w:val="00F50A09"/>
    <w:rsid w:val="00F517B4"/>
    <w:rsid w:val="00F5214D"/>
    <w:rsid w:val="00F52C7D"/>
    <w:rsid w:val="00F54C7D"/>
    <w:rsid w:val="00F573C0"/>
    <w:rsid w:val="00F576CB"/>
    <w:rsid w:val="00F577C5"/>
    <w:rsid w:val="00F57FE1"/>
    <w:rsid w:val="00F6003D"/>
    <w:rsid w:val="00F6066A"/>
    <w:rsid w:val="00F6071F"/>
    <w:rsid w:val="00F61073"/>
    <w:rsid w:val="00F61C78"/>
    <w:rsid w:val="00F63FAF"/>
    <w:rsid w:val="00F6533B"/>
    <w:rsid w:val="00F6570B"/>
    <w:rsid w:val="00F67C6A"/>
    <w:rsid w:val="00F7039C"/>
    <w:rsid w:val="00F730AD"/>
    <w:rsid w:val="00F7313E"/>
    <w:rsid w:val="00F75EC1"/>
    <w:rsid w:val="00F81527"/>
    <w:rsid w:val="00F8476C"/>
    <w:rsid w:val="00F851D0"/>
    <w:rsid w:val="00F8716A"/>
    <w:rsid w:val="00F87C54"/>
    <w:rsid w:val="00F907E5"/>
    <w:rsid w:val="00F90894"/>
    <w:rsid w:val="00F92BA6"/>
    <w:rsid w:val="00F94C38"/>
    <w:rsid w:val="00F94EE1"/>
    <w:rsid w:val="00FA0CAB"/>
    <w:rsid w:val="00FA17D2"/>
    <w:rsid w:val="00FA20DC"/>
    <w:rsid w:val="00FA239D"/>
    <w:rsid w:val="00FA28B1"/>
    <w:rsid w:val="00FA3F03"/>
    <w:rsid w:val="00FA6A3B"/>
    <w:rsid w:val="00FB06BA"/>
    <w:rsid w:val="00FB1916"/>
    <w:rsid w:val="00FB233D"/>
    <w:rsid w:val="00FB47DC"/>
    <w:rsid w:val="00FB54C8"/>
    <w:rsid w:val="00FB608C"/>
    <w:rsid w:val="00FB7CAC"/>
    <w:rsid w:val="00FC130A"/>
    <w:rsid w:val="00FC42CC"/>
    <w:rsid w:val="00FC4F79"/>
    <w:rsid w:val="00FC7991"/>
    <w:rsid w:val="00FD505E"/>
    <w:rsid w:val="00FE2219"/>
    <w:rsid w:val="00FE71DC"/>
    <w:rsid w:val="00FF023D"/>
    <w:rsid w:val="00FF1020"/>
    <w:rsid w:val="00FF45B3"/>
    <w:rsid w:val="00FF56D0"/>
    <w:rsid w:val="00FF5D6E"/>
    <w:rsid w:val="00FF5E41"/>
    <w:rsid w:val="00FF7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val="en-US" w:eastAsia="en-US"/>
    </w:rPr>
  </w:style>
  <w:style w:type="paragraph" w:styleId="Ttulo2">
    <w:name w:val="heading 2"/>
    <w:basedOn w:val="Normal"/>
    <w:next w:val="Normal"/>
    <w:link w:val="Ttulo2Char"/>
    <w:qFormat/>
    <w:rsid w:val="001C40A4"/>
    <w:pPr>
      <w:keepNext/>
      <w:spacing w:before="240" w:after="60" w:line="240" w:lineRule="auto"/>
      <w:outlineLvl w:val="1"/>
    </w:pPr>
    <w:rPr>
      <w:rFonts w:ascii="Arial" w:eastAsia="Times New Roman" w:hAnsi="Arial" w:cs="Arial"/>
      <w:b/>
      <w:bCs/>
      <w:i/>
      <w:iCs/>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BA34AB"/>
    <w:pPr>
      <w:spacing w:after="0" w:line="24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rsid w:val="00BA34AB"/>
    <w:rPr>
      <w:rFonts w:ascii="Times New Roman" w:eastAsia="Times New Roman" w:hAnsi="Times New Roman" w:cs="Times New Roman"/>
      <w:sz w:val="24"/>
      <w:szCs w:val="24"/>
      <w:lang w:val="en-US" w:eastAsia="pt-BR"/>
    </w:rPr>
  </w:style>
  <w:style w:type="paragraph" w:styleId="Textodenotadefim">
    <w:name w:val="endnote text"/>
    <w:basedOn w:val="Normal"/>
    <w:link w:val="TextodenotadefimChar"/>
    <w:semiHidden/>
    <w:rsid w:val="00BA34AB"/>
    <w:pPr>
      <w:spacing w:after="0" w:line="240" w:lineRule="auto"/>
    </w:pPr>
    <w:rPr>
      <w:rFonts w:ascii="Times New Roman" w:eastAsia="Times New Roman" w:hAnsi="Times New Roman"/>
      <w:sz w:val="20"/>
      <w:szCs w:val="20"/>
      <w:lang w:eastAsia="pt-BR"/>
    </w:rPr>
  </w:style>
  <w:style w:type="character" w:customStyle="1" w:styleId="TextodenotadefimChar">
    <w:name w:val="Texto de nota de fim Char"/>
    <w:link w:val="Textodenotadefim"/>
    <w:semiHidden/>
    <w:rsid w:val="00BA34AB"/>
    <w:rPr>
      <w:rFonts w:ascii="Times New Roman" w:eastAsia="Times New Roman" w:hAnsi="Times New Roman" w:cs="Times New Roman"/>
      <w:sz w:val="20"/>
      <w:szCs w:val="20"/>
      <w:lang w:val="en-US" w:eastAsia="pt-BR"/>
    </w:rPr>
  </w:style>
  <w:style w:type="character" w:styleId="Refdenotadefim">
    <w:name w:val="endnote reference"/>
    <w:semiHidden/>
    <w:rsid w:val="00BA34AB"/>
    <w:rPr>
      <w:vertAlign w:val="superscript"/>
    </w:rPr>
  </w:style>
  <w:style w:type="character" w:customStyle="1" w:styleId="Ttulo2Char">
    <w:name w:val="Título 2 Char"/>
    <w:link w:val="Ttulo2"/>
    <w:rsid w:val="001C40A4"/>
    <w:rPr>
      <w:rFonts w:ascii="Arial" w:eastAsia="Times New Roman" w:hAnsi="Arial" w:cs="Arial"/>
      <w:b/>
      <w:bCs/>
      <w:i/>
      <w:iCs/>
      <w:sz w:val="28"/>
      <w:szCs w:val="28"/>
      <w:lang w:val="en-US" w:eastAsia="pt-BR"/>
    </w:rPr>
  </w:style>
  <w:style w:type="paragraph" w:styleId="Textodenotaderodap">
    <w:name w:val="footnote text"/>
    <w:basedOn w:val="Normal"/>
    <w:link w:val="TextodenotaderodapChar"/>
    <w:uiPriority w:val="99"/>
    <w:semiHidden/>
    <w:rsid w:val="001C40A4"/>
    <w:pPr>
      <w:spacing w:after="0" w:line="240" w:lineRule="auto"/>
    </w:pPr>
    <w:rPr>
      <w:rFonts w:ascii="Times New Roman" w:eastAsia="Times New Roman" w:hAnsi="Times New Roman"/>
      <w:sz w:val="20"/>
      <w:szCs w:val="20"/>
      <w:lang w:eastAsia="x-none"/>
    </w:rPr>
  </w:style>
  <w:style w:type="character" w:customStyle="1" w:styleId="TextodenotaderodapChar">
    <w:name w:val="Texto de nota de rodapé Char"/>
    <w:link w:val="Textodenotaderodap"/>
    <w:uiPriority w:val="99"/>
    <w:semiHidden/>
    <w:rsid w:val="001C40A4"/>
    <w:rPr>
      <w:rFonts w:ascii="Times New Roman" w:eastAsia="Times New Roman" w:hAnsi="Times New Roman" w:cs="Times New Roman"/>
      <w:sz w:val="20"/>
      <w:szCs w:val="20"/>
      <w:lang w:val="en-US" w:eastAsia="x-none"/>
    </w:rPr>
  </w:style>
  <w:style w:type="character" w:styleId="Refdenotaderodap">
    <w:name w:val="footnote reference"/>
    <w:semiHidden/>
    <w:unhideWhenUsed/>
    <w:rsid w:val="005C45A3"/>
    <w:rPr>
      <w:vertAlign w:val="superscript"/>
    </w:rPr>
  </w:style>
  <w:style w:type="paragraph" w:styleId="Textodebalo">
    <w:name w:val="Balloon Text"/>
    <w:basedOn w:val="Normal"/>
    <w:link w:val="TextodebaloChar"/>
    <w:uiPriority w:val="99"/>
    <w:semiHidden/>
    <w:unhideWhenUsed/>
    <w:rsid w:val="003C675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C6754"/>
    <w:rPr>
      <w:rFonts w:ascii="Tahoma" w:hAnsi="Tahoma" w:cs="Tahoma"/>
      <w:sz w:val="16"/>
      <w:szCs w:val="16"/>
    </w:rPr>
  </w:style>
  <w:style w:type="paragraph" w:customStyle="1" w:styleId="ListaColorida-nfase11">
    <w:name w:val="Lista Colorida - Ênfase 11"/>
    <w:basedOn w:val="Normal"/>
    <w:uiPriority w:val="34"/>
    <w:qFormat/>
    <w:rsid w:val="00E16B46"/>
    <w:pPr>
      <w:ind w:left="720"/>
      <w:contextualSpacing/>
    </w:pPr>
  </w:style>
  <w:style w:type="character" w:styleId="Hyperlink">
    <w:name w:val="Hyperlink"/>
    <w:uiPriority w:val="99"/>
    <w:unhideWhenUsed/>
    <w:rsid w:val="00884EC6"/>
    <w:rPr>
      <w:color w:val="0000FF"/>
      <w:u w:val="single"/>
    </w:rPr>
  </w:style>
  <w:style w:type="paragraph" w:styleId="Cabealho">
    <w:name w:val="header"/>
    <w:basedOn w:val="Normal"/>
    <w:link w:val="CabealhoChar"/>
    <w:uiPriority w:val="99"/>
    <w:unhideWhenUsed/>
    <w:rsid w:val="00664F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4F7B"/>
  </w:style>
  <w:style w:type="paragraph" w:styleId="Rodap">
    <w:name w:val="footer"/>
    <w:basedOn w:val="Normal"/>
    <w:link w:val="RodapChar"/>
    <w:unhideWhenUsed/>
    <w:rsid w:val="00664F7B"/>
    <w:pPr>
      <w:tabs>
        <w:tab w:val="center" w:pos="4252"/>
        <w:tab w:val="right" w:pos="8504"/>
      </w:tabs>
      <w:spacing w:after="0" w:line="240" w:lineRule="auto"/>
    </w:pPr>
  </w:style>
  <w:style w:type="character" w:customStyle="1" w:styleId="RodapChar">
    <w:name w:val="Rodapé Char"/>
    <w:basedOn w:val="Fontepargpadro"/>
    <w:link w:val="Rodap"/>
    <w:uiPriority w:val="99"/>
    <w:rsid w:val="00664F7B"/>
  </w:style>
  <w:style w:type="paragraph" w:styleId="Recuodecorpodetexto">
    <w:name w:val="Body Text Indent"/>
    <w:basedOn w:val="Normal"/>
    <w:link w:val="RecuodecorpodetextoChar"/>
    <w:uiPriority w:val="99"/>
    <w:semiHidden/>
    <w:unhideWhenUsed/>
    <w:rsid w:val="00FC4F79"/>
    <w:pPr>
      <w:spacing w:after="120"/>
      <w:ind w:left="283"/>
    </w:pPr>
  </w:style>
  <w:style w:type="character" w:customStyle="1" w:styleId="RecuodecorpodetextoChar">
    <w:name w:val="Recuo de corpo de texto Char"/>
    <w:basedOn w:val="Fontepargpadro"/>
    <w:link w:val="Recuodecorpodetexto"/>
    <w:uiPriority w:val="99"/>
    <w:semiHidden/>
    <w:rsid w:val="00FC4F79"/>
  </w:style>
  <w:style w:type="character" w:styleId="Refdecomentrio">
    <w:name w:val="annotation reference"/>
    <w:uiPriority w:val="99"/>
    <w:semiHidden/>
    <w:unhideWhenUsed/>
    <w:rsid w:val="00112DF0"/>
    <w:rPr>
      <w:sz w:val="18"/>
      <w:szCs w:val="18"/>
    </w:rPr>
  </w:style>
  <w:style w:type="paragraph" w:styleId="Textodecomentrio">
    <w:name w:val="annotation text"/>
    <w:basedOn w:val="Normal"/>
    <w:link w:val="TextodecomentrioChar"/>
    <w:uiPriority w:val="99"/>
    <w:semiHidden/>
    <w:unhideWhenUsed/>
    <w:rsid w:val="00112DF0"/>
    <w:rPr>
      <w:sz w:val="24"/>
      <w:szCs w:val="24"/>
    </w:rPr>
  </w:style>
  <w:style w:type="character" w:customStyle="1" w:styleId="TextodecomentrioChar">
    <w:name w:val="Texto de comentário Char"/>
    <w:link w:val="Textodecomentrio"/>
    <w:uiPriority w:val="99"/>
    <w:semiHidden/>
    <w:rsid w:val="00112DF0"/>
    <w:rPr>
      <w:sz w:val="24"/>
      <w:szCs w:val="24"/>
    </w:rPr>
  </w:style>
  <w:style w:type="paragraph" w:styleId="Assuntodocomentrio">
    <w:name w:val="annotation subject"/>
    <w:basedOn w:val="Textodecomentrio"/>
    <w:next w:val="Textodecomentrio"/>
    <w:link w:val="AssuntodocomentrioChar"/>
    <w:uiPriority w:val="99"/>
    <w:semiHidden/>
    <w:unhideWhenUsed/>
    <w:rsid w:val="00112DF0"/>
    <w:rPr>
      <w:b/>
      <w:bCs/>
      <w:sz w:val="20"/>
      <w:szCs w:val="20"/>
    </w:rPr>
  </w:style>
  <w:style w:type="character" w:customStyle="1" w:styleId="AssuntodocomentrioChar">
    <w:name w:val="Assunto do comentário Char"/>
    <w:link w:val="Assuntodocomentrio"/>
    <w:uiPriority w:val="99"/>
    <w:semiHidden/>
    <w:rsid w:val="00112DF0"/>
    <w:rPr>
      <w:b/>
      <w:bCs/>
      <w:sz w:val="24"/>
      <w:szCs w:val="24"/>
    </w:rPr>
  </w:style>
  <w:style w:type="paragraph" w:customStyle="1" w:styleId="SombreamentoEscuro-nfase11">
    <w:name w:val="Sombreamento Escuro - Ênfase 11"/>
    <w:hidden/>
    <w:uiPriority w:val="99"/>
    <w:semiHidden/>
    <w:rsid w:val="005F6E4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val="en-US" w:eastAsia="en-US"/>
    </w:rPr>
  </w:style>
  <w:style w:type="paragraph" w:styleId="Ttulo2">
    <w:name w:val="heading 2"/>
    <w:basedOn w:val="Normal"/>
    <w:next w:val="Normal"/>
    <w:link w:val="Ttulo2Char"/>
    <w:qFormat/>
    <w:rsid w:val="001C40A4"/>
    <w:pPr>
      <w:keepNext/>
      <w:spacing w:before="240" w:after="60" w:line="240" w:lineRule="auto"/>
      <w:outlineLvl w:val="1"/>
    </w:pPr>
    <w:rPr>
      <w:rFonts w:ascii="Arial" w:eastAsia="Times New Roman" w:hAnsi="Arial" w:cs="Arial"/>
      <w:b/>
      <w:bCs/>
      <w:i/>
      <w:iCs/>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BA34AB"/>
    <w:pPr>
      <w:spacing w:after="0" w:line="24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rsid w:val="00BA34AB"/>
    <w:rPr>
      <w:rFonts w:ascii="Times New Roman" w:eastAsia="Times New Roman" w:hAnsi="Times New Roman" w:cs="Times New Roman"/>
      <w:sz w:val="24"/>
      <w:szCs w:val="24"/>
      <w:lang w:val="en-US" w:eastAsia="pt-BR"/>
    </w:rPr>
  </w:style>
  <w:style w:type="paragraph" w:styleId="Textodenotadefim">
    <w:name w:val="endnote text"/>
    <w:basedOn w:val="Normal"/>
    <w:link w:val="TextodenotadefimChar"/>
    <w:semiHidden/>
    <w:rsid w:val="00BA34AB"/>
    <w:pPr>
      <w:spacing w:after="0" w:line="240" w:lineRule="auto"/>
    </w:pPr>
    <w:rPr>
      <w:rFonts w:ascii="Times New Roman" w:eastAsia="Times New Roman" w:hAnsi="Times New Roman"/>
      <w:sz w:val="20"/>
      <w:szCs w:val="20"/>
      <w:lang w:eastAsia="pt-BR"/>
    </w:rPr>
  </w:style>
  <w:style w:type="character" w:customStyle="1" w:styleId="TextodenotadefimChar">
    <w:name w:val="Texto de nota de fim Char"/>
    <w:link w:val="Textodenotadefim"/>
    <w:semiHidden/>
    <w:rsid w:val="00BA34AB"/>
    <w:rPr>
      <w:rFonts w:ascii="Times New Roman" w:eastAsia="Times New Roman" w:hAnsi="Times New Roman" w:cs="Times New Roman"/>
      <w:sz w:val="20"/>
      <w:szCs w:val="20"/>
      <w:lang w:val="en-US" w:eastAsia="pt-BR"/>
    </w:rPr>
  </w:style>
  <w:style w:type="character" w:styleId="Refdenotadefim">
    <w:name w:val="endnote reference"/>
    <w:semiHidden/>
    <w:rsid w:val="00BA34AB"/>
    <w:rPr>
      <w:vertAlign w:val="superscript"/>
    </w:rPr>
  </w:style>
  <w:style w:type="character" w:customStyle="1" w:styleId="Ttulo2Char">
    <w:name w:val="Título 2 Char"/>
    <w:link w:val="Ttulo2"/>
    <w:rsid w:val="001C40A4"/>
    <w:rPr>
      <w:rFonts w:ascii="Arial" w:eastAsia="Times New Roman" w:hAnsi="Arial" w:cs="Arial"/>
      <w:b/>
      <w:bCs/>
      <w:i/>
      <w:iCs/>
      <w:sz w:val="28"/>
      <w:szCs w:val="28"/>
      <w:lang w:val="en-US" w:eastAsia="pt-BR"/>
    </w:rPr>
  </w:style>
  <w:style w:type="paragraph" w:styleId="Textodenotaderodap">
    <w:name w:val="footnote text"/>
    <w:basedOn w:val="Normal"/>
    <w:link w:val="TextodenotaderodapChar"/>
    <w:uiPriority w:val="99"/>
    <w:semiHidden/>
    <w:rsid w:val="001C40A4"/>
    <w:pPr>
      <w:spacing w:after="0" w:line="240" w:lineRule="auto"/>
    </w:pPr>
    <w:rPr>
      <w:rFonts w:ascii="Times New Roman" w:eastAsia="Times New Roman" w:hAnsi="Times New Roman"/>
      <w:sz w:val="20"/>
      <w:szCs w:val="20"/>
      <w:lang w:eastAsia="x-none"/>
    </w:rPr>
  </w:style>
  <w:style w:type="character" w:customStyle="1" w:styleId="TextodenotaderodapChar">
    <w:name w:val="Texto de nota de rodapé Char"/>
    <w:link w:val="Textodenotaderodap"/>
    <w:uiPriority w:val="99"/>
    <w:semiHidden/>
    <w:rsid w:val="001C40A4"/>
    <w:rPr>
      <w:rFonts w:ascii="Times New Roman" w:eastAsia="Times New Roman" w:hAnsi="Times New Roman" w:cs="Times New Roman"/>
      <w:sz w:val="20"/>
      <w:szCs w:val="20"/>
      <w:lang w:val="en-US" w:eastAsia="x-none"/>
    </w:rPr>
  </w:style>
  <w:style w:type="character" w:styleId="Refdenotaderodap">
    <w:name w:val="footnote reference"/>
    <w:semiHidden/>
    <w:unhideWhenUsed/>
    <w:rsid w:val="005C45A3"/>
    <w:rPr>
      <w:vertAlign w:val="superscript"/>
    </w:rPr>
  </w:style>
  <w:style w:type="paragraph" w:styleId="Textodebalo">
    <w:name w:val="Balloon Text"/>
    <w:basedOn w:val="Normal"/>
    <w:link w:val="TextodebaloChar"/>
    <w:uiPriority w:val="99"/>
    <w:semiHidden/>
    <w:unhideWhenUsed/>
    <w:rsid w:val="003C675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C6754"/>
    <w:rPr>
      <w:rFonts w:ascii="Tahoma" w:hAnsi="Tahoma" w:cs="Tahoma"/>
      <w:sz w:val="16"/>
      <w:szCs w:val="16"/>
    </w:rPr>
  </w:style>
  <w:style w:type="paragraph" w:customStyle="1" w:styleId="ListaColorida-nfase11">
    <w:name w:val="Lista Colorida - Ênfase 11"/>
    <w:basedOn w:val="Normal"/>
    <w:uiPriority w:val="34"/>
    <w:qFormat/>
    <w:rsid w:val="00E16B46"/>
    <w:pPr>
      <w:ind w:left="720"/>
      <w:contextualSpacing/>
    </w:pPr>
  </w:style>
  <w:style w:type="character" w:styleId="Hyperlink">
    <w:name w:val="Hyperlink"/>
    <w:uiPriority w:val="99"/>
    <w:unhideWhenUsed/>
    <w:rsid w:val="00884EC6"/>
    <w:rPr>
      <w:color w:val="0000FF"/>
      <w:u w:val="single"/>
    </w:rPr>
  </w:style>
  <w:style w:type="paragraph" w:styleId="Cabealho">
    <w:name w:val="header"/>
    <w:basedOn w:val="Normal"/>
    <w:link w:val="CabealhoChar"/>
    <w:uiPriority w:val="99"/>
    <w:unhideWhenUsed/>
    <w:rsid w:val="00664F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4F7B"/>
  </w:style>
  <w:style w:type="paragraph" w:styleId="Rodap">
    <w:name w:val="footer"/>
    <w:basedOn w:val="Normal"/>
    <w:link w:val="RodapChar"/>
    <w:unhideWhenUsed/>
    <w:rsid w:val="00664F7B"/>
    <w:pPr>
      <w:tabs>
        <w:tab w:val="center" w:pos="4252"/>
        <w:tab w:val="right" w:pos="8504"/>
      </w:tabs>
      <w:spacing w:after="0" w:line="240" w:lineRule="auto"/>
    </w:pPr>
  </w:style>
  <w:style w:type="character" w:customStyle="1" w:styleId="RodapChar">
    <w:name w:val="Rodapé Char"/>
    <w:basedOn w:val="Fontepargpadro"/>
    <w:link w:val="Rodap"/>
    <w:uiPriority w:val="99"/>
    <w:rsid w:val="00664F7B"/>
  </w:style>
  <w:style w:type="paragraph" w:styleId="Recuodecorpodetexto">
    <w:name w:val="Body Text Indent"/>
    <w:basedOn w:val="Normal"/>
    <w:link w:val="RecuodecorpodetextoChar"/>
    <w:uiPriority w:val="99"/>
    <w:semiHidden/>
    <w:unhideWhenUsed/>
    <w:rsid w:val="00FC4F79"/>
    <w:pPr>
      <w:spacing w:after="120"/>
      <w:ind w:left="283"/>
    </w:pPr>
  </w:style>
  <w:style w:type="character" w:customStyle="1" w:styleId="RecuodecorpodetextoChar">
    <w:name w:val="Recuo de corpo de texto Char"/>
    <w:basedOn w:val="Fontepargpadro"/>
    <w:link w:val="Recuodecorpodetexto"/>
    <w:uiPriority w:val="99"/>
    <w:semiHidden/>
    <w:rsid w:val="00FC4F79"/>
  </w:style>
  <w:style w:type="character" w:styleId="Refdecomentrio">
    <w:name w:val="annotation reference"/>
    <w:uiPriority w:val="99"/>
    <w:semiHidden/>
    <w:unhideWhenUsed/>
    <w:rsid w:val="00112DF0"/>
    <w:rPr>
      <w:sz w:val="18"/>
      <w:szCs w:val="18"/>
    </w:rPr>
  </w:style>
  <w:style w:type="paragraph" w:styleId="Textodecomentrio">
    <w:name w:val="annotation text"/>
    <w:basedOn w:val="Normal"/>
    <w:link w:val="TextodecomentrioChar"/>
    <w:uiPriority w:val="99"/>
    <w:semiHidden/>
    <w:unhideWhenUsed/>
    <w:rsid w:val="00112DF0"/>
    <w:rPr>
      <w:sz w:val="24"/>
      <w:szCs w:val="24"/>
    </w:rPr>
  </w:style>
  <w:style w:type="character" w:customStyle="1" w:styleId="TextodecomentrioChar">
    <w:name w:val="Texto de comentário Char"/>
    <w:link w:val="Textodecomentrio"/>
    <w:uiPriority w:val="99"/>
    <w:semiHidden/>
    <w:rsid w:val="00112DF0"/>
    <w:rPr>
      <w:sz w:val="24"/>
      <w:szCs w:val="24"/>
    </w:rPr>
  </w:style>
  <w:style w:type="paragraph" w:styleId="Assuntodocomentrio">
    <w:name w:val="annotation subject"/>
    <w:basedOn w:val="Textodecomentrio"/>
    <w:next w:val="Textodecomentrio"/>
    <w:link w:val="AssuntodocomentrioChar"/>
    <w:uiPriority w:val="99"/>
    <w:semiHidden/>
    <w:unhideWhenUsed/>
    <w:rsid w:val="00112DF0"/>
    <w:rPr>
      <w:b/>
      <w:bCs/>
      <w:sz w:val="20"/>
      <w:szCs w:val="20"/>
    </w:rPr>
  </w:style>
  <w:style w:type="character" w:customStyle="1" w:styleId="AssuntodocomentrioChar">
    <w:name w:val="Assunto do comentário Char"/>
    <w:link w:val="Assuntodocomentrio"/>
    <w:uiPriority w:val="99"/>
    <w:semiHidden/>
    <w:rsid w:val="00112DF0"/>
    <w:rPr>
      <w:b/>
      <w:bCs/>
      <w:sz w:val="24"/>
      <w:szCs w:val="24"/>
    </w:rPr>
  </w:style>
  <w:style w:type="paragraph" w:customStyle="1" w:styleId="SombreamentoEscuro-nfase11">
    <w:name w:val="Sombreamento Escuro - Ênfase 11"/>
    <w:hidden/>
    <w:uiPriority w:val="99"/>
    <w:semiHidden/>
    <w:rsid w:val="005F6E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3726">
      <w:bodyDiv w:val="1"/>
      <w:marLeft w:val="0"/>
      <w:marRight w:val="0"/>
      <w:marTop w:val="0"/>
      <w:marBottom w:val="0"/>
      <w:divBdr>
        <w:top w:val="none" w:sz="0" w:space="0" w:color="auto"/>
        <w:left w:val="none" w:sz="0" w:space="0" w:color="auto"/>
        <w:bottom w:val="none" w:sz="0" w:space="0" w:color="auto"/>
        <w:right w:val="none" w:sz="0" w:space="0" w:color="auto"/>
      </w:divBdr>
    </w:div>
    <w:div w:id="1055896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mailto:mauricio.reis@ipea.gov.br" TargetMode="Externa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EC7CE-8289-463B-9D2A-5D87D577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5506</Words>
  <Characters>29733</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Cortez Reis</dc:creator>
  <cp:lastModifiedBy>Mauricio Cortez Reis</cp:lastModifiedBy>
  <cp:revision>4</cp:revision>
  <cp:lastPrinted>2013-11-22T18:57:00Z</cp:lastPrinted>
  <dcterms:created xsi:type="dcterms:W3CDTF">2014-07-11T15:50:00Z</dcterms:created>
  <dcterms:modified xsi:type="dcterms:W3CDTF">2014-07-11T18:31:00Z</dcterms:modified>
</cp:coreProperties>
</file>