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B93" w:rsidRPr="003E5DB8" w:rsidRDefault="00E60245" w:rsidP="00286A22">
      <w:pPr>
        <w:pStyle w:val="Heading1"/>
        <w:jc w:val="center"/>
        <w:rPr>
          <w:sz w:val="28"/>
        </w:rPr>
      </w:pPr>
      <w:r w:rsidRPr="003E5DB8">
        <w:rPr>
          <w:sz w:val="28"/>
        </w:rPr>
        <w:t>Avaliação empírica do teorema da paridade coberta para a economia brasileira</w:t>
      </w:r>
      <w:r w:rsidR="009622EB">
        <w:rPr>
          <w:rStyle w:val="FootnoteReference"/>
          <w:sz w:val="28"/>
        </w:rPr>
        <w:footnoteReference w:id="1"/>
      </w:r>
    </w:p>
    <w:p w:rsidR="00F32AD0" w:rsidRDefault="00F32AD0" w:rsidP="00F32AD0"/>
    <w:p w:rsidR="00F32AD0" w:rsidRDefault="00F32AD0" w:rsidP="00F32AD0"/>
    <w:p w:rsidR="003E5DB8" w:rsidRPr="003E5DB8" w:rsidRDefault="00930732" w:rsidP="003E5DB8">
      <w:pPr>
        <w:jc w:val="center"/>
        <w:rPr>
          <w:i/>
        </w:rPr>
      </w:pPr>
      <w:r w:rsidRPr="003E5DB8">
        <w:rPr>
          <w:i/>
        </w:rPr>
        <w:t>André</w:t>
      </w:r>
      <w:r w:rsidR="00F32AD0" w:rsidRPr="003E5DB8">
        <w:rPr>
          <w:i/>
        </w:rPr>
        <w:t xml:space="preserve"> Cieplinski</w:t>
      </w:r>
      <w:r w:rsidR="002805D1">
        <w:rPr>
          <w:rStyle w:val="FootnoteReference"/>
          <w:i/>
        </w:rPr>
        <w:footnoteReference w:id="2"/>
      </w:r>
      <w:r w:rsidR="003E5DB8" w:rsidRPr="003E5DB8">
        <w:rPr>
          <w:i/>
        </w:rPr>
        <w:t>, Julia Braga</w:t>
      </w:r>
      <w:r w:rsidR="002805D1">
        <w:rPr>
          <w:rStyle w:val="FootnoteReference"/>
          <w:i/>
        </w:rPr>
        <w:footnoteReference w:id="3"/>
      </w:r>
      <w:r w:rsidR="003E5DB8" w:rsidRPr="003E5DB8">
        <w:rPr>
          <w:i/>
        </w:rPr>
        <w:t xml:space="preserve"> e Ricardo Summa</w:t>
      </w:r>
      <w:r w:rsidR="002805D1">
        <w:rPr>
          <w:rStyle w:val="FootnoteReference"/>
          <w:i/>
        </w:rPr>
        <w:footnoteReference w:id="4"/>
      </w:r>
    </w:p>
    <w:p w:rsidR="003E5DB8" w:rsidRDefault="003E5DB8" w:rsidP="003E5DB8">
      <w:pPr>
        <w:jc w:val="right"/>
      </w:pPr>
    </w:p>
    <w:p w:rsidR="00F32AD0" w:rsidRDefault="00F32AD0" w:rsidP="00F32AD0">
      <w:pPr>
        <w:jc w:val="right"/>
      </w:pPr>
    </w:p>
    <w:p w:rsidR="00980CAD" w:rsidRDefault="00980CAD" w:rsidP="00096302">
      <w:pPr>
        <w:jc w:val="center"/>
        <w:rPr>
          <w:b/>
        </w:rPr>
      </w:pPr>
    </w:p>
    <w:p w:rsidR="00980CAD" w:rsidRDefault="00980CAD" w:rsidP="00096302">
      <w:pPr>
        <w:jc w:val="center"/>
        <w:rPr>
          <w:b/>
        </w:rPr>
      </w:pPr>
    </w:p>
    <w:p w:rsidR="00096302" w:rsidRPr="00096302" w:rsidRDefault="00096302" w:rsidP="00096302">
      <w:pPr>
        <w:jc w:val="center"/>
        <w:rPr>
          <w:b/>
        </w:rPr>
      </w:pPr>
      <w:r w:rsidRPr="00096302">
        <w:rPr>
          <w:b/>
        </w:rPr>
        <w:t>Resumo</w:t>
      </w:r>
    </w:p>
    <w:p w:rsidR="00096302" w:rsidRDefault="00096302" w:rsidP="00096302">
      <w:r>
        <w:t>O objetivo deste trabalho é testar a validade do teorema da paridade coberta de juros para a economia brasileira entre os anos de 2008 e 201</w:t>
      </w:r>
      <w:r w:rsidR="003130C4">
        <w:t>3</w:t>
      </w:r>
      <w:r>
        <w:t xml:space="preserve">. Mostraremos que, ao contrário do escasso material que estima essa relação para a economia brasileira e obtém resultados de não validade empírica do teorema, nossas estimativas sugerem a validade da paridade coberta para o Brasil. Dessa forma, um </w:t>
      </w:r>
      <w:r w:rsidR="00930732">
        <w:t>subproduto</w:t>
      </w:r>
      <w:r>
        <w:t xml:space="preserve"> deste artigo é a avaliação das características dos dados brasileiros e das variáveis utilizadas para a estimação da paridade coberta. Argumentaremos que a taxa de juros externa relevante para o teste de validade da CIP no Brasil é aquela acessível aos agentes internos, cuja proxy  é a taxa </w:t>
      </w:r>
      <w:r w:rsidR="00930732">
        <w:rPr>
          <w:i/>
        </w:rPr>
        <w:t>li</w:t>
      </w:r>
      <w:r>
        <w:rPr>
          <w:i/>
        </w:rPr>
        <w:t>bor</w:t>
      </w:r>
      <w:r>
        <w:t xml:space="preserve"> acrescida do EMBI+ brasileiro (o </w:t>
      </w:r>
      <w:r w:rsidRPr="00FB3DF7">
        <w:rPr>
          <w:i/>
        </w:rPr>
        <w:t>spread</w:t>
      </w:r>
      <w:r>
        <w:t xml:space="preserve"> entre os títulos da dívida externa soberana brasileira e a </w:t>
      </w:r>
      <w:r w:rsidR="00BB3FD2">
        <w:t xml:space="preserve">taxa livre de risco americana), e iremos comparar essa taxa com </w:t>
      </w:r>
      <w:r>
        <w:t>o cupom cambial</w:t>
      </w:r>
      <w:r w:rsidR="00BB3FD2">
        <w:t xml:space="preserve"> (</w:t>
      </w:r>
      <w:r>
        <w:t>que constitui um fechamento tautológico para a paridade coberta</w:t>
      </w:r>
      <w:r w:rsidR="00BB3FD2">
        <w:t>)</w:t>
      </w:r>
      <w:r>
        <w:t xml:space="preserve">. </w:t>
      </w:r>
      <w:r w:rsidR="00BB3FD2">
        <w:t>V</w:t>
      </w:r>
      <w:r>
        <w:t>erifica</w:t>
      </w:r>
      <w:r w:rsidR="00BB3FD2">
        <w:t xml:space="preserve">mostambém </w:t>
      </w:r>
      <w:r>
        <w:t>a relação entre as taxas de cupom cambial e a taxa externa mais o EMBI+</w:t>
      </w:r>
      <w:r w:rsidR="00BB3FD2">
        <w:t>, o que constitui</w:t>
      </w:r>
      <w:r>
        <w:t xml:space="preserve"> uma maneira </w:t>
      </w:r>
      <w:r w:rsidR="00BB3FD2">
        <w:t>alternativa</w:t>
      </w:r>
      <w:r>
        <w:t xml:space="preserve"> de avaliar a paridade coberta no Brasil.</w:t>
      </w:r>
    </w:p>
    <w:p w:rsidR="00C34FC7" w:rsidRDefault="00C34FC7" w:rsidP="00C34FC7">
      <w:r w:rsidRPr="003C75DA">
        <w:t>Palavras chave: Paridade Coberta de Juros, CIP, GARCH</w:t>
      </w:r>
      <w:r>
        <w:t>.</w:t>
      </w:r>
    </w:p>
    <w:p w:rsidR="00432B93" w:rsidRDefault="00432B93" w:rsidP="00DA1463">
      <w:pPr>
        <w:pStyle w:val="Heading1"/>
      </w:pPr>
    </w:p>
    <w:p w:rsidR="00096302" w:rsidRDefault="00096302" w:rsidP="00096302"/>
    <w:p w:rsidR="00B30732" w:rsidRPr="00BB3FD2" w:rsidRDefault="00B30732" w:rsidP="00B30732">
      <w:pPr>
        <w:jc w:val="center"/>
        <w:rPr>
          <w:b/>
          <w:lang w:val="en-US"/>
        </w:rPr>
      </w:pPr>
      <w:r w:rsidRPr="00BB3FD2">
        <w:rPr>
          <w:b/>
          <w:lang w:val="en-US"/>
        </w:rPr>
        <w:t>Abstract</w:t>
      </w:r>
    </w:p>
    <w:p w:rsidR="00B30732" w:rsidRDefault="00BB3FD2" w:rsidP="00096302">
      <w:pPr>
        <w:rPr>
          <w:lang w:val="en-US"/>
        </w:rPr>
      </w:pPr>
      <w:r w:rsidRPr="00BB3FD2">
        <w:rPr>
          <w:lang w:val="en-US"/>
        </w:rPr>
        <w:t xml:space="preserve">The purpose of this paper is to </w:t>
      </w:r>
      <w:r w:rsidR="002A54DB">
        <w:rPr>
          <w:lang w:val="en-US"/>
        </w:rPr>
        <w:t>test</w:t>
      </w:r>
      <w:r w:rsidRPr="00BB3FD2">
        <w:rPr>
          <w:lang w:val="en-US"/>
        </w:rPr>
        <w:t> the validity of the covered interest parity theorem for the Brazilian economy between 2008 and 201</w:t>
      </w:r>
      <w:r w:rsidR="003130C4">
        <w:rPr>
          <w:lang w:val="en-US"/>
        </w:rPr>
        <w:t>3</w:t>
      </w:r>
      <w:r>
        <w:rPr>
          <w:lang w:val="en-US"/>
        </w:rPr>
        <w:t xml:space="preserve">. We </w:t>
      </w:r>
      <w:r w:rsidRPr="00BB3FD2">
        <w:rPr>
          <w:lang w:val="en-US"/>
        </w:rPr>
        <w:t>will show that, unlike the scarce</w:t>
      </w:r>
      <w:r>
        <w:rPr>
          <w:lang w:val="en-US"/>
        </w:rPr>
        <w:t xml:space="preserve"> empirical work</w:t>
      </w:r>
      <w:r w:rsidRPr="00BB3FD2">
        <w:rPr>
          <w:lang w:val="en-US"/>
        </w:rPr>
        <w:t xml:space="preserve"> that </w:t>
      </w:r>
      <w:r>
        <w:rPr>
          <w:lang w:val="en-US"/>
        </w:rPr>
        <w:t>investigated th</w:t>
      </w:r>
      <w:r w:rsidR="002A54DB">
        <w:rPr>
          <w:lang w:val="en-US"/>
        </w:rPr>
        <w:t>is</w:t>
      </w:r>
      <w:r w:rsidR="00C34FC7">
        <w:rPr>
          <w:lang w:val="en-US"/>
        </w:rPr>
        <w:t xml:space="preserve"> </w:t>
      </w:r>
      <w:r w:rsidRPr="00BB3FD2">
        <w:rPr>
          <w:lang w:val="en-US"/>
        </w:rPr>
        <w:t xml:space="preserve">relation for the Brazilian economy and </w:t>
      </w:r>
      <w:r w:rsidR="002A54DB">
        <w:rPr>
          <w:lang w:val="en-US"/>
        </w:rPr>
        <w:t>does not confirm this empirical result</w:t>
      </w:r>
      <w:r w:rsidRPr="00BB3FD2">
        <w:rPr>
          <w:lang w:val="en-US"/>
        </w:rPr>
        <w:t xml:space="preserve">, our estimates suggest the covered </w:t>
      </w:r>
      <w:r w:rsidR="002A54DB">
        <w:rPr>
          <w:lang w:val="en-US"/>
        </w:rPr>
        <w:t xml:space="preserve">interest </w:t>
      </w:r>
      <w:r w:rsidR="002A54DB" w:rsidRPr="00BB3FD2">
        <w:rPr>
          <w:lang w:val="en-US"/>
        </w:rPr>
        <w:t>parity</w:t>
      </w:r>
      <w:r w:rsidR="002A54DB">
        <w:rPr>
          <w:lang w:val="en-US"/>
        </w:rPr>
        <w:t xml:space="preserve"> theorem holds</w:t>
      </w:r>
      <w:r w:rsidR="00C34FC7">
        <w:rPr>
          <w:lang w:val="en-US"/>
        </w:rPr>
        <w:t xml:space="preserve"> </w:t>
      </w:r>
      <w:r w:rsidRPr="00BB3FD2">
        <w:rPr>
          <w:lang w:val="en-US"/>
        </w:rPr>
        <w:t>for Brazil</w:t>
      </w:r>
      <w:r w:rsidR="002A54DB">
        <w:rPr>
          <w:lang w:val="en-US"/>
        </w:rPr>
        <w:t>ian data</w:t>
      </w:r>
      <w:r w:rsidRPr="00BB3FD2">
        <w:rPr>
          <w:lang w:val="en-US"/>
        </w:rPr>
        <w:t>.</w:t>
      </w:r>
      <w:r w:rsidR="002A54DB" w:rsidRPr="002A54DB">
        <w:rPr>
          <w:lang w:val="en-US"/>
        </w:rPr>
        <w:t xml:space="preserve"> Thus, a byproduct of this </w:t>
      </w:r>
      <w:r w:rsidR="002A54DB">
        <w:rPr>
          <w:lang w:val="en-US"/>
        </w:rPr>
        <w:t>work</w:t>
      </w:r>
      <w:r w:rsidR="002A54DB" w:rsidRPr="002A54DB">
        <w:rPr>
          <w:lang w:val="en-US"/>
        </w:rPr>
        <w:t xml:space="preserve"> is the evaluation of the characteristics of the Brazilian data and the variables used to estimate the covered parity.</w:t>
      </w:r>
      <w:r w:rsidR="002A54DB">
        <w:rPr>
          <w:lang w:val="en-US"/>
        </w:rPr>
        <w:t xml:space="preserve"> We a</w:t>
      </w:r>
      <w:r w:rsidR="002A54DB" w:rsidRPr="002A54DB">
        <w:rPr>
          <w:lang w:val="en-US"/>
        </w:rPr>
        <w:t>rgue that the relevant</w:t>
      </w:r>
      <w:r w:rsidR="00C34FC7">
        <w:rPr>
          <w:lang w:val="en-US"/>
        </w:rPr>
        <w:t xml:space="preserve"> </w:t>
      </w:r>
      <w:r w:rsidR="002A54DB" w:rsidRPr="002A54DB">
        <w:rPr>
          <w:lang w:val="en-US"/>
        </w:rPr>
        <w:t>foreign interest</w:t>
      </w:r>
      <w:r w:rsidR="002A54DB">
        <w:rPr>
          <w:lang w:val="en-US"/>
        </w:rPr>
        <w:t xml:space="preserve"> rate</w:t>
      </w:r>
      <w:r w:rsidR="00C34FC7">
        <w:rPr>
          <w:lang w:val="en-US"/>
        </w:rPr>
        <w:t xml:space="preserve"> </w:t>
      </w:r>
      <w:r w:rsidR="002A54DB">
        <w:rPr>
          <w:lang w:val="en-US"/>
        </w:rPr>
        <w:t xml:space="preserve">variable </w:t>
      </w:r>
      <w:r w:rsidR="002A54DB" w:rsidRPr="002A54DB">
        <w:rPr>
          <w:lang w:val="en-US"/>
        </w:rPr>
        <w:t>to test the CIP in Brazil is that</w:t>
      </w:r>
      <w:r w:rsidR="002A54DB">
        <w:rPr>
          <w:lang w:val="en-US"/>
        </w:rPr>
        <w:t xml:space="preserve"> one</w:t>
      </w:r>
      <w:r w:rsidR="00C34FC7">
        <w:rPr>
          <w:lang w:val="en-US"/>
        </w:rPr>
        <w:t xml:space="preserve"> </w:t>
      </w:r>
      <w:r w:rsidR="002A54DB">
        <w:rPr>
          <w:lang w:val="en-US"/>
        </w:rPr>
        <w:t>available</w:t>
      </w:r>
      <w:r w:rsidR="002A54DB" w:rsidRPr="002A54DB">
        <w:rPr>
          <w:lang w:val="en-US"/>
        </w:rPr>
        <w:t xml:space="preserve"> to </w:t>
      </w:r>
      <w:r w:rsidR="002A54DB">
        <w:rPr>
          <w:lang w:val="en-US"/>
        </w:rPr>
        <w:t>domestic</w:t>
      </w:r>
      <w:r w:rsidR="002A54DB" w:rsidRPr="002A54DB">
        <w:rPr>
          <w:lang w:val="en-US"/>
        </w:rPr>
        <w:t xml:space="preserve"> agents, whose proxy is</w:t>
      </w:r>
      <w:r w:rsidR="002A54DB">
        <w:rPr>
          <w:lang w:val="en-US"/>
        </w:rPr>
        <w:t xml:space="preserve"> the</w:t>
      </w:r>
      <w:r w:rsidR="002A54DB" w:rsidRPr="002A54DB">
        <w:rPr>
          <w:lang w:val="en-US"/>
        </w:rPr>
        <w:t xml:space="preserve"> LIBOR </w:t>
      </w:r>
      <w:r w:rsidR="002A54DB">
        <w:rPr>
          <w:lang w:val="en-US"/>
        </w:rPr>
        <w:t xml:space="preserve">rate </w:t>
      </w:r>
      <w:r w:rsidR="002A54DB" w:rsidRPr="002A54DB">
        <w:rPr>
          <w:lang w:val="en-US"/>
        </w:rPr>
        <w:t>plus the</w:t>
      </w:r>
      <w:r w:rsidR="002A54DB">
        <w:rPr>
          <w:lang w:val="en-US"/>
        </w:rPr>
        <w:t xml:space="preserve"> Brazilian</w:t>
      </w:r>
      <w:r w:rsidR="002A54DB" w:rsidRPr="002A54DB">
        <w:rPr>
          <w:lang w:val="en-US"/>
        </w:rPr>
        <w:t xml:space="preserve"> EMBI+ (the spread between the Brazilian sovereign</w:t>
      </w:r>
      <w:r w:rsidR="00C34FC7">
        <w:rPr>
          <w:lang w:val="en-US"/>
        </w:rPr>
        <w:t xml:space="preserve"> </w:t>
      </w:r>
      <w:r w:rsidR="002A54DB" w:rsidRPr="002A54DB">
        <w:rPr>
          <w:lang w:val="en-US"/>
        </w:rPr>
        <w:t xml:space="preserve">debt and the </w:t>
      </w:r>
      <w:r w:rsidR="002A54DB">
        <w:rPr>
          <w:lang w:val="en-US"/>
        </w:rPr>
        <w:t>US treasury bonds rate</w:t>
      </w:r>
      <w:r w:rsidR="002A54DB" w:rsidRPr="002A54DB">
        <w:rPr>
          <w:lang w:val="en-US"/>
        </w:rPr>
        <w:t>), and we will compare this rate with</w:t>
      </w:r>
      <w:r w:rsidR="00286A22">
        <w:rPr>
          <w:lang w:val="en-US"/>
        </w:rPr>
        <w:t xml:space="preserve"> the Brazilian foreign exchange coupon </w:t>
      </w:r>
      <w:r w:rsidR="002A54DB" w:rsidRPr="002A54DB">
        <w:rPr>
          <w:lang w:val="en-US"/>
        </w:rPr>
        <w:t>(which is a tautological closure to the covered parity</w:t>
      </w:r>
      <w:r w:rsidR="005E4C46">
        <w:rPr>
          <w:lang w:val="en-US"/>
        </w:rPr>
        <w:t>),</w:t>
      </w:r>
      <w:r w:rsidR="002A54DB" w:rsidRPr="005E4C46">
        <w:rPr>
          <w:lang w:val="en-US"/>
        </w:rPr>
        <w:t xml:space="preserve"> which is an alternative way to evaluate the covered parity in Brazil.</w:t>
      </w:r>
    </w:p>
    <w:p w:rsidR="003E5DB8" w:rsidRDefault="00C34FC7" w:rsidP="00096302">
      <w:pPr>
        <w:rPr>
          <w:lang w:val="en-US"/>
        </w:rPr>
      </w:pPr>
      <w:r>
        <w:rPr>
          <w:lang w:val="en-US"/>
        </w:rPr>
        <w:t>Key-words: Covered interest rate parity, CIP, GARCH.</w:t>
      </w:r>
    </w:p>
    <w:p w:rsidR="003C75DA" w:rsidRPr="00C34FC7" w:rsidRDefault="003C75DA" w:rsidP="00096302">
      <w:pPr>
        <w:rPr>
          <w:lang w:val="en-US"/>
        </w:rPr>
      </w:pPr>
    </w:p>
    <w:p w:rsidR="003E5DB8" w:rsidRDefault="003C75DA" w:rsidP="00096302">
      <w:r>
        <w:t>Códigos JEL:</w:t>
      </w:r>
      <w:r w:rsidR="002805D1">
        <w:t xml:space="preserve"> </w:t>
      </w:r>
      <w:r w:rsidR="009622EB">
        <w:t>F31 e F41</w:t>
      </w:r>
    </w:p>
    <w:p w:rsidR="00C34FC7" w:rsidRDefault="00C34FC7" w:rsidP="00096302">
      <w:r>
        <w:t>Area 7 – Economia Internacional</w:t>
      </w:r>
    </w:p>
    <w:p w:rsidR="003E5DB8" w:rsidRDefault="003E5DB8" w:rsidP="00096302"/>
    <w:p w:rsidR="009622EB" w:rsidRDefault="009622EB" w:rsidP="00096302"/>
    <w:p w:rsidR="003C75DA" w:rsidRDefault="003C75DA" w:rsidP="00096302"/>
    <w:p w:rsidR="004C11E6" w:rsidRPr="004C11E6" w:rsidRDefault="004C11E6" w:rsidP="00096302">
      <w:pPr>
        <w:rPr>
          <w:b/>
        </w:rPr>
      </w:pPr>
      <w:r w:rsidRPr="004C11E6">
        <w:rPr>
          <w:b/>
          <w:sz w:val="28"/>
        </w:rPr>
        <w:lastRenderedPageBreak/>
        <w:t>Avaliação empírica do teorema da paridade coberta para a economia brasileira</w:t>
      </w:r>
    </w:p>
    <w:p w:rsidR="00F52841" w:rsidRDefault="00FD07A1" w:rsidP="00F52841">
      <w:pPr>
        <w:pStyle w:val="Heading2"/>
      </w:pPr>
      <w:r>
        <w:t>Introdução</w:t>
      </w:r>
    </w:p>
    <w:p w:rsidR="00446C6B" w:rsidRDefault="00674542" w:rsidP="00446C6B">
      <w:r>
        <w:tab/>
      </w:r>
      <w:r w:rsidR="00BC1158">
        <w:t>O teorema da</w:t>
      </w:r>
      <w:r w:rsidR="00446C6B">
        <w:t xml:space="preserve"> paridade coberta de juros</w:t>
      </w:r>
      <w:r w:rsidR="0060797C">
        <w:t xml:space="preserve"> (em inglês, </w:t>
      </w:r>
      <w:r w:rsidR="0060797C" w:rsidRPr="00B30732">
        <w:rPr>
          <w:i/>
        </w:rPr>
        <w:t>covered</w:t>
      </w:r>
      <w:r w:rsidR="00735B57">
        <w:rPr>
          <w:i/>
        </w:rPr>
        <w:t xml:space="preserve"> </w:t>
      </w:r>
      <w:r w:rsidR="0060797C" w:rsidRPr="00B30732">
        <w:rPr>
          <w:i/>
        </w:rPr>
        <w:t>interest</w:t>
      </w:r>
      <w:r w:rsidR="00735B57">
        <w:rPr>
          <w:i/>
        </w:rPr>
        <w:t xml:space="preserve"> </w:t>
      </w:r>
      <w:r w:rsidR="0060797C" w:rsidRPr="00B30732">
        <w:rPr>
          <w:i/>
        </w:rPr>
        <w:t>parity</w:t>
      </w:r>
      <w:r w:rsidR="0060797C">
        <w:t xml:space="preserve"> –CIP)</w:t>
      </w:r>
      <w:r w:rsidR="00BC1158">
        <w:t xml:space="preserve"> estabelece que a relação entre o preço a vista de uma divisa estrangeira e o preço a termo (preço para a entrega da divisa em um momento no futuro) desta mesma divisa </w:t>
      </w:r>
      <w:r w:rsidR="0060797C">
        <w:t xml:space="preserve">em termos da divisa doméstica </w:t>
      </w:r>
      <w:r w:rsidR="00BC1158">
        <w:t xml:space="preserve">deve refletir </w:t>
      </w:r>
      <w:r w:rsidR="0060797C">
        <w:t xml:space="preserve">o diferencial entre as taxas de juros dessas duas moedas. </w:t>
      </w:r>
      <w:r>
        <w:t>Esta relação encontra sólido respaldo empírico na literatura internacional, entre diferentes países e períodos. Contudo, há uma escassez de tr</w:t>
      </w:r>
      <w:bookmarkStart w:id="0" w:name="_GoBack"/>
      <w:bookmarkEnd w:id="0"/>
      <w:r>
        <w:t xml:space="preserve">abalhos que comprovem a </w:t>
      </w:r>
      <w:r w:rsidR="0060797C">
        <w:t xml:space="preserve">validade deste teorema </w:t>
      </w:r>
      <w:r>
        <w:t>para o Brasil.</w:t>
      </w:r>
    </w:p>
    <w:p w:rsidR="0060797C" w:rsidRDefault="00674542" w:rsidP="00446C6B">
      <w:r>
        <w:tab/>
      </w:r>
      <w:r w:rsidR="0060797C">
        <w:t xml:space="preserve"> O objetivo deste </w:t>
      </w:r>
      <w:r>
        <w:t>trabalho</w:t>
      </w:r>
      <w:r w:rsidR="0060797C">
        <w:t xml:space="preserve"> é</w:t>
      </w:r>
      <w:r>
        <w:t xml:space="preserve"> testa</w:t>
      </w:r>
      <w:r w:rsidR="0060797C">
        <w:t>r</w:t>
      </w:r>
      <w:r>
        <w:t xml:space="preserve"> a </w:t>
      </w:r>
      <w:r w:rsidR="0060797C">
        <w:t xml:space="preserve">validade do teorema da </w:t>
      </w:r>
      <w:r>
        <w:t xml:space="preserve">paridade coberta de juros </w:t>
      </w:r>
      <w:r w:rsidR="0060797C">
        <w:t>para a economia b</w:t>
      </w:r>
      <w:r>
        <w:t>rasil</w:t>
      </w:r>
      <w:r w:rsidR="0060797C">
        <w:t>eira</w:t>
      </w:r>
      <w:r>
        <w:t xml:space="preserve"> entre</w:t>
      </w:r>
      <w:r w:rsidR="0060797C">
        <w:t xml:space="preserve"> os anos de</w:t>
      </w:r>
      <w:r>
        <w:t xml:space="preserve"> 2008 e 201</w:t>
      </w:r>
      <w:r w:rsidR="003130C4">
        <w:t>3</w:t>
      </w:r>
      <w:r w:rsidR="0060797C">
        <w:t>. Mostraremos que, ao contrário do escasso material que estima essa relação para a economia brasileira e obtém resultados de não validade empírica do teorema, nossas estimativas sugerem a validade da paridade coberta para o Brasil. Dessa forma, um subproduto deste artigo é a avaliação d</w:t>
      </w:r>
      <w:r w:rsidR="0080767F">
        <w:t xml:space="preserve">as características dos dados </w:t>
      </w:r>
      <w:r w:rsidR="0060797C">
        <w:t xml:space="preserve">brasileiros </w:t>
      </w:r>
      <w:r w:rsidR="0080767F">
        <w:t xml:space="preserve">e </w:t>
      </w:r>
      <w:r w:rsidR="0060797C">
        <w:t xml:space="preserve">das </w:t>
      </w:r>
      <w:r w:rsidR="0080767F">
        <w:t>variáveis utilizadas</w:t>
      </w:r>
      <w:r w:rsidR="0060797C">
        <w:t xml:space="preserve"> para a estimação da paridade coberta</w:t>
      </w:r>
      <w:r w:rsidR="0080767F">
        <w:t xml:space="preserve">. </w:t>
      </w:r>
    </w:p>
    <w:p w:rsidR="00FB3DF7" w:rsidRDefault="00260D09" w:rsidP="00FB3DF7">
      <w:pPr>
        <w:ind w:firstLine="708"/>
      </w:pPr>
      <w:r>
        <w:t>Argumenta</w:t>
      </w:r>
      <w:r w:rsidR="0060797C">
        <w:t>remos</w:t>
      </w:r>
      <w:r>
        <w:t xml:space="preserve"> que a taxa</w:t>
      </w:r>
      <w:r w:rsidR="0060797C">
        <w:t xml:space="preserve"> de juros</w:t>
      </w:r>
      <w:r>
        <w:t xml:space="preserve"> externa relevante para </w:t>
      </w:r>
      <w:r w:rsidR="0060797C">
        <w:t>o teste de validade d</w:t>
      </w:r>
      <w:r>
        <w:t>a CIP no Brasil é aquela acessível aos agentes internos</w:t>
      </w:r>
      <w:r w:rsidR="0060797C">
        <w:t>,</w:t>
      </w:r>
      <w:r w:rsidR="00735B57">
        <w:t xml:space="preserve"> </w:t>
      </w:r>
      <w:r w:rsidR="0060797C">
        <w:t xml:space="preserve">cuja </w:t>
      </w:r>
      <w:r w:rsidR="0060797C" w:rsidRPr="005E4C46">
        <w:rPr>
          <w:i/>
        </w:rPr>
        <w:t>proxy</w:t>
      </w:r>
      <w:r w:rsidR="0060797C">
        <w:t xml:space="preserve">  é</w:t>
      </w:r>
      <w:r>
        <w:t xml:space="preserve"> a taxa </w:t>
      </w:r>
      <w:r w:rsidR="00930732">
        <w:rPr>
          <w:i/>
        </w:rPr>
        <w:t>li</w:t>
      </w:r>
      <w:r w:rsidR="00DF34C6">
        <w:rPr>
          <w:i/>
        </w:rPr>
        <w:t>bor</w:t>
      </w:r>
      <w:r>
        <w:t xml:space="preserve"> acrescida do </w:t>
      </w:r>
      <w:r w:rsidR="00C33BE3">
        <w:t>EMBI+</w:t>
      </w:r>
      <w:r w:rsidR="00AF14ED">
        <w:rPr>
          <w:rStyle w:val="FootnoteReference"/>
          <w:rFonts w:eastAsia="Times New Roman" w:cs="Times New Roman"/>
          <w:i/>
          <w:iCs/>
          <w:szCs w:val="24"/>
          <w:lang w:eastAsia="pt-BR"/>
        </w:rPr>
        <w:footnoteReference w:id="5"/>
      </w:r>
      <w:r>
        <w:t xml:space="preserve"> brasileiro </w:t>
      </w:r>
      <w:r w:rsidR="005A7BBD">
        <w:t>(</w:t>
      </w:r>
      <w:r>
        <w:t xml:space="preserve">o </w:t>
      </w:r>
      <w:r w:rsidR="00FB3DF7" w:rsidRPr="00FB3DF7">
        <w:rPr>
          <w:i/>
        </w:rPr>
        <w:t>spread</w:t>
      </w:r>
      <w:r>
        <w:t xml:space="preserve"> entre os títulos da dívida externa </w:t>
      </w:r>
      <w:r w:rsidR="00E95F10">
        <w:t xml:space="preserve">soberana </w:t>
      </w:r>
      <w:r>
        <w:t>brasileira e a taxa livre de risco americana</w:t>
      </w:r>
      <w:r w:rsidR="005A7BBD">
        <w:t>)</w:t>
      </w:r>
      <w:r>
        <w:t xml:space="preserve">. </w:t>
      </w:r>
      <w:r w:rsidR="00E95F10">
        <w:t>Ou seja, e</w:t>
      </w:r>
      <w:r>
        <w:t>sta</w:t>
      </w:r>
      <w:r w:rsidR="00735B57">
        <w:t xml:space="preserve"> </w:t>
      </w:r>
      <w:r w:rsidR="005A7BBD">
        <w:t>taxa (</w:t>
      </w:r>
      <w:r w:rsidR="00930732" w:rsidRPr="00930732">
        <w:rPr>
          <w:i/>
        </w:rPr>
        <w:t>li</w:t>
      </w:r>
      <w:r w:rsidR="00DF34C6" w:rsidRPr="00930732">
        <w:rPr>
          <w:i/>
        </w:rPr>
        <w:t>bor</w:t>
      </w:r>
      <w:r w:rsidR="005A7BBD" w:rsidRPr="00930732">
        <w:rPr>
          <w:i/>
        </w:rPr>
        <w:t xml:space="preserve"> + </w:t>
      </w:r>
      <w:r w:rsidR="00930732" w:rsidRPr="00930732">
        <w:rPr>
          <w:i/>
        </w:rPr>
        <w:t>embi+</w:t>
      </w:r>
      <w:r w:rsidR="005A7BBD">
        <w:t>)</w:t>
      </w:r>
      <w:r w:rsidR="00735B57">
        <w:t xml:space="preserve"> </w:t>
      </w:r>
      <w:r w:rsidR="00E95F10">
        <w:t>reflet</w:t>
      </w:r>
      <w:r w:rsidR="005A7BBD">
        <w:t>e</w:t>
      </w:r>
      <w:r w:rsidR="000C52D7">
        <w:t xml:space="preserve"> em média</w:t>
      </w:r>
      <w:r w:rsidR="00E95F10">
        <w:t xml:space="preserve"> o custo </w:t>
      </w:r>
      <w:r>
        <w:t>qu</w:t>
      </w:r>
      <w:r w:rsidR="00E95F10">
        <w:t>e</w:t>
      </w:r>
      <w:r w:rsidR="00735B57">
        <w:t xml:space="preserve"> </w:t>
      </w:r>
      <w:r w:rsidR="00E95F10">
        <w:t xml:space="preserve">as </w:t>
      </w:r>
      <w:r>
        <w:t xml:space="preserve">instituições brasileiras </w:t>
      </w:r>
      <w:r w:rsidR="000C52D7">
        <w:t xml:space="preserve">incorrem ao </w:t>
      </w:r>
      <w:r>
        <w:t>se financiar no exterior.</w:t>
      </w:r>
      <w:r w:rsidR="00735B57">
        <w:t xml:space="preserve"> </w:t>
      </w:r>
      <w:r>
        <w:t>Destaca</w:t>
      </w:r>
      <w:r w:rsidR="000C52D7">
        <w:t>remos</w:t>
      </w:r>
      <w:r w:rsidR="00735B57">
        <w:t xml:space="preserve"> </w:t>
      </w:r>
      <w:r>
        <w:t>ainda o papel da taxa do cupom cambial</w:t>
      </w:r>
      <w:r w:rsidR="000C52D7">
        <w:t>,</w:t>
      </w:r>
      <w:r>
        <w:t xml:space="preserve"> que constitui um fechamento tautológico para a paridade coberta. Portanto, verificar a relação entre as taxas de cupom cambial e a taxa externa mais o </w:t>
      </w:r>
      <w:r w:rsidR="00C33BE3">
        <w:t>EMBI+</w:t>
      </w:r>
      <w:r>
        <w:t xml:space="preserve"> é uma maneira indireta de avaliar a paridade coberta no Brasil</w:t>
      </w:r>
      <w:r w:rsidR="000C52D7">
        <w:t>, que será realizado neste trabalho</w:t>
      </w:r>
      <w:r>
        <w:t>.</w:t>
      </w:r>
    </w:p>
    <w:p w:rsidR="00C05CC1" w:rsidRDefault="00260D09" w:rsidP="00446C6B">
      <w:r>
        <w:tab/>
      </w:r>
      <w:r w:rsidR="00C05CC1">
        <w:t>O restante do texto está</w:t>
      </w:r>
      <w:r>
        <w:t xml:space="preserve"> dividido em </w:t>
      </w:r>
      <w:r w:rsidR="001B6343">
        <w:t xml:space="preserve">mais quatro seções. Após uma breve exposição teórica na seção </w:t>
      </w:r>
      <w:r w:rsidR="000C52D7">
        <w:t>2</w:t>
      </w:r>
      <w:r w:rsidR="001B6343">
        <w:t xml:space="preserve">, </w:t>
      </w:r>
      <w:r w:rsidR="00C05CC1">
        <w:t xml:space="preserve">as literaturas empíricas internacional e nacional são revisadas e comparadas na seção </w:t>
      </w:r>
      <w:r w:rsidR="000C52D7">
        <w:t>3</w:t>
      </w:r>
      <w:r w:rsidR="00C05CC1">
        <w:t xml:space="preserve">. Em seguida descrevemos os dados utilizados e as variáveis construídas – seção </w:t>
      </w:r>
      <w:r w:rsidR="000C52D7">
        <w:t>4</w:t>
      </w:r>
      <w:r w:rsidR="00C05CC1">
        <w:t xml:space="preserve"> – para as especificações econométricas da CIP </w:t>
      </w:r>
      <w:r w:rsidR="000C52D7">
        <w:t xml:space="preserve">na seção 5. Considerações finais serão feitas na </w:t>
      </w:r>
      <w:r w:rsidR="00C05CC1">
        <w:t>última seção do texto.</w:t>
      </w:r>
    </w:p>
    <w:p w:rsidR="00432B93" w:rsidRDefault="000C52D7" w:rsidP="00845F87">
      <w:pPr>
        <w:pStyle w:val="Heading2"/>
      </w:pPr>
      <w:r>
        <w:t xml:space="preserve">Aspectos teóricos do </w:t>
      </w:r>
      <w:r w:rsidR="00432B93">
        <w:t>Teor</w:t>
      </w:r>
      <w:r>
        <w:t>ema da paridade coberta da taxa de juros</w:t>
      </w:r>
    </w:p>
    <w:p w:rsidR="00286A22" w:rsidRPr="00286A22" w:rsidRDefault="00145A52" w:rsidP="00286A22">
      <w:pPr>
        <w:ind w:firstLine="360"/>
      </w:pPr>
      <w:r>
        <w:t xml:space="preserve">O teorema da paridade coberta de juros estabelece que a </w:t>
      </w:r>
      <w:r w:rsidR="005A7BBD">
        <w:t>diferença</w:t>
      </w:r>
      <w:r>
        <w:t xml:space="preserve"> entre o preço a vista de uma divisa estrangeira e o preço a termo (preço para a entrega da divisa em um momento no futuro) desta mesma divisa em termos da divisa doméstica deve refletir o diferencial entre as tax</w:t>
      </w:r>
      <w:r w:rsidR="00930732">
        <w:t>as de juros dessas duas moedas.</w:t>
      </w:r>
    </w:p>
    <w:p w:rsidR="00145A52" w:rsidRPr="00B75D81" w:rsidRDefault="002500C6" w:rsidP="00145A52">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t,t+k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t,t+k</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t,t+k</m:t>
              </m:r>
            </m:sub>
            <m:sup>
              <m:r>
                <w:rPr>
                  <w:rFonts w:ascii="Cambria Math" w:hAnsi="Cambria Math"/>
                </w:rPr>
                <m:t>*</m:t>
              </m:r>
            </m:sup>
          </m:sSubSup>
          <m:d>
            <m:dPr>
              <m:ctrlPr>
                <w:rPr>
                  <w:rFonts w:ascii="Cambria Math" w:hAnsi="Cambria Math"/>
                  <w:i/>
                </w:rPr>
              </m:ctrlPr>
            </m:dPr>
            <m:e>
              <m:r>
                <w:rPr>
                  <w:rFonts w:ascii="Cambria Math" w:hAnsi="Cambria Math"/>
                </w:rPr>
                <m:t>1</m:t>
              </m:r>
            </m:e>
          </m:d>
        </m:oMath>
      </m:oMathPara>
    </w:p>
    <w:p w:rsidR="00145A52" w:rsidRDefault="00E90A71" w:rsidP="00145A52">
      <w:pPr>
        <w:rPr>
          <w:rFonts w:eastAsiaTheme="minorEastAsia"/>
        </w:rPr>
      </w:pPr>
      <w:r>
        <w:rPr>
          <w:rFonts w:eastAsiaTheme="minorEastAsia"/>
        </w:rPr>
        <w:t xml:space="preserve">Em </w:t>
      </w:r>
      <m:oMath>
        <m:r>
          <w:rPr>
            <w:rFonts w:ascii="Cambria Math" w:eastAsiaTheme="minorEastAsia" w:hAnsi="Cambria Math"/>
          </w:rPr>
          <m:t>(1)</m:t>
        </m:r>
      </m:oMath>
      <w:r w:rsidR="00145A52">
        <w:rPr>
          <w:rFonts w:eastAsiaTheme="minorEastAsia"/>
        </w:rPr>
        <w:t xml:space="preserve"> temos uma representação linearizada da CIP, na qual </w:t>
      </w:r>
      <w:r w:rsidR="00267252">
        <w:rPr>
          <w:rFonts w:eastAsiaTheme="minorEastAsia"/>
        </w:rPr>
        <w:t xml:space="preserve">o </w:t>
      </w:r>
      <w:r w:rsidR="00145A52" w:rsidRPr="00B75D81">
        <w:rPr>
          <w:rFonts w:eastAsiaTheme="minorEastAsia"/>
          <w:i/>
        </w:rPr>
        <w:t>forward</w:t>
      </w:r>
      <w:r w:rsidR="00735B57">
        <w:rPr>
          <w:rFonts w:eastAsiaTheme="minorEastAsia"/>
          <w:i/>
        </w:rPr>
        <w:t xml:space="preserve"> </w:t>
      </w:r>
      <w:r w:rsidR="00267252">
        <w:rPr>
          <w:rFonts w:eastAsiaTheme="minorEastAsia"/>
          <w:i/>
        </w:rPr>
        <w:t>premium</w:t>
      </w:r>
      <w:r w:rsidR="00735B57">
        <w:rPr>
          <w:rFonts w:eastAsiaTheme="minorEastAsia"/>
          <w:i/>
        </w:rPr>
        <w:t xml:space="preserve">  </w:t>
      </w:r>
      <w:r w:rsidR="00145A52" w:rsidRPr="00B75D81">
        <w:rPr>
          <w:rFonts w:eastAsiaTheme="minorEastAsia"/>
        </w:rPr>
        <w:t>é</w:t>
      </w:r>
      <w:r w:rsidR="00735B57">
        <w:rPr>
          <w:rFonts w:eastAsiaTheme="minorEastAsia"/>
        </w:rPr>
        <w:t xml:space="preserve"> </w:t>
      </w:r>
      <w:r w:rsidR="00145A52" w:rsidRPr="00B75D81">
        <w:rPr>
          <w:rFonts w:eastAsiaTheme="minorEastAsia"/>
        </w:rPr>
        <w:t>dado</w:t>
      </w:r>
      <w:r w:rsidR="00735B57">
        <w:rPr>
          <w:rFonts w:eastAsiaTheme="minorEastAsia"/>
        </w:rPr>
        <w:t xml:space="preserve"> </w:t>
      </w:r>
      <w:r w:rsidR="00145A52" w:rsidRPr="00B75D81">
        <w:rPr>
          <w:rFonts w:eastAsiaTheme="minorEastAsia"/>
        </w:rPr>
        <w:t>pela</w:t>
      </w:r>
      <w:r w:rsidR="00735B57">
        <w:rPr>
          <w:rFonts w:eastAsiaTheme="minorEastAsia"/>
        </w:rPr>
        <w:t xml:space="preserve"> </w:t>
      </w:r>
      <w:r w:rsidR="00145A52">
        <w:rPr>
          <w:rFonts w:eastAsiaTheme="minorEastAsia"/>
        </w:rPr>
        <w:t>diferença entre a taxa de câmbio futuro</w:t>
      </w:r>
      <w:r w:rsidR="00145A52">
        <w:rPr>
          <w:rStyle w:val="FootnoteReference"/>
          <w:rFonts w:eastAsia="Times New Roman" w:cs="Times New Roman"/>
          <w:szCs w:val="24"/>
          <w:lang w:eastAsia="pt-BR"/>
        </w:rPr>
        <w:footnoteReference w:id="6"/>
      </w:r>
      <m:oMath>
        <m:sSub>
          <m:sSubPr>
            <m:ctrlPr>
              <w:rPr>
                <w:rFonts w:ascii="Cambria Math" w:hAnsi="Cambria Math"/>
                <w:i/>
              </w:rPr>
            </m:ctrlPr>
          </m:sSubPr>
          <m:e>
            <m:r>
              <w:rPr>
                <w:rFonts w:ascii="Cambria Math" w:hAnsi="Cambria Math"/>
              </w:rPr>
              <m:t>(f</m:t>
            </m:r>
          </m:e>
          <m:sub>
            <m:r>
              <w:rPr>
                <w:rFonts w:ascii="Cambria Math" w:hAnsi="Cambria Math"/>
              </w:rPr>
              <m:t>t,t+k</m:t>
            </m:r>
          </m:sub>
        </m:sSub>
        <m:r>
          <w:rPr>
            <w:rFonts w:ascii="Cambria Math" w:hAnsi="Cambria Math"/>
          </w:rPr>
          <m:t>)</m:t>
        </m:r>
      </m:oMath>
      <w:r w:rsidR="00145A52">
        <w:rPr>
          <w:rFonts w:eastAsiaTheme="minorEastAsia"/>
        </w:rPr>
        <w:t xml:space="preserve"> e o câmbio </w:t>
      </w:r>
      <w:r w:rsidR="00145A52" w:rsidRPr="00B75D81">
        <w:rPr>
          <w:rFonts w:eastAsiaTheme="minorEastAsia"/>
          <w:i/>
        </w:rPr>
        <w:t>spot</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r w:rsidR="00145A52">
        <w:rPr>
          <w:rFonts w:eastAsiaTheme="minorEastAsia"/>
        </w:rPr>
        <w:t xml:space="preserve"> e o diferencial de juros</w:t>
      </w:r>
      <w:r w:rsidR="00267252">
        <w:rPr>
          <w:rFonts w:eastAsiaTheme="minorEastAsia"/>
        </w:rPr>
        <w:t xml:space="preserve"> pela diferença entre </w:t>
      </w:r>
      <w:r w:rsidR="00145A52">
        <w:rPr>
          <w:rFonts w:eastAsiaTheme="minorEastAsia"/>
        </w:rPr>
        <w:t>representam a taxa doméstica</w:t>
      </w:r>
      <w:r w:rsidR="00267252">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t,t+k</m:t>
            </m:r>
          </m:sub>
        </m:sSub>
      </m:oMath>
      <w:r w:rsidR="00267252">
        <w:rPr>
          <w:rFonts w:eastAsiaTheme="minorEastAsia"/>
        </w:rPr>
        <w:t>)</w:t>
      </w:r>
      <w:r w:rsidR="00145A52">
        <w:rPr>
          <w:rFonts w:eastAsiaTheme="minorEastAsia"/>
        </w:rPr>
        <w:t xml:space="preserve"> e externa</w:t>
      </w:r>
      <w:r w:rsidR="00267252">
        <w:rPr>
          <w:rFonts w:eastAsiaTheme="minorEastAsia"/>
        </w:rP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t,t+k</m:t>
            </m:r>
          </m:sub>
          <m:sup>
            <m:r>
              <w:rPr>
                <w:rFonts w:ascii="Cambria Math" w:hAnsi="Cambria Math"/>
              </w:rPr>
              <m:t>*</m:t>
            </m:r>
          </m:sup>
        </m:sSubSup>
      </m:oMath>
      <w:r w:rsidR="00267252">
        <w:rPr>
          <w:rFonts w:eastAsiaTheme="minorEastAsia"/>
        </w:rPr>
        <w:t>)</w:t>
      </w:r>
      <w:r w:rsidR="00145A52">
        <w:rPr>
          <w:rFonts w:eastAsiaTheme="minorEastAsia"/>
        </w:rPr>
        <w:t xml:space="preserve">, </w:t>
      </w:r>
      <w:r w:rsidR="00145A52">
        <w:rPr>
          <w:rFonts w:eastAsiaTheme="minorEastAsia"/>
        </w:rPr>
        <w:lastRenderedPageBreak/>
        <w:t xml:space="preserve">respectivamente. Os subscritos </w:t>
      </w:r>
      <m:oMath>
        <m:r>
          <w:rPr>
            <w:rFonts w:ascii="Cambria Math" w:hAnsi="Cambria Math"/>
          </w:rPr>
          <m:t>t,t+k</m:t>
        </m:r>
      </m:oMath>
      <w:r w:rsidR="00145A52">
        <w:rPr>
          <w:rFonts w:eastAsiaTheme="minorEastAsia"/>
        </w:rPr>
        <w:t xml:space="preserve"> indicam que a comparação válida para a CIP deve ser feita entre taxas de câmbio futuro de juros com maturidades semelhantes.</w:t>
      </w:r>
    </w:p>
    <w:p w:rsidR="00C05CC1" w:rsidRDefault="005A7BBD" w:rsidP="00C05CC1">
      <w:pPr>
        <w:rPr>
          <w:rFonts w:eastAsiaTheme="minorEastAsia"/>
        </w:rPr>
      </w:pPr>
      <w:r>
        <w:t xml:space="preserve">Existem duas interpretações teóricas para a obtenção desta igualdade. </w:t>
      </w:r>
      <w:r w:rsidR="00C05CC1">
        <w:t>A formulação tradicional</w:t>
      </w:r>
      <w:r>
        <w:t>,</w:t>
      </w:r>
      <w:r w:rsidR="00C05CC1">
        <w:t xml:space="preserve"> que remonta a Keynes (1923) </w:t>
      </w:r>
      <w:r w:rsidR="00842AC0">
        <w:t>e permanece até hoje como a interpretação mais difundida postula a CIP como</w:t>
      </w:r>
      <w:r w:rsidR="00C05CC1">
        <w:t xml:space="preserve"> uma condição de não arbitragem. </w:t>
      </w:r>
      <w:r w:rsidR="00842AC0">
        <w:t xml:space="preserve">Desta forma, qualquer desigualdade na equação </w:t>
      </w:r>
      <m:oMath>
        <m:r>
          <w:rPr>
            <w:rFonts w:ascii="Cambria Math" w:hAnsi="Cambria Math"/>
          </w:rPr>
          <m:t>(1)</m:t>
        </m:r>
      </m:oMath>
      <w:r w:rsidR="0011087C">
        <w:rPr>
          <w:rFonts w:eastAsiaTheme="minorEastAsia"/>
        </w:rPr>
        <w:t xml:space="preserve"> </w:t>
      </w:r>
      <w:r w:rsidR="00842AC0">
        <w:t>criar</w:t>
      </w:r>
      <w:r>
        <w:t>ia</w:t>
      </w:r>
      <w:r w:rsidR="00842AC0">
        <w:t xml:space="preserve"> oportunidades de arbitragem, </w:t>
      </w:r>
      <w:r>
        <w:t xml:space="preserve">e consequentemente </w:t>
      </w:r>
      <w:r w:rsidR="00842AC0">
        <w:t xml:space="preserve">levaria </w:t>
      </w:r>
      <w:r w:rsidR="008237C7">
        <w:t>a um fluxo de capitais</w:t>
      </w:r>
      <w:r>
        <w:t>,</w:t>
      </w:r>
      <w:r w:rsidR="008237C7">
        <w:t xml:space="preserve"> que pelo aumento/redução da taxa de câmbio futura, d</w:t>
      </w:r>
      <w:r>
        <w:t>a taxa de câmbio a vista</w:t>
      </w:r>
      <w:r w:rsidR="0011087C">
        <w:t xml:space="preserve"> </w:t>
      </w:r>
      <w:r>
        <w:rPr>
          <w:rFonts w:eastAsiaTheme="minorEastAsia"/>
        </w:rPr>
        <w:t>e/</w:t>
      </w:r>
      <w:r w:rsidR="008237C7">
        <w:rPr>
          <w:rFonts w:eastAsiaTheme="minorEastAsia"/>
        </w:rPr>
        <w:t>ou ainda do diferencial de juros levaria a relação de volta ao equilíbrio</w:t>
      </w:r>
      <w:r w:rsidR="008237C7">
        <w:rPr>
          <w:rStyle w:val="FootnoteReference"/>
          <w:rFonts w:eastAsiaTheme="minorEastAsia"/>
        </w:rPr>
        <w:footnoteReference w:id="7"/>
      </w:r>
      <w:r w:rsidR="008237C7">
        <w:rPr>
          <w:rFonts w:eastAsiaTheme="minorEastAsia"/>
        </w:rPr>
        <w:t>.</w:t>
      </w:r>
    </w:p>
    <w:p w:rsidR="000D4244" w:rsidRPr="000D4244" w:rsidRDefault="005A7BBD" w:rsidP="002E2D54">
      <w:pPr>
        <w:rPr>
          <w:rFonts w:eastAsiaTheme="minorEastAsia"/>
        </w:rPr>
      </w:pPr>
      <w:r>
        <w:rPr>
          <w:rFonts w:eastAsiaTheme="minorEastAsia"/>
        </w:rPr>
        <w:t>A</w:t>
      </w:r>
      <w:r w:rsidR="000D4244">
        <w:rPr>
          <w:rFonts w:eastAsiaTheme="minorEastAsia"/>
        </w:rPr>
        <w:t xml:space="preserve"> interpretação alternativa</w:t>
      </w:r>
      <w:r>
        <w:rPr>
          <w:rFonts w:eastAsiaTheme="minorEastAsia"/>
        </w:rPr>
        <w:t>, denominada</w:t>
      </w:r>
      <w:r w:rsidR="000D4244">
        <w:rPr>
          <w:rFonts w:eastAsiaTheme="minorEastAsia"/>
        </w:rPr>
        <w:t xml:space="preserve"> visão cambista</w:t>
      </w:r>
      <w:r w:rsidR="000D4244" w:rsidRPr="00432B93">
        <w:rPr>
          <w:rFonts w:eastAsia="Times New Roman" w:cs="Times New Roman"/>
          <w:szCs w:val="24"/>
          <w:lang w:eastAsia="pt-BR"/>
        </w:rPr>
        <w:t>, postulada por Cou</w:t>
      </w:r>
      <w:r w:rsidR="0011087C">
        <w:rPr>
          <w:rFonts w:eastAsia="Times New Roman" w:cs="Times New Roman"/>
          <w:szCs w:val="24"/>
          <w:lang w:eastAsia="pt-BR"/>
        </w:rPr>
        <w:t>l</w:t>
      </w:r>
      <w:r w:rsidR="000D4244" w:rsidRPr="00432B93">
        <w:rPr>
          <w:rFonts w:eastAsia="Times New Roman" w:cs="Times New Roman"/>
          <w:szCs w:val="24"/>
          <w:lang w:eastAsia="pt-BR"/>
        </w:rPr>
        <w:t>bois e Prissert (1974, 1976)</w:t>
      </w:r>
      <w:r>
        <w:rPr>
          <w:rFonts w:eastAsia="Times New Roman" w:cs="Times New Roman"/>
          <w:szCs w:val="24"/>
          <w:lang w:eastAsia="pt-BR"/>
        </w:rPr>
        <w:t xml:space="preserve"> e resgatada por </w:t>
      </w:r>
      <w:r w:rsidR="000D4244" w:rsidRPr="00432B93">
        <w:rPr>
          <w:rFonts w:eastAsia="Times New Roman" w:cs="Times New Roman"/>
          <w:szCs w:val="24"/>
          <w:lang w:eastAsia="pt-BR"/>
        </w:rPr>
        <w:t xml:space="preserve">alguns pós-keynesianos (Lavoie, 2000, 2003e Smithin, 2003) </w:t>
      </w:r>
      <w:r w:rsidR="000D4244">
        <w:rPr>
          <w:rFonts w:eastAsia="Times New Roman" w:cs="Times New Roman"/>
          <w:szCs w:val="24"/>
          <w:lang w:eastAsia="pt-BR"/>
        </w:rPr>
        <w:t>afirma</w:t>
      </w:r>
      <w:r w:rsidR="000D4244" w:rsidRPr="00432B93">
        <w:rPr>
          <w:rFonts w:eastAsia="Times New Roman" w:cs="Times New Roman"/>
          <w:szCs w:val="24"/>
          <w:lang w:eastAsia="pt-BR"/>
        </w:rPr>
        <w:t xml:space="preserve"> que a taxa de câmbio a termo é determinada diretamente pelo custo incorrido por instituições financeiras para entrega futura de divisas a seus clientes. Dessa forma, a taxa </w:t>
      </w:r>
      <w:r w:rsidR="000D4244" w:rsidRPr="00432B93">
        <w:rPr>
          <w:rFonts w:eastAsia="Times New Roman" w:cs="Times New Roman"/>
          <w:i/>
          <w:iCs/>
          <w:szCs w:val="24"/>
          <w:lang w:eastAsia="pt-BR"/>
        </w:rPr>
        <w:t>forward</w:t>
      </w:r>
      <w:r w:rsidR="000D4244" w:rsidRPr="00432B93">
        <w:rPr>
          <w:rFonts w:eastAsia="Times New Roman" w:cs="Times New Roman"/>
          <w:szCs w:val="24"/>
          <w:lang w:eastAsia="pt-BR"/>
        </w:rPr>
        <w:t xml:space="preserve"> é determinada por um </w:t>
      </w:r>
      <w:r w:rsidR="000D4244" w:rsidRPr="00432B93">
        <w:rPr>
          <w:rFonts w:eastAsia="Times New Roman" w:cs="Times New Roman"/>
          <w:i/>
          <w:iCs/>
          <w:szCs w:val="24"/>
          <w:lang w:eastAsia="pt-BR"/>
        </w:rPr>
        <w:t>mark-up</w:t>
      </w:r>
      <w:r w:rsidR="000D4244">
        <w:rPr>
          <w:rStyle w:val="FootnoteReference"/>
          <w:rFonts w:eastAsia="Times New Roman" w:cs="Times New Roman"/>
          <w:i/>
          <w:iCs/>
          <w:szCs w:val="24"/>
          <w:lang w:eastAsia="pt-BR"/>
        </w:rPr>
        <w:footnoteReference w:id="8"/>
      </w:r>
      <w:r w:rsidR="000D4244">
        <w:t xml:space="preserve">, igual ao diferencial de juros, sobre a taxa spot. Neste caso a CIP é uma identidade e não uma relação de equilíbrio garantida pela arbitragem. </w:t>
      </w:r>
    </w:p>
    <w:p w:rsidR="00432B93" w:rsidRDefault="00432B93" w:rsidP="00DA1463">
      <w:pPr>
        <w:rPr>
          <w:rFonts w:eastAsia="Times New Roman" w:cs="Times New Roman"/>
          <w:szCs w:val="24"/>
          <w:lang w:eastAsia="pt-BR"/>
        </w:rPr>
      </w:pPr>
      <w:r>
        <w:rPr>
          <w:rFonts w:eastAsia="Times New Roman" w:cs="Times New Roman"/>
          <w:szCs w:val="24"/>
          <w:lang w:eastAsia="pt-BR"/>
        </w:rPr>
        <w:tab/>
      </w:r>
      <w:r w:rsidRPr="00432B93">
        <w:rPr>
          <w:rFonts w:eastAsia="Times New Roman" w:cs="Times New Roman"/>
          <w:szCs w:val="24"/>
          <w:lang w:eastAsia="pt-BR"/>
        </w:rPr>
        <w:t>O mecanismo por trás da visão cambista é bastante simples. Toda vez que um cliente dá uma ordem de compra (venda) de dólar a termo o banco se protege realizando simultaneamente uma operação de cambio à vista na direção contrária. O custo de realizar tal operação é igual à diferença de tomar emprestado em uma moeda e aplicar à taxa de juros da outra. Em outras palavras, se um cliente compra dólar para entrega futura, o banco toma emprestado na moeda doméstica, compra moeda estrangeira ao preço da taxa de câmbio a vista, e aplica à taxa de juros em moeda estrangeira. No momento de entrega o banco possui aplicado no exterior exatamente a quantidade de dólares demandados p</w:t>
      </w:r>
      <w:r w:rsidR="00B83ECC">
        <w:rPr>
          <w:rFonts w:eastAsia="Times New Roman" w:cs="Times New Roman"/>
          <w:szCs w:val="24"/>
          <w:lang w:eastAsia="pt-BR"/>
        </w:rPr>
        <w:t>elo cliente. O preço (taxa de câ</w:t>
      </w:r>
      <w:r w:rsidRPr="00432B93">
        <w:rPr>
          <w:rFonts w:eastAsia="Times New Roman" w:cs="Times New Roman"/>
          <w:szCs w:val="24"/>
          <w:lang w:eastAsia="pt-BR"/>
        </w:rPr>
        <w:t xml:space="preserve">mbio futura) que o banco precisa cobrar para não ter prejuízo nesta operação é igual à taxa </w:t>
      </w:r>
      <w:r w:rsidRPr="00432B93">
        <w:rPr>
          <w:rFonts w:eastAsia="Times New Roman" w:cs="Times New Roman"/>
          <w:i/>
          <w:iCs/>
          <w:szCs w:val="24"/>
          <w:lang w:eastAsia="pt-BR"/>
        </w:rPr>
        <w:t xml:space="preserve">spot </w:t>
      </w:r>
      <w:r w:rsidRPr="00432B93">
        <w:rPr>
          <w:rFonts w:eastAsia="Times New Roman" w:cs="Times New Roman"/>
          <w:szCs w:val="24"/>
          <w:lang w:eastAsia="pt-BR"/>
        </w:rPr>
        <w:t>inicial mais custo líquido de realizar a operação que é igual ao diferencial de juros.</w:t>
      </w:r>
    </w:p>
    <w:p w:rsidR="00FB3DF7" w:rsidRDefault="007B79A6" w:rsidP="00FB3DF7">
      <w:pPr>
        <w:ind w:firstLine="708"/>
        <w:rPr>
          <w:rFonts w:eastAsia="Times New Roman" w:cs="Times New Roman"/>
          <w:szCs w:val="24"/>
          <w:lang w:eastAsia="pt-BR"/>
        </w:rPr>
      </w:pPr>
      <w:r>
        <w:rPr>
          <w:rFonts w:eastAsia="Times New Roman" w:cs="Times New Roman"/>
          <w:szCs w:val="24"/>
          <w:lang w:eastAsia="pt-BR"/>
        </w:rPr>
        <w:t>É importante notar que u</w:t>
      </w:r>
      <w:r w:rsidR="00BE15CC">
        <w:rPr>
          <w:rFonts w:eastAsia="Times New Roman" w:cs="Times New Roman"/>
          <w:szCs w:val="24"/>
          <w:lang w:eastAsia="pt-BR"/>
        </w:rPr>
        <w:t xml:space="preserve">ma condição é necessária </w:t>
      </w:r>
      <w:r w:rsidR="004A7B9B">
        <w:rPr>
          <w:rFonts w:eastAsia="Times New Roman" w:cs="Times New Roman"/>
          <w:szCs w:val="24"/>
          <w:lang w:eastAsia="pt-BR"/>
        </w:rPr>
        <w:t>p</w:t>
      </w:r>
      <w:r w:rsidR="00BE15CC">
        <w:rPr>
          <w:rFonts w:eastAsia="Times New Roman" w:cs="Times New Roman"/>
          <w:szCs w:val="24"/>
          <w:lang w:eastAsia="pt-BR"/>
        </w:rPr>
        <w:t xml:space="preserve">ara que haja a validade da paridade coberta (seja ela explicada pela visão tradicional ou cambista) é que haja liquidez em divisa estrangeira suficiente para a realização dessas operações cobertas. </w:t>
      </w:r>
    </w:p>
    <w:p w:rsidR="00B83ECC" w:rsidRDefault="00BE15CC" w:rsidP="00930732">
      <w:pPr>
        <w:ind w:firstLine="708"/>
        <w:rPr>
          <w:rFonts w:eastAsia="Times New Roman" w:cs="Times New Roman"/>
          <w:szCs w:val="24"/>
          <w:lang w:eastAsia="pt-BR"/>
        </w:rPr>
      </w:pPr>
      <w:r>
        <w:rPr>
          <w:rFonts w:eastAsia="Times New Roman" w:cs="Times New Roman"/>
          <w:szCs w:val="24"/>
          <w:lang w:eastAsia="pt-BR"/>
        </w:rPr>
        <w:t>Nas duas próximas seções di</w:t>
      </w:r>
      <w:r w:rsidR="00F32AD0">
        <w:rPr>
          <w:rFonts w:eastAsia="Times New Roman" w:cs="Times New Roman"/>
          <w:szCs w:val="24"/>
          <w:lang w:eastAsia="pt-BR"/>
        </w:rPr>
        <w:t>s</w:t>
      </w:r>
      <w:r>
        <w:rPr>
          <w:rFonts w:eastAsia="Times New Roman" w:cs="Times New Roman"/>
          <w:szCs w:val="24"/>
          <w:lang w:eastAsia="pt-BR"/>
        </w:rPr>
        <w:t>cutiremo</w:t>
      </w:r>
      <w:r w:rsidR="00F32AD0">
        <w:rPr>
          <w:rFonts w:eastAsia="Times New Roman" w:cs="Times New Roman"/>
          <w:szCs w:val="24"/>
          <w:lang w:eastAsia="pt-BR"/>
        </w:rPr>
        <w:t>s</w:t>
      </w:r>
      <w:r>
        <w:rPr>
          <w:rFonts w:eastAsia="Times New Roman" w:cs="Times New Roman"/>
          <w:szCs w:val="24"/>
          <w:lang w:eastAsia="pt-BR"/>
        </w:rPr>
        <w:t xml:space="preserve"> os dados da economia brasileira com respeito às variáveis da paridade coberta e estimaremos a validade desta proposição. Como o objetivo deste trabalho é estimar apenas a validade da paridade coberta, não nos preocuparemos em testar qual das duas interpretações (tradicional ou cambista) se aplica ao caso brasileiro, ainda que seja um t</w:t>
      </w:r>
      <w:r w:rsidR="007B79A6">
        <w:rPr>
          <w:rFonts w:eastAsia="Times New Roman" w:cs="Times New Roman"/>
          <w:szCs w:val="24"/>
          <w:lang w:eastAsia="pt-BR"/>
        </w:rPr>
        <w:t>ema de interesse para um próxim</w:t>
      </w:r>
      <w:r>
        <w:rPr>
          <w:rFonts w:eastAsia="Times New Roman" w:cs="Times New Roman"/>
          <w:szCs w:val="24"/>
          <w:lang w:eastAsia="pt-BR"/>
        </w:rPr>
        <w:t xml:space="preserve">o trabalho.  </w:t>
      </w:r>
    </w:p>
    <w:p w:rsidR="00432B93" w:rsidRDefault="00432B93" w:rsidP="00F82B41">
      <w:pPr>
        <w:pStyle w:val="Heading2"/>
        <w:rPr>
          <w:lang w:eastAsia="pt-BR"/>
        </w:rPr>
      </w:pPr>
      <w:r>
        <w:rPr>
          <w:lang w:eastAsia="pt-BR"/>
        </w:rPr>
        <w:t xml:space="preserve">Revisão da Literatura </w:t>
      </w:r>
      <w:r w:rsidR="00427F12">
        <w:rPr>
          <w:lang w:eastAsia="pt-BR"/>
        </w:rPr>
        <w:t>Empírica</w:t>
      </w:r>
    </w:p>
    <w:p w:rsidR="00DD2746" w:rsidRPr="005E7302" w:rsidRDefault="00DD2746" w:rsidP="0011087C">
      <w:pPr>
        <w:ind w:firstLine="360"/>
        <w:rPr>
          <w:lang w:eastAsia="pt-BR"/>
        </w:rPr>
      </w:pPr>
      <w:r>
        <w:rPr>
          <w:lang w:eastAsia="pt-BR"/>
        </w:rPr>
        <w:t xml:space="preserve">O teste empírico mais usual para a validade do teorema da paridade do poder de compra consiste em estimar a equação </w:t>
      </w:r>
      <m:oMath>
        <m:r>
          <w:rPr>
            <w:rFonts w:ascii="Cambria Math" w:hAnsi="Cambria Math"/>
            <w:lang w:eastAsia="pt-BR"/>
          </w:rPr>
          <m:t>(2)</m:t>
        </m:r>
      </m:oMath>
      <w:r>
        <w:rPr>
          <w:lang w:eastAsia="pt-BR"/>
        </w:rPr>
        <w:t xml:space="preserve"> abaixo </w:t>
      </w:r>
      <w:r>
        <w:rPr>
          <w:rFonts w:eastAsiaTheme="minorEastAsia"/>
          <w:lang w:eastAsia="pt-BR"/>
        </w:rPr>
        <w:t xml:space="preserve">e fazer um teste estatístico para os parâmetros </w:t>
      </w:r>
      <m:oMath>
        <m:r>
          <w:rPr>
            <w:rFonts w:ascii="Cambria Math" w:hAnsi="Cambria Math"/>
          </w:rPr>
          <m:t xml:space="preserve">α </m:t>
        </m:r>
      </m:oMath>
      <w:r>
        <w:rPr>
          <w:rFonts w:eastAsiaTheme="minorEastAsia"/>
        </w:rPr>
        <w:t xml:space="preserve">e </w:t>
      </w:r>
      <m:oMath>
        <m:r>
          <w:rPr>
            <w:rFonts w:ascii="Cambria Math" w:hAnsi="Cambria Math"/>
          </w:rPr>
          <m:t>β</m:t>
        </m:r>
      </m:oMath>
      <w:r>
        <w:rPr>
          <w:rFonts w:eastAsiaTheme="minorEastAsia"/>
        </w:rPr>
        <w:t xml:space="preserve">. </w:t>
      </w:r>
      <w:r w:rsidRPr="005E7302">
        <w:rPr>
          <w:rFonts w:eastAsiaTheme="minorEastAsia"/>
        </w:rPr>
        <w:t>(</w:t>
      </w:r>
      <w:r w:rsidR="007B79A6" w:rsidRPr="005E7302">
        <w:rPr>
          <w:lang w:eastAsia="pt-BR"/>
        </w:rPr>
        <w:t>McCallum 199</w:t>
      </w:r>
      <w:r w:rsidR="007633F5" w:rsidRPr="005E7302">
        <w:rPr>
          <w:lang w:eastAsia="pt-BR"/>
        </w:rPr>
        <w:t>6</w:t>
      </w:r>
      <w:r w:rsidR="007B79A6" w:rsidRPr="005E7302">
        <w:rPr>
          <w:lang w:eastAsia="pt-BR"/>
        </w:rPr>
        <w:t>, p. 191</w:t>
      </w:r>
      <w:r w:rsidRPr="005E7302">
        <w:rPr>
          <w:lang w:eastAsia="pt-BR"/>
        </w:rPr>
        <w:t>).</w:t>
      </w:r>
    </w:p>
    <w:p w:rsidR="00FB3DF7" w:rsidRPr="005E7302" w:rsidRDefault="00FB3DF7" w:rsidP="00DD2746">
      <w:pPr>
        <w:ind w:firstLine="360"/>
        <w:rPr>
          <w:lang w:eastAsia="pt-BR"/>
        </w:rPr>
      </w:pPr>
    </w:p>
    <w:p w:rsidR="00F32AD0" w:rsidRPr="00C9790C" w:rsidRDefault="002500C6" w:rsidP="00FB3DF7">
      <w:pPr>
        <w:rPr>
          <w:lang w:val="en-US" w:eastAsia="pt-BR"/>
        </w:rP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t</m:t>
              </m:r>
              <m:r>
                <w:rPr>
                  <w:rFonts w:ascii="Cambria Math" w:hAnsi="Cambria Math"/>
                  <w:lang w:val="en-US"/>
                </w:rPr>
                <m:t>,</m:t>
              </m:r>
              <m:r>
                <w:rPr>
                  <w:rFonts w:ascii="Cambria Math" w:hAnsi="Cambria Math"/>
                </w:rPr>
                <m:t>t</m:t>
              </m:r>
              <m:r>
                <w:rPr>
                  <w:rFonts w:ascii="Cambria Math" w:hAnsi="Cambria Math"/>
                  <w:lang w:val="en-US"/>
                </w:rPr>
                <m:t>+</m:t>
              </m:r>
              <m:r>
                <w:rPr>
                  <w:rFonts w:ascii="Cambria Math" w:hAnsi="Cambria Math"/>
                </w:rPr>
                <m:t>k</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m:t>
          </m:r>
          <m:r>
            <w:rPr>
              <w:rFonts w:ascii="Cambria Math" w:hAnsi="Cambria Math"/>
            </w:rPr>
            <m:t>α</m:t>
          </m:r>
          <m:r>
            <w:rPr>
              <w:rFonts w:ascii="Cambria Math" w:hAnsi="Cambria Math"/>
              <w:lang w:val="en-US"/>
            </w:rPr>
            <m:t>+</m:t>
          </m:r>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r>
                    <w:rPr>
                      <w:rFonts w:ascii="Cambria Math" w:hAnsi="Cambria Math"/>
                      <w:lang w:val="en-US"/>
                    </w:rPr>
                    <m:t>,</m:t>
                  </m:r>
                  <m:r>
                    <w:rPr>
                      <w:rFonts w:ascii="Cambria Math" w:hAnsi="Cambria Math"/>
                    </w:rPr>
                    <m:t>t</m:t>
                  </m:r>
                  <m:r>
                    <w:rPr>
                      <w:rFonts w:ascii="Cambria Math" w:hAnsi="Cambria Math"/>
                      <w:lang w:val="en-US"/>
                    </w:rPr>
                    <m:t>+</m:t>
                  </m:r>
                  <m:r>
                    <w:rPr>
                      <w:rFonts w:ascii="Cambria Math" w:hAnsi="Cambria Math"/>
                    </w:rPr>
                    <m:t>k</m:t>
                  </m:r>
                </m:sub>
              </m:sSub>
              <m:r>
                <w:rPr>
                  <w:rFonts w:ascii="Cambria Math" w:hAnsi="Cambria Math"/>
                  <w:lang w:val="en-US"/>
                </w:rPr>
                <m:t>-</m:t>
              </m:r>
              <m:sSubSup>
                <m:sSubSupPr>
                  <m:ctrlPr>
                    <w:rPr>
                      <w:rFonts w:ascii="Cambria Math" w:hAnsi="Cambria Math"/>
                      <w:i/>
                    </w:rPr>
                  </m:ctrlPr>
                </m:sSubSupPr>
                <m:e>
                  <m:r>
                    <w:rPr>
                      <w:rFonts w:ascii="Cambria Math" w:hAnsi="Cambria Math"/>
                    </w:rPr>
                    <m:t>i</m:t>
                  </m:r>
                </m:e>
                <m:sub>
                  <m:r>
                    <w:rPr>
                      <w:rFonts w:ascii="Cambria Math" w:hAnsi="Cambria Math"/>
                    </w:rPr>
                    <m:t>t</m:t>
                  </m:r>
                  <m:r>
                    <w:rPr>
                      <w:rFonts w:ascii="Cambria Math" w:hAnsi="Cambria Math"/>
                      <w:lang w:val="en-US"/>
                    </w:rPr>
                    <m:t>,</m:t>
                  </m:r>
                  <m:r>
                    <w:rPr>
                      <w:rFonts w:ascii="Cambria Math" w:hAnsi="Cambria Math"/>
                    </w:rPr>
                    <m:t>t</m:t>
                  </m:r>
                  <m:r>
                    <w:rPr>
                      <w:rFonts w:ascii="Cambria Math" w:hAnsi="Cambria Math"/>
                      <w:lang w:val="en-US"/>
                    </w:rPr>
                    <m:t>+</m:t>
                  </m:r>
                  <m:r>
                    <w:rPr>
                      <w:rFonts w:ascii="Cambria Math" w:hAnsi="Cambria Math"/>
                    </w:rPr>
                    <m:t>k</m:t>
                  </m:r>
                </m:sub>
                <m:sup>
                  <m:r>
                    <w:rPr>
                      <w:rFonts w:ascii="Cambria Math" w:hAnsi="Cambria Math"/>
                      <w:lang w:val="en-US"/>
                    </w:rPr>
                    <m:t>*</m:t>
                  </m:r>
                </m:sup>
              </m:sSubSup>
            </m:e>
          </m:d>
          <m:r>
            <w:rPr>
              <w:rFonts w:ascii="Cambria Math" w:hAnsi="Cambria Math"/>
              <w:lang w:val="en-US"/>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(2)</m:t>
          </m:r>
        </m:oMath>
      </m:oMathPara>
    </w:p>
    <w:p w:rsidR="00F32AD0" w:rsidRPr="00980CAD" w:rsidRDefault="00F32AD0" w:rsidP="00FB3DF7">
      <w:pPr>
        <w:rPr>
          <w:lang w:val="en-US" w:eastAsia="pt-BR"/>
        </w:rPr>
      </w:pPr>
    </w:p>
    <w:p w:rsidR="00DD2746" w:rsidRDefault="00DD2746" w:rsidP="00FB3DF7">
      <w:pPr>
        <w:rPr>
          <w:lang w:eastAsia="pt-BR"/>
        </w:rPr>
      </w:pPr>
      <w:r>
        <w:rPr>
          <w:rFonts w:eastAsiaTheme="minorEastAsia"/>
        </w:rPr>
        <w:t xml:space="preserve">Assim, caso não se possa rejeitar a hipótese de que </w:t>
      </w:r>
      <m:oMath>
        <m:r>
          <w:rPr>
            <w:rFonts w:ascii="Cambria Math" w:hAnsi="Cambria Math"/>
          </w:rPr>
          <m:t xml:space="preserve">α=0 </m:t>
        </m:r>
      </m:oMath>
      <w:r>
        <w:rPr>
          <w:rFonts w:eastAsiaTheme="minorEastAsia"/>
        </w:rPr>
        <w:t xml:space="preserve">e </w:t>
      </w:r>
      <m:oMath>
        <m:r>
          <w:rPr>
            <w:rFonts w:ascii="Cambria Math" w:hAnsi="Cambria Math"/>
          </w:rPr>
          <m:t>β=1</m:t>
        </m:r>
      </m:oMath>
      <w:r>
        <w:rPr>
          <w:rFonts w:eastAsiaTheme="minorEastAsia"/>
        </w:rPr>
        <w:t>, teríamos um indicativo da validade empírica do teorema da paridade coberta da taxa de juros.</w:t>
      </w:r>
    </w:p>
    <w:p w:rsidR="00427F12" w:rsidRPr="00427F12" w:rsidRDefault="00427F12" w:rsidP="00427F12">
      <w:pPr>
        <w:pStyle w:val="Heading5"/>
        <w:rPr>
          <w:lang w:eastAsia="pt-BR"/>
        </w:rPr>
      </w:pPr>
      <w:r>
        <w:rPr>
          <w:lang w:eastAsia="pt-BR"/>
        </w:rPr>
        <w:t>Internacional</w:t>
      </w:r>
    </w:p>
    <w:p w:rsidR="00432B93" w:rsidRDefault="00432B93">
      <w:pPr>
        <w:rPr>
          <w:rFonts w:eastAsia="Times New Roman" w:cs="Times New Roman"/>
          <w:szCs w:val="24"/>
          <w:lang w:eastAsia="pt-BR"/>
        </w:rPr>
      </w:pPr>
      <w:r>
        <w:rPr>
          <w:rFonts w:eastAsia="Times New Roman" w:cs="Times New Roman"/>
          <w:szCs w:val="24"/>
          <w:lang w:eastAsia="pt-BR"/>
        </w:rPr>
        <w:tab/>
      </w:r>
      <w:r w:rsidR="004A7B9B" w:rsidRPr="00432B93">
        <w:rPr>
          <w:rFonts w:eastAsia="Times New Roman" w:cs="Times New Roman"/>
          <w:szCs w:val="24"/>
          <w:lang w:eastAsia="pt-BR"/>
        </w:rPr>
        <w:t>No decorrer das últimas décadas foram empregadas uma variedade de técnicas nos testes</w:t>
      </w:r>
      <w:r w:rsidR="004A7B9B">
        <w:rPr>
          <w:rFonts w:eastAsia="Times New Roman" w:cs="Times New Roman"/>
          <w:szCs w:val="24"/>
          <w:lang w:eastAsia="pt-BR"/>
        </w:rPr>
        <w:t xml:space="preserve"> de verificação da validade </w:t>
      </w:r>
      <w:r w:rsidR="004A7B9B" w:rsidRPr="00432B93">
        <w:rPr>
          <w:rFonts w:eastAsia="Times New Roman" w:cs="Times New Roman"/>
          <w:szCs w:val="24"/>
          <w:lang w:eastAsia="pt-BR"/>
        </w:rPr>
        <w:t>da paridade</w:t>
      </w:r>
      <w:r w:rsidR="004A7B9B">
        <w:rPr>
          <w:rFonts w:eastAsia="Times New Roman" w:cs="Times New Roman"/>
          <w:szCs w:val="24"/>
          <w:lang w:eastAsia="pt-BR"/>
        </w:rPr>
        <w:t xml:space="preserve"> coberta</w:t>
      </w:r>
      <w:r w:rsidR="004A7B9B" w:rsidRPr="00432B93">
        <w:rPr>
          <w:rFonts w:eastAsia="Times New Roman" w:cs="Times New Roman"/>
          <w:szCs w:val="24"/>
          <w:lang w:eastAsia="pt-BR"/>
        </w:rPr>
        <w:t xml:space="preserve"> de juros. Também foram empregadas uma gama variada de bases de dados que diferem em múltiplos aspectos: tamanho, frequência, fonte e variáveis utilizadas. O foco desta resenha são os principais resultados encontrados e as diferentes metodologias aplicadas, mas também são expostas as características gerais dos dados utilizados em cada estudo. Esperamos assim estabelecer uma base de comparação para avaliar a literatura empírica nacional e também os testes realizados no âmbito deste trabalho.</w:t>
      </w:r>
      <w:r w:rsidRPr="00432B93">
        <w:rPr>
          <w:rFonts w:eastAsia="Times New Roman" w:cs="Times New Roman"/>
          <w:szCs w:val="24"/>
          <w:lang w:eastAsia="pt-BR"/>
        </w:rPr>
        <w:t>Em linhas gerais pode-se afirmar que a evidência sugere a confirmação da paridade coberta.Contudo, é necessário qualificar a afirmaç</w:t>
      </w:r>
      <w:r w:rsidR="004A7B9B">
        <w:rPr>
          <w:rFonts w:eastAsia="Times New Roman" w:cs="Times New Roman"/>
          <w:szCs w:val="24"/>
          <w:lang w:eastAsia="pt-BR"/>
        </w:rPr>
        <w:t>ão</w:t>
      </w:r>
      <w:r w:rsidRPr="00432B93">
        <w:rPr>
          <w:rFonts w:eastAsia="Times New Roman" w:cs="Times New Roman"/>
          <w:szCs w:val="24"/>
          <w:lang w:eastAsia="pt-BR"/>
        </w:rPr>
        <w:t xml:space="preserve"> acima. Apesar da extensa evid</w:t>
      </w:r>
      <w:r w:rsidR="00922C2C">
        <w:rPr>
          <w:rFonts w:eastAsia="Times New Roman" w:cs="Times New Roman"/>
          <w:szCs w:val="24"/>
          <w:lang w:eastAsia="pt-BR"/>
        </w:rPr>
        <w:t>ê</w:t>
      </w:r>
      <w:r w:rsidRPr="00432B93">
        <w:rPr>
          <w:rFonts w:eastAsia="Times New Roman" w:cs="Times New Roman"/>
          <w:szCs w:val="24"/>
          <w:lang w:eastAsia="pt-BR"/>
        </w:rPr>
        <w:t>ncia em favor da CIP</w:t>
      </w:r>
      <w:r w:rsidR="004A7B9B">
        <w:rPr>
          <w:rFonts w:eastAsia="Times New Roman" w:cs="Times New Roman"/>
          <w:szCs w:val="24"/>
          <w:lang w:eastAsia="pt-BR"/>
        </w:rPr>
        <w:t>,</w:t>
      </w:r>
      <w:r w:rsidRPr="00432B93">
        <w:rPr>
          <w:rFonts w:eastAsia="Times New Roman" w:cs="Times New Roman"/>
          <w:szCs w:val="24"/>
          <w:lang w:eastAsia="pt-BR"/>
        </w:rPr>
        <w:t xml:space="preserve"> há relatos de diversos desvios das taxas de câmbio futuras do valor de equilíbrio estabelecido por esta relação. Portanto, grande parte dos estudos se concentra em compreender quando e por que ocorrem tais desvios.</w:t>
      </w:r>
      <w:r>
        <w:rPr>
          <w:rFonts w:eastAsia="Times New Roman" w:cs="Times New Roman"/>
          <w:szCs w:val="24"/>
          <w:lang w:eastAsia="pt-BR"/>
        </w:rPr>
        <w:tab/>
      </w:r>
    </w:p>
    <w:p w:rsidR="00432B93" w:rsidRDefault="00C9790C">
      <w:pPr>
        <w:rPr>
          <w:rFonts w:eastAsia="Times New Roman" w:cs="Times New Roman"/>
          <w:szCs w:val="24"/>
          <w:lang w:eastAsia="pt-BR"/>
        </w:rPr>
      </w:pPr>
      <w:r>
        <w:rPr>
          <w:rFonts w:eastAsia="Times New Roman" w:cs="Times New Roman"/>
          <w:szCs w:val="24"/>
          <w:lang w:eastAsia="pt-BR"/>
        </w:rPr>
        <w:tab/>
      </w:r>
      <w:r w:rsidR="00432B93" w:rsidRPr="00432B93">
        <w:rPr>
          <w:rFonts w:eastAsia="Times New Roman" w:cs="Times New Roman"/>
          <w:szCs w:val="24"/>
          <w:lang w:eastAsia="pt-BR"/>
        </w:rPr>
        <w:t>Este é o caso de Frenkel e Levich (1975) que além de confirmar a paridade coberta atribuem grande parte dos desvios (pequenos) encontrado</w:t>
      </w:r>
      <w:r w:rsidR="00DD2746">
        <w:rPr>
          <w:rFonts w:eastAsia="Times New Roman" w:cs="Times New Roman"/>
          <w:szCs w:val="24"/>
          <w:lang w:eastAsia="pt-BR"/>
        </w:rPr>
        <w:t>s</w:t>
      </w:r>
      <w:r w:rsidR="00432B93" w:rsidRPr="00432B93">
        <w:rPr>
          <w:rFonts w:eastAsia="Times New Roman" w:cs="Times New Roman"/>
          <w:szCs w:val="24"/>
          <w:lang w:eastAsia="pt-BR"/>
        </w:rPr>
        <w:t xml:space="preserve"> a custos de transação e outras imperfeições de mercado. Este estudo postula a existência de uma “banda neutra” (p) em torno do valor de equilíbrio, cujo tamanho é determinado pelo custo de transação. Este, por sua vez, é calculado pela observação de uma arbitragem triangular entre moedas, como na equação abaixo onde temos do lado esquerdo o preço em dólares americanos de uma libra esterlina e do lado direito o produto entre as taxas de câmbio dólar-euro e euro-libras.</w:t>
      </w:r>
    </w:p>
    <w:p w:rsidR="00C9790C" w:rsidRPr="00C9790C" w:rsidRDefault="00C9790C">
      <w:pPr>
        <w:rPr>
          <w:rFonts w:eastAsia="Times New Roman" w:cs="Times New Roman"/>
          <w:szCs w:val="24"/>
          <w:lang w:eastAsia="pt-BR"/>
        </w:rPr>
      </w:pPr>
      <m:oMathPara>
        <m:oMath>
          <m:r>
            <w:rPr>
              <w:rFonts w:ascii="Cambria Math" w:eastAsia="Times New Roman" w:hAnsi="Cambria Math" w:cs="Times New Roman"/>
              <w:szCs w:val="24"/>
              <w:lang w:eastAsia="pt-BR"/>
            </w:rPr>
            <m:t>Ω=</m:t>
          </m:r>
          <m:f>
            <m:fPr>
              <m:ctrlPr>
                <w:rPr>
                  <w:rFonts w:ascii="Cambria Math" w:eastAsia="Times New Roman" w:hAnsi="Cambria Math" w:cs="Times New Roman"/>
                  <w:i/>
                  <w:szCs w:val="24"/>
                  <w:lang w:eastAsia="pt-BR"/>
                </w:rPr>
              </m:ctrlPr>
            </m:fPr>
            <m:num>
              <m:r>
                <w:rPr>
                  <w:rFonts w:ascii="Cambria Math" w:eastAsia="Times New Roman" w:hAnsi="Cambria Math" w:cs="Times New Roman"/>
                  <w:szCs w:val="24"/>
                  <w:lang w:eastAsia="pt-BR"/>
                </w:rPr>
                <m:t>USD</m:t>
              </m:r>
            </m:num>
            <m:den>
              <m:r>
                <w:rPr>
                  <w:rFonts w:ascii="Cambria Math" w:eastAsia="Times New Roman" w:hAnsi="Cambria Math" w:cs="Times New Roman"/>
                  <w:szCs w:val="24"/>
                  <w:lang w:eastAsia="pt-BR"/>
                </w:rPr>
                <m:t>GBP</m:t>
              </m:r>
            </m:den>
          </m:f>
          <m:r>
            <w:rPr>
              <w:rFonts w:ascii="Cambria Math" w:eastAsia="Times New Roman" w:hAnsi="Cambria Math" w:cs="Times New Roman"/>
              <w:szCs w:val="24"/>
              <w:lang w:eastAsia="pt-BR"/>
            </w:rPr>
            <m:t>=</m:t>
          </m:r>
          <m:f>
            <m:fPr>
              <m:ctrlPr>
                <w:rPr>
                  <w:rFonts w:ascii="Cambria Math" w:eastAsia="Times New Roman" w:hAnsi="Cambria Math" w:cs="Times New Roman"/>
                  <w:i/>
                  <w:szCs w:val="24"/>
                  <w:lang w:eastAsia="pt-BR"/>
                </w:rPr>
              </m:ctrlPr>
            </m:fPr>
            <m:num>
              <m:r>
                <w:rPr>
                  <w:rFonts w:ascii="Cambria Math" w:eastAsia="Times New Roman" w:hAnsi="Cambria Math" w:cs="Times New Roman"/>
                  <w:szCs w:val="24"/>
                  <w:lang w:eastAsia="pt-BR"/>
                </w:rPr>
                <m:t>USD</m:t>
              </m:r>
            </m:num>
            <m:den>
              <m:r>
                <w:rPr>
                  <w:rFonts w:ascii="Cambria Math" w:eastAsia="Times New Roman" w:hAnsi="Cambria Math" w:cs="Times New Roman"/>
                  <w:szCs w:val="24"/>
                  <w:lang w:eastAsia="pt-BR"/>
                </w:rPr>
                <m:t>EUR</m:t>
              </m:r>
            </m:den>
          </m:f>
          <m:f>
            <m:fPr>
              <m:ctrlPr>
                <w:rPr>
                  <w:rFonts w:ascii="Cambria Math" w:eastAsia="Times New Roman" w:hAnsi="Cambria Math" w:cs="Times New Roman"/>
                  <w:i/>
                  <w:szCs w:val="24"/>
                  <w:lang w:eastAsia="pt-BR"/>
                </w:rPr>
              </m:ctrlPr>
            </m:fPr>
            <m:num>
              <m:r>
                <w:rPr>
                  <w:rFonts w:ascii="Cambria Math" w:eastAsia="Times New Roman" w:hAnsi="Cambria Math" w:cs="Times New Roman"/>
                  <w:szCs w:val="24"/>
                  <w:lang w:eastAsia="pt-BR"/>
                </w:rPr>
                <m:t>EUR</m:t>
              </m:r>
            </m:num>
            <m:den>
              <m:r>
                <w:rPr>
                  <w:rFonts w:ascii="Cambria Math" w:eastAsia="Times New Roman" w:hAnsi="Cambria Math" w:cs="Times New Roman"/>
                  <w:szCs w:val="24"/>
                  <w:lang w:eastAsia="pt-BR"/>
                </w:rPr>
                <m:t>GBP</m:t>
              </m:r>
            </m:den>
          </m:f>
          <m:r>
            <w:rPr>
              <w:rFonts w:ascii="Cambria Math" w:eastAsia="Times New Roman" w:hAnsi="Cambria Math" w:cs="Times New Roman"/>
              <w:szCs w:val="24"/>
              <w:lang w:eastAsia="pt-BR"/>
            </w:rPr>
            <m:t xml:space="preserve">  (3)</m:t>
          </m:r>
        </m:oMath>
      </m:oMathPara>
    </w:p>
    <w:p w:rsidR="00C9790C" w:rsidRPr="00C9790C" w:rsidRDefault="00C9790C">
      <w:pPr>
        <w:rPr>
          <w:rFonts w:eastAsia="Times New Roman" w:cs="Times New Roman"/>
          <w:szCs w:val="24"/>
          <w:lang w:eastAsia="pt-BR"/>
        </w:rPr>
      </w:pPr>
    </w:p>
    <w:p w:rsidR="00432B93" w:rsidRPr="00432B93" w:rsidRDefault="002500C6" w:rsidP="00DA1463">
      <w:pPr>
        <w:rPr>
          <w:rFonts w:eastAsia="Times New Roman" w:cs="Times New Roman"/>
          <w:szCs w:val="24"/>
          <w:lang w:eastAsia="pt-BR"/>
        </w:rPr>
      </w:pPr>
      <m:oMathPara>
        <m:oMath>
          <m:f>
            <m:fPr>
              <m:ctrlPr>
                <w:rPr>
                  <w:rFonts w:ascii="Cambria Math" w:eastAsia="Times New Roman" w:hAnsi="Cambria Math" w:cs="Times New Roman"/>
                  <w:i/>
                  <w:szCs w:val="24"/>
                  <w:lang w:eastAsia="pt-BR"/>
                </w:rPr>
              </m:ctrlPr>
            </m:fPr>
            <m:num>
              <m:r>
                <w:rPr>
                  <w:rFonts w:ascii="Cambria Math" w:eastAsia="Times New Roman" w:hAnsi="Cambria Math" w:cs="Times New Roman"/>
                  <w:szCs w:val="24"/>
                  <w:lang w:eastAsia="pt-BR"/>
                </w:rPr>
                <m:t>Ω</m:t>
              </m:r>
              <m:d>
                <m:dPr>
                  <m:ctrlPr>
                    <w:rPr>
                      <w:rFonts w:ascii="Cambria Math" w:eastAsia="Times New Roman" w:hAnsi="Cambria Math" w:cs="Times New Roman"/>
                      <w:i/>
                      <w:szCs w:val="24"/>
                      <w:lang w:eastAsia="pt-BR"/>
                    </w:rPr>
                  </m:ctrlPr>
                </m:dPr>
                <m:e>
                  <m:r>
                    <w:rPr>
                      <w:rFonts w:ascii="Cambria Math" w:eastAsia="Times New Roman" w:hAnsi="Cambria Math" w:cs="Times New Roman"/>
                      <w:szCs w:val="24"/>
                      <w:lang w:eastAsia="pt-BR"/>
                    </w:rPr>
                    <m:t>1+i</m:t>
                  </m:r>
                </m:e>
              </m:d>
              <m:r>
                <w:rPr>
                  <w:rFonts w:ascii="Cambria Math" w:eastAsia="Times New Roman" w:hAnsi="Cambria Math" w:cs="Times New Roman"/>
                  <w:szCs w:val="24"/>
                  <w:lang w:eastAsia="pt-BR"/>
                </w:rPr>
                <m:t>-(1+</m:t>
              </m:r>
              <m:sSup>
                <m:sSupPr>
                  <m:ctrlPr>
                    <w:rPr>
                      <w:rFonts w:ascii="Cambria Math" w:eastAsia="Times New Roman" w:hAnsi="Cambria Math" w:cs="Times New Roman"/>
                      <w:i/>
                      <w:szCs w:val="24"/>
                      <w:lang w:eastAsia="pt-BR"/>
                    </w:rPr>
                  </m:ctrlPr>
                </m:sSupPr>
                <m:e>
                  <m:r>
                    <w:rPr>
                      <w:rFonts w:ascii="Cambria Math" w:eastAsia="Times New Roman" w:hAnsi="Cambria Math" w:cs="Times New Roman"/>
                      <w:szCs w:val="24"/>
                      <w:lang w:eastAsia="pt-BR"/>
                    </w:rPr>
                    <m:t>i</m:t>
                  </m:r>
                </m:e>
                <m:sup>
                  <m:r>
                    <w:rPr>
                      <w:rFonts w:ascii="Cambria Math" w:eastAsia="Times New Roman" w:hAnsi="Cambria Math" w:cs="Times New Roman"/>
                      <w:szCs w:val="24"/>
                      <w:lang w:eastAsia="pt-BR"/>
                    </w:rPr>
                    <m:t>*</m:t>
                  </m:r>
                </m:sup>
              </m:sSup>
              <m:r>
                <w:rPr>
                  <w:rFonts w:ascii="Cambria Math" w:eastAsia="Times New Roman" w:hAnsi="Cambria Math" w:cs="Times New Roman"/>
                  <w:szCs w:val="24"/>
                  <w:lang w:eastAsia="pt-BR"/>
                </w:rPr>
                <m:t>)</m:t>
              </m:r>
            </m:num>
            <m:den>
              <m:r>
                <w:rPr>
                  <w:rFonts w:ascii="Cambria Math" w:eastAsia="Times New Roman" w:hAnsi="Cambria Math" w:cs="Times New Roman"/>
                  <w:szCs w:val="24"/>
                  <w:lang w:eastAsia="pt-BR"/>
                </w:rPr>
                <m:t>(1+</m:t>
              </m:r>
              <m:sSup>
                <m:sSupPr>
                  <m:ctrlPr>
                    <w:rPr>
                      <w:rFonts w:ascii="Cambria Math" w:eastAsia="Times New Roman" w:hAnsi="Cambria Math" w:cs="Times New Roman"/>
                      <w:i/>
                      <w:szCs w:val="24"/>
                      <w:lang w:eastAsia="pt-BR"/>
                    </w:rPr>
                  </m:ctrlPr>
                </m:sSupPr>
                <m:e>
                  <m:r>
                    <w:rPr>
                      <w:rFonts w:ascii="Cambria Math" w:eastAsia="Times New Roman" w:hAnsi="Cambria Math" w:cs="Times New Roman"/>
                      <w:szCs w:val="24"/>
                      <w:lang w:eastAsia="pt-BR"/>
                    </w:rPr>
                    <m:t>i</m:t>
                  </m:r>
                </m:e>
                <m:sup>
                  <m:r>
                    <w:rPr>
                      <w:rFonts w:ascii="Cambria Math" w:eastAsia="Times New Roman" w:hAnsi="Cambria Math" w:cs="Times New Roman"/>
                      <w:szCs w:val="24"/>
                      <w:lang w:eastAsia="pt-BR"/>
                    </w:rPr>
                    <m:t>*</m:t>
                  </m:r>
                </m:sup>
              </m:sSup>
              <m:r>
                <w:rPr>
                  <w:rFonts w:ascii="Cambria Math" w:eastAsia="Times New Roman" w:hAnsi="Cambria Math" w:cs="Times New Roman"/>
                  <w:szCs w:val="24"/>
                  <w:lang w:eastAsia="pt-BR"/>
                </w:rPr>
                <m:t>)</m:t>
              </m:r>
            </m:den>
          </m:f>
          <m:r>
            <w:rPr>
              <w:rFonts w:ascii="Cambria Math" w:eastAsia="Times New Roman" w:hAnsi="Cambria Math" w:cs="Times New Roman"/>
              <w:szCs w:val="24"/>
              <w:lang w:eastAsia="pt-BR"/>
            </w:rPr>
            <m:t>≤p≤</m:t>
          </m:r>
          <m:f>
            <m:fPr>
              <m:ctrlPr>
                <w:rPr>
                  <w:rFonts w:ascii="Cambria Math" w:eastAsia="Times New Roman" w:hAnsi="Cambria Math" w:cs="Times New Roman"/>
                  <w:i/>
                  <w:szCs w:val="24"/>
                  <w:lang w:eastAsia="pt-BR"/>
                </w:rPr>
              </m:ctrlPr>
            </m:fPr>
            <m:num>
              <m:d>
                <m:dPr>
                  <m:ctrlPr>
                    <w:rPr>
                      <w:rFonts w:ascii="Cambria Math" w:eastAsia="Times New Roman" w:hAnsi="Cambria Math" w:cs="Times New Roman"/>
                      <w:i/>
                      <w:szCs w:val="24"/>
                      <w:lang w:eastAsia="pt-BR"/>
                    </w:rPr>
                  </m:ctrlPr>
                </m:dPr>
                <m:e>
                  <m:r>
                    <w:rPr>
                      <w:rFonts w:ascii="Cambria Math" w:eastAsia="Times New Roman" w:hAnsi="Cambria Math" w:cs="Times New Roman"/>
                      <w:szCs w:val="24"/>
                      <w:lang w:eastAsia="pt-BR"/>
                    </w:rPr>
                    <m:t>1+i</m:t>
                  </m:r>
                </m:e>
              </m:d>
              <m:r>
                <w:rPr>
                  <w:rFonts w:ascii="Cambria Math" w:eastAsia="Times New Roman" w:hAnsi="Cambria Math" w:cs="Times New Roman"/>
                  <w:szCs w:val="24"/>
                  <w:lang w:eastAsia="pt-BR"/>
                </w:rPr>
                <m:t>-Ω</m:t>
              </m:r>
              <m:d>
                <m:dPr>
                  <m:ctrlPr>
                    <w:rPr>
                      <w:rFonts w:ascii="Cambria Math" w:eastAsia="Times New Roman" w:hAnsi="Cambria Math" w:cs="Times New Roman"/>
                      <w:i/>
                      <w:szCs w:val="24"/>
                      <w:lang w:eastAsia="pt-BR"/>
                    </w:rPr>
                  </m:ctrlPr>
                </m:dPr>
                <m:e>
                  <m:r>
                    <w:rPr>
                      <w:rFonts w:ascii="Cambria Math" w:eastAsia="Times New Roman" w:hAnsi="Cambria Math" w:cs="Times New Roman"/>
                      <w:szCs w:val="24"/>
                      <w:lang w:eastAsia="pt-BR"/>
                    </w:rPr>
                    <m:t>1+</m:t>
                  </m:r>
                  <m:sSup>
                    <m:sSupPr>
                      <m:ctrlPr>
                        <w:rPr>
                          <w:rFonts w:ascii="Cambria Math" w:eastAsia="Times New Roman" w:hAnsi="Cambria Math" w:cs="Times New Roman"/>
                          <w:i/>
                          <w:szCs w:val="24"/>
                          <w:lang w:eastAsia="pt-BR"/>
                        </w:rPr>
                      </m:ctrlPr>
                    </m:sSupPr>
                    <m:e>
                      <m:r>
                        <w:rPr>
                          <w:rFonts w:ascii="Cambria Math" w:eastAsia="Times New Roman" w:hAnsi="Cambria Math" w:cs="Times New Roman"/>
                          <w:szCs w:val="24"/>
                          <w:lang w:eastAsia="pt-BR"/>
                        </w:rPr>
                        <m:t>i</m:t>
                      </m:r>
                    </m:e>
                    <m:sup>
                      <m:r>
                        <w:rPr>
                          <w:rFonts w:ascii="Cambria Math" w:eastAsia="Times New Roman" w:hAnsi="Cambria Math" w:cs="Times New Roman"/>
                          <w:szCs w:val="24"/>
                          <w:lang w:eastAsia="pt-BR"/>
                        </w:rPr>
                        <m:t>*</m:t>
                      </m:r>
                    </m:sup>
                  </m:sSup>
                </m:e>
              </m:d>
            </m:num>
            <m:den>
              <m:r>
                <w:rPr>
                  <w:rFonts w:ascii="Cambria Math" w:eastAsia="Times New Roman" w:hAnsi="Cambria Math" w:cs="Times New Roman"/>
                  <w:szCs w:val="24"/>
                  <w:lang w:eastAsia="pt-BR"/>
                </w:rPr>
                <m:t>Ω</m:t>
              </m:r>
              <m:d>
                <m:dPr>
                  <m:ctrlPr>
                    <w:rPr>
                      <w:rFonts w:ascii="Cambria Math" w:eastAsia="Times New Roman" w:hAnsi="Cambria Math" w:cs="Times New Roman"/>
                      <w:i/>
                      <w:szCs w:val="24"/>
                      <w:lang w:eastAsia="pt-BR"/>
                    </w:rPr>
                  </m:ctrlPr>
                </m:dPr>
                <m:e>
                  <m:r>
                    <w:rPr>
                      <w:rFonts w:ascii="Cambria Math" w:eastAsia="Times New Roman" w:hAnsi="Cambria Math" w:cs="Times New Roman"/>
                      <w:szCs w:val="24"/>
                      <w:lang w:eastAsia="pt-BR"/>
                    </w:rPr>
                    <m:t>1+</m:t>
                  </m:r>
                  <m:sSup>
                    <m:sSupPr>
                      <m:ctrlPr>
                        <w:rPr>
                          <w:rFonts w:ascii="Cambria Math" w:eastAsia="Times New Roman" w:hAnsi="Cambria Math" w:cs="Times New Roman"/>
                          <w:i/>
                          <w:szCs w:val="24"/>
                          <w:lang w:eastAsia="pt-BR"/>
                        </w:rPr>
                      </m:ctrlPr>
                    </m:sSupPr>
                    <m:e>
                      <m:r>
                        <w:rPr>
                          <w:rFonts w:ascii="Cambria Math" w:eastAsia="Times New Roman" w:hAnsi="Cambria Math" w:cs="Times New Roman"/>
                          <w:szCs w:val="24"/>
                          <w:lang w:eastAsia="pt-BR"/>
                        </w:rPr>
                        <m:t>i</m:t>
                      </m:r>
                    </m:e>
                    <m:sup>
                      <m:r>
                        <w:rPr>
                          <w:rFonts w:ascii="Cambria Math" w:eastAsia="Times New Roman" w:hAnsi="Cambria Math" w:cs="Times New Roman"/>
                          <w:szCs w:val="24"/>
                          <w:lang w:eastAsia="pt-BR"/>
                        </w:rPr>
                        <m:t>*</m:t>
                      </m:r>
                    </m:sup>
                  </m:sSup>
                </m:e>
              </m:d>
            </m:den>
          </m:f>
          <m:r>
            <w:rPr>
              <w:rFonts w:ascii="Cambria Math" w:eastAsia="Times New Roman" w:hAnsi="Cambria Math" w:cs="Times New Roman"/>
              <w:szCs w:val="24"/>
              <w:lang w:eastAsia="pt-BR"/>
            </w:rPr>
            <m:t xml:space="preserve">  (4)</m:t>
          </m:r>
        </m:oMath>
      </m:oMathPara>
    </w:p>
    <w:p w:rsidR="00270D76" w:rsidRDefault="00270D76" w:rsidP="00845F87">
      <w:r>
        <w:tab/>
        <w:t>Na presença de custos transações, de acordo com os autores, há uma desigualdade nos dois lados da equação acima. O limite superior da discrepância observada entre os dois lados da equação é tomado com o custo de transação para construir a “banda neutra” em torno da CIP. Neste artigo, pelo simples cálculo da disparidade entre o valor de equilíbrio e efetivo do câmbio futuro</w:t>
      </w:r>
      <w:r w:rsidR="007A0DA7">
        <w:t>,</w:t>
      </w:r>
      <w:r w:rsidR="007D5FFB">
        <w:t xml:space="preserve"> </w:t>
      </w:r>
      <w:r>
        <w:t>Frenkel e Levich aceitam a validade da CIP e atribuem grande parte dos desvios aos custos de transação encarados pelos agentes nos mercados</w:t>
      </w:r>
      <w:r w:rsidR="00944273">
        <w:t xml:space="preserve"> cambiais.</w:t>
      </w:r>
    </w:p>
    <w:p w:rsidR="00270D76" w:rsidRDefault="00270D76" w:rsidP="008727E6">
      <w:r>
        <w:tab/>
        <w:t xml:space="preserve">Alguns anos depois, McCormick (1979) aplica a mesma metodologia a outro conjunto de dados e encontra valores significativamente menores para os custos de transação, colocando em dúvida a explicação anterior para os desvios da CIP. As principais críticas em relação ao Frenkel e Levich (1975) são o uso de taxas </w:t>
      </w:r>
      <w:r>
        <w:rPr>
          <w:rStyle w:val="Emphasis"/>
        </w:rPr>
        <w:t>spot</w:t>
      </w:r>
      <w:r>
        <w:t xml:space="preserve"> e futura não simultâneas e o uso da cotação de compra e não a média </w:t>
      </w:r>
      <w:r w:rsidR="007A0DA7">
        <w:t>d</w:t>
      </w:r>
      <w:r>
        <w:t>as taxas de câmbio de compra e venda. McCormick nota ainda que existia</w:t>
      </w:r>
      <w:r w:rsidR="007A0DA7">
        <w:t>m</w:t>
      </w:r>
      <w:r>
        <w:t xml:space="preserve"> controles de capitais no Reino Unido durante o período observad</w:t>
      </w:r>
      <w:r w:rsidR="007A0DA7">
        <w:t>o</w:t>
      </w:r>
      <w:r>
        <w:t>, possivelmente afetando a CIP.</w:t>
      </w:r>
    </w:p>
    <w:p w:rsidR="00270D76" w:rsidRDefault="00270D76" w:rsidP="00032D55">
      <w:r>
        <w:tab/>
        <w:t xml:space="preserve">Em resposta à McCormick, Frenkel e Levich (1979) notam que os desvios da CIP são efetivamente menores quando medidos com ativos “externos” como </w:t>
      </w:r>
      <w:r w:rsidR="004D470A">
        <w:t>os obtidos no mercado de e</w:t>
      </w:r>
      <w:r>
        <w:t>urodollar</w:t>
      </w:r>
      <w:r w:rsidR="004D470A">
        <w:t>e</w:t>
      </w:r>
      <w:r>
        <w:t>s</w:t>
      </w:r>
      <w:r w:rsidR="004D470A">
        <w:t>,</w:t>
      </w:r>
      <w:r>
        <w:t xml:space="preserve"> em vez de </w:t>
      </w:r>
      <w:r w:rsidR="007A0DA7">
        <w:t>“</w:t>
      </w:r>
      <w:r>
        <w:t>internos</w:t>
      </w:r>
      <w:r w:rsidR="007A0DA7">
        <w:t>”,</w:t>
      </w:r>
      <w:r>
        <w:t xml:space="preserve"> como </w:t>
      </w:r>
      <w:r w:rsidR="004D470A">
        <w:t>os títulos do tesouro (</w:t>
      </w:r>
      <w:r w:rsidR="00FB3DF7" w:rsidRPr="00FB3DF7">
        <w:rPr>
          <w:i/>
        </w:rPr>
        <w:t>Treasury</w:t>
      </w:r>
      <w:r w:rsidR="007D5FFB">
        <w:rPr>
          <w:i/>
        </w:rPr>
        <w:t xml:space="preserve"> </w:t>
      </w:r>
      <w:r w:rsidR="00FB3DF7" w:rsidRPr="00FB3DF7">
        <w:rPr>
          <w:i/>
        </w:rPr>
        <w:t>Bills</w:t>
      </w:r>
      <w:r w:rsidR="004D470A">
        <w:t>)</w:t>
      </w:r>
      <w:r>
        <w:t>. Também destacam que além dos custos de transação</w:t>
      </w:r>
      <w:r w:rsidR="004D470A">
        <w:t>,</w:t>
      </w:r>
      <w:r>
        <w:t xml:space="preserve"> questões tributárias, controles </w:t>
      </w:r>
      <w:r>
        <w:lastRenderedPageBreak/>
        <w:t xml:space="preserve">de capitais e defasagens entre a identificação e a exploração de oportunidades de arbitragem também afetam os resultados e fazem com que desvios da CIP não constituam verdadeiras oportunidades de lucro sem risco. Desta forma os autores </w:t>
      </w:r>
      <w:r w:rsidR="004D470A">
        <w:t>mantêm</w:t>
      </w:r>
      <w:r>
        <w:t xml:space="preserve"> sua conclusão anterior</w:t>
      </w:r>
      <w:r w:rsidR="007A0DA7">
        <w:t>,</w:t>
      </w:r>
      <w:r>
        <w:t xml:space="preserve"> de validade da paridade coberta, corroborada mais uma vez pela mesma metodologia em Frenkel e Levich (1981).</w:t>
      </w:r>
    </w:p>
    <w:p w:rsidR="00270D76" w:rsidRDefault="00270D76" w:rsidP="004B49C3">
      <w:r>
        <w:tab/>
        <w:t>Em uma crítica à metodologia de todos os estudos anteriores</w:t>
      </w:r>
      <w:r w:rsidR="00107DD7">
        <w:t>,</w:t>
      </w:r>
      <w:r>
        <w:t xml:space="preserve"> Clinton (1988) afirma que os custos de transação são superestimados quando não se consideram o</w:t>
      </w:r>
      <w:r w:rsidR="007A0DA7">
        <w:t>s</w:t>
      </w:r>
      <w:r w:rsidR="007D5FFB">
        <w:t xml:space="preserve"> </w:t>
      </w:r>
      <w:r>
        <w:rPr>
          <w:rStyle w:val="Emphasis"/>
        </w:rPr>
        <w:t>swaps</w:t>
      </w:r>
      <w:r>
        <w:t xml:space="preserve"> cambiais entre as duas moedas em questão. Ao levar em conta este fator</w:t>
      </w:r>
      <w:r w:rsidR="007A0DA7">
        <w:t>,</w:t>
      </w:r>
      <w:r>
        <w:t xml:space="preserve"> Clinton encontra uma banda neutra menor e, portanto, mais oportunidades de arbitragem. Entretanto, estas se mostram pequenas e transitórias.</w:t>
      </w:r>
    </w:p>
    <w:p w:rsidR="00270D76" w:rsidRDefault="00270D76">
      <w:r>
        <w:tab/>
        <w:t>Aplicando uma metodologia semelhante</w:t>
      </w:r>
      <w:r w:rsidR="00107DD7">
        <w:t>,</w:t>
      </w:r>
      <w:r>
        <w:t xml:space="preserve"> Taylor (1987) critica os estudos acima expostos pelo uso de amostragem não contemporânea das taxas de câmbio </w:t>
      </w:r>
      <w:r>
        <w:rPr>
          <w:rStyle w:val="Emphasis"/>
        </w:rPr>
        <w:t>forward</w:t>
      </w:r>
      <w:r>
        <w:t xml:space="preserve"> e </w:t>
      </w:r>
      <w:r>
        <w:rPr>
          <w:rStyle w:val="Emphasis"/>
        </w:rPr>
        <w:t>spot</w:t>
      </w:r>
      <w:r>
        <w:t xml:space="preserve">. Taylor utiliza dados </w:t>
      </w:r>
      <w:r>
        <w:rPr>
          <w:rStyle w:val="Emphasis"/>
        </w:rPr>
        <w:t>intraday</w:t>
      </w:r>
      <w:r>
        <w:t xml:space="preserve"> de três dias e quatro maturidades diferentes entre o dólar americano, a libra esterlina e marco alemão cotados no </w:t>
      </w:r>
      <w:r>
        <w:rPr>
          <w:rStyle w:val="Emphasis"/>
        </w:rPr>
        <w:t>London Foreign Exchange Market</w:t>
      </w:r>
      <w:r>
        <w:t>. Os desvios da CIP são calculados conforme a equação</w:t>
      </w:r>
      <m:oMath>
        <m:r>
          <w:rPr>
            <w:rFonts w:ascii="Cambria Math" w:hAnsi="Cambria Math"/>
          </w:rPr>
          <m:t>(5)</m:t>
        </m:r>
      </m:oMath>
      <w:r>
        <w:t xml:space="preserve"> abaixo na qual, segundo o autor, são utilizadas exatamente as mesmas </w:t>
      </w:r>
      <w:r w:rsidR="00107DD7">
        <w:t xml:space="preserve">equações </w:t>
      </w:r>
      <w:r>
        <w:t>aplicadas pelos agentes do mercado de</w:t>
      </w:r>
      <w:r w:rsidR="00944273">
        <w:t xml:space="preserve"> divisas estrangeiras.</w:t>
      </w:r>
    </w:p>
    <w:p w:rsidR="00E90A71" w:rsidRDefault="002500C6">
      <w:pPr>
        <w:rPr>
          <w:rFonts w:eastAsia="Times New Roman" w:cs="Times New Roman"/>
          <w:szCs w:val="24"/>
          <w:lang w:eastAsia="pt-BR"/>
        </w:rPr>
      </w:pPr>
      <m:oMathPara>
        <m:oMath>
          <m:f>
            <m:fPr>
              <m:ctrlPr>
                <w:rPr>
                  <w:rFonts w:ascii="Cambria Math" w:eastAsia="Times New Roman" w:hAnsi="Cambria Math" w:cs="Times New Roman"/>
                  <w:i/>
                  <w:szCs w:val="24"/>
                  <w:lang w:eastAsia="pt-BR"/>
                </w:rPr>
              </m:ctrlPr>
            </m:fPr>
            <m:num>
              <m:sSubSup>
                <m:sSubSupPr>
                  <m:ctrlPr>
                    <w:rPr>
                      <w:rFonts w:ascii="Cambria Math" w:eastAsia="Times New Roman" w:hAnsi="Cambria Math" w:cs="Times New Roman"/>
                      <w:i/>
                      <w:szCs w:val="24"/>
                      <w:lang w:eastAsia="pt-BR"/>
                    </w:rPr>
                  </m:ctrlPr>
                </m:sSubSupPr>
                <m:e>
                  <m:r>
                    <w:rPr>
                      <w:rFonts w:ascii="Cambria Math" w:eastAsia="Times New Roman" w:hAnsi="Cambria Math" w:cs="Times New Roman"/>
                      <w:szCs w:val="24"/>
                      <w:lang w:eastAsia="pt-BR"/>
                    </w:rPr>
                    <m:t>S</m:t>
                  </m:r>
                </m:e>
                <m:sub>
                  <m:r>
                    <w:rPr>
                      <w:rFonts w:ascii="Cambria Math" w:eastAsia="Times New Roman" w:hAnsi="Cambria Math" w:cs="Times New Roman"/>
                      <w:szCs w:val="24"/>
                      <w:lang w:eastAsia="pt-BR"/>
                    </w:rPr>
                    <m:t>USD/GBP</m:t>
                  </m:r>
                </m:sub>
                <m:sup>
                  <m:r>
                    <w:rPr>
                      <w:rFonts w:ascii="Cambria Math" w:eastAsia="Times New Roman" w:hAnsi="Cambria Math" w:cs="Times New Roman"/>
                      <w:szCs w:val="24"/>
                      <w:lang w:eastAsia="pt-BR"/>
                    </w:rPr>
                    <m:t>C</m:t>
                  </m:r>
                </m:sup>
              </m:sSubSup>
            </m:num>
            <m:den>
              <m:sSubSup>
                <m:sSubSupPr>
                  <m:ctrlPr>
                    <w:rPr>
                      <w:rFonts w:ascii="Cambria Math" w:eastAsia="Times New Roman" w:hAnsi="Cambria Math" w:cs="Times New Roman"/>
                      <w:i/>
                      <w:szCs w:val="24"/>
                      <w:lang w:eastAsia="pt-BR"/>
                    </w:rPr>
                  </m:ctrlPr>
                </m:sSubSupPr>
                <m:e>
                  <m:r>
                    <w:rPr>
                      <w:rFonts w:ascii="Cambria Math" w:eastAsia="Times New Roman" w:hAnsi="Cambria Math" w:cs="Times New Roman"/>
                      <w:szCs w:val="24"/>
                      <w:lang w:eastAsia="pt-BR"/>
                    </w:rPr>
                    <m:t>F</m:t>
                  </m:r>
                </m:e>
                <m:sub>
                  <m:r>
                    <w:rPr>
                      <w:rFonts w:ascii="Cambria Math" w:eastAsia="Times New Roman" w:hAnsi="Cambria Math" w:cs="Times New Roman"/>
                      <w:szCs w:val="24"/>
                      <w:lang w:eastAsia="pt-BR"/>
                    </w:rPr>
                    <m:t>USD/GBP</m:t>
                  </m:r>
                </m:sub>
                <m:sup>
                  <m:r>
                    <w:rPr>
                      <w:rFonts w:ascii="Cambria Math" w:eastAsia="Times New Roman" w:hAnsi="Cambria Math" w:cs="Times New Roman"/>
                      <w:szCs w:val="24"/>
                      <w:lang w:eastAsia="pt-BR"/>
                    </w:rPr>
                    <m:t>V</m:t>
                  </m:r>
                </m:sup>
              </m:sSubSup>
            </m:den>
          </m:f>
          <m:d>
            <m:dPr>
              <m:ctrlPr>
                <w:rPr>
                  <w:rFonts w:ascii="Cambria Math" w:eastAsia="Times New Roman" w:hAnsi="Cambria Math" w:cs="Times New Roman"/>
                  <w:i/>
                  <w:szCs w:val="24"/>
                  <w:lang w:eastAsia="pt-BR"/>
                </w:rPr>
              </m:ctrlPr>
            </m:dPr>
            <m:e>
              <m:r>
                <w:rPr>
                  <w:rFonts w:ascii="Cambria Math" w:eastAsia="Times New Roman" w:hAnsi="Cambria Math" w:cs="Times New Roman"/>
                  <w:szCs w:val="24"/>
                  <w:lang w:eastAsia="pt-BR"/>
                </w:rPr>
                <m:t>1+</m:t>
              </m:r>
              <m:sSubSup>
                <m:sSubSupPr>
                  <m:ctrlPr>
                    <w:rPr>
                      <w:rFonts w:ascii="Cambria Math" w:eastAsia="Times New Roman" w:hAnsi="Cambria Math" w:cs="Times New Roman"/>
                      <w:i/>
                      <w:szCs w:val="24"/>
                      <w:lang w:eastAsia="pt-BR"/>
                    </w:rPr>
                  </m:ctrlPr>
                </m:sSubSupPr>
                <m:e>
                  <m:r>
                    <w:rPr>
                      <w:rFonts w:ascii="Cambria Math" w:eastAsia="Times New Roman" w:hAnsi="Cambria Math" w:cs="Times New Roman"/>
                      <w:szCs w:val="24"/>
                      <w:lang w:eastAsia="pt-BR"/>
                    </w:rPr>
                    <m:t>i</m:t>
                  </m:r>
                </m:e>
                <m:sub>
                  <m:r>
                    <w:rPr>
                      <w:rFonts w:ascii="Cambria Math" w:eastAsia="Times New Roman" w:hAnsi="Cambria Math" w:cs="Times New Roman"/>
                      <w:szCs w:val="24"/>
                      <w:lang w:eastAsia="pt-BR"/>
                    </w:rPr>
                    <m:t>USD</m:t>
                  </m:r>
                </m:sub>
                <m:sup>
                  <m:r>
                    <w:rPr>
                      <w:rFonts w:ascii="Cambria Math" w:eastAsia="Times New Roman" w:hAnsi="Cambria Math" w:cs="Times New Roman"/>
                      <w:szCs w:val="24"/>
                      <w:lang w:eastAsia="pt-BR"/>
                    </w:rPr>
                    <m:t>C</m:t>
                  </m:r>
                </m:sup>
              </m:sSubSup>
              <m:r>
                <w:rPr>
                  <w:rFonts w:ascii="Cambria Math" w:eastAsia="Times New Roman" w:hAnsi="Cambria Math" w:cs="Times New Roman"/>
                  <w:szCs w:val="24"/>
                  <w:lang w:eastAsia="pt-BR"/>
                </w:rPr>
                <m:t>.</m:t>
              </m:r>
              <m:f>
                <m:fPr>
                  <m:ctrlPr>
                    <w:rPr>
                      <w:rFonts w:ascii="Cambria Math" w:eastAsia="Times New Roman" w:hAnsi="Cambria Math" w:cs="Times New Roman"/>
                      <w:i/>
                      <w:szCs w:val="24"/>
                      <w:lang w:eastAsia="pt-BR"/>
                    </w:rPr>
                  </m:ctrlPr>
                </m:fPr>
                <m:num>
                  <m:r>
                    <w:rPr>
                      <w:rFonts w:ascii="Cambria Math" w:eastAsia="Times New Roman" w:hAnsi="Cambria Math" w:cs="Times New Roman"/>
                      <w:szCs w:val="24"/>
                      <w:lang w:eastAsia="pt-BR"/>
                    </w:rPr>
                    <m:t>d</m:t>
                  </m:r>
                </m:num>
                <m:den>
                  <m:r>
                    <w:rPr>
                      <w:rFonts w:ascii="Cambria Math" w:eastAsia="Times New Roman" w:hAnsi="Cambria Math" w:cs="Times New Roman"/>
                      <w:szCs w:val="24"/>
                      <w:lang w:eastAsia="pt-BR"/>
                    </w:rPr>
                    <m:t>360</m:t>
                  </m:r>
                </m:den>
              </m:f>
            </m:e>
          </m:d>
          <m:r>
            <w:rPr>
              <w:rFonts w:ascii="Cambria Math" w:eastAsia="Times New Roman" w:hAnsi="Cambria Math" w:cs="Times New Roman"/>
              <w:szCs w:val="24"/>
              <w:lang w:eastAsia="pt-BR"/>
            </w:rPr>
            <m:t>-</m:t>
          </m:r>
          <m:d>
            <m:dPr>
              <m:ctrlPr>
                <w:rPr>
                  <w:rFonts w:ascii="Cambria Math" w:eastAsia="Times New Roman" w:hAnsi="Cambria Math" w:cs="Times New Roman"/>
                  <w:i/>
                  <w:szCs w:val="24"/>
                  <w:lang w:eastAsia="pt-BR"/>
                </w:rPr>
              </m:ctrlPr>
            </m:dPr>
            <m:e>
              <m:r>
                <w:rPr>
                  <w:rFonts w:ascii="Cambria Math" w:eastAsia="Times New Roman" w:hAnsi="Cambria Math" w:cs="Times New Roman"/>
                  <w:szCs w:val="24"/>
                  <w:lang w:eastAsia="pt-BR"/>
                </w:rPr>
                <m:t>1+</m:t>
              </m:r>
              <m:sSubSup>
                <m:sSubSupPr>
                  <m:ctrlPr>
                    <w:rPr>
                      <w:rFonts w:ascii="Cambria Math" w:eastAsia="Times New Roman" w:hAnsi="Cambria Math" w:cs="Times New Roman"/>
                      <w:i/>
                      <w:szCs w:val="24"/>
                      <w:lang w:eastAsia="pt-BR"/>
                    </w:rPr>
                  </m:ctrlPr>
                </m:sSubSupPr>
                <m:e>
                  <m:r>
                    <w:rPr>
                      <w:rFonts w:ascii="Cambria Math" w:eastAsia="Times New Roman" w:hAnsi="Cambria Math" w:cs="Times New Roman"/>
                      <w:szCs w:val="24"/>
                      <w:lang w:eastAsia="pt-BR"/>
                    </w:rPr>
                    <m:t>i</m:t>
                  </m:r>
                </m:e>
                <m:sub>
                  <m:r>
                    <w:rPr>
                      <w:rFonts w:ascii="Cambria Math" w:eastAsia="Times New Roman" w:hAnsi="Cambria Math" w:cs="Times New Roman"/>
                      <w:szCs w:val="24"/>
                      <w:lang w:eastAsia="pt-BR"/>
                    </w:rPr>
                    <m:t>GBP</m:t>
                  </m:r>
                </m:sub>
                <m:sup>
                  <m:r>
                    <w:rPr>
                      <w:rFonts w:ascii="Cambria Math" w:eastAsia="Times New Roman" w:hAnsi="Cambria Math" w:cs="Times New Roman"/>
                      <w:szCs w:val="24"/>
                      <w:lang w:eastAsia="pt-BR"/>
                    </w:rPr>
                    <m:t>V</m:t>
                  </m:r>
                </m:sup>
              </m:sSubSup>
              <m:r>
                <w:rPr>
                  <w:rFonts w:ascii="Cambria Math" w:eastAsia="Times New Roman" w:hAnsi="Cambria Math" w:cs="Times New Roman"/>
                  <w:szCs w:val="24"/>
                  <w:lang w:eastAsia="pt-BR"/>
                </w:rPr>
                <m:t>.</m:t>
              </m:r>
              <m:f>
                <m:fPr>
                  <m:ctrlPr>
                    <w:rPr>
                      <w:rFonts w:ascii="Cambria Math" w:eastAsia="Times New Roman" w:hAnsi="Cambria Math" w:cs="Times New Roman"/>
                      <w:i/>
                      <w:szCs w:val="24"/>
                      <w:lang w:eastAsia="pt-BR"/>
                    </w:rPr>
                  </m:ctrlPr>
                </m:fPr>
                <m:num>
                  <m:r>
                    <w:rPr>
                      <w:rFonts w:ascii="Cambria Math" w:eastAsia="Times New Roman" w:hAnsi="Cambria Math" w:cs="Times New Roman"/>
                      <w:szCs w:val="24"/>
                      <w:lang w:eastAsia="pt-BR"/>
                    </w:rPr>
                    <m:t>d</m:t>
                  </m:r>
                </m:num>
                <m:den>
                  <m:r>
                    <w:rPr>
                      <w:rFonts w:ascii="Cambria Math" w:eastAsia="Times New Roman" w:hAnsi="Cambria Math" w:cs="Times New Roman"/>
                      <w:szCs w:val="24"/>
                      <w:lang w:eastAsia="pt-BR"/>
                    </w:rPr>
                    <m:t>360</m:t>
                  </m:r>
                </m:den>
              </m:f>
            </m:e>
          </m:d>
          <m:r>
            <w:rPr>
              <w:rFonts w:ascii="Cambria Math" w:eastAsia="Times New Roman" w:hAnsi="Cambria Math" w:cs="Times New Roman"/>
              <w:szCs w:val="24"/>
              <w:lang w:eastAsia="pt-BR"/>
            </w:rPr>
            <m:t>≤0 (5)</m:t>
          </m:r>
        </m:oMath>
      </m:oMathPara>
    </w:p>
    <w:p w:rsidR="00270D76" w:rsidRPr="00270D76" w:rsidRDefault="00270D76">
      <w:pPr>
        <w:rPr>
          <w:rFonts w:eastAsia="Times New Roman" w:cs="Times New Roman"/>
          <w:szCs w:val="24"/>
          <w:lang w:eastAsia="pt-BR"/>
        </w:rPr>
      </w:pPr>
      <w:r>
        <w:rPr>
          <w:rFonts w:eastAsia="Times New Roman" w:cs="Times New Roman"/>
          <w:szCs w:val="24"/>
          <w:lang w:eastAsia="pt-BR"/>
        </w:rPr>
        <w:tab/>
      </w:r>
      <w:r w:rsidRPr="00270D76">
        <w:rPr>
          <w:rFonts w:eastAsia="Times New Roman" w:cs="Times New Roman"/>
          <w:szCs w:val="24"/>
          <w:lang w:eastAsia="pt-BR"/>
        </w:rPr>
        <w:t>Os sobrescritos c e v indicam os preços de compra e venda, respectivamente. No cálculo dos desvios acima, em cerca de 3500 observações</w:t>
      </w:r>
      <w:r w:rsidR="007A0DA7">
        <w:rPr>
          <w:rFonts w:eastAsia="Times New Roman" w:cs="Times New Roman"/>
          <w:szCs w:val="24"/>
          <w:lang w:eastAsia="pt-BR"/>
        </w:rPr>
        <w:t>,</w:t>
      </w:r>
      <w:r w:rsidRPr="00270D76">
        <w:rPr>
          <w:rFonts w:eastAsia="Times New Roman" w:cs="Times New Roman"/>
          <w:szCs w:val="24"/>
          <w:lang w:eastAsia="pt-BR"/>
        </w:rPr>
        <w:t xml:space="preserve"> Taylor não encontra nenhuma oportunidade de arbitragem entre USD e GBP e apenas uma entre USD e DM. Dois anos mais tarde Taylor (1989) repete o mesmo estudo aplicado a períodos de maior turbulência nos mercados de câmbio. Desta vez</w:t>
      </w:r>
      <w:r w:rsidR="007A0DA7">
        <w:rPr>
          <w:rFonts w:eastAsia="Times New Roman" w:cs="Times New Roman"/>
          <w:szCs w:val="24"/>
          <w:lang w:eastAsia="pt-BR"/>
        </w:rPr>
        <w:t>, o autor conclui</w:t>
      </w:r>
      <w:r w:rsidRPr="00270D76">
        <w:rPr>
          <w:rFonts w:eastAsia="Times New Roman" w:cs="Times New Roman"/>
          <w:szCs w:val="24"/>
          <w:lang w:eastAsia="pt-BR"/>
        </w:rPr>
        <w:t xml:space="preserve"> pela existência de oportunidades de arbitragem, apesar de pequenas, nestes períodos. Estes desvios se mostram mais comuns nas taxas com maturidades mais longas e tendem a diminuir com o tempo. Desvios da CIP em tempos de turbulência também foram confirmados por Boulos e Swanson (1994).</w:t>
      </w:r>
    </w:p>
    <w:p w:rsidR="00270D76" w:rsidRDefault="00270D76">
      <w:pPr>
        <w:rPr>
          <w:rFonts w:eastAsia="Times New Roman" w:cs="Times New Roman"/>
          <w:szCs w:val="24"/>
          <w:lang w:eastAsia="pt-BR"/>
        </w:rPr>
      </w:pPr>
      <w:r>
        <w:rPr>
          <w:rFonts w:eastAsia="Times New Roman" w:cs="Times New Roman"/>
          <w:szCs w:val="24"/>
          <w:lang w:eastAsia="pt-BR"/>
        </w:rPr>
        <w:tab/>
      </w:r>
      <w:r w:rsidRPr="00270D76">
        <w:rPr>
          <w:rFonts w:eastAsia="Times New Roman" w:cs="Times New Roman"/>
          <w:szCs w:val="24"/>
          <w:lang w:eastAsia="pt-BR"/>
        </w:rPr>
        <w:t xml:space="preserve">Estudos mais recentes identificaram desvios da CIP durante o início da crise financeira mundial entre 2007 e 2008, principalmente nos departamentos de pesquisas de bancos centrais e outras instituições financeiras. Baba e Packer (2008) aplicaram a metodologia EGARCH a dados de alta frequência do mercado europeu de </w:t>
      </w:r>
      <w:r w:rsidRPr="00270D76">
        <w:rPr>
          <w:rFonts w:eastAsia="Times New Roman" w:cs="Times New Roman"/>
          <w:i/>
          <w:iCs/>
          <w:szCs w:val="24"/>
          <w:lang w:eastAsia="pt-BR"/>
        </w:rPr>
        <w:t xml:space="preserve">swaps </w:t>
      </w:r>
      <w:r w:rsidRPr="00270D76">
        <w:rPr>
          <w:rFonts w:eastAsia="Times New Roman" w:cs="Times New Roman"/>
          <w:szCs w:val="24"/>
          <w:lang w:eastAsia="pt-BR"/>
        </w:rPr>
        <w:t>cambiais</w:t>
      </w:r>
      <w:r>
        <w:rPr>
          <w:rStyle w:val="FootnoteReference"/>
          <w:rFonts w:eastAsia="Times New Roman" w:cs="Times New Roman"/>
          <w:szCs w:val="24"/>
          <w:lang w:eastAsia="pt-BR"/>
        </w:rPr>
        <w:footnoteReference w:id="9"/>
      </w:r>
      <w:r w:rsidRPr="00270D76">
        <w:rPr>
          <w:rFonts w:eastAsia="Times New Roman" w:cs="Times New Roman"/>
          <w:szCs w:val="24"/>
          <w:lang w:eastAsia="pt-BR"/>
        </w:rPr>
        <w:t xml:space="preserve">. Os autores encontram evidências de afastamento da paridade coberta de juros devido à falta de crédito em dólares na Europa, cujo principal motivo foi a percepção de maior risco dos bancos americanos em emprestar para suas contrapartes europeias. Baba e Packer também afirmam que tais desvios foram atenuados pelas linhas de </w:t>
      </w:r>
      <w:r w:rsidRPr="00270D76">
        <w:rPr>
          <w:rFonts w:eastAsia="Times New Roman" w:cs="Times New Roman"/>
          <w:i/>
          <w:iCs/>
          <w:szCs w:val="24"/>
          <w:lang w:eastAsia="pt-BR"/>
        </w:rPr>
        <w:t xml:space="preserve">swap </w:t>
      </w:r>
      <w:r w:rsidRPr="00270D76">
        <w:rPr>
          <w:rFonts w:eastAsia="Times New Roman" w:cs="Times New Roman"/>
          <w:szCs w:val="24"/>
          <w:lang w:eastAsia="pt-BR"/>
        </w:rPr>
        <w:t>de dólares fornecidos pelo Banco Central Europeu.</w:t>
      </w:r>
    </w:p>
    <w:p w:rsidR="00270D76" w:rsidRDefault="00270D76">
      <w:r>
        <w:tab/>
        <w:t xml:space="preserve">Uma abordagem econométrica diferente para a verificação da CIP é encontrada em Moosa (2004). Esta análise aplica métodos de séries de tempo estruturais para testar a relação contemporânea entre as taxas de câmbio </w:t>
      </w:r>
      <w:r>
        <w:rPr>
          <w:rStyle w:val="Emphasis"/>
        </w:rPr>
        <w:t xml:space="preserve">spot </w:t>
      </w:r>
      <w:r>
        <w:t xml:space="preserve">e </w:t>
      </w:r>
      <w:r>
        <w:rPr>
          <w:rStyle w:val="Emphasis"/>
        </w:rPr>
        <w:t>forward</w:t>
      </w:r>
      <w:r>
        <w:t>. Aplicando o filtro de Kalman</w:t>
      </w:r>
      <w:r w:rsidR="002F7305">
        <w:t xml:space="preserve"> </w:t>
      </w:r>
      <w:r>
        <w:t>à dados trimestrais entre 1980 e 2000</w:t>
      </w:r>
      <w:r w:rsidR="007A0DA7">
        <w:t>,</w:t>
      </w:r>
      <w:r w:rsidR="002F7305">
        <w:t xml:space="preserve"> </w:t>
      </w:r>
      <w:r>
        <w:t>Moosa reitera a validade da CIP. Isto é, confirma na equação</w:t>
      </w:r>
      <m:oMath>
        <m:r>
          <w:rPr>
            <w:rFonts w:ascii="Cambria Math" w:hAnsi="Cambria Math"/>
          </w:rPr>
          <m:t>(6)</m:t>
        </m:r>
      </m:oMath>
      <w:r>
        <w:t xml:space="preserve"> abaixo que o intercepto α t é igual à zero enquanto os valores para o parâmetro variável β t acompanham os movim</w:t>
      </w:r>
      <w:r w:rsidR="00930732">
        <w:t xml:space="preserve">entos do diferencial de juros. </w:t>
      </w:r>
    </w:p>
    <w:p w:rsidR="00270D76" w:rsidRDefault="002500C6">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t</m:t>
              </m:r>
            </m:sub>
          </m:sSub>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(6)</m:t>
          </m:r>
        </m:oMath>
      </m:oMathPara>
    </w:p>
    <w:p w:rsidR="00270D76" w:rsidRPr="00270D76" w:rsidRDefault="00270D76">
      <w:pPr>
        <w:rPr>
          <w:rFonts w:eastAsia="Times New Roman" w:cs="Times New Roman"/>
          <w:szCs w:val="24"/>
          <w:lang w:eastAsia="pt-BR"/>
        </w:rPr>
      </w:pPr>
      <w:r>
        <w:rPr>
          <w:rFonts w:eastAsia="Times New Roman" w:cs="Times New Roman"/>
          <w:szCs w:val="24"/>
          <w:lang w:eastAsia="pt-BR"/>
        </w:rPr>
        <w:tab/>
      </w:r>
      <w:r w:rsidRPr="00270D76">
        <w:rPr>
          <w:rFonts w:eastAsia="Times New Roman" w:cs="Times New Roman"/>
          <w:szCs w:val="24"/>
          <w:lang w:eastAsia="pt-BR"/>
        </w:rPr>
        <w:t xml:space="preserve">Destacamos por fim um último estudo que encontra indícios a favor da CIP durante a década de 1920. Peel e Taylor (2002) testam a proposta de Keynes (1923) de que, à época, apenas um desvio da CIP de mais de 0.5% levaria os agentes a se engajarem em operações de arbitragem, tese denominada </w:t>
      </w:r>
      <w:r w:rsidRPr="00270D76">
        <w:rPr>
          <w:rFonts w:eastAsia="Times New Roman" w:cs="Times New Roman"/>
          <w:i/>
          <w:iCs/>
          <w:szCs w:val="24"/>
          <w:lang w:eastAsia="pt-BR"/>
        </w:rPr>
        <w:t>Keynes-Einzig conjecture</w:t>
      </w:r>
      <w:r w:rsidRPr="00270D76">
        <w:rPr>
          <w:rFonts w:eastAsia="Times New Roman" w:cs="Times New Roman"/>
          <w:szCs w:val="24"/>
          <w:lang w:eastAsia="pt-BR"/>
        </w:rPr>
        <w:t xml:space="preserve">. Um fato particular é a maior dificuldade em obter dados para as variáveis adequadas neste período. </w:t>
      </w:r>
      <w:r w:rsidRPr="00270D76">
        <w:rPr>
          <w:rFonts w:eastAsia="Times New Roman" w:cs="Times New Roman"/>
          <w:szCs w:val="24"/>
          <w:lang w:eastAsia="pt-BR"/>
        </w:rPr>
        <w:lastRenderedPageBreak/>
        <w:t xml:space="preserve">Utilizam-se dados de três fontes diferentes para, mais uma vez, construir uma série com os desvios em relação a paridade coberta. Aplica-se a esta um modelo </w:t>
      </w:r>
      <w:r w:rsidRPr="00270D76">
        <w:rPr>
          <w:rFonts w:eastAsia="Times New Roman" w:cs="Times New Roman"/>
          <w:i/>
          <w:iCs/>
          <w:szCs w:val="24"/>
          <w:lang w:eastAsia="pt-BR"/>
        </w:rPr>
        <w:t>band-TAR</w:t>
      </w:r>
      <w:r w:rsidR="00C3083C">
        <w:rPr>
          <w:rFonts w:eastAsia="Times New Roman" w:cs="Times New Roman"/>
          <w:i/>
          <w:iCs/>
          <w:szCs w:val="24"/>
          <w:lang w:eastAsia="pt-BR"/>
        </w:rPr>
        <w:t xml:space="preserve"> </w:t>
      </w:r>
      <w:r w:rsidRPr="00270D76">
        <w:rPr>
          <w:rFonts w:eastAsia="Times New Roman" w:cs="Times New Roman"/>
          <w:szCs w:val="24"/>
          <w:lang w:eastAsia="pt-BR"/>
        </w:rPr>
        <w:t>que confirma a hipótese de Keynes e Einzig ao atestar que a série se comporta como um passeio aleatório dentro do intervalor de 0.5% em torno do valor de equilíbrio</w:t>
      </w:r>
      <w:r w:rsidR="007A0DA7">
        <w:rPr>
          <w:rFonts w:eastAsia="Times New Roman" w:cs="Times New Roman"/>
          <w:szCs w:val="24"/>
          <w:lang w:eastAsia="pt-BR"/>
        </w:rPr>
        <w:t>,</w:t>
      </w:r>
      <w:r w:rsidRPr="00270D76">
        <w:rPr>
          <w:rFonts w:eastAsia="Times New Roman" w:cs="Times New Roman"/>
          <w:szCs w:val="24"/>
          <w:lang w:eastAsia="pt-BR"/>
        </w:rPr>
        <w:t xml:space="preserve"> enquanto fora deste segue um processo AR(1) que reverte ao valor da CIP. Peel e Taylor ainda destacam que o intervalo de 1% é bastante grande, o que atribuem à ineficiência dos mercados na década de 1920, maiores riscos políticos e custos de transação.</w:t>
      </w:r>
    </w:p>
    <w:p w:rsidR="00270D76" w:rsidRDefault="00270D76">
      <w:pPr>
        <w:rPr>
          <w:rFonts w:eastAsia="Times New Roman" w:cs="Times New Roman"/>
          <w:szCs w:val="24"/>
          <w:lang w:eastAsia="pt-BR"/>
        </w:rPr>
      </w:pPr>
      <w:r>
        <w:rPr>
          <w:rFonts w:eastAsia="Times New Roman" w:cs="Times New Roman"/>
          <w:szCs w:val="24"/>
          <w:lang w:eastAsia="pt-BR"/>
        </w:rPr>
        <w:tab/>
      </w:r>
      <w:r w:rsidRPr="00270D76">
        <w:rPr>
          <w:rFonts w:eastAsia="Times New Roman" w:cs="Times New Roman"/>
          <w:szCs w:val="24"/>
          <w:lang w:eastAsia="pt-BR"/>
        </w:rPr>
        <w:t>A tabela abaixo resume algumas características dos estudos supracitados.</w:t>
      </w:r>
    </w:p>
    <w:p w:rsidR="00270D76" w:rsidRDefault="00270D76" w:rsidP="005B40A9">
      <w:pPr>
        <w:pStyle w:val="Heading4"/>
        <w:rPr>
          <w:rFonts w:eastAsia="Times New Roman"/>
          <w:lang w:eastAsia="pt-BR"/>
        </w:rPr>
      </w:pPr>
      <w:r>
        <w:rPr>
          <w:rFonts w:eastAsia="Times New Roman"/>
          <w:lang w:eastAsia="pt-BR"/>
        </w:rPr>
        <w:t>Estudos Empíricos da CIP</w:t>
      </w:r>
    </w:p>
    <w:p w:rsidR="005B40A9" w:rsidRPr="005B40A9" w:rsidRDefault="005B40A9" w:rsidP="005B40A9">
      <w:pPr>
        <w:rPr>
          <w:lang w:eastAsia="pt-BR"/>
        </w:rPr>
      </w:pPr>
      <w:r w:rsidRPr="005B40A9">
        <w:rPr>
          <w:noProof/>
          <w:lang w:eastAsia="pt-BR"/>
        </w:rPr>
        <w:drawing>
          <wp:inline distT="0" distB="0" distL="0" distR="0">
            <wp:extent cx="5400040" cy="474500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745007"/>
                    </a:xfrm>
                    <a:prstGeom prst="rect">
                      <a:avLst/>
                    </a:prstGeom>
                    <a:noFill/>
                    <a:ln>
                      <a:noFill/>
                    </a:ln>
                  </pic:spPr>
                </pic:pic>
              </a:graphicData>
            </a:graphic>
          </wp:inline>
        </w:drawing>
      </w:r>
    </w:p>
    <w:p w:rsidR="00270D76" w:rsidRDefault="00270D76" w:rsidP="00DA1463">
      <w:pPr>
        <w:rPr>
          <w:lang w:eastAsia="pt-BR"/>
        </w:rPr>
      </w:pPr>
    </w:p>
    <w:p w:rsidR="00270D76" w:rsidRDefault="00270D76" w:rsidP="008727E6">
      <w:pPr>
        <w:rPr>
          <w:rFonts w:eastAsia="Times New Roman" w:cs="Times New Roman"/>
          <w:szCs w:val="24"/>
          <w:lang w:eastAsia="pt-BR"/>
        </w:rPr>
      </w:pPr>
      <w:r>
        <w:rPr>
          <w:rFonts w:eastAsia="Times New Roman" w:cs="Times New Roman"/>
          <w:szCs w:val="24"/>
          <w:lang w:eastAsia="pt-BR"/>
        </w:rPr>
        <w:tab/>
      </w:r>
      <w:r w:rsidRPr="00270D76">
        <w:rPr>
          <w:rFonts w:eastAsia="Times New Roman" w:cs="Times New Roman"/>
          <w:szCs w:val="24"/>
          <w:lang w:eastAsia="pt-BR"/>
        </w:rPr>
        <w:t xml:space="preserve">Destacamos </w:t>
      </w:r>
      <w:r w:rsidR="00107DD7">
        <w:rPr>
          <w:rFonts w:eastAsia="Times New Roman" w:cs="Times New Roman"/>
          <w:szCs w:val="24"/>
          <w:lang w:eastAsia="pt-BR"/>
        </w:rPr>
        <w:t xml:space="preserve">assim </w:t>
      </w:r>
      <w:r w:rsidRPr="00270D76">
        <w:rPr>
          <w:rFonts w:eastAsia="Times New Roman" w:cs="Times New Roman"/>
          <w:szCs w:val="24"/>
          <w:lang w:eastAsia="pt-BR"/>
        </w:rPr>
        <w:t>três fatos marcantes acerca da literatura empírica internacional da CIP</w:t>
      </w:r>
      <w:r w:rsidR="00107DD7">
        <w:rPr>
          <w:rFonts w:eastAsia="Times New Roman" w:cs="Times New Roman"/>
          <w:szCs w:val="24"/>
          <w:lang w:eastAsia="pt-BR"/>
        </w:rPr>
        <w:t>: (1)</w:t>
      </w:r>
      <w:r w:rsidRPr="00270D76">
        <w:rPr>
          <w:rFonts w:eastAsia="Times New Roman" w:cs="Times New Roman"/>
          <w:szCs w:val="24"/>
          <w:lang w:eastAsia="pt-BR"/>
        </w:rPr>
        <w:t xml:space="preserve"> A evidência empírica parece confirmar a CIP para diferentes moedas e em diferentes épocas</w:t>
      </w:r>
      <w:r w:rsidR="00107DD7">
        <w:rPr>
          <w:rFonts w:eastAsia="Times New Roman" w:cs="Times New Roman"/>
          <w:szCs w:val="24"/>
          <w:lang w:eastAsia="pt-BR"/>
        </w:rPr>
        <w:t>;</w:t>
      </w:r>
      <w:r w:rsidR="00C3083C">
        <w:rPr>
          <w:rFonts w:eastAsia="Times New Roman" w:cs="Times New Roman"/>
          <w:szCs w:val="24"/>
          <w:lang w:eastAsia="pt-BR"/>
        </w:rPr>
        <w:t xml:space="preserve"> </w:t>
      </w:r>
      <w:r w:rsidR="00107DD7">
        <w:rPr>
          <w:rFonts w:eastAsia="Times New Roman" w:cs="Times New Roman"/>
          <w:szCs w:val="24"/>
          <w:lang w:eastAsia="pt-BR"/>
        </w:rPr>
        <w:t>(2)</w:t>
      </w:r>
      <w:r w:rsidR="0056766A">
        <w:rPr>
          <w:rFonts w:eastAsia="Times New Roman" w:cs="Times New Roman"/>
          <w:szCs w:val="24"/>
          <w:lang w:eastAsia="pt-BR"/>
        </w:rPr>
        <w:t xml:space="preserve"> no entanto</w:t>
      </w:r>
      <w:r w:rsidRPr="00270D76">
        <w:rPr>
          <w:rFonts w:eastAsia="Times New Roman" w:cs="Times New Roman"/>
          <w:szCs w:val="24"/>
          <w:lang w:eastAsia="pt-BR"/>
        </w:rPr>
        <w:t>, podem ocorrer desvios desta relação em períodos de maior instabilidade nos mercados de moeda estrangeira</w:t>
      </w:r>
      <w:r w:rsidR="0056766A">
        <w:rPr>
          <w:rFonts w:eastAsia="Times New Roman" w:cs="Times New Roman"/>
          <w:szCs w:val="24"/>
          <w:lang w:eastAsia="pt-BR"/>
        </w:rPr>
        <w:t>,</w:t>
      </w:r>
      <w:r w:rsidRPr="00270D76">
        <w:rPr>
          <w:rFonts w:eastAsia="Times New Roman" w:cs="Times New Roman"/>
          <w:szCs w:val="24"/>
          <w:lang w:eastAsia="pt-BR"/>
        </w:rPr>
        <w:t xml:space="preserve"> principalmente devido à ausência de </w:t>
      </w:r>
      <w:r w:rsidR="00C3083C">
        <w:rPr>
          <w:rFonts w:eastAsia="Times New Roman" w:cs="Times New Roman"/>
          <w:szCs w:val="24"/>
          <w:lang w:eastAsia="pt-BR"/>
        </w:rPr>
        <w:t>liquidez para tomar empréstimo em uma ou nas duas moedas</w:t>
      </w:r>
      <w:r w:rsidR="00107DD7">
        <w:rPr>
          <w:rFonts w:eastAsia="Times New Roman" w:cs="Times New Roman"/>
          <w:szCs w:val="24"/>
          <w:lang w:eastAsia="pt-BR"/>
        </w:rPr>
        <w:t>; e (3)</w:t>
      </w:r>
      <w:r w:rsidR="00C3083C">
        <w:rPr>
          <w:rFonts w:eastAsia="Times New Roman" w:cs="Times New Roman"/>
          <w:szCs w:val="24"/>
          <w:lang w:eastAsia="pt-BR"/>
        </w:rPr>
        <w:t xml:space="preserve"> </w:t>
      </w:r>
      <w:r w:rsidR="00107DD7">
        <w:rPr>
          <w:rFonts w:eastAsia="Times New Roman" w:cs="Times New Roman"/>
          <w:szCs w:val="24"/>
          <w:lang w:eastAsia="pt-BR"/>
        </w:rPr>
        <w:t>p</w:t>
      </w:r>
      <w:r w:rsidRPr="00270D76">
        <w:rPr>
          <w:rFonts w:eastAsia="Times New Roman" w:cs="Times New Roman"/>
          <w:szCs w:val="24"/>
          <w:lang w:eastAsia="pt-BR"/>
        </w:rPr>
        <w:t>or fim, os diversos estudos deixam clar</w:t>
      </w:r>
      <w:r w:rsidR="00107DD7">
        <w:rPr>
          <w:rFonts w:eastAsia="Times New Roman" w:cs="Times New Roman"/>
          <w:szCs w:val="24"/>
          <w:lang w:eastAsia="pt-BR"/>
        </w:rPr>
        <w:t>o</w:t>
      </w:r>
      <w:r w:rsidRPr="00270D76">
        <w:rPr>
          <w:rFonts w:eastAsia="Times New Roman" w:cs="Times New Roman"/>
          <w:szCs w:val="24"/>
          <w:lang w:eastAsia="pt-BR"/>
        </w:rPr>
        <w:t xml:space="preserve"> a dificuldade de se obter exatamente os mesmos dados utilizados pelos participantes dos mercados de câmbio.</w:t>
      </w:r>
    </w:p>
    <w:p w:rsidR="00270D76" w:rsidRDefault="00427F12" w:rsidP="00427F12">
      <w:pPr>
        <w:pStyle w:val="Heading5"/>
        <w:rPr>
          <w:lang w:eastAsia="pt-BR"/>
        </w:rPr>
      </w:pPr>
      <w:r>
        <w:rPr>
          <w:lang w:eastAsia="pt-BR"/>
        </w:rPr>
        <w:t>Nacional</w:t>
      </w:r>
    </w:p>
    <w:p w:rsidR="000D050E" w:rsidRPr="000D050E" w:rsidRDefault="000D050E" w:rsidP="004B49C3">
      <w:pPr>
        <w:rPr>
          <w:rFonts w:eastAsia="Times New Roman" w:cs="Times New Roman"/>
          <w:szCs w:val="24"/>
          <w:lang w:eastAsia="pt-BR"/>
        </w:rPr>
      </w:pPr>
      <w:r>
        <w:rPr>
          <w:rFonts w:eastAsia="Times New Roman" w:cs="Times New Roman"/>
          <w:szCs w:val="24"/>
          <w:lang w:eastAsia="pt-BR"/>
        </w:rPr>
        <w:tab/>
      </w:r>
      <w:r w:rsidRPr="000D050E">
        <w:rPr>
          <w:rFonts w:eastAsia="Times New Roman" w:cs="Times New Roman"/>
          <w:szCs w:val="24"/>
          <w:lang w:eastAsia="pt-BR"/>
        </w:rPr>
        <w:t>Em inequívoca divergência com a literatura internacional</w:t>
      </w:r>
      <w:r w:rsidR="007A0DA7">
        <w:rPr>
          <w:rFonts w:eastAsia="Times New Roman" w:cs="Times New Roman"/>
          <w:szCs w:val="24"/>
          <w:lang w:eastAsia="pt-BR"/>
        </w:rPr>
        <w:t>,</w:t>
      </w:r>
      <w:r w:rsidRPr="000D050E">
        <w:rPr>
          <w:rFonts w:eastAsia="Times New Roman" w:cs="Times New Roman"/>
          <w:szCs w:val="24"/>
          <w:lang w:eastAsia="pt-BR"/>
        </w:rPr>
        <w:t xml:space="preserve"> encontra</w:t>
      </w:r>
      <w:r w:rsidR="007A0DA7">
        <w:rPr>
          <w:rFonts w:eastAsia="Times New Roman" w:cs="Times New Roman"/>
          <w:szCs w:val="24"/>
          <w:lang w:eastAsia="pt-BR"/>
        </w:rPr>
        <w:t>mos</w:t>
      </w:r>
      <w:r w:rsidRPr="000D050E">
        <w:rPr>
          <w:rFonts w:eastAsia="Times New Roman" w:cs="Times New Roman"/>
          <w:szCs w:val="24"/>
          <w:lang w:eastAsia="pt-BR"/>
        </w:rPr>
        <w:t xml:space="preserve"> um número bastante reduzido de estudos empíricos sobre a paridade coberta de juros no Brasil, especialmente para os últimos anos. Nesta seção mencionamos apenas três pesquisas e mais algumas qualificações.</w:t>
      </w:r>
    </w:p>
    <w:p w:rsidR="000D050E" w:rsidRPr="000D050E" w:rsidRDefault="000D050E">
      <w:pPr>
        <w:rPr>
          <w:rFonts w:eastAsia="Times New Roman" w:cs="Times New Roman"/>
          <w:szCs w:val="24"/>
          <w:lang w:eastAsia="pt-BR"/>
        </w:rPr>
      </w:pPr>
      <w:r>
        <w:rPr>
          <w:rFonts w:eastAsia="Times New Roman" w:cs="Times New Roman"/>
          <w:szCs w:val="24"/>
          <w:lang w:eastAsia="pt-BR"/>
        </w:rPr>
        <w:lastRenderedPageBreak/>
        <w:tab/>
      </w:r>
      <w:r w:rsidRPr="000D050E">
        <w:rPr>
          <w:rFonts w:eastAsia="Times New Roman" w:cs="Times New Roman"/>
          <w:szCs w:val="24"/>
          <w:lang w:eastAsia="pt-BR"/>
        </w:rPr>
        <w:t xml:space="preserve">O baixo número de estudos sobre a CIP pode ser atribuídas tanto ao desinteresse de autores em verificar uma relação, já que ela foi repetidamente comprovada entre diversas moedas em vários períodos, quanto à dificuldade de se obter as variáveis adequadas. Esta segunda hipótese parece mais relevante devido à inexistência de taxas de juros idênticas e comparáveis em reais e dólares americanos. No caso de países desenvolvidos, por exemplo, pode-se utilizar taxas </w:t>
      </w:r>
      <w:r w:rsidR="00930732">
        <w:rPr>
          <w:rFonts w:eastAsia="Times New Roman" w:cs="Times New Roman"/>
          <w:i/>
          <w:iCs/>
          <w:szCs w:val="24"/>
          <w:lang w:eastAsia="pt-BR"/>
        </w:rPr>
        <w:t>li</w:t>
      </w:r>
      <w:r w:rsidR="00DF34C6">
        <w:rPr>
          <w:rFonts w:eastAsia="Times New Roman" w:cs="Times New Roman"/>
          <w:i/>
          <w:iCs/>
          <w:szCs w:val="24"/>
          <w:lang w:eastAsia="pt-BR"/>
        </w:rPr>
        <w:t>bor</w:t>
      </w:r>
      <w:r w:rsidR="00C3083C">
        <w:rPr>
          <w:rFonts w:eastAsia="Times New Roman" w:cs="Times New Roman"/>
          <w:i/>
          <w:iCs/>
          <w:szCs w:val="24"/>
          <w:lang w:eastAsia="pt-BR"/>
        </w:rPr>
        <w:t xml:space="preserve"> </w:t>
      </w:r>
      <w:r w:rsidRPr="000D050E">
        <w:rPr>
          <w:rFonts w:eastAsia="Times New Roman" w:cs="Times New Roman"/>
          <w:szCs w:val="24"/>
          <w:lang w:eastAsia="pt-BR"/>
        </w:rPr>
        <w:t>ou</w:t>
      </w:r>
      <w:r w:rsidR="00C3083C">
        <w:rPr>
          <w:rFonts w:eastAsia="Times New Roman" w:cs="Times New Roman"/>
          <w:szCs w:val="24"/>
          <w:lang w:eastAsia="pt-BR"/>
        </w:rPr>
        <w:t xml:space="preserve"> </w:t>
      </w:r>
      <w:r w:rsidR="00EF3F84">
        <w:rPr>
          <w:rFonts w:eastAsia="Times New Roman" w:cs="Times New Roman"/>
          <w:i/>
          <w:iCs/>
          <w:szCs w:val="24"/>
          <w:lang w:eastAsia="pt-BR"/>
        </w:rPr>
        <w:t>do euromercado</w:t>
      </w:r>
      <w:r w:rsidR="00C3083C">
        <w:rPr>
          <w:rFonts w:eastAsia="Times New Roman" w:cs="Times New Roman"/>
          <w:i/>
          <w:iCs/>
          <w:szCs w:val="24"/>
          <w:lang w:eastAsia="pt-BR"/>
        </w:rPr>
        <w:t xml:space="preserve"> </w:t>
      </w:r>
      <w:r w:rsidRPr="000D050E">
        <w:rPr>
          <w:rFonts w:eastAsia="Times New Roman" w:cs="Times New Roman"/>
          <w:szCs w:val="24"/>
          <w:lang w:eastAsia="pt-BR"/>
        </w:rPr>
        <w:t>para diferentes moedas.</w:t>
      </w:r>
    </w:p>
    <w:p w:rsidR="000D050E" w:rsidRPr="000D050E" w:rsidRDefault="000D050E">
      <w:pPr>
        <w:rPr>
          <w:rFonts w:eastAsia="Times New Roman" w:cs="Times New Roman"/>
          <w:szCs w:val="24"/>
          <w:lang w:eastAsia="pt-BR"/>
        </w:rPr>
      </w:pPr>
      <w:r>
        <w:rPr>
          <w:rFonts w:eastAsia="Times New Roman" w:cs="Times New Roman"/>
          <w:szCs w:val="24"/>
          <w:lang w:eastAsia="pt-BR"/>
        </w:rPr>
        <w:tab/>
      </w:r>
      <w:r w:rsidRPr="000D050E">
        <w:rPr>
          <w:rFonts w:eastAsia="Times New Roman" w:cs="Times New Roman"/>
          <w:szCs w:val="24"/>
          <w:lang w:eastAsia="pt-BR"/>
        </w:rPr>
        <w:t>Em um artigo recente, Skinner e Mason (2011) avaliam a CIP em países emergente, incluindo o Brasil. Seu principal objetivo é constatar se, assim como nos países desenvolvidos, a CIP vale independente da maturidade das taxas de câmbio futuro e de juros escolhidas. A evidência confirma a CIP para Brasil, Chile, Rússia e Coréia do Sul com dados de três meses de maturidade. Contudo, o mesmo resultado não se repete quando o prazo é de cinco anos.</w:t>
      </w:r>
    </w:p>
    <w:p w:rsidR="000D050E" w:rsidRPr="000D050E" w:rsidRDefault="000D050E">
      <w:pPr>
        <w:rPr>
          <w:rFonts w:eastAsia="Times New Roman" w:cs="Times New Roman"/>
          <w:szCs w:val="24"/>
          <w:lang w:eastAsia="pt-BR"/>
        </w:rPr>
      </w:pPr>
      <w:r>
        <w:rPr>
          <w:rFonts w:eastAsia="Times New Roman" w:cs="Times New Roman"/>
          <w:szCs w:val="24"/>
          <w:lang w:eastAsia="pt-BR"/>
        </w:rPr>
        <w:tab/>
      </w:r>
      <w:r w:rsidR="00EF3F84">
        <w:rPr>
          <w:rFonts w:eastAsia="Times New Roman" w:cs="Times New Roman"/>
          <w:szCs w:val="24"/>
          <w:lang w:eastAsia="pt-BR"/>
        </w:rPr>
        <w:t>No estudo s</w:t>
      </w:r>
      <w:r w:rsidRPr="000D050E">
        <w:rPr>
          <w:rFonts w:eastAsia="Times New Roman" w:cs="Times New Roman"/>
          <w:szCs w:val="24"/>
          <w:lang w:eastAsia="pt-BR"/>
        </w:rPr>
        <w:t xml:space="preserve">ão utilizados dados diários entre 01/01/2003 e 31/10/2006, retirados da </w:t>
      </w:r>
      <w:r w:rsidRPr="00855625">
        <w:rPr>
          <w:rFonts w:eastAsia="Times New Roman" w:cs="Times New Roman"/>
          <w:i/>
          <w:szCs w:val="24"/>
          <w:lang w:eastAsia="pt-BR"/>
        </w:rPr>
        <w:t>Bloomberg</w:t>
      </w:r>
      <w:r w:rsidRPr="000D050E">
        <w:rPr>
          <w:rFonts w:eastAsia="Times New Roman" w:cs="Times New Roman"/>
          <w:szCs w:val="24"/>
          <w:lang w:eastAsia="pt-BR"/>
        </w:rPr>
        <w:t xml:space="preserve">. Os desvios grandes e frequentes da CIP encontrados nos países emergentes são atribuídos principalmente a variáveis de risco. Custos de transação e o tamanho dos mercados </w:t>
      </w:r>
      <w:r w:rsidR="005B40A9">
        <w:rPr>
          <w:rFonts w:eastAsia="Times New Roman" w:cs="Times New Roman"/>
          <w:szCs w:val="24"/>
          <w:lang w:eastAsia="pt-BR"/>
        </w:rPr>
        <w:t xml:space="preserve">cambiais em </w:t>
      </w:r>
      <w:r w:rsidRPr="000D050E">
        <w:rPr>
          <w:rFonts w:eastAsia="Times New Roman" w:cs="Times New Roman"/>
          <w:szCs w:val="24"/>
          <w:lang w:eastAsia="pt-BR"/>
        </w:rPr>
        <w:t>cada país também foram testados, mas não se mostraram relevantes para explicar os desvios da CIP. Este estudo confirma os resultados de Fong, Valente e Fung (2010) que atribuem falhas na CIP para dólares de Hong Kong à condições de liquidez e risco de crédito.</w:t>
      </w:r>
    </w:p>
    <w:p w:rsidR="000D050E" w:rsidRPr="000D050E" w:rsidRDefault="000D050E">
      <w:pPr>
        <w:rPr>
          <w:rFonts w:eastAsia="Times New Roman" w:cs="Times New Roman"/>
          <w:szCs w:val="24"/>
          <w:lang w:eastAsia="pt-BR"/>
        </w:rPr>
      </w:pPr>
      <w:r>
        <w:rPr>
          <w:rFonts w:eastAsia="Times New Roman" w:cs="Times New Roman"/>
          <w:szCs w:val="24"/>
          <w:lang w:eastAsia="pt-BR"/>
        </w:rPr>
        <w:tab/>
      </w:r>
      <w:r w:rsidRPr="00383703">
        <w:rPr>
          <w:rFonts w:eastAsia="Times New Roman" w:cs="Times New Roman"/>
          <w:szCs w:val="24"/>
          <w:lang w:eastAsia="pt-BR"/>
        </w:rPr>
        <w:t>Miguel (200</w:t>
      </w:r>
      <w:r w:rsidR="00383703" w:rsidRPr="00383703">
        <w:rPr>
          <w:rFonts w:eastAsia="Times New Roman" w:cs="Times New Roman"/>
          <w:szCs w:val="24"/>
          <w:lang w:eastAsia="pt-BR"/>
        </w:rPr>
        <w:t>1</w:t>
      </w:r>
      <w:r w:rsidRPr="00383703">
        <w:rPr>
          <w:rFonts w:eastAsia="Times New Roman" w:cs="Times New Roman"/>
          <w:szCs w:val="24"/>
          <w:lang w:eastAsia="pt-BR"/>
        </w:rPr>
        <w:t>) realiza</w:t>
      </w:r>
      <w:r w:rsidRPr="000D050E">
        <w:rPr>
          <w:rFonts w:eastAsia="Times New Roman" w:cs="Times New Roman"/>
          <w:szCs w:val="24"/>
          <w:lang w:eastAsia="pt-BR"/>
        </w:rPr>
        <w:t xml:space="preserve"> testes univariados, calculando os desvios da CIP, e multivariados para o Brasil. São utilizados dados mensais, com maturidade de um e três meses, entre 1992 e 1998 e também semanais e diários entre 1995 e 1998. A dificuldade de obter taxas de juros interna e externa compatíveis é contornada utilizando a taxa dos contratos futuros de DI da BM&amp;F e para os juros externos a taxa </w:t>
      </w:r>
      <w:r w:rsidR="00930732">
        <w:rPr>
          <w:rFonts w:eastAsia="Times New Roman" w:cs="Times New Roman"/>
          <w:i/>
          <w:iCs/>
          <w:szCs w:val="24"/>
          <w:lang w:eastAsia="pt-BR"/>
        </w:rPr>
        <w:t>li</w:t>
      </w:r>
      <w:r w:rsidR="00DF34C6">
        <w:rPr>
          <w:rFonts w:eastAsia="Times New Roman" w:cs="Times New Roman"/>
          <w:i/>
          <w:iCs/>
          <w:szCs w:val="24"/>
          <w:lang w:eastAsia="pt-BR"/>
        </w:rPr>
        <w:t>bor</w:t>
      </w:r>
      <w:r w:rsidR="00C3083C">
        <w:rPr>
          <w:rFonts w:eastAsia="Times New Roman" w:cs="Times New Roman"/>
          <w:i/>
          <w:iCs/>
          <w:szCs w:val="24"/>
          <w:lang w:eastAsia="pt-BR"/>
        </w:rPr>
        <w:t xml:space="preserve"> </w:t>
      </w:r>
      <w:r w:rsidRPr="000D050E">
        <w:rPr>
          <w:rFonts w:eastAsia="Times New Roman" w:cs="Times New Roman"/>
          <w:szCs w:val="24"/>
          <w:lang w:eastAsia="pt-BR"/>
        </w:rPr>
        <w:t xml:space="preserve">de dólares americanos acrescida de uma medida de risco soberano, representada pelo </w:t>
      </w:r>
      <w:r w:rsidR="00C33BE3">
        <w:rPr>
          <w:rFonts w:eastAsia="Times New Roman" w:cs="Times New Roman"/>
          <w:i/>
          <w:iCs/>
          <w:szCs w:val="24"/>
          <w:lang w:eastAsia="pt-BR"/>
        </w:rPr>
        <w:t>EMBI+</w:t>
      </w:r>
      <w:r w:rsidRPr="000D050E">
        <w:rPr>
          <w:rFonts w:eastAsia="Times New Roman" w:cs="Times New Roman"/>
          <w:szCs w:val="24"/>
          <w:lang w:eastAsia="pt-BR"/>
        </w:rPr>
        <w:t>. A análise de cointegração confirma a CIP para os dados mensais. Entretanto, para dados diários e semanais os resultados são inconclusivos.</w:t>
      </w:r>
    </w:p>
    <w:p w:rsidR="000D050E" w:rsidRPr="000D050E" w:rsidRDefault="000D050E">
      <w:pPr>
        <w:rPr>
          <w:rFonts w:eastAsia="Times New Roman" w:cs="Times New Roman"/>
          <w:szCs w:val="24"/>
          <w:lang w:eastAsia="pt-BR"/>
        </w:rPr>
      </w:pPr>
      <w:r>
        <w:rPr>
          <w:rFonts w:eastAsia="Times New Roman" w:cs="Times New Roman"/>
          <w:szCs w:val="24"/>
          <w:lang w:eastAsia="pt-BR"/>
        </w:rPr>
        <w:tab/>
      </w:r>
      <w:r w:rsidRPr="000D050E">
        <w:rPr>
          <w:rFonts w:eastAsia="Times New Roman" w:cs="Times New Roman"/>
          <w:szCs w:val="24"/>
          <w:lang w:eastAsia="pt-BR"/>
        </w:rPr>
        <w:t xml:space="preserve">Por último listamos o artigo de Silva, Triches e Hillbrecht (2009) que testa a paridade coberta no Brasil com dados mensais entre 1990 e 2004. Neste caso são utilizadas quatro variáveis de juros com características diferentes. São testadas quatro formas funcionais diferentes com as combinações da taxa de juros interna, taxa do contrato futuro DI e SELIC, e externa, taxas </w:t>
      </w:r>
      <w:r w:rsidR="00930732">
        <w:rPr>
          <w:rFonts w:eastAsia="Times New Roman" w:cs="Times New Roman"/>
          <w:i/>
          <w:iCs/>
          <w:szCs w:val="24"/>
          <w:lang w:eastAsia="pt-BR"/>
        </w:rPr>
        <w:t>li</w:t>
      </w:r>
      <w:r w:rsidR="00DF34C6">
        <w:rPr>
          <w:rFonts w:eastAsia="Times New Roman" w:cs="Times New Roman"/>
          <w:i/>
          <w:iCs/>
          <w:szCs w:val="24"/>
          <w:lang w:eastAsia="pt-BR"/>
        </w:rPr>
        <w:t>bo</w:t>
      </w:r>
      <w:r w:rsidR="00C3083C">
        <w:rPr>
          <w:rFonts w:eastAsia="Times New Roman" w:cs="Times New Roman"/>
          <w:i/>
          <w:iCs/>
          <w:szCs w:val="24"/>
          <w:lang w:eastAsia="pt-BR"/>
        </w:rPr>
        <w:t xml:space="preserve"> </w:t>
      </w:r>
      <w:r w:rsidR="00DF34C6">
        <w:rPr>
          <w:rFonts w:eastAsia="Times New Roman" w:cs="Times New Roman"/>
          <w:i/>
          <w:iCs/>
          <w:szCs w:val="24"/>
          <w:lang w:eastAsia="pt-BR"/>
        </w:rPr>
        <w:t>r</w:t>
      </w:r>
      <w:r w:rsidRPr="000D050E">
        <w:rPr>
          <w:rFonts w:eastAsia="Times New Roman" w:cs="Times New Roman"/>
          <w:szCs w:val="24"/>
          <w:lang w:eastAsia="pt-BR"/>
        </w:rPr>
        <w:t xml:space="preserve">e </w:t>
      </w:r>
      <w:r w:rsidRPr="000D050E">
        <w:rPr>
          <w:rFonts w:eastAsia="Times New Roman" w:cs="Times New Roman"/>
          <w:i/>
          <w:iCs/>
          <w:szCs w:val="24"/>
          <w:lang w:eastAsia="pt-BR"/>
        </w:rPr>
        <w:t>Treasury</w:t>
      </w:r>
      <w:r w:rsidR="00C3083C">
        <w:rPr>
          <w:rFonts w:eastAsia="Times New Roman" w:cs="Times New Roman"/>
          <w:i/>
          <w:iCs/>
          <w:szCs w:val="24"/>
          <w:lang w:eastAsia="pt-BR"/>
        </w:rPr>
        <w:t xml:space="preserve"> </w:t>
      </w:r>
      <w:r w:rsidRPr="000D050E">
        <w:rPr>
          <w:rFonts w:eastAsia="Times New Roman" w:cs="Times New Roman"/>
          <w:i/>
          <w:iCs/>
          <w:szCs w:val="24"/>
          <w:lang w:eastAsia="pt-BR"/>
        </w:rPr>
        <w:t>Bills</w:t>
      </w:r>
      <w:r w:rsidRPr="000D050E">
        <w:rPr>
          <w:rFonts w:eastAsia="Times New Roman" w:cs="Times New Roman"/>
          <w:szCs w:val="24"/>
          <w:lang w:eastAsia="pt-BR"/>
        </w:rPr>
        <w:t>de um mês.</w:t>
      </w:r>
    </w:p>
    <w:p w:rsidR="000D050E" w:rsidRDefault="000D050E">
      <w:pPr>
        <w:rPr>
          <w:rFonts w:eastAsia="Times New Roman" w:cs="Times New Roman"/>
          <w:szCs w:val="24"/>
          <w:lang w:eastAsia="pt-BR"/>
        </w:rPr>
      </w:pPr>
      <w:r>
        <w:rPr>
          <w:rFonts w:eastAsia="Times New Roman" w:cs="Times New Roman"/>
          <w:szCs w:val="24"/>
          <w:lang w:eastAsia="pt-BR"/>
        </w:rPr>
        <w:tab/>
      </w:r>
      <w:r w:rsidRPr="000D050E">
        <w:rPr>
          <w:rFonts w:eastAsia="Times New Roman" w:cs="Times New Roman"/>
          <w:szCs w:val="24"/>
          <w:lang w:eastAsia="pt-BR"/>
        </w:rPr>
        <w:t xml:space="preserve">Como esperado os testes rejeitam a paridade coberta, fato que pode ser </w:t>
      </w:r>
      <w:r w:rsidR="00EF3F84" w:rsidRPr="000D050E">
        <w:rPr>
          <w:rFonts w:eastAsia="Times New Roman" w:cs="Times New Roman"/>
          <w:szCs w:val="24"/>
          <w:lang w:eastAsia="pt-BR"/>
        </w:rPr>
        <w:t>atribuído</w:t>
      </w:r>
      <w:r w:rsidRPr="000D050E">
        <w:rPr>
          <w:rFonts w:eastAsia="Times New Roman" w:cs="Times New Roman"/>
          <w:szCs w:val="24"/>
          <w:lang w:eastAsia="pt-BR"/>
        </w:rPr>
        <w:t xml:space="preserve"> ao uso de variáveis de juros</w:t>
      </w:r>
      <w:r w:rsidR="00C5412E">
        <w:rPr>
          <w:rFonts w:eastAsia="Times New Roman" w:cs="Times New Roman"/>
          <w:szCs w:val="24"/>
          <w:lang w:eastAsia="pt-BR"/>
        </w:rPr>
        <w:t xml:space="preserve"> sem o acréscimo do risco que, portanto, não representam o verdadeiro custo de captação em dólares para instituições brasileiras.</w:t>
      </w:r>
      <w:r w:rsidRPr="000D050E">
        <w:rPr>
          <w:rFonts w:eastAsia="Times New Roman" w:cs="Times New Roman"/>
          <w:szCs w:val="24"/>
          <w:lang w:eastAsia="pt-BR"/>
        </w:rPr>
        <w:t xml:space="preserve"> Os parâmetros estimados do diferencial de juros </w:t>
      </w:r>
      <w:r w:rsidR="00C3083C">
        <w:rPr>
          <w:rFonts w:eastAsia="Times New Roman" w:cs="Times New Roman"/>
          <w:szCs w:val="24"/>
          <w:lang w:eastAsia="pt-BR"/>
        </w:rPr>
        <w:t xml:space="preserve">(o </w:t>
      </w:r>
      <m:oMath>
        <m:r>
          <w:rPr>
            <w:rFonts w:ascii="Cambria Math" w:hAnsi="Cambria Math"/>
          </w:rPr>
          <m:t>β</m:t>
        </m:r>
      </m:oMath>
      <w:r w:rsidR="00C3083C" w:rsidRPr="000D050E">
        <w:rPr>
          <w:rFonts w:eastAsia="Times New Roman" w:cs="Times New Roman"/>
          <w:szCs w:val="24"/>
          <w:lang w:eastAsia="pt-BR"/>
        </w:rPr>
        <w:t xml:space="preserve"> </w:t>
      </w:r>
      <w:r w:rsidR="00C3083C">
        <w:rPr>
          <w:rFonts w:eastAsia="Times New Roman" w:cs="Times New Roman"/>
          <w:szCs w:val="24"/>
          <w:lang w:eastAsia="pt-BR"/>
        </w:rPr>
        <w:t xml:space="preserve">da equação (2)) </w:t>
      </w:r>
      <w:r w:rsidRPr="000D050E">
        <w:rPr>
          <w:rFonts w:eastAsia="Times New Roman" w:cs="Times New Roman"/>
          <w:szCs w:val="24"/>
          <w:lang w:eastAsia="pt-BR"/>
        </w:rPr>
        <w:t>ficam em torno de 0.5 e esta falha é justificada por uma suposta limitada mobilidade de capitais no Brasil, como afirmam os autores:</w:t>
      </w:r>
    </w:p>
    <w:p w:rsidR="000D050E" w:rsidRPr="000D050E" w:rsidRDefault="000D050E">
      <w:pPr>
        <w:pStyle w:val="Quote"/>
        <w:rPr>
          <w:vanish/>
          <w:lang w:eastAsia="pt-BR"/>
        </w:rPr>
      </w:pPr>
      <w:r w:rsidRPr="000D050E">
        <w:rPr>
          <w:lang w:eastAsia="pt-BR"/>
        </w:rPr>
        <w:t>“Resumidamente, não foi possível encontrar evidências empíricas em favor da manutenção da paridade coberta de juros através das séries construídas dos DCJ na economia brasileira entre abril de 1990 a março de 2004. O DCJ</w:t>
      </w:r>
      <w:r>
        <w:rPr>
          <w:rStyle w:val="FootnoteReference"/>
          <w:rFonts w:eastAsia="Times New Roman" w:cs="Times New Roman"/>
          <w:i w:val="0"/>
          <w:iCs w:val="0"/>
          <w:szCs w:val="24"/>
          <w:lang w:eastAsia="pt-BR"/>
        </w:rPr>
        <w:footnoteReference w:id="10"/>
      </w:r>
      <w:r w:rsidRPr="000D050E">
        <w:rPr>
          <w:vanish/>
          <w:lang w:eastAsia="pt-BR"/>
        </w:rPr>
        <w:t xml:space="preserve">DCJ é o Diferencial Coberto de Juros, expresso por DCJ= i t,K - i t,K * -( f t,t+K - s t ) </w:t>
      </w:r>
    </w:p>
    <w:p w:rsidR="000D050E" w:rsidRDefault="000D050E">
      <w:pPr>
        <w:pStyle w:val="Quote"/>
        <w:rPr>
          <w:lang w:eastAsia="pt-BR"/>
        </w:rPr>
      </w:pPr>
      <w:r w:rsidRPr="000D050E">
        <w:rPr>
          <w:lang w:eastAsia="pt-BR"/>
        </w:rPr>
        <w:t>mostrou-se positivo durante todo o período analisado, ou seja, apesar das iniciativas em direção a liberalização do mercado financeiro doméstico, o ingresso de capitais estrangeiros no Brasil pode ter se realizado com um custo elevado refletindo um prêmio de risco país.” (Silva, Tri</w:t>
      </w:r>
      <w:r>
        <w:rPr>
          <w:lang w:eastAsia="pt-BR"/>
        </w:rPr>
        <w:t>ches e Hillbrecht, 2009, p.516)</w:t>
      </w:r>
    </w:p>
    <w:p w:rsidR="000D050E" w:rsidRDefault="000D050E" w:rsidP="00271C13">
      <w:pPr>
        <w:pStyle w:val="Heading4"/>
        <w:rPr>
          <w:lang w:eastAsia="pt-BR"/>
        </w:rPr>
      </w:pPr>
      <w:r>
        <w:rPr>
          <w:lang w:eastAsia="pt-BR"/>
        </w:rPr>
        <w:lastRenderedPageBreak/>
        <w:t>Estudos Empíricos para a CIP no Brasil</w:t>
      </w:r>
    </w:p>
    <w:p w:rsidR="005B40A9" w:rsidRPr="005B40A9" w:rsidRDefault="005B40A9" w:rsidP="005B40A9">
      <w:pPr>
        <w:rPr>
          <w:lang w:eastAsia="pt-BR"/>
        </w:rPr>
      </w:pPr>
      <w:r w:rsidRPr="005B40A9">
        <w:rPr>
          <w:noProof/>
          <w:lang w:eastAsia="pt-BR"/>
        </w:rPr>
        <w:drawing>
          <wp:inline distT="0" distB="0" distL="0" distR="0">
            <wp:extent cx="5400040" cy="109534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095349"/>
                    </a:xfrm>
                    <a:prstGeom prst="rect">
                      <a:avLst/>
                    </a:prstGeom>
                    <a:noFill/>
                    <a:ln>
                      <a:noFill/>
                    </a:ln>
                  </pic:spPr>
                </pic:pic>
              </a:graphicData>
            </a:graphic>
          </wp:inline>
        </w:drawing>
      </w:r>
    </w:p>
    <w:p w:rsidR="000D050E" w:rsidRDefault="000D050E" w:rsidP="00DA1463">
      <w:pPr>
        <w:rPr>
          <w:lang w:eastAsia="pt-BR"/>
        </w:rPr>
      </w:pPr>
    </w:p>
    <w:p w:rsidR="000D050E" w:rsidRPr="000D050E" w:rsidRDefault="000D050E" w:rsidP="00F52841">
      <w:pPr>
        <w:rPr>
          <w:rFonts w:eastAsia="Times New Roman" w:cs="Times New Roman"/>
          <w:szCs w:val="24"/>
          <w:lang w:eastAsia="pt-BR"/>
        </w:rPr>
      </w:pPr>
      <w:r>
        <w:rPr>
          <w:rFonts w:eastAsia="Times New Roman" w:cs="Times New Roman"/>
          <w:szCs w:val="24"/>
          <w:lang w:eastAsia="pt-BR"/>
        </w:rPr>
        <w:tab/>
      </w:r>
      <w:r w:rsidRPr="000D050E">
        <w:rPr>
          <w:rFonts w:eastAsia="Times New Roman" w:cs="Times New Roman"/>
          <w:szCs w:val="24"/>
          <w:lang w:eastAsia="pt-BR"/>
        </w:rPr>
        <w:t>Por fim</w:t>
      </w:r>
      <w:r w:rsidR="00855625">
        <w:rPr>
          <w:rFonts w:eastAsia="Times New Roman" w:cs="Times New Roman"/>
          <w:szCs w:val="24"/>
          <w:lang w:eastAsia="pt-BR"/>
        </w:rPr>
        <w:t>,</w:t>
      </w:r>
      <w:r w:rsidRPr="000D050E">
        <w:rPr>
          <w:rFonts w:eastAsia="Times New Roman" w:cs="Times New Roman"/>
          <w:szCs w:val="24"/>
          <w:lang w:eastAsia="pt-BR"/>
        </w:rPr>
        <w:t xml:space="preserve"> consideramos algumas afirmações de Ventura e Garcia (2012). Apesar de não realizar testes específicos, os autores afirmam que a CIP vale para a economia brasileira, mas apenas quando há pagamento de juros nas posições, ou seja, no fim do dia. Ainda assim, ao longo do dia o </w:t>
      </w:r>
      <w:r w:rsidRPr="000D050E">
        <w:rPr>
          <w:rFonts w:eastAsia="Times New Roman" w:cs="Times New Roman"/>
          <w:i/>
          <w:iCs/>
          <w:szCs w:val="24"/>
          <w:lang w:eastAsia="pt-BR"/>
        </w:rPr>
        <w:t>forward</w:t>
      </w:r>
      <w:r w:rsidR="0000052E">
        <w:rPr>
          <w:rFonts w:eastAsia="Times New Roman" w:cs="Times New Roman"/>
          <w:i/>
          <w:iCs/>
          <w:szCs w:val="24"/>
          <w:lang w:eastAsia="pt-BR"/>
        </w:rPr>
        <w:t xml:space="preserve"> </w:t>
      </w:r>
      <w:r w:rsidR="00855625">
        <w:rPr>
          <w:rFonts w:eastAsia="Times New Roman" w:cs="Times New Roman"/>
          <w:i/>
          <w:iCs/>
          <w:szCs w:val="24"/>
          <w:lang w:eastAsia="pt-BR"/>
        </w:rPr>
        <w:t>p</w:t>
      </w:r>
      <w:r w:rsidR="00B934B0">
        <w:rPr>
          <w:rFonts w:eastAsia="Times New Roman" w:cs="Times New Roman"/>
          <w:i/>
          <w:iCs/>
          <w:szCs w:val="24"/>
          <w:lang w:eastAsia="pt-BR"/>
        </w:rPr>
        <w:t>remium</w:t>
      </w:r>
      <w:r w:rsidR="0000052E">
        <w:rPr>
          <w:rFonts w:eastAsia="Times New Roman" w:cs="Times New Roman"/>
          <w:i/>
          <w:iCs/>
          <w:szCs w:val="24"/>
          <w:lang w:eastAsia="pt-BR"/>
        </w:rPr>
        <w:t xml:space="preserve"> </w:t>
      </w:r>
      <w:r w:rsidRPr="000D050E">
        <w:rPr>
          <w:rFonts w:eastAsia="Times New Roman" w:cs="Times New Roman"/>
          <w:szCs w:val="24"/>
          <w:lang w:eastAsia="pt-BR"/>
        </w:rPr>
        <w:t>parece flutuar em torno do diferencial de juros (Ventura e Garcia, 2012, p.39).</w:t>
      </w:r>
    </w:p>
    <w:p w:rsidR="000D050E" w:rsidRPr="00585DD4" w:rsidRDefault="000D050E" w:rsidP="00032D55">
      <w:pPr>
        <w:rPr>
          <w:rFonts w:eastAsia="Times New Roman" w:cs="Times New Roman"/>
          <w:szCs w:val="24"/>
          <w:lang w:eastAsia="pt-BR"/>
        </w:rPr>
      </w:pPr>
      <w:r>
        <w:rPr>
          <w:rFonts w:eastAsia="Times New Roman" w:cs="Times New Roman"/>
          <w:szCs w:val="24"/>
          <w:lang w:eastAsia="pt-BR"/>
        </w:rPr>
        <w:tab/>
      </w:r>
      <w:r w:rsidRPr="000D050E">
        <w:rPr>
          <w:rFonts w:eastAsia="Times New Roman" w:cs="Times New Roman"/>
          <w:szCs w:val="24"/>
          <w:lang w:eastAsia="pt-BR"/>
        </w:rPr>
        <w:t>Segundo estes autores</w:t>
      </w:r>
      <w:r w:rsidR="00855625">
        <w:rPr>
          <w:rFonts w:eastAsia="Times New Roman" w:cs="Times New Roman"/>
          <w:szCs w:val="24"/>
          <w:lang w:eastAsia="pt-BR"/>
        </w:rPr>
        <w:t>,</w:t>
      </w:r>
      <w:r w:rsidRPr="000D050E">
        <w:rPr>
          <w:rFonts w:eastAsia="Times New Roman" w:cs="Times New Roman"/>
          <w:szCs w:val="24"/>
          <w:lang w:eastAsia="pt-BR"/>
        </w:rPr>
        <w:t xml:space="preserve"> a taxa de juros externa adequada para a CIP seria uma taxa externa, como a </w:t>
      </w:r>
      <w:r w:rsidR="00930732">
        <w:rPr>
          <w:rFonts w:eastAsia="Times New Roman" w:cs="Times New Roman"/>
          <w:i/>
          <w:iCs/>
          <w:szCs w:val="24"/>
          <w:lang w:eastAsia="pt-BR"/>
        </w:rPr>
        <w:t>li</w:t>
      </w:r>
      <w:r w:rsidR="00DF34C6">
        <w:rPr>
          <w:rFonts w:eastAsia="Times New Roman" w:cs="Times New Roman"/>
          <w:i/>
          <w:iCs/>
          <w:szCs w:val="24"/>
          <w:lang w:eastAsia="pt-BR"/>
        </w:rPr>
        <w:t>bor</w:t>
      </w:r>
      <w:r w:rsidRPr="000D050E">
        <w:rPr>
          <w:rFonts w:eastAsia="Times New Roman" w:cs="Times New Roman"/>
          <w:szCs w:val="24"/>
          <w:lang w:eastAsia="pt-BR"/>
        </w:rPr>
        <w:t xml:space="preserve"> mais um prêmio de risco</w:t>
      </w:r>
      <w:r>
        <w:rPr>
          <w:rStyle w:val="FootnoteReference"/>
          <w:rFonts w:eastAsia="Times New Roman" w:cs="Times New Roman"/>
          <w:szCs w:val="24"/>
          <w:lang w:eastAsia="pt-BR"/>
        </w:rPr>
        <w:footnoteReference w:id="11"/>
      </w:r>
      <w:r w:rsidRPr="000D050E">
        <w:rPr>
          <w:rFonts w:eastAsia="Times New Roman" w:cs="Times New Roman"/>
          <w:szCs w:val="24"/>
          <w:lang w:eastAsia="pt-BR"/>
        </w:rPr>
        <w:t>. Esta taxa seria equivalente à dos contratos futuros de cupom cambial</w:t>
      </w:r>
      <w:r>
        <w:rPr>
          <w:rStyle w:val="FootnoteReference"/>
          <w:rFonts w:eastAsia="Times New Roman" w:cs="Times New Roman"/>
          <w:szCs w:val="24"/>
          <w:lang w:eastAsia="pt-BR"/>
        </w:rPr>
        <w:footnoteReference w:id="12"/>
      </w:r>
      <w:r w:rsidRPr="000D050E">
        <w:rPr>
          <w:rFonts w:eastAsia="Times New Roman" w:cs="Times New Roman"/>
          <w:szCs w:val="24"/>
          <w:lang w:eastAsia="pt-BR"/>
        </w:rPr>
        <w:t>. Por fim, a série de câmbio futuro é construída com as cotações do contrato de vencimento mais próximo que, portanto, muda mensalmente</w:t>
      </w:r>
      <w:r>
        <w:rPr>
          <w:rStyle w:val="FootnoteReference"/>
          <w:rFonts w:eastAsia="Times New Roman" w:cs="Times New Roman"/>
          <w:szCs w:val="24"/>
          <w:lang w:eastAsia="pt-BR"/>
        </w:rPr>
        <w:footnoteReference w:id="13"/>
      </w:r>
      <w:r w:rsidR="00585DD4">
        <w:rPr>
          <w:rFonts w:eastAsia="Times New Roman" w:cs="Times New Roman"/>
          <w:szCs w:val="24"/>
          <w:lang w:eastAsia="pt-BR"/>
        </w:rPr>
        <w:t>.</w:t>
      </w:r>
    </w:p>
    <w:p w:rsidR="000D050E" w:rsidRDefault="000D050E" w:rsidP="00585DD4">
      <w:pPr>
        <w:pStyle w:val="Heading2"/>
        <w:rPr>
          <w:lang w:eastAsia="pt-BR"/>
        </w:rPr>
      </w:pPr>
      <w:r>
        <w:rPr>
          <w:lang w:eastAsia="pt-BR"/>
        </w:rPr>
        <w:t>Descrição</w:t>
      </w:r>
      <w:r w:rsidR="00B934B0">
        <w:rPr>
          <w:lang w:eastAsia="pt-BR"/>
        </w:rPr>
        <w:t xml:space="preserve"> e comentários sobre</w:t>
      </w:r>
      <w:r>
        <w:rPr>
          <w:lang w:eastAsia="pt-BR"/>
        </w:rPr>
        <w:t xml:space="preserve"> os </w:t>
      </w:r>
      <w:r w:rsidR="00B934B0">
        <w:rPr>
          <w:lang w:eastAsia="pt-BR"/>
        </w:rPr>
        <w:t>d</w:t>
      </w:r>
      <w:r>
        <w:rPr>
          <w:lang w:eastAsia="pt-BR"/>
        </w:rPr>
        <w:t>ados</w:t>
      </w:r>
    </w:p>
    <w:p w:rsidR="002F673F" w:rsidRDefault="006C209B" w:rsidP="001274B0">
      <w:pPr>
        <w:ind w:firstLine="360"/>
        <w:rPr>
          <w:rFonts w:eastAsia="Times New Roman" w:cs="Times New Roman"/>
          <w:szCs w:val="24"/>
          <w:lang w:eastAsia="pt-BR"/>
        </w:rPr>
      </w:pPr>
      <w:r>
        <w:rPr>
          <w:rFonts w:eastAsia="Times New Roman" w:cs="Times New Roman"/>
          <w:szCs w:val="24"/>
          <w:lang w:eastAsia="pt-BR"/>
        </w:rPr>
        <w:t>A dificuldade em realizar estudos empíricos no Brasil decorre</w:t>
      </w:r>
      <w:r w:rsidR="001274B0">
        <w:rPr>
          <w:rFonts w:eastAsia="Times New Roman" w:cs="Times New Roman"/>
          <w:szCs w:val="24"/>
          <w:lang w:eastAsia="pt-BR"/>
        </w:rPr>
        <w:t>,</w:t>
      </w:r>
      <w:r w:rsidR="0000052E">
        <w:rPr>
          <w:rFonts w:eastAsia="Times New Roman" w:cs="Times New Roman"/>
          <w:szCs w:val="24"/>
          <w:lang w:eastAsia="pt-BR"/>
        </w:rPr>
        <w:t xml:space="preserve"> </w:t>
      </w:r>
      <w:r w:rsidR="001274B0">
        <w:rPr>
          <w:rFonts w:eastAsia="Times New Roman" w:cs="Times New Roman"/>
          <w:szCs w:val="24"/>
          <w:lang w:eastAsia="pt-BR"/>
        </w:rPr>
        <w:t>muitas vezes, da inexistência de alguns dados,</w:t>
      </w:r>
      <w:r>
        <w:rPr>
          <w:rFonts w:eastAsia="Times New Roman" w:cs="Times New Roman"/>
          <w:szCs w:val="24"/>
          <w:lang w:eastAsia="pt-BR"/>
        </w:rPr>
        <w:t xml:space="preserve"> da qualidade desses dados</w:t>
      </w:r>
      <w:r w:rsidR="001274B0">
        <w:rPr>
          <w:rFonts w:eastAsia="Times New Roman" w:cs="Times New Roman"/>
          <w:szCs w:val="24"/>
          <w:lang w:eastAsia="pt-BR"/>
        </w:rPr>
        <w:t>,</w:t>
      </w:r>
      <w:r>
        <w:rPr>
          <w:rFonts w:eastAsia="Times New Roman" w:cs="Times New Roman"/>
          <w:szCs w:val="24"/>
          <w:lang w:eastAsia="pt-BR"/>
        </w:rPr>
        <w:t xml:space="preserve"> bem como da </w:t>
      </w:r>
      <w:r w:rsidR="001274B0">
        <w:rPr>
          <w:rFonts w:eastAsia="Times New Roman" w:cs="Times New Roman"/>
          <w:szCs w:val="24"/>
          <w:lang w:eastAsia="pt-BR"/>
        </w:rPr>
        <w:t xml:space="preserve">ausência de </w:t>
      </w:r>
      <w:r>
        <w:rPr>
          <w:rFonts w:eastAsia="Times New Roman" w:cs="Times New Roman"/>
          <w:szCs w:val="24"/>
          <w:lang w:eastAsia="pt-BR"/>
        </w:rPr>
        <w:t xml:space="preserve">séries </w:t>
      </w:r>
      <w:r w:rsidR="001274B0">
        <w:rPr>
          <w:rFonts w:eastAsia="Times New Roman" w:cs="Times New Roman"/>
          <w:szCs w:val="24"/>
          <w:lang w:eastAsia="pt-BR"/>
        </w:rPr>
        <w:t xml:space="preserve">de tempo </w:t>
      </w:r>
      <w:r>
        <w:rPr>
          <w:rFonts w:eastAsia="Times New Roman" w:cs="Times New Roman"/>
          <w:szCs w:val="24"/>
          <w:lang w:eastAsia="pt-BR"/>
        </w:rPr>
        <w:t xml:space="preserve">longas sem mudanças </w:t>
      </w:r>
      <w:r w:rsidR="00DF34C6">
        <w:rPr>
          <w:rFonts w:eastAsia="Times New Roman" w:cs="Times New Roman"/>
          <w:szCs w:val="24"/>
          <w:lang w:eastAsia="pt-BR"/>
        </w:rPr>
        <w:t>metodol</w:t>
      </w:r>
      <w:r>
        <w:rPr>
          <w:rFonts w:eastAsia="Times New Roman" w:cs="Times New Roman"/>
          <w:szCs w:val="24"/>
          <w:lang w:eastAsia="pt-BR"/>
        </w:rPr>
        <w:t>ógicas. No caso do teste da paridade coberta</w:t>
      </w:r>
      <w:r w:rsidR="00DF34C6">
        <w:rPr>
          <w:rFonts w:eastAsia="Times New Roman" w:cs="Times New Roman"/>
          <w:szCs w:val="24"/>
          <w:lang w:eastAsia="pt-BR"/>
        </w:rPr>
        <w:t>,</w:t>
      </w:r>
      <w:r>
        <w:rPr>
          <w:rFonts w:eastAsia="Times New Roman" w:cs="Times New Roman"/>
          <w:szCs w:val="24"/>
          <w:lang w:eastAsia="pt-BR"/>
        </w:rPr>
        <w:t xml:space="preserve"> acrescentamos ainda um desafio maior, decorrente da própria institucionalidade do mercado de câmbio brasileiro em comparação com os países centrais: </w:t>
      </w:r>
      <w:r w:rsidR="000D050E" w:rsidRPr="000D050E">
        <w:rPr>
          <w:rFonts w:eastAsia="Times New Roman" w:cs="Times New Roman"/>
          <w:szCs w:val="24"/>
          <w:lang w:eastAsia="pt-BR"/>
        </w:rPr>
        <w:t xml:space="preserve">a ausência, na </w:t>
      </w:r>
      <w:r>
        <w:rPr>
          <w:rFonts w:eastAsia="Times New Roman" w:cs="Times New Roman"/>
          <w:szCs w:val="24"/>
          <w:lang w:eastAsia="pt-BR"/>
        </w:rPr>
        <w:t>economia brasileira</w:t>
      </w:r>
      <w:r w:rsidR="000D050E" w:rsidRPr="000D050E">
        <w:rPr>
          <w:rFonts w:eastAsia="Times New Roman" w:cs="Times New Roman"/>
          <w:szCs w:val="24"/>
          <w:lang w:eastAsia="pt-BR"/>
        </w:rPr>
        <w:t>, de títulos compatíveis para as taxas de juros interna e externa</w:t>
      </w:r>
      <w:r w:rsidR="00DF34C6">
        <w:rPr>
          <w:rFonts w:eastAsia="Times New Roman" w:cs="Times New Roman"/>
          <w:szCs w:val="24"/>
          <w:lang w:eastAsia="pt-BR"/>
        </w:rPr>
        <w:t>. Em contraposição</w:t>
      </w:r>
      <w:r>
        <w:rPr>
          <w:rFonts w:eastAsia="Times New Roman" w:cs="Times New Roman"/>
          <w:szCs w:val="24"/>
          <w:lang w:eastAsia="pt-BR"/>
        </w:rPr>
        <w:t>,</w:t>
      </w:r>
      <w:r w:rsidR="0000052E">
        <w:rPr>
          <w:rFonts w:eastAsia="Times New Roman" w:cs="Times New Roman"/>
          <w:szCs w:val="24"/>
          <w:lang w:eastAsia="pt-BR"/>
        </w:rPr>
        <w:t xml:space="preserve"> </w:t>
      </w:r>
      <w:r w:rsidR="00DF34C6">
        <w:rPr>
          <w:rFonts w:eastAsia="Times New Roman" w:cs="Times New Roman"/>
          <w:szCs w:val="24"/>
          <w:lang w:eastAsia="pt-BR"/>
        </w:rPr>
        <w:t xml:space="preserve">para </w:t>
      </w:r>
      <w:r w:rsidRPr="00DF34C6">
        <w:rPr>
          <w:rFonts w:eastAsia="Times New Roman" w:cs="Times New Roman"/>
          <w:szCs w:val="24"/>
          <w:lang w:eastAsia="pt-BR"/>
        </w:rPr>
        <w:t>as economias desenvolvidas</w:t>
      </w:r>
      <w:r w:rsidR="00DF34C6">
        <w:rPr>
          <w:rFonts w:eastAsia="Times New Roman" w:cs="Times New Roman"/>
          <w:szCs w:val="24"/>
          <w:lang w:eastAsia="pt-BR"/>
        </w:rPr>
        <w:t>,</w:t>
      </w:r>
      <w:r w:rsidR="0000052E">
        <w:rPr>
          <w:rFonts w:eastAsia="Times New Roman" w:cs="Times New Roman"/>
          <w:szCs w:val="24"/>
          <w:lang w:eastAsia="pt-BR"/>
        </w:rPr>
        <w:t xml:space="preserve"> </w:t>
      </w:r>
      <w:r w:rsidR="00DF34C6">
        <w:rPr>
          <w:rFonts w:eastAsia="Times New Roman" w:cs="Times New Roman"/>
          <w:szCs w:val="24"/>
          <w:lang w:eastAsia="pt-BR"/>
        </w:rPr>
        <w:t xml:space="preserve">é possível </w:t>
      </w:r>
      <w:r w:rsidRPr="00DF34C6">
        <w:rPr>
          <w:rFonts w:eastAsia="Times New Roman" w:cs="Times New Roman"/>
          <w:szCs w:val="24"/>
          <w:lang w:eastAsia="pt-BR"/>
        </w:rPr>
        <w:t xml:space="preserve">utilizar as taxas </w:t>
      </w:r>
      <w:r w:rsidR="0002648C">
        <w:rPr>
          <w:rFonts w:eastAsia="Times New Roman" w:cs="Times New Roman"/>
          <w:i/>
          <w:szCs w:val="24"/>
          <w:lang w:eastAsia="pt-BR"/>
        </w:rPr>
        <w:t>li</w:t>
      </w:r>
      <w:r w:rsidR="00DF34C6">
        <w:rPr>
          <w:rFonts w:eastAsia="Times New Roman" w:cs="Times New Roman"/>
          <w:i/>
          <w:szCs w:val="24"/>
          <w:lang w:eastAsia="pt-BR"/>
        </w:rPr>
        <w:t>bor</w:t>
      </w:r>
      <w:r w:rsidRPr="00DF34C6">
        <w:rPr>
          <w:rFonts w:eastAsia="Times New Roman" w:cs="Times New Roman"/>
          <w:szCs w:val="24"/>
          <w:lang w:eastAsia="pt-BR"/>
        </w:rPr>
        <w:t xml:space="preserve"> ou d</w:t>
      </w:r>
      <w:r w:rsidR="00DF34C6">
        <w:rPr>
          <w:rFonts w:eastAsia="Times New Roman" w:cs="Times New Roman"/>
          <w:szCs w:val="24"/>
          <w:lang w:eastAsia="pt-BR"/>
        </w:rPr>
        <w:t>o E</w:t>
      </w:r>
      <w:r w:rsidRPr="00DF34C6">
        <w:rPr>
          <w:rFonts w:eastAsia="Times New Roman" w:cs="Times New Roman"/>
          <w:szCs w:val="24"/>
          <w:lang w:eastAsia="pt-BR"/>
        </w:rPr>
        <w:t>uromercado para comparar os juros em duas moedas</w:t>
      </w:r>
      <w:r w:rsidR="000D050E" w:rsidRPr="00DF34C6">
        <w:rPr>
          <w:rFonts w:eastAsia="Times New Roman" w:cs="Times New Roman"/>
          <w:szCs w:val="24"/>
          <w:lang w:eastAsia="pt-BR"/>
        </w:rPr>
        <w:t>. Pode-se atribuir a este fato, muito mais do que a uma suposta limitada mobilidade de capitais,</w:t>
      </w:r>
      <w:r w:rsidR="000D050E" w:rsidRPr="000D050E">
        <w:rPr>
          <w:rFonts w:eastAsia="Times New Roman" w:cs="Times New Roman"/>
          <w:szCs w:val="24"/>
          <w:lang w:eastAsia="pt-BR"/>
        </w:rPr>
        <w:t xml:space="preserve"> a dificuldade enfrentada por alguns autores nacionais para verificar a CIP.</w:t>
      </w:r>
      <w:r w:rsidR="0000052E">
        <w:rPr>
          <w:rFonts w:eastAsia="Times New Roman" w:cs="Times New Roman"/>
          <w:szCs w:val="24"/>
          <w:lang w:eastAsia="pt-BR"/>
        </w:rPr>
        <w:t xml:space="preserve"> </w:t>
      </w:r>
      <w:r w:rsidR="000D050E" w:rsidRPr="000D050E">
        <w:rPr>
          <w:rFonts w:eastAsia="Times New Roman" w:cs="Times New Roman"/>
          <w:szCs w:val="24"/>
          <w:lang w:eastAsia="pt-BR"/>
        </w:rPr>
        <w:t xml:space="preserve">Seria surpreendente </w:t>
      </w:r>
      <w:r w:rsidR="005A7C87">
        <w:rPr>
          <w:rFonts w:eastAsia="Times New Roman" w:cs="Times New Roman"/>
          <w:szCs w:val="24"/>
          <w:lang w:eastAsia="pt-BR"/>
        </w:rPr>
        <w:t>a falha da paridade coberta em uma economia</w:t>
      </w:r>
      <w:r w:rsidR="0000052E">
        <w:rPr>
          <w:rFonts w:eastAsia="Times New Roman" w:cs="Times New Roman"/>
          <w:szCs w:val="24"/>
          <w:lang w:eastAsia="pt-BR"/>
        </w:rPr>
        <w:t xml:space="preserve"> </w:t>
      </w:r>
      <w:r w:rsidR="00C33BE3">
        <w:rPr>
          <w:rFonts w:eastAsia="Times New Roman" w:cs="Times New Roman"/>
          <w:szCs w:val="24"/>
          <w:lang w:eastAsia="pt-BR"/>
        </w:rPr>
        <w:t xml:space="preserve">como a brasileira que, </w:t>
      </w:r>
      <w:r w:rsidR="00CC2086">
        <w:rPr>
          <w:rFonts w:eastAsia="Times New Roman" w:cs="Times New Roman"/>
          <w:szCs w:val="24"/>
          <w:lang w:eastAsia="pt-BR"/>
        </w:rPr>
        <w:t>ainda</w:t>
      </w:r>
      <w:r w:rsidR="005A7C87">
        <w:rPr>
          <w:rFonts w:eastAsia="Times New Roman" w:cs="Times New Roman"/>
          <w:szCs w:val="24"/>
          <w:lang w:eastAsia="pt-BR"/>
        </w:rPr>
        <w:t xml:space="preserve"> que periférica</w:t>
      </w:r>
      <w:r w:rsidR="00CC2086">
        <w:rPr>
          <w:rFonts w:eastAsia="Times New Roman" w:cs="Times New Roman"/>
          <w:szCs w:val="24"/>
          <w:lang w:eastAsia="pt-BR"/>
        </w:rPr>
        <w:t>,</w:t>
      </w:r>
      <w:r w:rsidR="0000052E">
        <w:rPr>
          <w:rFonts w:eastAsia="Times New Roman" w:cs="Times New Roman"/>
          <w:szCs w:val="24"/>
          <w:lang w:eastAsia="pt-BR"/>
        </w:rPr>
        <w:t xml:space="preserve"> </w:t>
      </w:r>
      <w:r w:rsidR="00C33BE3">
        <w:rPr>
          <w:rFonts w:eastAsia="Times New Roman" w:cs="Times New Roman"/>
          <w:szCs w:val="24"/>
          <w:lang w:eastAsia="pt-BR"/>
        </w:rPr>
        <w:t xml:space="preserve">é </w:t>
      </w:r>
      <w:r w:rsidR="005A7C87">
        <w:rPr>
          <w:rFonts w:eastAsia="Times New Roman" w:cs="Times New Roman"/>
          <w:szCs w:val="24"/>
          <w:lang w:eastAsia="pt-BR"/>
        </w:rPr>
        <w:t xml:space="preserve">intensamente integrada </w:t>
      </w:r>
      <w:r w:rsidR="00C33BE3">
        <w:rPr>
          <w:rFonts w:eastAsia="Times New Roman" w:cs="Times New Roman"/>
          <w:szCs w:val="24"/>
          <w:lang w:eastAsia="pt-BR"/>
        </w:rPr>
        <w:t>a</w:t>
      </w:r>
      <w:r w:rsidR="005A7C87">
        <w:rPr>
          <w:rFonts w:eastAsia="Times New Roman" w:cs="Times New Roman"/>
          <w:szCs w:val="24"/>
          <w:lang w:eastAsia="pt-BR"/>
        </w:rPr>
        <w:t>o sistema financeiro mundial</w:t>
      </w:r>
      <w:r w:rsidR="000D050E" w:rsidRPr="000D050E">
        <w:rPr>
          <w:rFonts w:eastAsia="Times New Roman" w:cs="Times New Roman"/>
          <w:szCs w:val="24"/>
          <w:lang w:eastAsia="pt-BR"/>
        </w:rPr>
        <w:t xml:space="preserve">. </w:t>
      </w:r>
    </w:p>
    <w:p w:rsidR="000D050E" w:rsidRPr="000D050E" w:rsidRDefault="00F54B75" w:rsidP="00F54B75">
      <w:pPr>
        <w:ind w:firstLine="708"/>
        <w:rPr>
          <w:rFonts w:eastAsia="Times New Roman" w:cs="Times New Roman"/>
          <w:szCs w:val="24"/>
          <w:lang w:eastAsia="pt-BR"/>
        </w:rPr>
      </w:pPr>
      <w:r>
        <w:rPr>
          <w:rFonts w:eastAsia="Times New Roman" w:cs="Times New Roman"/>
          <w:szCs w:val="24"/>
          <w:lang w:eastAsia="pt-BR"/>
        </w:rPr>
        <w:t>Devido à inexistência de dados exatos, a</w:t>
      </w:r>
      <w:r w:rsidR="00CC2086" w:rsidRPr="000D050E">
        <w:rPr>
          <w:rFonts w:eastAsia="Times New Roman" w:cs="Times New Roman"/>
          <w:szCs w:val="24"/>
          <w:lang w:eastAsia="pt-BR"/>
        </w:rPr>
        <w:t>s variáveis utilizadas neste estudo são</w:t>
      </w:r>
      <w:r w:rsidR="0000052E">
        <w:rPr>
          <w:rFonts w:eastAsia="Times New Roman" w:cs="Times New Roman"/>
          <w:szCs w:val="24"/>
          <w:lang w:eastAsia="pt-BR"/>
        </w:rPr>
        <w:t xml:space="preserve"> </w:t>
      </w:r>
      <w:r w:rsidR="00930732">
        <w:rPr>
          <w:rFonts w:eastAsia="Times New Roman" w:cs="Times New Roman"/>
          <w:i/>
          <w:iCs/>
          <w:szCs w:val="24"/>
          <w:lang w:eastAsia="pt-BR"/>
        </w:rPr>
        <w:t>proxie</w:t>
      </w:r>
      <w:r w:rsidR="00CC2086" w:rsidRPr="000D050E">
        <w:rPr>
          <w:rFonts w:eastAsia="Times New Roman" w:cs="Times New Roman"/>
          <w:i/>
          <w:iCs/>
          <w:szCs w:val="24"/>
          <w:lang w:eastAsia="pt-BR"/>
        </w:rPr>
        <w:t>s</w:t>
      </w:r>
      <w:r w:rsidR="00CC2086" w:rsidRPr="000D050E">
        <w:rPr>
          <w:rFonts w:eastAsia="Times New Roman" w:cs="Times New Roman"/>
          <w:szCs w:val="24"/>
          <w:lang w:eastAsia="pt-BR"/>
        </w:rPr>
        <w:t xml:space="preserve"> das ideais</w:t>
      </w:r>
      <w:r w:rsidR="00C33BE3">
        <w:rPr>
          <w:rFonts w:eastAsia="Times New Roman" w:cs="Times New Roman"/>
          <w:szCs w:val="24"/>
          <w:lang w:eastAsia="pt-BR"/>
        </w:rPr>
        <w:t>,</w:t>
      </w:r>
      <w:r w:rsidR="0000052E">
        <w:rPr>
          <w:rFonts w:eastAsia="Times New Roman" w:cs="Times New Roman"/>
          <w:szCs w:val="24"/>
          <w:lang w:eastAsia="pt-BR"/>
        </w:rPr>
        <w:t xml:space="preserve"> </w:t>
      </w:r>
      <w:r w:rsidR="00CC2086">
        <w:rPr>
          <w:rFonts w:eastAsia="Times New Roman" w:cs="Times New Roman"/>
          <w:szCs w:val="24"/>
          <w:lang w:eastAsia="pt-BR"/>
        </w:rPr>
        <w:t>uma vez que</w:t>
      </w:r>
      <w:r w:rsidR="00CC2086" w:rsidRPr="000D050E">
        <w:rPr>
          <w:rFonts w:eastAsia="Times New Roman" w:cs="Times New Roman"/>
          <w:szCs w:val="24"/>
          <w:lang w:eastAsia="pt-BR"/>
        </w:rPr>
        <w:t xml:space="preserve"> não são computadas contemporan</w:t>
      </w:r>
      <w:r w:rsidR="00CC2086">
        <w:rPr>
          <w:rFonts w:eastAsia="Times New Roman" w:cs="Times New Roman"/>
          <w:szCs w:val="24"/>
          <w:lang w:eastAsia="pt-BR"/>
        </w:rPr>
        <w:t>eamente</w:t>
      </w:r>
      <w:r>
        <w:rPr>
          <w:rFonts w:eastAsia="Times New Roman" w:cs="Times New Roman"/>
          <w:szCs w:val="24"/>
          <w:lang w:eastAsia="pt-BR"/>
        </w:rPr>
        <w:t>,</w:t>
      </w:r>
      <w:r w:rsidR="0000052E">
        <w:rPr>
          <w:rFonts w:eastAsia="Times New Roman" w:cs="Times New Roman"/>
          <w:szCs w:val="24"/>
          <w:lang w:eastAsia="pt-BR"/>
        </w:rPr>
        <w:t xml:space="preserve"> </w:t>
      </w:r>
      <w:r>
        <w:rPr>
          <w:rFonts w:eastAsia="Times New Roman" w:cs="Times New Roman"/>
          <w:szCs w:val="24"/>
          <w:lang w:eastAsia="pt-BR"/>
        </w:rPr>
        <w:t>como seria necessário</w:t>
      </w:r>
      <w:r w:rsidRPr="000D050E">
        <w:rPr>
          <w:rFonts w:eastAsia="Times New Roman" w:cs="Times New Roman"/>
          <w:szCs w:val="24"/>
          <w:lang w:eastAsia="pt-BR"/>
        </w:rPr>
        <w:t xml:space="preserve"> para o cálculo da CIP</w:t>
      </w:r>
      <w:r>
        <w:rPr>
          <w:rStyle w:val="FootnoteReference"/>
          <w:rFonts w:eastAsia="Times New Roman" w:cs="Times New Roman"/>
          <w:szCs w:val="24"/>
          <w:lang w:eastAsia="pt-BR"/>
        </w:rPr>
        <w:footnoteReference w:id="14"/>
      </w:r>
      <w:r>
        <w:rPr>
          <w:rFonts w:eastAsia="Times New Roman" w:cs="Times New Roman"/>
          <w:szCs w:val="24"/>
          <w:lang w:eastAsia="pt-BR"/>
        </w:rPr>
        <w:t xml:space="preserve">. Como consequência, </w:t>
      </w:r>
      <w:r w:rsidR="00CC2086" w:rsidRPr="000D050E">
        <w:rPr>
          <w:rFonts w:eastAsia="Times New Roman" w:cs="Times New Roman"/>
          <w:szCs w:val="24"/>
          <w:lang w:eastAsia="pt-BR"/>
        </w:rPr>
        <w:t xml:space="preserve">há </w:t>
      </w:r>
      <w:r>
        <w:rPr>
          <w:rFonts w:eastAsia="Times New Roman" w:cs="Times New Roman"/>
          <w:szCs w:val="24"/>
          <w:lang w:eastAsia="pt-BR"/>
        </w:rPr>
        <w:t xml:space="preserve">sempre </w:t>
      </w:r>
      <w:r w:rsidR="00CC2086" w:rsidRPr="000D050E">
        <w:rPr>
          <w:rFonts w:eastAsia="Times New Roman" w:cs="Times New Roman"/>
          <w:szCs w:val="24"/>
          <w:lang w:eastAsia="pt-BR"/>
        </w:rPr>
        <w:t xml:space="preserve">algum desvio entre o </w:t>
      </w:r>
      <w:r w:rsidR="00CC2086" w:rsidRPr="000D050E">
        <w:rPr>
          <w:rFonts w:eastAsia="Times New Roman" w:cs="Times New Roman"/>
          <w:i/>
          <w:iCs/>
          <w:szCs w:val="24"/>
          <w:lang w:eastAsia="pt-BR"/>
        </w:rPr>
        <w:t>forward</w:t>
      </w:r>
      <w:r w:rsidR="0000052E">
        <w:rPr>
          <w:rFonts w:eastAsia="Times New Roman" w:cs="Times New Roman"/>
          <w:i/>
          <w:iCs/>
          <w:szCs w:val="24"/>
          <w:lang w:eastAsia="pt-BR"/>
        </w:rPr>
        <w:t xml:space="preserve"> </w:t>
      </w:r>
      <w:r w:rsidR="00855625">
        <w:rPr>
          <w:rFonts w:eastAsia="Times New Roman" w:cs="Times New Roman"/>
          <w:i/>
          <w:iCs/>
          <w:szCs w:val="24"/>
          <w:lang w:eastAsia="pt-BR"/>
        </w:rPr>
        <w:t>premium</w:t>
      </w:r>
      <w:r w:rsidR="0000052E">
        <w:rPr>
          <w:rFonts w:eastAsia="Times New Roman" w:cs="Times New Roman"/>
          <w:i/>
          <w:iCs/>
          <w:szCs w:val="24"/>
          <w:lang w:eastAsia="pt-BR"/>
        </w:rPr>
        <w:t xml:space="preserve"> </w:t>
      </w:r>
      <w:r w:rsidR="00CC2086" w:rsidRPr="000D050E">
        <w:rPr>
          <w:rFonts w:eastAsia="Times New Roman" w:cs="Times New Roman"/>
          <w:szCs w:val="24"/>
          <w:lang w:eastAsia="pt-BR"/>
        </w:rPr>
        <w:t>e o diferencial de juros.</w:t>
      </w:r>
      <w:r w:rsidR="0000052E">
        <w:rPr>
          <w:rFonts w:eastAsia="Times New Roman" w:cs="Times New Roman"/>
          <w:szCs w:val="24"/>
          <w:lang w:eastAsia="pt-BR"/>
        </w:rPr>
        <w:t xml:space="preserve"> </w:t>
      </w:r>
      <w:r>
        <w:rPr>
          <w:rFonts w:eastAsia="Times New Roman" w:cs="Times New Roman"/>
          <w:szCs w:val="24"/>
          <w:lang w:eastAsia="pt-BR"/>
        </w:rPr>
        <w:t>Devido às imperfeições dos dados</w:t>
      </w:r>
      <w:r w:rsidRPr="000D050E">
        <w:rPr>
          <w:rFonts w:eastAsia="Times New Roman" w:cs="Times New Roman"/>
          <w:szCs w:val="24"/>
          <w:lang w:eastAsia="pt-BR"/>
        </w:rPr>
        <w:t>,</w:t>
      </w:r>
      <w:r w:rsidR="0000052E">
        <w:rPr>
          <w:rFonts w:eastAsia="Times New Roman" w:cs="Times New Roman"/>
          <w:szCs w:val="24"/>
          <w:lang w:eastAsia="pt-BR"/>
        </w:rPr>
        <w:t xml:space="preserve"> </w:t>
      </w:r>
      <w:r w:rsidR="000D050E" w:rsidRPr="000D050E">
        <w:rPr>
          <w:rFonts w:eastAsia="Times New Roman" w:cs="Times New Roman"/>
          <w:szCs w:val="24"/>
          <w:lang w:eastAsia="pt-BR"/>
        </w:rPr>
        <w:t>não podemos prescindir d</w:t>
      </w:r>
      <w:r w:rsidR="00CC2086">
        <w:rPr>
          <w:rFonts w:eastAsia="Times New Roman" w:cs="Times New Roman"/>
          <w:szCs w:val="24"/>
          <w:lang w:eastAsia="pt-BR"/>
        </w:rPr>
        <w:t>a utilização d</w:t>
      </w:r>
      <w:r w:rsidR="000D050E" w:rsidRPr="000D050E">
        <w:rPr>
          <w:rFonts w:eastAsia="Times New Roman" w:cs="Times New Roman"/>
          <w:szCs w:val="24"/>
          <w:lang w:eastAsia="pt-BR"/>
        </w:rPr>
        <w:t xml:space="preserve">e métodos econométricos para avaliar o teorema em questão. </w:t>
      </w:r>
    </w:p>
    <w:p w:rsidR="000D050E" w:rsidRDefault="005A7C87" w:rsidP="008D175D">
      <w:pPr>
        <w:rPr>
          <w:rFonts w:eastAsia="Times New Roman" w:cs="Times New Roman"/>
          <w:i/>
          <w:szCs w:val="24"/>
          <w:lang w:eastAsia="pt-BR"/>
        </w:rPr>
      </w:pPr>
      <w:r>
        <w:rPr>
          <w:rFonts w:eastAsia="Times New Roman" w:cs="Times New Roman"/>
          <w:szCs w:val="24"/>
          <w:lang w:eastAsia="pt-BR"/>
        </w:rPr>
        <w:tab/>
      </w:r>
      <w:r w:rsidR="000D050E" w:rsidRPr="000D050E">
        <w:rPr>
          <w:rFonts w:eastAsia="Times New Roman" w:cs="Times New Roman"/>
          <w:szCs w:val="24"/>
          <w:lang w:eastAsia="pt-BR"/>
        </w:rPr>
        <w:t>Tendo em vista tais dificuldades</w:t>
      </w:r>
      <w:r w:rsidR="00DA1463">
        <w:rPr>
          <w:rFonts w:eastAsia="Times New Roman" w:cs="Times New Roman"/>
          <w:szCs w:val="24"/>
          <w:lang w:eastAsia="pt-BR"/>
        </w:rPr>
        <w:t>,</w:t>
      </w:r>
      <w:r w:rsidR="0000052E">
        <w:rPr>
          <w:rFonts w:eastAsia="Times New Roman" w:cs="Times New Roman"/>
          <w:szCs w:val="24"/>
          <w:lang w:eastAsia="pt-BR"/>
        </w:rPr>
        <w:t xml:space="preserve"> </w:t>
      </w:r>
      <w:r w:rsidR="000D050E" w:rsidRPr="000D050E">
        <w:rPr>
          <w:rFonts w:eastAsia="Times New Roman" w:cs="Times New Roman"/>
          <w:szCs w:val="24"/>
          <w:lang w:eastAsia="pt-BR"/>
        </w:rPr>
        <w:t>optou-se</w:t>
      </w:r>
      <w:r w:rsidR="0000052E">
        <w:rPr>
          <w:rFonts w:eastAsia="Times New Roman" w:cs="Times New Roman"/>
          <w:szCs w:val="24"/>
          <w:lang w:eastAsia="pt-BR"/>
        </w:rPr>
        <w:t xml:space="preserve"> </w:t>
      </w:r>
      <w:r w:rsidR="00422323">
        <w:rPr>
          <w:rFonts w:eastAsia="Times New Roman" w:cs="Times New Roman"/>
          <w:szCs w:val="24"/>
          <w:lang w:eastAsia="pt-BR"/>
        </w:rPr>
        <w:t xml:space="preserve">nesta seção, antes de partir para os resultados econométricos, por realizar uma análise minuciosa dos dados. Primeiramente, </w:t>
      </w:r>
      <w:r w:rsidR="008D175D">
        <w:rPr>
          <w:rFonts w:eastAsia="Times New Roman" w:cs="Times New Roman"/>
          <w:szCs w:val="24"/>
          <w:lang w:eastAsia="pt-BR"/>
        </w:rPr>
        <w:lastRenderedPageBreak/>
        <w:t>compar</w:t>
      </w:r>
      <w:r w:rsidR="00422323">
        <w:rPr>
          <w:rFonts w:eastAsia="Times New Roman" w:cs="Times New Roman"/>
          <w:szCs w:val="24"/>
          <w:lang w:eastAsia="pt-BR"/>
        </w:rPr>
        <w:t xml:space="preserve">ou-se </w:t>
      </w:r>
      <w:r w:rsidR="008D175D">
        <w:rPr>
          <w:rFonts w:eastAsia="Times New Roman" w:cs="Times New Roman"/>
          <w:szCs w:val="24"/>
          <w:lang w:eastAsia="pt-BR"/>
        </w:rPr>
        <w:t xml:space="preserve">a CIP calculada com </w:t>
      </w:r>
      <w:r w:rsidR="00F54B75">
        <w:rPr>
          <w:rFonts w:eastAsia="Times New Roman" w:cs="Times New Roman"/>
          <w:szCs w:val="24"/>
          <w:lang w:eastAsia="pt-BR"/>
        </w:rPr>
        <w:t>contra</w:t>
      </w:r>
      <w:r w:rsidR="008D175D">
        <w:rPr>
          <w:rFonts w:eastAsia="Times New Roman" w:cs="Times New Roman"/>
          <w:szCs w:val="24"/>
          <w:lang w:eastAsia="pt-BR"/>
        </w:rPr>
        <w:t xml:space="preserve">tos de câmbio futuro e cupom cambial de diferentes maturidades e </w:t>
      </w:r>
      <w:r w:rsidR="000D050E" w:rsidRPr="000D050E">
        <w:rPr>
          <w:rFonts w:eastAsia="Times New Roman" w:cs="Times New Roman"/>
          <w:szCs w:val="24"/>
          <w:lang w:eastAsia="pt-BR"/>
        </w:rPr>
        <w:t>em um horizonte relativamente grande de tempo</w:t>
      </w:r>
      <w:r w:rsidR="00855625">
        <w:rPr>
          <w:rFonts w:eastAsia="Times New Roman" w:cs="Times New Roman"/>
          <w:szCs w:val="24"/>
          <w:lang w:eastAsia="pt-BR"/>
        </w:rPr>
        <w:t>,</w:t>
      </w:r>
      <w:r w:rsidR="000D050E" w:rsidRPr="000D050E">
        <w:rPr>
          <w:rFonts w:eastAsia="Times New Roman" w:cs="Times New Roman"/>
          <w:szCs w:val="24"/>
          <w:lang w:eastAsia="pt-BR"/>
        </w:rPr>
        <w:t xml:space="preserve"> que inclui períodos de turbulência no mercado brasileiro de moeda estrangeira. Desta forma</w:t>
      </w:r>
      <w:r w:rsidR="00DA1463">
        <w:rPr>
          <w:rFonts w:eastAsia="Times New Roman" w:cs="Times New Roman"/>
          <w:szCs w:val="24"/>
          <w:lang w:eastAsia="pt-BR"/>
        </w:rPr>
        <w:t>,</w:t>
      </w:r>
      <w:r w:rsidR="0000052E">
        <w:rPr>
          <w:rFonts w:eastAsia="Times New Roman" w:cs="Times New Roman"/>
          <w:szCs w:val="24"/>
          <w:lang w:eastAsia="pt-BR"/>
        </w:rPr>
        <w:t xml:space="preserve"> </w:t>
      </w:r>
      <w:r w:rsidR="008D175D">
        <w:rPr>
          <w:rFonts w:eastAsia="Times New Roman" w:cs="Times New Roman"/>
          <w:szCs w:val="24"/>
          <w:lang w:eastAsia="pt-BR"/>
        </w:rPr>
        <w:t>é possível observar desvios da paridade coberta no Brasil</w:t>
      </w:r>
      <w:r w:rsidR="000D050E" w:rsidRPr="000D050E">
        <w:rPr>
          <w:rFonts w:eastAsia="Times New Roman" w:cs="Times New Roman"/>
          <w:szCs w:val="24"/>
          <w:lang w:eastAsia="pt-BR"/>
        </w:rPr>
        <w:t>.</w:t>
      </w:r>
      <w:r w:rsidR="008D175D">
        <w:rPr>
          <w:rFonts w:eastAsia="Times New Roman" w:cs="Times New Roman"/>
          <w:szCs w:val="24"/>
          <w:lang w:eastAsia="pt-BR"/>
        </w:rPr>
        <w:t>Em seguida</w:t>
      </w:r>
      <w:r w:rsidR="00C33BE3">
        <w:rPr>
          <w:rFonts w:eastAsia="Times New Roman" w:cs="Times New Roman"/>
          <w:szCs w:val="24"/>
          <w:lang w:eastAsia="pt-BR"/>
        </w:rPr>
        <w:t>,</w:t>
      </w:r>
      <w:r w:rsidR="008D175D">
        <w:rPr>
          <w:rFonts w:eastAsia="Times New Roman" w:cs="Times New Roman"/>
          <w:szCs w:val="24"/>
          <w:lang w:eastAsia="pt-BR"/>
        </w:rPr>
        <w:t xml:space="preserve"> prosseguimos para a comparação entre as taxas de juros do cupom cambial e as taxas externas </w:t>
      </w:r>
      <w:r w:rsidR="00C33BE3">
        <w:rPr>
          <w:rFonts w:eastAsia="Times New Roman" w:cs="Times New Roman"/>
          <w:szCs w:val="24"/>
          <w:lang w:eastAsia="pt-BR"/>
        </w:rPr>
        <w:t xml:space="preserve">acrescidas </w:t>
      </w:r>
      <w:r w:rsidR="008D175D">
        <w:rPr>
          <w:rFonts w:eastAsia="Times New Roman" w:cs="Times New Roman"/>
          <w:szCs w:val="24"/>
          <w:lang w:eastAsia="pt-BR"/>
        </w:rPr>
        <w:t xml:space="preserve">do spread do </w:t>
      </w:r>
      <w:r w:rsidR="00C33BE3">
        <w:rPr>
          <w:rFonts w:eastAsia="Times New Roman" w:cs="Times New Roman"/>
          <w:i/>
          <w:szCs w:val="24"/>
          <w:lang w:eastAsia="pt-BR"/>
        </w:rPr>
        <w:t>EMBI+</w:t>
      </w:r>
      <w:r w:rsidR="00893024">
        <w:rPr>
          <w:rFonts w:eastAsia="Times New Roman" w:cs="Times New Roman"/>
          <w:i/>
          <w:szCs w:val="24"/>
          <w:lang w:eastAsia="pt-BR"/>
        </w:rPr>
        <w:t>.</w:t>
      </w:r>
    </w:p>
    <w:p w:rsidR="008727E6" w:rsidRPr="0067354F" w:rsidRDefault="0067354F" w:rsidP="0067354F">
      <w:pPr>
        <w:rPr>
          <w:rFonts w:eastAsia="Times New Roman" w:cs="Times New Roman"/>
          <w:szCs w:val="24"/>
          <w:lang w:eastAsia="pt-BR"/>
        </w:rPr>
      </w:pPr>
      <w:r>
        <w:rPr>
          <w:rFonts w:eastAsia="Times New Roman" w:cs="Times New Roman"/>
          <w:szCs w:val="24"/>
          <w:lang w:eastAsia="pt-BR"/>
        </w:rPr>
        <w:tab/>
      </w:r>
      <w:r w:rsidR="00F54B75">
        <w:rPr>
          <w:rFonts w:eastAsia="Times New Roman" w:cs="Times New Roman"/>
          <w:szCs w:val="24"/>
          <w:lang w:eastAsia="pt-BR"/>
        </w:rPr>
        <w:t>A taxa de câmbio à vista é calculada</w:t>
      </w:r>
      <w:r w:rsidR="00CC2086">
        <w:rPr>
          <w:rFonts w:eastAsia="Times New Roman" w:cs="Times New Roman"/>
          <w:szCs w:val="24"/>
          <w:lang w:eastAsia="pt-BR"/>
        </w:rPr>
        <w:t xml:space="preserve"> pel</w:t>
      </w:r>
      <w:r>
        <w:rPr>
          <w:rFonts w:eastAsia="Times New Roman" w:cs="Times New Roman"/>
          <w:szCs w:val="24"/>
          <w:lang w:eastAsia="pt-BR"/>
        </w:rPr>
        <w:t xml:space="preserve">a média entre as taxas de câmbio diárias de compra e venda, em reais por dólar, computadas pelo Banco Central do Brasil. </w:t>
      </w:r>
      <w:r w:rsidR="00016337" w:rsidRPr="000D050E">
        <w:rPr>
          <w:rFonts w:eastAsia="Times New Roman" w:cs="Times New Roman"/>
          <w:szCs w:val="24"/>
          <w:lang w:eastAsia="pt-BR"/>
        </w:rPr>
        <w:t xml:space="preserve">As taxas de câmbio futuro, por sua vez, são representadas pelos preços de ajuste diários dos contratos de futuro dólar, cotados na Bolsa de Mercadorias e Futuros (BM&amp;F) e coletados na </w:t>
      </w:r>
      <w:r w:rsidR="00016337" w:rsidRPr="00855625">
        <w:rPr>
          <w:rFonts w:eastAsia="Times New Roman" w:cs="Times New Roman"/>
          <w:i/>
          <w:szCs w:val="24"/>
          <w:lang w:eastAsia="pt-BR"/>
        </w:rPr>
        <w:t>Bloomberg</w:t>
      </w:r>
      <w:r w:rsidR="00016337">
        <w:rPr>
          <w:rStyle w:val="FootnoteReference"/>
          <w:rFonts w:eastAsia="Times New Roman" w:cs="Times New Roman"/>
          <w:szCs w:val="24"/>
          <w:lang w:eastAsia="pt-BR"/>
        </w:rPr>
        <w:footnoteReference w:id="15"/>
      </w:r>
      <w:r w:rsidR="00016337" w:rsidRPr="000D050E">
        <w:rPr>
          <w:rFonts w:eastAsia="Times New Roman" w:cs="Times New Roman"/>
          <w:szCs w:val="24"/>
          <w:lang w:eastAsia="pt-BR"/>
        </w:rPr>
        <w:t>. Devido ao grande número de contratos</w:t>
      </w:r>
      <w:r w:rsidR="002105CC">
        <w:rPr>
          <w:rFonts w:eastAsia="Times New Roman" w:cs="Times New Roman"/>
          <w:szCs w:val="24"/>
          <w:lang w:eastAsia="pt-BR"/>
        </w:rPr>
        <w:t>,</w:t>
      </w:r>
      <w:r w:rsidR="00016337" w:rsidRPr="000D050E">
        <w:rPr>
          <w:rFonts w:eastAsia="Times New Roman" w:cs="Times New Roman"/>
          <w:szCs w:val="24"/>
          <w:lang w:eastAsia="pt-BR"/>
        </w:rPr>
        <w:t xml:space="preserve"> concentramos a análise em doze contratos futuros, com vencimento nos meses de janeiro e julho, entre 2008 e 2014</w:t>
      </w:r>
      <w:r w:rsidR="00016337">
        <w:rPr>
          <w:rStyle w:val="FootnoteReference"/>
          <w:rFonts w:eastAsia="Times New Roman" w:cs="Times New Roman"/>
          <w:szCs w:val="24"/>
          <w:lang w:eastAsia="pt-BR"/>
        </w:rPr>
        <w:footnoteReference w:id="16"/>
      </w:r>
      <w:r w:rsidR="00016337">
        <w:rPr>
          <w:rFonts w:eastAsia="Times New Roman" w:cs="Times New Roman"/>
          <w:szCs w:val="24"/>
          <w:lang w:eastAsia="pt-BR"/>
        </w:rPr>
        <w:t>.</w:t>
      </w:r>
      <w:r>
        <w:rPr>
          <w:rFonts w:eastAsia="Times New Roman" w:cs="Times New Roman"/>
          <w:szCs w:val="24"/>
          <w:lang w:eastAsia="pt-BR"/>
        </w:rPr>
        <w:t xml:space="preserve"> Deve-se atentar</w:t>
      </w:r>
      <w:r w:rsidR="00CC2086">
        <w:rPr>
          <w:rFonts w:eastAsia="Times New Roman" w:cs="Times New Roman"/>
          <w:szCs w:val="24"/>
          <w:lang w:eastAsia="pt-BR"/>
        </w:rPr>
        <w:t>, portanto,</w:t>
      </w:r>
      <w:r>
        <w:rPr>
          <w:rFonts w:eastAsia="Times New Roman" w:cs="Times New Roman"/>
          <w:szCs w:val="24"/>
          <w:lang w:eastAsia="pt-BR"/>
        </w:rPr>
        <w:t xml:space="preserve"> para a diferença entre </w:t>
      </w:r>
      <w:r w:rsidR="008727E6" w:rsidRPr="00F52841">
        <w:rPr>
          <w:rFonts w:eastAsia="Times New Roman" w:cs="Times New Roman"/>
          <w:szCs w:val="24"/>
          <w:lang w:eastAsia="pt-BR"/>
        </w:rPr>
        <w:t xml:space="preserve">o momento </w:t>
      </w:r>
      <w:r w:rsidR="00CC2086">
        <w:rPr>
          <w:rFonts w:eastAsia="Times New Roman" w:cs="Times New Roman"/>
          <w:szCs w:val="24"/>
          <w:lang w:eastAsia="pt-BR"/>
        </w:rPr>
        <w:t xml:space="preserve">em que é computada </w:t>
      </w:r>
      <w:r w:rsidR="008727E6" w:rsidRPr="00F52841">
        <w:rPr>
          <w:rFonts w:eastAsia="Times New Roman" w:cs="Times New Roman"/>
          <w:szCs w:val="24"/>
          <w:lang w:eastAsia="pt-BR"/>
        </w:rPr>
        <w:t xml:space="preserve">a cotação </w:t>
      </w:r>
      <w:r w:rsidR="00032D55">
        <w:rPr>
          <w:rFonts w:eastAsia="Times New Roman" w:cs="Times New Roman"/>
          <w:szCs w:val="24"/>
          <w:lang w:eastAsia="pt-BR"/>
        </w:rPr>
        <w:t>d</w:t>
      </w:r>
      <w:r w:rsidR="00032D55" w:rsidRPr="00032D55">
        <w:rPr>
          <w:rFonts w:eastAsia="Times New Roman" w:cs="Times New Roman"/>
          <w:szCs w:val="24"/>
          <w:lang w:eastAsia="pt-BR"/>
        </w:rPr>
        <w:t>a taxa</w:t>
      </w:r>
      <w:r w:rsidR="0000052E">
        <w:rPr>
          <w:rFonts w:eastAsia="Times New Roman" w:cs="Times New Roman"/>
          <w:szCs w:val="24"/>
          <w:lang w:eastAsia="pt-BR"/>
        </w:rPr>
        <w:t xml:space="preserve"> </w:t>
      </w:r>
      <w:r w:rsidR="008727E6" w:rsidRPr="00AA5CC0">
        <w:rPr>
          <w:rFonts w:eastAsia="Times New Roman" w:cs="Times New Roman"/>
          <w:i/>
          <w:szCs w:val="24"/>
          <w:lang w:eastAsia="pt-BR"/>
        </w:rPr>
        <w:t>spot</w:t>
      </w:r>
      <w:r w:rsidR="008727E6" w:rsidRPr="00F52841">
        <w:rPr>
          <w:rFonts w:eastAsia="Times New Roman" w:cs="Times New Roman"/>
          <w:szCs w:val="24"/>
          <w:lang w:eastAsia="pt-BR"/>
        </w:rPr>
        <w:t xml:space="preserve"> e</w:t>
      </w:r>
      <w:r w:rsidR="00AA5CC0">
        <w:rPr>
          <w:rFonts w:eastAsia="Times New Roman" w:cs="Times New Roman"/>
          <w:szCs w:val="24"/>
          <w:lang w:eastAsia="pt-BR"/>
        </w:rPr>
        <w:t xml:space="preserve"> futura</w:t>
      </w:r>
      <w:r w:rsidR="008727E6" w:rsidRPr="00F52841">
        <w:rPr>
          <w:rFonts w:eastAsia="Times New Roman" w:cs="Times New Roman"/>
          <w:szCs w:val="24"/>
          <w:lang w:eastAsia="pt-BR"/>
        </w:rPr>
        <w:t xml:space="preserve">. Enquanto a </w:t>
      </w:r>
      <w:r w:rsidR="00AA5CC0">
        <w:rPr>
          <w:rFonts w:eastAsia="Times New Roman" w:cs="Times New Roman"/>
          <w:szCs w:val="24"/>
          <w:lang w:eastAsia="pt-BR"/>
        </w:rPr>
        <w:t>primeira</w:t>
      </w:r>
      <w:r w:rsidR="008727E6" w:rsidRPr="00F52841">
        <w:rPr>
          <w:rFonts w:eastAsia="Times New Roman" w:cs="Times New Roman"/>
          <w:szCs w:val="24"/>
          <w:lang w:eastAsia="pt-BR"/>
        </w:rPr>
        <w:t xml:space="preserve"> é calculada pelo preço médio do dia</w:t>
      </w:r>
      <w:r w:rsidR="00687FB0" w:rsidRPr="00032D55">
        <w:rPr>
          <w:rStyle w:val="FootnoteReference"/>
          <w:rFonts w:eastAsia="Times New Roman" w:cs="Times New Roman"/>
          <w:szCs w:val="24"/>
          <w:lang w:eastAsia="pt-BR"/>
        </w:rPr>
        <w:footnoteReference w:id="17"/>
      </w:r>
      <w:r w:rsidR="008727E6" w:rsidRPr="00F52841">
        <w:rPr>
          <w:rFonts w:eastAsia="Times New Roman" w:cs="Times New Roman"/>
          <w:szCs w:val="24"/>
          <w:lang w:eastAsia="pt-BR"/>
        </w:rPr>
        <w:t xml:space="preserve">, a </w:t>
      </w:r>
      <w:r w:rsidR="00AA5CC0">
        <w:rPr>
          <w:rFonts w:eastAsia="Times New Roman" w:cs="Times New Roman"/>
          <w:szCs w:val="24"/>
          <w:lang w:eastAsia="pt-BR"/>
        </w:rPr>
        <w:t>segunda consiste n</w:t>
      </w:r>
      <w:r w:rsidR="008727E6" w:rsidRPr="00F52841">
        <w:rPr>
          <w:rFonts w:eastAsia="Times New Roman" w:cs="Times New Roman"/>
          <w:szCs w:val="24"/>
          <w:lang w:eastAsia="pt-BR"/>
        </w:rPr>
        <w:t>o preço médio dos contrato</w:t>
      </w:r>
      <w:r w:rsidR="00687FB0">
        <w:rPr>
          <w:rFonts w:eastAsia="Times New Roman" w:cs="Times New Roman"/>
          <w:szCs w:val="24"/>
          <w:lang w:eastAsia="pt-BR"/>
        </w:rPr>
        <w:t>s</w:t>
      </w:r>
      <w:r w:rsidR="008727E6" w:rsidRPr="00F52841">
        <w:rPr>
          <w:rFonts w:eastAsia="Times New Roman" w:cs="Times New Roman"/>
          <w:szCs w:val="24"/>
          <w:lang w:eastAsia="pt-BR"/>
        </w:rPr>
        <w:t xml:space="preserve"> futuro</w:t>
      </w:r>
      <w:r w:rsidR="00687FB0">
        <w:rPr>
          <w:rFonts w:eastAsia="Times New Roman" w:cs="Times New Roman"/>
          <w:szCs w:val="24"/>
          <w:lang w:eastAsia="pt-BR"/>
        </w:rPr>
        <w:t>s</w:t>
      </w:r>
      <w:r w:rsidR="008727E6" w:rsidRPr="00F52841">
        <w:rPr>
          <w:rFonts w:eastAsia="Times New Roman" w:cs="Times New Roman"/>
          <w:szCs w:val="24"/>
          <w:lang w:eastAsia="pt-BR"/>
        </w:rPr>
        <w:t xml:space="preserve"> negocia</w:t>
      </w:r>
      <w:r w:rsidR="00AA5CC0">
        <w:rPr>
          <w:rFonts w:eastAsia="Times New Roman" w:cs="Times New Roman"/>
          <w:szCs w:val="24"/>
          <w:lang w:eastAsia="pt-BR"/>
        </w:rPr>
        <w:t xml:space="preserve">dos durante o período da tarde: </w:t>
      </w:r>
      <w:r w:rsidR="008727E6" w:rsidRPr="00F52841">
        <w:rPr>
          <w:rFonts w:eastAsia="Times New Roman" w:cs="Times New Roman"/>
          <w:szCs w:val="24"/>
          <w:lang w:eastAsia="pt-BR"/>
        </w:rPr>
        <w:t xml:space="preserve">o </w:t>
      </w:r>
      <w:r w:rsidR="00AA5CC0">
        <w:rPr>
          <w:rFonts w:eastAsia="Times New Roman" w:cs="Times New Roman"/>
          <w:szCs w:val="24"/>
          <w:lang w:eastAsia="pt-BR"/>
        </w:rPr>
        <w:t>preço de ajuste diário.</w:t>
      </w:r>
    </w:p>
    <w:p w:rsidR="00687FB0" w:rsidRDefault="00687FB0" w:rsidP="001274B0">
      <w:pPr>
        <w:ind w:firstLine="357"/>
      </w:pPr>
      <w:r>
        <w:t xml:space="preserve">O gráfico </w:t>
      </w:r>
      <w:r w:rsidR="00CC2086">
        <w:t>1</w:t>
      </w:r>
      <w:r w:rsidR="0000052E">
        <w:t xml:space="preserve"> </w:t>
      </w:r>
      <w:r>
        <w:t xml:space="preserve">abaixo apresenta a taxa de câmbio </w:t>
      </w:r>
      <w:r w:rsidRPr="001274B0">
        <w:rPr>
          <w:i/>
        </w:rPr>
        <w:t>spot</w:t>
      </w:r>
      <w:r>
        <w:t xml:space="preserve"> e as taxas dos contratos futuros com vencimento em janeiro de diversos anos. Há uma visível convergência do preço futuro para o </w:t>
      </w:r>
      <w:r w:rsidRPr="00687FB0">
        <w:rPr>
          <w:i/>
        </w:rPr>
        <w:t>spot</w:t>
      </w:r>
      <w:r>
        <w:t xml:space="preserve"> quando o primeiro se aproxima do vencimento. Naturalmente</w:t>
      </w:r>
      <w:r w:rsidR="001274B0">
        <w:t>,</w:t>
      </w:r>
      <w:r>
        <w:t xml:space="preserve"> quanto mais distante do vencimento maior é a distância entre os dois preços, devido ao maior diferencial de juros implícito na taxa futura, como explicam Ventura e Garcia (2012, p.39).</w:t>
      </w:r>
    </w:p>
    <w:p w:rsidR="000D050E" w:rsidRDefault="000D050E" w:rsidP="005B40A9">
      <w:pPr>
        <w:pStyle w:val="Heading3"/>
      </w:pPr>
      <w:r>
        <w:t>Taxas de Câmbio Spot x Futuro (janeiro)</w:t>
      </w:r>
    </w:p>
    <w:p w:rsidR="005B40A9" w:rsidRPr="005B40A9" w:rsidRDefault="005B40A9" w:rsidP="005B40A9">
      <w:r w:rsidRPr="005B40A9">
        <w:rPr>
          <w:noProof/>
          <w:lang w:eastAsia="pt-BR"/>
        </w:rPr>
        <w:drawing>
          <wp:inline distT="0" distB="0" distL="0" distR="0">
            <wp:extent cx="5399566" cy="19526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1952797"/>
                    </a:xfrm>
                    <a:prstGeom prst="rect">
                      <a:avLst/>
                    </a:prstGeom>
                    <a:noFill/>
                    <a:ln>
                      <a:noFill/>
                    </a:ln>
                  </pic:spPr>
                </pic:pic>
              </a:graphicData>
            </a:graphic>
          </wp:inline>
        </w:drawing>
      </w:r>
    </w:p>
    <w:p w:rsidR="00687FB0" w:rsidRPr="00D84E34" w:rsidRDefault="000D050E" w:rsidP="00845F87">
      <w:r>
        <w:tab/>
        <w:t>Consideremos agora as taxas de juros. Afirmamos ante</w:t>
      </w:r>
      <w:r w:rsidR="001274B0">
        <w:t xml:space="preserve">riormente </w:t>
      </w:r>
      <w:r>
        <w:t>que as duas taxas precisam ser compatíveis, ou seja, devem ser observadas exatamente no mesmo período de tempo e estarem relacionadas a títulos de igual maturidade. Mais importante ai</w:t>
      </w:r>
      <w:r w:rsidR="00687FB0">
        <w:t>nda</w:t>
      </w:r>
      <w:r w:rsidR="002F7305">
        <w:t xml:space="preserve"> </w:t>
      </w:r>
      <w:r w:rsidR="00687FB0">
        <w:t xml:space="preserve">é que os agentes </w:t>
      </w:r>
      <w:r>
        <w:t xml:space="preserve">tenham acesso </w:t>
      </w:r>
      <w:r w:rsidR="00CC2086">
        <w:t xml:space="preserve">à liquidez, </w:t>
      </w:r>
      <w:r>
        <w:t xml:space="preserve">tanto </w:t>
      </w:r>
      <w:r w:rsidR="00CC2086">
        <w:t>em moeda doméstica quanto estrangeira</w:t>
      </w:r>
      <w:r w:rsidR="00687FB0">
        <w:t xml:space="preserve">. </w:t>
      </w:r>
      <w:r>
        <w:t>Este objetivo é cumprido quando se utilizam</w:t>
      </w:r>
      <w:r w:rsidR="00687FB0">
        <w:t>, por exemplo,</w:t>
      </w:r>
      <w:r>
        <w:t xml:space="preserve"> taxas </w:t>
      </w:r>
      <w:r w:rsidR="00930732">
        <w:rPr>
          <w:i/>
        </w:rPr>
        <w:t>li</w:t>
      </w:r>
      <w:r w:rsidR="00DF34C6">
        <w:rPr>
          <w:i/>
        </w:rPr>
        <w:t>bor</w:t>
      </w:r>
      <w:r w:rsidR="002F7305">
        <w:rPr>
          <w:i/>
        </w:rPr>
        <w:t xml:space="preserve"> </w:t>
      </w:r>
      <w:r w:rsidR="00687FB0">
        <w:t xml:space="preserve">de duas moedas diferentes </w:t>
      </w:r>
      <w:r>
        <w:t>para calcular a CIP.</w:t>
      </w:r>
      <w:r w:rsidR="001274B0">
        <w:t xml:space="preserve"> U</w:t>
      </w:r>
      <w:r w:rsidR="00687FB0">
        <w:t xml:space="preserve">ma vez que agentes brasileiros não são capazes de captar </w:t>
      </w:r>
      <w:r w:rsidR="00687FB0">
        <w:lastRenderedPageBreak/>
        <w:t xml:space="preserve">ao custo das taxas externas como </w:t>
      </w:r>
      <w:r w:rsidR="00930732">
        <w:rPr>
          <w:i/>
        </w:rPr>
        <w:t>li</w:t>
      </w:r>
      <w:r w:rsidR="001274B0">
        <w:rPr>
          <w:i/>
        </w:rPr>
        <w:t>bor</w:t>
      </w:r>
      <w:r w:rsidR="0000052E">
        <w:rPr>
          <w:i/>
        </w:rPr>
        <w:t xml:space="preserve"> </w:t>
      </w:r>
      <w:r w:rsidR="00687FB0">
        <w:t xml:space="preserve">em dólares ou </w:t>
      </w:r>
      <w:r w:rsidR="001274B0">
        <w:t>F</w:t>
      </w:r>
      <w:r w:rsidR="00687FB0" w:rsidRPr="00687FB0">
        <w:rPr>
          <w:i/>
        </w:rPr>
        <w:t>ed</w:t>
      </w:r>
      <w:r w:rsidR="002F7305">
        <w:rPr>
          <w:i/>
        </w:rPr>
        <w:t xml:space="preserve"> </w:t>
      </w:r>
      <w:r w:rsidR="001274B0">
        <w:rPr>
          <w:i/>
        </w:rPr>
        <w:t>F</w:t>
      </w:r>
      <w:r w:rsidR="00687FB0" w:rsidRPr="00687FB0">
        <w:rPr>
          <w:i/>
        </w:rPr>
        <w:t>unds</w:t>
      </w:r>
      <w:r w:rsidR="001274B0">
        <w:rPr>
          <w:i/>
        </w:rPr>
        <w:t xml:space="preserve">, </w:t>
      </w:r>
      <w:r w:rsidR="001274B0">
        <w:t xml:space="preserve">estas </w:t>
      </w:r>
      <w:r w:rsidR="00687FB0">
        <w:t>não podem ser comparadas diretamente com taxas internas como SELIC ou CDI no que concerne à paridade coberta de juros</w:t>
      </w:r>
      <w:r w:rsidR="00F20903">
        <w:rPr>
          <w:rStyle w:val="FootnoteReference"/>
        </w:rPr>
        <w:footnoteReference w:id="18"/>
      </w:r>
      <w:r w:rsidR="00687FB0">
        <w:t>.</w:t>
      </w:r>
      <w:r w:rsidR="002F7305">
        <w:t xml:space="preserve"> </w:t>
      </w:r>
      <w:r w:rsidR="00D84E34">
        <w:t>Faz se necessário, po</w:t>
      </w:r>
      <w:r w:rsidR="007C04D3">
        <w:t>rtanto</w:t>
      </w:r>
      <w:r w:rsidR="00D84E34">
        <w:t xml:space="preserve">, que seja considerada uma taxa externa como a </w:t>
      </w:r>
      <w:r w:rsidR="00930732">
        <w:rPr>
          <w:i/>
        </w:rPr>
        <w:t>li</w:t>
      </w:r>
      <w:r w:rsidR="00DF34C6">
        <w:rPr>
          <w:i/>
        </w:rPr>
        <w:t>bor</w:t>
      </w:r>
      <w:r w:rsidR="002F7305">
        <w:rPr>
          <w:i/>
        </w:rPr>
        <w:t xml:space="preserve"> </w:t>
      </w:r>
      <w:r w:rsidR="001274B0">
        <w:t xml:space="preserve">acrescida do </w:t>
      </w:r>
      <w:r w:rsidR="001274B0">
        <w:rPr>
          <w:i/>
        </w:rPr>
        <w:t>s</w:t>
      </w:r>
      <w:r w:rsidR="00D84E34" w:rsidRPr="001274B0">
        <w:rPr>
          <w:i/>
        </w:rPr>
        <w:t>pread</w:t>
      </w:r>
      <w:r w:rsidR="00D84E34">
        <w:t xml:space="preserve"> imposto aos agentes brasileiros quanto se financiam no exterior, cuja </w:t>
      </w:r>
      <w:r w:rsidR="00D84E34" w:rsidRPr="00D84E34">
        <w:rPr>
          <w:i/>
        </w:rPr>
        <w:t>proxy</w:t>
      </w:r>
      <w:r w:rsidR="00D84E34">
        <w:t xml:space="preserve"> é o </w:t>
      </w:r>
      <w:r w:rsidR="00D84E34" w:rsidRPr="001274B0">
        <w:rPr>
          <w:i/>
        </w:rPr>
        <w:t>spread</w:t>
      </w:r>
      <w:r w:rsidR="00D84E34">
        <w:t xml:space="preserve"> dos títulos da dívida externa nacional dado pelo </w:t>
      </w:r>
      <w:r w:rsidR="00C33BE3">
        <w:rPr>
          <w:i/>
        </w:rPr>
        <w:t>EMBI+</w:t>
      </w:r>
      <w:r w:rsidR="00D84E34">
        <w:t>.</w:t>
      </w:r>
    </w:p>
    <w:p w:rsidR="00F0459E" w:rsidRDefault="000D050E" w:rsidP="005B7A02">
      <w:pPr>
        <w:rPr>
          <w:rFonts w:eastAsia="Times New Roman" w:cs="Times New Roman"/>
          <w:szCs w:val="24"/>
          <w:lang w:eastAsia="pt-BR"/>
        </w:rPr>
      </w:pPr>
      <w:r>
        <w:rPr>
          <w:rFonts w:eastAsia="Times New Roman" w:cs="Times New Roman"/>
          <w:szCs w:val="24"/>
          <w:lang w:eastAsia="pt-BR"/>
        </w:rPr>
        <w:tab/>
      </w:r>
      <w:r w:rsidR="00CC2086">
        <w:rPr>
          <w:rFonts w:eastAsia="Times New Roman" w:cs="Times New Roman"/>
          <w:szCs w:val="24"/>
          <w:lang w:eastAsia="pt-BR"/>
        </w:rPr>
        <w:t>A</w:t>
      </w:r>
      <w:r w:rsidR="00562F48">
        <w:rPr>
          <w:rFonts w:eastAsia="Times New Roman" w:cs="Times New Roman"/>
          <w:szCs w:val="24"/>
          <w:lang w:eastAsia="pt-BR"/>
        </w:rPr>
        <w:t xml:space="preserve"> taxa do cupom cambial</w:t>
      </w:r>
      <w:r w:rsidR="005B7A02">
        <w:rPr>
          <w:rStyle w:val="FootnoteReference"/>
          <w:rFonts w:eastAsia="Times New Roman" w:cs="Times New Roman"/>
          <w:szCs w:val="24"/>
          <w:lang w:eastAsia="pt-BR"/>
        </w:rPr>
        <w:footnoteReference w:id="19"/>
      </w:r>
      <w:r w:rsidR="00562F48">
        <w:rPr>
          <w:rFonts w:eastAsia="Times New Roman" w:cs="Times New Roman"/>
          <w:szCs w:val="24"/>
          <w:lang w:eastAsia="pt-BR"/>
        </w:rPr>
        <w:t xml:space="preserve"> é uma taxa de juros em reais indexada ao dólar </w:t>
      </w:r>
      <w:r w:rsidR="005B7A02">
        <w:rPr>
          <w:rFonts w:eastAsia="Times New Roman" w:cs="Times New Roman"/>
          <w:szCs w:val="24"/>
          <w:lang w:eastAsia="pt-BR"/>
        </w:rPr>
        <w:t xml:space="preserve">ou </w:t>
      </w:r>
      <w:r w:rsidR="005B7A02" w:rsidRPr="000D050E">
        <w:rPr>
          <w:rFonts w:eastAsia="Times New Roman" w:cs="Times New Roman"/>
          <w:i/>
          <w:iCs/>
          <w:szCs w:val="24"/>
          <w:lang w:eastAsia="pt-BR"/>
        </w:rPr>
        <w:t>“a taxa de rendimento, em moeda estrangeira, obtida para um investimento no Brasil para um título indexado ao dólar”</w:t>
      </w:r>
      <w:r w:rsidR="005B7A02" w:rsidRPr="000D050E">
        <w:rPr>
          <w:rFonts w:eastAsia="Times New Roman" w:cs="Times New Roman"/>
          <w:szCs w:val="24"/>
          <w:lang w:eastAsia="pt-BR"/>
        </w:rPr>
        <w:t xml:space="preserve"> (Garcia e Didier, 2003, p.262)</w:t>
      </w:r>
      <w:r w:rsidR="005B7A02">
        <w:rPr>
          <w:rFonts w:eastAsia="Times New Roman" w:cs="Times New Roman"/>
          <w:szCs w:val="24"/>
          <w:lang w:eastAsia="pt-BR"/>
        </w:rPr>
        <w:t xml:space="preserve"> e seria a taxa externa relevant</w:t>
      </w:r>
      <w:r w:rsidR="007C04D3">
        <w:rPr>
          <w:rFonts w:eastAsia="Times New Roman" w:cs="Times New Roman"/>
          <w:szCs w:val="24"/>
          <w:lang w:eastAsia="pt-BR"/>
        </w:rPr>
        <w:t xml:space="preserve">e para a CIP no Brasil segundo </w:t>
      </w:r>
      <w:r w:rsidR="005B7A02">
        <w:rPr>
          <w:rFonts w:eastAsia="Times New Roman" w:cs="Times New Roman"/>
          <w:szCs w:val="24"/>
          <w:lang w:eastAsia="pt-BR"/>
        </w:rPr>
        <w:t>Ventura e Garcia</w:t>
      </w:r>
      <w:r w:rsidR="007C04D3">
        <w:rPr>
          <w:rFonts w:eastAsia="Times New Roman" w:cs="Times New Roman"/>
          <w:szCs w:val="24"/>
          <w:lang w:eastAsia="pt-BR"/>
        </w:rPr>
        <w:t xml:space="preserve"> (</w:t>
      </w:r>
      <w:r w:rsidR="005B7A02">
        <w:rPr>
          <w:rFonts w:eastAsia="Times New Roman" w:cs="Times New Roman"/>
          <w:szCs w:val="24"/>
          <w:lang w:eastAsia="pt-BR"/>
        </w:rPr>
        <w:t xml:space="preserve">2012, p.39). </w:t>
      </w:r>
      <w:r w:rsidR="007C04D3">
        <w:rPr>
          <w:rFonts w:eastAsia="Times New Roman" w:cs="Times New Roman"/>
          <w:szCs w:val="24"/>
          <w:lang w:eastAsia="pt-BR"/>
        </w:rPr>
        <w:t xml:space="preserve">Contudo, esta taxa </w:t>
      </w:r>
      <w:r w:rsidR="005B7A02">
        <w:rPr>
          <w:rFonts w:eastAsia="Times New Roman" w:cs="Times New Roman"/>
          <w:szCs w:val="24"/>
          <w:lang w:eastAsia="pt-BR"/>
        </w:rPr>
        <w:t>é um fechamento tautológico para a paridade coberta, já que no cupom cambial</w:t>
      </w:r>
      <m:oMath>
        <m:sSubSup>
          <m:sSubSupPr>
            <m:ctrlPr>
              <w:rPr>
                <w:rFonts w:ascii="Cambria Math" w:eastAsia="Times New Roman" w:hAnsi="Cambria Math" w:cs="Times New Roman"/>
                <w:i/>
                <w:szCs w:val="24"/>
                <w:lang w:eastAsia="pt-BR"/>
              </w:rPr>
            </m:ctrlPr>
          </m:sSubSupPr>
          <m:e>
            <m:r>
              <w:rPr>
                <w:rFonts w:ascii="Cambria Math" w:eastAsia="Times New Roman" w:hAnsi="Cambria Math" w:cs="Times New Roman"/>
                <w:szCs w:val="24"/>
                <w:lang w:eastAsia="pt-BR"/>
              </w:rPr>
              <m:t>(i</m:t>
            </m:r>
          </m:e>
          <m:sub/>
          <m:sup>
            <m:r>
              <w:rPr>
                <w:rFonts w:ascii="Cambria Math" w:eastAsia="Times New Roman" w:hAnsi="Cambria Math" w:cs="Times New Roman"/>
                <w:szCs w:val="24"/>
                <w:lang w:eastAsia="pt-BR"/>
              </w:rPr>
              <m:t>CC</m:t>
            </m:r>
          </m:sup>
        </m:sSubSup>
        <m:r>
          <w:rPr>
            <w:rFonts w:ascii="Cambria Math" w:eastAsia="Times New Roman" w:hAnsi="Cambria Math" w:cs="Times New Roman"/>
            <w:szCs w:val="24"/>
            <w:lang w:eastAsia="pt-BR"/>
          </w:rPr>
          <m:t>)</m:t>
        </m:r>
      </m:oMath>
      <w:r w:rsidR="005B7A02">
        <w:rPr>
          <w:rFonts w:eastAsia="Times New Roman" w:cs="Times New Roman"/>
          <w:szCs w:val="24"/>
          <w:lang w:eastAsia="pt-BR"/>
        </w:rPr>
        <w:t xml:space="preserve"> a taxa doméstica</w:t>
      </w:r>
      <m:oMath>
        <m:r>
          <w:rPr>
            <w:rFonts w:ascii="Cambria Math" w:eastAsia="Times New Roman" w:hAnsi="Cambria Math" w:cs="Times New Roman"/>
            <w:szCs w:val="24"/>
            <w:lang w:eastAsia="pt-BR"/>
          </w:rPr>
          <m:t>(</m:t>
        </m:r>
        <m:sSup>
          <m:sSupPr>
            <m:ctrlPr>
              <w:rPr>
                <w:rFonts w:ascii="Cambria Math" w:eastAsia="Times New Roman" w:hAnsi="Cambria Math" w:cs="Times New Roman"/>
                <w:i/>
                <w:szCs w:val="24"/>
                <w:lang w:eastAsia="pt-BR"/>
              </w:rPr>
            </m:ctrlPr>
          </m:sSupPr>
          <m:e>
            <m:r>
              <w:rPr>
                <w:rFonts w:ascii="Cambria Math" w:eastAsia="Times New Roman" w:hAnsi="Cambria Math" w:cs="Times New Roman"/>
                <w:szCs w:val="24"/>
                <w:lang w:eastAsia="pt-BR"/>
              </w:rPr>
              <m:t>i</m:t>
            </m:r>
          </m:e>
          <m:sup>
            <m:r>
              <w:rPr>
                <w:rFonts w:ascii="Cambria Math" w:eastAsia="Times New Roman" w:hAnsi="Cambria Math" w:cs="Times New Roman"/>
                <w:szCs w:val="24"/>
                <w:lang w:eastAsia="pt-BR"/>
              </w:rPr>
              <m:t>CDI</m:t>
            </m:r>
          </m:sup>
        </m:sSup>
        <m:r>
          <w:rPr>
            <w:rFonts w:ascii="Cambria Math" w:eastAsia="Times New Roman" w:hAnsi="Cambria Math" w:cs="Times New Roman"/>
            <w:szCs w:val="24"/>
            <w:lang w:eastAsia="pt-BR"/>
          </w:rPr>
          <m:t>)</m:t>
        </m:r>
      </m:oMath>
      <w:r w:rsidR="005B7A02">
        <w:rPr>
          <w:rFonts w:eastAsia="Times New Roman" w:cs="Times New Roman"/>
          <w:szCs w:val="24"/>
          <w:lang w:eastAsia="pt-BR"/>
        </w:rPr>
        <w:t xml:space="preserve"> é dividida pela variação entre o câmbio </w:t>
      </w:r>
      <w:r w:rsidR="005B7A02" w:rsidRPr="005B7A02">
        <w:rPr>
          <w:rFonts w:eastAsia="Times New Roman" w:cs="Times New Roman"/>
          <w:i/>
          <w:szCs w:val="24"/>
          <w:lang w:eastAsia="pt-BR"/>
        </w:rPr>
        <w:t>spot</w:t>
      </w:r>
      <w:r w:rsidR="005B7A02">
        <w:rPr>
          <w:rFonts w:eastAsia="Times New Roman" w:cs="Times New Roman"/>
          <w:szCs w:val="24"/>
          <w:lang w:eastAsia="pt-BR"/>
        </w:rPr>
        <w:t xml:space="preserve"> na compra e a taxa de câmbio futuro</w:t>
      </w:r>
      <m:oMath>
        <m:r>
          <w:rPr>
            <w:rFonts w:ascii="Cambria Math" w:eastAsia="Times New Roman" w:hAnsi="Cambria Math" w:cs="Times New Roman"/>
            <w:szCs w:val="24"/>
            <w:lang w:eastAsia="pt-BR"/>
          </w:rPr>
          <m:t>(f/s)</m:t>
        </m:r>
      </m:oMath>
      <w:r w:rsidR="005B7A02">
        <w:rPr>
          <w:rFonts w:eastAsia="Times New Roman" w:cs="Times New Roman"/>
          <w:szCs w:val="24"/>
          <w:lang w:eastAsia="pt-BR"/>
        </w:rPr>
        <w:t xml:space="preserve"> referente ao contrato de vencimento igual ao do cupom cambial</w:t>
      </w:r>
      <m:oMath>
        <m:r>
          <w:rPr>
            <w:rFonts w:ascii="Cambria Math" w:eastAsia="Times New Roman" w:hAnsi="Cambria Math" w:cs="Times New Roman"/>
            <w:szCs w:val="24"/>
            <w:lang w:eastAsia="pt-BR"/>
          </w:rPr>
          <m:t>(t,t+k)</m:t>
        </m:r>
      </m:oMath>
      <w:r w:rsidR="005B7A02">
        <w:rPr>
          <w:rFonts w:eastAsia="Times New Roman" w:cs="Times New Roman"/>
          <w:szCs w:val="24"/>
          <w:lang w:eastAsia="pt-BR"/>
        </w:rPr>
        <w:t xml:space="preserve"> (Pinheiro, Almeida e Vicente, 2007, p.82). L</w:t>
      </w:r>
      <w:r w:rsidR="00E90A71">
        <w:rPr>
          <w:rFonts w:eastAsia="Times New Roman" w:cs="Times New Roman"/>
          <w:szCs w:val="24"/>
          <w:lang w:eastAsia="pt-BR"/>
        </w:rPr>
        <w:t xml:space="preserve">ogo, como fica claro na equação </w:t>
      </w:r>
      <m:oMath>
        <m:r>
          <w:rPr>
            <w:rFonts w:ascii="Cambria Math" w:eastAsia="Times New Roman" w:hAnsi="Cambria Math" w:cs="Times New Roman"/>
            <w:szCs w:val="24"/>
            <w:lang w:eastAsia="pt-BR"/>
          </w:rPr>
          <m:t>(7)</m:t>
        </m:r>
      </m:oMath>
      <w:r w:rsidR="005B7A02">
        <w:rPr>
          <w:rFonts w:eastAsia="Times New Roman" w:cs="Times New Roman"/>
          <w:szCs w:val="24"/>
          <w:lang w:eastAsia="pt-BR"/>
        </w:rPr>
        <w:t>, esta</w:t>
      </w:r>
      <w:r w:rsidR="00360C88">
        <w:rPr>
          <w:rFonts w:eastAsia="Times New Roman" w:cs="Times New Roman"/>
          <w:szCs w:val="24"/>
          <w:lang w:eastAsia="pt-BR"/>
        </w:rPr>
        <w:t xml:space="preserve"> taxa </w:t>
      </w:r>
      <w:r w:rsidR="001F3E66">
        <w:rPr>
          <w:rFonts w:eastAsia="Times New Roman" w:cs="Times New Roman"/>
          <w:szCs w:val="24"/>
          <w:lang w:eastAsia="pt-BR"/>
        </w:rPr>
        <w:t>é</w:t>
      </w:r>
      <w:r w:rsidR="003130C4">
        <w:rPr>
          <w:rFonts w:eastAsia="Times New Roman" w:cs="Times New Roman"/>
          <w:szCs w:val="24"/>
          <w:lang w:eastAsia="pt-BR"/>
        </w:rPr>
        <w:t xml:space="preserve"> </w:t>
      </w:r>
      <w:r w:rsidR="005B7A02">
        <w:rPr>
          <w:rFonts w:eastAsia="Times New Roman" w:cs="Times New Roman"/>
          <w:szCs w:val="24"/>
          <w:lang w:eastAsia="pt-BR"/>
        </w:rPr>
        <w:t>equivalente a</w:t>
      </w:r>
      <w:r w:rsidR="003130C4">
        <w:rPr>
          <w:rFonts w:eastAsia="Times New Roman" w:cs="Times New Roman"/>
          <w:szCs w:val="24"/>
          <w:lang w:eastAsia="pt-BR"/>
        </w:rPr>
        <w:t xml:space="preserve"> </w:t>
      </w:r>
      <w:r w:rsidR="001F3E66">
        <w:rPr>
          <w:rFonts w:eastAsia="Times New Roman" w:cs="Times New Roman"/>
          <w:szCs w:val="24"/>
          <w:lang w:eastAsia="pt-BR"/>
        </w:rPr>
        <w:t xml:space="preserve">uma operação estruturada, onde o agente toma crédito no exterior, aplica num papel atrelado ao CDI no Brasil, tendo que fazer a conversão pela taxa </w:t>
      </w:r>
      <w:r w:rsidR="001F3E66" w:rsidRPr="00F52841">
        <w:rPr>
          <w:rFonts w:eastAsia="Times New Roman" w:cs="Times New Roman"/>
          <w:i/>
          <w:szCs w:val="24"/>
          <w:lang w:eastAsia="pt-BR"/>
        </w:rPr>
        <w:t>spot</w:t>
      </w:r>
      <w:r w:rsidR="001F3E66">
        <w:rPr>
          <w:rFonts w:eastAsia="Times New Roman" w:cs="Times New Roman"/>
          <w:szCs w:val="24"/>
          <w:lang w:eastAsia="pt-BR"/>
        </w:rPr>
        <w:t xml:space="preserve">, e simultaneamente faz um </w:t>
      </w:r>
      <w:r w:rsidR="005A3011" w:rsidRPr="00F52841">
        <w:rPr>
          <w:i/>
        </w:rPr>
        <w:t>hedge</w:t>
      </w:r>
      <w:r w:rsidR="003130C4">
        <w:rPr>
          <w:i/>
        </w:rPr>
        <w:t xml:space="preserve"> </w:t>
      </w:r>
      <w:r w:rsidR="001F3E66">
        <w:rPr>
          <w:rFonts w:eastAsia="Times New Roman" w:cs="Times New Roman"/>
          <w:szCs w:val="24"/>
          <w:lang w:eastAsia="pt-BR"/>
        </w:rPr>
        <w:t xml:space="preserve">cambial no mercado futuro. </w:t>
      </w:r>
    </w:p>
    <w:p w:rsidR="00E50236" w:rsidRPr="00AC2290" w:rsidRDefault="002500C6" w:rsidP="00AC2290">
      <w:pPr>
        <w:ind w:firstLine="708"/>
        <w:rPr>
          <w:rFonts w:eastAsia="Times New Roman" w:cs="Times New Roman"/>
          <w:szCs w:val="24"/>
          <w:lang w:eastAsia="pt-BR"/>
        </w:rPr>
      </w:pPr>
      <m:oMathPara>
        <m:oMath>
          <m:sSubSup>
            <m:sSubSupPr>
              <m:ctrlPr>
                <w:rPr>
                  <w:rFonts w:ascii="Cambria Math" w:eastAsia="Times New Roman" w:hAnsi="Cambria Math" w:cs="Times New Roman"/>
                  <w:i/>
                  <w:szCs w:val="24"/>
                  <w:lang w:eastAsia="pt-BR"/>
                </w:rPr>
              </m:ctrlPr>
            </m:sSubSupPr>
            <m:e>
              <m:r>
                <w:rPr>
                  <w:rFonts w:ascii="Cambria Math" w:eastAsia="Times New Roman" w:hAnsi="Cambria Math" w:cs="Times New Roman"/>
                  <w:szCs w:val="24"/>
                  <w:lang w:eastAsia="pt-BR"/>
                </w:rPr>
                <m:t>i</m:t>
              </m:r>
            </m:e>
            <m:sub>
              <m:r>
                <w:rPr>
                  <w:rFonts w:ascii="Cambria Math" w:eastAsia="Times New Roman" w:hAnsi="Cambria Math" w:cs="Times New Roman"/>
                  <w:szCs w:val="24"/>
                  <w:lang w:eastAsia="pt-BR"/>
                </w:rPr>
                <m:t>t,t+k</m:t>
              </m:r>
            </m:sub>
            <m:sup>
              <m:r>
                <w:rPr>
                  <w:rFonts w:ascii="Cambria Math" w:eastAsia="Times New Roman" w:hAnsi="Cambria Math" w:cs="Times New Roman"/>
                  <w:szCs w:val="24"/>
                  <w:lang w:eastAsia="pt-BR"/>
                </w:rPr>
                <m:t>CC</m:t>
              </m:r>
            </m:sup>
          </m:sSubSup>
          <m:r>
            <w:rPr>
              <w:rFonts w:ascii="Cambria Math" w:eastAsia="Times New Roman" w:hAnsi="Cambria Math" w:cs="Times New Roman"/>
              <w:szCs w:val="24"/>
              <w:lang w:eastAsia="pt-BR"/>
            </w:rPr>
            <m:t>=</m:t>
          </m:r>
          <m:f>
            <m:fPr>
              <m:ctrlPr>
                <w:rPr>
                  <w:rFonts w:ascii="Cambria Math" w:eastAsia="Times New Roman" w:hAnsi="Cambria Math" w:cs="Times New Roman"/>
                  <w:i/>
                  <w:szCs w:val="24"/>
                  <w:lang w:eastAsia="pt-BR"/>
                </w:rPr>
              </m:ctrlPr>
            </m:fPr>
            <m:num>
              <m:sSubSup>
                <m:sSubSupPr>
                  <m:ctrlPr>
                    <w:rPr>
                      <w:rFonts w:ascii="Cambria Math" w:eastAsia="Times New Roman" w:hAnsi="Cambria Math" w:cs="Times New Roman"/>
                      <w:i/>
                      <w:szCs w:val="24"/>
                      <w:lang w:eastAsia="pt-BR"/>
                    </w:rPr>
                  </m:ctrlPr>
                </m:sSubSupPr>
                <m:e>
                  <m:r>
                    <w:rPr>
                      <w:rFonts w:ascii="Cambria Math" w:eastAsia="Times New Roman" w:hAnsi="Cambria Math" w:cs="Times New Roman"/>
                      <w:szCs w:val="24"/>
                      <w:lang w:eastAsia="pt-BR"/>
                    </w:rPr>
                    <m:t>i</m:t>
                  </m:r>
                </m:e>
                <m:sub>
                  <m:r>
                    <w:rPr>
                      <w:rFonts w:ascii="Cambria Math" w:eastAsia="Times New Roman" w:hAnsi="Cambria Math" w:cs="Times New Roman"/>
                      <w:szCs w:val="24"/>
                      <w:lang w:eastAsia="pt-BR"/>
                    </w:rPr>
                    <m:t>t,t+k</m:t>
                  </m:r>
                </m:sub>
                <m:sup>
                  <m:r>
                    <w:rPr>
                      <w:rFonts w:ascii="Cambria Math" w:eastAsia="Times New Roman" w:hAnsi="Cambria Math" w:cs="Times New Roman"/>
                      <w:szCs w:val="24"/>
                      <w:lang w:eastAsia="pt-BR"/>
                    </w:rPr>
                    <m:t>CDI</m:t>
                  </m:r>
                </m:sup>
              </m:sSubSup>
            </m:num>
            <m:den>
              <m:box>
                <m:boxPr>
                  <m:ctrlPr>
                    <w:rPr>
                      <w:rFonts w:ascii="Cambria Math" w:eastAsia="Times New Roman" w:hAnsi="Cambria Math" w:cs="Times New Roman"/>
                      <w:i/>
                      <w:szCs w:val="24"/>
                      <w:lang w:eastAsia="pt-BR"/>
                    </w:rPr>
                  </m:ctrlPr>
                </m:boxPr>
                <m:e>
                  <m:argPr>
                    <m:argSz m:val="-1"/>
                  </m:argPr>
                  <m:f>
                    <m:fPr>
                      <m:ctrlPr>
                        <w:rPr>
                          <w:rFonts w:ascii="Cambria Math" w:eastAsia="Times New Roman" w:hAnsi="Cambria Math" w:cs="Times New Roman"/>
                          <w:i/>
                          <w:szCs w:val="24"/>
                          <w:lang w:eastAsia="pt-BR"/>
                        </w:rPr>
                      </m:ctrlPr>
                    </m:fPr>
                    <m:num>
                      <m:sSub>
                        <m:sSubPr>
                          <m:ctrlPr>
                            <w:rPr>
                              <w:rFonts w:ascii="Cambria Math" w:eastAsia="Times New Roman" w:hAnsi="Cambria Math" w:cs="Times New Roman"/>
                              <w:i/>
                              <w:szCs w:val="24"/>
                              <w:lang w:eastAsia="pt-BR"/>
                            </w:rPr>
                          </m:ctrlPr>
                        </m:sSubPr>
                        <m:e>
                          <m:r>
                            <w:rPr>
                              <w:rFonts w:ascii="Cambria Math" w:eastAsia="Times New Roman" w:hAnsi="Cambria Math" w:cs="Times New Roman"/>
                              <w:szCs w:val="24"/>
                              <w:lang w:eastAsia="pt-BR"/>
                            </w:rPr>
                            <m:t>f</m:t>
                          </m:r>
                        </m:e>
                        <m:sub>
                          <m:r>
                            <w:rPr>
                              <w:rFonts w:ascii="Cambria Math" w:eastAsia="Times New Roman" w:hAnsi="Cambria Math" w:cs="Times New Roman"/>
                              <w:szCs w:val="24"/>
                              <w:lang w:eastAsia="pt-BR"/>
                            </w:rPr>
                            <m:t>t,t+k</m:t>
                          </m:r>
                        </m:sub>
                      </m:sSub>
                    </m:num>
                    <m:den>
                      <m:sSub>
                        <m:sSubPr>
                          <m:ctrlPr>
                            <w:rPr>
                              <w:rFonts w:ascii="Cambria Math" w:eastAsia="Times New Roman" w:hAnsi="Cambria Math" w:cs="Times New Roman"/>
                              <w:i/>
                              <w:szCs w:val="24"/>
                              <w:lang w:eastAsia="pt-BR"/>
                            </w:rPr>
                          </m:ctrlPr>
                        </m:sSubPr>
                        <m:e>
                          <m:r>
                            <w:rPr>
                              <w:rFonts w:ascii="Cambria Math" w:eastAsia="Times New Roman" w:hAnsi="Cambria Math" w:cs="Times New Roman"/>
                              <w:szCs w:val="24"/>
                              <w:lang w:eastAsia="pt-BR"/>
                            </w:rPr>
                            <m:t>s</m:t>
                          </m:r>
                        </m:e>
                        <m:sub>
                          <m:r>
                            <w:rPr>
                              <w:rFonts w:ascii="Cambria Math" w:eastAsia="Times New Roman" w:hAnsi="Cambria Math" w:cs="Times New Roman"/>
                              <w:szCs w:val="24"/>
                              <w:lang w:eastAsia="pt-BR"/>
                            </w:rPr>
                            <m:t>t</m:t>
                          </m:r>
                        </m:sub>
                      </m:sSub>
                    </m:den>
                  </m:f>
                </m:e>
              </m:box>
            </m:den>
          </m:f>
          <m:r>
            <w:rPr>
              <w:rFonts w:ascii="Cambria Math" w:eastAsia="Times New Roman" w:hAnsi="Cambria Math" w:cs="Times New Roman"/>
              <w:szCs w:val="24"/>
              <w:lang w:eastAsia="pt-BR"/>
            </w:rPr>
            <m:t xml:space="preserve">  (7)</m:t>
          </m:r>
        </m:oMath>
      </m:oMathPara>
    </w:p>
    <w:p w:rsidR="000B76C5" w:rsidRDefault="000B76C5" w:rsidP="00845F87"/>
    <w:p w:rsidR="00E50236" w:rsidRDefault="00F827A4" w:rsidP="00F827A4">
      <w:pPr>
        <w:ind w:firstLine="357"/>
      </w:pPr>
      <w:r>
        <w:t xml:space="preserve">No gráfico </w:t>
      </w:r>
      <m:oMath>
        <m:r>
          <w:rPr>
            <w:rFonts w:ascii="Cambria Math" w:hAnsi="Cambria Math"/>
          </w:rPr>
          <m:t>(2)</m:t>
        </m:r>
      </m:oMath>
      <w:r w:rsidR="00F20903">
        <w:t xml:space="preserve"> pode-se observar</w:t>
      </w:r>
      <w:r>
        <w:t xml:space="preserve"> a taxa de juros CDI</w:t>
      </w:r>
      <w:r>
        <w:rPr>
          <w:rStyle w:val="FootnoteReference"/>
          <w:rFonts w:eastAsia="Times New Roman" w:cs="Times New Roman"/>
          <w:szCs w:val="24"/>
          <w:lang w:eastAsia="pt-BR"/>
        </w:rPr>
        <w:footnoteReference w:id="20"/>
      </w:r>
      <w:r>
        <w:t xml:space="preserve"> e</w:t>
      </w:r>
      <w:r w:rsidR="00E50236">
        <w:t xml:space="preserve"> as taxas dos contratos de</w:t>
      </w:r>
      <w:r>
        <w:t xml:space="preserve"> FRA de</w:t>
      </w:r>
      <w:r w:rsidR="00E50236">
        <w:t xml:space="preserve"> cupom cambial</w:t>
      </w:r>
      <w:r>
        <w:t>,</w:t>
      </w:r>
      <w:r w:rsidR="00E50236">
        <w:t xml:space="preserve"> identificadas pelo vencimento.</w:t>
      </w:r>
    </w:p>
    <w:p w:rsidR="00F827A4" w:rsidRDefault="00E50236" w:rsidP="00271C13">
      <w:pPr>
        <w:pStyle w:val="Heading3"/>
      </w:pPr>
      <w:r>
        <w:t>Taxas de Juros</w:t>
      </w:r>
      <w:r w:rsidR="006972C3">
        <w:t>:</w:t>
      </w:r>
      <w:r w:rsidR="005B40A9">
        <w:t xml:space="preserve"> CDI e cupom cambial</w:t>
      </w:r>
    </w:p>
    <w:p w:rsidR="005B40A9" w:rsidRPr="005B40A9" w:rsidRDefault="001A631C" w:rsidP="005B40A9">
      <w:r w:rsidRPr="001A631C">
        <w:rPr>
          <w:noProof/>
          <w:lang w:eastAsia="pt-BR"/>
        </w:rPr>
        <w:drawing>
          <wp:inline distT="0" distB="0" distL="0" distR="0">
            <wp:extent cx="5400040" cy="204373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043731"/>
                    </a:xfrm>
                    <a:prstGeom prst="rect">
                      <a:avLst/>
                    </a:prstGeom>
                    <a:noFill/>
                    <a:ln>
                      <a:noFill/>
                    </a:ln>
                  </pic:spPr>
                </pic:pic>
              </a:graphicData>
            </a:graphic>
          </wp:inline>
        </w:drawing>
      </w:r>
    </w:p>
    <w:p w:rsidR="006F4EDC" w:rsidRDefault="00960203" w:rsidP="00F52841">
      <w:pPr>
        <w:ind w:firstLine="708"/>
      </w:pPr>
      <w:r w:rsidRPr="00E50236">
        <w:rPr>
          <w:rFonts w:eastAsia="Times New Roman" w:cs="Times New Roman"/>
          <w:szCs w:val="24"/>
          <w:lang w:eastAsia="pt-BR"/>
        </w:rPr>
        <w:t>Prosseguimos agora para</w:t>
      </w:r>
      <w:r w:rsidR="006972C3">
        <w:rPr>
          <w:rFonts w:eastAsia="Times New Roman" w:cs="Times New Roman"/>
          <w:szCs w:val="24"/>
          <w:lang w:eastAsia="pt-BR"/>
        </w:rPr>
        <w:t xml:space="preserve"> a descrição das variáveis construídas a partir das taxas de câmbio e juros acima expostas</w:t>
      </w:r>
      <w:r w:rsidRPr="00E50236">
        <w:rPr>
          <w:rFonts w:eastAsia="Times New Roman" w:cs="Times New Roman"/>
          <w:szCs w:val="24"/>
          <w:lang w:eastAsia="pt-BR"/>
        </w:rPr>
        <w:t>.</w:t>
      </w:r>
      <w:r w:rsidR="006972C3">
        <w:rPr>
          <w:rFonts w:eastAsia="Times New Roman" w:cs="Times New Roman"/>
          <w:szCs w:val="24"/>
          <w:lang w:eastAsia="pt-BR"/>
        </w:rPr>
        <w:t xml:space="preserve"> Como uma primeira aproximação</w:t>
      </w:r>
      <w:r w:rsidR="007C04D3">
        <w:rPr>
          <w:rFonts w:eastAsia="Times New Roman" w:cs="Times New Roman"/>
          <w:szCs w:val="24"/>
          <w:lang w:eastAsia="pt-BR"/>
        </w:rPr>
        <w:t>,</w:t>
      </w:r>
      <w:r w:rsidR="006972C3">
        <w:rPr>
          <w:rFonts w:eastAsia="Times New Roman" w:cs="Times New Roman"/>
          <w:szCs w:val="24"/>
          <w:lang w:eastAsia="pt-BR"/>
        </w:rPr>
        <w:t xml:space="preserve"> calculamos o desvio entre o </w:t>
      </w:r>
      <w:r w:rsidR="006972C3" w:rsidRPr="006972C3">
        <w:rPr>
          <w:rFonts w:eastAsia="Times New Roman" w:cs="Times New Roman"/>
          <w:i/>
          <w:szCs w:val="24"/>
          <w:lang w:eastAsia="pt-BR"/>
        </w:rPr>
        <w:t>forward</w:t>
      </w:r>
      <w:r w:rsidR="003130C4">
        <w:rPr>
          <w:rFonts w:eastAsia="Times New Roman" w:cs="Times New Roman"/>
          <w:i/>
          <w:szCs w:val="24"/>
          <w:lang w:eastAsia="pt-BR"/>
        </w:rPr>
        <w:t xml:space="preserve"> </w:t>
      </w:r>
      <w:r w:rsidR="006972C3" w:rsidRPr="006972C3">
        <w:rPr>
          <w:rFonts w:eastAsia="Times New Roman" w:cs="Times New Roman"/>
          <w:i/>
          <w:szCs w:val="24"/>
          <w:lang w:eastAsia="pt-BR"/>
        </w:rPr>
        <w:t>premium</w:t>
      </w:r>
      <w:r w:rsidR="006972C3">
        <w:rPr>
          <w:rFonts w:eastAsia="Times New Roman" w:cs="Times New Roman"/>
          <w:szCs w:val="24"/>
          <w:lang w:eastAsia="pt-BR"/>
        </w:rPr>
        <w:t xml:space="preserve"> e o diferencial de juros para cada contrato com vencimento em janeiro (</w:t>
      </w:r>
      <w:r w:rsidR="006972C3" w:rsidRPr="00E50236">
        <w:rPr>
          <w:rFonts w:eastAsia="Times New Roman" w:cs="Times New Roman"/>
          <w:i/>
          <w:iCs/>
          <w:szCs w:val="24"/>
          <w:lang w:eastAsia="pt-BR"/>
        </w:rPr>
        <w:t>F09, F10, F11, F12, F13 e F14</w:t>
      </w:r>
      <w:r w:rsidR="006972C3" w:rsidRPr="00E50236">
        <w:rPr>
          <w:rFonts w:eastAsia="Times New Roman" w:cs="Times New Roman"/>
          <w:szCs w:val="24"/>
          <w:lang w:eastAsia="pt-BR"/>
        </w:rPr>
        <w:t>)</w:t>
      </w:r>
      <w:r w:rsidR="006972C3">
        <w:rPr>
          <w:rFonts w:eastAsia="Times New Roman" w:cs="Times New Roman"/>
          <w:szCs w:val="24"/>
          <w:lang w:eastAsia="pt-BR"/>
        </w:rPr>
        <w:t>. S</w:t>
      </w:r>
      <w:r w:rsidRPr="00E50236">
        <w:rPr>
          <w:rFonts w:eastAsia="Times New Roman" w:cs="Times New Roman"/>
          <w:szCs w:val="24"/>
          <w:lang w:eastAsia="pt-BR"/>
        </w:rPr>
        <w:t>ão construídas duas variáveis</w:t>
      </w:r>
      <w:r w:rsidR="006972C3">
        <w:rPr>
          <w:rFonts w:eastAsia="Times New Roman" w:cs="Times New Roman"/>
          <w:szCs w:val="24"/>
          <w:lang w:eastAsia="pt-BR"/>
        </w:rPr>
        <w:t xml:space="preserve"> para cada um </w:t>
      </w:r>
      <w:r w:rsidR="006972C3">
        <w:rPr>
          <w:rFonts w:eastAsia="Times New Roman" w:cs="Times New Roman"/>
          <w:szCs w:val="24"/>
          <w:lang w:eastAsia="pt-BR"/>
        </w:rPr>
        <w:lastRenderedPageBreak/>
        <w:t>destes seis prazos: a</w:t>
      </w:r>
      <w:r w:rsidRPr="00E50236">
        <w:rPr>
          <w:rFonts w:eastAsia="Times New Roman" w:cs="Times New Roman"/>
          <w:szCs w:val="24"/>
          <w:lang w:eastAsia="pt-BR"/>
        </w:rPr>
        <w:t xml:space="preserve"> primeira</w:t>
      </w:r>
      <m:oMath>
        <m:r>
          <w:rPr>
            <w:rFonts w:ascii="Cambria Math" w:eastAsia="Times New Roman" w:hAnsi="Cambria Math" w:cs="Times New Roman"/>
            <w:szCs w:val="24"/>
            <w:lang w:eastAsia="pt-BR"/>
          </w:rPr>
          <m:t xml:space="preserve"> (fs)</m:t>
        </m:r>
      </m:oMath>
      <w:r w:rsidRPr="00E50236">
        <w:rPr>
          <w:rFonts w:eastAsia="Times New Roman" w:cs="Times New Roman"/>
          <w:szCs w:val="24"/>
          <w:lang w:eastAsia="pt-BR"/>
        </w:rPr>
        <w:t xml:space="preserve"> expressa o </w:t>
      </w:r>
      <w:r w:rsidRPr="00E50236">
        <w:rPr>
          <w:rFonts w:eastAsia="Times New Roman" w:cs="Times New Roman"/>
          <w:i/>
          <w:iCs/>
          <w:szCs w:val="24"/>
          <w:lang w:eastAsia="pt-BR"/>
        </w:rPr>
        <w:t>forward</w:t>
      </w:r>
      <w:r w:rsidR="003130C4">
        <w:rPr>
          <w:rFonts w:eastAsia="Times New Roman" w:cs="Times New Roman"/>
          <w:i/>
          <w:iCs/>
          <w:szCs w:val="24"/>
          <w:lang w:eastAsia="pt-BR"/>
        </w:rPr>
        <w:t xml:space="preserve"> </w:t>
      </w:r>
      <w:r w:rsidRPr="00E50236">
        <w:rPr>
          <w:rFonts w:eastAsia="Times New Roman" w:cs="Times New Roman"/>
          <w:i/>
          <w:iCs/>
          <w:szCs w:val="24"/>
          <w:lang w:eastAsia="pt-BR"/>
        </w:rPr>
        <w:t>premiu</w:t>
      </w:r>
      <w:r>
        <w:rPr>
          <w:rFonts w:eastAsia="Times New Roman" w:cs="Times New Roman"/>
          <w:i/>
          <w:iCs/>
          <w:szCs w:val="24"/>
          <w:lang w:eastAsia="pt-BR"/>
        </w:rPr>
        <w:t>m</w:t>
      </w:r>
      <w:r>
        <w:rPr>
          <w:rStyle w:val="FootnoteReference"/>
          <w:rFonts w:eastAsia="Times New Roman" w:cs="Times New Roman"/>
          <w:i/>
          <w:iCs/>
          <w:szCs w:val="24"/>
          <w:lang w:eastAsia="pt-BR"/>
        </w:rPr>
        <w:footnoteReference w:id="21"/>
      </w:r>
      <w:r w:rsidRPr="00E50236">
        <w:rPr>
          <w:rFonts w:eastAsia="Times New Roman" w:cs="Times New Roman"/>
          <w:szCs w:val="24"/>
          <w:lang w:eastAsia="pt-BR"/>
        </w:rPr>
        <w:t>e a segunda</w:t>
      </w:r>
      <m:oMath>
        <m:r>
          <w:rPr>
            <w:rFonts w:ascii="Cambria Math" w:eastAsia="Times New Roman" w:hAnsi="Cambria Math" w:cs="Times New Roman"/>
            <w:szCs w:val="24"/>
            <w:lang w:eastAsia="pt-BR"/>
          </w:rPr>
          <m:t>(ii)</m:t>
        </m:r>
      </m:oMath>
      <w:r w:rsidRPr="00E50236">
        <w:rPr>
          <w:rFonts w:eastAsia="Times New Roman" w:cs="Times New Roman"/>
          <w:szCs w:val="24"/>
          <w:lang w:eastAsia="pt-BR"/>
        </w:rPr>
        <w:t xml:space="preserve"> o diferencial de juros</w:t>
      </w:r>
      <w:r>
        <w:rPr>
          <w:rStyle w:val="FootnoteReference"/>
          <w:rFonts w:eastAsia="Times New Roman" w:cs="Times New Roman"/>
          <w:szCs w:val="24"/>
          <w:lang w:eastAsia="pt-BR"/>
        </w:rPr>
        <w:footnoteReference w:id="22"/>
      </w:r>
      <w:r>
        <w:t xml:space="preserve">. </w:t>
      </w:r>
      <w:r w:rsidR="006F4EDC">
        <w:t>A equação</w:t>
      </w:r>
      <m:oMath>
        <m:r>
          <w:rPr>
            <w:rFonts w:ascii="Cambria Math" w:hAnsi="Cambria Math"/>
          </w:rPr>
          <m:t xml:space="preserve"> </m:t>
        </m:r>
        <m:d>
          <m:dPr>
            <m:ctrlPr>
              <w:rPr>
                <w:rFonts w:ascii="Cambria Math" w:hAnsi="Cambria Math"/>
                <w:i/>
              </w:rPr>
            </m:ctrlPr>
          </m:dPr>
          <m:e>
            <m:r>
              <w:rPr>
                <w:rFonts w:ascii="Cambria Math" w:hAnsi="Cambria Math"/>
              </w:rPr>
              <m:t>8</m:t>
            </m:r>
          </m:e>
        </m:d>
        <m:r>
          <w:rPr>
            <w:rFonts w:ascii="Cambria Math" w:hAnsi="Cambria Math"/>
          </w:rPr>
          <m:t xml:space="preserve"> </m:t>
        </m:r>
      </m:oMath>
      <w:r w:rsidR="007C04D3">
        <w:t>traz</w:t>
      </w:r>
      <w:r w:rsidR="006F4EDC">
        <w:t xml:space="preserve"> o cálculo </w:t>
      </w:r>
      <w:r w:rsidR="0089593D">
        <w:t>do desvio, pela razão entre as duas variáveis,</w:t>
      </w:r>
      <w:r w:rsidR="0056170E">
        <w:t xml:space="preserve"> para o contrato de vencimento em janeiro de 2009 (</w:t>
      </w:r>
      <w:r w:rsidR="0056170E" w:rsidRPr="0056170E">
        <w:rPr>
          <w:i/>
        </w:rPr>
        <w:t>F09</w:t>
      </w:r>
      <w:r w:rsidR="0056170E">
        <w:t>)</w:t>
      </w:r>
      <w:r w:rsidR="006F4EDC">
        <w:t>.</w:t>
      </w:r>
    </w:p>
    <w:p w:rsidR="006F4EDC" w:rsidRDefault="002500C6" w:rsidP="00F52841">
      <w:pPr>
        <w:ind w:firstLine="708"/>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t,t+k</m:t>
                  </m:r>
                </m:sub>
              </m:sSub>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i</m:t>
                  </m:r>
                </m:e>
                <m:sup>
                  <m:r>
                    <w:rPr>
                      <w:rFonts w:ascii="Cambria Math" w:hAnsi="Cambria Math"/>
                    </w:rPr>
                    <m:t>CC</m:t>
                  </m:r>
                </m:sup>
              </m:sSup>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k</m:t>
                      </m:r>
                    </m:num>
                    <m:den>
                      <m:r>
                        <w:rPr>
                          <w:rFonts w:ascii="Cambria Math" w:hAnsi="Cambria Math"/>
                        </w:rPr>
                        <m:t>360</m:t>
                      </m:r>
                    </m:den>
                  </m:f>
                </m:e>
              </m:box>
              <m:r>
                <w:rPr>
                  <w:rFonts w:ascii="Cambria Math" w:hAnsi="Cambria Math"/>
                </w:rPr>
                <m:t>)</m:t>
              </m:r>
            </m:num>
            <m:den>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i</m:t>
                      </m:r>
                    </m:e>
                    <m:sup>
                      <m:r>
                        <w:rPr>
                          <w:rFonts w:ascii="Cambria Math" w:hAnsi="Cambria Math"/>
                        </w:rPr>
                        <m:t>CDI</m:t>
                      </m:r>
                    </m:sup>
                  </m:sSup>
                  <m:r>
                    <w:rPr>
                      <w:rFonts w:ascii="Cambria Math" w:hAnsi="Cambria Math"/>
                    </w:rPr>
                    <m:t>)</m:t>
                  </m:r>
                </m:e>
                <m:sup>
                  <m:box>
                    <m:boxPr>
                      <m:ctrlPr>
                        <w:rPr>
                          <w:rFonts w:ascii="Cambria Math" w:hAnsi="Cambria Math"/>
                          <w:i/>
                        </w:rPr>
                      </m:ctrlPr>
                    </m:boxPr>
                    <m:e>
                      <m:argPr>
                        <m:argSz m:val="-1"/>
                      </m:argPr>
                      <m:f>
                        <m:fPr>
                          <m:ctrlPr>
                            <w:rPr>
                              <w:rFonts w:ascii="Cambria Math" w:hAnsi="Cambria Math"/>
                              <w:i/>
                            </w:rPr>
                          </m:ctrlPr>
                        </m:fPr>
                        <m:num>
                          <m:r>
                            <w:rPr>
                              <w:rFonts w:ascii="Cambria Math" w:hAnsi="Cambria Math"/>
                            </w:rPr>
                            <m:t>n</m:t>
                          </m:r>
                        </m:num>
                        <m:den>
                          <m:r>
                            <w:rPr>
                              <w:rFonts w:ascii="Cambria Math" w:hAnsi="Cambria Math"/>
                            </w:rPr>
                            <m:t>252</m:t>
                          </m:r>
                        </m:den>
                      </m:f>
                    </m:e>
                  </m:box>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fsF09</m:t>
              </m:r>
            </m:num>
            <m:den>
              <m:r>
                <w:rPr>
                  <w:rFonts w:ascii="Cambria Math" w:eastAsiaTheme="minorEastAsia" w:hAnsi="Cambria Math"/>
                </w:rPr>
                <m:t>iiF09</m:t>
              </m:r>
            </m:den>
          </m:f>
          <m:r>
            <w:rPr>
              <w:rFonts w:ascii="Cambria Math" w:eastAsiaTheme="minorEastAsia" w:hAnsi="Cambria Math"/>
            </w:rPr>
            <m:t xml:space="preserve">  (8)</m:t>
          </m:r>
        </m:oMath>
      </m:oMathPara>
    </w:p>
    <w:p w:rsidR="00960203" w:rsidRDefault="0056170E" w:rsidP="0056170E">
      <w:pPr>
        <w:ind w:firstLine="708"/>
      </w:pPr>
      <w:r>
        <w:t xml:space="preserve">A representação gráfica dos desvios da CIP sugere </w:t>
      </w:r>
      <w:r w:rsidR="00960203">
        <w:t>uma relação entre as variáveis ao longo do tempo</w:t>
      </w:r>
      <w:r>
        <w:t xml:space="preserve">. Destaca-se que os desvios da paridade coberta são próximos de zero quando da proximidade do vencimento dos contratos e se ampliam em horizontes mais distantes. </w:t>
      </w:r>
      <w:r w:rsidR="00422323">
        <w:t>É</w:t>
      </w:r>
      <w:r w:rsidR="00F45211">
        <w:t xml:space="preserve"> possível concluir </w:t>
      </w:r>
      <w:r w:rsidR="00422323">
        <w:t xml:space="preserve">que os </w:t>
      </w:r>
      <w:r w:rsidR="00960203">
        <w:t xml:space="preserve">são desvios que tendem a aumentar em função da distância do vencimento do contrato. Esta relação é observada </w:t>
      </w:r>
      <w:r>
        <w:t xml:space="preserve">para todos os vencimentos observados </w:t>
      </w:r>
      <w:r w:rsidR="00960203">
        <w:t>e</w:t>
      </w:r>
      <w:r>
        <w:t xml:space="preserve"> os desvios tem a mesma direção</w:t>
      </w:r>
      <w:r w:rsidR="00960203">
        <w:t>. Temos assim um primeiro indício em favor da hipótese apresentada por Skinner e Mason (2011) que verificam a falha da CIP em mercados emergentes quando se consideram contratos mais longos e confirmam a mesma quando se aplica a paridade coberta a contratos de vencimento mais próximo.</w:t>
      </w:r>
    </w:p>
    <w:p w:rsidR="00960203" w:rsidRDefault="00960203" w:rsidP="00271C13">
      <w:pPr>
        <w:pStyle w:val="Heading3"/>
      </w:pPr>
      <w:r w:rsidRPr="00E50236">
        <w:t>Desvios da CIP para Todos os Contratos com Vencimentoem Janeiro</w:t>
      </w:r>
      <w:r>
        <w:t>.</w:t>
      </w:r>
    </w:p>
    <w:p w:rsidR="00960203" w:rsidRDefault="001A631C" w:rsidP="00960203">
      <w:r w:rsidRPr="001A631C">
        <w:rPr>
          <w:noProof/>
          <w:lang w:eastAsia="pt-BR"/>
        </w:rPr>
        <w:drawing>
          <wp:inline distT="0" distB="0" distL="0" distR="0">
            <wp:extent cx="5400040" cy="1806734"/>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06734"/>
                    </a:xfrm>
                    <a:prstGeom prst="rect">
                      <a:avLst/>
                    </a:prstGeom>
                  </pic:spPr>
                </pic:pic>
              </a:graphicData>
            </a:graphic>
          </wp:inline>
        </w:drawing>
      </w:r>
    </w:p>
    <w:p w:rsidR="00AB4196" w:rsidRDefault="002A5379" w:rsidP="00AB4196">
      <w:pPr>
        <w:ind w:firstLine="357"/>
      </w:pPr>
      <w:r>
        <w:t xml:space="preserve">O gráfico acima fornece apenas uma intuição do funcionamento da paridade coberta no Brasil. Para o restante desta análise construímos variáveis que </w:t>
      </w:r>
      <w:r w:rsidR="00AB4196">
        <w:t xml:space="preserve">utilizam apenas o período mais próximo ao vencimento para cada contrato. </w:t>
      </w:r>
      <w:r w:rsidR="00AB4196" w:rsidRPr="00E50236">
        <w:rPr>
          <w:rFonts w:eastAsia="Times New Roman" w:cs="Times New Roman"/>
          <w:szCs w:val="24"/>
          <w:lang w:eastAsia="pt-BR"/>
        </w:rPr>
        <w:t xml:space="preserve">As novas variáveis do </w:t>
      </w:r>
      <w:r w:rsidR="00AB4196" w:rsidRPr="00E50236">
        <w:rPr>
          <w:rFonts w:eastAsia="Times New Roman" w:cs="Times New Roman"/>
          <w:i/>
          <w:iCs/>
          <w:szCs w:val="24"/>
          <w:lang w:eastAsia="pt-BR"/>
        </w:rPr>
        <w:t>forward</w:t>
      </w:r>
      <w:r w:rsidR="003130C4">
        <w:rPr>
          <w:rFonts w:eastAsia="Times New Roman" w:cs="Times New Roman"/>
          <w:i/>
          <w:iCs/>
          <w:szCs w:val="24"/>
          <w:lang w:eastAsia="pt-BR"/>
        </w:rPr>
        <w:t xml:space="preserve"> </w:t>
      </w:r>
      <w:r w:rsidR="00AB4196" w:rsidRPr="00E50236">
        <w:rPr>
          <w:rFonts w:eastAsia="Times New Roman" w:cs="Times New Roman"/>
          <w:i/>
          <w:iCs/>
          <w:szCs w:val="24"/>
          <w:lang w:eastAsia="pt-BR"/>
        </w:rPr>
        <w:t>premium</w:t>
      </w:r>
      <w:r w:rsidR="00D3524A">
        <w:rPr>
          <w:rFonts w:eastAsia="Times New Roman" w:cs="Times New Roman"/>
          <w:i/>
          <w:iCs/>
          <w:szCs w:val="24"/>
          <w:lang w:eastAsia="pt-BR"/>
        </w:rPr>
        <w:t xml:space="preserve"> </w:t>
      </w:r>
      <w:r w:rsidR="00AB4196" w:rsidRPr="00E50236">
        <w:rPr>
          <w:rFonts w:eastAsia="Times New Roman" w:cs="Times New Roman"/>
          <w:szCs w:val="24"/>
          <w:lang w:eastAsia="pt-BR"/>
        </w:rPr>
        <w:t>(</w:t>
      </w:r>
      <w:r w:rsidR="00AB4196" w:rsidRPr="00E50236">
        <w:rPr>
          <w:rFonts w:eastAsia="Times New Roman" w:cs="Times New Roman"/>
          <w:i/>
          <w:iCs/>
          <w:szCs w:val="24"/>
          <w:lang w:eastAsia="pt-BR"/>
        </w:rPr>
        <w:t>fs</w:t>
      </w:r>
      <w:r w:rsidR="00AB4196" w:rsidRPr="00E50236">
        <w:rPr>
          <w:rFonts w:eastAsia="Times New Roman" w:cs="Times New Roman"/>
          <w:szCs w:val="24"/>
          <w:lang w:eastAsia="pt-BR"/>
        </w:rPr>
        <w:t>) e do diferencial de juros (</w:t>
      </w:r>
      <w:r w:rsidR="00AB4196" w:rsidRPr="00E50236">
        <w:rPr>
          <w:rFonts w:eastAsia="Times New Roman" w:cs="Times New Roman"/>
          <w:i/>
          <w:iCs/>
          <w:szCs w:val="24"/>
          <w:lang w:eastAsia="pt-BR"/>
        </w:rPr>
        <w:t>ii</w:t>
      </w:r>
      <w:r w:rsidR="00AB4196" w:rsidRPr="00E50236">
        <w:rPr>
          <w:rFonts w:eastAsia="Times New Roman" w:cs="Times New Roman"/>
          <w:szCs w:val="24"/>
          <w:lang w:eastAsia="pt-BR"/>
        </w:rPr>
        <w:t xml:space="preserve">) cobrem todo o período entre o início de 2008 e o final de 2013 e são construídas pelo encadeamentos da parte final das séries montadas para cada contrato </w:t>
      </w:r>
      <w:r w:rsidR="001C7D49">
        <w:rPr>
          <w:rFonts w:eastAsia="Times New Roman" w:cs="Times New Roman"/>
          <w:szCs w:val="24"/>
          <w:lang w:eastAsia="pt-BR"/>
        </w:rPr>
        <w:t xml:space="preserve">supracitado. </w:t>
      </w:r>
      <w:r w:rsidR="00AB4196" w:rsidRPr="00E50236">
        <w:rPr>
          <w:rFonts w:eastAsia="Times New Roman" w:cs="Times New Roman"/>
          <w:szCs w:val="24"/>
          <w:lang w:eastAsia="pt-BR"/>
        </w:rPr>
        <w:t>Desta vez, porém, utilizamos além dos contratos com vencimento em janeiro os que vencem em julho. Desta forma</w:t>
      </w:r>
      <w:r w:rsidR="00AB4196">
        <w:rPr>
          <w:rFonts w:eastAsia="Times New Roman" w:cs="Times New Roman"/>
          <w:szCs w:val="24"/>
          <w:lang w:eastAsia="pt-BR"/>
        </w:rPr>
        <w:t>,</w:t>
      </w:r>
      <w:r w:rsidR="00AB4196" w:rsidRPr="00E50236">
        <w:rPr>
          <w:rFonts w:eastAsia="Times New Roman" w:cs="Times New Roman"/>
          <w:szCs w:val="24"/>
          <w:lang w:eastAsia="pt-BR"/>
        </w:rPr>
        <w:t xml:space="preserve"> cada contrato corresponde a aproximadamente seis meses das séries completas utilizadas doravante</w:t>
      </w:r>
      <w:r w:rsidR="00AB4196">
        <w:rPr>
          <w:rStyle w:val="FootnoteReference"/>
          <w:rFonts w:eastAsia="Times New Roman" w:cs="Times New Roman"/>
          <w:szCs w:val="24"/>
          <w:lang w:eastAsia="pt-BR"/>
        </w:rPr>
        <w:footnoteReference w:id="23"/>
      </w:r>
      <w:r w:rsidR="00AB4196">
        <w:rPr>
          <w:rFonts w:eastAsia="Times New Roman" w:cs="Times New Roman"/>
          <w:szCs w:val="24"/>
          <w:lang w:eastAsia="pt-BR"/>
        </w:rPr>
        <w:t xml:space="preserve">. </w:t>
      </w:r>
      <w:r w:rsidR="00AB4196">
        <w:t xml:space="preserve">A construção de </w:t>
      </w:r>
      <m:oMath>
        <m:r>
          <w:rPr>
            <w:rFonts w:ascii="Cambria Math" w:hAnsi="Cambria Math"/>
          </w:rPr>
          <m:t>fs</m:t>
        </m:r>
      </m:oMath>
      <w:r w:rsidR="00AB4196">
        <w:t xml:space="preserve"> e </w:t>
      </w:r>
      <m:oMath>
        <m:r>
          <w:rPr>
            <w:rFonts w:ascii="Cambria Math" w:hAnsi="Cambria Math"/>
          </w:rPr>
          <m:t>ii</m:t>
        </m:r>
      </m:oMath>
      <w:r w:rsidR="00AB4196">
        <w:t xml:space="preserve"> é </w:t>
      </w:r>
      <w:r w:rsidR="00D3524A">
        <w:t>mais bem</w:t>
      </w:r>
      <w:r w:rsidR="00AB4196">
        <w:t xml:space="preserve"> elucidada nos gráficos </w:t>
      </w:r>
      <w:r w:rsidR="00931D7D">
        <w:t xml:space="preserve">(4) e (5) </w:t>
      </w:r>
      <w:r w:rsidR="00AB4196">
        <w:t>a seguir</w:t>
      </w:r>
      <w:r w:rsidR="00931D7D">
        <w:t>:</w:t>
      </w:r>
    </w:p>
    <w:p w:rsidR="00D8229C" w:rsidRDefault="00D8229C" w:rsidP="00271C13">
      <w:pPr>
        <w:pStyle w:val="Heading3"/>
        <w:rPr>
          <w:lang w:eastAsia="pt-BR"/>
        </w:rPr>
      </w:pPr>
      <w:r w:rsidRPr="00E50236">
        <w:rPr>
          <w:lang w:eastAsia="pt-BR"/>
        </w:rPr>
        <w:lastRenderedPageBreak/>
        <w:t xml:space="preserve">Série Completa do </w:t>
      </w:r>
      <w:r w:rsidR="0098768D">
        <w:rPr>
          <w:lang w:eastAsia="pt-BR"/>
        </w:rPr>
        <w:t>f</w:t>
      </w:r>
      <w:r>
        <w:rPr>
          <w:lang w:eastAsia="pt-BR"/>
        </w:rPr>
        <w:t>orwardpremium (fs</w:t>
      </w:r>
      <w:r w:rsidRPr="00E50236">
        <w:rPr>
          <w:lang w:eastAsia="pt-BR"/>
        </w:rPr>
        <w:t>)</w:t>
      </w:r>
    </w:p>
    <w:p w:rsidR="001A631C" w:rsidRPr="001A631C" w:rsidRDefault="001A631C" w:rsidP="001A631C">
      <w:pPr>
        <w:rPr>
          <w:lang w:eastAsia="pt-BR"/>
        </w:rPr>
      </w:pPr>
      <w:r w:rsidRPr="001A631C">
        <w:rPr>
          <w:noProof/>
          <w:lang w:eastAsia="pt-BR"/>
        </w:rPr>
        <w:drawing>
          <wp:inline distT="0" distB="0" distL="0" distR="0">
            <wp:extent cx="5400040" cy="2587574"/>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587574"/>
                    </a:xfrm>
                    <a:prstGeom prst="rect">
                      <a:avLst/>
                    </a:prstGeom>
                    <a:noFill/>
                    <a:ln>
                      <a:noFill/>
                    </a:ln>
                  </pic:spPr>
                </pic:pic>
              </a:graphicData>
            </a:graphic>
          </wp:inline>
        </w:drawing>
      </w:r>
    </w:p>
    <w:p w:rsidR="00D8229C" w:rsidRDefault="00D8229C" w:rsidP="00271C13">
      <w:pPr>
        <w:pStyle w:val="Heading3"/>
        <w:rPr>
          <w:lang w:eastAsia="pt-BR"/>
        </w:rPr>
      </w:pPr>
      <w:r w:rsidRPr="00E50236">
        <w:rPr>
          <w:lang w:eastAsia="pt-BR"/>
        </w:rPr>
        <w:t>Série Completa do Diferencial de Juros (ii)</w:t>
      </w:r>
    </w:p>
    <w:p w:rsidR="00D8229C" w:rsidRPr="00D8229C" w:rsidRDefault="001A631C" w:rsidP="00D8229C">
      <w:pPr>
        <w:rPr>
          <w:lang w:eastAsia="pt-BR"/>
        </w:rPr>
      </w:pPr>
      <w:r w:rsidRPr="001A631C">
        <w:rPr>
          <w:noProof/>
          <w:lang w:eastAsia="pt-BR"/>
        </w:rPr>
        <w:drawing>
          <wp:inline distT="0" distB="0" distL="0" distR="0">
            <wp:extent cx="5400040" cy="224130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241304"/>
                    </a:xfrm>
                    <a:prstGeom prst="rect">
                      <a:avLst/>
                    </a:prstGeom>
                    <a:noFill/>
                    <a:ln>
                      <a:noFill/>
                    </a:ln>
                  </pic:spPr>
                </pic:pic>
              </a:graphicData>
            </a:graphic>
          </wp:inline>
        </w:drawing>
      </w:r>
    </w:p>
    <w:p w:rsidR="00B11BA7" w:rsidRPr="00D8229C" w:rsidRDefault="00D8229C" w:rsidP="00F52841">
      <w:pPr>
        <w:ind w:firstLine="708"/>
        <w:rPr>
          <w:rFonts w:eastAsia="Times New Roman"/>
          <w:lang w:eastAsia="pt-BR"/>
        </w:rPr>
      </w:pPr>
      <w:r>
        <w:t xml:space="preserve">Pode-se replicar o exercício anterior calculando os desvios da CIP a partir de </w:t>
      </w:r>
      <m:oMath>
        <m:r>
          <w:rPr>
            <w:rFonts w:ascii="Cambria Math" w:hAnsi="Cambria Math"/>
          </w:rPr>
          <m:t>fs</m:t>
        </m:r>
      </m:oMath>
      <w:r>
        <w:t xml:space="preserve"> e </w:t>
      </w:r>
      <m:oMath>
        <m:r>
          <w:rPr>
            <w:rFonts w:ascii="Cambria Math" w:hAnsi="Cambria Math"/>
          </w:rPr>
          <m:t>ii</m:t>
        </m:r>
      </m:oMath>
      <w:r>
        <w:t xml:space="preserve">. Desta vez não se verificam </w:t>
      </w:r>
      <w:r w:rsidR="00B11BA7">
        <w:t>afastamentos duradouros do valor estabelecido pela paridade coberta. E mesmo sem o uso dos dados exatos é possível fazer algumas inferências sobre os desvios da CIP. No gráfico</w:t>
      </w:r>
      <m:oMath>
        <m:r>
          <w:rPr>
            <w:rFonts w:ascii="Cambria Math" w:hAnsi="Cambria Math"/>
          </w:rPr>
          <m:t xml:space="preserve">(6) </m:t>
        </m:r>
      </m:oMath>
      <w:r w:rsidR="00B11BA7">
        <w:t xml:space="preserve">as barras </w:t>
      </w:r>
      <w:r w:rsidR="0098768D">
        <w:t>vermelhas</w:t>
      </w:r>
      <w:r w:rsidR="00B11BA7">
        <w:t xml:space="preserve"> representam valores com três d</w:t>
      </w:r>
      <w:r>
        <w:t>esvios padrões de afastamento do desvio médio</w:t>
      </w:r>
      <w:r w:rsidR="00B11BA7">
        <w:t>.</w:t>
      </w:r>
    </w:p>
    <w:p w:rsidR="00B11BA7" w:rsidRDefault="00B11BA7" w:rsidP="00B11BA7">
      <w:r>
        <w:tab/>
      </w:r>
      <w:r w:rsidR="00D8229C">
        <w:t xml:space="preserve">É certo que três desvios representam um </w:t>
      </w:r>
      <w:r w:rsidR="00A27F66">
        <w:t>afastamento significativo e</w:t>
      </w:r>
      <w:r w:rsidR="00F556BC">
        <w:t>,</w:t>
      </w:r>
      <w:r w:rsidR="00A27F66">
        <w:t xml:space="preserve"> devido aos problemas já mencionados de </w:t>
      </w:r>
      <w:r w:rsidR="00A27F66" w:rsidRPr="00A27F66">
        <w:rPr>
          <w:i/>
        </w:rPr>
        <w:t>sampling</w:t>
      </w:r>
      <w:r w:rsidR="00D3524A">
        <w:rPr>
          <w:i/>
        </w:rPr>
        <w:t xml:space="preserve"> </w:t>
      </w:r>
      <w:r w:rsidR="00A27F66">
        <w:t xml:space="preserve">e o uso de </w:t>
      </w:r>
      <w:r w:rsidR="0002648C">
        <w:rPr>
          <w:i/>
        </w:rPr>
        <w:t>proxie</w:t>
      </w:r>
      <w:r w:rsidR="00A27F66" w:rsidRPr="00A27F66">
        <w:rPr>
          <w:i/>
        </w:rPr>
        <w:t>s</w:t>
      </w:r>
      <w:r w:rsidR="00F556BC">
        <w:rPr>
          <w:i/>
        </w:rPr>
        <w:t xml:space="preserve">, </w:t>
      </w:r>
      <w:r w:rsidR="00A27F66">
        <w:t>não é possível afirmar que observações com desvios menores em relação à média constituem verdadeiros períodos de falha da paridade coberta de juros no Brasil.</w:t>
      </w:r>
    </w:p>
    <w:p w:rsidR="00B11BA7" w:rsidRDefault="00B11BA7" w:rsidP="00B11BA7">
      <w:r>
        <w:tab/>
      </w:r>
      <w:r w:rsidR="00A27F66">
        <w:t>Contudo</w:t>
      </w:r>
      <w:r>
        <w:t>, as observações com afastamento de três desvios padrões ou mais</w:t>
      </w:r>
      <w:r w:rsidR="00D3524A">
        <w:t xml:space="preserve"> </w:t>
      </w:r>
      <w:r>
        <w:t>ocorrem com menos frequência e podemos asso</w:t>
      </w:r>
      <w:r w:rsidR="00A27F66">
        <w:t>ciar quase a totalidade destas a</w:t>
      </w:r>
      <w:r>
        <w:t xml:space="preserve"> períodos de grande turb</w:t>
      </w:r>
      <w:r w:rsidR="00A27F66">
        <w:t>ulência nos mercados cambiais. De</w:t>
      </w:r>
      <w:r>
        <w:t>ntre os dezessete dias identificados</w:t>
      </w:r>
      <w:r w:rsidR="00A27F66">
        <w:t xml:space="preserve"> no gráfico, onze se concentram entre</w:t>
      </w:r>
      <w:r>
        <w:t xml:space="preserve"> 07 de ou</w:t>
      </w:r>
      <w:r w:rsidR="00A27F66">
        <w:t xml:space="preserve">tubro e 10 de dezembro de 2008. Após </w:t>
      </w:r>
      <w:r>
        <w:t xml:space="preserve">os eventos que deflagraram definitivamente a crise financeira mundial em setembro de 2008, como a estatização das securitizadoras de </w:t>
      </w:r>
      <w:r w:rsidR="00422323">
        <w:t xml:space="preserve">hipotecas </w:t>
      </w:r>
      <w:r>
        <w:rPr>
          <w:rStyle w:val="Emphasis"/>
        </w:rPr>
        <w:t>Fannie Mae</w:t>
      </w:r>
      <w:r>
        <w:t xml:space="preserve"> e </w:t>
      </w:r>
      <w:r>
        <w:rPr>
          <w:rStyle w:val="Emphasis"/>
        </w:rPr>
        <w:t xml:space="preserve">Freddie Mac </w:t>
      </w:r>
      <w:r>
        <w:t xml:space="preserve">no dia 6, a compra da </w:t>
      </w:r>
      <w:r>
        <w:rPr>
          <w:rStyle w:val="Emphasis"/>
        </w:rPr>
        <w:t>Merryl Lynch &amp;Co</w:t>
      </w:r>
      <w:r>
        <w:t>. pelo</w:t>
      </w:r>
      <w:r w:rsidR="00D3524A">
        <w:t xml:space="preserve"> </w:t>
      </w:r>
      <w:r>
        <w:rPr>
          <w:rStyle w:val="Emphasis"/>
        </w:rPr>
        <w:t>Bank</w:t>
      </w:r>
      <w:r w:rsidR="00D3524A">
        <w:rPr>
          <w:rStyle w:val="Emphasis"/>
        </w:rPr>
        <w:t xml:space="preserve"> </w:t>
      </w:r>
      <w:r>
        <w:rPr>
          <w:rStyle w:val="Emphasis"/>
        </w:rPr>
        <w:t>of</w:t>
      </w:r>
      <w:r w:rsidR="00D3524A">
        <w:rPr>
          <w:rStyle w:val="Emphasis"/>
        </w:rPr>
        <w:t xml:space="preserve"> </w:t>
      </w:r>
      <w:r>
        <w:rPr>
          <w:rStyle w:val="Emphasis"/>
        </w:rPr>
        <w:t>America</w:t>
      </w:r>
      <w:r w:rsidR="00D3524A">
        <w:rPr>
          <w:rStyle w:val="Emphasis"/>
        </w:rPr>
        <w:t xml:space="preserve"> </w:t>
      </w:r>
      <w:r>
        <w:t xml:space="preserve">no dia 14, a quebra do banco </w:t>
      </w:r>
      <w:r>
        <w:rPr>
          <w:rStyle w:val="Emphasis"/>
        </w:rPr>
        <w:t xml:space="preserve">Lehman Brothers </w:t>
      </w:r>
      <w:r>
        <w:t xml:space="preserve">no dia 15 e o resgate da seguradora </w:t>
      </w:r>
      <w:r>
        <w:rPr>
          <w:rStyle w:val="Emphasis"/>
        </w:rPr>
        <w:t xml:space="preserve">AIG </w:t>
      </w:r>
      <w:r>
        <w:t xml:space="preserve">pelo governo dos EUA no dia 16. </w:t>
      </w:r>
      <w:r w:rsidR="00A27F66">
        <w:t>N</w:t>
      </w:r>
      <w:r>
        <w:t xml:space="preserve">enhum destes onze desvios em questão ocorreu após o dia 16 de dezembro de 2008 quando do </w:t>
      </w:r>
      <w:r>
        <w:rPr>
          <w:rStyle w:val="Emphasis"/>
        </w:rPr>
        <w:t xml:space="preserve">Federal Reserve </w:t>
      </w:r>
      <w:r>
        <w:t xml:space="preserve">americano reduziu </w:t>
      </w:r>
      <w:r w:rsidR="00A27F66">
        <w:t>su</w:t>
      </w:r>
      <w:r>
        <w:t>a taxa básica para a banda entre 0</w:t>
      </w:r>
      <w:r w:rsidR="00A27F66">
        <w:t>%</w:t>
      </w:r>
      <w:r>
        <w:t xml:space="preserve"> e 0.25%. Vale mencionar ainda que o </w:t>
      </w:r>
      <w:r w:rsidR="00A27F66">
        <w:t>ind</w:t>
      </w:r>
      <w:r w:rsidR="00D3524A">
        <w:t>ic</w:t>
      </w:r>
      <w:r w:rsidR="00A27F66">
        <w:t>e</w:t>
      </w:r>
      <w:r>
        <w:t xml:space="preserve"> Dow Jones sofreu a maior queda semanal de </w:t>
      </w:r>
      <w:r>
        <w:lastRenderedPageBreak/>
        <w:t>sua história entre os dias 06 e 10 de outubro de 2008</w:t>
      </w:r>
      <w:r w:rsidR="00E41623">
        <w:t xml:space="preserve"> e que faltou liquidez até no </w:t>
      </w:r>
      <w:r w:rsidR="00931D7D">
        <w:t xml:space="preserve">mercado de </w:t>
      </w:r>
      <w:r w:rsidR="00E41623" w:rsidRPr="00D3524A">
        <w:rPr>
          <w:i/>
        </w:rPr>
        <w:t>e</w:t>
      </w:r>
      <w:r w:rsidR="00931D7D" w:rsidRPr="00D3524A">
        <w:rPr>
          <w:i/>
        </w:rPr>
        <w:t>urodollares</w:t>
      </w:r>
      <w:r>
        <w:t>. Isto posto, parece bastante seguro afirmar que este período foi marcado por uma falha na paridade coberta de juros no Brasil, assim como foi verificado para outros países</w:t>
      </w:r>
      <w:r>
        <w:rPr>
          <w:rStyle w:val="FootnoteReference"/>
        </w:rPr>
        <w:footnoteReference w:id="24"/>
      </w:r>
      <w:r>
        <w:t xml:space="preserve">. </w:t>
      </w:r>
    </w:p>
    <w:p w:rsidR="00B11BA7" w:rsidRDefault="00B11BA7" w:rsidP="00B11BA7">
      <w:pPr>
        <w:rPr>
          <w:rFonts w:eastAsia="Times New Roman" w:cs="Times New Roman"/>
          <w:szCs w:val="24"/>
          <w:lang w:eastAsia="pt-BR"/>
        </w:rPr>
      </w:pPr>
      <w:r>
        <w:rPr>
          <w:rFonts w:eastAsia="Times New Roman" w:cs="Times New Roman"/>
          <w:szCs w:val="24"/>
          <w:lang w:eastAsia="pt-BR"/>
        </w:rPr>
        <w:tab/>
      </w:r>
      <w:r w:rsidRPr="00E50236">
        <w:rPr>
          <w:rFonts w:eastAsia="Times New Roman" w:cs="Times New Roman"/>
          <w:szCs w:val="24"/>
          <w:lang w:eastAsia="pt-BR"/>
        </w:rPr>
        <w:t>Entre os demais dias na região com três o</w:t>
      </w:r>
      <w:r w:rsidR="00931D7D">
        <w:rPr>
          <w:rFonts w:eastAsia="Times New Roman" w:cs="Times New Roman"/>
          <w:szCs w:val="24"/>
          <w:lang w:eastAsia="pt-BR"/>
        </w:rPr>
        <w:t>u</w:t>
      </w:r>
      <w:r w:rsidRPr="00E50236">
        <w:rPr>
          <w:rFonts w:eastAsia="Times New Roman" w:cs="Times New Roman"/>
          <w:szCs w:val="24"/>
          <w:lang w:eastAsia="pt-BR"/>
        </w:rPr>
        <w:t xml:space="preserve"> mais desvios padrões temos também o dia 23 de maio de 2012 quando o agravamento da crise na zona do Euro levou o BCE a realizar swaps cambiais para o fornecimento de dólares quando se temia uma possível saída da Grécia da moeda comum. Entre os dias 1 e 18 de maio o mercado brasileiro experimentou uma fuga de 5.2 bilhões de dólares. Por fim temos no ano de 2013 o dia 19 de junho quando o FED anunciou o início do </w:t>
      </w:r>
      <w:r w:rsidRPr="00E50236">
        <w:rPr>
          <w:rFonts w:eastAsia="Times New Roman" w:cs="Times New Roman"/>
          <w:i/>
          <w:iCs/>
          <w:szCs w:val="24"/>
          <w:lang w:eastAsia="pt-BR"/>
        </w:rPr>
        <w:t>tapering</w:t>
      </w:r>
      <w:r w:rsidRPr="00E50236">
        <w:rPr>
          <w:rFonts w:eastAsia="Times New Roman" w:cs="Times New Roman"/>
          <w:szCs w:val="24"/>
          <w:lang w:eastAsia="pt-BR"/>
        </w:rPr>
        <w:t xml:space="preserve"> do </w:t>
      </w:r>
      <w:r w:rsidRPr="00E50236">
        <w:rPr>
          <w:rFonts w:eastAsia="Times New Roman" w:cs="Times New Roman"/>
          <w:i/>
          <w:iCs/>
          <w:szCs w:val="24"/>
          <w:lang w:eastAsia="pt-BR"/>
        </w:rPr>
        <w:t>Quantitative</w:t>
      </w:r>
      <w:r w:rsidR="00D3524A">
        <w:rPr>
          <w:rFonts w:eastAsia="Times New Roman" w:cs="Times New Roman"/>
          <w:i/>
          <w:iCs/>
          <w:szCs w:val="24"/>
          <w:lang w:eastAsia="pt-BR"/>
        </w:rPr>
        <w:t xml:space="preserve"> </w:t>
      </w:r>
      <w:r w:rsidRPr="00E50236">
        <w:rPr>
          <w:rFonts w:eastAsia="Times New Roman" w:cs="Times New Roman"/>
          <w:i/>
          <w:iCs/>
          <w:szCs w:val="24"/>
          <w:lang w:eastAsia="pt-BR"/>
        </w:rPr>
        <w:t>Easing</w:t>
      </w:r>
      <w:r w:rsidR="00D3524A">
        <w:rPr>
          <w:rFonts w:eastAsia="Times New Roman" w:cs="Times New Roman"/>
          <w:i/>
          <w:iCs/>
          <w:szCs w:val="24"/>
          <w:lang w:eastAsia="pt-BR"/>
        </w:rPr>
        <w:t xml:space="preserve"> </w:t>
      </w:r>
      <w:r w:rsidRPr="00E50236">
        <w:rPr>
          <w:rFonts w:eastAsia="Times New Roman" w:cs="Times New Roman"/>
          <w:i/>
          <w:iCs/>
          <w:szCs w:val="24"/>
          <w:lang w:eastAsia="pt-BR"/>
        </w:rPr>
        <w:t>3</w:t>
      </w:r>
      <w:r w:rsidR="00D3524A">
        <w:rPr>
          <w:rFonts w:eastAsia="Times New Roman" w:cs="Times New Roman"/>
          <w:i/>
          <w:iCs/>
          <w:szCs w:val="24"/>
          <w:lang w:eastAsia="pt-BR"/>
        </w:rPr>
        <w:t xml:space="preserve"> </w:t>
      </w:r>
      <w:r w:rsidRPr="00E50236">
        <w:rPr>
          <w:rFonts w:eastAsia="Times New Roman" w:cs="Times New Roman"/>
          <w:szCs w:val="24"/>
          <w:lang w:eastAsia="pt-BR"/>
        </w:rPr>
        <w:t>(</w:t>
      </w:r>
      <w:r w:rsidRPr="00E50236">
        <w:rPr>
          <w:rFonts w:eastAsia="Times New Roman" w:cs="Times New Roman"/>
          <w:i/>
          <w:iCs/>
          <w:szCs w:val="24"/>
          <w:lang w:eastAsia="pt-BR"/>
        </w:rPr>
        <w:t>QE3</w:t>
      </w:r>
      <w:r w:rsidRPr="00E50236">
        <w:rPr>
          <w:rFonts w:eastAsia="Times New Roman" w:cs="Times New Roman"/>
          <w:szCs w:val="24"/>
          <w:lang w:eastAsia="pt-BR"/>
        </w:rPr>
        <w:t xml:space="preserve">), reduzindo as comprar de 85 para 65 bilhões de dólares por mês; e do dia 19 de setembro quando devido a pioras nos indicadores de crédito da economia americana o FED desiste de mais uma redução na compra de ativos do </w:t>
      </w:r>
      <w:r w:rsidRPr="00E50236">
        <w:rPr>
          <w:rFonts w:eastAsia="Times New Roman" w:cs="Times New Roman"/>
          <w:i/>
          <w:iCs/>
          <w:szCs w:val="24"/>
          <w:lang w:eastAsia="pt-BR"/>
        </w:rPr>
        <w:t>QE3</w:t>
      </w:r>
      <w:r w:rsidRPr="00E50236">
        <w:rPr>
          <w:rFonts w:eastAsia="Times New Roman" w:cs="Times New Roman"/>
          <w:szCs w:val="24"/>
          <w:lang w:eastAsia="pt-BR"/>
        </w:rPr>
        <w:t xml:space="preserve"> elevando a percepção de risco dos participantes dos mercados financeiros e cambiais.</w:t>
      </w:r>
    </w:p>
    <w:p w:rsidR="00B11BA7" w:rsidRDefault="00B11BA7" w:rsidP="00271C13">
      <w:pPr>
        <w:pStyle w:val="Heading3"/>
        <w:rPr>
          <w:rFonts w:eastAsia="Times New Roman"/>
          <w:lang w:eastAsia="pt-BR"/>
        </w:rPr>
      </w:pPr>
      <w:r w:rsidRPr="001A631C">
        <w:rPr>
          <w:rFonts w:eastAsia="Times New Roman"/>
          <w:lang w:eastAsia="pt-BR"/>
        </w:rPr>
        <w:t>Desvios a Partir das Séries Completas da CIP</w:t>
      </w:r>
    </w:p>
    <w:p w:rsidR="001A631C" w:rsidRPr="001A631C" w:rsidRDefault="001A631C" w:rsidP="001A631C">
      <w:pPr>
        <w:rPr>
          <w:lang w:eastAsia="pt-BR"/>
        </w:rPr>
      </w:pPr>
      <w:r w:rsidRPr="001A631C">
        <w:rPr>
          <w:noProof/>
          <w:lang w:eastAsia="pt-BR"/>
        </w:rPr>
        <w:drawing>
          <wp:inline distT="0" distB="0" distL="0" distR="0">
            <wp:extent cx="5400040" cy="1958838"/>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958838"/>
                    </a:xfrm>
                    <a:prstGeom prst="rect">
                      <a:avLst/>
                    </a:prstGeom>
                    <a:noFill/>
                    <a:ln>
                      <a:noFill/>
                    </a:ln>
                  </pic:spPr>
                </pic:pic>
              </a:graphicData>
            </a:graphic>
          </wp:inline>
        </w:drawing>
      </w:r>
    </w:p>
    <w:p w:rsidR="00AF14ED" w:rsidRDefault="00960203" w:rsidP="00F52841">
      <w:pPr>
        <w:ind w:firstLine="357"/>
        <w:rPr>
          <w:rFonts w:eastAsia="Times New Roman" w:cs="Times New Roman"/>
          <w:szCs w:val="24"/>
          <w:lang w:eastAsia="pt-BR"/>
        </w:rPr>
      </w:pPr>
      <w:r>
        <w:t xml:space="preserve">Como vimos, a CIP </w:t>
      </w:r>
      <w:r w:rsidR="00F60E5C">
        <w:t xml:space="preserve">deve ser válida </w:t>
      </w:r>
      <w:r>
        <w:t>quando se utiliza</w:t>
      </w:r>
      <w:r w:rsidR="00F60E5C">
        <w:t xml:space="preserve"> o cupom cambial para fechament</w:t>
      </w:r>
      <w:r w:rsidR="003826EC">
        <w:t>o</w:t>
      </w:r>
      <w:r w:rsidR="00F60E5C">
        <w:t xml:space="preserve"> e os dados confirmam essa hipótese</w:t>
      </w:r>
      <w:r>
        <w:t xml:space="preserve">. </w:t>
      </w:r>
      <w:r w:rsidR="00F60E5C">
        <w:t xml:space="preserve">Isso nos fornece um caminho para definir uma </w:t>
      </w:r>
      <w:r w:rsidR="007515C4">
        <w:t>a taxa de juros externa</w:t>
      </w:r>
      <w:r w:rsidR="00F60E5C">
        <w:t xml:space="preserve"> alternativa</w:t>
      </w:r>
      <w:r w:rsidR="007515C4">
        <w:t xml:space="preserve">, </w:t>
      </w:r>
      <w:r w:rsidR="00F60E5C">
        <w:t xml:space="preserve">seguindo </w:t>
      </w:r>
      <w:r w:rsidR="007515C4" w:rsidRPr="00E50236">
        <w:rPr>
          <w:rFonts w:eastAsia="Times New Roman" w:cs="Times New Roman"/>
          <w:szCs w:val="24"/>
          <w:lang w:eastAsia="pt-BR"/>
        </w:rPr>
        <w:t>Garcia e Didier (2003, p.262) e Ventura e Garcia (2012, p.39)</w:t>
      </w:r>
      <w:r w:rsidR="00931D7D">
        <w:rPr>
          <w:rFonts w:eastAsia="Times New Roman" w:cs="Times New Roman"/>
          <w:szCs w:val="24"/>
          <w:lang w:eastAsia="pt-BR"/>
        </w:rPr>
        <w:t>,</w:t>
      </w:r>
      <w:r w:rsidR="00D3524A">
        <w:rPr>
          <w:rFonts w:eastAsia="Times New Roman" w:cs="Times New Roman"/>
          <w:szCs w:val="24"/>
          <w:lang w:eastAsia="pt-BR"/>
        </w:rPr>
        <w:t xml:space="preserve"> </w:t>
      </w:r>
      <w:r w:rsidR="007515C4">
        <w:rPr>
          <w:rFonts w:eastAsia="Times New Roman" w:cs="Times New Roman"/>
          <w:szCs w:val="24"/>
          <w:lang w:eastAsia="pt-BR"/>
        </w:rPr>
        <w:t xml:space="preserve">que afirmam que </w:t>
      </w:r>
      <w:r w:rsidR="007515C4" w:rsidRPr="00E50236">
        <w:rPr>
          <w:rFonts w:eastAsia="Times New Roman" w:cs="Times New Roman"/>
          <w:szCs w:val="24"/>
          <w:lang w:eastAsia="pt-BR"/>
        </w:rPr>
        <w:t>a taxa de juros do cupom cambial é igual à taxa de juros externa acrescida do risco país.</w:t>
      </w:r>
      <w:r w:rsidR="00D3524A">
        <w:rPr>
          <w:rFonts w:eastAsia="Times New Roman" w:cs="Times New Roman"/>
          <w:szCs w:val="24"/>
          <w:lang w:eastAsia="pt-BR"/>
        </w:rPr>
        <w:t xml:space="preserve"> </w:t>
      </w:r>
      <w:r w:rsidR="007515C4" w:rsidRPr="00E50236">
        <w:rPr>
          <w:rFonts w:eastAsia="Times New Roman" w:cs="Times New Roman"/>
          <w:szCs w:val="24"/>
          <w:lang w:eastAsia="pt-BR"/>
        </w:rPr>
        <w:t>Para compreender esta equivalência deve-se notar que o risco país não</w:t>
      </w:r>
      <w:r w:rsidR="00AF14ED">
        <w:rPr>
          <w:rFonts w:eastAsia="Times New Roman" w:cs="Times New Roman"/>
          <w:szCs w:val="24"/>
          <w:lang w:eastAsia="pt-BR"/>
        </w:rPr>
        <w:t xml:space="preserve"> é</w:t>
      </w:r>
      <w:r w:rsidR="007515C4" w:rsidRPr="00E50236">
        <w:rPr>
          <w:rFonts w:eastAsia="Times New Roman" w:cs="Times New Roman"/>
          <w:szCs w:val="24"/>
          <w:lang w:eastAsia="pt-BR"/>
        </w:rPr>
        <w:t xml:space="preserve"> uma medida direta de risco</w:t>
      </w:r>
      <w:r w:rsidR="00AF14ED">
        <w:rPr>
          <w:rFonts w:eastAsia="Times New Roman" w:cs="Times New Roman"/>
          <w:szCs w:val="24"/>
          <w:lang w:eastAsia="pt-BR"/>
        </w:rPr>
        <w:t xml:space="preserve"> e </w:t>
      </w:r>
      <w:r w:rsidR="00AF14ED" w:rsidRPr="00E50236">
        <w:rPr>
          <w:rFonts w:eastAsia="Times New Roman" w:cs="Times New Roman"/>
          <w:i/>
          <w:iCs/>
          <w:szCs w:val="24"/>
          <w:lang w:eastAsia="pt-BR"/>
        </w:rPr>
        <w:t>“...é definido e calculado pela simples diferença entre duas taxas de juros: a do país, e a dos títulos do governo americano (ambos na mesma moeda)”</w:t>
      </w:r>
      <w:r w:rsidR="00AF14ED">
        <w:rPr>
          <w:rFonts w:eastAsia="Times New Roman" w:cs="Times New Roman"/>
          <w:i/>
          <w:iCs/>
          <w:szCs w:val="24"/>
          <w:lang w:eastAsia="pt-BR"/>
        </w:rPr>
        <w:t xml:space="preserve"> (Toledo, 2002, p.139)</w:t>
      </w:r>
      <w:r w:rsidR="007515C4" w:rsidRPr="00E50236">
        <w:rPr>
          <w:rFonts w:eastAsia="Times New Roman" w:cs="Times New Roman"/>
          <w:szCs w:val="24"/>
          <w:lang w:eastAsia="pt-BR"/>
        </w:rPr>
        <w:t>.</w:t>
      </w:r>
    </w:p>
    <w:p w:rsidR="007515C4" w:rsidRDefault="007515C4" w:rsidP="00F52841">
      <w:pPr>
        <w:ind w:firstLine="357"/>
        <w:rPr>
          <w:rFonts w:eastAsia="Times New Roman" w:cs="Times New Roman"/>
          <w:szCs w:val="24"/>
          <w:lang w:eastAsia="pt-BR"/>
        </w:rPr>
      </w:pPr>
      <w:r w:rsidRPr="00E50236">
        <w:rPr>
          <w:rFonts w:eastAsia="Times New Roman" w:cs="Times New Roman"/>
          <w:szCs w:val="24"/>
          <w:lang w:eastAsia="pt-BR"/>
        </w:rPr>
        <w:t xml:space="preserve">Desta forma percebe-se que o uso da taxa externa </w:t>
      </w:r>
      <w:r w:rsidR="00557529">
        <w:rPr>
          <w:rFonts w:eastAsia="Times New Roman" w:cs="Times New Roman"/>
          <w:szCs w:val="24"/>
          <w:lang w:eastAsia="pt-BR"/>
        </w:rPr>
        <w:t>acrescida d</w:t>
      </w:r>
      <w:r w:rsidRPr="00E50236">
        <w:rPr>
          <w:rFonts w:eastAsia="Times New Roman" w:cs="Times New Roman"/>
          <w:szCs w:val="24"/>
          <w:lang w:eastAsia="pt-BR"/>
        </w:rPr>
        <w:t xml:space="preserve">o </w:t>
      </w:r>
      <w:r w:rsidR="00416A6D">
        <w:rPr>
          <w:rFonts w:eastAsia="Times New Roman" w:cs="Times New Roman"/>
          <w:szCs w:val="24"/>
          <w:lang w:eastAsia="pt-BR"/>
        </w:rPr>
        <w:t>EMBI</w:t>
      </w:r>
      <w:r w:rsidRPr="00AF14ED">
        <w:rPr>
          <w:rFonts w:eastAsia="Times New Roman" w:cs="Times New Roman"/>
          <w:i/>
          <w:szCs w:val="24"/>
          <w:lang w:eastAsia="pt-BR"/>
        </w:rPr>
        <w:t>+</w:t>
      </w:r>
      <w:r w:rsidRPr="00E50236">
        <w:rPr>
          <w:rFonts w:eastAsia="Times New Roman" w:cs="Times New Roman"/>
          <w:szCs w:val="24"/>
          <w:lang w:eastAsia="pt-BR"/>
        </w:rPr>
        <w:t xml:space="preserve"> como a taxa relevante para a CIP faz sentido, pois expressa a taxa à qual os bancos e outras instituições brasileiras conseguem se financiar em moeda estrangeira.</w:t>
      </w:r>
      <w:r w:rsidR="00AF14ED" w:rsidRPr="00931D7D">
        <w:rPr>
          <w:rFonts w:eastAsia="Times New Roman" w:cs="Times New Roman"/>
          <w:szCs w:val="24"/>
          <w:lang w:eastAsia="pt-BR"/>
        </w:rPr>
        <w:t xml:space="preserve">Também é importante notar que como a taxa do cupom cambial é </w:t>
      </w:r>
      <w:r w:rsidR="00931D7D" w:rsidRPr="00931D7D">
        <w:rPr>
          <w:rFonts w:eastAsia="Times New Roman" w:cs="Times New Roman"/>
          <w:szCs w:val="24"/>
          <w:lang w:eastAsia="pt-BR"/>
        </w:rPr>
        <w:t>referenciada</w:t>
      </w:r>
      <w:r w:rsidR="00AF14ED" w:rsidRPr="00931D7D">
        <w:rPr>
          <w:rFonts w:eastAsia="Times New Roman" w:cs="Times New Roman"/>
          <w:szCs w:val="24"/>
          <w:lang w:eastAsia="pt-BR"/>
        </w:rPr>
        <w:t xml:space="preserve"> ao dólar, contanto que haja acesso </w:t>
      </w:r>
      <w:r w:rsidR="00FE6066" w:rsidRPr="00931D7D">
        <w:rPr>
          <w:rFonts w:eastAsia="Times New Roman" w:cs="Times New Roman"/>
          <w:szCs w:val="24"/>
          <w:lang w:eastAsia="pt-BR"/>
        </w:rPr>
        <w:t>a</w:t>
      </w:r>
      <w:r w:rsidR="00AF14ED" w:rsidRPr="00931D7D">
        <w:rPr>
          <w:rFonts w:eastAsia="Times New Roman" w:cs="Times New Roman"/>
          <w:szCs w:val="24"/>
          <w:lang w:eastAsia="pt-BR"/>
        </w:rPr>
        <w:t xml:space="preserve"> mercados externos, instituições financeiras e demais agentes podem arbitrar tomando empres</w:t>
      </w:r>
      <w:r w:rsidR="00416A6D" w:rsidRPr="00931D7D">
        <w:rPr>
          <w:rFonts w:eastAsia="Times New Roman" w:cs="Times New Roman"/>
          <w:szCs w:val="24"/>
          <w:lang w:eastAsia="pt-BR"/>
        </w:rPr>
        <w:t>t</w:t>
      </w:r>
      <w:r w:rsidR="00AF14ED" w:rsidRPr="00931D7D">
        <w:rPr>
          <w:rFonts w:eastAsia="Times New Roman" w:cs="Times New Roman"/>
          <w:szCs w:val="24"/>
          <w:lang w:eastAsia="pt-BR"/>
        </w:rPr>
        <w:t xml:space="preserve">ado no exterior à </w:t>
      </w:r>
      <w:r w:rsidR="0098768D">
        <w:rPr>
          <w:rFonts w:eastAsia="Times New Roman" w:cs="Times New Roman"/>
          <w:i/>
          <w:szCs w:val="24"/>
          <w:lang w:eastAsia="pt-BR"/>
        </w:rPr>
        <w:t>li</w:t>
      </w:r>
      <w:r w:rsidR="00DF34C6" w:rsidRPr="00931D7D">
        <w:rPr>
          <w:rFonts w:eastAsia="Times New Roman" w:cs="Times New Roman"/>
          <w:i/>
          <w:szCs w:val="24"/>
          <w:lang w:eastAsia="pt-BR"/>
        </w:rPr>
        <w:t>bor</w:t>
      </w:r>
      <w:r w:rsidR="00AF14ED" w:rsidRPr="00931D7D">
        <w:rPr>
          <w:rFonts w:eastAsia="Times New Roman" w:cs="Times New Roman"/>
          <w:szCs w:val="24"/>
          <w:lang w:eastAsia="pt-BR"/>
        </w:rPr>
        <w:t xml:space="preserve"> mais </w:t>
      </w:r>
      <w:r w:rsidR="00C33BE3" w:rsidRPr="00931D7D">
        <w:rPr>
          <w:rFonts w:eastAsia="Times New Roman" w:cs="Times New Roman"/>
          <w:i/>
          <w:szCs w:val="24"/>
          <w:lang w:eastAsia="pt-BR"/>
        </w:rPr>
        <w:t>EMBI+</w:t>
      </w:r>
      <w:r w:rsidR="00AF14ED" w:rsidRPr="00931D7D">
        <w:rPr>
          <w:rFonts w:eastAsia="Times New Roman" w:cs="Times New Roman"/>
          <w:szCs w:val="24"/>
          <w:lang w:eastAsia="pt-BR"/>
        </w:rPr>
        <w:t>, por exemplo, e aplicando no cupom cambial.</w:t>
      </w:r>
    </w:p>
    <w:p w:rsidR="009F1997" w:rsidRDefault="005973D4" w:rsidP="00F52841">
      <w:pPr>
        <w:ind w:firstLine="357"/>
      </w:pPr>
      <w:r>
        <w:t>O</w:t>
      </w:r>
      <w:r w:rsidR="00E50236">
        <w:t xml:space="preserve"> gráfico </w:t>
      </w:r>
      <m:oMath>
        <m:r>
          <w:rPr>
            <w:rFonts w:ascii="Cambria Math" w:hAnsi="Cambria Math"/>
          </w:rPr>
          <m:t>(7)</m:t>
        </m:r>
      </m:oMath>
      <w:r>
        <w:t xml:space="preserve"> compara</w:t>
      </w:r>
      <w:r w:rsidR="00E50236">
        <w:t xml:space="preserve"> o comportamento das taxas </w:t>
      </w:r>
      <w:r w:rsidR="0098768D">
        <w:rPr>
          <w:rStyle w:val="Emphasis"/>
        </w:rPr>
        <w:t>li</w:t>
      </w:r>
      <w:r w:rsidR="00DF34C6">
        <w:rPr>
          <w:rStyle w:val="Emphasis"/>
        </w:rPr>
        <w:t>bor</w:t>
      </w:r>
      <w:r w:rsidR="00E50236">
        <w:t xml:space="preserve"> de um</w:t>
      </w:r>
      <w:r>
        <w:t>, três e seis meses</w:t>
      </w:r>
      <w:r w:rsidR="00F05F4B">
        <w:t>, todas</w:t>
      </w:r>
      <w:r w:rsidR="00E50236">
        <w:t xml:space="preserve"> acrescidas do </w:t>
      </w:r>
      <w:r w:rsidR="00C33BE3">
        <w:rPr>
          <w:rStyle w:val="Emphasis"/>
        </w:rPr>
        <w:t>EMBI+</w:t>
      </w:r>
      <w:r w:rsidR="00E50236">
        <w:t xml:space="preserve"> brasileiro</w:t>
      </w:r>
      <w:r w:rsidR="00E50236">
        <w:rPr>
          <w:rStyle w:val="FootnoteReference"/>
        </w:rPr>
        <w:footnoteReference w:id="25"/>
      </w:r>
      <w:r>
        <w:t xml:space="preserve"> com os juros dos contratos de FRA de cupom cambial com maturidades diversas.</w:t>
      </w:r>
    </w:p>
    <w:p w:rsidR="00CB26AB" w:rsidRDefault="00CB26AB" w:rsidP="00271C13">
      <w:pPr>
        <w:pStyle w:val="Heading3"/>
      </w:pPr>
      <w:r>
        <w:lastRenderedPageBreak/>
        <w:t>T</w:t>
      </w:r>
      <w:r w:rsidRPr="00E50236">
        <w:t xml:space="preserve">axas de Juros Externas Acrescidas do </w:t>
      </w:r>
      <w:r w:rsidR="00C33BE3">
        <w:t>EMBI+</w:t>
      </w:r>
      <w:r w:rsidRPr="00E50236">
        <w:t xml:space="preserve"> x Taxas de juros do FRA de cupom cambial</w:t>
      </w:r>
    </w:p>
    <w:p w:rsidR="0098768D" w:rsidRPr="0098768D" w:rsidRDefault="0098768D" w:rsidP="0098768D">
      <w:r w:rsidRPr="0098768D">
        <w:rPr>
          <w:noProof/>
          <w:lang w:eastAsia="pt-BR"/>
        </w:rPr>
        <w:drawing>
          <wp:inline distT="0" distB="0" distL="0" distR="0">
            <wp:extent cx="5608065" cy="193686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7007" cy="1939954"/>
                    </a:xfrm>
                    <a:prstGeom prst="rect">
                      <a:avLst/>
                    </a:prstGeom>
                    <a:noFill/>
                    <a:ln>
                      <a:noFill/>
                    </a:ln>
                  </pic:spPr>
                </pic:pic>
              </a:graphicData>
            </a:graphic>
          </wp:inline>
        </w:drawing>
      </w:r>
    </w:p>
    <w:p w:rsidR="00CF482B" w:rsidRDefault="00CF482B" w:rsidP="005973D4"/>
    <w:p w:rsidR="00951B0B" w:rsidRDefault="00FE6066" w:rsidP="00CB26AB">
      <w:pPr>
        <w:ind w:firstLine="357"/>
        <w:rPr>
          <w:rFonts w:eastAsiaTheme="minorEastAsia"/>
        </w:rPr>
      </w:pPr>
      <w:r>
        <w:t>Por fim,</w:t>
      </w:r>
      <w:r w:rsidR="005973D4">
        <w:t xml:space="preserve"> calculamos um</w:t>
      </w:r>
      <w:r w:rsidR="00CF482B">
        <w:t xml:space="preserve"> novo diferencial de juros, doravante </w:t>
      </w:r>
      <w:r w:rsidR="00CF482B" w:rsidRPr="00F556BC">
        <w:rPr>
          <w:i/>
        </w:rPr>
        <w:t>ii’</w:t>
      </w:r>
      <w:r w:rsidR="00CF482B">
        <w:t xml:space="preserve">, utilizando a taxa </w:t>
      </w:r>
      <w:r w:rsidR="0002648C">
        <w:rPr>
          <w:i/>
        </w:rPr>
        <w:t>li</w:t>
      </w:r>
      <w:r w:rsidR="00CF482B" w:rsidRPr="00FE6066">
        <w:rPr>
          <w:i/>
        </w:rPr>
        <w:t>bor</w:t>
      </w:r>
      <w:r w:rsidR="00970AF1">
        <w:rPr>
          <w:i/>
        </w:rPr>
        <w:t xml:space="preserve"> </w:t>
      </w:r>
      <w:r w:rsidR="00F556BC" w:rsidRPr="00F556BC">
        <w:t>acrescido do</w:t>
      </w:r>
      <w:r w:rsidR="00970AF1">
        <w:t xml:space="preserve"> </w:t>
      </w:r>
      <w:r w:rsidR="00C33BE3">
        <w:rPr>
          <w:i/>
        </w:rPr>
        <w:t>EMBI+</w:t>
      </w:r>
      <w:r w:rsidR="00CF482B">
        <w:t xml:space="preserve"> como </w:t>
      </w:r>
      <w:r>
        <w:t>os</w:t>
      </w:r>
      <w:r w:rsidR="00783D43">
        <w:t xml:space="preserve"> juros externos</w:t>
      </w:r>
      <w:r w:rsidR="00CF482B">
        <w:t xml:space="preserve">. </w:t>
      </w:r>
      <w:r w:rsidR="00441476">
        <w:t>A série foi construída d</w:t>
      </w:r>
      <w:r w:rsidR="00557529">
        <w:t xml:space="preserve">e forma análoga </w:t>
      </w:r>
      <w:r w:rsidR="00783D43">
        <w:t xml:space="preserve">à </w:t>
      </w:r>
      <m:oMath>
        <m:r>
          <w:rPr>
            <w:rFonts w:ascii="Cambria Math" w:hAnsi="Cambria Math"/>
          </w:rPr>
          <m:t>ii</m:t>
        </m:r>
      </m:oMath>
      <w:r w:rsidR="00783D43">
        <w:rPr>
          <w:rFonts w:eastAsiaTheme="minorEastAsia"/>
        </w:rPr>
        <w:t xml:space="preserve">. Tanto a taxa interna do CDI quanto a externa </w:t>
      </w:r>
      <w:r w:rsidR="0098768D">
        <w:rPr>
          <w:rFonts w:eastAsiaTheme="minorEastAsia"/>
          <w:i/>
        </w:rPr>
        <w:t>li</w:t>
      </w:r>
      <w:r w:rsidR="00DF34C6">
        <w:rPr>
          <w:rFonts w:eastAsiaTheme="minorEastAsia"/>
          <w:i/>
        </w:rPr>
        <w:t>bor</w:t>
      </w:r>
      <w:r w:rsidR="00970AF1">
        <w:rPr>
          <w:rFonts w:eastAsiaTheme="minorEastAsia"/>
          <w:i/>
        </w:rPr>
        <w:t xml:space="preserve"> </w:t>
      </w:r>
      <w:r w:rsidR="00F556BC">
        <w:rPr>
          <w:rFonts w:eastAsiaTheme="minorEastAsia"/>
        </w:rPr>
        <w:t>acrescido do</w:t>
      </w:r>
      <w:r w:rsidR="00970AF1">
        <w:rPr>
          <w:rFonts w:eastAsiaTheme="minorEastAsia"/>
        </w:rPr>
        <w:t xml:space="preserve"> </w:t>
      </w:r>
      <w:r w:rsidR="00C33BE3">
        <w:rPr>
          <w:rFonts w:eastAsiaTheme="minorEastAsia"/>
          <w:i/>
        </w:rPr>
        <w:t>EMBI+</w:t>
      </w:r>
      <w:r w:rsidR="00970AF1">
        <w:rPr>
          <w:rFonts w:eastAsiaTheme="minorEastAsia"/>
          <w:i/>
        </w:rPr>
        <w:t xml:space="preserve"> </w:t>
      </w:r>
      <w:r w:rsidR="00783D43">
        <w:rPr>
          <w:rFonts w:eastAsiaTheme="minorEastAsia"/>
        </w:rPr>
        <w:t>são ajustadas pelo número de dias úteis e corridos, respectivamente, até o vencimento do contrato de câ</w:t>
      </w:r>
      <w:r w:rsidR="008A3352">
        <w:rPr>
          <w:rFonts w:eastAsiaTheme="minorEastAsia"/>
        </w:rPr>
        <w:t xml:space="preserve">mbio futuro correspondente, tal como na equação </w:t>
      </w:r>
      <m:oMath>
        <m:r>
          <w:rPr>
            <w:rFonts w:ascii="Cambria Math" w:eastAsiaTheme="minorEastAsia" w:hAnsi="Cambria Math"/>
          </w:rPr>
          <m:t>(9)</m:t>
        </m:r>
      </m:oMath>
      <w:r w:rsidR="00951B0B">
        <w:rPr>
          <w:rFonts w:eastAsiaTheme="minorEastAsia"/>
        </w:rPr>
        <w:t>.</w:t>
      </w:r>
    </w:p>
    <w:p w:rsidR="00951B0B" w:rsidRDefault="00951B0B" w:rsidP="00CB26AB">
      <w:pPr>
        <w:ind w:firstLine="357"/>
        <w:rPr>
          <w:rFonts w:eastAsiaTheme="minorEastAsia"/>
        </w:rPr>
      </w:pPr>
      <m:oMathPara>
        <m:oMath>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CDI</m:t>
                      </m:r>
                    </m:sup>
                  </m:sSup>
                  <m:r>
                    <w:rPr>
                      <w:rFonts w:ascii="Cambria Math" w:eastAsiaTheme="minorEastAsia" w:hAnsi="Cambria Math"/>
                    </w:rPr>
                    <m:t>)</m:t>
                  </m:r>
                </m:e>
                <m:sup>
                  <m:box>
                    <m:boxPr>
                      <m:ctrlPr>
                        <w:rPr>
                          <w:rFonts w:ascii="Cambria Math" w:eastAsiaTheme="minorEastAsia" w:hAnsi="Cambria Math"/>
                          <w:i/>
                        </w:rPr>
                      </m:ctrlPr>
                    </m:boxPr>
                    <m:e>
                      <m:argPr>
                        <m:argSz m:val="-1"/>
                      </m:argP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252</m:t>
                          </m:r>
                        </m:den>
                      </m:f>
                    </m:e>
                  </m:box>
                </m:sup>
              </m:sSup>
            </m:num>
            <m:den>
              <m:r>
                <w:rPr>
                  <w:rFonts w:ascii="Cambria Math" w:eastAsiaTheme="minorEastAsia" w:hAnsi="Cambria Math"/>
                </w:rPr>
                <m:t>(1+</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libor</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embi+</m:t>
                      </m:r>
                    </m:num>
                    <m:den>
                      <m:r>
                        <w:rPr>
                          <w:rFonts w:ascii="Cambria Math" w:eastAsiaTheme="minorEastAsia" w:hAnsi="Cambria Math"/>
                        </w:rPr>
                        <m:t>100</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360</m:t>
                  </m:r>
                </m:den>
              </m:f>
              <m:r>
                <w:rPr>
                  <w:rFonts w:ascii="Cambria Math" w:eastAsiaTheme="minorEastAsia" w:hAnsi="Cambria Math"/>
                </w:rPr>
                <m:t>)</m:t>
              </m:r>
            </m:den>
          </m:f>
          <m:r>
            <w:rPr>
              <w:rFonts w:ascii="Cambria Math" w:eastAsiaTheme="minorEastAsia" w:hAnsi="Cambria Math"/>
            </w:rPr>
            <m:t xml:space="preserve">  (9)</m:t>
          </m:r>
        </m:oMath>
      </m:oMathPara>
    </w:p>
    <w:p w:rsidR="005F64C2" w:rsidRDefault="008A3352" w:rsidP="00CB26AB">
      <w:pPr>
        <w:ind w:firstLine="357"/>
        <w:rPr>
          <w:rFonts w:eastAsiaTheme="minorEastAsia"/>
        </w:rPr>
      </w:pPr>
      <w:r>
        <w:rPr>
          <w:rFonts w:eastAsiaTheme="minorEastAsia"/>
        </w:rPr>
        <w:t xml:space="preserve">Apesar de utilizarmos duas séries contínuas de juros, em contraste com as várias taxas de cada contrato de FRA de cupom cambial em </w:t>
      </w:r>
      <m:oMath>
        <m:r>
          <w:rPr>
            <w:rFonts w:ascii="Cambria Math" w:eastAsiaTheme="minorEastAsia" w:hAnsi="Cambria Math"/>
          </w:rPr>
          <m:t>ii</m:t>
        </m:r>
      </m:oMath>
      <w:r>
        <w:rPr>
          <w:rFonts w:eastAsiaTheme="minorEastAsia"/>
        </w:rPr>
        <w:t xml:space="preserve">, a nova série do diferencial de juros </w:t>
      </w:r>
      <m:oMath>
        <m:r>
          <w:rPr>
            <w:rFonts w:ascii="Cambria Math" w:eastAsiaTheme="minorEastAsia" w:hAnsi="Cambria Math"/>
          </w:rPr>
          <m:t>ii'</m:t>
        </m:r>
      </m:oMath>
      <w:r>
        <w:rPr>
          <w:rFonts w:eastAsiaTheme="minorEastAsia"/>
        </w:rPr>
        <w:t xml:space="preserve"> tem o mesmo aspecto ‘quebrado” que a anterior devido ao número de dias pelos quais as taxas são ajustadas de modo que o diferencial de juros seja comparável ao </w:t>
      </w:r>
      <w:r w:rsidRPr="008A3352">
        <w:rPr>
          <w:rFonts w:eastAsiaTheme="minorEastAsia"/>
          <w:i/>
        </w:rPr>
        <w:t>forward</w:t>
      </w:r>
      <w:r w:rsidR="002F7305">
        <w:rPr>
          <w:rFonts w:eastAsiaTheme="minorEastAsia"/>
          <w:i/>
        </w:rPr>
        <w:t xml:space="preserve"> </w:t>
      </w:r>
      <w:r w:rsidRPr="008A3352">
        <w:rPr>
          <w:rFonts w:eastAsiaTheme="minorEastAsia"/>
          <w:i/>
        </w:rPr>
        <w:t>premium</w:t>
      </w:r>
      <w:r w:rsidRPr="008A3352">
        <w:rPr>
          <w:rFonts w:eastAsiaTheme="minorEastAsia"/>
        </w:rPr>
        <w:t>, que tende a reduzir-se quando se aproxima do vencimento.</w:t>
      </w:r>
      <w:r w:rsidR="005F64C2">
        <w:rPr>
          <w:rFonts w:eastAsiaTheme="minorEastAsia"/>
        </w:rPr>
        <w:t xml:space="preserve"> O gráficos </w:t>
      </w:r>
      <m:oMath>
        <m:r>
          <w:rPr>
            <w:rFonts w:ascii="Cambria Math" w:eastAsiaTheme="minorEastAsia" w:hAnsi="Cambria Math"/>
          </w:rPr>
          <m:t>(8)</m:t>
        </m:r>
      </m:oMath>
      <w:r w:rsidR="00F66FA1">
        <w:rPr>
          <w:rFonts w:eastAsiaTheme="minorEastAsia"/>
        </w:rPr>
        <w:t xml:space="preserve"> compara </w:t>
      </w:r>
      <w:r w:rsidR="005F64C2">
        <w:rPr>
          <w:rFonts w:eastAsiaTheme="minorEastAsia"/>
        </w:rPr>
        <w:t>as duas variáveis construídas</w:t>
      </w:r>
      <w:r w:rsidR="00F66FA1">
        <w:rPr>
          <w:rFonts w:eastAsiaTheme="minorEastAsia"/>
        </w:rPr>
        <w:t xml:space="preserve"> para o diferencial de juros</w:t>
      </w:r>
      <m:oMath>
        <m:r>
          <w:rPr>
            <w:rFonts w:ascii="Cambria Math" w:eastAsiaTheme="minorEastAsia" w:hAnsi="Cambria Math"/>
          </w:rPr>
          <m:t>ii</m:t>
        </m:r>
      </m:oMath>
      <w:r w:rsidR="005F64C2">
        <w:rPr>
          <w:rFonts w:eastAsiaTheme="minorEastAsia"/>
        </w:rPr>
        <w:t xml:space="preserve"> e </w:t>
      </w:r>
      <m:oMath>
        <m:r>
          <w:rPr>
            <w:rFonts w:ascii="Cambria Math" w:eastAsiaTheme="minorEastAsia" w:hAnsi="Cambria Math"/>
          </w:rPr>
          <m:t>ii'</m:t>
        </m:r>
      </m:oMath>
      <w:r w:rsidR="005F64C2">
        <w:rPr>
          <w:rFonts w:eastAsiaTheme="minorEastAsia"/>
        </w:rPr>
        <w:t>.</w:t>
      </w:r>
    </w:p>
    <w:p w:rsidR="00441476" w:rsidRDefault="0098768D" w:rsidP="005F64C2">
      <w:pPr>
        <w:pStyle w:val="Heading3"/>
        <w:rPr>
          <w:rFonts w:eastAsiaTheme="minorEastAsia"/>
        </w:rPr>
      </w:pPr>
      <w:r>
        <w:rPr>
          <w:rFonts w:eastAsiaTheme="minorEastAsia"/>
        </w:rPr>
        <w:t>Diferenciais de Juros: i</w:t>
      </w:r>
      <w:r w:rsidR="00F66FA1">
        <w:rPr>
          <w:rFonts w:eastAsiaTheme="minorEastAsia"/>
        </w:rPr>
        <w:t>i e ii’</w:t>
      </w:r>
    </w:p>
    <w:p w:rsidR="00A422FE" w:rsidRPr="00A422FE" w:rsidRDefault="0098768D" w:rsidP="00A422FE">
      <w:r w:rsidRPr="0098768D">
        <w:rPr>
          <w:noProof/>
          <w:lang w:eastAsia="pt-BR"/>
        </w:rPr>
        <w:drawing>
          <wp:inline distT="0" distB="0" distL="0" distR="0">
            <wp:extent cx="5400040" cy="1930661"/>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930661"/>
                    </a:xfrm>
                    <a:prstGeom prst="rect">
                      <a:avLst/>
                    </a:prstGeom>
                    <a:noFill/>
                    <a:ln>
                      <a:noFill/>
                    </a:ln>
                  </pic:spPr>
                </pic:pic>
              </a:graphicData>
            </a:graphic>
          </wp:inline>
        </w:drawing>
      </w:r>
    </w:p>
    <w:p w:rsidR="00CB26AB" w:rsidRDefault="00CB26AB" w:rsidP="00CB26AB">
      <w:pPr>
        <w:ind w:firstLine="357"/>
      </w:pPr>
      <w:r>
        <w:t xml:space="preserve">A seguir realizamos testes econométricos para a CIP no Brasil utilizando como taxas de juros externas tanto o FRC quanto a taxa </w:t>
      </w:r>
      <w:r w:rsidR="0098768D">
        <w:rPr>
          <w:rStyle w:val="Emphasis"/>
        </w:rPr>
        <w:t>li</w:t>
      </w:r>
      <w:r w:rsidR="00DF34C6">
        <w:rPr>
          <w:rStyle w:val="Emphasis"/>
        </w:rPr>
        <w:t>bor</w:t>
      </w:r>
      <w:r>
        <w:t xml:space="preserve"> acrescida do </w:t>
      </w:r>
      <w:r w:rsidR="00C33BE3">
        <w:rPr>
          <w:rStyle w:val="Emphasis"/>
        </w:rPr>
        <w:t>EMBI+</w:t>
      </w:r>
      <w:r w:rsidR="00F66FA1">
        <w:t>.</w:t>
      </w:r>
    </w:p>
    <w:p w:rsidR="00A422FE" w:rsidRDefault="00A422FE" w:rsidP="00CB26AB">
      <w:pPr>
        <w:ind w:firstLine="357"/>
      </w:pPr>
    </w:p>
    <w:p w:rsidR="00922C2C" w:rsidRPr="000D050E" w:rsidRDefault="00922C2C" w:rsidP="00374BE7">
      <w:pPr>
        <w:pStyle w:val="Heading2"/>
        <w:rPr>
          <w:rFonts w:eastAsia="Times New Roman"/>
          <w:lang w:eastAsia="pt-BR"/>
        </w:rPr>
      </w:pPr>
      <w:r>
        <w:t xml:space="preserve"> </w:t>
      </w:r>
      <w:r w:rsidRPr="000D050E">
        <w:rPr>
          <w:rFonts w:eastAsia="Times New Roman"/>
          <w:lang w:eastAsia="pt-BR"/>
        </w:rPr>
        <w:t>Especificações Econométricas da Paridade Coberta de Juros</w:t>
      </w:r>
    </w:p>
    <w:p w:rsidR="00E50236" w:rsidRDefault="00922C2C" w:rsidP="00F52841">
      <w:pPr>
        <w:pStyle w:val="Heading5"/>
        <w:ind w:firstLine="357"/>
      </w:pPr>
      <w:r>
        <w:t xml:space="preserve">5.1 </w:t>
      </w:r>
      <w:r w:rsidR="00E50236">
        <w:t xml:space="preserve">Testes de </w:t>
      </w:r>
      <w:r>
        <w:t>raiz unitária</w:t>
      </w:r>
      <w:r w:rsidR="002945DC">
        <w:t xml:space="preserve"> e de Cointegração</w:t>
      </w:r>
    </w:p>
    <w:p w:rsidR="005B2F0D" w:rsidRDefault="00CB26AB" w:rsidP="00CB26AB">
      <w:pPr>
        <w:ind w:firstLine="357"/>
      </w:pPr>
      <w:r>
        <w:t xml:space="preserve">Antes de realizamos os testes para </w:t>
      </w:r>
      <w:r w:rsidR="00E41623">
        <w:t>verificar a validade d</w:t>
      </w:r>
      <w:r>
        <w:t>a CIP</w:t>
      </w:r>
      <w:r w:rsidR="004F2DEE">
        <w:t xml:space="preserve"> a partir das variáveis</w:t>
      </w:r>
      <w:r w:rsidR="005B2F0D">
        <w:t xml:space="preserve"> construídas</w:t>
      </w:r>
      <w:r w:rsidR="00970AF1">
        <w:rPr>
          <w:rFonts w:eastAsiaTheme="minorEastAsia"/>
        </w:rPr>
        <w:t xml:space="preserve"> </w:t>
      </w:r>
      <m:oMath>
        <m:r>
          <w:rPr>
            <w:rFonts w:ascii="Cambria Math" w:eastAsiaTheme="minorEastAsia" w:hAnsi="Cambria Math"/>
          </w:rPr>
          <m:t>ii</m:t>
        </m:r>
      </m:oMath>
      <w:r w:rsidR="004F2DEE">
        <w:rPr>
          <w:rFonts w:eastAsiaTheme="minorEastAsia"/>
        </w:rPr>
        <w:t xml:space="preserve"> e </w:t>
      </w:r>
      <m:oMath>
        <m:r>
          <w:rPr>
            <w:rFonts w:ascii="Cambria Math" w:eastAsiaTheme="minorEastAsia" w:hAnsi="Cambria Math"/>
          </w:rPr>
          <m:t>ii'</m:t>
        </m:r>
      </m:oMath>
      <w:r>
        <w:t>, é importante constatar se a relação visual do gráfico</w:t>
      </w:r>
      <m:oMath>
        <m:r>
          <w:rPr>
            <w:rFonts w:ascii="Cambria Math" w:hAnsi="Cambria Math"/>
          </w:rPr>
          <m:t>(7)</m:t>
        </m:r>
      </m:oMath>
      <w:r>
        <w:t xml:space="preserve"> de fato é coerente econometricamente.</w:t>
      </w:r>
    </w:p>
    <w:p w:rsidR="005B2F0D" w:rsidRDefault="00DF3A34" w:rsidP="00CB26AB">
      <w:pPr>
        <w:ind w:firstLine="357"/>
        <w:rPr>
          <w:rFonts w:eastAsia="Times New Roman" w:cs="Times New Roman"/>
          <w:szCs w:val="24"/>
          <w:lang w:eastAsia="pt-BR"/>
        </w:rPr>
      </w:pPr>
      <w:r>
        <w:rPr>
          <w:rFonts w:eastAsia="Times New Roman" w:cs="Times New Roman"/>
          <w:szCs w:val="24"/>
          <w:lang w:eastAsia="pt-BR"/>
        </w:rPr>
        <w:lastRenderedPageBreak/>
        <w:t>O teste de cointegração e</w:t>
      </w:r>
      <w:r w:rsidR="005B2F0D">
        <w:rPr>
          <w:rFonts w:eastAsia="Times New Roman" w:cs="Times New Roman"/>
          <w:szCs w:val="24"/>
          <w:lang w:eastAsia="pt-BR"/>
        </w:rPr>
        <w:t xml:space="preserve">scolhido foi o de Phillips e </w:t>
      </w:r>
      <w:r w:rsidR="005B2F0D" w:rsidRPr="00E50236">
        <w:rPr>
          <w:rFonts w:eastAsia="Times New Roman" w:cs="Times New Roman"/>
          <w:szCs w:val="24"/>
          <w:lang w:eastAsia="pt-BR"/>
        </w:rPr>
        <w:t>Ouliaris</w:t>
      </w:r>
      <w:r w:rsidR="005B2F0D">
        <w:rPr>
          <w:rFonts w:eastAsia="Times New Roman" w:cs="Times New Roman"/>
          <w:szCs w:val="24"/>
          <w:lang w:eastAsia="pt-BR"/>
        </w:rPr>
        <w:t xml:space="preserve"> (1990)</w:t>
      </w:r>
      <w:r w:rsidR="005B2F0D" w:rsidRPr="00E50236">
        <w:rPr>
          <w:rFonts w:eastAsia="Times New Roman" w:cs="Times New Roman"/>
          <w:szCs w:val="24"/>
          <w:lang w:eastAsia="pt-BR"/>
        </w:rPr>
        <w:t xml:space="preserve"> (P-O). Este procedimento tem a vantagem de utilizar </w:t>
      </w:r>
      <w:r w:rsidR="005B2F0D">
        <w:rPr>
          <w:rFonts w:eastAsia="Times New Roman" w:cs="Times New Roman"/>
          <w:szCs w:val="24"/>
          <w:lang w:eastAsia="pt-BR"/>
        </w:rPr>
        <w:t>um</w:t>
      </w:r>
      <w:r w:rsidR="005B2F0D" w:rsidRPr="00E50236">
        <w:rPr>
          <w:rFonts w:eastAsia="Times New Roman" w:cs="Times New Roman"/>
          <w:szCs w:val="24"/>
          <w:lang w:eastAsia="pt-BR"/>
        </w:rPr>
        <w:t xml:space="preserve">a estatística como o </w:t>
      </w:r>
      <w:r w:rsidR="005B2F0D" w:rsidRPr="00E50236">
        <w:rPr>
          <w:rFonts w:eastAsia="Times New Roman" w:cs="Times New Roman"/>
          <w:i/>
          <w:iCs/>
          <w:szCs w:val="24"/>
          <w:lang w:eastAsia="pt-BR"/>
        </w:rPr>
        <w:t>z</w:t>
      </w:r>
      <w:r w:rsidR="005B2F0D" w:rsidRPr="00E50236">
        <w:rPr>
          <w:rFonts w:eastAsia="Times New Roman" w:cs="Times New Roman"/>
          <w:szCs w:val="24"/>
          <w:lang w:eastAsia="pt-BR"/>
        </w:rPr>
        <w:t xml:space="preserve"> do teste de raiz unitária</w:t>
      </w:r>
      <w:r w:rsidR="00514A18">
        <w:rPr>
          <w:rFonts w:eastAsia="Times New Roman" w:cs="Times New Roman"/>
          <w:szCs w:val="24"/>
          <w:lang w:eastAsia="pt-BR"/>
        </w:rPr>
        <w:t xml:space="preserve"> </w:t>
      </w:r>
      <w:r w:rsidR="005B2F0D" w:rsidRPr="00E50236">
        <w:rPr>
          <w:rFonts w:eastAsia="Times New Roman" w:cs="Times New Roman"/>
          <w:szCs w:val="24"/>
          <w:lang w:eastAsia="pt-BR"/>
        </w:rPr>
        <w:t>de Phillips-Perron e, portanto, não depende do número de defasagens selecionadas. Por não estar tão sujeito a distorções causadas pela instabilidade da volatilidade das séries</w:t>
      </w:r>
      <w:r w:rsidR="005B2F0D">
        <w:rPr>
          <w:rFonts w:eastAsia="Times New Roman" w:cs="Times New Roman"/>
          <w:szCs w:val="24"/>
          <w:lang w:eastAsia="pt-BR"/>
        </w:rPr>
        <w:t xml:space="preserve"> - característica comum às séries financeiras de alta frequência que causa distorções de tamanho nos testes, elevando a possibilidade de rejeição incorreta da hipótese nula</w:t>
      </w:r>
      <w:r w:rsidR="00BF4852">
        <w:rPr>
          <w:rFonts w:eastAsia="Times New Roman" w:cs="Times New Roman"/>
          <w:szCs w:val="24"/>
          <w:lang w:eastAsia="pt-BR"/>
        </w:rPr>
        <w:t xml:space="preserve"> quando aplicados </w:t>
      </w:r>
      <w:r w:rsidR="006D376B">
        <w:rPr>
          <w:rFonts w:eastAsia="Times New Roman" w:cs="Times New Roman"/>
          <w:szCs w:val="24"/>
          <w:lang w:eastAsia="pt-BR"/>
        </w:rPr>
        <w:t>a</w:t>
      </w:r>
      <w:r w:rsidR="00BF4852">
        <w:rPr>
          <w:rFonts w:eastAsia="Times New Roman" w:cs="Times New Roman"/>
          <w:szCs w:val="24"/>
          <w:lang w:eastAsia="pt-BR"/>
        </w:rPr>
        <w:t xml:space="preserve"> séries heterocedásticas</w:t>
      </w:r>
      <w:r w:rsidR="005B2F0D">
        <w:rPr>
          <w:rFonts w:eastAsia="Times New Roman" w:cs="Times New Roman"/>
          <w:szCs w:val="24"/>
          <w:lang w:eastAsia="pt-BR"/>
        </w:rPr>
        <w:t xml:space="preserve"> (Cavalieri e Taylor</w:t>
      </w:r>
      <w:r w:rsidR="00514A18">
        <w:rPr>
          <w:rFonts w:eastAsia="Times New Roman" w:cs="Times New Roman"/>
          <w:szCs w:val="24"/>
          <w:lang w:eastAsia="pt-BR"/>
        </w:rPr>
        <w:t xml:space="preserve"> (2007)</w:t>
      </w:r>
      <w:r w:rsidR="005B2F0D">
        <w:rPr>
          <w:rFonts w:eastAsia="Times New Roman" w:cs="Times New Roman"/>
          <w:szCs w:val="24"/>
          <w:lang w:eastAsia="pt-BR"/>
        </w:rPr>
        <w:t>) -</w:t>
      </w:r>
      <w:r w:rsidR="005B2F0D" w:rsidRPr="00E50236">
        <w:rPr>
          <w:rFonts w:eastAsia="Times New Roman" w:cs="Times New Roman"/>
          <w:szCs w:val="24"/>
          <w:lang w:eastAsia="pt-BR"/>
        </w:rPr>
        <w:t xml:space="preserve"> é razoável assumir que o teste P-O é uma alternativa melhor do que os testes de E</w:t>
      </w:r>
      <w:r w:rsidR="0098768D">
        <w:rPr>
          <w:rFonts w:eastAsia="Times New Roman" w:cs="Times New Roman"/>
          <w:szCs w:val="24"/>
          <w:lang w:eastAsia="pt-BR"/>
        </w:rPr>
        <w:t>ngle-</w:t>
      </w:r>
      <w:r w:rsidR="005B2F0D" w:rsidRPr="00E50236">
        <w:rPr>
          <w:rFonts w:eastAsia="Times New Roman" w:cs="Times New Roman"/>
          <w:szCs w:val="24"/>
          <w:lang w:eastAsia="pt-BR"/>
        </w:rPr>
        <w:t>G</w:t>
      </w:r>
      <w:r w:rsidR="005B2F0D">
        <w:rPr>
          <w:rFonts w:eastAsia="Times New Roman" w:cs="Times New Roman"/>
          <w:szCs w:val="24"/>
          <w:lang w:eastAsia="pt-BR"/>
        </w:rPr>
        <w:t>ranger</w:t>
      </w:r>
      <w:r w:rsidR="00514A18">
        <w:rPr>
          <w:rFonts w:eastAsia="Times New Roman" w:cs="Times New Roman"/>
          <w:szCs w:val="24"/>
          <w:lang w:eastAsia="pt-BR"/>
        </w:rPr>
        <w:t xml:space="preserve"> </w:t>
      </w:r>
      <w:r w:rsidR="005B2F0D">
        <w:rPr>
          <w:rFonts w:eastAsia="Times New Roman" w:cs="Times New Roman"/>
          <w:szCs w:val="24"/>
          <w:lang w:eastAsia="pt-BR"/>
        </w:rPr>
        <w:t xml:space="preserve">tanto para as variáveis de juros abaixo quanto para as da </w:t>
      </w:r>
      <w:r w:rsidR="005B2F0D" w:rsidRPr="00E50236">
        <w:rPr>
          <w:rFonts w:eastAsia="Times New Roman" w:cs="Times New Roman"/>
          <w:szCs w:val="24"/>
          <w:lang w:eastAsia="pt-BR"/>
        </w:rPr>
        <w:t>CIP</w:t>
      </w:r>
      <m:oMath>
        <m:d>
          <m:dPr>
            <m:ctrlPr>
              <w:rPr>
                <w:rFonts w:ascii="Cambria Math" w:eastAsia="Times New Roman" w:hAnsi="Cambria Math" w:cs="Times New Roman"/>
                <w:i/>
                <w:szCs w:val="24"/>
                <w:lang w:eastAsia="pt-BR"/>
              </w:rPr>
            </m:ctrlPr>
          </m:dPr>
          <m:e>
            <m:r>
              <w:rPr>
                <w:rFonts w:ascii="Cambria Math" w:eastAsia="Times New Roman" w:hAnsi="Cambria Math" w:cs="Times New Roman"/>
                <w:szCs w:val="24"/>
                <w:lang w:eastAsia="pt-BR"/>
              </w:rPr>
              <m:t>fs, ii e i</m:t>
            </m:r>
            <m:sSup>
              <m:sSupPr>
                <m:ctrlPr>
                  <w:rPr>
                    <w:rFonts w:ascii="Cambria Math" w:eastAsia="Times New Roman" w:hAnsi="Cambria Math" w:cs="Times New Roman"/>
                    <w:i/>
                    <w:szCs w:val="24"/>
                    <w:lang w:eastAsia="pt-BR"/>
                  </w:rPr>
                </m:ctrlPr>
              </m:sSupPr>
              <m:e>
                <m:r>
                  <w:rPr>
                    <w:rFonts w:ascii="Cambria Math" w:eastAsia="Times New Roman" w:hAnsi="Cambria Math" w:cs="Times New Roman"/>
                    <w:szCs w:val="24"/>
                    <w:lang w:eastAsia="pt-BR"/>
                  </w:rPr>
                  <m:t>i</m:t>
                </m:r>
              </m:e>
              <m:sup>
                <m:r>
                  <w:rPr>
                    <w:rFonts w:ascii="Cambria Math" w:eastAsia="Times New Roman" w:hAnsi="Cambria Math" w:cs="Times New Roman"/>
                    <w:szCs w:val="24"/>
                    <w:lang w:eastAsia="pt-BR"/>
                  </w:rPr>
                  <m:t>'</m:t>
                </m:r>
              </m:sup>
            </m:sSup>
          </m:e>
        </m:d>
      </m:oMath>
      <w:r w:rsidR="005B2F0D">
        <w:rPr>
          <w:rFonts w:eastAsia="Times New Roman" w:cs="Times New Roman"/>
          <w:szCs w:val="24"/>
          <w:lang w:eastAsia="pt-BR"/>
        </w:rPr>
        <w:t>, mais adiante.</w:t>
      </w:r>
    </w:p>
    <w:p w:rsidR="00BF4852" w:rsidRDefault="00DF3A34" w:rsidP="00CB26AB">
      <w:pPr>
        <w:ind w:firstLine="357"/>
        <w:rPr>
          <w:rStyle w:val="CommentReference"/>
        </w:rPr>
      </w:pPr>
      <w:r>
        <w:t xml:space="preserve">Para tanto, </w:t>
      </w:r>
      <w:r w:rsidR="0098768D">
        <w:t xml:space="preserve">primeiro apresentamos na tabela </w:t>
      </w:r>
      <m:oMath>
        <m:r>
          <w:rPr>
            <w:rFonts w:ascii="Cambria Math" w:hAnsi="Cambria Math"/>
          </w:rPr>
          <m:t>(3)</m:t>
        </m:r>
      </m:oMath>
      <w:r>
        <w:t xml:space="preserve"> os testes de raiz unitária das variáveis correspondentes às taxas externas de juros: a taxa </w:t>
      </w:r>
      <w:r w:rsidR="0098768D">
        <w:rPr>
          <w:i/>
        </w:rPr>
        <w:t>li</w:t>
      </w:r>
      <w:r w:rsidR="00DF34C6">
        <w:rPr>
          <w:i/>
        </w:rPr>
        <w:t>bor</w:t>
      </w:r>
      <w:r>
        <w:t xml:space="preserve"> de 6 meses acrescida do </w:t>
      </w:r>
      <w:r w:rsidR="00BF4852">
        <w:t xml:space="preserve">spread do </w:t>
      </w:r>
      <w:r w:rsidR="00C33BE3">
        <w:rPr>
          <w:i/>
        </w:rPr>
        <w:t>EMBI+</w:t>
      </w:r>
      <w:r>
        <w:t xml:space="preserve"> brasileiro e as taxas do cupom cambial com vencimento nos meses de janeiro entre 2009 até 2014</w:t>
      </w:r>
      <w:r w:rsidR="00BF4852">
        <w:t xml:space="preserve">. </w:t>
      </w:r>
      <w:r w:rsidR="00B13FF7">
        <w:t>Devido aos possíveis problemas supracitados</w:t>
      </w:r>
      <w:r w:rsidR="002704AC">
        <w:t>,</w:t>
      </w:r>
      <w:r w:rsidR="00B13FF7">
        <w:t xml:space="preserve"> utilizamos quatro diferentes testes</w:t>
      </w:r>
      <w:r w:rsidR="002704AC">
        <w:t>,</w:t>
      </w:r>
      <w:r w:rsidR="00B13FF7">
        <w:t xml:space="preserve"> a saber, </w:t>
      </w:r>
      <w:r w:rsidR="00BF4852" w:rsidRPr="00E50236">
        <w:rPr>
          <w:rFonts w:eastAsia="Times New Roman" w:cs="Times New Roman"/>
          <w:szCs w:val="24"/>
          <w:lang w:eastAsia="pt-BR"/>
        </w:rPr>
        <w:t>testes de Phillips-Perron (PP)</w:t>
      </w:r>
      <w:r w:rsidR="00B13FF7">
        <w:rPr>
          <w:rFonts w:eastAsia="Times New Roman" w:cs="Times New Roman"/>
          <w:szCs w:val="24"/>
          <w:lang w:eastAsia="pt-BR"/>
        </w:rPr>
        <w:t>,</w:t>
      </w:r>
      <w:r w:rsidR="00514A18">
        <w:rPr>
          <w:rFonts w:eastAsia="Times New Roman" w:cs="Times New Roman"/>
          <w:szCs w:val="24"/>
          <w:lang w:eastAsia="pt-BR"/>
        </w:rPr>
        <w:t xml:space="preserve"> </w:t>
      </w:r>
      <w:r w:rsidR="00BF4852" w:rsidRPr="00E50236">
        <w:rPr>
          <w:rFonts w:eastAsia="Times New Roman" w:cs="Times New Roman"/>
          <w:szCs w:val="24"/>
          <w:lang w:eastAsia="pt-BR"/>
        </w:rPr>
        <w:t>Kwiatkowski-Phillips-Schmidt-Shin (KPSS)</w:t>
      </w:r>
      <w:r w:rsidR="00B13FF7">
        <w:rPr>
          <w:rFonts w:eastAsia="Times New Roman" w:cs="Times New Roman"/>
          <w:szCs w:val="24"/>
          <w:lang w:eastAsia="pt-BR"/>
        </w:rPr>
        <w:t xml:space="preserve">, </w:t>
      </w:r>
      <w:r w:rsidR="00BF4852" w:rsidRPr="00E50236">
        <w:rPr>
          <w:rFonts w:eastAsia="Times New Roman" w:cs="Times New Roman"/>
          <w:szCs w:val="24"/>
          <w:lang w:eastAsia="pt-BR"/>
        </w:rPr>
        <w:t xml:space="preserve">Dick-Fuller Aumentado (ADF) </w:t>
      </w:r>
      <w:r w:rsidR="0098768D">
        <w:rPr>
          <w:rFonts w:eastAsia="Times New Roman" w:cs="Times New Roman"/>
          <w:szCs w:val="24"/>
          <w:lang w:eastAsia="pt-BR"/>
        </w:rPr>
        <w:t>e ADF-GLS</w:t>
      </w:r>
      <w:r w:rsidR="00B13FF7">
        <w:rPr>
          <w:rStyle w:val="FootnoteReference"/>
          <w:rFonts w:eastAsia="Times New Roman" w:cs="Times New Roman"/>
          <w:szCs w:val="24"/>
          <w:lang w:eastAsia="pt-BR"/>
        </w:rPr>
        <w:footnoteReference w:id="26"/>
      </w:r>
      <w:r w:rsidR="0098768D">
        <w:rPr>
          <w:rFonts w:eastAsia="Times New Roman" w:cs="Times New Roman"/>
          <w:szCs w:val="24"/>
          <w:lang w:eastAsia="pt-BR"/>
        </w:rPr>
        <w:t>.</w:t>
      </w:r>
    </w:p>
    <w:p w:rsidR="00BF4852" w:rsidRDefault="00BF4852" w:rsidP="00BF4852">
      <w:pPr>
        <w:pStyle w:val="Heading4"/>
      </w:pPr>
      <w:r>
        <w:t>Testes de Raiz Unitária para as Taxas de Juros Externas</w:t>
      </w:r>
    </w:p>
    <w:p w:rsidR="006D376B" w:rsidRDefault="004624AF" w:rsidP="00271C13">
      <w:pPr>
        <w:jc w:val="center"/>
      </w:pPr>
      <w:r w:rsidRPr="004624AF">
        <w:rPr>
          <w:noProof/>
          <w:lang w:eastAsia="pt-BR"/>
        </w:rPr>
        <w:drawing>
          <wp:inline distT="0" distB="0" distL="0" distR="0">
            <wp:extent cx="3923607" cy="12561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25940" cy="1256893"/>
                    </a:xfrm>
                    <a:prstGeom prst="rect">
                      <a:avLst/>
                    </a:prstGeom>
                  </pic:spPr>
                </pic:pic>
              </a:graphicData>
            </a:graphic>
          </wp:inline>
        </w:drawing>
      </w:r>
    </w:p>
    <w:p w:rsidR="002704AC" w:rsidRDefault="004624AF" w:rsidP="006D376B">
      <w:r>
        <w:tab/>
        <w:t>Os testes indicam o caráter integrado das séries, exceto pelas estatísticas de PP para frcF09, e de ADF e PP para frcF14</w:t>
      </w:r>
      <w:r>
        <w:rPr>
          <w:rStyle w:val="FootnoteReference"/>
        </w:rPr>
        <w:footnoteReference w:id="27"/>
      </w:r>
      <w:r>
        <w:t xml:space="preserve">. Em seguida apresentamos os resultados da cointegração pelo teste de P-O. </w:t>
      </w:r>
    </w:p>
    <w:p w:rsidR="004624AF" w:rsidRPr="00B62601" w:rsidRDefault="004624AF" w:rsidP="002704AC">
      <w:pPr>
        <w:ind w:firstLine="708"/>
      </w:pPr>
      <w:r>
        <w:t xml:space="preserve">São encontrados vetores de cointegração para quatro das seis relações testadas, entre a taxa </w:t>
      </w:r>
      <w:r w:rsidR="0098768D">
        <w:rPr>
          <w:i/>
        </w:rPr>
        <w:t>li</w:t>
      </w:r>
      <w:r w:rsidR="00DF34C6">
        <w:rPr>
          <w:i/>
        </w:rPr>
        <w:t>bor</w:t>
      </w:r>
      <w:r>
        <w:t xml:space="preserve"> + </w:t>
      </w:r>
      <w:r w:rsidR="00C33BE3">
        <w:rPr>
          <w:i/>
        </w:rPr>
        <w:t>EMBI+</w:t>
      </w:r>
      <w:r>
        <w:t xml:space="preserve"> e as taxas do FRA de cupom cambial com vencimentos em janeiro de 2009, 2011, 2012 e 2013.</w:t>
      </w:r>
      <w:r w:rsidR="00436697">
        <w:t>Contudo, os vetores de cointegração estimados apontam coefic</w:t>
      </w:r>
      <w:r w:rsidR="00B62601">
        <w:t xml:space="preserve">ientes menores do que a unidade. Esta diferença pode ser atribuída, em parte, ao risco de fronteira. O risco de conversibilidade que não é captado pelo </w:t>
      </w:r>
      <w:r w:rsidR="00B62601" w:rsidRPr="00B62601">
        <w:rPr>
          <w:i/>
        </w:rPr>
        <w:t>spread</w:t>
      </w:r>
      <w:r w:rsidR="00B62601">
        <w:t xml:space="preserve"> do </w:t>
      </w:r>
      <w:r w:rsidR="00C33BE3">
        <w:rPr>
          <w:i/>
        </w:rPr>
        <w:t>EMBI+</w:t>
      </w:r>
      <w:r w:rsidR="00B62601">
        <w:rPr>
          <w:i/>
        </w:rPr>
        <w:t xml:space="preserve">, </w:t>
      </w:r>
      <w:r w:rsidR="00B62601">
        <w:t xml:space="preserve">já que a taxa do cupom cambial, apesar de indexada ao dólar, é denominada </w:t>
      </w:r>
      <w:r w:rsidR="00B62601" w:rsidRPr="00383703">
        <w:t xml:space="preserve">em reais (Heck e Garcia, 2005, p.9). E para as taxas </w:t>
      </w:r>
      <m:oMath>
        <m:r>
          <w:rPr>
            <w:rFonts w:ascii="Cambria Math" w:hAnsi="Cambria Math"/>
          </w:rPr>
          <m:t>frcF12</m:t>
        </m:r>
      </m:oMath>
      <w:r w:rsidR="00B62601">
        <w:rPr>
          <w:rFonts w:eastAsiaTheme="minorEastAsia"/>
        </w:rPr>
        <w:t xml:space="preserve"> e </w:t>
      </w:r>
      <m:oMath>
        <m:r>
          <w:rPr>
            <w:rFonts w:ascii="Cambria Math" w:eastAsiaTheme="minorEastAsia" w:hAnsi="Cambria Math"/>
          </w:rPr>
          <m:t>frcF13</m:t>
        </m:r>
      </m:oMath>
      <w:r w:rsidR="00B62601">
        <w:rPr>
          <w:rFonts w:eastAsiaTheme="minorEastAsia"/>
        </w:rPr>
        <w:t xml:space="preserve"> também se deve considerar o impacto da circular 3.530 do BC que institui o recolhimento de depósito compulsório sobre a posição vendida em dólares dos bancos nacionais. </w:t>
      </w:r>
      <w:r w:rsidR="00B62601">
        <w:t>Desta forma, limitou-se a arbitragem entre taxas externas e do cupom cambial, como é possível observar pelo afastamento entre estas taxas entre maio e agosto de 2011 no gráfico</w:t>
      </w:r>
      <m:oMath>
        <m:r>
          <w:rPr>
            <w:rFonts w:ascii="Cambria Math" w:hAnsi="Cambria Math"/>
          </w:rPr>
          <m:t>(7)</m:t>
        </m:r>
      </m:oMath>
      <w:r w:rsidR="00B62601">
        <w:t>.</w:t>
      </w:r>
    </w:p>
    <w:p w:rsidR="00DF3A34" w:rsidRDefault="00BF4852" w:rsidP="00BF4852">
      <w:pPr>
        <w:pStyle w:val="Heading4"/>
      </w:pPr>
      <w:r>
        <w:lastRenderedPageBreak/>
        <w:t>Testes de Cointegração de P-O para Taxas de Juros Externas</w:t>
      </w:r>
    </w:p>
    <w:p w:rsidR="00E50236" w:rsidRDefault="006D376B" w:rsidP="00271C13">
      <w:pPr>
        <w:jc w:val="center"/>
      </w:pPr>
      <w:r w:rsidRPr="006D376B">
        <w:rPr>
          <w:noProof/>
          <w:lang w:eastAsia="pt-BR"/>
        </w:rPr>
        <w:drawing>
          <wp:inline distT="0" distB="0" distL="0" distR="0">
            <wp:extent cx="3724102" cy="20186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5907" cy="2019664"/>
                    </a:xfrm>
                    <a:prstGeom prst="rect">
                      <a:avLst/>
                    </a:prstGeom>
                    <a:noFill/>
                    <a:ln>
                      <a:noFill/>
                    </a:ln>
                  </pic:spPr>
                </pic:pic>
              </a:graphicData>
            </a:graphic>
          </wp:inline>
        </w:drawing>
      </w:r>
    </w:p>
    <w:p w:rsidR="00E50236" w:rsidRDefault="00B62601" w:rsidP="00DA1463">
      <w:r>
        <w:tab/>
      </w:r>
      <w:r w:rsidR="00186239">
        <w:t>Se de fato a taxa do cupom cambial é um fechamento tautológico para a paridade coberta de juros, como na equação</w:t>
      </w:r>
      <w:r w:rsidR="00514A18">
        <w:rPr>
          <w:rFonts w:eastAsiaTheme="minorEastAsia"/>
        </w:rPr>
        <w:t xml:space="preserve"> </w:t>
      </w:r>
      <m:oMath>
        <m:r>
          <w:rPr>
            <w:rFonts w:ascii="Cambria Math" w:hAnsi="Cambria Math"/>
          </w:rPr>
          <m:t>(7)</m:t>
        </m:r>
      </m:oMath>
      <w:r w:rsidR="00186239">
        <w:t xml:space="preserve">, a constatação destas relações de cointegração constitui uma primeira evidência em favor a CIP no Brasil. </w:t>
      </w:r>
      <w:r w:rsidR="00E50236">
        <w:rPr>
          <w:rFonts w:eastAsia="Times New Roman" w:cs="Times New Roman"/>
          <w:szCs w:val="24"/>
          <w:lang w:eastAsia="pt-BR"/>
        </w:rPr>
        <w:tab/>
      </w:r>
    </w:p>
    <w:p w:rsidR="00E50236" w:rsidRPr="00E50236" w:rsidRDefault="00E50236" w:rsidP="00271C13">
      <w:pPr>
        <w:rPr>
          <w:rFonts w:eastAsia="Times New Roman" w:cs="Times New Roman"/>
          <w:szCs w:val="24"/>
          <w:lang w:eastAsia="pt-BR"/>
        </w:rPr>
      </w:pPr>
      <w:r>
        <w:rPr>
          <w:rFonts w:eastAsia="Times New Roman" w:cs="Times New Roman"/>
          <w:szCs w:val="24"/>
          <w:lang w:eastAsia="pt-BR"/>
        </w:rPr>
        <w:tab/>
      </w:r>
      <w:r w:rsidR="00263774">
        <w:rPr>
          <w:rFonts w:eastAsia="Times New Roman" w:cs="Times New Roman"/>
          <w:szCs w:val="24"/>
          <w:lang w:eastAsia="pt-BR"/>
        </w:rPr>
        <w:t xml:space="preserve">O </w:t>
      </w:r>
      <w:r w:rsidR="00186239">
        <w:rPr>
          <w:rFonts w:eastAsia="Times New Roman" w:cs="Times New Roman"/>
          <w:szCs w:val="24"/>
          <w:lang w:eastAsia="pt-BR"/>
        </w:rPr>
        <w:t>segundo</w:t>
      </w:r>
      <w:r w:rsidR="00263774">
        <w:rPr>
          <w:rFonts w:eastAsia="Times New Roman" w:cs="Times New Roman"/>
          <w:szCs w:val="24"/>
          <w:lang w:eastAsia="pt-BR"/>
        </w:rPr>
        <w:t xml:space="preserve"> passo da análise econométrica </w:t>
      </w:r>
      <w:r w:rsidR="00CF482B">
        <w:rPr>
          <w:rFonts w:eastAsia="Times New Roman" w:cs="Times New Roman"/>
          <w:szCs w:val="24"/>
          <w:lang w:eastAsia="pt-BR"/>
        </w:rPr>
        <w:t xml:space="preserve">para estimação da CIP </w:t>
      </w:r>
      <w:r w:rsidR="00263774">
        <w:rPr>
          <w:rFonts w:eastAsia="Times New Roman" w:cs="Times New Roman"/>
          <w:szCs w:val="24"/>
          <w:lang w:eastAsia="pt-BR"/>
        </w:rPr>
        <w:t xml:space="preserve">será a verificação das relações entre os </w:t>
      </w:r>
      <w:r w:rsidRPr="00E50236">
        <w:rPr>
          <w:rFonts w:eastAsia="Times New Roman" w:cs="Times New Roman"/>
          <w:i/>
          <w:iCs/>
          <w:szCs w:val="24"/>
          <w:lang w:eastAsia="pt-BR"/>
        </w:rPr>
        <w:t>forward</w:t>
      </w:r>
      <w:r w:rsidR="002F7305">
        <w:rPr>
          <w:rFonts w:eastAsia="Times New Roman" w:cs="Times New Roman"/>
          <w:i/>
          <w:iCs/>
          <w:szCs w:val="24"/>
          <w:lang w:eastAsia="pt-BR"/>
        </w:rPr>
        <w:t xml:space="preserve"> </w:t>
      </w:r>
      <w:r w:rsidRPr="00E50236">
        <w:rPr>
          <w:rFonts w:eastAsia="Times New Roman" w:cs="Times New Roman"/>
          <w:i/>
          <w:iCs/>
          <w:szCs w:val="24"/>
          <w:lang w:eastAsia="pt-BR"/>
        </w:rPr>
        <w:t>premiums</w:t>
      </w:r>
      <w:r w:rsidR="00514A18">
        <w:rPr>
          <w:rFonts w:eastAsia="Times New Roman" w:cs="Times New Roman"/>
          <w:i/>
          <w:iCs/>
          <w:szCs w:val="24"/>
          <w:lang w:eastAsia="pt-BR"/>
        </w:rPr>
        <w:t xml:space="preserve"> </w:t>
      </w:r>
      <w:r w:rsidRPr="00E50236">
        <w:rPr>
          <w:rFonts w:eastAsia="Times New Roman" w:cs="Times New Roman"/>
          <w:szCs w:val="24"/>
          <w:lang w:eastAsia="pt-BR"/>
        </w:rPr>
        <w:t>e os diferenciais de juros</w:t>
      </w:r>
      <w:r w:rsidR="00263774">
        <w:rPr>
          <w:rFonts w:eastAsia="Times New Roman" w:cs="Times New Roman"/>
          <w:szCs w:val="24"/>
          <w:lang w:eastAsia="pt-BR"/>
        </w:rPr>
        <w:t xml:space="preserve"> segundo o FRA de cupom cambial, </w:t>
      </w:r>
      <w:r w:rsidR="00186239">
        <w:rPr>
          <w:rFonts w:eastAsia="Times New Roman" w:cs="Times New Roman"/>
          <w:szCs w:val="24"/>
          <w:lang w:eastAsia="pt-BR"/>
        </w:rPr>
        <w:t>com diversos</w:t>
      </w:r>
      <w:r w:rsidR="00263774">
        <w:rPr>
          <w:rFonts w:eastAsia="Times New Roman" w:cs="Times New Roman"/>
          <w:szCs w:val="24"/>
          <w:lang w:eastAsia="pt-BR"/>
        </w:rPr>
        <w:t xml:space="preserve"> vencimentos</w:t>
      </w:r>
      <w:r w:rsidR="00186239">
        <w:rPr>
          <w:rFonts w:eastAsia="Times New Roman" w:cs="Times New Roman"/>
          <w:szCs w:val="24"/>
          <w:lang w:eastAsia="pt-BR"/>
        </w:rPr>
        <w:t>, também pelo teste de P-O</w:t>
      </w:r>
      <w:r w:rsidRPr="00E50236">
        <w:rPr>
          <w:rFonts w:eastAsia="Times New Roman" w:cs="Times New Roman"/>
          <w:szCs w:val="24"/>
          <w:lang w:eastAsia="pt-BR"/>
        </w:rPr>
        <w:t>.</w:t>
      </w:r>
    </w:p>
    <w:p w:rsidR="00E50236" w:rsidRDefault="00E50236" w:rsidP="00186239">
      <w:pPr>
        <w:pStyle w:val="Heading4"/>
        <w:rPr>
          <w:rFonts w:eastAsia="Times New Roman"/>
          <w:lang w:eastAsia="pt-BR"/>
        </w:rPr>
      </w:pPr>
      <w:r>
        <w:rPr>
          <w:rFonts w:eastAsia="Times New Roman"/>
          <w:lang w:eastAsia="pt-BR"/>
        </w:rPr>
        <w:t>Testes de Raiz Unitária para a CIP</w:t>
      </w:r>
    </w:p>
    <w:p w:rsidR="00E50236" w:rsidRDefault="00186239" w:rsidP="00271C13">
      <w:pPr>
        <w:jc w:val="center"/>
        <w:rPr>
          <w:lang w:eastAsia="pt-BR"/>
        </w:rPr>
      </w:pPr>
      <w:r w:rsidRPr="00186239">
        <w:rPr>
          <w:noProof/>
          <w:lang w:eastAsia="pt-BR"/>
        </w:rPr>
        <w:drawing>
          <wp:inline distT="0" distB="0" distL="0" distR="0">
            <wp:extent cx="3483032" cy="24460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241" cy="2446193"/>
                    </a:xfrm>
                    <a:prstGeom prst="rect">
                      <a:avLst/>
                    </a:prstGeom>
                    <a:noFill/>
                    <a:ln>
                      <a:noFill/>
                    </a:ln>
                  </pic:spPr>
                </pic:pic>
              </a:graphicData>
            </a:graphic>
          </wp:inline>
        </w:drawing>
      </w:r>
    </w:p>
    <w:p w:rsidR="00922C2C" w:rsidRDefault="00E50236" w:rsidP="002945DC">
      <w:r>
        <w:tab/>
        <w:t xml:space="preserve">Os testes </w:t>
      </w:r>
      <w:r w:rsidR="002945DC">
        <w:t xml:space="preserve">acima indicam </w:t>
      </w:r>
      <w:r>
        <w:t xml:space="preserve">de maneira inequívoca a presença de raízes unitárias em todas as variáveis. O único caso menos conclusivo ocorre com </w:t>
      </w:r>
      <w:r w:rsidRPr="002945DC">
        <w:rPr>
          <w:i/>
        </w:rPr>
        <w:t>fsF09</w:t>
      </w:r>
      <w:r>
        <w:t xml:space="preserve"> pela rejeição da </w:t>
      </w:r>
      <w:r w:rsidR="002704AC">
        <w:t xml:space="preserve">hipótese </w:t>
      </w:r>
      <w:r>
        <w:t>nula no testes de PP. Ainda assim</w:t>
      </w:r>
      <w:r w:rsidR="002704AC">
        <w:t>,</w:t>
      </w:r>
      <w:r>
        <w:t xml:space="preserve"> optamos por assumir que a variável é integrada de ordem um, e como o diferencial de juros correspondente – </w:t>
      </w:r>
      <w:r w:rsidRPr="002945DC">
        <w:rPr>
          <w:i/>
        </w:rPr>
        <w:t>iiF09</w:t>
      </w:r>
      <w:r>
        <w:t xml:space="preserve"> – é integrado, a identificação de uma relação de cointegração representa uma evidência a mais em favor a raiz unitária em </w:t>
      </w:r>
      <w:r>
        <w:rPr>
          <w:rStyle w:val="Emphasis"/>
        </w:rPr>
        <w:t>fsF09</w:t>
      </w:r>
      <w:r w:rsidR="002945DC">
        <w:t>.</w:t>
      </w:r>
    </w:p>
    <w:p w:rsidR="000B5235" w:rsidRPr="00F52841" w:rsidRDefault="00E50236" w:rsidP="002945DC">
      <w:pPr>
        <w:ind w:firstLine="360"/>
      </w:pPr>
      <w:r>
        <w:t>Dada a conclusão acima é possível prossegui</w:t>
      </w:r>
      <w:r w:rsidR="002945DC">
        <w:t>r com a análise.</w:t>
      </w:r>
      <w:r w:rsidR="00514A18">
        <w:t xml:space="preserve"> </w:t>
      </w:r>
      <w:r w:rsidRPr="00E50236">
        <w:rPr>
          <w:rFonts w:eastAsia="Times New Roman" w:cs="Times New Roman"/>
          <w:szCs w:val="24"/>
          <w:lang w:eastAsia="pt-BR"/>
        </w:rPr>
        <w:t xml:space="preserve">Os resultados indicam a cointegração em cinco dos seis testes. </w:t>
      </w:r>
      <w:r w:rsidR="005312A1">
        <w:rPr>
          <w:rFonts w:eastAsia="Times New Roman" w:cs="Times New Roman"/>
          <w:szCs w:val="24"/>
          <w:lang w:eastAsia="pt-BR"/>
        </w:rPr>
        <w:t xml:space="preserve">A presença de cointegração é favorável à validade da CIP. </w:t>
      </w:r>
      <w:r w:rsidRPr="00E50236">
        <w:rPr>
          <w:rFonts w:eastAsia="Times New Roman" w:cs="Times New Roman"/>
          <w:szCs w:val="24"/>
          <w:lang w:eastAsia="pt-BR"/>
        </w:rPr>
        <w:t xml:space="preserve">Entretanto, </w:t>
      </w:r>
      <w:r w:rsidR="00CF482B">
        <w:rPr>
          <w:rFonts w:eastAsia="Times New Roman" w:cs="Times New Roman"/>
          <w:szCs w:val="24"/>
          <w:lang w:eastAsia="pt-BR"/>
        </w:rPr>
        <w:t>as</w:t>
      </w:r>
      <w:r w:rsidR="00514A18">
        <w:rPr>
          <w:rFonts w:eastAsia="Times New Roman" w:cs="Times New Roman"/>
          <w:szCs w:val="24"/>
          <w:lang w:eastAsia="pt-BR"/>
        </w:rPr>
        <w:t xml:space="preserve"> </w:t>
      </w:r>
      <w:r w:rsidRPr="00E50236">
        <w:rPr>
          <w:rFonts w:eastAsia="Times New Roman" w:cs="Times New Roman"/>
          <w:szCs w:val="24"/>
          <w:lang w:eastAsia="pt-BR"/>
        </w:rPr>
        <w:t xml:space="preserve">estatísticas de teste </w:t>
      </w:r>
      <w:r w:rsidR="00CF482B">
        <w:rPr>
          <w:rFonts w:eastAsia="Times New Roman" w:cs="Times New Roman"/>
          <w:szCs w:val="24"/>
          <w:lang w:eastAsia="pt-BR"/>
        </w:rPr>
        <w:t xml:space="preserve">são tão </w:t>
      </w:r>
      <w:r w:rsidRPr="00E50236">
        <w:rPr>
          <w:rFonts w:eastAsia="Times New Roman" w:cs="Times New Roman"/>
          <w:szCs w:val="24"/>
          <w:lang w:eastAsia="pt-BR"/>
        </w:rPr>
        <w:t>mais significa</w:t>
      </w:r>
      <w:r w:rsidR="002704AC">
        <w:rPr>
          <w:rFonts w:eastAsia="Times New Roman" w:cs="Times New Roman"/>
          <w:szCs w:val="24"/>
          <w:lang w:eastAsia="pt-BR"/>
        </w:rPr>
        <w:t xml:space="preserve">tivas </w:t>
      </w:r>
      <w:r w:rsidRPr="00E50236">
        <w:rPr>
          <w:rFonts w:eastAsia="Times New Roman" w:cs="Times New Roman"/>
          <w:szCs w:val="24"/>
          <w:lang w:eastAsia="pt-BR"/>
        </w:rPr>
        <w:t>quanto menor o intervalo de tempo entre o início da amostra e o vencimento dos contratos. Portanto, há mais indícios, além da inspeção gráfica dos desvios da CIP</w:t>
      </w:r>
      <w:r w:rsidR="002945DC">
        <w:rPr>
          <w:rFonts w:eastAsia="Times New Roman" w:cs="Times New Roman"/>
          <w:szCs w:val="24"/>
          <w:lang w:eastAsia="pt-BR"/>
        </w:rPr>
        <w:t xml:space="preserve"> (gráfico </w:t>
      </w:r>
      <m:oMath>
        <m:r>
          <w:rPr>
            <w:rFonts w:ascii="Cambria Math" w:eastAsia="Times New Roman" w:hAnsi="Cambria Math" w:cs="Times New Roman"/>
            <w:szCs w:val="24"/>
            <w:lang w:eastAsia="pt-BR"/>
          </w:rPr>
          <m:t>3</m:t>
        </m:r>
      </m:oMath>
      <w:r w:rsidR="002945DC">
        <w:rPr>
          <w:rFonts w:eastAsia="Times New Roman" w:cs="Times New Roman"/>
          <w:szCs w:val="24"/>
          <w:lang w:eastAsia="pt-BR"/>
        </w:rPr>
        <w:t>)</w:t>
      </w:r>
      <w:r w:rsidRPr="00E50236">
        <w:rPr>
          <w:rFonts w:eastAsia="Times New Roman" w:cs="Times New Roman"/>
          <w:szCs w:val="24"/>
          <w:lang w:eastAsia="pt-BR"/>
        </w:rPr>
        <w:t>, em favor da hipótese de Skinner e Mason (2011), segundo a qual em economias emergentes a CIP vale apenas quanto calculada com títulos e contr</w:t>
      </w:r>
      <w:r>
        <w:rPr>
          <w:rFonts w:eastAsia="Times New Roman" w:cs="Times New Roman"/>
          <w:szCs w:val="24"/>
          <w:lang w:eastAsia="pt-BR"/>
        </w:rPr>
        <w:t>atos de curta maturidade.</w:t>
      </w:r>
      <w:r w:rsidR="00360C88">
        <w:rPr>
          <w:rFonts w:eastAsia="Times New Roman" w:cs="Times New Roman"/>
          <w:szCs w:val="24"/>
          <w:lang w:eastAsia="pt-BR"/>
        </w:rPr>
        <w:t xml:space="preserve"> Dessa forma, os resultados chancela</w:t>
      </w:r>
      <w:r w:rsidR="002945DC">
        <w:rPr>
          <w:rFonts w:eastAsia="Times New Roman" w:cs="Times New Roman"/>
          <w:szCs w:val="24"/>
          <w:lang w:eastAsia="pt-BR"/>
        </w:rPr>
        <w:t>m</w:t>
      </w:r>
      <w:r w:rsidR="00360C88">
        <w:rPr>
          <w:rFonts w:eastAsia="Times New Roman" w:cs="Times New Roman"/>
          <w:szCs w:val="24"/>
          <w:lang w:eastAsia="pt-BR"/>
        </w:rPr>
        <w:t xml:space="preserve"> o uso das séries construídas para meses próximos do vencimento</w:t>
      </w:r>
      <m:oMath>
        <m:r>
          <w:rPr>
            <w:rFonts w:ascii="Cambria Math" w:eastAsia="Times New Roman" w:hAnsi="Cambria Math" w:cs="Times New Roman"/>
            <w:szCs w:val="24"/>
            <w:lang w:eastAsia="pt-BR"/>
          </w:rPr>
          <m:t>(fs, ii e i</m:t>
        </m:r>
        <m:sSup>
          <m:sSupPr>
            <m:ctrlPr>
              <w:rPr>
                <w:rFonts w:ascii="Cambria Math" w:eastAsia="Times New Roman" w:hAnsi="Cambria Math" w:cs="Times New Roman"/>
                <w:i/>
                <w:szCs w:val="24"/>
                <w:lang w:eastAsia="pt-BR"/>
              </w:rPr>
            </m:ctrlPr>
          </m:sSupPr>
          <m:e>
            <m:r>
              <w:rPr>
                <w:rFonts w:ascii="Cambria Math" w:eastAsia="Times New Roman" w:hAnsi="Cambria Math" w:cs="Times New Roman"/>
                <w:szCs w:val="24"/>
                <w:lang w:eastAsia="pt-BR"/>
              </w:rPr>
              <m:t>i</m:t>
            </m:r>
          </m:e>
          <m:sup>
            <m:r>
              <w:rPr>
                <w:rFonts w:ascii="Cambria Math" w:eastAsia="Times New Roman" w:hAnsi="Cambria Math" w:cs="Times New Roman"/>
                <w:szCs w:val="24"/>
                <w:lang w:eastAsia="pt-BR"/>
              </w:rPr>
              <m:t>'</m:t>
            </m:r>
          </m:sup>
        </m:sSup>
        <m:r>
          <w:rPr>
            <w:rFonts w:ascii="Cambria Math" w:eastAsia="Times New Roman" w:hAnsi="Cambria Math" w:cs="Times New Roman"/>
            <w:szCs w:val="24"/>
            <w:lang w:eastAsia="pt-BR"/>
          </w:rPr>
          <m:t>)</m:t>
        </m:r>
      </m:oMath>
      <w:r w:rsidR="00360C88">
        <w:rPr>
          <w:rFonts w:eastAsia="Times New Roman" w:cs="Times New Roman"/>
          <w:szCs w:val="24"/>
          <w:lang w:eastAsia="pt-BR"/>
        </w:rPr>
        <w:t xml:space="preserve"> como será feito nas próximas seções</w:t>
      </w:r>
      <w:r w:rsidR="00186239">
        <w:rPr>
          <w:rFonts w:eastAsia="Times New Roman" w:cs="Times New Roman"/>
          <w:szCs w:val="24"/>
          <w:lang w:eastAsia="pt-BR"/>
        </w:rPr>
        <w:t>.</w:t>
      </w:r>
    </w:p>
    <w:p w:rsidR="00441476" w:rsidRDefault="00441476" w:rsidP="00186239">
      <w:pPr>
        <w:pStyle w:val="Heading4"/>
      </w:pPr>
      <w:r>
        <w:lastRenderedPageBreak/>
        <w:t>Testes de Cointegração</w:t>
      </w:r>
      <w:r w:rsidR="00186239">
        <w:t xml:space="preserve"> de P-O</w:t>
      </w:r>
      <w:r>
        <w:t xml:space="preserve"> para a CIP</w:t>
      </w:r>
    </w:p>
    <w:p w:rsidR="00E50236" w:rsidRDefault="00186239" w:rsidP="00271C13">
      <w:pPr>
        <w:jc w:val="center"/>
      </w:pPr>
      <w:r w:rsidRPr="00186239">
        <w:rPr>
          <w:noProof/>
          <w:lang w:eastAsia="pt-BR"/>
        </w:rPr>
        <w:drawing>
          <wp:inline distT="0" distB="0" distL="0" distR="0">
            <wp:extent cx="3782290" cy="229512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2238" cy="2295090"/>
                    </a:xfrm>
                    <a:prstGeom prst="rect">
                      <a:avLst/>
                    </a:prstGeom>
                    <a:noFill/>
                    <a:ln>
                      <a:noFill/>
                    </a:ln>
                  </pic:spPr>
                </pic:pic>
              </a:graphicData>
            </a:graphic>
          </wp:inline>
        </w:drawing>
      </w:r>
    </w:p>
    <w:p w:rsidR="00271C13" w:rsidRPr="00F52841" w:rsidRDefault="00271C13" w:rsidP="00271C13">
      <w:pPr>
        <w:jc w:val="center"/>
      </w:pPr>
    </w:p>
    <w:p w:rsidR="00922C2C" w:rsidRPr="00271C13" w:rsidRDefault="00922C2C" w:rsidP="00271C13">
      <w:pPr>
        <w:pStyle w:val="Heading5"/>
        <w:ind w:firstLine="708"/>
        <w:rPr>
          <w:rFonts w:eastAsia="Times New Roman"/>
          <w:lang w:eastAsia="pt-BR"/>
        </w:rPr>
      </w:pPr>
      <w:r w:rsidRPr="00E3165A">
        <w:rPr>
          <w:rFonts w:eastAsia="Times New Roman"/>
          <w:lang w:eastAsia="pt-BR"/>
        </w:rPr>
        <w:t>5.</w:t>
      </w:r>
      <w:r w:rsidR="00514A18">
        <w:rPr>
          <w:rFonts w:eastAsia="Times New Roman"/>
          <w:lang w:eastAsia="pt-BR"/>
        </w:rPr>
        <w:t>2</w:t>
      </w:r>
      <w:r w:rsidRPr="00E3165A">
        <w:rPr>
          <w:rFonts w:eastAsia="Times New Roman"/>
          <w:lang w:eastAsia="pt-BR"/>
        </w:rPr>
        <w:t xml:space="preserve"> Modelo</w:t>
      </w:r>
      <w:r w:rsidR="00514A18">
        <w:rPr>
          <w:rFonts w:eastAsia="Times New Roman"/>
          <w:lang w:eastAsia="pt-BR"/>
        </w:rPr>
        <w:t xml:space="preserve"> </w:t>
      </w:r>
      <w:r w:rsidRPr="00E3165A">
        <w:rPr>
          <w:rFonts w:eastAsia="Times New Roman"/>
          <w:lang w:eastAsia="pt-BR"/>
        </w:rPr>
        <w:t xml:space="preserve">de Regressão </w:t>
      </w:r>
      <w:r w:rsidR="00653608" w:rsidRPr="00E3165A">
        <w:rPr>
          <w:rFonts w:eastAsia="Times New Roman"/>
          <w:lang w:eastAsia="pt-BR"/>
        </w:rPr>
        <w:t>Simples</w:t>
      </w:r>
      <w:r w:rsidR="002F7305">
        <w:rPr>
          <w:rFonts w:eastAsia="Times New Roman"/>
          <w:lang w:eastAsia="pt-BR"/>
        </w:rPr>
        <w:t xml:space="preserve"> </w:t>
      </w:r>
      <w:r w:rsidR="009A04B2" w:rsidRPr="00E3165A">
        <w:rPr>
          <w:rFonts w:eastAsia="Times New Roman"/>
          <w:lang w:eastAsia="pt-BR"/>
        </w:rPr>
        <w:t>(MQO)</w:t>
      </w:r>
    </w:p>
    <w:p w:rsidR="00E50236" w:rsidRDefault="00A334A3" w:rsidP="00F52841">
      <w:pPr>
        <w:ind w:firstLine="357"/>
        <w:rPr>
          <w:lang w:eastAsia="pt-BR"/>
        </w:rPr>
      </w:pPr>
      <w:r>
        <w:rPr>
          <w:rFonts w:eastAsia="Times New Roman" w:cs="Times New Roman"/>
          <w:szCs w:val="24"/>
          <w:lang w:eastAsia="pt-BR"/>
        </w:rPr>
        <w:t>A terceira e última</w:t>
      </w:r>
      <w:r w:rsidR="00E01BB4">
        <w:rPr>
          <w:rFonts w:eastAsia="Times New Roman" w:cs="Times New Roman"/>
          <w:szCs w:val="24"/>
          <w:lang w:eastAsia="pt-BR"/>
        </w:rPr>
        <w:t xml:space="preserve"> parte da estratégia econométrica </w:t>
      </w:r>
      <w:r w:rsidR="00360C88">
        <w:rPr>
          <w:rFonts w:eastAsia="Times New Roman" w:cs="Times New Roman"/>
          <w:szCs w:val="24"/>
          <w:lang w:eastAsia="pt-BR"/>
        </w:rPr>
        <w:t xml:space="preserve">é modelar a </w:t>
      </w:r>
      <w:r w:rsidR="00E01BB4">
        <w:rPr>
          <w:rFonts w:eastAsia="Times New Roman" w:cs="Times New Roman"/>
          <w:szCs w:val="24"/>
          <w:lang w:eastAsia="pt-BR"/>
        </w:rPr>
        <w:t xml:space="preserve">relação de CIP a partir das séries construídas para meses próximos do vencimento, descritas na seção </w:t>
      </w:r>
      <w:r w:rsidR="00E3165A" w:rsidRPr="00271C13">
        <w:rPr>
          <w:rFonts w:eastAsia="Times New Roman" w:cs="Times New Roman"/>
          <w:szCs w:val="24"/>
          <w:lang w:eastAsia="pt-BR"/>
        </w:rPr>
        <w:t>4</w:t>
      </w:r>
      <w:r w:rsidR="00E01BB4">
        <w:rPr>
          <w:rFonts w:eastAsia="Times New Roman" w:cs="Times New Roman"/>
          <w:szCs w:val="24"/>
          <w:lang w:eastAsia="pt-BR"/>
        </w:rPr>
        <w:t>.</w:t>
      </w:r>
      <w:r w:rsidR="00514A18">
        <w:rPr>
          <w:rFonts w:eastAsia="Times New Roman" w:cs="Times New Roman"/>
          <w:szCs w:val="24"/>
          <w:lang w:eastAsia="pt-BR"/>
        </w:rPr>
        <w:t xml:space="preserve"> </w:t>
      </w:r>
      <w:r w:rsidR="008B35BB">
        <w:rPr>
          <w:rFonts w:eastAsia="Times New Roman" w:cs="Times New Roman"/>
          <w:szCs w:val="24"/>
          <w:lang w:eastAsia="pt-BR"/>
        </w:rPr>
        <w:t>Nessa</w:t>
      </w:r>
      <w:r w:rsidR="00EE361B">
        <w:rPr>
          <w:rFonts w:eastAsia="Times New Roman" w:cs="Times New Roman"/>
          <w:szCs w:val="24"/>
          <w:lang w:eastAsia="pt-BR"/>
        </w:rPr>
        <w:t xml:space="preserve"> etapa é possível utilizar tanto a taxa de juros externa seg</w:t>
      </w:r>
      <w:r>
        <w:rPr>
          <w:rFonts w:eastAsia="Times New Roman" w:cs="Times New Roman"/>
          <w:szCs w:val="24"/>
          <w:lang w:eastAsia="pt-BR"/>
        </w:rPr>
        <w:t xml:space="preserve">undo o FRA de cupom cambial </w:t>
      </w:r>
      <m:oMath>
        <m:r>
          <w:rPr>
            <w:rFonts w:ascii="Cambria Math" w:eastAsia="Times New Roman" w:hAnsi="Cambria Math" w:cs="Times New Roman"/>
            <w:szCs w:val="24"/>
            <w:lang w:eastAsia="pt-BR"/>
          </w:rPr>
          <m:t>(ii)</m:t>
        </m:r>
      </m:oMath>
      <w:r>
        <w:rPr>
          <w:rFonts w:eastAsia="Times New Roman" w:cs="Times New Roman"/>
          <w:szCs w:val="24"/>
          <w:lang w:eastAsia="pt-BR"/>
        </w:rPr>
        <w:t xml:space="preserve"> quanto à</w:t>
      </w:r>
      <w:r w:rsidR="00EE361B">
        <w:rPr>
          <w:rFonts w:eastAsia="Times New Roman" w:cs="Times New Roman"/>
          <w:szCs w:val="24"/>
          <w:lang w:eastAsia="pt-BR"/>
        </w:rPr>
        <w:t xml:space="preserve"> taxa de juros externa segundo a taxa </w:t>
      </w:r>
      <w:r w:rsidR="00271C13">
        <w:rPr>
          <w:rFonts w:eastAsia="Times New Roman" w:cs="Times New Roman"/>
          <w:i/>
          <w:szCs w:val="24"/>
          <w:lang w:eastAsia="pt-BR"/>
        </w:rPr>
        <w:t>li</w:t>
      </w:r>
      <w:r w:rsidR="00EE361B" w:rsidRPr="00F52841">
        <w:rPr>
          <w:rFonts w:eastAsia="Times New Roman" w:cs="Times New Roman"/>
          <w:i/>
          <w:szCs w:val="24"/>
          <w:lang w:eastAsia="pt-BR"/>
        </w:rPr>
        <w:t>bor</w:t>
      </w:r>
      <w:r w:rsidR="00EE361B">
        <w:rPr>
          <w:rFonts w:eastAsia="Times New Roman" w:cs="Times New Roman"/>
          <w:szCs w:val="24"/>
          <w:lang w:eastAsia="pt-BR"/>
        </w:rPr>
        <w:t xml:space="preserve"> em dólares acrescido do </w:t>
      </w:r>
      <w:r w:rsidR="00C33BE3">
        <w:rPr>
          <w:rFonts w:eastAsia="Times New Roman" w:cs="Times New Roman"/>
          <w:i/>
          <w:szCs w:val="24"/>
          <w:lang w:eastAsia="pt-BR"/>
        </w:rPr>
        <w:t>EMBI+</w:t>
      </w:r>
      <w:r>
        <w:rPr>
          <w:rFonts w:eastAsia="Times New Roman" w:cs="Times New Roman"/>
          <w:szCs w:val="24"/>
          <w:lang w:eastAsia="pt-BR"/>
        </w:rPr>
        <w:t xml:space="preserve"> brasileiro </w:t>
      </w:r>
      <m:oMath>
        <m:r>
          <w:rPr>
            <w:rFonts w:ascii="Cambria Math" w:eastAsia="Times New Roman" w:hAnsi="Cambria Math" w:cs="Times New Roman"/>
            <w:szCs w:val="24"/>
            <w:lang w:eastAsia="pt-BR"/>
          </w:rPr>
          <m:t>(i</m:t>
        </m:r>
        <m:sSup>
          <m:sSupPr>
            <m:ctrlPr>
              <w:rPr>
                <w:rFonts w:ascii="Cambria Math" w:eastAsia="Times New Roman" w:hAnsi="Cambria Math" w:cs="Times New Roman"/>
                <w:i/>
                <w:szCs w:val="24"/>
                <w:lang w:eastAsia="pt-BR"/>
              </w:rPr>
            </m:ctrlPr>
          </m:sSupPr>
          <m:e>
            <m:r>
              <w:rPr>
                <w:rFonts w:ascii="Cambria Math" w:eastAsia="Times New Roman" w:hAnsi="Cambria Math" w:cs="Times New Roman"/>
                <w:szCs w:val="24"/>
                <w:lang w:eastAsia="pt-BR"/>
              </w:rPr>
              <m:t>i</m:t>
            </m:r>
          </m:e>
          <m:sup>
            <m:r>
              <w:rPr>
                <w:rFonts w:ascii="Cambria Math" w:eastAsia="Times New Roman" w:hAnsi="Cambria Math" w:cs="Times New Roman"/>
                <w:szCs w:val="24"/>
                <w:lang w:eastAsia="pt-BR"/>
              </w:rPr>
              <m:t>'</m:t>
            </m:r>
          </m:sup>
        </m:sSup>
        <m:r>
          <w:rPr>
            <w:rFonts w:ascii="Cambria Math" w:eastAsia="Times New Roman" w:hAnsi="Cambria Math" w:cs="Times New Roman"/>
            <w:szCs w:val="24"/>
            <w:lang w:eastAsia="pt-BR"/>
          </w:rPr>
          <m:t>)</m:t>
        </m:r>
      </m:oMath>
      <w:r w:rsidR="00EE361B">
        <w:rPr>
          <w:rFonts w:eastAsia="Times New Roman" w:cs="Times New Roman"/>
          <w:szCs w:val="24"/>
          <w:lang w:eastAsia="pt-BR"/>
        </w:rPr>
        <w:t>.</w:t>
      </w:r>
    </w:p>
    <w:p w:rsidR="005E0E24" w:rsidRDefault="00290D80" w:rsidP="00F52841">
      <w:pPr>
        <w:ind w:firstLine="360"/>
      </w:pPr>
      <w:r>
        <w:rPr>
          <w:rFonts w:eastAsia="Times New Roman" w:cs="Times New Roman"/>
          <w:szCs w:val="24"/>
          <w:lang w:eastAsia="pt-BR"/>
        </w:rPr>
        <w:t>Desta vez</w:t>
      </w:r>
      <w:r w:rsidR="00E3165A">
        <w:rPr>
          <w:rFonts w:eastAsia="Times New Roman" w:cs="Times New Roman"/>
          <w:szCs w:val="24"/>
          <w:lang w:eastAsia="pt-BR"/>
        </w:rPr>
        <w:t>,</w:t>
      </w:r>
      <w:r>
        <w:rPr>
          <w:rFonts w:eastAsia="Times New Roman" w:cs="Times New Roman"/>
          <w:szCs w:val="24"/>
          <w:lang w:eastAsia="pt-BR"/>
        </w:rPr>
        <w:t xml:space="preserve"> o</w:t>
      </w:r>
      <w:r w:rsidR="00E50236" w:rsidRPr="00E50236">
        <w:rPr>
          <w:rFonts w:eastAsia="Times New Roman" w:cs="Times New Roman"/>
          <w:szCs w:val="24"/>
          <w:lang w:eastAsia="pt-BR"/>
        </w:rPr>
        <w:t xml:space="preserve">s testes de raiz unitária </w:t>
      </w:r>
      <w:r>
        <w:rPr>
          <w:rFonts w:eastAsia="Times New Roman" w:cs="Times New Roman"/>
          <w:szCs w:val="24"/>
          <w:lang w:eastAsia="pt-BR"/>
        </w:rPr>
        <w:t>são</w:t>
      </w:r>
      <w:r w:rsidR="00E50236" w:rsidRPr="00E50236">
        <w:rPr>
          <w:rFonts w:eastAsia="Times New Roman" w:cs="Times New Roman"/>
          <w:szCs w:val="24"/>
          <w:lang w:eastAsia="pt-BR"/>
        </w:rPr>
        <w:t xml:space="preserve"> conclusivos em favor da estacionariedade de </w:t>
      </w:r>
      <m:oMath>
        <m:r>
          <w:rPr>
            <w:rFonts w:ascii="Cambria Math" w:eastAsia="Times New Roman" w:hAnsi="Cambria Math" w:cs="Times New Roman"/>
            <w:szCs w:val="24"/>
            <w:lang w:eastAsia="pt-BR"/>
          </w:rPr>
          <m:t>fs</m:t>
        </m:r>
      </m:oMath>
      <w:r w:rsidR="00EE361B">
        <w:rPr>
          <w:rFonts w:eastAsia="Times New Roman" w:cs="Times New Roman"/>
          <w:szCs w:val="24"/>
          <w:lang w:eastAsia="pt-BR"/>
        </w:rPr>
        <w:t>,</w:t>
      </w:r>
      <m:oMath>
        <m:r>
          <w:rPr>
            <w:rFonts w:ascii="Cambria Math" w:eastAsia="Times New Roman" w:hAnsi="Cambria Math" w:cs="Times New Roman"/>
            <w:szCs w:val="24"/>
            <w:lang w:eastAsia="pt-BR"/>
          </w:rPr>
          <m:t xml:space="preserve"> ii</m:t>
        </m:r>
      </m:oMath>
      <w:r w:rsidR="00517E4D">
        <w:rPr>
          <w:rFonts w:eastAsia="Times New Roman" w:cs="Times New Roman"/>
          <w:iCs/>
          <w:szCs w:val="24"/>
          <w:lang w:eastAsia="pt-BR"/>
        </w:rPr>
        <w:t xml:space="preserve">e </w:t>
      </w:r>
      <m:oMath>
        <m:r>
          <w:rPr>
            <w:rFonts w:ascii="Cambria Math" w:eastAsia="Times New Roman" w:hAnsi="Cambria Math" w:cs="Times New Roman"/>
            <w:szCs w:val="24"/>
            <w:lang w:eastAsia="pt-BR"/>
          </w:rPr>
          <m:t>ii'</m:t>
        </m:r>
      </m:oMath>
      <w:r w:rsidR="00E50236">
        <w:rPr>
          <w:rStyle w:val="FootnoteReference"/>
          <w:rFonts w:eastAsia="Times New Roman" w:cs="Times New Roman"/>
          <w:i/>
          <w:iCs/>
          <w:szCs w:val="24"/>
          <w:lang w:eastAsia="pt-BR"/>
        </w:rPr>
        <w:footnoteReference w:id="28"/>
      </w:r>
      <w:r w:rsidR="00E50236" w:rsidRPr="00E50236">
        <w:rPr>
          <w:rFonts w:eastAsia="Times New Roman" w:cs="Times New Roman"/>
          <w:szCs w:val="24"/>
          <w:lang w:eastAsia="pt-BR"/>
        </w:rPr>
        <w:t>.</w:t>
      </w:r>
      <w:r w:rsidR="00514A18">
        <w:rPr>
          <w:rFonts w:eastAsia="Times New Roman" w:cs="Times New Roman"/>
          <w:szCs w:val="24"/>
          <w:lang w:eastAsia="pt-BR"/>
        </w:rPr>
        <w:t xml:space="preserve"> </w:t>
      </w:r>
      <w:r w:rsidR="00E50236" w:rsidRPr="00E50236">
        <w:rPr>
          <w:rFonts w:eastAsia="Times New Roman" w:cs="Times New Roman"/>
          <w:szCs w:val="24"/>
          <w:lang w:eastAsia="pt-BR"/>
        </w:rPr>
        <w:t xml:space="preserve">Podemos assim avaliar </w:t>
      </w:r>
      <w:r w:rsidR="005E0E24">
        <w:rPr>
          <w:rFonts w:eastAsia="Times New Roman" w:cs="Times New Roman"/>
          <w:szCs w:val="24"/>
          <w:lang w:eastAsia="pt-BR"/>
        </w:rPr>
        <w:t xml:space="preserve">modelos de regressão simples. </w:t>
      </w:r>
      <w:r w:rsidR="005E0E24">
        <w:t>Apresentamos as estatísticas dos testes na tabela</w:t>
      </w:r>
      <w:r w:rsidR="00E3165A" w:rsidRPr="00271C13">
        <w:t>7</w:t>
      </w:r>
      <w:r w:rsidR="005E0E24">
        <w:t xml:space="preserve">. </w:t>
      </w:r>
    </w:p>
    <w:p w:rsidR="008350ED" w:rsidRDefault="008350ED" w:rsidP="008350ED">
      <w:pPr>
        <w:pStyle w:val="Heading4"/>
        <w:rPr>
          <w:rFonts w:eastAsia="Times New Roman"/>
          <w:lang w:eastAsia="pt-BR"/>
        </w:rPr>
      </w:pPr>
      <w:r>
        <w:rPr>
          <w:rFonts w:eastAsia="Times New Roman"/>
          <w:lang w:eastAsia="pt-BR"/>
        </w:rPr>
        <w:t>Testes de Raiz Unitária para as Séries Completas da CIP (</w:t>
      </w:r>
      <w:r w:rsidRPr="008350ED">
        <w:rPr>
          <w:rFonts w:eastAsia="Times New Roman"/>
          <w:i/>
          <w:lang w:eastAsia="pt-BR"/>
        </w:rPr>
        <w:t>fs</w:t>
      </w:r>
      <w:r>
        <w:rPr>
          <w:rFonts w:eastAsia="Times New Roman"/>
          <w:lang w:eastAsia="pt-BR"/>
        </w:rPr>
        <w:t xml:space="preserve">, </w:t>
      </w:r>
      <w:r w:rsidRPr="008350ED">
        <w:rPr>
          <w:rFonts w:eastAsia="Times New Roman"/>
          <w:i/>
          <w:lang w:eastAsia="pt-BR"/>
        </w:rPr>
        <w:t>ii</w:t>
      </w:r>
      <w:r>
        <w:rPr>
          <w:rFonts w:eastAsia="Times New Roman"/>
          <w:lang w:eastAsia="pt-BR"/>
        </w:rPr>
        <w:t xml:space="preserve"> e </w:t>
      </w:r>
      <w:r w:rsidRPr="008350ED">
        <w:rPr>
          <w:rFonts w:eastAsia="Times New Roman"/>
          <w:i/>
          <w:lang w:eastAsia="pt-BR"/>
        </w:rPr>
        <w:t>ii’</w:t>
      </w:r>
      <w:r>
        <w:rPr>
          <w:rFonts w:eastAsia="Times New Roman"/>
          <w:lang w:eastAsia="pt-BR"/>
        </w:rPr>
        <w:t>)</w:t>
      </w:r>
    </w:p>
    <w:p w:rsidR="008350ED" w:rsidRDefault="008350ED" w:rsidP="008350ED">
      <w:pPr>
        <w:jc w:val="center"/>
        <w:rPr>
          <w:lang w:eastAsia="pt-BR"/>
        </w:rPr>
      </w:pPr>
      <w:r w:rsidRPr="008350ED">
        <w:rPr>
          <w:noProof/>
          <w:lang w:eastAsia="pt-BR"/>
        </w:rPr>
        <w:drawing>
          <wp:inline distT="0" distB="0" distL="0" distR="0">
            <wp:extent cx="4231178" cy="71586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1328" cy="715886"/>
                    </a:xfrm>
                    <a:prstGeom prst="rect">
                      <a:avLst/>
                    </a:prstGeom>
                    <a:noFill/>
                    <a:ln>
                      <a:noFill/>
                    </a:ln>
                  </pic:spPr>
                </pic:pic>
              </a:graphicData>
            </a:graphic>
          </wp:inline>
        </w:drawing>
      </w:r>
    </w:p>
    <w:p w:rsidR="008350ED" w:rsidRPr="008350ED" w:rsidRDefault="008350ED" w:rsidP="008350ED">
      <w:pPr>
        <w:jc w:val="center"/>
        <w:rPr>
          <w:lang w:eastAsia="pt-BR"/>
        </w:rPr>
      </w:pPr>
    </w:p>
    <w:p w:rsidR="00EE361B" w:rsidRDefault="005E0E24" w:rsidP="00517E4D">
      <w:pPr>
        <w:ind w:firstLine="360"/>
      </w:pPr>
      <w:r>
        <w:rPr>
          <w:rFonts w:eastAsia="Times New Roman" w:cs="Times New Roman"/>
          <w:szCs w:val="24"/>
          <w:lang w:eastAsia="pt-BR"/>
        </w:rPr>
        <w:t>Na regr</w:t>
      </w:r>
      <w:r w:rsidR="00517E4D">
        <w:rPr>
          <w:rFonts w:eastAsia="Times New Roman" w:cs="Times New Roman"/>
          <w:szCs w:val="24"/>
          <w:lang w:eastAsia="pt-BR"/>
        </w:rPr>
        <w:t xml:space="preserve">essão sobre a taxa </w:t>
      </w:r>
      <m:oMath>
        <m:r>
          <w:rPr>
            <w:rFonts w:ascii="Cambria Math" w:eastAsia="Times New Roman" w:hAnsi="Cambria Math" w:cs="Times New Roman"/>
            <w:szCs w:val="24"/>
            <w:lang w:eastAsia="pt-BR"/>
          </w:rPr>
          <m:t>ii</m:t>
        </m:r>
      </m:oMath>
      <w:r>
        <w:rPr>
          <w:rFonts w:eastAsia="Times New Roman" w:cs="Times New Roman"/>
          <w:szCs w:val="24"/>
          <w:lang w:eastAsia="pt-BR"/>
        </w:rPr>
        <w:t>, o</w:t>
      </w:r>
      <w:r w:rsidR="00E50236" w:rsidRPr="00E50236">
        <w:rPr>
          <w:rFonts w:eastAsia="Times New Roman" w:cs="Times New Roman"/>
          <w:szCs w:val="24"/>
          <w:lang w:eastAsia="pt-BR"/>
        </w:rPr>
        <w:t>s resíduos da regressão por MQO</w:t>
      </w:r>
      <w:r w:rsidR="00E50236">
        <w:rPr>
          <w:rStyle w:val="FootnoteReference"/>
          <w:rFonts w:eastAsia="Times New Roman" w:cs="Times New Roman"/>
          <w:szCs w:val="24"/>
          <w:lang w:eastAsia="pt-BR"/>
        </w:rPr>
        <w:footnoteReference w:id="29"/>
      </w:r>
      <m:oMath>
        <m:r>
          <w:rPr>
            <w:rFonts w:ascii="Cambria Math" w:eastAsia="Times New Roman" w:hAnsi="Cambria Math" w:cs="Times New Roman"/>
            <w:szCs w:val="24"/>
            <w:lang w:eastAsia="pt-BR"/>
          </w:rPr>
          <m:t>(10)</m:t>
        </m:r>
      </m:oMath>
      <w:r w:rsidR="00E50236">
        <w:t xml:space="preserve"> indicam a presença de auto correlação serial, heterocedasticidade condicional e não normalidade dos resíduos. O teste de White, por outro lado, não rejeita a hipótese nula de homocedasticidade. </w:t>
      </w:r>
      <w:r>
        <w:t xml:space="preserve">Já </w:t>
      </w:r>
      <w:r w:rsidR="00055749">
        <w:t>n</w:t>
      </w:r>
      <w:r>
        <w:t xml:space="preserve">a regressão sobre a taxa </w:t>
      </w:r>
      <m:oMath>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d>
          <m:dPr>
            <m:ctrlPr>
              <w:rPr>
                <w:rFonts w:ascii="Cambria Math" w:hAnsi="Cambria Math"/>
                <w:i/>
              </w:rPr>
            </m:ctrlPr>
          </m:dPr>
          <m:e>
            <m:r>
              <w:rPr>
                <w:rFonts w:ascii="Cambria Math" w:hAnsi="Cambria Math"/>
              </w:rPr>
              <m:t>11</m:t>
            </m:r>
          </m:e>
        </m:d>
      </m:oMath>
      <w:r w:rsidR="00514A18">
        <w:rPr>
          <w:rFonts w:eastAsiaTheme="minorEastAsia"/>
        </w:rPr>
        <w:t xml:space="preserve"> </w:t>
      </w:r>
      <w:r>
        <w:t>enfrenta os mesmos problemas de auto correlação seria</w:t>
      </w:r>
      <w:r w:rsidR="00E41623">
        <w:t>l</w:t>
      </w:r>
      <w:r>
        <w:t xml:space="preserve"> e</w:t>
      </w:r>
      <w:r w:rsidR="00374BE7">
        <w:t xml:space="preserve"> </w:t>
      </w:r>
      <w:r w:rsidR="00055749">
        <w:t>heterocedasticidade condicional</w:t>
      </w:r>
      <w:r>
        <w:t>, além da heterocedasticidade indicada pelo teste de White.</w:t>
      </w:r>
      <w:r w:rsidR="006A7CED">
        <w:t xml:space="preserve"> As equações abaixo apresentam os coeficientes estimados e abaixo, entre parênteses, o p-valor correspondente.</w:t>
      </w:r>
    </w:p>
    <w:p w:rsidR="006A7CED" w:rsidRDefault="006A7CED" w:rsidP="00517E4D">
      <w:pPr>
        <w:ind w:firstLine="360"/>
      </w:pPr>
    </w:p>
    <w:p w:rsidR="006A7CED" w:rsidRPr="006A7CED" w:rsidRDefault="002500C6" w:rsidP="00517E4D">
      <w:pPr>
        <w:ind w:firstLine="360"/>
        <w:rPr>
          <w:rFonts w:eastAsiaTheme="minorEastAsia"/>
        </w:rPr>
      </w:pPr>
      <m:oMathPara>
        <m:oMath>
          <m:sSub>
            <m:sSubPr>
              <m:ctrlPr>
                <w:rPr>
                  <w:rFonts w:ascii="Cambria Math" w:hAnsi="Cambria Math"/>
                  <w:i/>
                </w:rPr>
              </m:ctrlPr>
            </m:sSubPr>
            <m:e>
              <m:r>
                <w:rPr>
                  <w:rFonts w:ascii="Cambria Math" w:hAnsi="Cambria Math"/>
                </w:rPr>
                <m:t>fs</m:t>
              </m:r>
            </m:e>
            <m:sub>
              <m:r>
                <w:rPr>
                  <w:rFonts w:ascii="Cambria Math" w:hAnsi="Cambria Math"/>
                </w:rPr>
                <m:t>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-0.0004</m:t>
                </m:r>
              </m:e>
            </m:mr>
            <m:mr>
              <m:e>
                <m:r>
                  <w:rPr>
                    <w:rFonts w:ascii="Cambria Math" w:hAnsi="Cambria Math"/>
                  </w:rPr>
                  <m:t>(0.2508)</m:t>
                </m:r>
              </m:e>
            </m:mr>
          </m:m>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0.9808</m:t>
                </m:r>
              </m:e>
            </m:mr>
            <m:mr>
              <m:e>
                <m:r>
                  <w:rPr>
                    <w:rFonts w:ascii="Cambria Math" w:hAnsi="Cambria Math"/>
                  </w:rPr>
                  <m:t>(0.0000)</m:t>
                </m:r>
              </m:e>
            </m:mr>
          </m:m>
          <m:sSub>
            <m:sSubPr>
              <m:ctrlPr>
                <w:rPr>
                  <w:rFonts w:ascii="Cambria Math" w:hAnsi="Cambria Math"/>
                  <w:i/>
                </w:rPr>
              </m:ctrlPr>
            </m:sSubPr>
            <m:e>
              <m:r>
                <w:rPr>
                  <w:rFonts w:ascii="Cambria Math" w:hAnsi="Cambria Math"/>
                </w:rPr>
                <m:t>ii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(10)</m:t>
          </m:r>
        </m:oMath>
      </m:oMathPara>
    </w:p>
    <w:p w:rsidR="006A7CED" w:rsidRPr="006A7CED" w:rsidRDefault="006A7CED" w:rsidP="00517E4D">
      <w:pPr>
        <w:ind w:firstLine="360"/>
        <w:rPr>
          <w:rFonts w:eastAsiaTheme="minorEastAsia"/>
        </w:rPr>
      </w:pPr>
    </w:p>
    <w:p w:rsidR="00EE361B" w:rsidRPr="00177CA3" w:rsidRDefault="002500C6" w:rsidP="00177CA3">
      <w:pPr>
        <w:ind w:firstLine="360"/>
      </w:pPr>
      <m:oMathPara>
        <m:oMath>
          <m:sSub>
            <m:sSubPr>
              <m:ctrlPr>
                <w:rPr>
                  <w:rFonts w:ascii="Cambria Math" w:hAnsi="Cambria Math"/>
                  <w:i/>
                </w:rPr>
              </m:ctrlPr>
            </m:sSubPr>
            <m:e>
              <m:r>
                <w:rPr>
                  <w:rFonts w:ascii="Cambria Math" w:hAnsi="Cambria Math"/>
                </w:rPr>
                <m:t>fs</m:t>
              </m:r>
            </m:e>
            <m:sub>
              <m:r>
                <w:rPr>
                  <w:rFonts w:ascii="Cambria Math" w:hAnsi="Cambria Math"/>
                </w:rPr>
                <m:t>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0.0039</m:t>
                </m:r>
              </m:e>
            </m:mr>
            <m:mr>
              <m:e>
                <m:r>
                  <w:rPr>
                    <w:rFonts w:ascii="Cambria Math" w:hAnsi="Cambria Math"/>
                  </w:rPr>
                  <m:t>(0.0000)</m:t>
                </m:r>
              </m:e>
            </m:mr>
          </m:m>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0.9554</m:t>
                </m:r>
              </m:e>
            </m:mr>
            <m:mr>
              <m:e>
                <m:r>
                  <w:rPr>
                    <w:rFonts w:ascii="Cambria Math" w:hAnsi="Cambria Math"/>
                  </w:rPr>
                  <m:t>(0.0000)</m:t>
                </m:r>
              </m:e>
            </m:mr>
          </m:m>
          <m:sSub>
            <m:sSubPr>
              <m:ctrlPr>
                <w:rPr>
                  <w:rFonts w:ascii="Cambria Math" w:hAnsi="Cambria Math"/>
                  <w:i/>
                </w:rPr>
              </m:ctrlPr>
            </m:sSubPr>
            <m:e>
              <m:r>
                <w:rPr>
                  <w:rFonts w:ascii="Cambria Math" w:hAnsi="Cambria Math"/>
                </w:rPr>
                <m:t>ii'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(11)</m:t>
          </m:r>
        </m:oMath>
      </m:oMathPara>
    </w:p>
    <w:p w:rsidR="00177CA3" w:rsidRPr="00177CA3" w:rsidRDefault="00177CA3" w:rsidP="00177CA3">
      <w:pPr>
        <w:ind w:firstLine="360"/>
      </w:pPr>
    </w:p>
    <w:p w:rsidR="00EE361B" w:rsidRDefault="00EE361B" w:rsidP="00EE361B">
      <w:pPr>
        <w:pStyle w:val="Heading4"/>
        <w:rPr>
          <w:rFonts w:eastAsia="Times New Roman"/>
          <w:lang w:eastAsia="pt-BR"/>
        </w:rPr>
      </w:pPr>
      <w:r w:rsidRPr="00346B65">
        <w:rPr>
          <w:rFonts w:eastAsia="Times New Roman"/>
          <w:lang w:eastAsia="pt-BR"/>
        </w:rPr>
        <w:lastRenderedPageBreak/>
        <w:t>Testes nos Resíduos</w:t>
      </w:r>
      <w:r w:rsidR="00177CA3">
        <w:rPr>
          <w:rFonts w:eastAsia="Times New Roman"/>
          <w:lang w:eastAsia="pt-BR"/>
        </w:rPr>
        <w:t xml:space="preserve"> das Reg</w:t>
      </w:r>
      <w:r w:rsidR="002C5D23">
        <w:rPr>
          <w:rFonts w:eastAsia="Times New Roman"/>
          <w:lang w:eastAsia="pt-BR"/>
        </w:rPr>
        <w:t xml:space="preserve">ressões por MQO </w:t>
      </w:r>
      <m:oMath>
        <m:r>
          <m:rPr>
            <m:sty m:val="bi"/>
          </m:rPr>
          <w:rPr>
            <w:rFonts w:ascii="Cambria Math" w:eastAsia="Times New Roman" w:hAnsi="Cambria Math"/>
            <w:lang w:eastAsia="pt-BR"/>
          </w:rPr>
          <m:t>(10)</m:t>
        </m:r>
      </m:oMath>
      <w:r w:rsidR="002C5D23">
        <w:rPr>
          <w:rFonts w:eastAsia="Times New Roman"/>
          <w:lang w:eastAsia="pt-BR"/>
        </w:rPr>
        <w:t xml:space="preserve"> e </w:t>
      </w:r>
      <m:oMath>
        <m:r>
          <m:rPr>
            <m:sty m:val="bi"/>
          </m:rPr>
          <w:rPr>
            <w:rFonts w:ascii="Cambria Math" w:eastAsia="Times New Roman" w:hAnsi="Cambria Math"/>
            <w:lang w:eastAsia="pt-BR"/>
          </w:rPr>
          <m:t>(11)</m:t>
        </m:r>
      </m:oMath>
    </w:p>
    <w:p w:rsidR="00177CA3" w:rsidRPr="00177CA3" w:rsidRDefault="0000552C" w:rsidP="00177CA3">
      <w:pPr>
        <w:rPr>
          <w:lang w:eastAsia="pt-BR"/>
        </w:rPr>
      </w:pPr>
      <w:r w:rsidRPr="0000552C">
        <w:rPr>
          <w:noProof/>
          <w:lang w:eastAsia="pt-BR"/>
        </w:rPr>
        <w:drawing>
          <wp:inline distT="0" distB="0" distL="0" distR="0">
            <wp:extent cx="5400040" cy="1195132"/>
            <wp:effectExtent l="0" t="0" r="0" b="508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195132"/>
                    </a:xfrm>
                    <a:prstGeom prst="rect">
                      <a:avLst/>
                    </a:prstGeom>
                    <a:noFill/>
                    <a:ln>
                      <a:noFill/>
                    </a:ln>
                  </pic:spPr>
                </pic:pic>
              </a:graphicData>
            </a:graphic>
          </wp:inline>
        </w:drawing>
      </w:r>
    </w:p>
    <w:p w:rsidR="00EE361B" w:rsidRDefault="00EE361B" w:rsidP="00845F87"/>
    <w:p w:rsidR="00CA22D7" w:rsidRDefault="00EE361B" w:rsidP="0000552C">
      <w:pPr>
        <w:ind w:firstLine="360"/>
      </w:pPr>
      <w:r>
        <w:t>Como</w:t>
      </w:r>
      <w:r w:rsidR="00CA22D7">
        <w:t xml:space="preserve"> os problemas de resíduos não esféricos não afetam a não-tendenciosidade do teste</w:t>
      </w:r>
      <w:r w:rsidR="00D820FF">
        <w:t xml:space="preserve"> é possível avaliar os valores dos coeficientes</w:t>
      </w:r>
      <w:r w:rsidR="00360C88">
        <w:t>, mesmo com esse modelo de regressão linear simples</w:t>
      </w:r>
      <w:r w:rsidR="00D820FF">
        <w:t xml:space="preserve">. A constante se manteve </w:t>
      </w:r>
      <w:r w:rsidR="0000552C">
        <w:t>próxima a zero</w:t>
      </w:r>
      <w:r w:rsidR="00D820FF">
        <w:t>, coerente</w:t>
      </w:r>
      <w:r w:rsidR="00AE5B09">
        <w:t>me</w:t>
      </w:r>
      <w:r w:rsidR="00D820FF">
        <w:t xml:space="preserve">nte com a forma funcional da CIP. O coeficiente </w:t>
      </w:r>
      <w:r w:rsidR="006055A9">
        <w:sym w:font="Symbol" w:char="F062"/>
      </w:r>
      <w:r w:rsidR="00D820FF">
        <w:t xml:space="preserve"> ficou próximo</w:t>
      </w:r>
      <w:r w:rsidR="006055A9">
        <w:t xml:space="preserve"> a </w:t>
      </w:r>
      <w:r>
        <w:t>1,00 (</w:t>
      </w:r>
      <w:r w:rsidR="006055A9">
        <w:t>um</w:t>
      </w:r>
      <w:r>
        <w:t>)</w:t>
      </w:r>
      <w:r w:rsidR="006055A9">
        <w:t xml:space="preserve"> quando a taxa externa é o FRA de cupom </w:t>
      </w:r>
      <w:r w:rsidR="006055A9" w:rsidRPr="00980CAD">
        <w:t>cambial</w:t>
      </w:r>
      <w:r w:rsidR="00980CAD" w:rsidRPr="00980CAD">
        <w:t>(</w:t>
      </w:r>
      <w:r w:rsidR="00980CAD" w:rsidRPr="00980CAD">
        <w:rPr>
          <w:rStyle w:val="Emphasis"/>
        </w:rPr>
        <w:t>β=0,9808)</w:t>
      </w:r>
      <w:r w:rsidR="006055A9" w:rsidRPr="00980CAD">
        <w:t xml:space="preserve"> e </w:t>
      </w:r>
      <w:r w:rsidR="00980CAD" w:rsidRPr="00980CAD">
        <w:rPr>
          <w:rStyle w:val="Emphasis"/>
        </w:rPr>
        <w:t>β</w:t>
      </w:r>
      <w:r w:rsidR="00980CAD" w:rsidRPr="00980CAD">
        <w:t xml:space="preserve"> = </w:t>
      </w:r>
      <w:r w:rsidR="00177CA3" w:rsidRPr="00980CAD">
        <w:t>0,95</w:t>
      </w:r>
      <w:r w:rsidR="006055A9" w:rsidRPr="00980CAD">
        <w:t xml:space="preserve"> quando</w:t>
      </w:r>
      <w:r w:rsidR="006055A9">
        <w:t xml:space="preserve"> a taxa externa é a </w:t>
      </w:r>
      <w:r w:rsidRPr="00F52841">
        <w:rPr>
          <w:i/>
        </w:rPr>
        <w:t>l</w:t>
      </w:r>
      <w:r w:rsidR="002F7305">
        <w:rPr>
          <w:i/>
        </w:rPr>
        <w:t>i</w:t>
      </w:r>
      <w:r w:rsidR="006055A9" w:rsidRPr="00F52841">
        <w:rPr>
          <w:i/>
        </w:rPr>
        <w:t>bor</w:t>
      </w:r>
      <w:r w:rsidR="00177CA3">
        <w:rPr>
          <w:i/>
        </w:rPr>
        <w:t xml:space="preserve"> 6m</w:t>
      </w:r>
      <w:r w:rsidR="006055A9" w:rsidRPr="00F52841">
        <w:rPr>
          <w:i/>
        </w:rPr>
        <w:t xml:space="preserve"> + </w:t>
      </w:r>
      <w:r w:rsidR="00C33BE3">
        <w:rPr>
          <w:i/>
        </w:rPr>
        <w:t>EMBI+</w:t>
      </w:r>
      <w:r w:rsidR="00983CC5" w:rsidRPr="00F52841">
        <w:rPr>
          <w:i/>
        </w:rPr>
        <w:t>.</w:t>
      </w:r>
    </w:p>
    <w:p w:rsidR="00346B65" w:rsidRDefault="00346B65" w:rsidP="00F52841">
      <w:pPr>
        <w:ind w:firstLine="357"/>
      </w:pPr>
      <w:r>
        <w:t xml:space="preserve">Corrigimos os problemas nos resíduos </w:t>
      </w:r>
      <w:r w:rsidR="007E606E">
        <w:t xml:space="preserve">da regressão </w:t>
      </w:r>
      <w:r w:rsidR="00AB4D84">
        <w:t xml:space="preserve">simples, </w:t>
      </w:r>
      <w:r>
        <w:t>estimando um mode</w:t>
      </w:r>
      <w:r w:rsidR="00653608">
        <w:t xml:space="preserve">lo GARCH(1,1) </w:t>
      </w:r>
      <w:r w:rsidR="00653608" w:rsidRPr="00383703">
        <w:t>com a inclusão da variável exógena (</w:t>
      </w:r>
      <w:r w:rsidR="00653608" w:rsidRPr="00383703">
        <w:rPr>
          <w:i/>
        </w:rPr>
        <w:t>ii</w:t>
      </w:r>
      <w:r w:rsidR="00653608" w:rsidRPr="00383703">
        <w:t xml:space="preserve">) </w:t>
      </w:r>
      <w:r w:rsidRPr="00383703">
        <w:t>na equação da média condicionada (ver Bollerslev, Engle, and Nelson (1994) para</w:t>
      </w:r>
      <w:r>
        <w:t xml:space="preserve"> um </w:t>
      </w:r>
      <w:r w:rsidRPr="004C27F4">
        <w:rPr>
          <w:i/>
        </w:rPr>
        <w:t>survey</w:t>
      </w:r>
      <w:r w:rsidR="0000552C">
        <w:t xml:space="preserve"> a respeito destes modelos</w:t>
      </w:r>
      <w:r>
        <w:t xml:space="preserve">). </w:t>
      </w:r>
      <w:r w:rsidR="00653608">
        <w:t xml:space="preserve">Foi necessário adicionar ainda os </w:t>
      </w:r>
      <w:r>
        <w:t>termos AR e MA, ambos de primeira ordem, à equação da média condicionada</w:t>
      </w:r>
      <w:r w:rsidR="00653608">
        <w:t>, para eliminar a autocorrelação encontrada</w:t>
      </w:r>
      <w:r>
        <w:t>. Adicionalmente</w:t>
      </w:r>
      <w:r w:rsidR="00653608">
        <w:t>,</w:t>
      </w:r>
      <w:r>
        <w:t xml:space="preserve"> o GARCH é estimado com resíduos GED (</w:t>
      </w:r>
      <w:r w:rsidRPr="004C27F4">
        <w:rPr>
          <w:i/>
        </w:rPr>
        <w:t>Generalized</w:t>
      </w:r>
      <w:r w:rsidR="0049077D">
        <w:rPr>
          <w:i/>
        </w:rPr>
        <w:t xml:space="preserve"> </w:t>
      </w:r>
      <w:r w:rsidRPr="004C27F4">
        <w:rPr>
          <w:i/>
        </w:rPr>
        <w:t>Error</w:t>
      </w:r>
      <w:r w:rsidR="0049077D">
        <w:rPr>
          <w:i/>
        </w:rPr>
        <w:t xml:space="preserve"> </w:t>
      </w:r>
      <w:r w:rsidRPr="004C27F4">
        <w:rPr>
          <w:i/>
        </w:rPr>
        <w:t>Distribution</w:t>
      </w:r>
      <w:r w:rsidR="004C27F4">
        <w:t>) devido a</w:t>
      </w:r>
      <w:r>
        <w:t xml:space="preserve"> não normalidade dos mesmo</w:t>
      </w:r>
      <w:r w:rsidR="008D3842">
        <w:t>s</w:t>
      </w:r>
      <w:r>
        <w:t>. Desta forma</w:t>
      </w:r>
      <w:r w:rsidR="007E606E">
        <w:t>,</w:t>
      </w:r>
      <w:r>
        <w:t xml:space="preserve"> obtemos um modelo capaz de corrigir os problemas encontrados na estimação de</w:t>
      </w:r>
      <m:oMath>
        <m:r>
          <w:rPr>
            <w:rFonts w:ascii="Cambria Math" w:hAnsi="Cambria Math"/>
          </w:rPr>
          <m:t>(11)</m:t>
        </m:r>
      </m:oMath>
      <w:r>
        <w:rPr>
          <w:rStyle w:val="FootnoteReference"/>
        </w:rPr>
        <w:footnoteReference w:id="30"/>
      </w:r>
      <w:r>
        <w:t>.</w:t>
      </w:r>
    </w:p>
    <w:p w:rsidR="00346B65" w:rsidRDefault="004C27F4" w:rsidP="00DA1463">
      <w:pPr>
        <w:rPr>
          <w:rFonts w:eastAsia="Times New Roman" w:cs="Times New Roman"/>
          <w:szCs w:val="24"/>
          <w:lang w:eastAsia="pt-BR"/>
        </w:rPr>
      </w:pPr>
      <w:r>
        <w:tab/>
      </w:r>
      <w:r>
        <w:rPr>
          <w:rFonts w:eastAsia="Times New Roman" w:cs="Times New Roman"/>
          <w:szCs w:val="24"/>
          <w:lang w:eastAsia="pt-BR"/>
        </w:rPr>
        <w:t xml:space="preserve">Analogamente, no caso da regressão sobre </w:t>
      </w:r>
      <m:oMath>
        <m:r>
          <w:rPr>
            <w:rFonts w:ascii="Cambria Math" w:eastAsia="Times New Roman" w:hAnsi="Cambria Math" w:cs="Times New Roman"/>
            <w:szCs w:val="24"/>
            <w:lang w:eastAsia="pt-BR"/>
          </w:rPr>
          <m:t>ii'</m:t>
        </m:r>
      </m:oMath>
      <w:r>
        <w:rPr>
          <w:rFonts w:eastAsia="Times New Roman" w:cs="Times New Roman"/>
          <w:szCs w:val="24"/>
          <w:lang w:eastAsia="pt-BR"/>
        </w:rPr>
        <w:t xml:space="preserve">, também </w:t>
      </w:r>
      <w:r w:rsidRPr="00346B65">
        <w:rPr>
          <w:rFonts w:eastAsia="Times New Roman" w:cs="Times New Roman"/>
          <w:szCs w:val="24"/>
          <w:lang w:eastAsia="pt-BR"/>
        </w:rPr>
        <w:t>foi possível corrigir os problemas dos resíduos estimando um GARCH(1,1), com distribuição GED e termos AR(1) e MA(1) para corrigir a autocorrelação</w:t>
      </w:r>
      <w:r>
        <w:rPr>
          <w:rFonts w:eastAsia="Times New Roman" w:cs="Times New Roman"/>
          <w:szCs w:val="24"/>
          <w:lang w:eastAsia="pt-BR"/>
        </w:rPr>
        <w:t>.</w:t>
      </w:r>
    </w:p>
    <w:p w:rsidR="00F047D8" w:rsidRDefault="00F047D8" w:rsidP="00DA1463">
      <w:pPr>
        <w:rPr>
          <w:rFonts w:eastAsia="Times New Roman" w:cs="Times New Roman"/>
          <w:szCs w:val="24"/>
          <w:lang w:eastAsia="pt-BR"/>
        </w:rPr>
      </w:pPr>
    </w:p>
    <w:p w:rsidR="004C27F4" w:rsidRPr="00951B0B" w:rsidRDefault="002500C6" w:rsidP="00DA1463">
      <w:pPr>
        <w:rPr>
          <w:rFonts w:eastAsiaTheme="minorEastAsia"/>
        </w:rPr>
      </w:pPr>
      <m:oMathPara>
        <m:oMathParaPr>
          <m:jc m:val="left"/>
        </m:oMathParaPr>
        <m:oMath>
          <m:sSub>
            <m:sSubPr>
              <m:ctrlPr>
                <w:rPr>
                  <w:rFonts w:ascii="Cambria Math" w:hAnsi="Cambria Math"/>
                  <w:i/>
                </w:rPr>
              </m:ctrlPr>
            </m:sSubPr>
            <m:e>
              <m:r>
                <w:rPr>
                  <w:rFonts w:ascii="Cambria Math" w:hAnsi="Cambria Math"/>
                </w:rPr>
                <m:t>fs</m:t>
              </m:r>
            </m:e>
            <m:sub>
              <m:r>
                <w:rPr>
                  <w:rFonts w:ascii="Cambria Math" w:hAnsi="Cambria Math"/>
                </w:rPr>
                <m:t>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-0.0015</m:t>
                </m:r>
              </m:e>
            </m:mr>
            <m:mr>
              <m:e>
                <m:r>
                  <w:rPr>
                    <w:rFonts w:ascii="Cambria Math" w:hAnsi="Cambria Math"/>
                  </w:rPr>
                  <m:t>(0.0029)</m:t>
                </m:r>
              </m:e>
            </m:mr>
          </m:m>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1.0161</m:t>
                </m:r>
              </m:e>
            </m:mr>
            <m:mr>
              <m:e>
                <m:r>
                  <w:rPr>
                    <w:rFonts w:ascii="Cambria Math" w:hAnsi="Cambria Math"/>
                  </w:rPr>
                  <m:t>(0.0000)</m:t>
                </m:r>
              </m:e>
            </m:mr>
          </m:m>
          <m:sSub>
            <m:sSubPr>
              <m:ctrlPr>
                <w:rPr>
                  <w:rFonts w:ascii="Cambria Math" w:hAnsi="Cambria Math"/>
                  <w:i/>
                </w:rPr>
              </m:ctrlPr>
            </m:sSubPr>
            <m:e>
              <m:r>
                <w:rPr>
                  <w:rFonts w:ascii="Cambria Math" w:hAnsi="Cambria Math"/>
                </w:rPr>
                <m:t>ii</m:t>
              </m:r>
            </m:e>
            <m:sub>
              <m:r>
                <w:rPr>
                  <w:rFonts w:ascii="Cambria Math" w:hAnsi="Cambria Math"/>
                </w:rPr>
                <m:t>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0.9796</m:t>
                </m:r>
              </m:e>
            </m:mr>
            <m:mr>
              <m:e>
                <m:r>
                  <w:rPr>
                    <w:rFonts w:ascii="Cambria Math" w:hAnsi="Cambria Math"/>
                  </w:rPr>
                  <m:t>(0.0000)</m:t>
                </m:r>
              </m:e>
            </m:mr>
          </m:m>
          <m:sSub>
            <m:sSubPr>
              <m:ctrlPr>
                <w:rPr>
                  <w:rFonts w:ascii="Cambria Math" w:hAnsi="Cambria Math"/>
                  <w:i/>
                </w:rPr>
              </m:ctrlPr>
            </m:sSubPr>
            <m:e>
              <m:r>
                <w:rPr>
                  <w:rFonts w:ascii="Cambria Math" w:hAnsi="Cambria Math"/>
                </w:rPr>
                <m:t>fs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0.8820</m:t>
                </m:r>
              </m:e>
            </m:mr>
            <m:mr>
              <m:e>
                <m:d>
                  <m:dPr>
                    <m:ctrlPr>
                      <w:rPr>
                        <w:rFonts w:ascii="Cambria Math" w:hAnsi="Cambria Math"/>
                        <w:i/>
                      </w:rPr>
                    </m:ctrlPr>
                  </m:dPr>
                  <m:e>
                    <m:r>
                      <w:rPr>
                        <w:rFonts w:ascii="Cambria Math" w:hAnsi="Cambria Math"/>
                      </w:rPr>
                      <m:t>0.0000</m:t>
                    </m:r>
                  </m:e>
                </m:d>
              </m:e>
            </m:mr>
          </m:m>
          <m:sSub>
            <m:sSubPr>
              <m:ctrlPr>
                <w:rPr>
                  <w:rFonts w:ascii="Cambria Math" w:hAnsi="Cambria Math"/>
                  <w:i/>
                </w:rPr>
              </m:ctrlPr>
            </m:sSubPr>
            <m:e>
              <m:r>
                <w:rPr>
                  <w:rFonts w:ascii="Cambria Math" w:hAnsi="Cambria Math"/>
                </w:rPr>
                <m:t>ε</m:t>
              </m:r>
            </m:e>
            <m:sub>
              <m:r>
                <w:rPr>
                  <w:rFonts w:ascii="Cambria Math" w:hAnsi="Cambria Math"/>
                </w:rPr>
                <m:t>t-1</m:t>
              </m:r>
            </m:sub>
          </m:sSub>
          <m:r>
            <w:rPr>
              <w:rFonts w:ascii="Cambria Math" w:hAnsi="Cambria Math"/>
            </w:rPr>
            <m:t xml:space="preserve">  (12)</m:t>
          </m:r>
        </m:oMath>
      </m:oMathPara>
    </w:p>
    <w:p w:rsidR="00951B0B" w:rsidRPr="00951B0B" w:rsidRDefault="00951B0B" w:rsidP="00DA1463">
      <w:pPr>
        <w:rPr>
          <w:rFonts w:eastAsiaTheme="minorEastAsia"/>
        </w:rPr>
      </w:pPr>
    </w:p>
    <w:p w:rsidR="00F047D8" w:rsidRPr="00951B0B" w:rsidRDefault="002500C6" w:rsidP="00DA1463">
      <w:pPr>
        <w:rPr>
          <w:rFonts w:eastAsiaTheme="minorEastAsia"/>
        </w:rPr>
      </w:pPr>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0.0000</m:t>
                </m:r>
              </m:e>
            </m:mr>
            <m:mr>
              <m:e>
                <m:d>
                  <m:dPr>
                    <m:ctrlPr>
                      <w:rPr>
                        <w:rFonts w:ascii="Cambria Math" w:hAnsi="Cambria Math"/>
                        <w:i/>
                      </w:rPr>
                    </m:ctrlPr>
                  </m:dPr>
                  <m:e>
                    <m:r>
                      <w:rPr>
                        <w:rFonts w:ascii="Cambria Math" w:hAnsi="Cambria Math"/>
                      </w:rPr>
                      <m:t>0.0109</m:t>
                    </m:r>
                  </m:e>
                </m:d>
              </m:e>
            </m:mr>
          </m:m>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0.1272</m:t>
                </m:r>
              </m:e>
            </m:mr>
            <m:mr>
              <m:e>
                <m:d>
                  <m:dPr>
                    <m:ctrlPr>
                      <w:rPr>
                        <w:rFonts w:ascii="Cambria Math" w:hAnsi="Cambria Math"/>
                        <w:i/>
                      </w:rPr>
                    </m:ctrlPr>
                  </m:dPr>
                  <m:e>
                    <m:r>
                      <w:rPr>
                        <w:rFonts w:ascii="Cambria Math" w:hAnsi="Cambria Math"/>
                      </w:rPr>
                      <m:t>0.0000</m:t>
                    </m:r>
                  </m:e>
                </m:d>
              </m:e>
            </m:mr>
          </m:m>
          <m:sSubSup>
            <m:sSubSupPr>
              <m:ctrlPr>
                <w:rPr>
                  <w:rFonts w:ascii="Cambria Math" w:hAnsi="Cambria Math"/>
                  <w:i/>
                </w:rPr>
              </m:ctrlPr>
            </m:sSubSupPr>
            <m:e>
              <m:r>
                <w:rPr>
                  <w:rFonts w:ascii="Cambria Math" w:hAnsi="Cambria Math"/>
                </w:rPr>
                <m:t>ε</m:t>
              </m:r>
            </m:e>
            <m:sub>
              <m:r>
                <w:rPr>
                  <w:rFonts w:ascii="Cambria Math" w:hAnsi="Cambria Math"/>
                </w:rPr>
                <m:t>t-1</m:t>
              </m:r>
            </m:sub>
            <m:sup>
              <m:r>
                <w:rPr>
                  <w:rFonts w:ascii="Cambria Math" w:hAnsi="Cambria Math"/>
                </w:rPr>
                <m:t>2</m:t>
              </m:r>
            </m:sup>
          </m:sSub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0.8720</m:t>
                </m:r>
              </m:e>
            </m:mr>
            <m:mr>
              <m:e>
                <m:d>
                  <m:dPr>
                    <m:ctrlPr>
                      <w:rPr>
                        <w:rFonts w:ascii="Cambria Math" w:hAnsi="Cambria Math"/>
                        <w:i/>
                      </w:rPr>
                    </m:ctrlPr>
                  </m:dPr>
                  <m:e>
                    <m:r>
                      <w:rPr>
                        <w:rFonts w:ascii="Cambria Math" w:hAnsi="Cambria Math"/>
                      </w:rPr>
                      <m:t>0.0000</m:t>
                    </m:r>
                  </m:e>
                </m:d>
              </m:e>
            </m:mr>
          </m:m>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oMath>
      </m:oMathPara>
    </w:p>
    <w:p w:rsidR="00951B0B" w:rsidRDefault="00951B0B" w:rsidP="00DA1463">
      <w:pPr>
        <w:rPr>
          <w:rFonts w:eastAsiaTheme="minorEastAsia"/>
        </w:rPr>
      </w:pPr>
    </w:p>
    <w:p w:rsidR="00951B0B" w:rsidRPr="00F047D8" w:rsidRDefault="00951B0B" w:rsidP="00DA1463">
      <w:pPr>
        <w:rPr>
          <w:rFonts w:eastAsiaTheme="minorEastAsia"/>
        </w:rPr>
      </w:pPr>
    </w:p>
    <w:p w:rsidR="00F047D8" w:rsidRPr="00951B0B" w:rsidRDefault="002500C6" w:rsidP="00DA1463">
      <w:pPr>
        <w:rPr>
          <w:rFonts w:eastAsiaTheme="minorEastAsia"/>
        </w:rPr>
      </w:pPr>
      <m:oMathPara>
        <m:oMathParaPr>
          <m:jc m:val="left"/>
        </m:oMathParaPr>
        <m:oMath>
          <m:sSub>
            <m:sSubPr>
              <m:ctrlPr>
                <w:rPr>
                  <w:rFonts w:ascii="Cambria Math" w:hAnsi="Cambria Math"/>
                  <w:i/>
                </w:rPr>
              </m:ctrlPr>
            </m:sSubPr>
            <m:e>
              <m:r>
                <w:rPr>
                  <w:rFonts w:ascii="Cambria Math" w:hAnsi="Cambria Math"/>
                </w:rPr>
                <m:t>fs</m:t>
              </m:r>
            </m:e>
            <m:sub>
              <m:r>
                <w:rPr>
                  <w:rFonts w:ascii="Cambria Math" w:hAnsi="Cambria Math"/>
                </w:rPr>
                <m:t>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0.0009</m:t>
                </m:r>
              </m:e>
            </m:mr>
            <m:mr>
              <m:e>
                <m:r>
                  <w:rPr>
                    <w:rFonts w:ascii="Cambria Math" w:hAnsi="Cambria Math"/>
                  </w:rPr>
                  <m:t>(0.6371)</m:t>
                </m:r>
              </m:e>
            </m:mr>
          </m:m>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1.0188</m:t>
                </m:r>
              </m:e>
            </m:mr>
            <m:mr>
              <m:e>
                <m:r>
                  <w:rPr>
                    <w:rFonts w:ascii="Cambria Math" w:hAnsi="Cambria Math"/>
                  </w:rPr>
                  <m:t>(0.0000)</m:t>
                </m:r>
              </m:e>
            </m:mr>
          </m:m>
          <m:sSub>
            <m:sSubPr>
              <m:ctrlPr>
                <w:rPr>
                  <w:rFonts w:ascii="Cambria Math" w:hAnsi="Cambria Math"/>
                  <w:i/>
                </w:rPr>
              </m:ctrlPr>
            </m:sSubPr>
            <m:e>
              <m:r>
                <w:rPr>
                  <w:rFonts w:ascii="Cambria Math" w:hAnsi="Cambria Math"/>
                </w:rPr>
                <m:t>ii'</m:t>
              </m:r>
            </m:e>
            <m:sub>
              <m:r>
                <w:rPr>
                  <w:rFonts w:ascii="Cambria Math" w:hAnsi="Cambria Math"/>
                </w:rPr>
                <m:t>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0.9881</m:t>
                </m:r>
              </m:e>
            </m:mr>
            <m:mr>
              <m:e>
                <m:r>
                  <w:rPr>
                    <w:rFonts w:ascii="Cambria Math" w:hAnsi="Cambria Math"/>
                  </w:rPr>
                  <m:t>(0.0000)</m:t>
                </m:r>
              </m:e>
            </m:mr>
          </m:m>
          <m:sSub>
            <m:sSubPr>
              <m:ctrlPr>
                <w:rPr>
                  <w:rFonts w:ascii="Cambria Math" w:hAnsi="Cambria Math"/>
                  <w:i/>
                </w:rPr>
              </m:ctrlPr>
            </m:sSubPr>
            <m:e>
              <m:r>
                <w:rPr>
                  <w:rFonts w:ascii="Cambria Math" w:hAnsi="Cambria Math"/>
                </w:rPr>
                <m:t>fs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0.8231</m:t>
                </m:r>
              </m:e>
            </m:mr>
            <m:mr>
              <m:e>
                <m:d>
                  <m:dPr>
                    <m:ctrlPr>
                      <w:rPr>
                        <w:rFonts w:ascii="Cambria Math" w:hAnsi="Cambria Math"/>
                        <w:i/>
                      </w:rPr>
                    </m:ctrlPr>
                  </m:dPr>
                  <m:e>
                    <m:r>
                      <w:rPr>
                        <w:rFonts w:ascii="Cambria Math" w:hAnsi="Cambria Math"/>
                      </w:rPr>
                      <m:t>0.0000</m:t>
                    </m:r>
                  </m:e>
                </m:d>
              </m:e>
            </m:mr>
          </m:m>
          <m:sSub>
            <m:sSubPr>
              <m:ctrlPr>
                <w:rPr>
                  <w:rFonts w:ascii="Cambria Math" w:hAnsi="Cambria Math"/>
                  <w:i/>
                </w:rPr>
              </m:ctrlPr>
            </m:sSubPr>
            <m:e>
              <m:r>
                <w:rPr>
                  <w:rFonts w:ascii="Cambria Math" w:hAnsi="Cambria Math"/>
                </w:rPr>
                <m:t>ε</m:t>
              </m:r>
            </m:e>
            <m:sub>
              <m:r>
                <w:rPr>
                  <w:rFonts w:ascii="Cambria Math" w:hAnsi="Cambria Math"/>
                </w:rPr>
                <m:t>t-1</m:t>
              </m:r>
            </m:sub>
          </m:sSub>
          <m:r>
            <w:rPr>
              <w:rFonts w:ascii="Cambria Math" w:hAnsi="Cambria Math"/>
            </w:rPr>
            <m:t xml:space="preserve">  (13)</m:t>
          </m:r>
        </m:oMath>
      </m:oMathPara>
    </w:p>
    <w:p w:rsidR="00951B0B" w:rsidRPr="00951B0B" w:rsidRDefault="00951B0B" w:rsidP="00DA1463">
      <w:pPr>
        <w:rPr>
          <w:rFonts w:eastAsiaTheme="minorEastAsia"/>
        </w:rPr>
      </w:pPr>
    </w:p>
    <w:p w:rsidR="00951B0B" w:rsidRDefault="002500C6" w:rsidP="00DA1463">
      <w:pPr>
        <w:rPr>
          <w:rFonts w:eastAsiaTheme="minorEastAsia"/>
        </w:rPr>
      </w:pPr>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0.0000</m:t>
                </m:r>
              </m:e>
            </m:mr>
            <m:mr>
              <m:e>
                <m:d>
                  <m:dPr>
                    <m:ctrlPr>
                      <w:rPr>
                        <w:rFonts w:ascii="Cambria Math" w:hAnsi="Cambria Math"/>
                        <w:i/>
                      </w:rPr>
                    </m:ctrlPr>
                  </m:dPr>
                  <m:e>
                    <m:r>
                      <w:rPr>
                        <w:rFonts w:ascii="Cambria Math" w:hAnsi="Cambria Math"/>
                      </w:rPr>
                      <m:t>0.0000</m:t>
                    </m:r>
                  </m:e>
                </m:d>
              </m:e>
            </m:mr>
          </m:m>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0.1501</m:t>
                </m:r>
              </m:e>
            </m:mr>
            <m:mr>
              <m:e>
                <m:d>
                  <m:dPr>
                    <m:ctrlPr>
                      <w:rPr>
                        <w:rFonts w:ascii="Cambria Math" w:hAnsi="Cambria Math"/>
                        <w:i/>
                      </w:rPr>
                    </m:ctrlPr>
                  </m:dPr>
                  <m:e>
                    <m:r>
                      <w:rPr>
                        <w:rFonts w:ascii="Cambria Math" w:hAnsi="Cambria Math"/>
                      </w:rPr>
                      <m:t>0.0000</m:t>
                    </m:r>
                  </m:e>
                </m:d>
              </m:e>
            </m:mr>
          </m:m>
          <m:sSubSup>
            <m:sSubSupPr>
              <m:ctrlPr>
                <w:rPr>
                  <w:rFonts w:ascii="Cambria Math" w:hAnsi="Cambria Math"/>
                  <w:i/>
                </w:rPr>
              </m:ctrlPr>
            </m:sSubSupPr>
            <m:e>
              <m:r>
                <w:rPr>
                  <w:rFonts w:ascii="Cambria Math" w:hAnsi="Cambria Math"/>
                </w:rPr>
                <m:t>ε</m:t>
              </m:r>
            </m:e>
            <m:sub>
              <m:r>
                <w:rPr>
                  <w:rFonts w:ascii="Cambria Math" w:hAnsi="Cambria Math"/>
                </w:rPr>
                <m:t>t-1</m:t>
              </m:r>
            </m:sub>
            <m:sup>
              <m:r>
                <w:rPr>
                  <w:rFonts w:ascii="Cambria Math" w:hAnsi="Cambria Math"/>
                </w:rPr>
                <m:t>2</m:t>
              </m:r>
            </m:sup>
          </m:sSub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0.8486</m:t>
                </m:r>
              </m:e>
            </m:mr>
            <m:mr>
              <m:e>
                <m:d>
                  <m:dPr>
                    <m:ctrlPr>
                      <w:rPr>
                        <w:rFonts w:ascii="Cambria Math" w:hAnsi="Cambria Math"/>
                        <w:i/>
                      </w:rPr>
                    </m:ctrlPr>
                  </m:dPr>
                  <m:e>
                    <m:r>
                      <w:rPr>
                        <w:rFonts w:ascii="Cambria Math" w:hAnsi="Cambria Math"/>
                      </w:rPr>
                      <m:t>0.0000</m:t>
                    </m:r>
                  </m:e>
                </m:d>
              </m:e>
            </m:mr>
          </m:m>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oMath>
      </m:oMathPara>
    </w:p>
    <w:p w:rsidR="004C27F4" w:rsidRDefault="004C27F4" w:rsidP="00DA1463"/>
    <w:p w:rsidR="00346B65" w:rsidRDefault="00346B65" w:rsidP="00F047D8">
      <w:pPr>
        <w:pStyle w:val="Heading4"/>
      </w:pPr>
      <w:r w:rsidRPr="00346B65">
        <w:t xml:space="preserve">Testes </w:t>
      </w:r>
      <w:r w:rsidR="00951B0B">
        <w:t xml:space="preserve">ARCH-LM para equações </w:t>
      </w:r>
      <m:oMath>
        <m:r>
          <m:rPr>
            <m:sty m:val="bi"/>
          </m:rPr>
          <w:rPr>
            <w:rFonts w:ascii="Cambria Math" w:hAnsi="Cambria Math"/>
          </w:rPr>
          <m:t>(12)</m:t>
        </m:r>
      </m:oMath>
      <w:r w:rsidR="00F047D8">
        <w:t xml:space="preserve"> e </w:t>
      </w:r>
      <m:oMath>
        <m:r>
          <m:rPr>
            <m:sty m:val="bi"/>
          </m:rPr>
          <w:rPr>
            <w:rFonts w:ascii="Cambria Math" w:hAnsi="Cambria Math"/>
          </w:rPr>
          <m:t>(13)</m:t>
        </m:r>
      </m:oMath>
    </w:p>
    <w:p w:rsidR="00F047D8" w:rsidRPr="00F047D8" w:rsidRDefault="00F047D8" w:rsidP="00F047D8"/>
    <w:p w:rsidR="00F047D8" w:rsidRPr="00F047D8" w:rsidRDefault="002805D1" w:rsidP="00F047D8">
      <w:r w:rsidRPr="002805D1">
        <w:rPr>
          <w:noProof/>
          <w:lang w:eastAsia="pt-BR"/>
        </w:rPr>
        <w:drawing>
          <wp:inline distT="0" distB="0" distL="0" distR="0">
            <wp:extent cx="5400040" cy="589940"/>
            <wp:effectExtent l="19050" t="0" r="0" b="0"/>
            <wp:docPr id="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400040" cy="589940"/>
                    </a:xfrm>
                    <a:prstGeom prst="rect">
                      <a:avLst/>
                    </a:prstGeom>
                    <a:noFill/>
                    <a:ln w="9525">
                      <a:noFill/>
                      <a:miter lim="800000"/>
                      <a:headEnd/>
                      <a:tailEnd/>
                    </a:ln>
                  </pic:spPr>
                </pic:pic>
              </a:graphicData>
            </a:graphic>
          </wp:inline>
        </w:drawing>
      </w:r>
    </w:p>
    <w:p w:rsidR="00F047D8" w:rsidRDefault="00346B65" w:rsidP="00F047D8">
      <w:pPr>
        <w:pStyle w:val="Heading3"/>
      </w:pPr>
      <w:r w:rsidRPr="00346B65">
        <w:lastRenderedPageBreak/>
        <w:t>Vari</w:t>
      </w:r>
      <w:r w:rsidR="00CB26AB">
        <w:t>â</w:t>
      </w:r>
      <w:r w:rsidRPr="00346B65">
        <w:t>ncia</w:t>
      </w:r>
      <w:r w:rsidR="00C012F7">
        <w:t>s Condicionais</w:t>
      </w:r>
      <w:r w:rsidRPr="00346B65">
        <w:t xml:space="preserve"> do GARCH(1,1)</w:t>
      </w:r>
      <w:r w:rsidR="00856A6D">
        <w:t xml:space="preserve"> das equações </w:t>
      </w:r>
      <m:oMath>
        <m:r>
          <m:rPr>
            <m:sty m:val="bi"/>
          </m:rPr>
          <w:rPr>
            <w:rFonts w:ascii="Cambria Math" w:hAnsi="Cambria Math"/>
          </w:rPr>
          <m:t>(12)</m:t>
        </m:r>
      </m:oMath>
      <w:r w:rsidR="00F047D8">
        <w:t xml:space="preserve"> e </w:t>
      </w:r>
      <m:oMath>
        <m:r>
          <m:rPr>
            <m:sty m:val="bi"/>
          </m:rPr>
          <w:rPr>
            <w:rFonts w:ascii="Cambria Math" w:hAnsi="Cambria Math"/>
          </w:rPr>
          <m:t>(13)</m:t>
        </m:r>
      </m:oMath>
    </w:p>
    <w:p w:rsidR="00E3165A" w:rsidRDefault="003734C3" w:rsidP="0000552C">
      <w:pPr>
        <w:pStyle w:val="Heading3"/>
        <w:numPr>
          <w:ilvl w:val="0"/>
          <w:numId w:val="0"/>
        </w:numPr>
        <w:ind w:left="357"/>
      </w:pPr>
      <w:r>
        <w:rPr>
          <w:noProof/>
          <w:lang w:eastAsia="pt-BR"/>
        </w:rPr>
        <w:drawing>
          <wp:inline distT="0" distB="0" distL="0" distR="0">
            <wp:extent cx="2542292" cy="1548000"/>
            <wp:effectExtent l="19050" t="0" r="0" b="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2542292" cy="1548000"/>
                    </a:xfrm>
                    <a:prstGeom prst="rect">
                      <a:avLst/>
                    </a:prstGeom>
                    <a:noFill/>
                    <a:ln w="9525">
                      <a:noFill/>
                      <a:miter lim="800000"/>
                      <a:headEnd/>
                      <a:tailEnd/>
                    </a:ln>
                  </pic:spPr>
                </pic:pic>
              </a:graphicData>
            </a:graphic>
          </wp:inline>
        </w:drawing>
      </w:r>
      <w:r>
        <w:rPr>
          <w:noProof/>
          <w:lang w:eastAsia="pt-BR"/>
        </w:rPr>
        <w:drawing>
          <wp:inline distT="0" distB="0" distL="0" distR="0">
            <wp:extent cx="2537993" cy="154800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537993" cy="1548000"/>
                    </a:xfrm>
                    <a:prstGeom prst="rect">
                      <a:avLst/>
                    </a:prstGeom>
                    <a:noFill/>
                    <a:ln w="9525">
                      <a:noFill/>
                      <a:miter lim="800000"/>
                      <a:headEnd/>
                      <a:tailEnd/>
                    </a:ln>
                  </pic:spPr>
                </pic:pic>
              </a:graphicData>
            </a:graphic>
          </wp:inline>
        </w:drawing>
      </w:r>
    </w:p>
    <w:p w:rsidR="00346B65" w:rsidRPr="0000552C" w:rsidRDefault="0000552C" w:rsidP="00DA1463">
      <w:r>
        <w:tab/>
      </w:r>
      <w:r w:rsidR="00980CAD" w:rsidRPr="00980CAD">
        <w:t xml:space="preserve">Assim, estimando o modelo GARCH(1,1) que corrige os problemas nos resíduos da regressão simples obtivemos também parâmetros muito próximos de zero </w:t>
      </w:r>
      <w:r w:rsidR="00E3165A" w:rsidRPr="00980CAD">
        <w:t>para a constante, (</w:t>
      </w:r>
      <m:oMath>
        <m:r>
          <w:rPr>
            <w:rFonts w:ascii="Cambria Math" w:hAnsi="Cambria Math"/>
          </w:rPr>
          <m:t>α=-0.0015</m:t>
        </m:r>
      </m:oMath>
      <w:r w:rsidR="00980CAD" w:rsidRPr="00980CAD">
        <w:t xml:space="preserve"> e</w:t>
      </w:r>
      <m:oMath>
        <m:r>
          <w:rPr>
            <w:rFonts w:ascii="Cambria Math" w:hAnsi="Cambria Math"/>
          </w:rPr>
          <m:t xml:space="preserve"> α=0.0009</m:t>
        </m:r>
      </m:oMath>
      <w:r w:rsidR="00980CAD" w:rsidRPr="00980CAD">
        <w:t xml:space="preserve"> ) </w:t>
      </w:r>
      <w:r w:rsidR="00E3165A" w:rsidRPr="00980CAD">
        <w:t>, e</w:t>
      </w:r>
      <w:r w:rsidR="00980CAD" w:rsidRPr="00980CAD">
        <w:t xml:space="preserve"> valores </w:t>
      </w:r>
      <w:r w:rsidR="00FB7ABC">
        <w:t xml:space="preserve">estatisticamente iguais a </w:t>
      </w:r>
      <w:r w:rsidR="00980CAD" w:rsidRPr="00980CAD">
        <w:t>1para</w:t>
      </w:r>
      <w:r w:rsidR="00E3165A" w:rsidRPr="00980CAD">
        <w:t xml:space="preserve"> parâmetro </w:t>
      </w:r>
      <w:r w:rsidR="00E3165A" w:rsidRPr="00980CAD">
        <w:rPr>
          <w:rStyle w:val="Emphasis"/>
        </w:rPr>
        <w:t>β</w:t>
      </w:r>
      <w:r w:rsidR="00980CAD" w:rsidRPr="00980CAD">
        <w:t>(</w:t>
      </w:r>
      <m:oMath>
        <m:r>
          <w:rPr>
            <w:rFonts w:ascii="Cambria Math" w:hAnsi="Cambria Math"/>
          </w:rPr>
          <m:t>β=1.0161</m:t>
        </m:r>
      </m:oMath>
      <w:r w:rsidR="00980CAD" w:rsidRPr="00980CAD">
        <w:t xml:space="preserve">e </w:t>
      </w:r>
      <m:oMath>
        <m:r>
          <w:rPr>
            <w:rFonts w:ascii="Cambria Math" w:hAnsi="Cambria Math"/>
          </w:rPr>
          <m:t>β=1.0188</m:t>
        </m:r>
      </m:oMath>
      <w:r w:rsidR="00980CAD" w:rsidRPr="00980CAD">
        <w:rPr>
          <w:rFonts w:eastAsiaTheme="minorEastAsia"/>
        </w:rPr>
        <w:t>)</w:t>
      </w:r>
      <w:r w:rsidR="00FB7ABC">
        <w:rPr>
          <w:rStyle w:val="FootnoteReference"/>
          <w:rFonts w:eastAsiaTheme="minorEastAsia"/>
        </w:rPr>
        <w:footnoteReference w:id="31"/>
      </w:r>
      <w:r w:rsidR="00E3165A" w:rsidRPr="00980CAD">
        <w:t>,</w:t>
      </w:r>
      <w:r w:rsidR="00615496">
        <w:rPr>
          <w:i/>
        </w:rPr>
        <w:t xml:space="preserve">para os diferenciais de juros medidos pelo </w:t>
      </w:r>
      <w:r w:rsidR="00615496">
        <w:t xml:space="preserve">FRA de cupom </w:t>
      </w:r>
      <w:r w:rsidR="00615496" w:rsidRPr="00980CAD">
        <w:t>cambial</w:t>
      </w:r>
      <w:r w:rsidR="00615496">
        <w:t xml:space="preserve"> e pela </w:t>
      </w:r>
      <w:r w:rsidR="00271C13">
        <w:rPr>
          <w:i/>
        </w:rPr>
        <w:t>li</w:t>
      </w:r>
      <w:r w:rsidR="00615496" w:rsidRPr="00F52841">
        <w:rPr>
          <w:i/>
        </w:rPr>
        <w:t>bor</w:t>
      </w:r>
      <w:r w:rsidR="00615496">
        <w:rPr>
          <w:i/>
        </w:rPr>
        <w:t xml:space="preserve"> 6m</w:t>
      </w:r>
      <w:r w:rsidR="00615496" w:rsidRPr="00F52841">
        <w:rPr>
          <w:i/>
        </w:rPr>
        <w:t xml:space="preserve"> + </w:t>
      </w:r>
      <w:r w:rsidR="00615496">
        <w:rPr>
          <w:i/>
        </w:rPr>
        <w:t xml:space="preserve">EMBI+, respectivamente. </w:t>
      </w:r>
      <w:r w:rsidR="00615496" w:rsidRPr="00615496">
        <w:t>Além disso, obtivemos r</w:t>
      </w:r>
      <w:r w:rsidR="00E3165A" w:rsidRPr="00615496">
        <w:t>esíduos</w:t>
      </w:r>
      <w:r w:rsidR="00980CAD" w:rsidRPr="00615496">
        <w:t xml:space="preserve"> razoavelmente bem comportados</w:t>
      </w:r>
      <w:r w:rsidR="00980CAD" w:rsidRPr="00980CAD">
        <w:t xml:space="preserve">. </w:t>
      </w:r>
      <w:r w:rsidR="00E3165A" w:rsidRPr="00980CAD">
        <w:t xml:space="preserve">Os resultados indicam </w:t>
      </w:r>
      <w:r w:rsidR="00980CAD" w:rsidRPr="00980CAD">
        <w:t>assim uma</w:t>
      </w:r>
      <w:r w:rsidR="00E3165A" w:rsidRPr="00980CAD">
        <w:t xml:space="preserve"> boa explicação para a </w:t>
      </w:r>
      <w:r w:rsidR="00980CAD" w:rsidRPr="00980CAD">
        <w:t xml:space="preserve">validade da relação da </w:t>
      </w:r>
      <w:r w:rsidR="00E3165A" w:rsidRPr="00980CAD">
        <w:t>paridade coberta de juros no Brasil.</w:t>
      </w:r>
    </w:p>
    <w:p w:rsidR="00E3165A" w:rsidRPr="00374BE7" w:rsidRDefault="00E3165A" w:rsidP="00374BE7">
      <w:pPr>
        <w:pStyle w:val="Heading2"/>
      </w:pPr>
      <w:r w:rsidRPr="00374BE7">
        <w:t>Conclusão</w:t>
      </w:r>
    </w:p>
    <w:p w:rsidR="00615496" w:rsidRDefault="00615496" w:rsidP="00615496">
      <w:pPr>
        <w:ind w:firstLine="708"/>
      </w:pPr>
      <w:r>
        <w:t>O teorema da paridade coberta encontra sólido respaldo empírico na literatura internacional, entre diferentes países e períodos. No Brasil, entretanto, não existem muitos trabalhos empíricos sobre o tema, e a maioria não comprova a validade empírica do teorema.Dessa forma, esse artigo buscou contribuir para este debate ao testar a validade do teorema da paridade coberta de juros para a economia brasileira entre os anos de 2008 e 20</w:t>
      </w:r>
      <w:r w:rsidRPr="00271C13">
        <w:t>1</w:t>
      </w:r>
      <w:r w:rsidR="00271C13" w:rsidRPr="00271C13">
        <w:t>3</w:t>
      </w:r>
      <w:r w:rsidRPr="004157F5">
        <w:t xml:space="preserve">Em especial, destacamos o valor encontrado para a constante, de </w:t>
      </w:r>
      <m:oMath>
        <m:r>
          <w:rPr>
            <w:rFonts w:ascii="Cambria Math" w:hAnsi="Cambria Math"/>
          </w:rPr>
          <m:t>α</m:t>
        </m:r>
      </m:oMath>
      <w:r w:rsidR="004157F5" w:rsidRPr="004157F5">
        <w:t xml:space="preserve">muito próximo de </w:t>
      </w:r>
      <w:r w:rsidRPr="004157F5">
        <w:t xml:space="preserve">zero e do parâmetro </w:t>
      </w:r>
      <w:r w:rsidRPr="004157F5">
        <w:rPr>
          <w:rStyle w:val="Emphasis"/>
        </w:rPr>
        <w:t>β</w:t>
      </w:r>
      <w:r w:rsidR="002F7305">
        <w:rPr>
          <w:rStyle w:val="Emphasis"/>
        </w:rPr>
        <w:t xml:space="preserve"> </w:t>
      </w:r>
      <w:r w:rsidR="00FB7ABC">
        <w:t xml:space="preserve">estatisticamente igual à </w:t>
      </w:r>
      <w:r w:rsidR="004157F5" w:rsidRPr="004157F5">
        <w:t xml:space="preserve"> unidade</w:t>
      </w:r>
      <w:r w:rsidR="004157F5">
        <w:t xml:space="preserve">. Assim,mesmo utilizando </w:t>
      </w:r>
      <w:r w:rsidR="004157F5" w:rsidRPr="00980CAD">
        <w:rPr>
          <w:i/>
        </w:rPr>
        <w:t>proxies</w:t>
      </w:r>
      <w:r w:rsidR="004157F5">
        <w:t xml:space="preserve">para as variáveis e construindo as séries com um período relativamente longo, de aproximadamente seis meses para cada contrato, os modelos estimados parecem sustentar a validade da paridade coberta de juros no Brasil entre 2008 </w:t>
      </w:r>
      <w:r w:rsidR="004157F5" w:rsidRPr="00271C13">
        <w:t>e 2013.</w:t>
      </w:r>
    </w:p>
    <w:p w:rsidR="00346B65" w:rsidRDefault="004157F5" w:rsidP="00615496">
      <w:pPr>
        <w:ind w:firstLine="708"/>
      </w:pPr>
      <w:r>
        <w:t xml:space="preserve">Uma segunda contribuição deste artigo é quanto à importância de se utilizar as variáveis de juros compatíveis no cálculo da CIP, isto é, com taxas de juros cujos </w:t>
      </w:r>
      <w:r w:rsidRPr="005E0E24">
        <w:t xml:space="preserve">títulos tenham </w:t>
      </w:r>
      <w:r>
        <w:t xml:space="preserve">as </w:t>
      </w:r>
      <w:r w:rsidRPr="005E0E24">
        <w:t>mesma</w:t>
      </w:r>
      <w:r>
        <w:t>s</w:t>
      </w:r>
      <w:r w:rsidRPr="005E0E24">
        <w:t xml:space="preserve"> característica</w:t>
      </w:r>
      <w:r>
        <w:t xml:space="preserve">s: taxas de fato utilizadas pelos participantes do mercado financeiro, </w:t>
      </w:r>
      <w:r w:rsidRPr="005E0E24">
        <w:t>que os agentes efetivamente consigam tomar emprestado em uma e investir na outra</w:t>
      </w:r>
      <w:r>
        <w:t>. Essa importância não é levada em consideração por parte da (já escassa) literatura empírica brasileira sobre o assunto, que, com frequência faz comparação entre taxas de juros com características muito diferentes, levando a enganosa conclusão de uma falha na CIP atribuída a uma suposta limitada mobilidade de capitais no Brasil.</w:t>
      </w:r>
    </w:p>
    <w:p w:rsidR="00D50CDD" w:rsidRDefault="00346B65" w:rsidP="007633F5">
      <w:r>
        <w:tab/>
      </w:r>
      <w:r w:rsidR="007633F5">
        <w:t>Assi</w:t>
      </w:r>
      <w:r w:rsidR="00376CDF">
        <w:t>m</w:t>
      </w:r>
      <w:r w:rsidR="007633F5">
        <w:t xml:space="preserve">, foi </w:t>
      </w:r>
      <w:r w:rsidR="00EE013D">
        <w:t xml:space="preserve">possível verificar </w:t>
      </w:r>
      <w:r w:rsidR="00105BA1">
        <w:t>econometricamente</w:t>
      </w:r>
      <w:r w:rsidR="002F7305">
        <w:t xml:space="preserve"> </w:t>
      </w:r>
      <w:r w:rsidR="00EE013D">
        <w:t xml:space="preserve">que o </w:t>
      </w:r>
      <w:r w:rsidR="00C33BE3">
        <w:rPr>
          <w:i/>
        </w:rPr>
        <w:t>EMBI+</w:t>
      </w:r>
      <w:r w:rsidR="00EE013D">
        <w:t xml:space="preserve"> é uma variável explicativa na relação de paridade e deve ser levada em consideração, </w:t>
      </w:r>
      <w:r w:rsidR="00531CFB">
        <w:t>e justifica-se economicamente pelo fato de</w:t>
      </w:r>
      <w:r w:rsidR="00D50CDD">
        <w:t>reflet</w:t>
      </w:r>
      <w:r w:rsidR="00531CFB">
        <w:t>ir</w:t>
      </w:r>
      <w:r w:rsidR="00D50CDD">
        <w:t xml:space="preserve"> o </w:t>
      </w:r>
      <w:r w:rsidR="00D50CDD" w:rsidRPr="007633F5">
        <w:rPr>
          <w:i/>
        </w:rPr>
        <w:t>spread</w:t>
      </w:r>
      <w:r w:rsidR="00D50CDD">
        <w:t xml:space="preserve"> que agentes nacionais pagam para tomar emprestado em moeda estrangeira. Neste sentido</w:t>
      </w:r>
      <w:r w:rsidR="00105BA1">
        <w:t>,</w:t>
      </w:r>
      <w:r w:rsidR="00D50CDD">
        <w:t xml:space="preserve"> a taxa externa dada pela </w:t>
      </w:r>
      <w:r w:rsidR="002805D1">
        <w:rPr>
          <w:i/>
        </w:rPr>
        <w:t>libor</w:t>
      </w:r>
      <w:r w:rsidR="00105BA1">
        <w:t xml:space="preserve"> acrescida d</w:t>
      </w:r>
      <w:r w:rsidR="00D50CDD">
        <w:t xml:space="preserve">o </w:t>
      </w:r>
      <w:r w:rsidR="00C33BE3">
        <w:rPr>
          <w:rStyle w:val="Emphasis"/>
        </w:rPr>
        <w:t>EMBI+</w:t>
      </w:r>
      <w:r w:rsidR="00D50CDD">
        <w:t xml:space="preserve"> nacional é um indicativo do custo efetivo de tomar crédito de bancos e empresas brasileiras em dólar</w:t>
      </w:r>
      <w:r w:rsidR="007633F5">
        <w:t>,</w:t>
      </w:r>
      <w:r w:rsidR="00D50CDD">
        <w:t xml:space="preserve"> e por isso </w:t>
      </w:r>
      <w:r w:rsidR="007633F5">
        <w:t xml:space="preserve">deve ser levado em conta para estimar </w:t>
      </w:r>
      <w:r w:rsidR="00D50CDD">
        <w:t xml:space="preserve">a CIP. </w:t>
      </w:r>
    </w:p>
    <w:p w:rsidR="00346B65" w:rsidRDefault="00346B65" w:rsidP="00016337">
      <w:r>
        <w:tab/>
      </w:r>
      <w:r w:rsidR="007633F5">
        <w:t>Um último resultado corrobora uma conclusão de Skinner e Mason (2011), de que é difícil encontrar resultados de validade da paridade coberta para países emergentes quando os contratos utilizados são de prazos mais longos. Nossos</w:t>
      </w:r>
      <w:r>
        <w:t xml:space="preserve"> testes e gráficos da cointegração </w:t>
      </w:r>
      <w:r w:rsidR="007633F5">
        <w:t xml:space="preserve">entre as séries </w:t>
      </w:r>
      <w:r>
        <w:t xml:space="preserve">parecem indicar </w:t>
      </w:r>
      <w:r w:rsidR="00983CC5">
        <w:t xml:space="preserve">uma redução na intensidade da relação de </w:t>
      </w:r>
      <w:r w:rsidR="00983CC5">
        <w:lastRenderedPageBreak/>
        <w:t>cointegração conforme maior o prazo do contrato</w:t>
      </w:r>
      <w:r w:rsidR="007633F5">
        <w:t>,</w:t>
      </w:r>
      <w:r w:rsidR="00983CC5">
        <w:t xml:space="preserve"> e </w:t>
      </w:r>
      <w:r>
        <w:t xml:space="preserve">uma falha da </w:t>
      </w:r>
      <w:r w:rsidR="007633F5">
        <w:t xml:space="preserve">relação de paridade coberta </w:t>
      </w:r>
      <w:r>
        <w:t xml:space="preserve">no </w:t>
      </w:r>
      <w:r w:rsidR="007633F5">
        <w:t>Brasil</w:t>
      </w:r>
      <w:r>
        <w:t xml:space="preserve"> quando se utilizam taxas de câmbio futuro e de juros em um horizonte mais longo</w:t>
      </w:r>
      <w:r w:rsidR="00A50E16">
        <w:t>, muito provavelmente devido à ausência de liquidez destes contratos</w:t>
      </w:r>
      <w:r>
        <w:t>.</w:t>
      </w:r>
    </w:p>
    <w:p w:rsidR="00346B65" w:rsidRPr="00980CAD" w:rsidRDefault="00FB3DF7" w:rsidP="008727E6">
      <w:pPr>
        <w:pStyle w:val="Heading5"/>
        <w:rPr>
          <w:lang w:eastAsia="pt-BR"/>
        </w:rPr>
      </w:pPr>
      <w:r w:rsidRPr="00980CAD">
        <w:rPr>
          <w:lang w:eastAsia="pt-BR"/>
        </w:rPr>
        <w:t>ReferênciasBibliográficas</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eastAsia="pt-BR"/>
        </w:rPr>
        <w:t xml:space="preserve">BABA, Naohiko; PACKER, Frank. </w:t>
      </w:r>
      <w:r w:rsidRPr="000A37F8">
        <w:rPr>
          <w:rFonts w:eastAsia="Times New Roman" w:cs="Times New Roman"/>
          <w:szCs w:val="24"/>
          <w:lang w:val="en-US" w:eastAsia="pt-BR"/>
        </w:rPr>
        <w:t>Interpreting deviations from covered interest parity during the financial market turmoil of 2007–08. Journal of Banking &amp; Finance, v. 33, n.</w:t>
      </w:r>
    </w:p>
    <w:p w:rsidR="00383703" w:rsidRPr="000A37F8" w:rsidRDefault="00383703"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BOLLERSLEV, Tim; ENGLE, Robert F.; NELSON, Daniel B. ARCH models. Handbook of econometrics, v. 4, p. 2959-3038, 1994.</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BOULOS, Nada; SWANSON, P. Interest rate parity in times of turbulence: the issue revisited. Journal of Financial and Strategic Decisions, v. 7, n. 2, 1994.</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CAVALIERE, Giuseppe; TAYLOR, A. M. Testing for unit roots in time series models with non-stationary volatility.Journal of Econometrics, v. 140, n. 2, p. 919-947, 2007.</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CLINTON, Kevin. Transactions costs and covered interest arbitrage: theory and evidence. The Journal of Political Economy, p. 358-370, 1988.</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COFFEY, Niall; HRUNG, Warren B.; SARKAR, Asani. Capital constraints, counterparty risk, and deviations from covered interest rate parity. Staff Report, Federal Reserve Bank of New York, 2009.</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COULBOIS, Paul; PRISSERT, Pierre. Forward exchange, short term capital flows and monetary policy. De Economist, v. 122, n. 4, p. 283-308, 1974.</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COULBOIS, Paul; PRISSERT, Pierre. Forward exchange, short term capital flows and monetary policy: A reply. De Economist, v. 124, n. 4, p. 490-492, 1976.</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 xml:space="preserve">FONG, Wai-Ming; VALENTE, Giorgio; FUNG, Joseph KW.Covered interest arbitrage profits: The role of liquidity and credit risk.Journal of banking &amp; finance, v. 34, n. 5, p. 1098-1107, 2010. </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 xml:space="preserve">FRENKEL, Jacob A.; LEVICH, Richard M. Covered interest </w:t>
      </w:r>
      <w:r w:rsidR="00271C13" w:rsidRPr="000A37F8">
        <w:rPr>
          <w:rFonts w:eastAsia="Times New Roman" w:cs="Times New Roman"/>
          <w:szCs w:val="24"/>
          <w:lang w:val="en-US" w:eastAsia="pt-BR"/>
        </w:rPr>
        <w:t xml:space="preserve">arbitrage: unexploited profits? </w:t>
      </w:r>
      <w:r w:rsidRPr="000A37F8">
        <w:rPr>
          <w:rFonts w:eastAsia="Times New Roman" w:cs="Times New Roman"/>
          <w:szCs w:val="24"/>
          <w:lang w:val="en-US" w:eastAsia="pt-BR"/>
        </w:rPr>
        <w:t>The Journal of Political Economy, p. 325-338, 1975.</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FRENKEL, Jacob A.; LEVICH, Richard M. Covered interest arbitrage and unexploited profits?Reply.The Journal of Political Economy, p. 418-422, 1979.</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FRENKEL, Jacob A.; LEVICH, Richard M. Covered interest arbitrage in the 1970's.Economics Letters, v. 8, n. 3, p. 267-274, 1981.</w:t>
      </w:r>
    </w:p>
    <w:p w:rsidR="00D232C0" w:rsidRPr="004C11E6" w:rsidRDefault="00D232C0" w:rsidP="000A37F8">
      <w:pPr>
        <w:spacing w:line="276" w:lineRule="auto"/>
        <w:rPr>
          <w:rFonts w:eastAsia="Times New Roman" w:cs="Times New Roman"/>
          <w:szCs w:val="24"/>
          <w:lang w:eastAsia="pt-BR"/>
        </w:rPr>
      </w:pPr>
      <w:r w:rsidRPr="000A37F8">
        <w:rPr>
          <w:rFonts w:eastAsia="Times New Roman" w:cs="Times New Roman"/>
          <w:szCs w:val="24"/>
          <w:lang w:eastAsia="pt-BR"/>
        </w:rPr>
        <w:t xml:space="preserve">GARCIA, Márcio GP; DIDIER, Tatiana. Taxa de juros, risco cambial e risco Brasil. </w:t>
      </w:r>
      <w:r w:rsidR="00271C13" w:rsidRPr="004C11E6">
        <w:rPr>
          <w:rFonts w:eastAsia="Times New Roman" w:cs="Times New Roman"/>
          <w:szCs w:val="24"/>
          <w:lang w:eastAsia="pt-BR"/>
        </w:rPr>
        <w:t>Pesquisa e P</w:t>
      </w:r>
      <w:r w:rsidRPr="004C11E6">
        <w:rPr>
          <w:rFonts w:eastAsia="Times New Roman" w:cs="Times New Roman"/>
          <w:szCs w:val="24"/>
          <w:lang w:eastAsia="pt-BR"/>
        </w:rPr>
        <w:t>lanejamento</w:t>
      </w:r>
      <w:r w:rsidR="00271C13" w:rsidRPr="004C11E6">
        <w:rPr>
          <w:rFonts w:eastAsia="Times New Roman" w:cs="Times New Roman"/>
          <w:szCs w:val="24"/>
          <w:lang w:eastAsia="pt-BR"/>
        </w:rPr>
        <w:t>E</w:t>
      </w:r>
      <w:r w:rsidRPr="004C11E6">
        <w:rPr>
          <w:rFonts w:eastAsia="Times New Roman" w:cs="Times New Roman"/>
          <w:szCs w:val="24"/>
          <w:lang w:eastAsia="pt-BR"/>
        </w:rPr>
        <w:t>conômico, v. 33, n. 2, p. 253-297, 2003.</w:t>
      </w:r>
    </w:p>
    <w:p w:rsidR="00D232C0" w:rsidRPr="004C11E6" w:rsidRDefault="00FB3DF7" w:rsidP="000A37F8">
      <w:pPr>
        <w:spacing w:line="276" w:lineRule="auto"/>
        <w:rPr>
          <w:rFonts w:eastAsia="Times New Roman" w:cs="Times New Roman"/>
          <w:szCs w:val="24"/>
          <w:lang w:eastAsia="pt-BR"/>
        </w:rPr>
      </w:pPr>
      <w:r w:rsidRPr="004C11E6">
        <w:rPr>
          <w:rFonts w:eastAsia="Times New Roman" w:cs="Times New Roman"/>
          <w:szCs w:val="24"/>
          <w:lang w:eastAsia="pt-BR"/>
        </w:rPr>
        <w:t>GRIFFOLI, Tommaso; RANALDO, Angelo.</w:t>
      </w:r>
      <w:r w:rsidR="002F7305" w:rsidRPr="004C11E6">
        <w:rPr>
          <w:rFonts w:eastAsia="Times New Roman" w:cs="Times New Roman"/>
          <w:szCs w:val="24"/>
          <w:lang w:eastAsia="pt-BR"/>
        </w:rPr>
        <w:t xml:space="preserve"> </w:t>
      </w:r>
      <w:r w:rsidR="00D232C0" w:rsidRPr="000A37F8">
        <w:rPr>
          <w:rFonts w:eastAsia="Times New Roman" w:cs="Times New Roman"/>
          <w:szCs w:val="24"/>
          <w:lang w:val="en-US" w:eastAsia="pt-BR"/>
        </w:rPr>
        <w:t xml:space="preserve">Limits to arbitrage during the crisis: funding liquidity constraints and covered interest parity. </w:t>
      </w:r>
      <w:r w:rsidR="00D232C0" w:rsidRPr="004C11E6">
        <w:rPr>
          <w:rFonts w:eastAsia="Times New Roman" w:cs="Times New Roman"/>
          <w:szCs w:val="24"/>
          <w:lang w:eastAsia="pt-BR"/>
        </w:rPr>
        <w:t>Available at SSRN 1569504, 2011.</w:t>
      </w:r>
    </w:p>
    <w:p w:rsidR="00383703" w:rsidRPr="004C11E6" w:rsidRDefault="00383703" w:rsidP="000A37F8">
      <w:pPr>
        <w:spacing w:line="276" w:lineRule="auto"/>
        <w:rPr>
          <w:rFonts w:eastAsia="Times New Roman" w:cs="Times New Roman"/>
          <w:szCs w:val="24"/>
          <w:lang w:val="en-US" w:eastAsia="pt-BR"/>
        </w:rPr>
      </w:pPr>
      <w:r w:rsidRPr="000A37F8">
        <w:rPr>
          <w:rFonts w:eastAsia="Times New Roman" w:cs="Times New Roman"/>
          <w:szCs w:val="24"/>
          <w:lang w:eastAsia="pt-BR"/>
        </w:rPr>
        <w:t xml:space="preserve">HECK, Sylvio KT; GARCIA, Márcio Gomes P. Previsibilidade do Prêmio de Risco Cambial. </w:t>
      </w:r>
      <w:r w:rsidRPr="004C11E6">
        <w:rPr>
          <w:rFonts w:eastAsia="Times New Roman" w:cs="Times New Roman"/>
          <w:szCs w:val="24"/>
          <w:lang w:val="en-US" w:eastAsia="pt-BR"/>
        </w:rPr>
        <w:t>2005.</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KEYNES, John Maynard. A tract on monetary reform.192</w:t>
      </w:r>
      <w:r w:rsidR="002F7305" w:rsidRPr="000A37F8">
        <w:rPr>
          <w:rFonts w:eastAsia="Times New Roman" w:cs="Times New Roman"/>
          <w:szCs w:val="24"/>
          <w:lang w:val="en-US" w:eastAsia="pt-BR"/>
        </w:rPr>
        <w:t>3</w:t>
      </w:r>
      <w:r w:rsidRPr="000A37F8">
        <w:rPr>
          <w:rFonts w:eastAsia="Times New Roman" w:cs="Times New Roman"/>
          <w:szCs w:val="24"/>
          <w:lang w:val="en-US" w:eastAsia="pt-BR"/>
        </w:rPr>
        <w:t>.</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LAVOIE, Marc. A Post Keynesian view of interest parity theorems.Journal of Post Keynesian Economics, p. 163-179, 2000.</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 xml:space="preserve">LAVOIE, Marc. Interest parity, risk </w:t>
      </w:r>
      <w:r w:rsidRPr="000A37F8">
        <w:rPr>
          <w:rFonts w:eastAsia="Times New Roman" w:cs="Times New Roman"/>
          <w:i/>
          <w:szCs w:val="24"/>
          <w:lang w:val="en-US" w:eastAsia="pt-BR"/>
        </w:rPr>
        <w:t>premia</w:t>
      </w:r>
      <w:r w:rsidRPr="000A37F8">
        <w:rPr>
          <w:rFonts w:eastAsia="Times New Roman" w:cs="Times New Roman"/>
          <w:szCs w:val="24"/>
          <w:lang w:val="en-US" w:eastAsia="pt-BR"/>
        </w:rPr>
        <w:t>, and Post Keynesian analysis.Journal of Post Keynesian Economics, v. 25, n. 2, p. 237-250, 2003.</w:t>
      </w:r>
    </w:p>
    <w:p w:rsidR="0011087C" w:rsidRPr="000A37F8" w:rsidRDefault="007633F5"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 xml:space="preserve">McCALLUM, Bennett. International monetary economics. OUP Catalogue, 1996. </w:t>
      </w:r>
    </w:p>
    <w:p w:rsidR="00D232C0" w:rsidRPr="000A37F8" w:rsidRDefault="007633F5"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lastRenderedPageBreak/>
        <w:t>Mc</w:t>
      </w:r>
      <w:r w:rsidR="00D232C0" w:rsidRPr="000A37F8">
        <w:rPr>
          <w:rFonts w:eastAsia="Times New Roman" w:cs="Times New Roman"/>
          <w:szCs w:val="24"/>
          <w:lang w:val="en-US" w:eastAsia="pt-BR"/>
        </w:rPr>
        <w:t>CORMICK, Frank. Covered interest arbitrage: Unexploited profits? Comment</w:t>
      </w:r>
      <w:r w:rsidR="00271C13" w:rsidRPr="000A37F8">
        <w:rPr>
          <w:rFonts w:eastAsia="Times New Roman" w:cs="Times New Roman"/>
          <w:szCs w:val="24"/>
          <w:lang w:val="en-US" w:eastAsia="pt-BR"/>
        </w:rPr>
        <w:t xml:space="preserve">. </w:t>
      </w:r>
      <w:r w:rsidR="00D232C0" w:rsidRPr="000A37F8">
        <w:rPr>
          <w:rFonts w:eastAsia="Times New Roman" w:cs="Times New Roman"/>
          <w:szCs w:val="24"/>
          <w:lang w:val="en-US" w:eastAsia="pt-BR"/>
        </w:rPr>
        <w:t>The Journal of Political Economy, p. 411-417, 1979.</w:t>
      </w:r>
    </w:p>
    <w:p w:rsidR="00D232C0" w:rsidRPr="000A37F8" w:rsidRDefault="00D232C0" w:rsidP="000A37F8">
      <w:pPr>
        <w:spacing w:line="276" w:lineRule="auto"/>
        <w:rPr>
          <w:rFonts w:eastAsia="Times New Roman" w:cs="Times New Roman"/>
          <w:szCs w:val="24"/>
          <w:lang w:val="en-US" w:eastAsia="pt-BR"/>
        </w:rPr>
      </w:pPr>
      <w:r w:rsidRPr="004C11E6">
        <w:rPr>
          <w:rFonts w:eastAsia="Times New Roman" w:cs="Times New Roman"/>
          <w:szCs w:val="24"/>
          <w:lang w:val="en-US" w:eastAsia="pt-BR"/>
        </w:rPr>
        <w:t xml:space="preserve">MIGUEL, Paulo Pereira. </w:t>
      </w:r>
      <w:r w:rsidRPr="000A37F8">
        <w:rPr>
          <w:rFonts w:eastAsia="Times New Roman" w:cs="Times New Roman"/>
          <w:szCs w:val="24"/>
          <w:lang w:eastAsia="pt-BR"/>
        </w:rPr>
        <w:t xml:space="preserve">Paridade de juros, fluxo de capitais e eficiência do mercado de câmbio no Brasil: Evidência dos anos 90. </w:t>
      </w:r>
      <w:r w:rsidRPr="000A37F8">
        <w:rPr>
          <w:rFonts w:eastAsia="Times New Roman" w:cs="Times New Roman"/>
          <w:szCs w:val="24"/>
          <w:lang w:val="en-US" w:eastAsia="pt-BR"/>
        </w:rPr>
        <w:t>BNDES, 2001.</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MOOSA, Imad A. An empirical examination of the Post Keynesian view of forward exchange rates.Journal of Post Keynesian Economics, v. 26, n. 3, p. 395-418, 2004.</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 xml:space="preserve">PEEL, David; TAYLOR, Mark P. Covered interest rate arbitrage in the interwar period and the Keynes-Einzigconjecture.Journal of Money, Credit, and Banking, v. 34, n. 1, p. 51-75, 2002. </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PHILLIPS, Peter CB; OULIARIS, Sam.Asymptotic properties of residual based tests for cointegration.Econometrica: Journal of the Econometric Society, p. 165-193, 1990.</w:t>
      </w:r>
    </w:p>
    <w:p w:rsidR="00CF114C" w:rsidRPr="000A37F8" w:rsidRDefault="00CF114C" w:rsidP="000A37F8">
      <w:pPr>
        <w:spacing w:line="276" w:lineRule="auto"/>
        <w:rPr>
          <w:rFonts w:eastAsia="Times New Roman" w:cs="Times New Roman"/>
          <w:szCs w:val="24"/>
          <w:lang w:eastAsia="pt-BR"/>
        </w:rPr>
      </w:pPr>
      <w:r w:rsidRPr="000A37F8">
        <w:rPr>
          <w:rFonts w:eastAsia="Times New Roman" w:cs="Times New Roman"/>
          <w:szCs w:val="24"/>
          <w:lang w:eastAsia="pt-BR"/>
        </w:rPr>
        <w:t>PINHEIRO, Felipe; ALMEIDA, C. I.; VICENTE, José. Um modelo de fatores latentes com variáveis macroeconômicas para a curva de cupom cambial. Revista Brasileira de Finanças, v. 5, n. 1, p. 79-92, 2007.</w:t>
      </w:r>
    </w:p>
    <w:p w:rsidR="00D232C0" w:rsidRPr="004C11E6" w:rsidRDefault="000A37F8" w:rsidP="000A37F8">
      <w:pPr>
        <w:spacing w:line="276" w:lineRule="auto"/>
        <w:rPr>
          <w:rFonts w:eastAsia="Times New Roman" w:cs="Times New Roman"/>
          <w:szCs w:val="24"/>
          <w:lang w:val="en-US" w:eastAsia="pt-BR"/>
        </w:rPr>
      </w:pPr>
      <w:r>
        <w:rPr>
          <w:rFonts w:eastAsia="Times New Roman" w:cs="Times New Roman"/>
          <w:szCs w:val="24"/>
          <w:lang w:eastAsia="pt-BR"/>
        </w:rPr>
        <w:t>SILVA, S.; TRICHES, D.</w:t>
      </w:r>
      <w:r w:rsidR="00D232C0" w:rsidRPr="000A37F8">
        <w:rPr>
          <w:rFonts w:eastAsia="Times New Roman" w:cs="Times New Roman"/>
          <w:szCs w:val="24"/>
          <w:lang w:eastAsia="pt-BR"/>
        </w:rPr>
        <w:t>; HIL</w:t>
      </w:r>
      <w:r>
        <w:rPr>
          <w:rFonts w:eastAsia="Times New Roman" w:cs="Times New Roman"/>
          <w:szCs w:val="24"/>
          <w:lang w:eastAsia="pt-BR"/>
        </w:rPr>
        <w:t>LBRECHT, R</w:t>
      </w:r>
      <w:r w:rsidR="00D232C0" w:rsidRPr="000A37F8">
        <w:rPr>
          <w:rFonts w:eastAsia="Times New Roman" w:cs="Times New Roman"/>
          <w:szCs w:val="24"/>
          <w:lang w:eastAsia="pt-BR"/>
        </w:rPr>
        <w:t xml:space="preserve">. Investigação da mobilidade de capitais da Paridade coberta de juros com modelos de parâmetros fixos e variáveis. </w:t>
      </w:r>
      <w:r w:rsidR="00271C13" w:rsidRPr="004C11E6">
        <w:rPr>
          <w:rFonts w:eastAsia="Times New Roman" w:cs="Times New Roman"/>
          <w:szCs w:val="24"/>
          <w:lang w:val="en-US" w:eastAsia="pt-BR"/>
        </w:rPr>
        <w:t>EconomiA</w:t>
      </w:r>
      <w:r w:rsidR="00D232C0" w:rsidRPr="004C11E6">
        <w:rPr>
          <w:rFonts w:eastAsia="Times New Roman" w:cs="Times New Roman"/>
          <w:szCs w:val="24"/>
          <w:lang w:val="en-US" w:eastAsia="pt-BR"/>
        </w:rPr>
        <w:t>, v. 10, n. 3, 2009.</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SKINNER, Frank S.; MASON, Andrew.Covered interest rate parity in emerging markets.International Review of Financial Analysis, v. 20, n. 5, p. 355-363, 2011.</w:t>
      </w:r>
    </w:p>
    <w:p w:rsidR="00D232C0" w:rsidRPr="000A37F8" w:rsidRDefault="000A37F8" w:rsidP="000A37F8">
      <w:pPr>
        <w:spacing w:line="276" w:lineRule="auto"/>
        <w:rPr>
          <w:rFonts w:eastAsia="Times New Roman" w:cs="Times New Roman"/>
          <w:szCs w:val="24"/>
          <w:lang w:val="en-US" w:eastAsia="pt-BR"/>
        </w:rPr>
      </w:pPr>
      <w:r>
        <w:rPr>
          <w:rFonts w:eastAsia="Times New Roman" w:cs="Times New Roman"/>
          <w:szCs w:val="24"/>
          <w:lang w:val="en-US" w:eastAsia="pt-BR"/>
        </w:rPr>
        <w:t>SMITHIN, J</w:t>
      </w:r>
      <w:r w:rsidR="00D232C0" w:rsidRPr="000A37F8">
        <w:rPr>
          <w:rFonts w:eastAsia="Times New Roman" w:cs="Times New Roman"/>
          <w:szCs w:val="24"/>
          <w:lang w:val="en-US" w:eastAsia="pt-BR"/>
        </w:rPr>
        <w:t xml:space="preserve">. Interest parity, purchasing power parity," risk </w:t>
      </w:r>
      <w:r w:rsidR="00D232C0" w:rsidRPr="000A37F8">
        <w:rPr>
          <w:rFonts w:eastAsia="Times New Roman" w:cs="Times New Roman"/>
          <w:i/>
          <w:szCs w:val="24"/>
          <w:lang w:val="en-US" w:eastAsia="pt-BR"/>
        </w:rPr>
        <w:t>premia</w:t>
      </w:r>
      <w:r w:rsidR="00D232C0" w:rsidRPr="000A37F8">
        <w:rPr>
          <w:rFonts w:eastAsia="Times New Roman" w:cs="Times New Roman"/>
          <w:szCs w:val="24"/>
          <w:lang w:val="en-US" w:eastAsia="pt-BR"/>
        </w:rPr>
        <w:t>," and Post Keynesian economic analysis. Journal of Post Keynesian Economics, v. 25, n. 2, p. 219-236, 2003.</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SPRAOS, John. The theory of forward exchange and recent practice.The Manchester School, v. 21, n. 2, p. 87-117, 1953.</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TAYLOR, Mark P. Covered interest parity: a high-frequency, high-quality data study. Economica, p. 429-438, 1987.</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TAYLOR, Mark P. Covered interest arbitrage and market turbulence.The Economic Journal, p. 376-391, 1989.</w:t>
      </w:r>
    </w:p>
    <w:p w:rsidR="000A37F8"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eastAsia="pt-BR"/>
        </w:rPr>
        <w:t>TOLEDO, J</w:t>
      </w:r>
      <w:r w:rsidR="00D3524A" w:rsidRPr="000A37F8">
        <w:rPr>
          <w:rFonts w:eastAsia="Times New Roman" w:cs="Times New Roman"/>
          <w:szCs w:val="24"/>
          <w:lang w:eastAsia="pt-BR"/>
        </w:rPr>
        <w:t>oaquim</w:t>
      </w:r>
      <w:r w:rsidRPr="000A37F8">
        <w:rPr>
          <w:rFonts w:eastAsia="Times New Roman" w:cs="Times New Roman"/>
          <w:szCs w:val="24"/>
          <w:lang w:eastAsia="pt-BR"/>
        </w:rPr>
        <w:t xml:space="preserve"> E</w:t>
      </w:r>
      <w:r w:rsidR="00D3524A" w:rsidRPr="000A37F8">
        <w:rPr>
          <w:rFonts w:eastAsia="Times New Roman" w:cs="Times New Roman"/>
          <w:szCs w:val="24"/>
          <w:lang w:eastAsia="pt-BR"/>
        </w:rPr>
        <w:t>lói</w:t>
      </w:r>
      <w:r w:rsidRPr="000A37F8">
        <w:rPr>
          <w:rFonts w:eastAsia="Times New Roman" w:cs="Times New Roman"/>
          <w:szCs w:val="24"/>
          <w:lang w:eastAsia="pt-BR"/>
        </w:rPr>
        <w:t xml:space="preserve"> C</w:t>
      </w:r>
      <w:r w:rsidR="00D3524A" w:rsidRPr="000A37F8">
        <w:rPr>
          <w:rFonts w:eastAsia="Times New Roman" w:cs="Times New Roman"/>
          <w:szCs w:val="24"/>
          <w:lang w:eastAsia="pt-BR"/>
        </w:rPr>
        <w:t>irne</w:t>
      </w:r>
      <w:r w:rsidRPr="000A37F8">
        <w:rPr>
          <w:rFonts w:eastAsia="Times New Roman" w:cs="Times New Roman"/>
          <w:szCs w:val="24"/>
          <w:lang w:eastAsia="pt-BR"/>
        </w:rPr>
        <w:t xml:space="preserve">. Risco Brasil: o efeito-Lula e os efeitos-Banco Central. </w:t>
      </w:r>
      <w:r w:rsidRPr="000A37F8">
        <w:rPr>
          <w:rFonts w:eastAsia="Times New Roman" w:cs="Times New Roman"/>
          <w:szCs w:val="24"/>
          <w:lang w:val="en-US" w:eastAsia="pt-BR"/>
        </w:rPr>
        <w:t>Revista de EconomiaPolítica, v. 22, n. 3, p. 87, 2002.</w:t>
      </w:r>
    </w:p>
    <w:p w:rsidR="00D232C0" w:rsidRPr="000A37F8" w:rsidRDefault="00D232C0" w:rsidP="000A37F8">
      <w:pPr>
        <w:spacing w:line="276" w:lineRule="auto"/>
        <w:rPr>
          <w:rFonts w:eastAsia="Times New Roman" w:cs="Times New Roman"/>
          <w:szCs w:val="24"/>
          <w:lang w:val="en-US" w:eastAsia="pt-BR"/>
        </w:rPr>
      </w:pPr>
      <w:r w:rsidRPr="000A37F8">
        <w:rPr>
          <w:rFonts w:eastAsia="Times New Roman" w:cs="Times New Roman"/>
          <w:szCs w:val="24"/>
          <w:lang w:val="en-US" w:eastAsia="pt-BR"/>
        </w:rPr>
        <w:t xml:space="preserve">TSIANG, ShoChieh. The theory of forward exchange and effects of government intervention on the forward exchange market.Staff Papers-InternationalMonetaryFund, v. 7, n. 1, p. 75-106, 1959. </w:t>
      </w:r>
    </w:p>
    <w:p w:rsidR="00E50236" w:rsidRPr="000A37F8" w:rsidRDefault="00D232C0" w:rsidP="000A37F8">
      <w:pPr>
        <w:spacing w:line="276" w:lineRule="auto"/>
        <w:rPr>
          <w:lang w:val="en-US" w:eastAsia="pt-BR"/>
        </w:rPr>
      </w:pPr>
      <w:r w:rsidRPr="000A37F8">
        <w:rPr>
          <w:rFonts w:eastAsia="Times New Roman" w:cs="Times New Roman"/>
          <w:szCs w:val="24"/>
          <w:lang w:eastAsia="pt-BR"/>
        </w:rPr>
        <w:t xml:space="preserve">VENTURA, André; GARCIA, Márcio. Mercados futuro e à vista de câmbio no Brasil: o rabo abana o cachorro. </w:t>
      </w:r>
      <w:r w:rsidRPr="000A37F8">
        <w:rPr>
          <w:rFonts w:eastAsia="Times New Roman" w:cs="Times New Roman"/>
          <w:szCs w:val="24"/>
          <w:lang w:val="en-US" w:eastAsia="pt-BR"/>
        </w:rPr>
        <w:t>RevistaBrasileira de Economia, v. 66, n. 1, p. 21-48, 2012.</w:t>
      </w:r>
    </w:p>
    <w:sectPr w:rsidR="00E50236" w:rsidRPr="000A37F8" w:rsidSect="00D01DF4">
      <w:head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00C6" w:rsidRDefault="002500C6" w:rsidP="002A3351">
      <w:r>
        <w:separator/>
      </w:r>
    </w:p>
  </w:endnote>
  <w:endnote w:type="continuationSeparator" w:id="0">
    <w:p w:rsidR="002500C6" w:rsidRDefault="002500C6" w:rsidP="002A33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00C6" w:rsidRDefault="002500C6" w:rsidP="002A3351">
      <w:r>
        <w:separator/>
      </w:r>
    </w:p>
  </w:footnote>
  <w:footnote w:type="continuationSeparator" w:id="0">
    <w:p w:rsidR="002500C6" w:rsidRDefault="002500C6" w:rsidP="002A3351">
      <w:r>
        <w:continuationSeparator/>
      </w:r>
    </w:p>
  </w:footnote>
  <w:footnote w:id="1">
    <w:p w:rsidR="00210A2B" w:rsidRDefault="00210A2B">
      <w:pPr>
        <w:pStyle w:val="FootnoteText"/>
      </w:pPr>
      <w:r>
        <w:rPr>
          <w:rStyle w:val="FootnoteReference"/>
        </w:rPr>
        <w:footnoteRef/>
      </w:r>
      <w:r>
        <w:t xml:space="preserve"> Os autores agradecem aos valiosos comentários de Pedro Rossi e Carlos Pinkusfeld Bastos</w:t>
      </w:r>
    </w:p>
  </w:footnote>
  <w:footnote w:id="2">
    <w:p w:rsidR="00210A2B" w:rsidRPr="002805D1" w:rsidRDefault="00210A2B">
      <w:pPr>
        <w:pStyle w:val="FootnoteText"/>
      </w:pPr>
      <w:r>
        <w:rPr>
          <w:rStyle w:val="FootnoteReference"/>
        </w:rPr>
        <w:footnoteRef/>
      </w:r>
      <w:r w:rsidRPr="002805D1">
        <w:t xml:space="preserve"> Mestre IE-UFRJ e b</w:t>
      </w:r>
      <w:r>
        <w:t>olsista IPEA/PNPD</w:t>
      </w:r>
    </w:p>
  </w:footnote>
  <w:footnote w:id="3">
    <w:p w:rsidR="00210A2B" w:rsidRPr="002805D1" w:rsidRDefault="00210A2B">
      <w:pPr>
        <w:pStyle w:val="FootnoteText"/>
      </w:pPr>
      <w:r>
        <w:rPr>
          <w:rStyle w:val="FootnoteReference"/>
        </w:rPr>
        <w:footnoteRef/>
      </w:r>
      <w:r w:rsidRPr="002805D1">
        <w:t xml:space="preserve"> </w:t>
      </w:r>
      <w:r>
        <w:t>Professora Associada da Faculdade de Economia da UFF</w:t>
      </w:r>
    </w:p>
  </w:footnote>
  <w:footnote w:id="4">
    <w:p w:rsidR="004C11E6" w:rsidRPr="009622EB" w:rsidRDefault="00210A2B">
      <w:pPr>
        <w:pStyle w:val="FootnoteText"/>
      </w:pPr>
      <w:r>
        <w:rPr>
          <w:rStyle w:val="FootnoteReference"/>
        </w:rPr>
        <w:footnoteRef/>
      </w:r>
      <w:r w:rsidRPr="009622EB">
        <w:t xml:space="preserve"> Professor Adjunto IE-U</w:t>
      </w:r>
      <w:r>
        <w:t>FRJ e membro do Grupo de Economia Política do IE-UFRJ</w:t>
      </w:r>
    </w:p>
  </w:footnote>
  <w:footnote w:id="5">
    <w:p w:rsidR="00210A2B" w:rsidRPr="00A27F66" w:rsidRDefault="00210A2B" w:rsidP="00AF14ED">
      <w:pPr>
        <w:rPr>
          <w:rFonts w:eastAsia="Times New Roman" w:cs="Times New Roman"/>
          <w:sz w:val="20"/>
          <w:szCs w:val="20"/>
          <w:lang w:eastAsia="pt-BR"/>
        </w:rPr>
      </w:pPr>
      <w:r w:rsidRPr="00FF0A0E">
        <w:rPr>
          <w:rStyle w:val="FootnoteReference"/>
          <w:sz w:val="20"/>
          <w:szCs w:val="20"/>
        </w:rPr>
        <w:footnoteRef/>
      </w:r>
      <w:r w:rsidRPr="001310DC">
        <w:rPr>
          <w:rFonts w:eastAsia="Times New Roman" w:cs="Times New Roman"/>
          <w:i/>
          <w:sz w:val="20"/>
          <w:szCs w:val="20"/>
          <w:lang w:val="en-US" w:eastAsia="pt-BR"/>
        </w:rPr>
        <w:t>Embi+</w:t>
      </w:r>
      <w:r w:rsidRPr="001310DC">
        <w:rPr>
          <w:rFonts w:eastAsia="Times New Roman" w:cs="Times New Roman"/>
          <w:sz w:val="20"/>
          <w:szCs w:val="20"/>
          <w:lang w:val="en-US" w:eastAsia="pt-BR"/>
        </w:rPr>
        <w:t xml:space="preserve"> é a sigla para </w:t>
      </w:r>
      <w:r w:rsidRPr="001310DC">
        <w:rPr>
          <w:rFonts w:eastAsia="Times New Roman" w:cs="Times New Roman"/>
          <w:i/>
          <w:sz w:val="20"/>
          <w:szCs w:val="20"/>
          <w:lang w:val="en-US" w:eastAsia="pt-BR"/>
        </w:rPr>
        <w:t>Emerging Markets Bond Index Plus</w:t>
      </w:r>
      <w:r w:rsidRPr="001310DC">
        <w:rPr>
          <w:rFonts w:eastAsia="Times New Roman" w:cs="Times New Roman"/>
          <w:sz w:val="20"/>
          <w:szCs w:val="20"/>
          <w:lang w:val="en-US" w:eastAsia="pt-BR"/>
        </w:rPr>
        <w:t xml:space="preserve">. </w:t>
      </w:r>
      <w:r w:rsidRPr="00FF0A0E">
        <w:rPr>
          <w:rFonts w:eastAsia="Times New Roman" w:cs="Times New Roman"/>
          <w:sz w:val="20"/>
          <w:szCs w:val="20"/>
          <w:lang w:eastAsia="pt-BR"/>
        </w:rPr>
        <w:t xml:space="preserve">O </w:t>
      </w:r>
      <w:r w:rsidRPr="00AF14ED">
        <w:rPr>
          <w:rFonts w:eastAsia="Times New Roman" w:cs="Times New Roman"/>
          <w:i/>
          <w:sz w:val="20"/>
          <w:szCs w:val="20"/>
          <w:lang w:eastAsia="pt-BR"/>
        </w:rPr>
        <w:t>embi+</w:t>
      </w:r>
      <w:r w:rsidRPr="00FF0A0E">
        <w:rPr>
          <w:rFonts w:eastAsia="Times New Roman" w:cs="Times New Roman"/>
          <w:sz w:val="20"/>
          <w:szCs w:val="20"/>
          <w:lang w:eastAsia="pt-BR"/>
        </w:rPr>
        <w:t xml:space="preserve"> é calculado a partir do spread entre as taxas dos títulos da dívid</w:t>
      </w:r>
      <w:r>
        <w:rPr>
          <w:rFonts w:eastAsia="Times New Roman" w:cs="Times New Roman"/>
          <w:sz w:val="20"/>
          <w:szCs w:val="20"/>
          <w:lang w:eastAsia="pt-BR"/>
        </w:rPr>
        <w:t>a externa brasileira e títulos d</w:t>
      </w:r>
      <w:r w:rsidRPr="00FF0A0E">
        <w:rPr>
          <w:rFonts w:eastAsia="Times New Roman" w:cs="Times New Roman"/>
          <w:sz w:val="20"/>
          <w:szCs w:val="20"/>
          <w:lang w:eastAsia="pt-BR"/>
        </w:rPr>
        <w:t>o governo americano, ambos</w:t>
      </w:r>
      <w:r>
        <w:rPr>
          <w:rFonts w:eastAsia="Times New Roman" w:cs="Times New Roman"/>
          <w:sz w:val="20"/>
          <w:szCs w:val="20"/>
          <w:lang w:eastAsia="pt-BR"/>
        </w:rPr>
        <w:t xml:space="preserve"> denominados em dólares.</w:t>
      </w:r>
    </w:p>
  </w:footnote>
  <w:footnote w:id="6">
    <w:p w:rsidR="00210A2B" w:rsidRPr="00DA1463" w:rsidRDefault="00210A2B" w:rsidP="00267252">
      <w:r w:rsidRPr="00F52841">
        <w:rPr>
          <w:rStyle w:val="FootnoteReference"/>
          <w:sz w:val="20"/>
          <w:szCs w:val="20"/>
        </w:rPr>
        <w:footnoteRef/>
      </w:r>
      <w:r>
        <w:rPr>
          <w:sz w:val="20"/>
          <w:szCs w:val="20"/>
        </w:rPr>
        <w:t>E</w:t>
      </w:r>
      <w:r w:rsidRPr="00F52841">
        <w:rPr>
          <w:rFonts w:eastAsia="Times New Roman" w:cs="Times New Roman"/>
          <w:sz w:val="20"/>
          <w:szCs w:val="20"/>
          <w:lang w:eastAsia="pt-BR"/>
        </w:rPr>
        <w:t xml:space="preserve">mpregamos os termos taxa de câmbio a termo e taxa de câmbio futuro como sinônimos, significando a taxa cobrada para entrega de divisas no futuro. Na realidade a taxa termo </w:t>
      </w:r>
      <w:r>
        <w:rPr>
          <w:rFonts w:eastAsia="Times New Roman" w:cs="Times New Roman"/>
          <w:sz w:val="20"/>
          <w:szCs w:val="20"/>
          <w:lang w:eastAsia="pt-BR"/>
        </w:rPr>
        <w:t>refere-se a</w:t>
      </w:r>
      <w:r w:rsidRPr="00F52841">
        <w:rPr>
          <w:rFonts w:eastAsia="Times New Roman" w:cs="Times New Roman"/>
          <w:sz w:val="20"/>
          <w:szCs w:val="20"/>
          <w:lang w:eastAsia="pt-BR"/>
        </w:rPr>
        <w:t xml:space="preserve"> operações de balcão de bancos com seus clientes</w:t>
      </w:r>
      <w:r>
        <w:rPr>
          <w:rFonts w:eastAsia="Times New Roman" w:cs="Times New Roman"/>
          <w:sz w:val="20"/>
          <w:szCs w:val="20"/>
          <w:lang w:eastAsia="pt-BR"/>
        </w:rPr>
        <w:t>,</w:t>
      </w:r>
      <w:r w:rsidRPr="00F52841">
        <w:rPr>
          <w:rFonts w:eastAsia="Times New Roman" w:cs="Times New Roman"/>
          <w:sz w:val="20"/>
          <w:szCs w:val="20"/>
          <w:lang w:eastAsia="pt-BR"/>
        </w:rPr>
        <w:t xml:space="preserve"> enquanto o câmbio futuro diz respeito à</w:t>
      </w:r>
      <w:r>
        <w:rPr>
          <w:rFonts w:eastAsia="Times New Roman" w:cs="Times New Roman"/>
          <w:sz w:val="20"/>
          <w:szCs w:val="20"/>
          <w:lang w:eastAsia="pt-BR"/>
        </w:rPr>
        <w:t xml:space="preserve"> taxa de cotação </w:t>
      </w:r>
      <w:r w:rsidRPr="00F52841">
        <w:rPr>
          <w:rFonts w:eastAsia="Times New Roman" w:cs="Times New Roman"/>
          <w:sz w:val="20"/>
          <w:szCs w:val="20"/>
          <w:lang w:eastAsia="pt-BR"/>
        </w:rPr>
        <w:t>do</w:t>
      </w:r>
      <w:r>
        <w:rPr>
          <w:rFonts w:eastAsia="Times New Roman" w:cs="Times New Roman"/>
          <w:sz w:val="20"/>
          <w:szCs w:val="20"/>
          <w:lang w:eastAsia="pt-BR"/>
        </w:rPr>
        <w:t>s</w:t>
      </w:r>
      <w:r w:rsidRPr="00F52841">
        <w:rPr>
          <w:rFonts w:eastAsia="Times New Roman" w:cs="Times New Roman"/>
          <w:sz w:val="20"/>
          <w:szCs w:val="20"/>
          <w:lang w:eastAsia="pt-BR"/>
        </w:rPr>
        <w:t xml:space="preserve"> contrato</w:t>
      </w:r>
      <w:r>
        <w:rPr>
          <w:rFonts w:eastAsia="Times New Roman" w:cs="Times New Roman"/>
          <w:sz w:val="20"/>
          <w:szCs w:val="20"/>
          <w:lang w:eastAsia="pt-BR"/>
        </w:rPr>
        <w:t>s</w:t>
      </w:r>
      <w:r w:rsidRPr="00F52841">
        <w:rPr>
          <w:rFonts w:eastAsia="Times New Roman" w:cs="Times New Roman"/>
          <w:sz w:val="20"/>
          <w:szCs w:val="20"/>
          <w:lang w:eastAsia="pt-BR"/>
        </w:rPr>
        <w:t xml:space="preserve"> futuro</w:t>
      </w:r>
      <w:r>
        <w:rPr>
          <w:rFonts w:eastAsia="Times New Roman" w:cs="Times New Roman"/>
          <w:sz w:val="20"/>
          <w:szCs w:val="20"/>
          <w:lang w:eastAsia="pt-BR"/>
        </w:rPr>
        <w:t>s</w:t>
      </w:r>
      <w:r w:rsidRPr="00F52841">
        <w:rPr>
          <w:rFonts w:eastAsia="Times New Roman" w:cs="Times New Roman"/>
          <w:sz w:val="20"/>
          <w:szCs w:val="20"/>
          <w:lang w:eastAsia="pt-BR"/>
        </w:rPr>
        <w:t xml:space="preserve"> de câmbio</w:t>
      </w:r>
      <w:r>
        <w:rPr>
          <w:rFonts w:eastAsia="Times New Roman" w:cs="Times New Roman"/>
          <w:sz w:val="20"/>
          <w:szCs w:val="20"/>
          <w:lang w:eastAsia="pt-BR"/>
        </w:rPr>
        <w:t xml:space="preserve"> negociados publicamente na BM&amp;F no caso brasileiro.</w:t>
      </w:r>
    </w:p>
  </w:footnote>
  <w:footnote w:id="7">
    <w:p w:rsidR="00210A2B" w:rsidRDefault="00210A2B">
      <w:pPr>
        <w:pStyle w:val="FootnoteText"/>
      </w:pPr>
      <w:r>
        <w:rPr>
          <w:rStyle w:val="FootnoteReference"/>
        </w:rPr>
        <w:footnoteRef/>
      </w:r>
      <w:r>
        <w:t xml:space="preserve"> Autores supõe que o ajuste da CIP em direção ao equilíbrio se dá em variáveis diferentes. De acordo com Keynes (1923, p.124), por exemplo, o a oferta e demanda com contratos futuros faz com que o </w:t>
      </w:r>
      <w:r w:rsidRPr="008237C7">
        <w:rPr>
          <w:i/>
        </w:rPr>
        <w:t>forward</w:t>
      </w:r>
      <w:r>
        <w:rPr>
          <w:i/>
        </w:rPr>
        <w:t xml:space="preserve"> </w:t>
      </w:r>
      <w:r w:rsidRPr="008237C7">
        <w:rPr>
          <w:i/>
        </w:rPr>
        <w:t>premium</w:t>
      </w:r>
      <w:r>
        <w:t xml:space="preserve"> se ajuste ao diferencial de juros. Já Spraos (1953, p.116) ao assumir ofertas de moeda endógenas acredita que o ajuste da CIP ocorre pela variação do diferencial de juros. Ou seja, o fluxo de capitais para o país com taxas de juros maiores aumenta sua base monetária e consequentemente reduz os juros, analogamente a saída de capitais reduz a oferta de moeda no outro país, elevando sua taxa de juros. Por fim, Tsiang (1959, p.59) afirma que o ajuste pode ocorrer tanto pelo </w:t>
      </w:r>
      <w:r w:rsidRPr="005A2235">
        <w:rPr>
          <w:i/>
        </w:rPr>
        <w:t>forward</w:t>
      </w:r>
      <w:r>
        <w:rPr>
          <w:i/>
        </w:rPr>
        <w:t xml:space="preserve"> </w:t>
      </w:r>
      <w:r w:rsidRPr="005A2235">
        <w:rPr>
          <w:i/>
        </w:rPr>
        <w:t>premium</w:t>
      </w:r>
      <w:r>
        <w:t xml:space="preserve"> quando pela variação dos juros.</w:t>
      </w:r>
    </w:p>
  </w:footnote>
  <w:footnote w:id="8">
    <w:p w:rsidR="00210A2B" w:rsidRPr="000D4244" w:rsidRDefault="00210A2B" w:rsidP="000D4244">
      <w:pPr>
        <w:rPr>
          <w:rFonts w:eastAsia="Times New Roman" w:cs="Times New Roman"/>
          <w:sz w:val="20"/>
          <w:szCs w:val="20"/>
          <w:lang w:eastAsia="pt-BR"/>
        </w:rPr>
      </w:pPr>
      <w:r w:rsidRPr="00FB3DF7">
        <w:rPr>
          <w:rStyle w:val="FootnoteReference"/>
          <w:sz w:val="20"/>
          <w:szCs w:val="20"/>
        </w:rPr>
        <w:footnoteRef/>
      </w:r>
      <w:r w:rsidRPr="00F52841">
        <w:rPr>
          <w:rFonts w:eastAsia="Times New Roman" w:cs="Times New Roman"/>
          <w:sz w:val="20"/>
          <w:szCs w:val="20"/>
          <w:lang w:eastAsia="pt-BR"/>
        </w:rPr>
        <w:t xml:space="preserve">Naturalmente os bancos ganham uma pequena margem de lucro ao cobrar uma diferença entre o preço de compra e o preço de venda do câmbio a termo, assim como é usual no câmbio </w:t>
      </w:r>
      <w:r w:rsidRPr="00F52841">
        <w:rPr>
          <w:rFonts w:eastAsia="Times New Roman" w:cs="Times New Roman"/>
          <w:i/>
          <w:iCs/>
          <w:sz w:val="20"/>
          <w:szCs w:val="20"/>
          <w:lang w:eastAsia="pt-BR"/>
        </w:rPr>
        <w:t>spot</w:t>
      </w:r>
      <w:r>
        <w:rPr>
          <w:rFonts w:eastAsia="Times New Roman" w:cs="Times New Roman"/>
          <w:sz w:val="20"/>
          <w:szCs w:val="20"/>
          <w:lang w:eastAsia="pt-BR"/>
        </w:rPr>
        <w:t>.</w:t>
      </w:r>
    </w:p>
  </w:footnote>
  <w:footnote w:id="9">
    <w:p w:rsidR="00210A2B" w:rsidRPr="00F52841" w:rsidRDefault="00210A2B" w:rsidP="00270D76">
      <w:pPr>
        <w:rPr>
          <w:rFonts w:eastAsia="Times New Roman" w:cs="Times New Roman"/>
          <w:sz w:val="20"/>
          <w:szCs w:val="20"/>
          <w:lang w:eastAsia="pt-BR"/>
        </w:rPr>
      </w:pPr>
      <w:r w:rsidRPr="00F52841">
        <w:rPr>
          <w:rStyle w:val="FootnoteReference"/>
          <w:sz w:val="20"/>
          <w:szCs w:val="20"/>
        </w:rPr>
        <w:footnoteRef/>
      </w:r>
      <w:r w:rsidRPr="00F52841">
        <w:rPr>
          <w:rFonts w:eastAsia="Times New Roman" w:cs="Times New Roman"/>
          <w:sz w:val="20"/>
          <w:szCs w:val="20"/>
          <w:lang w:eastAsia="pt-BR"/>
        </w:rPr>
        <w:t>Outros estudos para o mesmo período são Coffey, Hrung e Sarkar (2009) e Griffoli e Ranaldo (</w:t>
      </w:r>
      <w:r w:rsidRPr="00383703">
        <w:rPr>
          <w:rFonts w:eastAsia="Times New Roman" w:cs="Times New Roman"/>
          <w:sz w:val="20"/>
          <w:szCs w:val="20"/>
          <w:lang w:eastAsia="pt-BR"/>
        </w:rPr>
        <w:t>2011</w:t>
      </w:r>
      <w:r w:rsidRPr="00F52841">
        <w:rPr>
          <w:rFonts w:eastAsia="Times New Roman" w:cs="Times New Roman"/>
          <w:sz w:val="20"/>
          <w:szCs w:val="20"/>
          <w:lang w:eastAsia="pt-BR"/>
        </w:rPr>
        <w:t>).</w:t>
      </w:r>
    </w:p>
  </w:footnote>
  <w:footnote w:id="10">
    <w:p w:rsidR="00210A2B" w:rsidRPr="006429EB" w:rsidRDefault="00210A2B" w:rsidP="006429EB">
      <w:pPr>
        <w:rPr>
          <w:rFonts w:eastAsia="Times New Roman" w:cs="Times New Roman"/>
          <w:sz w:val="20"/>
          <w:szCs w:val="20"/>
          <w:lang w:eastAsia="pt-BR"/>
        </w:rPr>
      </w:pPr>
      <w:r w:rsidRPr="00F52841">
        <w:rPr>
          <w:rStyle w:val="FootnoteReference"/>
          <w:sz w:val="20"/>
          <w:szCs w:val="20"/>
        </w:rPr>
        <w:footnoteRef/>
      </w:r>
      <w:r w:rsidRPr="00F52841">
        <w:rPr>
          <w:rFonts w:eastAsia="Times New Roman" w:cs="Times New Roman"/>
          <w:i/>
          <w:iCs/>
          <w:sz w:val="20"/>
          <w:szCs w:val="20"/>
          <w:lang w:eastAsia="pt-BR"/>
        </w:rPr>
        <w:t xml:space="preserve">DCJ é o Diferencial Coberto de Juros, expresso por </w:t>
      </w:r>
      <m:oMath>
        <m:r>
          <w:rPr>
            <w:rFonts w:ascii="Cambria Math" w:eastAsia="Times New Roman" w:hAnsi="Cambria Math" w:cs="Times New Roman"/>
            <w:sz w:val="20"/>
            <w:szCs w:val="20"/>
            <w:lang w:eastAsia="pt-BR"/>
          </w:rPr>
          <m:t>DCJ=</m:t>
        </m:r>
        <m:sSub>
          <m:sSubPr>
            <m:ctrlPr>
              <w:rPr>
                <w:rFonts w:ascii="Cambria Math" w:eastAsia="Times New Roman" w:hAnsi="Cambria Math" w:cs="Times New Roman"/>
                <w:i/>
                <w:iCs/>
                <w:sz w:val="20"/>
                <w:szCs w:val="20"/>
                <w:lang w:eastAsia="pt-BR"/>
              </w:rPr>
            </m:ctrlPr>
          </m:sSubPr>
          <m:e>
            <m:r>
              <w:rPr>
                <w:rFonts w:ascii="Cambria Math" w:eastAsia="Times New Roman" w:hAnsi="Cambria Math" w:cs="Times New Roman"/>
                <w:sz w:val="20"/>
                <w:szCs w:val="20"/>
                <w:lang w:eastAsia="pt-BR"/>
              </w:rPr>
              <m:t>i</m:t>
            </m:r>
          </m:e>
          <m:sub>
            <m:r>
              <w:rPr>
                <w:rFonts w:ascii="Cambria Math" w:eastAsia="Times New Roman" w:hAnsi="Cambria Math" w:cs="Times New Roman"/>
                <w:sz w:val="20"/>
                <w:szCs w:val="20"/>
                <w:lang w:eastAsia="pt-BR"/>
              </w:rPr>
              <m:t>t,K</m:t>
            </m:r>
          </m:sub>
        </m:sSub>
        <m:r>
          <w:rPr>
            <w:rFonts w:ascii="Cambria Math" w:eastAsia="Times New Roman" w:hAnsi="Cambria Math" w:cs="Times New Roman"/>
            <w:sz w:val="20"/>
            <w:szCs w:val="20"/>
            <w:lang w:eastAsia="pt-BR"/>
          </w:rPr>
          <m:t>-</m:t>
        </m:r>
        <m:sSubSup>
          <m:sSubSupPr>
            <m:ctrlPr>
              <w:rPr>
                <w:rFonts w:ascii="Cambria Math" w:eastAsia="Times New Roman" w:hAnsi="Cambria Math" w:cs="Times New Roman"/>
                <w:i/>
                <w:iCs/>
                <w:sz w:val="20"/>
                <w:szCs w:val="20"/>
                <w:lang w:eastAsia="pt-BR"/>
              </w:rPr>
            </m:ctrlPr>
          </m:sSubSupPr>
          <m:e>
            <m:r>
              <w:rPr>
                <w:rFonts w:ascii="Cambria Math" w:eastAsia="Times New Roman" w:hAnsi="Cambria Math" w:cs="Times New Roman"/>
                <w:sz w:val="20"/>
                <w:szCs w:val="20"/>
                <w:lang w:eastAsia="pt-BR"/>
              </w:rPr>
              <m:t>i</m:t>
            </m:r>
          </m:e>
          <m:sub>
            <m:r>
              <w:rPr>
                <w:rFonts w:ascii="Cambria Math" w:eastAsia="Times New Roman" w:hAnsi="Cambria Math" w:cs="Times New Roman"/>
                <w:sz w:val="20"/>
                <w:szCs w:val="20"/>
                <w:lang w:eastAsia="pt-BR"/>
              </w:rPr>
              <m:t>t,K</m:t>
            </m:r>
          </m:sub>
          <m:sup>
            <m:r>
              <w:rPr>
                <w:rFonts w:ascii="Cambria Math" w:eastAsia="Times New Roman" w:hAnsi="Cambria Math" w:cs="Times New Roman"/>
                <w:sz w:val="20"/>
                <w:szCs w:val="20"/>
                <w:lang w:eastAsia="pt-BR"/>
              </w:rPr>
              <m:t>*</m:t>
            </m:r>
          </m:sup>
        </m:sSubSup>
        <m:r>
          <w:rPr>
            <w:rFonts w:ascii="Cambria Math" w:eastAsia="Times New Roman" w:hAnsi="Cambria Math" w:cs="Times New Roman"/>
            <w:sz w:val="20"/>
            <w:szCs w:val="20"/>
            <w:lang w:eastAsia="pt-BR"/>
          </w:rPr>
          <m:t>-(</m:t>
        </m:r>
        <m:sSub>
          <m:sSubPr>
            <m:ctrlPr>
              <w:rPr>
                <w:rFonts w:ascii="Cambria Math" w:eastAsia="Times New Roman" w:hAnsi="Cambria Math" w:cs="Times New Roman"/>
                <w:i/>
                <w:iCs/>
                <w:sz w:val="20"/>
                <w:szCs w:val="20"/>
                <w:lang w:eastAsia="pt-BR"/>
              </w:rPr>
            </m:ctrlPr>
          </m:sSubPr>
          <m:e>
            <m:r>
              <w:rPr>
                <w:rFonts w:ascii="Cambria Math" w:eastAsia="Times New Roman" w:hAnsi="Cambria Math" w:cs="Times New Roman"/>
                <w:sz w:val="20"/>
                <w:szCs w:val="20"/>
                <w:lang w:eastAsia="pt-BR"/>
              </w:rPr>
              <m:t>f</m:t>
            </m:r>
          </m:e>
          <m:sub>
            <m:r>
              <w:rPr>
                <w:rFonts w:ascii="Cambria Math" w:eastAsia="Times New Roman" w:hAnsi="Cambria Math" w:cs="Times New Roman"/>
                <w:sz w:val="20"/>
                <w:szCs w:val="20"/>
                <w:lang w:eastAsia="pt-BR"/>
              </w:rPr>
              <m:t>t,t+K</m:t>
            </m:r>
          </m:sub>
        </m:sSub>
        <m:r>
          <w:rPr>
            <w:rFonts w:ascii="Cambria Math" w:eastAsia="Times New Roman" w:hAnsi="Cambria Math" w:cs="Times New Roman"/>
            <w:sz w:val="20"/>
            <w:szCs w:val="20"/>
            <w:lang w:eastAsia="pt-BR"/>
          </w:rPr>
          <m:t>-</m:t>
        </m:r>
        <m:sSub>
          <m:sSubPr>
            <m:ctrlPr>
              <w:rPr>
                <w:rFonts w:ascii="Cambria Math" w:eastAsia="Times New Roman" w:hAnsi="Cambria Math" w:cs="Times New Roman"/>
                <w:i/>
                <w:iCs/>
                <w:sz w:val="20"/>
                <w:szCs w:val="20"/>
                <w:lang w:eastAsia="pt-BR"/>
              </w:rPr>
            </m:ctrlPr>
          </m:sSubPr>
          <m:e>
            <m:r>
              <w:rPr>
                <w:rFonts w:ascii="Cambria Math" w:eastAsia="Times New Roman" w:hAnsi="Cambria Math" w:cs="Times New Roman"/>
                <w:sz w:val="20"/>
                <w:szCs w:val="20"/>
                <w:lang w:eastAsia="pt-BR"/>
              </w:rPr>
              <m:t>s</m:t>
            </m:r>
          </m:e>
          <m:sub>
            <m:r>
              <w:rPr>
                <w:rFonts w:ascii="Cambria Math" w:eastAsia="Times New Roman" w:hAnsi="Cambria Math" w:cs="Times New Roman"/>
                <w:sz w:val="20"/>
                <w:szCs w:val="20"/>
                <w:lang w:eastAsia="pt-BR"/>
              </w:rPr>
              <m:t>t</m:t>
            </m:r>
          </m:sub>
        </m:sSub>
        <m:r>
          <w:rPr>
            <w:rFonts w:ascii="Cambria Math" w:eastAsia="Times New Roman" w:hAnsi="Cambria Math" w:cs="Times New Roman"/>
            <w:sz w:val="20"/>
            <w:szCs w:val="20"/>
            <w:lang w:eastAsia="pt-BR"/>
          </w:rPr>
          <m:t>)</m:t>
        </m:r>
      </m:oMath>
    </w:p>
  </w:footnote>
  <w:footnote w:id="11">
    <w:p w:rsidR="00210A2B" w:rsidRPr="00F52841" w:rsidRDefault="00210A2B" w:rsidP="000D050E">
      <w:pPr>
        <w:rPr>
          <w:rFonts w:eastAsia="Times New Roman" w:cs="Times New Roman"/>
          <w:sz w:val="20"/>
          <w:szCs w:val="20"/>
          <w:lang w:eastAsia="pt-BR"/>
        </w:rPr>
      </w:pPr>
      <w:r w:rsidRPr="00F52841">
        <w:rPr>
          <w:rStyle w:val="FootnoteReference"/>
          <w:sz w:val="20"/>
          <w:szCs w:val="20"/>
        </w:rPr>
        <w:footnoteRef/>
      </w:r>
      <w:r w:rsidRPr="00F52841">
        <w:rPr>
          <w:rFonts w:eastAsia="Times New Roman" w:cs="Times New Roman"/>
          <w:sz w:val="20"/>
          <w:szCs w:val="20"/>
          <w:lang w:eastAsia="pt-BR"/>
        </w:rPr>
        <w:t xml:space="preserve">Assim como em </w:t>
      </w:r>
      <w:r w:rsidRPr="00383703">
        <w:rPr>
          <w:rFonts w:eastAsia="Times New Roman" w:cs="Times New Roman"/>
          <w:sz w:val="20"/>
          <w:szCs w:val="20"/>
          <w:lang w:eastAsia="pt-BR"/>
        </w:rPr>
        <w:t>Miguel (2001).</w:t>
      </w:r>
    </w:p>
  </w:footnote>
  <w:footnote w:id="12">
    <w:p w:rsidR="00210A2B" w:rsidRPr="00F52841" w:rsidRDefault="00210A2B" w:rsidP="000D050E">
      <w:pPr>
        <w:rPr>
          <w:rFonts w:eastAsia="Times New Roman" w:cs="Times New Roman"/>
          <w:sz w:val="20"/>
          <w:szCs w:val="20"/>
          <w:lang w:eastAsia="pt-BR"/>
        </w:rPr>
      </w:pPr>
      <w:r w:rsidRPr="00F52841">
        <w:rPr>
          <w:rStyle w:val="FootnoteReference"/>
          <w:sz w:val="20"/>
          <w:szCs w:val="20"/>
        </w:rPr>
        <w:footnoteRef/>
      </w:r>
      <w:r w:rsidRPr="00F52841">
        <w:rPr>
          <w:rFonts w:eastAsia="Times New Roman" w:cs="Times New Roman"/>
          <w:sz w:val="20"/>
          <w:szCs w:val="20"/>
          <w:lang w:eastAsia="pt-BR"/>
        </w:rPr>
        <w:t>Vamos avaliar esta afirmação adiante ao testar a CIP.</w:t>
      </w:r>
    </w:p>
  </w:footnote>
  <w:footnote w:id="13">
    <w:p w:rsidR="00210A2B" w:rsidRPr="00F52841" w:rsidRDefault="00210A2B" w:rsidP="000D050E">
      <w:pPr>
        <w:rPr>
          <w:rFonts w:eastAsia="Times New Roman" w:cs="Times New Roman"/>
          <w:sz w:val="20"/>
          <w:szCs w:val="20"/>
          <w:lang w:eastAsia="pt-BR"/>
        </w:rPr>
      </w:pPr>
      <w:r w:rsidRPr="00F52841">
        <w:rPr>
          <w:rStyle w:val="FootnoteReference"/>
          <w:sz w:val="20"/>
          <w:szCs w:val="20"/>
        </w:rPr>
        <w:footnoteRef/>
      </w:r>
      <w:r w:rsidRPr="00F52841">
        <w:rPr>
          <w:rFonts w:eastAsia="Times New Roman" w:cs="Times New Roman"/>
          <w:sz w:val="20"/>
          <w:szCs w:val="20"/>
          <w:lang w:eastAsia="pt-BR"/>
        </w:rPr>
        <w:t xml:space="preserve">Desta forma temos um </w:t>
      </w:r>
      <w:r w:rsidRPr="00FB3DF7">
        <w:rPr>
          <w:rFonts w:eastAsia="Times New Roman" w:cs="Times New Roman"/>
          <w:i/>
          <w:sz w:val="20"/>
          <w:szCs w:val="20"/>
          <w:lang w:eastAsia="pt-BR"/>
        </w:rPr>
        <w:t>forward</w:t>
      </w:r>
      <w:r>
        <w:rPr>
          <w:rFonts w:eastAsia="Times New Roman" w:cs="Times New Roman"/>
          <w:i/>
          <w:sz w:val="20"/>
          <w:szCs w:val="20"/>
          <w:lang w:eastAsia="pt-BR"/>
        </w:rPr>
        <w:t xml:space="preserve"> </w:t>
      </w:r>
      <w:r w:rsidRPr="00FB3DF7">
        <w:rPr>
          <w:rFonts w:eastAsia="Times New Roman" w:cs="Times New Roman"/>
          <w:i/>
          <w:sz w:val="20"/>
          <w:szCs w:val="20"/>
          <w:lang w:eastAsia="pt-BR"/>
        </w:rPr>
        <w:t>premium</w:t>
      </w:r>
      <w:r w:rsidRPr="00F52841">
        <w:rPr>
          <w:rFonts w:eastAsia="Times New Roman" w:cs="Times New Roman"/>
          <w:sz w:val="20"/>
          <w:szCs w:val="20"/>
          <w:lang w:eastAsia="pt-BR"/>
        </w:rPr>
        <w:t xml:space="preserve"> decrescente ao longo do mês: </w:t>
      </w:r>
      <w:r w:rsidRPr="00F52841">
        <w:rPr>
          <w:rFonts w:eastAsia="Times New Roman" w:cs="Times New Roman"/>
          <w:i/>
          <w:iCs/>
          <w:sz w:val="20"/>
          <w:szCs w:val="20"/>
          <w:lang w:eastAsia="pt-BR"/>
        </w:rPr>
        <w:t>“No primeiro dia útil de cada mês este diferencial atinge seu valor máximo, reduzindo-se ao longo do tempo e convergindo para zero ao final do mês. Este fenômeno é conhecido como convergência dos preços à vista e futuro. Como se considera o primeiro vencimento dos contratos futuros (os contratos que se iniciam no primeiro dia útil do mês com vencimento no último dia útil do mesmo mês), tem-se que a cada dia que passa este contrato está um dia mais próximo de seu vencimento e desta forma há um dia a menos para se contabilizar juros. Assim, em seu último dia de negociação, praticamente não há diferença entre este contrato e uma unidade de dólar à vista.”</w:t>
      </w:r>
      <w:r w:rsidRPr="00F52841">
        <w:rPr>
          <w:rFonts w:eastAsia="Times New Roman" w:cs="Times New Roman"/>
          <w:sz w:val="20"/>
          <w:szCs w:val="20"/>
          <w:lang w:eastAsia="pt-BR"/>
        </w:rPr>
        <w:t xml:space="preserve"> (Ventura e Garcia, 2012, p. 39)</w:t>
      </w:r>
    </w:p>
  </w:footnote>
  <w:footnote w:id="14">
    <w:p w:rsidR="00210A2B" w:rsidRDefault="00210A2B" w:rsidP="00F54B75">
      <w:pPr>
        <w:pStyle w:val="FootnoteText"/>
      </w:pPr>
      <w:r>
        <w:rPr>
          <w:rStyle w:val="FootnoteReference"/>
        </w:rPr>
        <w:footnoteRef/>
      </w:r>
      <w:r w:rsidRPr="000D050E">
        <w:rPr>
          <w:rFonts w:eastAsia="Times New Roman" w:cs="Times New Roman"/>
          <w:szCs w:val="24"/>
          <w:lang w:eastAsia="pt-BR"/>
        </w:rPr>
        <w:t xml:space="preserve">Logo, não foi possível calcular os desvios exatos entre a taxa de câmbio futuro observada e o valor estabelecido </w:t>
      </w:r>
      <w:r>
        <w:rPr>
          <w:rFonts w:eastAsia="Times New Roman" w:cs="Times New Roman"/>
          <w:szCs w:val="24"/>
          <w:lang w:eastAsia="pt-BR"/>
        </w:rPr>
        <w:t>pela</w:t>
      </w:r>
      <w:r w:rsidRPr="000D050E">
        <w:rPr>
          <w:rFonts w:eastAsia="Times New Roman" w:cs="Times New Roman"/>
          <w:szCs w:val="24"/>
          <w:lang w:eastAsia="pt-BR"/>
        </w:rPr>
        <w:t xml:space="preserve"> CIP, como em Taylor (1987), por exemplo.</w:t>
      </w:r>
    </w:p>
  </w:footnote>
  <w:footnote w:id="15">
    <w:p w:rsidR="00210A2B" w:rsidRPr="002124C5" w:rsidRDefault="00210A2B" w:rsidP="00016337">
      <w:pPr>
        <w:rPr>
          <w:rFonts w:eastAsia="Times New Roman" w:cs="Times New Roman"/>
          <w:sz w:val="20"/>
          <w:szCs w:val="20"/>
          <w:lang w:eastAsia="pt-BR"/>
        </w:rPr>
      </w:pPr>
      <w:r w:rsidRPr="002124C5">
        <w:rPr>
          <w:rStyle w:val="FootnoteReference"/>
          <w:sz w:val="20"/>
          <w:szCs w:val="20"/>
        </w:rPr>
        <w:footnoteRef/>
      </w:r>
      <w:r w:rsidRPr="002124C5">
        <w:rPr>
          <w:rFonts w:eastAsia="Times New Roman" w:cs="Times New Roman"/>
          <w:sz w:val="20"/>
          <w:szCs w:val="20"/>
          <w:lang w:eastAsia="pt-BR"/>
        </w:rPr>
        <w:t>Existem contratos futuros de dólar com vencimento em todos os meses do ano. Doravante cada contrato será identificado por sua data de vencimento, onde as letras F, G, H, J, K, M, N, Q, U, V, X, Z correspondem ao</w:t>
      </w:r>
      <w:r>
        <w:rPr>
          <w:rFonts w:eastAsia="Times New Roman" w:cs="Times New Roman"/>
          <w:sz w:val="20"/>
          <w:szCs w:val="20"/>
          <w:lang w:eastAsia="pt-BR"/>
        </w:rPr>
        <w:t>s doze me</w:t>
      </w:r>
      <w:r w:rsidRPr="002124C5">
        <w:rPr>
          <w:rFonts w:eastAsia="Times New Roman" w:cs="Times New Roman"/>
          <w:sz w:val="20"/>
          <w:szCs w:val="20"/>
          <w:lang w:eastAsia="pt-BR"/>
        </w:rPr>
        <w:t>s</w:t>
      </w:r>
      <w:r>
        <w:rPr>
          <w:rFonts w:eastAsia="Times New Roman" w:cs="Times New Roman"/>
          <w:sz w:val="20"/>
          <w:szCs w:val="20"/>
          <w:lang w:eastAsia="pt-BR"/>
        </w:rPr>
        <w:t xml:space="preserve">es do ano no de vencimento </w:t>
      </w:r>
      <w:r w:rsidRPr="002124C5">
        <w:rPr>
          <w:rFonts w:eastAsia="Times New Roman" w:cs="Times New Roman"/>
          <w:sz w:val="20"/>
          <w:szCs w:val="20"/>
          <w:lang w:eastAsia="pt-BR"/>
        </w:rPr>
        <w:t>de cada contrato. E o número a seguir indica o ano de vencimento de modo que a série denominada F15 é composta pelos preços de ajuste diários do contrato futuro de dólares americanos com vencimento de janeiro de 2015. Os dados foram obtidos no dia 03/06/2014.</w:t>
      </w:r>
    </w:p>
  </w:footnote>
  <w:footnote w:id="16">
    <w:p w:rsidR="00210A2B" w:rsidRPr="0067354F" w:rsidRDefault="00210A2B" w:rsidP="0067354F">
      <w:pPr>
        <w:rPr>
          <w:rFonts w:eastAsia="Times New Roman" w:cs="Times New Roman"/>
          <w:sz w:val="20"/>
          <w:szCs w:val="20"/>
          <w:lang w:eastAsia="pt-BR"/>
        </w:rPr>
      </w:pPr>
      <w:r w:rsidRPr="002124C5">
        <w:rPr>
          <w:rStyle w:val="FootnoteReference"/>
          <w:sz w:val="20"/>
          <w:szCs w:val="20"/>
        </w:rPr>
        <w:footnoteRef/>
      </w:r>
      <w:r w:rsidRPr="002124C5">
        <w:rPr>
          <w:rFonts w:eastAsia="Times New Roman" w:cs="Times New Roman"/>
          <w:sz w:val="20"/>
          <w:szCs w:val="20"/>
          <w:lang w:eastAsia="pt-BR"/>
        </w:rPr>
        <w:t>Os contratos são cotados até o primeiro dia útil do mês de vencimento. Como nossa amostra se estende no início de 2008 até o final de 2013 o primeiro contrato para o qual temos um número razoável de observações é o de vencimento em julho de 2008 (N08) e o último é o de té</w:t>
      </w:r>
      <w:r>
        <w:rPr>
          <w:rFonts w:eastAsia="Times New Roman" w:cs="Times New Roman"/>
          <w:sz w:val="20"/>
          <w:szCs w:val="20"/>
          <w:lang w:eastAsia="pt-BR"/>
        </w:rPr>
        <w:t>rmino em janeiro de 2014 (F14).</w:t>
      </w:r>
    </w:p>
  </w:footnote>
  <w:footnote w:id="17">
    <w:p w:rsidR="00210A2B" w:rsidRPr="0067354F" w:rsidRDefault="00210A2B" w:rsidP="00687FB0">
      <w:pPr>
        <w:rPr>
          <w:rFonts w:eastAsia="Times New Roman" w:cs="Times New Roman"/>
          <w:sz w:val="20"/>
          <w:szCs w:val="20"/>
          <w:lang w:eastAsia="pt-BR"/>
        </w:rPr>
      </w:pPr>
      <w:r w:rsidRPr="00F05DB7">
        <w:rPr>
          <w:rStyle w:val="FootnoteReference"/>
          <w:sz w:val="20"/>
          <w:szCs w:val="20"/>
        </w:rPr>
        <w:footnoteRef/>
      </w:r>
      <w:r w:rsidRPr="00032D55">
        <w:rPr>
          <w:sz w:val="20"/>
          <w:szCs w:val="20"/>
        </w:rPr>
        <w:t xml:space="preserve">Mais especificamente, as taxas são as médias </w:t>
      </w:r>
      <w:r w:rsidRPr="00F52841">
        <w:rPr>
          <w:rFonts w:eastAsia="Times New Roman" w:cs="Times New Roman"/>
          <w:iCs/>
          <w:sz w:val="20"/>
          <w:szCs w:val="20"/>
          <w:lang w:eastAsia="pt-BR"/>
        </w:rPr>
        <w:t>das consultas r</w:t>
      </w:r>
      <w:r>
        <w:rPr>
          <w:rFonts w:eastAsia="Times New Roman" w:cs="Times New Roman"/>
          <w:iCs/>
          <w:sz w:val="20"/>
          <w:szCs w:val="20"/>
          <w:lang w:eastAsia="pt-BR"/>
        </w:rPr>
        <w:t xml:space="preserve">ealizadas diariamente excluídas </w:t>
      </w:r>
      <w:r w:rsidRPr="00F52841">
        <w:rPr>
          <w:rFonts w:eastAsia="Times New Roman" w:cs="Times New Roman"/>
          <w:iCs/>
          <w:sz w:val="20"/>
          <w:szCs w:val="20"/>
          <w:lang w:eastAsia="pt-BR"/>
        </w:rPr>
        <w:t xml:space="preserve">as duas maiores e as duas menores. São feitas quatro consultas de taxas aos </w:t>
      </w:r>
      <w:r w:rsidRPr="0067354F">
        <w:rPr>
          <w:rFonts w:eastAsia="Times New Roman" w:cs="Times New Roman"/>
          <w:i/>
          <w:iCs/>
          <w:sz w:val="20"/>
          <w:szCs w:val="20"/>
          <w:lang w:eastAsia="pt-BR"/>
        </w:rPr>
        <w:t>dealers</w:t>
      </w:r>
      <w:r w:rsidRPr="00F52841">
        <w:rPr>
          <w:rFonts w:eastAsia="Times New Roman" w:cs="Times New Roman"/>
          <w:iCs/>
          <w:sz w:val="20"/>
          <w:szCs w:val="20"/>
          <w:lang w:eastAsia="pt-BR"/>
        </w:rPr>
        <w:t xml:space="preserve"> de câmbio: entre 10h e 10h10; 11h e 11h10; 12h e 12h10; e 13h e 13h10. </w:t>
      </w:r>
    </w:p>
  </w:footnote>
  <w:footnote w:id="18">
    <w:p w:rsidR="00210A2B" w:rsidRPr="00F52841" w:rsidRDefault="00210A2B" w:rsidP="00F20903">
      <w:pPr>
        <w:rPr>
          <w:rFonts w:eastAsia="Times New Roman" w:cs="Times New Roman"/>
          <w:sz w:val="20"/>
          <w:szCs w:val="20"/>
          <w:lang w:eastAsia="pt-BR"/>
        </w:rPr>
      </w:pPr>
      <w:r w:rsidRPr="00FB3DF7">
        <w:rPr>
          <w:rStyle w:val="FootnoteReference"/>
          <w:sz w:val="20"/>
          <w:szCs w:val="20"/>
        </w:rPr>
        <w:footnoteRef/>
      </w:r>
      <w:r w:rsidRPr="00F52841">
        <w:rPr>
          <w:rFonts w:eastAsia="Times New Roman" w:cs="Times New Roman"/>
          <w:sz w:val="20"/>
          <w:szCs w:val="20"/>
          <w:lang w:eastAsia="pt-BR"/>
        </w:rPr>
        <w:t xml:space="preserve">Assim fica clara a falha cometida por estudos que avaliam a CIP a partir de taxas cotadas em países diferentes, como Silva, Triches e Hillbrecht (2009) que comparam </w:t>
      </w:r>
      <w:r>
        <w:rPr>
          <w:rFonts w:eastAsia="Times New Roman" w:cs="Times New Roman"/>
          <w:sz w:val="20"/>
          <w:szCs w:val="20"/>
          <w:lang w:eastAsia="pt-BR"/>
        </w:rPr>
        <w:t xml:space="preserve">diretamente </w:t>
      </w:r>
      <w:r w:rsidRPr="00F52841">
        <w:rPr>
          <w:rFonts w:eastAsia="Times New Roman" w:cs="Times New Roman"/>
          <w:sz w:val="20"/>
          <w:szCs w:val="20"/>
          <w:lang w:eastAsia="pt-BR"/>
        </w:rPr>
        <w:t xml:space="preserve">taxas DI e SELIC nacionais com a </w:t>
      </w:r>
      <w:r w:rsidRPr="00687FB0">
        <w:rPr>
          <w:rFonts w:eastAsia="Times New Roman" w:cs="Times New Roman"/>
          <w:i/>
          <w:sz w:val="20"/>
          <w:szCs w:val="20"/>
          <w:lang w:eastAsia="pt-BR"/>
        </w:rPr>
        <w:t>libor</w:t>
      </w:r>
      <w:r w:rsidRPr="00F52841">
        <w:rPr>
          <w:rFonts w:eastAsia="Times New Roman" w:cs="Times New Roman"/>
          <w:sz w:val="20"/>
          <w:szCs w:val="20"/>
          <w:lang w:eastAsia="pt-BR"/>
        </w:rPr>
        <w:t xml:space="preserve"> e </w:t>
      </w:r>
      <w:r>
        <w:rPr>
          <w:rFonts w:eastAsia="Times New Roman" w:cs="Times New Roman"/>
          <w:sz w:val="20"/>
          <w:szCs w:val="20"/>
          <w:lang w:eastAsia="pt-BR"/>
        </w:rPr>
        <w:t xml:space="preserve">a dos </w:t>
      </w:r>
      <w:r w:rsidRPr="00687FB0">
        <w:rPr>
          <w:rFonts w:eastAsia="Times New Roman" w:cs="Times New Roman"/>
          <w:i/>
          <w:sz w:val="20"/>
          <w:szCs w:val="20"/>
          <w:lang w:eastAsia="pt-BR"/>
        </w:rPr>
        <w:t>Tr</w:t>
      </w:r>
      <w:r>
        <w:rPr>
          <w:rFonts w:eastAsia="Times New Roman" w:cs="Times New Roman"/>
          <w:i/>
          <w:sz w:val="20"/>
          <w:szCs w:val="20"/>
          <w:lang w:eastAsia="pt-BR"/>
        </w:rPr>
        <w:t>e</w:t>
      </w:r>
      <w:r w:rsidRPr="00687FB0">
        <w:rPr>
          <w:rFonts w:eastAsia="Times New Roman" w:cs="Times New Roman"/>
          <w:i/>
          <w:sz w:val="20"/>
          <w:szCs w:val="20"/>
          <w:lang w:eastAsia="pt-BR"/>
        </w:rPr>
        <w:t>asury</w:t>
      </w:r>
      <w:r>
        <w:rPr>
          <w:rFonts w:eastAsia="Times New Roman" w:cs="Times New Roman"/>
          <w:i/>
          <w:sz w:val="20"/>
          <w:szCs w:val="20"/>
          <w:lang w:eastAsia="pt-BR"/>
        </w:rPr>
        <w:t xml:space="preserve"> </w:t>
      </w:r>
      <w:r w:rsidRPr="00687FB0">
        <w:rPr>
          <w:rFonts w:eastAsia="Times New Roman" w:cs="Times New Roman"/>
          <w:i/>
          <w:sz w:val="20"/>
          <w:szCs w:val="20"/>
          <w:lang w:eastAsia="pt-BR"/>
        </w:rPr>
        <w:t>Bills</w:t>
      </w:r>
      <w:r w:rsidRPr="00F52841">
        <w:rPr>
          <w:rFonts w:eastAsia="Times New Roman" w:cs="Times New Roman"/>
          <w:sz w:val="20"/>
          <w:szCs w:val="20"/>
          <w:lang w:eastAsia="pt-BR"/>
        </w:rPr>
        <w:t xml:space="preserve"> em dólares americanos.</w:t>
      </w:r>
    </w:p>
  </w:footnote>
  <w:footnote w:id="19">
    <w:p w:rsidR="00210A2B" w:rsidRDefault="00210A2B">
      <w:pPr>
        <w:pStyle w:val="FootnoteText"/>
      </w:pPr>
      <w:r>
        <w:rPr>
          <w:rStyle w:val="FootnoteReference"/>
        </w:rPr>
        <w:footnoteRef/>
      </w:r>
      <w:r w:rsidRPr="005B7A02">
        <w:t>Contratos futuros de cupom cambial são cotados na BM&amp;F. Além do contrato tra</w:t>
      </w:r>
      <w:r>
        <w:t xml:space="preserve">dicional de cupom cambial (DDI) oucupom cambial sujo, </w:t>
      </w:r>
      <w:r w:rsidRPr="005B7A02">
        <w:t xml:space="preserve">também existem cotações do </w:t>
      </w:r>
      <w:r w:rsidRPr="005B7A02">
        <w:rPr>
          <w:i/>
        </w:rPr>
        <w:t>Forward Rate Agreement</w:t>
      </w:r>
      <w:r w:rsidRPr="005B7A02">
        <w:t xml:space="preserve"> de cupom cambial (FRC). Este último é conhecido como cupom cambial limpo, pois expurga a distorção causada pela variação cambial em relação ao dia anterior da compra (venda) do contrato</w:t>
      </w:r>
      <w:r>
        <w:t xml:space="preserve">. </w:t>
      </w:r>
      <w:r w:rsidRPr="005B7A02">
        <w:t xml:space="preserve">Na verdade o FRA de cupom não é um ativo diferente do cupom cambial. É uma operação combinada </w:t>
      </w:r>
      <w:r w:rsidRPr="00271C13">
        <w:t>de dois contratos DDI. A venda de um cupom cambial limpo (FRC) equivale à venda de um cupom sujo (DDI) longo casada com a compra de um contrato DDI curto.</w:t>
      </w:r>
    </w:p>
  </w:footnote>
  <w:footnote w:id="20">
    <w:p w:rsidR="00210A2B" w:rsidRPr="00130FB2" w:rsidRDefault="00210A2B" w:rsidP="00F827A4">
      <w:pPr>
        <w:rPr>
          <w:rFonts w:eastAsia="Times New Roman" w:cs="Times New Roman"/>
          <w:sz w:val="20"/>
          <w:szCs w:val="20"/>
          <w:lang w:eastAsia="pt-BR"/>
        </w:rPr>
      </w:pPr>
      <w:r w:rsidRPr="00130FB2">
        <w:rPr>
          <w:rStyle w:val="FootnoteReference"/>
          <w:sz w:val="20"/>
          <w:szCs w:val="20"/>
        </w:rPr>
        <w:footnoteRef/>
      </w:r>
      <w:r w:rsidRPr="00130FB2">
        <w:rPr>
          <w:rFonts w:eastAsia="Times New Roman" w:cs="Times New Roman"/>
          <w:sz w:val="20"/>
          <w:szCs w:val="20"/>
          <w:lang w:eastAsia="pt-BR"/>
        </w:rPr>
        <w:t>A série foi obtida no sistema gerenciador de séries temporais do Banco Central do Brasil (série 12).</w:t>
      </w:r>
    </w:p>
  </w:footnote>
  <w:footnote w:id="21">
    <w:p w:rsidR="00210A2B" w:rsidRPr="00FF0A0E" w:rsidRDefault="00210A2B" w:rsidP="00960203">
      <w:pPr>
        <w:rPr>
          <w:rFonts w:eastAsia="Times New Roman" w:cs="Times New Roman"/>
          <w:sz w:val="20"/>
          <w:szCs w:val="20"/>
          <w:lang w:eastAsia="pt-BR"/>
        </w:rPr>
      </w:pPr>
      <w:r w:rsidRPr="00FF0A0E">
        <w:rPr>
          <w:rStyle w:val="FootnoteReference"/>
          <w:sz w:val="20"/>
          <w:szCs w:val="20"/>
        </w:rPr>
        <w:footnoteRef/>
      </w:r>
      <w:r w:rsidRPr="00FF0A0E">
        <w:rPr>
          <w:rFonts w:eastAsia="Times New Roman" w:cs="Times New Roman"/>
          <w:i/>
          <w:iCs/>
          <w:sz w:val="20"/>
          <w:szCs w:val="20"/>
          <w:lang w:eastAsia="pt-BR"/>
        </w:rPr>
        <w:t>O</w:t>
      </w:r>
      <w:r>
        <w:rPr>
          <w:rFonts w:eastAsia="Times New Roman" w:cs="Times New Roman"/>
          <w:i/>
          <w:iCs/>
          <w:sz w:val="20"/>
          <w:szCs w:val="20"/>
          <w:lang w:eastAsia="pt-BR"/>
        </w:rPr>
        <w:t xml:space="preserve"> </w:t>
      </w:r>
      <w:r w:rsidRPr="00FF0A0E">
        <w:rPr>
          <w:rFonts w:eastAsia="Times New Roman" w:cs="Times New Roman"/>
          <w:i/>
          <w:iCs/>
          <w:sz w:val="20"/>
          <w:szCs w:val="20"/>
          <w:lang w:eastAsia="pt-BR"/>
        </w:rPr>
        <w:t>forward</w:t>
      </w:r>
      <w:r>
        <w:rPr>
          <w:rFonts w:eastAsia="Times New Roman" w:cs="Times New Roman"/>
          <w:i/>
          <w:iCs/>
          <w:sz w:val="20"/>
          <w:szCs w:val="20"/>
          <w:lang w:eastAsia="pt-BR"/>
        </w:rPr>
        <w:t xml:space="preserve"> </w:t>
      </w:r>
      <w:r w:rsidRPr="00FF0A0E">
        <w:rPr>
          <w:rFonts w:eastAsia="Times New Roman" w:cs="Times New Roman"/>
          <w:i/>
          <w:iCs/>
          <w:sz w:val="20"/>
          <w:szCs w:val="20"/>
          <w:lang w:eastAsia="pt-BR"/>
        </w:rPr>
        <w:t>premium</w:t>
      </w:r>
      <w:r>
        <w:rPr>
          <w:rFonts w:eastAsia="Times New Roman" w:cs="Times New Roman"/>
          <w:i/>
          <w:iCs/>
          <w:sz w:val="20"/>
          <w:szCs w:val="20"/>
          <w:lang w:eastAsia="pt-BR"/>
        </w:rPr>
        <w:t xml:space="preserve"> </w:t>
      </w:r>
      <w:r w:rsidRPr="00FF0A0E">
        <w:rPr>
          <w:rFonts w:eastAsia="Times New Roman" w:cs="Times New Roman"/>
          <w:sz w:val="20"/>
          <w:szCs w:val="20"/>
          <w:lang w:eastAsia="pt-BR"/>
        </w:rPr>
        <w:t xml:space="preserve">é calculado pela simples divisão entre a taxa de câmbio do contrato futuro pela média entre as taxas </w:t>
      </w:r>
      <w:r w:rsidRPr="006972C3">
        <w:rPr>
          <w:rFonts w:eastAsia="Times New Roman" w:cs="Times New Roman"/>
          <w:i/>
          <w:sz w:val="20"/>
          <w:szCs w:val="20"/>
          <w:lang w:eastAsia="pt-BR"/>
        </w:rPr>
        <w:t>spot</w:t>
      </w:r>
      <w:r w:rsidRPr="00FF0A0E">
        <w:rPr>
          <w:rFonts w:eastAsia="Times New Roman" w:cs="Times New Roman"/>
          <w:sz w:val="20"/>
          <w:szCs w:val="20"/>
          <w:lang w:eastAsia="pt-BR"/>
        </w:rPr>
        <w:t xml:space="preserve"> de c</w:t>
      </w:r>
      <w:r>
        <w:rPr>
          <w:rFonts w:eastAsia="Times New Roman" w:cs="Times New Roman"/>
          <w:sz w:val="20"/>
          <w:szCs w:val="20"/>
          <w:lang w:eastAsia="pt-BR"/>
        </w:rPr>
        <w:t>ompra e venda para o mesmo dia.</w:t>
      </w:r>
    </w:p>
  </w:footnote>
  <w:footnote w:id="22">
    <w:p w:rsidR="00210A2B" w:rsidRPr="00675AEB" w:rsidRDefault="00210A2B" w:rsidP="00675AEB">
      <w:pPr>
        <w:rPr>
          <w:rFonts w:eastAsia="Times New Roman" w:cs="Times New Roman"/>
          <w:sz w:val="20"/>
          <w:szCs w:val="20"/>
          <w:lang w:eastAsia="pt-BR"/>
        </w:rPr>
      </w:pPr>
      <w:r w:rsidRPr="00FF0A0E">
        <w:rPr>
          <w:rStyle w:val="FootnoteReference"/>
          <w:sz w:val="20"/>
          <w:szCs w:val="20"/>
        </w:rPr>
        <w:footnoteRef/>
      </w:r>
      <w:r>
        <w:rPr>
          <w:sz w:val="20"/>
          <w:szCs w:val="20"/>
        </w:rPr>
        <w:t>O</w:t>
      </w:r>
      <w:r w:rsidRPr="00FF0A0E">
        <w:rPr>
          <w:rFonts w:eastAsia="Times New Roman" w:cs="Times New Roman"/>
          <w:sz w:val="20"/>
          <w:szCs w:val="20"/>
          <w:lang w:eastAsia="pt-BR"/>
        </w:rPr>
        <w:t xml:space="preserve"> diferencial de juros (</w:t>
      </w:r>
      <w:r w:rsidRPr="00FF0A0E">
        <w:rPr>
          <w:rFonts w:eastAsia="Times New Roman" w:cs="Times New Roman"/>
          <w:i/>
          <w:iCs/>
          <w:sz w:val="20"/>
          <w:szCs w:val="20"/>
          <w:lang w:eastAsia="pt-BR"/>
        </w:rPr>
        <w:t>iiF09</w:t>
      </w:r>
      <w:r w:rsidRPr="00FF0A0E">
        <w:rPr>
          <w:rFonts w:eastAsia="Times New Roman" w:cs="Times New Roman"/>
          <w:sz w:val="20"/>
          <w:szCs w:val="20"/>
          <w:lang w:eastAsia="pt-BR"/>
        </w:rPr>
        <w:t>) é calculado utilizando o CDI como a taxa interna e a taxa do contrato de FRC do contrato F09 como a externa</w:t>
      </w:r>
      <w:r>
        <w:rPr>
          <w:rFonts w:eastAsia="Times New Roman" w:cs="Times New Roman"/>
          <w:sz w:val="20"/>
          <w:szCs w:val="20"/>
          <w:lang w:eastAsia="pt-BR"/>
        </w:rPr>
        <w:t xml:space="preserve">. </w:t>
      </w:r>
      <w:r w:rsidRPr="00FF0A0E">
        <w:rPr>
          <w:rFonts w:eastAsia="Times New Roman" w:cs="Times New Roman"/>
          <w:sz w:val="20"/>
          <w:szCs w:val="20"/>
          <w:lang w:eastAsia="pt-BR"/>
        </w:rPr>
        <w:t xml:space="preserve">Para ser compatível com o </w:t>
      </w:r>
      <w:r w:rsidRPr="00FF0A0E">
        <w:rPr>
          <w:rFonts w:eastAsia="Times New Roman" w:cs="Times New Roman"/>
          <w:i/>
          <w:iCs/>
          <w:sz w:val="20"/>
          <w:szCs w:val="20"/>
          <w:lang w:eastAsia="pt-BR"/>
        </w:rPr>
        <w:t>forward</w:t>
      </w:r>
      <w:r>
        <w:rPr>
          <w:rFonts w:eastAsia="Times New Roman" w:cs="Times New Roman"/>
          <w:i/>
          <w:iCs/>
          <w:sz w:val="20"/>
          <w:szCs w:val="20"/>
          <w:lang w:eastAsia="pt-BR"/>
        </w:rPr>
        <w:t xml:space="preserve"> </w:t>
      </w:r>
      <w:r w:rsidRPr="00FF0A0E">
        <w:rPr>
          <w:rFonts w:eastAsia="Times New Roman" w:cs="Times New Roman"/>
          <w:i/>
          <w:iCs/>
          <w:sz w:val="20"/>
          <w:szCs w:val="20"/>
          <w:lang w:eastAsia="pt-BR"/>
        </w:rPr>
        <w:t>premium</w:t>
      </w:r>
      <w:r>
        <w:rPr>
          <w:rFonts w:eastAsia="Times New Roman" w:cs="Times New Roman"/>
          <w:i/>
          <w:iCs/>
          <w:sz w:val="20"/>
          <w:szCs w:val="20"/>
          <w:lang w:eastAsia="pt-BR"/>
        </w:rPr>
        <w:t xml:space="preserve"> </w:t>
      </w:r>
      <w:r w:rsidRPr="00FF0A0E">
        <w:rPr>
          <w:rFonts w:eastAsia="Times New Roman" w:cs="Times New Roman"/>
          <w:sz w:val="20"/>
          <w:szCs w:val="20"/>
          <w:lang w:eastAsia="pt-BR"/>
        </w:rPr>
        <w:t xml:space="preserve">correspondente, ambas </w:t>
      </w:r>
      <w:r>
        <w:rPr>
          <w:rFonts w:eastAsia="Times New Roman" w:cs="Times New Roman"/>
          <w:sz w:val="20"/>
          <w:szCs w:val="20"/>
          <w:lang w:eastAsia="pt-BR"/>
        </w:rPr>
        <w:t xml:space="preserve">são </w:t>
      </w:r>
      <w:r w:rsidRPr="00FF0A0E">
        <w:rPr>
          <w:rFonts w:eastAsia="Times New Roman" w:cs="Times New Roman"/>
          <w:sz w:val="20"/>
          <w:szCs w:val="20"/>
          <w:lang w:eastAsia="pt-BR"/>
        </w:rPr>
        <w:t xml:space="preserve">ajustadas pelo número de dias </w:t>
      </w:r>
      <w:r>
        <w:rPr>
          <w:rFonts w:eastAsia="Times New Roman" w:cs="Times New Roman"/>
          <w:sz w:val="20"/>
          <w:szCs w:val="20"/>
          <w:lang w:eastAsia="pt-BR"/>
        </w:rPr>
        <w:t xml:space="preserve">até o vencimento dos contratos. As letras </w:t>
      </w:r>
      <m:oMath>
        <m:r>
          <w:rPr>
            <w:rFonts w:ascii="Cambria Math" w:eastAsia="Times New Roman" w:hAnsi="Cambria Math" w:cs="Times New Roman"/>
            <w:sz w:val="20"/>
            <w:szCs w:val="20"/>
            <w:lang w:eastAsia="pt-BR"/>
          </w:rPr>
          <m:t>k</m:t>
        </m:r>
      </m:oMath>
      <w:r>
        <w:rPr>
          <w:rFonts w:eastAsia="Times New Roman" w:cs="Times New Roman"/>
          <w:sz w:val="20"/>
          <w:szCs w:val="20"/>
          <w:lang w:eastAsia="pt-BR"/>
        </w:rPr>
        <w:t xml:space="preserve"> e </w:t>
      </w:r>
      <m:oMath>
        <m:r>
          <w:rPr>
            <w:rFonts w:ascii="Cambria Math" w:eastAsia="Times New Roman" w:hAnsi="Cambria Math" w:cs="Times New Roman"/>
            <w:sz w:val="20"/>
            <w:szCs w:val="20"/>
            <w:lang w:eastAsia="pt-BR"/>
          </w:rPr>
          <m:t>n</m:t>
        </m:r>
      </m:oMath>
      <w:r>
        <w:rPr>
          <w:rFonts w:eastAsia="Times New Roman" w:cs="Times New Roman"/>
          <w:sz w:val="20"/>
          <w:szCs w:val="20"/>
          <w:lang w:eastAsia="pt-BR"/>
        </w:rPr>
        <w:t xml:space="preserve"> representam o número de dias corridos e úteis, respectivamente entre o início da operação </w:t>
      </w:r>
      <m:oMath>
        <m:r>
          <w:rPr>
            <w:rFonts w:ascii="Cambria Math" w:eastAsia="Times New Roman" w:hAnsi="Cambria Math" w:cs="Times New Roman"/>
            <w:sz w:val="20"/>
            <w:szCs w:val="20"/>
            <w:lang w:eastAsia="pt-BR"/>
          </w:rPr>
          <m:t>(t)</m:t>
        </m:r>
      </m:oMath>
      <w:r>
        <w:rPr>
          <w:rFonts w:eastAsia="Times New Roman" w:cs="Times New Roman"/>
          <w:sz w:val="20"/>
          <w:szCs w:val="20"/>
          <w:lang w:eastAsia="pt-BR"/>
        </w:rPr>
        <w:t xml:space="preserve"> e o vencimento do contrato </w:t>
      </w:r>
      <m:oMath>
        <m:r>
          <w:rPr>
            <w:rFonts w:ascii="Cambria Math" w:eastAsia="Times New Roman" w:hAnsi="Cambria Math" w:cs="Times New Roman"/>
            <w:sz w:val="20"/>
            <w:szCs w:val="20"/>
            <w:lang w:eastAsia="pt-BR"/>
          </w:rPr>
          <m:t>(t+k)</m:t>
        </m:r>
      </m:oMath>
      <w:r>
        <w:rPr>
          <w:rFonts w:eastAsia="Times New Roman" w:cs="Times New Roman"/>
          <w:sz w:val="20"/>
          <w:szCs w:val="20"/>
          <w:lang w:eastAsia="pt-BR"/>
        </w:rPr>
        <w:t>.</w:t>
      </w:r>
    </w:p>
  </w:footnote>
  <w:footnote w:id="23">
    <w:p w:rsidR="00210A2B" w:rsidRPr="001D7B43" w:rsidRDefault="00210A2B" w:rsidP="00AB4196">
      <w:pPr>
        <w:rPr>
          <w:rFonts w:eastAsia="Times New Roman" w:cs="Times New Roman"/>
          <w:sz w:val="20"/>
          <w:szCs w:val="20"/>
          <w:lang w:eastAsia="pt-BR"/>
        </w:rPr>
      </w:pPr>
      <w:r w:rsidRPr="001D7B43">
        <w:rPr>
          <w:rStyle w:val="FootnoteReference"/>
          <w:sz w:val="20"/>
          <w:szCs w:val="20"/>
        </w:rPr>
        <w:footnoteRef/>
      </w:r>
      <w:r>
        <w:rPr>
          <w:rFonts w:eastAsia="Times New Roman" w:cs="Times New Roman"/>
          <w:sz w:val="20"/>
          <w:szCs w:val="20"/>
          <w:lang w:eastAsia="pt-BR"/>
        </w:rPr>
        <w:t xml:space="preserve"> </w:t>
      </w:r>
      <w:r w:rsidRPr="001D7B43">
        <w:rPr>
          <w:rFonts w:eastAsia="Times New Roman" w:cs="Times New Roman"/>
          <w:sz w:val="20"/>
          <w:szCs w:val="20"/>
          <w:lang w:eastAsia="pt-BR"/>
        </w:rPr>
        <w:t>Esta estratégia para obter s</w:t>
      </w:r>
      <w:r>
        <w:rPr>
          <w:rFonts w:eastAsia="Times New Roman" w:cs="Times New Roman"/>
          <w:sz w:val="20"/>
          <w:szCs w:val="20"/>
          <w:lang w:eastAsia="pt-BR"/>
        </w:rPr>
        <w:t>é</w:t>
      </w:r>
      <w:r w:rsidRPr="001D7B43">
        <w:rPr>
          <w:rFonts w:eastAsia="Times New Roman" w:cs="Times New Roman"/>
          <w:sz w:val="20"/>
          <w:szCs w:val="20"/>
          <w:lang w:eastAsia="pt-BR"/>
        </w:rPr>
        <w:t>ries a partir de diferentes contratos futuros é semelhante à explicada por Ventura e Garcia (2011, p.39) para elaborar uma série para as taxas de câmbio futuro, mas no nosso caso não utilizamos os contratos para todos os meses do ano.</w:t>
      </w:r>
    </w:p>
  </w:footnote>
  <w:footnote w:id="24">
    <w:p w:rsidR="00210A2B" w:rsidRPr="00F52841" w:rsidRDefault="00210A2B" w:rsidP="00B11BA7">
      <w:pPr>
        <w:rPr>
          <w:sz w:val="20"/>
          <w:szCs w:val="20"/>
        </w:rPr>
      </w:pPr>
      <w:r w:rsidRPr="00FF0A0E">
        <w:rPr>
          <w:rStyle w:val="FootnoteReference"/>
          <w:sz w:val="20"/>
          <w:szCs w:val="20"/>
        </w:rPr>
        <w:footnoteRef/>
      </w:r>
      <w:r w:rsidRPr="00931D7D">
        <w:rPr>
          <w:sz w:val="20"/>
          <w:szCs w:val="20"/>
        </w:rPr>
        <w:t xml:space="preserve">Ver Baba e Packer (2008) e </w:t>
      </w:r>
      <w:r w:rsidRPr="00931D7D">
        <w:rPr>
          <w:rFonts w:eastAsia="Times New Roman" w:cs="Times New Roman"/>
          <w:sz w:val="20"/>
          <w:szCs w:val="20"/>
          <w:lang w:eastAsia="pt-BR"/>
        </w:rPr>
        <w:t>Coffey, Hrung e Sarkar (2009).</w:t>
      </w:r>
    </w:p>
  </w:footnote>
  <w:footnote w:id="25">
    <w:p w:rsidR="00210A2B" w:rsidRPr="00F52841" w:rsidRDefault="00210A2B" w:rsidP="00E50236">
      <w:pPr>
        <w:rPr>
          <w:rFonts w:eastAsia="Times New Roman" w:cs="Times New Roman"/>
          <w:sz w:val="20"/>
          <w:szCs w:val="20"/>
          <w:lang w:eastAsia="pt-BR"/>
        </w:rPr>
      </w:pPr>
      <w:r w:rsidRPr="00FB3DF7">
        <w:rPr>
          <w:rStyle w:val="FootnoteReference"/>
          <w:sz w:val="20"/>
          <w:szCs w:val="20"/>
        </w:rPr>
        <w:footnoteRef/>
      </w:r>
      <w:r w:rsidRPr="00F52841">
        <w:rPr>
          <w:rFonts w:eastAsia="Times New Roman" w:cs="Times New Roman"/>
          <w:sz w:val="20"/>
          <w:szCs w:val="20"/>
          <w:lang w:eastAsia="pt-BR"/>
        </w:rPr>
        <w:t xml:space="preserve">As três taxas de juros externas foram obtidas no Federal Reserve Economic Data do Federal Reserve Bank of St. Louis. O </w:t>
      </w:r>
      <w:r w:rsidRPr="0098768D">
        <w:rPr>
          <w:rFonts w:eastAsia="Times New Roman" w:cs="Times New Roman"/>
          <w:i/>
          <w:sz w:val="20"/>
          <w:szCs w:val="20"/>
          <w:lang w:eastAsia="pt-BR"/>
        </w:rPr>
        <w:t>embi+</w:t>
      </w:r>
      <w:r w:rsidRPr="00F52841">
        <w:rPr>
          <w:rFonts w:eastAsia="Times New Roman" w:cs="Times New Roman"/>
          <w:sz w:val="20"/>
          <w:szCs w:val="20"/>
          <w:lang w:eastAsia="pt-BR"/>
        </w:rPr>
        <w:t xml:space="preserve"> brasileiro, calculado pelo J.P. Morgan foi extraído do IPEADATA.</w:t>
      </w:r>
    </w:p>
  </w:footnote>
  <w:footnote w:id="26">
    <w:p w:rsidR="00210A2B" w:rsidRDefault="00210A2B">
      <w:pPr>
        <w:pStyle w:val="FootnoteText"/>
      </w:pPr>
      <w:r>
        <w:rPr>
          <w:rStyle w:val="FootnoteReference"/>
        </w:rPr>
        <w:footnoteRef/>
      </w:r>
      <w:r>
        <w:t xml:space="preserve"> Nesses dois últimos casos, </w:t>
      </w:r>
      <w:r w:rsidRPr="00E50236">
        <w:rPr>
          <w:rFonts w:eastAsia="Times New Roman" w:cs="Times New Roman"/>
          <w:szCs w:val="24"/>
          <w:lang w:eastAsia="pt-BR"/>
        </w:rPr>
        <w:t xml:space="preserve">permitimos um máximo de 63 </w:t>
      </w:r>
      <w:r w:rsidRPr="00BF4852">
        <w:rPr>
          <w:rFonts w:eastAsia="Times New Roman" w:cs="Times New Roman"/>
          <w:i/>
          <w:szCs w:val="24"/>
          <w:lang w:eastAsia="pt-BR"/>
        </w:rPr>
        <w:t>lags</w:t>
      </w:r>
      <w:r w:rsidRPr="00E50236">
        <w:rPr>
          <w:rFonts w:eastAsia="Times New Roman" w:cs="Times New Roman"/>
          <w:szCs w:val="24"/>
          <w:lang w:eastAsia="pt-BR"/>
        </w:rPr>
        <w:t xml:space="preserve"> que correspondem à aproximadamente três meses, em dias úteis.</w:t>
      </w:r>
    </w:p>
  </w:footnote>
  <w:footnote w:id="27">
    <w:p w:rsidR="00210A2B" w:rsidRDefault="00210A2B">
      <w:pPr>
        <w:pStyle w:val="FootnoteText"/>
      </w:pPr>
      <w:r>
        <w:rPr>
          <w:rStyle w:val="FootnoteReference"/>
        </w:rPr>
        <w:footnoteRef/>
      </w:r>
      <w:r>
        <w:t xml:space="preserve"> No primeiro caso, apenas o teste de PP indica a estacionariedade da série enquanto todos os outros, inclusive o teste KPSS que também não depende do número de </w:t>
      </w:r>
      <w:r w:rsidRPr="004624AF">
        <w:rPr>
          <w:i/>
        </w:rPr>
        <w:t>lags</w:t>
      </w:r>
      <w:r>
        <w:t xml:space="preserve"> selecionados, apontam uma série I(1). E, portanto, parece razoável assumir que a frcF09 possui uma raiz unitária. Os testes para frcF14, por outro lado, são menos conclusivos. Ainda assim optamos para realizar o teste cointegração.</w:t>
      </w:r>
    </w:p>
  </w:footnote>
  <w:footnote w:id="28">
    <w:p w:rsidR="00210A2B" w:rsidRPr="00F52841" w:rsidRDefault="00210A2B" w:rsidP="00E50236">
      <w:pPr>
        <w:rPr>
          <w:rFonts w:eastAsia="Times New Roman" w:cs="Times New Roman"/>
          <w:sz w:val="20"/>
          <w:szCs w:val="20"/>
          <w:lang w:eastAsia="pt-BR"/>
        </w:rPr>
      </w:pPr>
      <w:r w:rsidRPr="00FB3DF7">
        <w:rPr>
          <w:rStyle w:val="FootnoteReference"/>
          <w:sz w:val="20"/>
          <w:szCs w:val="20"/>
        </w:rPr>
        <w:footnoteRef/>
      </w:r>
      <w:r w:rsidRPr="00F52841">
        <w:rPr>
          <w:rFonts w:eastAsia="Times New Roman" w:cs="Times New Roman"/>
          <w:sz w:val="20"/>
          <w:szCs w:val="20"/>
          <w:lang w:eastAsia="pt-BR"/>
        </w:rPr>
        <w:t xml:space="preserve">O teste KPSS aponta na direção contrária dos demais, rejeitando a estacionariedade com um p-valor muito próximo de 10%. Contudo, acreditamos que é as séries são I(0) devido a rejeição da raiz unitária ao nível de 1% nos outros três testes e também porque os resíduos das regressões desta seção também são I(0). </w:t>
      </w:r>
    </w:p>
  </w:footnote>
  <w:footnote w:id="29">
    <w:p w:rsidR="00210A2B" w:rsidRPr="00F52841" w:rsidRDefault="00210A2B" w:rsidP="00E50236">
      <w:pPr>
        <w:rPr>
          <w:sz w:val="20"/>
          <w:szCs w:val="20"/>
        </w:rPr>
      </w:pPr>
      <w:r w:rsidRPr="00FB3DF7">
        <w:rPr>
          <w:rStyle w:val="FootnoteReference"/>
          <w:sz w:val="20"/>
          <w:szCs w:val="20"/>
        </w:rPr>
        <w:footnoteRef/>
      </w:r>
      <w:r w:rsidRPr="00F52841">
        <w:rPr>
          <w:sz w:val="20"/>
          <w:szCs w:val="20"/>
        </w:rPr>
        <w:t xml:space="preserve"> Na</w:t>
      </w:r>
      <w:r>
        <w:rPr>
          <w:sz w:val="20"/>
          <w:szCs w:val="20"/>
        </w:rPr>
        <w:t>s equações das regressões de agora em diantesão apresentado</w:t>
      </w:r>
      <w:r w:rsidRPr="00F52841">
        <w:rPr>
          <w:sz w:val="20"/>
          <w:szCs w:val="20"/>
        </w:rPr>
        <w:t>s os coeficien</w:t>
      </w:r>
      <w:r>
        <w:rPr>
          <w:sz w:val="20"/>
          <w:szCs w:val="20"/>
        </w:rPr>
        <w:t>tes estimados com os respectivos p-valores abaixo</w:t>
      </w:r>
      <w:r w:rsidRPr="00F52841">
        <w:rPr>
          <w:sz w:val="20"/>
          <w:szCs w:val="20"/>
        </w:rPr>
        <w:t xml:space="preserve"> entre parênteses.</w:t>
      </w:r>
    </w:p>
  </w:footnote>
  <w:footnote w:id="30">
    <w:p w:rsidR="00210A2B" w:rsidRPr="00F52841" w:rsidRDefault="00210A2B" w:rsidP="00346B65">
      <w:pPr>
        <w:rPr>
          <w:rFonts w:eastAsia="Times New Roman" w:cs="Times New Roman"/>
          <w:sz w:val="20"/>
          <w:szCs w:val="20"/>
          <w:lang w:eastAsia="pt-BR"/>
        </w:rPr>
      </w:pPr>
      <w:r w:rsidRPr="00FB3DF7">
        <w:rPr>
          <w:rStyle w:val="FootnoteReference"/>
          <w:sz w:val="20"/>
          <w:szCs w:val="20"/>
        </w:rPr>
        <w:footnoteRef/>
      </w:r>
      <w:r>
        <w:rPr>
          <w:rFonts w:eastAsia="Times New Roman" w:cs="Times New Roman"/>
          <w:sz w:val="20"/>
          <w:szCs w:val="20"/>
          <w:lang w:eastAsia="pt-BR"/>
        </w:rPr>
        <w:t xml:space="preserve"> </w:t>
      </w:r>
      <w:r w:rsidRPr="00F52841">
        <w:rPr>
          <w:rFonts w:eastAsia="Times New Roman" w:cs="Times New Roman"/>
          <w:sz w:val="20"/>
          <w:szCs w:val="20"/>
          <w:lang w:eastAsia="pt-BR"/>
        </w:rPr>
        <w:t xml:space="preserve">O teste de Ljung-Box não rejeita a hipótese nula em nenhum dos </w:t>
      </w:r>
      <w:r w:rsidRPr="004C27F4">
        <w:rPr>
          <w:rFonts w:eastAsia="Times New Roman" w:cs="Times New Roman"/>
          <w:i/>
          <w:sz w:val="20"/>
          <w:szCs w:val="20"/>
          <w:lang w:eastAsia="pt-BR"/>
        </w:rPr>
        <w:t>lags</w:t>
      </w:r>
      <w:r w:rsidRPr="00F52841">
        <w:rPr>
          <w:rFonts w:eastAsia="Times New Roman" w:cs="Times New Roman"/>
          <w:sz w:val="20"/>
          <w:szCs w:val="20"/>
          <w:lang w:eastAsia="pt-BR"/>
        </w:rPr>
        <w:t xml:space="preserve"> do correlograma.</w:t>
      </w:r>
    </w:p>
  </w:footnote>
  <w:footnote w:id="31">
    <w:p w:rsidR="00210A2B" w:rsidRDefault="00210A2B">
      <w:pPr>
        <w:pStyle w:val="FootnoteText"/>
      </w:pPr>
      <w:r>
        <w:rPr>
          <w:rStyle w:val="FootnoteReference"/>
        </w:rPr>
        <w:footnoteRef/>
      </w:r>
      <w:r>
        <w:t xml:space="preserve"> Em ambos os modelos, o teste de Wald indica a não rejeição da hipótese de que os coeficientes são iguais a 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7783418"/>
      <w:docPartObj>
        <w:docPartGallery w:val="Page Numbers (Top of Page)"/>
        <w:docPartUnique/>
      </w:docPartObj>
    </w:sdtPr>
    <w:sdtEndPr/>
    <w:sdtContent>
      <w:p w:rsidR="00210A2B" w:rsidRDefault="00210A2B">
        <w:pPr>
          <w:pStyle w:val="Header"/>
          <w:jc w:val="right"/>
        </w:pPr>
        <w:r>
          <w:fldChar w:fldCharType="begin"/>
        </w:r>
        <w:r>
          <w:instrText>PAGE   \* MERGEFORMAT</w:instrText>
        </w:r>
        <w:r>
          <w:fldChar w:fldCharType="separate"/>
        </w:r>
        <w:r w:rsidR="00C34FC7">
          <w:rPr>
            <w:noProof/>
          </w:rPr>
          <w:t>2</w:t>
        </w:r>
        <w:r>
          <w:rPr>
            <w:noProof/>
          </w:rPr>
          <w:fldChar w:fldCharType="end"/>
        </w:r>
      </w:p>
    </w:sdtContent>
  </w:sdt>
  <w:p w:rsidR="00210A2B" w:rsidRDefault="00210A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056DD1"/>
    <w:multiLevelType w:val="hybridMultilevel"/>
    <w:tmpl w:val="94D067DC"/>
    <w:lvl w:ilvl="0" w:tplc="D2C44F5E">
      <w:start w:val="1"/>
      <w:numFmt w:val="decimal"/>
      <w:pStyle w:val="Heading3"/>
      <w:lvlText w:val="Gráfico %1."/>
      <w:lvlJc w:val="left"/>
      <w:pPr>
        <w:ind w:left="36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2533DC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2252D"/>
    <w:multiLevelType w:val="hybridMultilevel"/>
    <w:tmpl w:val="0C42A36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E2F199F"/>
    <w:multiLevelType w:val="multilevel"/>
    <w:tmpl w:val="4D3ED834"/>
    <w:lvl w:ilvl="0">
      <w:start w:val="1"/>
      <w:numFmt w:val="decimal"/>
      <w:lvlText w:val="Gráfico %1."/>
      <w:lvlJc w:val="left"/>
      <w:pPr>
        <w:ind w:left="720" w:hanging="360"/>
      </w:pPr>
      <w:rPr>
        <w:b/>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44156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A2A13E4"/>
    <w:multiLevelType w:val="hybridMultilevel"/>
    <w:tmpl w:val="65DE7F2C"/>
    <w:lvl w:ilvl="0" w:tplc="55983228">
      <w:start w:val="1"/>
      <w:numFmt w:val="decimal"/>
      <w:pStyle w:val="Heading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0656B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42B4CD4"/>
    <w:multiLevelType w:val="hybridMultilevel"/>
    <w:tmpl w:val="57720AE2"/>
    <w:lvl w:ilvl="0" w:tplc="0660DE50">
      <w:start w:val="1"/>
      <w:numFmt w:val="decimal"/>
      <w:pStyle w:val="Heading4"/>
      <w:lvlText w:val="Tabela %1."/>
      <w:lvlJc w:val="left"/>
      <w:pPr>
        <w:ind w:left="36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60A0C98"/>
    <w:multiLevelType w:val="hybridMultilevel"/>
    <w:tmpl w:val="D682D494"/>
    <w:lvl w:ilvl="0" w:tplc="9F949E1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80A07F0"/>
    <w:multiLevelType w:val="hybridMultilevel"/>
    <w:tmpl w:val="AE46427C"/>
    <w:lvl w:ilvl="0" w:tplc="087CDA0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D0D6B02"/>
    <w:multiLevelType w:val="multilevel"/>
    <w:tmpl w:val="F6E0B8DA"/>
    <w:lvl w:ilvl="0">
      <w:start w:val="16"/>
      <w:numFmt w:val="decimal"/>
      <w:lvlText w:val="Tabela %1."/>
      <w:lvlJc w:val="left"/>
      <w:pPr>
        <w:ind w:left="720" w:hanging="360"/>
      </w:pPr>
      <w:rPr>
        <w:rFonts w:hint="default"/>
        <w:b/>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0"/>
  </w:num>
  <w:num w:numId="3">
    <w:abstractNumId w:val="7"/>
  </w:num>
  <w:num w:numId="4">
    <w:abstractNumId w:val="6"/>
  </w:num>
  <w:num w:numId="5">
    <w:abstractNumId w:val="1"/>
  </w:num>
  <w:num w:numId="6">
    <w:abstractNumId w:val="5"/>
  </w:num>
  <w:num w:numId="7">
    <w:abstractNumId w:val="5"/>
    <w:lvlOverride w:ilvl="0">
      <w:startOverride w:val="1"/>
    </w:lvlOverride>
  </w:num>
  <w:num w:numId="8">
    <w:abstractNumId w:val="0"/>
    <w:lvlOverride w:ilvl="0">
      <w:startOverride w:val="1"/>
    </w:lvlOverride>
  </w:num>
  <w:num w:numId="9">
    <w:abstractNumId w:val="3"/>
  </w:num>
  <w:num w:numId="10">
    <w:abstractNumId w:val="10"/>
  </w:num>
  <w:num w:numId="11">
    <w:abstractNumId w:val="5"/>
    <w:lvlOverride w:ilvl="0">
      <w:startOverride w:val="13"/>
    </w:lvlOverride>
  </w:num>
  <w:num w:numId="12">
    <w:abstractNumId w:val="7"/>
    <w:lvlOverride w:ilvl="0">
      <w:startOverride w:val="6"/>
    </w:lvlOverride>
  </w:num>
  <w:num w:numId="13">
    <w:abstractNumId w:val="5"/>
    <w:lvlOverride w:ilvl="0">
      <w:startOverride w:val="14"/>
    </w:lvlOverride>
  </w:num>
  <w:num w:numId="14">
    <w:abstractNumId w:val="7"/>
    <w:lvlOverride w:ilvl="0">
      <w:startOverride w:val="1"/>
    </w:lvlOverride>
  </w:num>
  <w:num w:numId="15">
    <w:abstractNumId w:val="7"/>
    <w:lvlOverride w:ilvl="0">
      <w:startOverride w:val="1"/>
    </w:lvlOverride>
  </w:num>
  <w:num w:numId="16">
    <w:abstractNumId w:val="2"/>
  </w:num>
  <w:num w:numId="17">
    <w:abstractNumId w:val="8"/>
  </w:num>
  <w:num w:numId="18">
    <w:abstractNumId w:val="7"/>
  </w:num>
  <w:num w:numId="19">
    <w:abstractNumId w:val="9"/>
  </w:num>
  <w:num w:numId="20">
    <w:abstractNumId w:val="7"/>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351"/>
    <w:rsid w:val="0000052E"/>
    <w:rsid w:val="0000059C"/>
    <w:rsid w:val="00003702"/>
    <w:rsid w:val="0000552C"/>
    <w:rsid w:val="0000654B"/>
    <w:rsid w:val="000066B9"/>
    <w:rsid w:val="00011407"/>
    <w:rsid w:val="00016337"/>
    <w:rsid w:val="00023388"/>
    <w:rsid w:val="000262DF"/>
    <w:rsid w:val="0002648C"/>
    <w:rsid w:val="000314CD"/>
    <w:rsid w:val="00032D55"/>
    <w:rsid w:val="00032F96"/>
    <w:rsid w:val="0003403D"/>
    <w:rsid w:val="00035180"/>
    <w:rsid w:val="0004376F"/>
    <w:rsid w:val="00053062"/>
    <w:rsid w:val="000552C8"/>
    <w:rsid w:val="00055749"/>
    <w:rsid w:val="000570C7"/>
    <w:rsid w:val="00062231"/>
    <w:rsid w:val="00063B0A"/>
    <w:rsid w:val="0007133D"/>
    <w:rsid w:val="0009427A"/>
    <w:rsid w:val="000945CA"/>
    <w:rsid w:val="00096302"/>
    <w:rsid w:val="000A0958"/>
    <w:rsid w:val="000A37F8"/>
    <w:rsid w:val="000A3C6A"/>
    <w:rsid w:val="000A752D"/>
    <w:rsid w:val="000B02C3"/>
    <w:rsid w:val="000B5235"/>
    <w:rsid w:val="000B76C5"/>
    <w:rsid w:val="000C52D7"/>
    <w:rsid w:val="000C6571"/>
    <w:rsid w:val="000D050E"/>
    <w:rsid w:val="000D4244"/>
    <w:rsid w:val="000E513B"/>
    <w:rsid w:val="000E536E"/>
    <w:rsid w:val="0010458C"/>
    <w:rsid w:val="00105BA1"/>
    <w:rsid w:val="00107DD7"/>
    <w:rsid w:val="0011087C"/>
    <w:rsid w:val="00110B0D"/>
    <w:rsid w:val="00123D57"/>
    <w:rsid w:val="00124BA8"/>
    <w:rsid w:val="001274B0"/>
    <w:rsid w:val="00130573"/>
    <w:rsid w:val="001310DC"/>
    <w:rsid w:val="001314B6"/>
    <w:rsid w:val="00145A52"/>
    <w:rsid w:val="00152EE2"/>
    <w:rsid w:val="001537F0"/>
    <w:rsid w:val="001540AE"/>
    <w:rsid w:val="001567F3"/>
    <w:rsid w:val="001735AF"/>
    <w:rsid w:val="00177CA3"/>
    <w:rsid w:val="001807A4"/>
    <w:rsid w:val="00184591"/>
    <w:rsid w:val="00185393"/>
    <w:rsid w:val="001861E8"/>
    <w:rsid w:val="00186239"/>
    <w:rsid w:val="00193867"/>
    <w:rsid w:val="00194D82"/>
    <w:rsid w:val="001A5D07"/>
    <w:rsid w:val="001A631C"/>
    <w:rsid w:val="001A773F"/>
    <w:rsid w:val="001B1EEA"/>
    <w:rsid w:val="001B4025"/>
    <w:rsid w:val="001B6343"/>
    <w:rsid w:val="001B6C1F"/>
    <w:rsid w:val="001C7D49"/>
    <w:rsid w:val="001D3F06"/>
    <w:rsid w:val="001E2D0E"/>
    <w:rsid w:val="001E5B06"/>
    <w:rsid w:val="001F3E66"/>
    <w:rsid w:val="001F62A8"/>
    <w:rsid w:val="001F6321"/>
    <w:rsid w:val="00205CEC"/>
    <w:rsid w:val="002105CC"/>
    <w:rsid w:val="00210A2B"/>
    <w:rsid w:val="00211AD6"/>
    <w:rsid w:val="0021601B"/>
    <w:rsid w:val="00217631"/>
    <w:rsid w:val="00217835"/>
    <w:rsid w:val="00230264"/>
    <w:rsid w:val="002317F2"/>
    <w:rsid w:val="00231E34"/>
    <w:rsid w:val="002347C8"/>
    <w:rsid w:val="0023789D"/>
    <w:rsid w:val="00240076"/>
    <w:rsid w:val="00240733"/>
    <w:rsid w:val="002466BC"/>
    <w:rsid w:val="002500C6"/>
    <w:rsid w:val="00260D09"/>
    <w:rsid w:val="002627D9"/>
    <w:rsid w:val="00263774"/>
    <w:rsid w:val="00266108"/>
    <w:rsid w:val="00267252"/>
    <w:rsid w:val="002704AC"/>
    <w:rsid w:val="00270D76"/>
    <w:rsid w:val="00271C13"/>
    <w:rsid w:val="002805D1"/>
    <w:rsid w:val="00286A22"/>
    <w:rsid w:val="00290D80"/>
    <w:rsid w:val="00290F66"/>
    <w:rsid w:val="00292C18"/>
    <w:rsid w:val="002945DC"/>
    <w:rsid w:val="002A3351"/>
    <w:rsid w:val="002A5379"/>
    <w:rsid w:val="002A54DB"/>
    <w:rsid w:val="002B60F2"/>
    <w:rsid w:val="002B6225"/>
    <w:rsid w:val="002C5D23"/>
    <w:rsid w:val="002D65BA"/>
    <w:rsid w:val="002E05C5"/>
    <w:rsid w:val="002E1AD2"/>
    <w:rsid w:val="002E1B15"/>
    <w:rsid w:val="002E2D54"/>
    <w:rsid w:val="002E61C3"/>
    <w:rsid w:val="002E74FB"/>
    <w:rsid w:val="002F6113"/>
    <w:rsid w:val="002F673F"/>
    <w:rsid w:val="002F7305"/>
    <w:rsid w:val="00300CC5"/>
    <w:rsid w:val="00310A4F"/>
    <w:rsid w:val="00312838"/>
    <w:rsid w:val="003130C4"/>
    <w:rsid w:val="00314C51"/>
    <w:rsid w:val="00321877"/>
    <w:rsid w:val="00330BE2"/>
    <w:rsid w:val="00332BC3"/>
    <w:rsid w:val="00333AF6"/>
    <w:rsid w:val="00333B59"/>
    <w:rsid w:val="00334C5E"/>
    <w:rsid w:val="0033656A"/>
    <w:rsid w:val="0034226D"/>
    <w:rsid w:val="00344E5F"/>
    <w:rsid w:val="00345826"/>
    <w:rsid w:val="00346B65"/>
    <w:rsid w:val="00351F14"/>
    <w:rsid w:val="0035385C"/>
    <w:rsid w:val="00360C88"/>
    <w:rsid w:val="00366049"/>
    <w:rsid w:val="00366836"/>
    <w:rsid w:val="003734C3"/>
    <w:rsid w:val="00374BE7"/>
    <w:rsid w:val="00375EB4"/>
    <w:rsid w:val="00376CDF"/>
    <w:rsid w:val="003775A0"/>
    <w:rsid w:val="003826EC"/>
    <w:rsid w:val="00383703"/>
    <w:rsid w:val="0038532C"/>
    <w:rsid w:val="0038616C"/>
    <w:rsid w:val="00387897"/>
    <w:rsid w:val="003959E4"/>
    <w:rsid w:val="003B1C6B"/>
    <w:rsid w:val="003C75DA"/>
    <w:rsid w:val="003D01BE"/>
    <w:rsid w:val="003D0E36"/>
    <w:rsid w:val="003D1DF7"/>
    <w:rsid w:val="003D63CF"/>
    <w:rsid w:val="003E034D"/>
    <w:rsid w:val="003E4FDE"/>
    <w:rsid w:val="003E5DB8"/>
    <w:rsid w:val="003F2187"/>
    <w:rsid w:val="003F73A7"/>
    <w:rsid w:val="004157F5"/>
    <w:rsid w:val="00415FEE"/>
    <w:rsid w:val="00416297"/>
    <w:rsid w:val="00416A6D"/>
    <w:rsid w:val="00421290"/>
    <w:rsid w:val="00422323"/>
    <w:rsid w:val="00427F12"/>
    <w:rsid w:val="00430012"/>
    <w:rsid w:val="00432B93"/>
    <w:rsid w:val="00432F2B"/>
    <w:rsid w:val="00436697"/>
    <w:rsid w:val="0044073C"/>
    <w:rsid w:val="00441476"/>
    <w:rsid w:val="00446C6B"/>
    <w:rsid w:val="00450423"/>
    <w:rsid w:val="004506CC"/>
    <w:rsid w:val="0046029F"/>
    <w:rsid w:val="004624AF"/>
    <w:rsid w:val="004672DA"/>
    <w:rsid w:val="004722A5"/>
    <w:rsid w:val="00483B76"/>
    <w:rsid w:val="0049077D"/>
    <w:rsid w:val="00496902"/>
    <w:rsid w:val="00496C1A"/>
    <w:rsid w:val="004A44DE"/>
    <w:rsid w:val="004A7B9B"/>
    <w:rsid w:val="004B270A"/>
    <w:rsid w:val="004B49C3"/>
    <w:rsid w:val="004B54FD"/>
    <w:rsid w:val="004C1005"/>
    <w:rsid w:val="004C11E6"/>
    <w:rsid w:val="004C27F4"/>
    <w:rsid w:val="004C46EF"/>
    <w:rsid w:val="004D050A"/>
    <w:rsid w:val="004D15B4"/>
    <w:rsid w:val="004D470A"/>
    <w:rsid w:val="004D7815"/>
    <w:rsid w:val="004F0511"/>
    <w:rsid w:val="004F2DEE"/>
    <w:rsid w:val="00502C07"/>
    <w:rsid w:val="005119A5"/>
    <w:rsid w:val="00514A18"/>
    <w:rsid w:val="00514E34"/>
    <w:rsid w:val="00515F9E"/>
    <w:rsid w:val="00517E4D"/>
    <w:rsid w:val="005220E6"/>
    <w:rsid w:val="0052310B"/>
    <w:rsid w:val="005257A8"/>
    <w:rsid w:val="0052588A"/>
    <w:rsid w:val="005259BE"/>
    <w:rsid w:val="00530D16"/>
    <w:rsid w:val="005312A1"/>
    <w:rsid w:val="00531CFB"/>
    <w:rsid w:val="00532A10"/>
    <w:rsid w:val="005409F8"/>
    <w:rsid w:val="00542BF8"/>
    <w:rsid w:val="0054575A"/>
    <w:rsid w:val="00546D45"/>
    <w:rsid w:val="00552108"/>
    <w:rsid w:val="00557529"/>
    <w:rsid w:val="0056170E"/>
    <w:rsid w:val="00562F48"/>
    <w:rsid w:val="00564BCB"/>
    <w:rsid w:val="0056766A"/>
    <w:rsid w:val="00571CF4"/>
    <w:rsid w:val="00574F82"/>
    <w:rsid w:val="005763DB"/>
    <w:rsid w:val="005764D8"/>
    <w:rsid w:val="00576796"/>
    <w:rsid w:val="00585DD4"/>
    <w:rsid w:val="005963F1"/>
    <w:rsid w:val="0059665F"/>
    <w:rsid w:val="005973D4"/>
    <w:rsid w:val="005A2235"/>
    <w:rsid w:val="005A3011"/>
    <w:rsid w:val="005A5760"/>
    <w:rsid w:val="005A7130"/>
    <w:rsid w:val="005A7BBD"/>
    <w:rsid w:val="005A7C87"/>
    <w:rsid w:val="005B2F0D"/>
    <w:rsid w:val="005B40A9"/>
    <w:rsid w:val="005B7A02"/>
    <w:rsid w:val="005D105B"/>
    <w:rsid w:val="005E0E24"/>
    <w:rsid w:val="005E4C46"/>
    <w:rsid w:val="005E7302"/>
    <w:rsid w:val="005F3E15"/>
    <w:rsid w:val="005F5722"/>
    <w:rsid w:val="005F64C2"/>
    <w:rsid w:val="005F77BB"/>
    <w:rsid w:val="005F7A2C"/>
    <w:rsid w:val="0060111F"/>
    <w:rsid w:val="00602F62"/>
    <w:rsid w:val="006055A9"/>
    <w:rsid w:val="0060797C"/>
    <w:rsid w:val="00607FFC"/>
    <w:rsid w:val="00610683"/>
    <w:rsid w:val="00614EA7"/>
    <w:rsid w:val="00615496"/>
    <w:rsid w:val="00616045"/>
    <w:rsid w:val="006169AC"/>
    <w:rsid w:val="00617C90"/>
    <w:rsid w:val="00624203"/>
    <w:rsid w:val="00636ACF"/>
    <w:rsid w:val="006429EB"/>
    <w:rsid w:val="006460D5"/>
    <w:rsid w:val="00653608"/>
    <w:rsid w:val="0067354F"/>
    <w:rsid w:val="00674542"/>
    <w:rsid w:val="006746F7"/>
    <w:rsid w:val="00675AEB"/>
    <w:rsid w:val="00675BD2"/>
    <w:rsid w:val="00683F0A"/>
    <w:rsid w:val="00687FB0"/>
    <w:rsid w:val="00692ABD"/>
    <w:rsid w:val="00696FF0"/>
    <w:rsid w:val="006972C3"/>
    <w:rsid w:val="006A3E30"/>
    <w:rsid w:val="006A66B5"/>
    <w:rsid w:val="006A6EC5"/>
    <w:rsid w:val="006A769E"/>
    <w:rsid w:val="006A7CED"/>
    <w:rsid w:val="006C209B"/>
    <w:rsid w:val="006C74F2"/>
    <w:rsid w:val="006D0D26"/>
    <w:rsid w:val="006D376B"/>
    <w:rsid w:val="006D3973"/>
    <w:rsid w:val="006E03B6"/>
    <w:rsid w:val="006E117F"/>
    <w:rsid w:val="006F4EDC"/>
    <w:rsid w:val="00714C05"/>
    <w:rsid w:val="0073077A"/>
    <w:rsid w:val="00731929"/>
    <w:rsid w:val="00735B57"/>
    <w:rsid w:val="007425E4"/>
    <w:rsid w:val="00750FEC"/>
    <w:rsid w:val="007515C4"/>
    <w:rsid w:val="007633F5"/>
    <w:rsid w:val="00765FFF"/>
    <w:rsid w:val="00770A26"/>
    <w:rsid w:val="00776327"/>
    <w:rsid w:val="0078184B"/>
    <w:rsid w:val="00782758"/>
    <w:rsid w:val="00783D43"/>
    <w:rsid w:val="00784A35"/>
    <w:rsid w:val="00786D64"/>
    <w:rsid w:val="007975CC"/>
    <w:rsid w:val="007A0130"/>
    <w:rsid w:val="007A0DA7"/>
    <w:rsid w:val="007A1427"/>
    <w:rsid w:val="007B79A6"/>
    <w:rsid w:val="007C04D3"/>
    <w:rsid w:val="007D2C5B"/>
    <w:rsid w:val="007D4EAC"/>
    <w:rsid w:val="007D5FFB"/>
    <w:rsid w:val="007E0CF3"/>
    <w:rsid w:val="007E10CB"/>
    <w:rsid w:val="007E606E"/>
    <w:rsid w:val="007E6408"/>
    <w:rsid w:val="007E6634"/>
    <w:rsid w:val="007F116F"/>
    <w:rsid w:val="007F1425"/>
    <w:rsid w:val="007F49F0"/>
    <w:rsid w:val="008050EA"/>
    <w:rsid w:val="0080767F"/>
    <w:rsid w:val="00811A85"/>
    <w:rsid w:val="00811F85"/>
    <w:rsid w:val="0081354C"/>
    <w:rsid w:val="00814DCB"/>
    <w:rsid w:val="00822065"/>
    <w:rsid w:val="008237C7"/>
    <w:rsid w:val="00832208"/>
    <w:rsid w:val="00834466"/>
    <w:rsid w:val="008350ED"/>
    <w:rsid w:val="00840FB0"/>
    <w:rsid w:val="00842AC0"/>
    <w:rsid w:val="00845F87"/>
    <w:rsid w:val="0085283E"/>
    <w:rsid w:val="00855625"/>
    <w:rsid w:val="008559A7"/>
    <w:rsid w:val="00856A6D"/>
    <w:rsid w:val="00860104"/>
    <w:rsid w:val="00861F20"/>
    <w:rsid w:val="008727E6"/>
    <w:rsid w:val="00893024"/>
    <w:rsid w:val="0089593D"/>
    <w:rsid w:val="008A3352"/>
    <w:rsid w:val="008A49C4"/>
    <w:rsid w:val="008B35BB"/>
    <w:rsid w:val="008C305D"/>
    <w:rsid w:val="008C44A9"/>
    <w:rsid w:val="008C5737"/>
    <w:rsid w:val="008D175D"/>
    <w:rsid w:val="008D362D"/>
    <w:rsid w:val="008D3842"/>
    <w:rsid w:val="008D4D69"/>
    <w:rsid w:val="008D64F4"/>
    <w:rsid w:val="008F3AFE"/>
    <w:rsid w:val="0090108D"/>
    <w:rsid w:val="00901292"/>
    <w:rsid w:val="00906103"/>
    <w:rsid w:val="00911571"/>
    <w:rsid w:val="00914DAF"/>
    <w:rsid w:val="0091684C"/>
    <w:rsid w:val="00921A46"/>
    <w:rsid w:val="00922C2C"/>
    <w:rsid w:val="0092670F"/>
    <w:rsid w:val="00930732"/>
    <w:rsid w:val="00931D7D"/>
    <w:rsid w:val="00932C46"/>
    <w:rsid w:val="00935A73"/>
    <w:rsid w:val="00944273"/>
    <w:rsid w:val="0094751B"/>
    <w:rsid w:val="00951B0B"/>
    <w:rsid w:val="00960203"/>
    <w:rsid w:val="009622EB"/>
    <w:rsid w:val="00970AF1"/>
    <w:rsid w:val="009739A0"/>
    <w:rsid w:val="00980CAD"/>
    <w:rsid w:val="009825BF"/>
    <w:rsid w:val="00983CC5"/>
    <w:rsid w:val="009849B2"/>
    <w:rsid w:val="0098768D"/>
    <w:rsid w:val="00987806"/>
    <w:rsid w:val="009A04B2"/>
    <w:rsid w:val="009A29BA"/>
    <w:rsid w:val="009A707A"/>
    <w:rsid w:val="009B01C1"/>
    <w:rsid w:val="009B44B5"/>
    <w:rsid w:val="009C4BCD"/>
    <w:rsid w:val="009C5C02"/>
    <w:rsid w:val="009C6AAC"/>
    <w:rsid w:val="009C6EB8"/>
    <w:rsid w:val="009D1D40"/>
    <w:rsid w:val="009D326E"/>
    <w:rsid w:val="009D63C3"/>
    <w:rsid w:val="009E2CFA"/>
    <w:rsid w:val="009E6DCF"/>
    <w:rsid w:val="009E75DF"/>
    <w:rsid w:val="009F1997"/>
    <w:rsid w:val="00A13BE7"/>
    <w:rsid w:val="00A16E8A"/>
    <w:rsid w:val="00A212A5"/>
    <w:rsid w:val="00A27F66"/>
    <w:rsid w:val="00A30346"/>
    <w:rsid w:val="00A334A3"/>
    <w:rsid w:val="00A37582"/>
    <w:rsid w:val="00A421D4"/>
    <w:rsid w:val="00A422FE"/>
    <w:rsid w:val="00A50E16"/>
    <w:rsid w:val="00A5569D"/>
    <w:rsid w:val="00A565C7"/>
    <w:rsid w:val="00A635FB"/>
    <w:rsid w:val="00A716DB"/>
    <w:rsid w:val="00A763D0"/>
    <w:rsid w:val="00A821F1"/>
    <w:rsid w:val="00A83140"/>
    <w:rsid w:val="00A9034E"/>
    <w:rsid w:val="00A9216A"/>
    <w:rsid w:val="00A96008"/>
    <w:rsid w:val="00A975D1"/>
    <w:rsid w:val="00AA5CC0"/>
    <w:rsid w:val="00AB0167"/>
    <w:rsid w:val="00AB2BBA"/>
    <w:rsid w:val="00AB4196"/>
    <w:rsid w:val="00AB4D84"/>
    <w:rsid w:val="00AC2290"/>
    <w:rsid w:val="00AD6811"/>
    <w:rsid w:val="00AE1453"/>
    <w:rsid w:val="00AE2F1C"/>
    <w:rsid w:val="00AE5172"/>
    <w:rsid w:val="00AE5B09"/>
    <w:rsid w:val="00AF14ED"/>
    <w:rsid w:val="00B06DA5"/>
    <w:rsid w:val="00B078D4"/>
    <w:rsid w:val="00B11BA7"/>
    <w:rsid w:val="00B1259F"/>
    <w:rsid w:val="00B13FF7"/>
    <w:rsid w:val="00B1538C"/>
    <w:rsid w:val="00B16A9E"/>
    <w:rsid w:val="00B30732"/>
    <w:rsid w:val="00B328E9"/>
    <w:rsid w:val="00B334BA"/>
    <w:rsid w:val="00B33704"/>
    <w:rsid w:val="00B341DD"/>
    <w:rsid w:val="00B35DB6"/>
    <w:rsid w:val="00B470EA"/>
    <w:rsid w:val="00B51028"/>
    <w:rsid w:val="00B52255"/>
    <w:rsid w:val="00B5323B"/>
    <w:rsid w:val="00B54136"/>
    <w:rsid w:val="00B62601"/>
    <w:rsid w:val="00B75D81"/>
    <w:rsid w:val="00B7678D"/>
    <w:rsid w:val="00B83ECC"/>
    <w:rsid w:val="00B934B0"/>
    <w:rsid w:val="00B93C08"/>
    <w:rsid w:val="00BA6ACD"/>
    <w:rsid w:val="00BB2396"/>
    <w:rsid w:val="00BB3301"/>
    <w:rsid w:val="00BB3FD2"/>
    <w:rsid w:val="00BC1158"/>
    <w:rsid w:val="00BD0326"/>
    <w:rsid w:val="00BE15CC"/>
    <w:rsid w:val="00BE4903"/>
    <w:rsid w:val="00BF4852"/>
    <w:rsid w:val="00C005A3"/>
    <w:rsid w:val="00C012F7"/>
    <w:rsid w:val="00C05CC1"/>
    <w:rsid w:val="00C06A09"/>
    <w:rsid w:val="00C2127C"/>
    <w:rsid w:val="00C3083C"/>
    <w:rsid w:val="00C33BE3"/>
    <w:rsid w:val="00C34FC7"/>
    <w:rsid w:val="00C375F1"/>
    <w:rsid w:val="00C51109"/>
    <w:rsid w:val="00C52E41"/>
    <w:rsid w:val="00C5412E"/>
    <w:rsid w:val="00C54949"/>
    <w:rsid w:val="00C55BED"/>
    <w:rsid w:val="00C577FE"/>
    <w:rsid w:val="00C65E0D"/>
    <w:rsid w:val="00C67DD1"/>
    <w:rsid w:val="00C709FB"/>
    <w:rsid w:val="00C81759"/>
    <w:rsid w:val="00C82A48"/>
    <w:rsid w:val="00C83511"/>
    <w:rsid w:val="00C838EE"/>
    <w:rsid w:val="00C92B92"/>
    <w:rsid w:val="00C9790C"/>
    <w:rsid w:val="00CA22D7"/>
    <w:rsid w:val="00CA3EC9"/>
    <w:rsid w:val="00CA65D5"/>
    <w:rsid w:val="00CB1289"/>
    <w:rsid w:val="00CB26AB"/>
    <w:rsid w:val="00CB3A81"/>
    <w:rsid w:val="00CC2086"/>
    <w:rsid w:val="00CC4EDB"/>
    <w:rsid w:val="00CD7058"/>
    <w:rsid w:val="00CF0327"/>
    <w:rsid w:val="00CF114C"/>
    <w:rsid w:val="00CF482B"/>
    <w:rsid w:val="00CF4BEE"/>
    <w:rsid w:val="00D0172A"/>
    <w:rsid w:val="00D01DF4"/>
    <w:rsid w:val="00D02896"/>
    <w:rsid w:val="00D029BC"/>
    <w:rsid w:val="00D05087"/>
    <w:rsid w:val="00D13634"/>
    <w:rsid w:val="00D13D55"/>
    <w:rsid w:val="00D16DF8"/>
    <w:rsid w:val="00D232C0"/>
    <w:rsid w:val="00D30B56"/>
    <w:rsid w:val="00D32EBD"/>
    <w:rsid w:val="00D3524A"/>
    <w:rsid w:val="00D45683"/>
    <w:rsid w:val="00D50CDD"/>
    <w:rsid w:val="00D60F6D"/>
    <w:rsid w:val="00D67829"/>
    <w:rsid w:val="00D73727"/>
    <w:rsid w:val="00D74194"/>
    <w:rsid w:val="00D74D60"/>
    <w:rsid w:val="00D820FF"/>
    <w:rsid w:val="00D8229C"/>
    <w:rsid w:val="00D833AB"/>
    <w:rsid w:val="00D83562"/>
    <w:rsid w:val="00D84E34"/>
    <w:rsid w:val="00D87EB2"/>
    <w:rsid w:val="00D901BC"/>
    <w:rsid w:val="00D970AC"/>
    <w:rsid w:val="00DA1463"/>
    <w:rsid w:val="00DA5ABC"/>
    <w:rsid w:val="00DB51D0"/>
    <w:rsid w:val="00DB667F"/>
    <w:rsid w:val="00DC0155"/>
    <w:rsid w:val="00DD2243"/>
    <w:rsid w:val="00DD25FC"/>
    <w:rsid w:val="00DD2746"/>
    <w:rsid w:val="00DD5290"/>
    <w:rsid w:val="00DD62E2"/>
    <w:rsid w:val="00DD6D3D"/>
    <w:rsid w:val="00DE1E22"/>
    <w:rsid w:val="00DF34C6"/>
    <w:rsid w:val="00DF3A34"/>
    <w:rsid w:val="00E01BB4"/>
    <w:rsid w:val="00E146C0"/>
    <w:rsid w:val="00E15E09"/>
    <w:rsid w:val="00E2283F"/>
    <w:rsid w:val="00E272C0"/>
    <w:rsid w:val="00E3165A"/>
    <w:rsid w:val="00E41007"/>
    <w:rsid w:val="00E41623"/>
    <w:rsid w:val="00E437EF"/>
    <w:rsid w:val="00E50236"/>
    <w:rsid w:val="00E565D2"/>
    <w:rsid w:val="00E60245"/>
    <w:rsid w:val="00E8210E"/>
    <w:rsid w:val="00E83F5E"/>
    <w:rsid w:val="00E85C96"/>
    <w:rsid w:val="00E86FDC"/>
    <w:rsid w:val="00E8717F"/>
    <w:rsid w:val="00E908A6"/>
    <w:rsid w:val="00E90A71"/>
    <w:rsid w:val="00E90C03"/>
    <w:rsid w:val="00E92CCA"/>
    <w:rsid w:val="00E95F10"/>
    <w:rsid w:val="00EA42D0"/>
    <w:rsid w:val="00EA59AB"/>
    <w:rsid w:val="00EB1F70"/>
    <w:rsid w:val="00EB24C1"/>
    <w:rsid w:val="00EB287C"/>
    <w:rsid w:val="00EB3779"/>
    <w:rsid w:val="00EB5F77"/>
    <w:rsid w:val="00ED1A9D"/>
    <w:rsid w:val="00ED3A2E"/>
    <w:rsid w:val="00EE013D"/>
    <w:rsid w:val="00EE1DF6"/>
    <w:rsid w:val="00EE361B"/>
    <w:rsid w:val="00EF3F84"/>
    <w:rsid w:val="00F0459E"/>
    <w:rsid w:val="00F047D8"/>
    <w:rsid w:val="00F05F4B"/>
    <w:rsid w:val="00F16854"/>
    <w:rsid w:val="00F2045B"/>
    <w:rsid w:val="00F20903"/>
    <w:rsid w:val="00F25D9A"/>
    <w:rsid w:val="00F2621A"/>
    <w:rsid w:val="00F276E6"/>
    <w:rsid w:val="00F27EDC"/>
    <w:rsid w:val="00F32AD0"/>
    <w:rsid w:val="00F3521F"/>
    <w:rsid w:val="00F45211"/>
    <w:rsid w:val="00F52841"/>
    <w:rsid w:val="00F54B75"/>
    <w:rsid w:val="00F54C0F"/>
    <w:rsid w:val="00F556BC"/>
    <w:rsid w:val="00F565FF"/>
    <w:rsid w:val="00F57016"/>
    <w:rsid w:val="00F60E5C"/>
    <w:rsid w:val="00F61DDA"/>
    <w:rsid w:val="00F61E30"/>
    <w:rsid w:val="00F66FA1"/>
    <w:rsid w:val="00F75945"/>
    <w:rsid w:val="00F827A4"/>
    <w:rsid w:val="00F82950"/>
    <w:rsid w:val="00F82B41"/>
    <w:rsid w:val="00F8312D"/>
    <w:rsid w:val="00F96BA1"/>
    <w:rsid w:val="00FA16B5"/>
    <w:rsid w:val="00FA1B89"/>
    <w:rsid w:val="00FA5854"/>
    <w:rsid w:val="00FB2A10"/>
    <w:rsid w:val="00FB3DF7"/>
    <w:rsid w:val="00FB4884"/>
    <w:rsid w:val="00FB60B6"/>
    <w:rsid w:val="00FB6E5F"/>
    <w:rsid w:val="00FB7ABC"/>
    <w:rsid w:val="00FC68FF"/>
    <w:rsid w:val="00FC7335"/>
    <w:rsid w:val="00FD07A1"/>
    <w:rsid w:val="00FD36C1"/>
    <w:rsid w:val="00FD5F08"/>
    <w:rsid w:val="00FE5FF9"/>
    <w:rsid w:val="00FE6066"/>
    <w:rsid w:val="00FE6D79"/>
    <w:rsid w:val="00FF2ADE"/>
    <w:rsid w:val="00FF46F8"/>
    <w:rsid w:val="00FF6B7C"/>
    <w:rsid w:val="00FF7DE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261409E-064F-4249-B2D0-C3F8C3F8B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B93"/>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2A3351"/>
    <w:pPr>
      <w:keepNext/>
      <w:keepLines/>
      <w:outlineLvl w:val="0"/>
    </w:pPr>
    <w:rPr>
      <w:rFonts w:eastAsiaTheme="majorEastAsia" w:cstheme="majorBidi"/>
      <w:bCs/>
      <w:smallCaps/>
      <w:color w:val="000000" w:themeColor="text1"/>
      <w:szCs w:val="28"/>
    </w:rPr>
  </w:style>
  <w:style w:type="paragraph" w:styleId="Heading2">
    <w:name w:val="heading 2"/>
    <w:basedOn w:val="Normal"/>
    <w:next w:val="Normal"/>
    <w:link w:val="Heading2Char"/>
    <w:uiPriority w:val="9"/>
    <w:unhideWhenUsed/>
    <w:qFormat/>
    <w:rsid w:val="00C709FB"/>
    <w:pPr>
      <w:keepNext/>
      <w:keepLines/>
      <w:numPr>
        <w:numId w:val="6"/>
      </w:numPr>
      <w:spacing w:before="200" w:after="120"/>
      <w:outlineLvl w:val="1"/>
    </w:pPr>
    <w:rPr>
      <w:rFonts w:eastAsiaTheme="majorEastAsia" w:cstheme="majorBidi"/>
      <w:b/>
      <w:bCs/>
      <w:color w:val="000000" w:themeColor="text1"/>
      <w:szCs w:val="26"/>
    </w:rPr>
  </w:style>
  <w:style w:type="paragraph" w:styleId="Heading3">
    <w:name w:val="heading 3"/>
    <w:aliases w:val="grafico"/>
    <w:basedOn w:val="Normal"/>
    <w:next w:val="Normal"/>
    <w:link w:val="Heading3Char"/>
    <w:uiPriority w:val="9"/>
    <w:unhideWhenUsed/>
    <w:qFormat/>
    <w:rsid w:val="00714C05"/>
    <w:pPr>
      <w:keepNext/>
      <w:keepLines/>
      <w:numPr>
        <w:numId w:val="2"/>
      </w:numPr>
      <w:spacing w:before="120"/>
      <w:ind w:left="357" w:hanging="357"/>
      <w:jc w:val="center"/>
      <w:outlineLvl w:val="2"/>
    </w:pPr>
    <w:rPr>
      <w:rFonts w:eastAsiaTheme="majorEastAsia" w:cstheme="majorBidi"/>
      <w:b/>
      <w:bCs/>
      <w:color w:val="000000" w:themeColor="text1"/>
      <w:sz w:val="20"/>
    </w:rPr>
  </w:style>
  <w:style w:type="paragraph" w:styleId="Heading4">
    <w:name w:val="heading 4"/>
    <w:aliases w:val="Tabela"/>
    <w:basedOn w:val="Normal"/>
    <w:next w:val="Normal"/>
    <w:link w:val="Heading4Char"/>
    <w:uiPriority w:val="9"/>
    <w:unhideWhenUsed/>
    <w:qFormat/>
    <w:rsid w:val="00C709FB"/>
    <w:pPr>
      <w:keepNext/>
      <w:keepLines/>
      <w:numPr>
        <w:numId w:val="3"/>
      </w:numPr>
      <w:spacing w:before="120"/>
      <w:jc w:val="center"/>
      <w:outlineLvl w:val="3"/>
    </w:pPr>
    <w:rPr>
      <w:rFonts w:eastAsiaTheme="majorEastAsia" w:cstheme="majorBidi"/>
      <w:b/>
      <w:bCs/>
      <w:iCs/>
      <w:color w:val="000000" w:themeColor="text1"/>
      <w:sz w:val="20"/>
    </w:rPr>
  </w:style>
  <w:style w:type="paragraph" w:styleId="Heading5">
    <w:name w:val="heading 5"/>
    <w:basedOn w:val="Normal"/>
    <w:next w:val="Normal"/>
    <w:link w:val="Heading5Char"/>
    <w:uiPriority w:val="9"/>
    <w:unhideWhenUsed/>
    <w:qFormat/>
    <w:rsid w:val="00053062"/>
    <w:pPr>
      <w:keepNext/>
      <w:keepLines/>
      <w:spacing w:before="120" w:after="12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351"/>
    <w:rPr>
      <w:rFonts w:ascii="Times New Roman" w:eastAsiaTheme="majorEastAsia" w:hAnsi="Times New Roman" w:cstheme="majorBidi"/>
      <w:bCs/>
      <w:smallCaps/>
      <w:color w:val="000000" w:themeColor="text1"/>
      <w:sz w:val="24"/>
      <w:szCs w:val="28"/>
    </w:rPr>
  </w:style>
  <w:style w:type="character" w:customStyle="1" w:styleId="Heading2Char">
    <w:name w:val="Heading 2 Char"/>
    <w:basedOn w:val="DefaultParagraphFont"/>
    <w:link w:val="Heading2"/>
    <w:uiPriority w:val="9"/>
    <w:rsid w:val="00C709FB"/>
    <w:rPr>
      <w:rFonts w:ascii="Times New Roman" w:eastAsiaTheme="majorEastAsia" w:hAnsi="Times New Roman" w:cstheme="majorBidi"/>
      <w:b/>
      <w:bCs/>
      <w:color w:val="000000" w:themeColor="text1"/>
      <w:sz w:val="24"/>
      <w:szCs w:val="26"/>
    </w:rPr>
  </w:style>
  <w:style w:type="paragraph" w:styleId="Title">
    <w:name w:val="Title"/>
    <w:basedOn w:val="Normal"/>
    <w:next w:val="Normal"/>
    <w:link w:val="TitleChar"/>
    <w:uiPriority w:val="10"/>
    <w:qFormat/>
    <w:rsid w:val="002A3351"/>
    <w:pPr>
      <w:pBdr>
        <w:bottom w:val="single" w:sz="8" w:space="4" w:color="4F81BD" w:themeColor="accent1"/>
      </w:pBdr>
      <w:spacing w:before="120" w:after="120"/>
      <w:contextualSpacing/>
    </w:pPr>
    <w:rPr>
      <w:rFonts w:eastAsiaTheme="majorEastAsia" w:cstheme="majorBidi"/>
      <w:b/>
      <w:color w:val="000000" w:themeColor="text1"/>
      <w:spacing w:val="5"/>
      <w:kern w:val="28"/>
      <w:szCs w:val="52"/>
    </w:rPr>
  </w:style>
  <w:style w:type="character" w:customStyle="1" w:styleId="TitleChar">
    <w:name w:val="Title Char"/>
    <w:basedOn w:val="DefaultParagraphFont"/>
    <w:link w:val="Title"/>
    <w:uiPriority w:val="10"/>
    <w:rsid w:val="002A3351"/>
    <w:rPr>
      <w:rFonts w:ascii="Times New Roman" w:eastAsiaTheme="majorEastAsia" w:hAnsi="Times New Roman" w:cstheme="majorBidi"/>
      <w:b/>
      <w:color w:val="000000" w:themeColor="text1"/>
      <w:spacing w:val="5"/>
      <w:kern w:val="28"/>
      <w:szCs w:val="52"/>
    </w:rPr>
  </w:style>
  <w:style w:type="paragraph" w:styleId="NoSpacing">
    <w:name w:val="No Spacing"/>
    <w:uiPriority w:val="1"/>
    <w:qFormat/>
    <w:rsid w:val="002A3351"/>
    <w:pPr>
      <w:spacing w:after="0" w:line="240" w:lineRule="auto"/>
      <w:jc w:val="both"/>
    </w:pPr>
    <w:rPr>
      <w:rFonts w:ascii="Times New Roman" w:hAnsi="Times New Roman"/>
      <w:sz w:val="24"/>
    </w:rPr>
  </w:style>
  <w:style w:type="character" w:customStyle="1" w:styleId="Heading3Char">
    <w:name w:val="Heading 3 Char"/>
    <w:aliases w:val="grafico Char"/>
    <w:basedOn w:val="DefaultParagraphFont"/>
    <w:link w:val="Heading3"/>
    <w:uiPriority w:val="9"/>
    <w:rsid w:val="00714C05"/>
    <w:rPr>
      <w:rFonts w:ascii="Times New Roman" w:eastAsiaTheme="majorEastAsia" w:hAnsi="Times New Roman" w:cstheme="majorBidi"/>
      <w:b/>
      <w:bCs/>
      <w:color w:val="000000" w:themeColor="text1"/>
      <w:sz w:val="20"/>
    </w:rPr>
  </w:style>
  <w:style w:type="character" w:customStyle="1" w:styleId="Heading4Char">
    <w:name w:val="Heading 4 Char"/>
    <w:aliases w:val="Tabela Char"/>
    <w:basedOn w:val="DefaultParagraphFont"/>
    <w:link w:val="Heading4"/>
    <w:uiPriority w:val="9"/>
    <w:rsid w:val="00C709FB"/>
    <w:rPr>
      <w:rFonts w:ascii="Times New Roman" w:eastAsiaTheme="majorEastAsia" w:hAnsi="Times New Roman" w:cstheme="majorBidi"/>
      <w:b/>
      <w:bCs/>
      <w:iCs/>
      <w:color w:val="000000" w:themeColor="text1"/>
      <w:sz w:val="20"/>
    </w:rPr>
  </w:style>
  <w:style w:type="paragraph" w:styleId="FootnoteText">
    <w:name w:val="footnote text"/>
    <w:basedOn w:val="Normal"/>
    <w:link w:val="FootnoteTextChar"/>
    <w:unhideWhenUsed/>
    <w:rsid w:val="002A3351"/>
    <w:rPr>
      <w:sz w:val="20"/>
      <w:szCs w:val="20"/>
    </w:rPr>
  </w:style>
  <w:style w:type="character" w:customStyle="1" w:styleId="FootnoteTextChar">
    <w:name w:val="Footnote Text Char"/>
    <w:basedOn w:val="DefaultParagraphFont"/>
    <w:link w:val="FootnoteText"/>
    <w:uiPriority w:val="99"/>
    <w:semiHidden/>
    <w:rsid w:val="002A3351"/>
    <w:rPr>
      <w:rFonts w:ascii="Times New Roman" w:hAnsi="Times New Roman"/>
      <w:sz w:val="20"/>
      <w:szCs w:val="20"/>
    </w:rPr>
  </w:style>
  <w:style w:type="character" w:styleId="FootnoteReference">
    <w:name w:val="footnote reference"/>
    <w:basedOn w:val="DefaultParagraphFont"/>
    <w:unhideWhenUsed/>
    <w:rsid w:val="002A3351"/>
    <w:rPr>
      <w:vertAlign w:val="superscript"/>
    </w:rPr>
  </w:style>
  <w:style w:type="character" w:styleId="BookTitle">
    <w:name w:val="Book Title"/>
    <w:basedOn w:val="DefaultParagraphFont"/>
    <w:uiPriority w:val="33"/>
    <w:qFormat/>
    <w:rsid w:val="002A3351"/>
    <w:rPr>
      <w:b w:val="0"/>
      <w:bCs/>
      <w:smallCaps/>
      <w:spacing w:val="5"/>
    </w:rPr>
  </w:style>
  <w:style w:type="paragraph" w:styleId="BalloonText">
    <w:name w:val="Balloon Text"/>
    <w:basedOn w:val="Normal"/>
    <w:link w:val="BalloonTextChar"/>
    <w:uiPriority w:val="99"/>
    <w:semiHidden/>
    <w:unhideWhenUsed/>
    <w:rsid w:val="002A3351"/>
    <w:rPr>
      <w:rFonts w:ascii="Tahoma" w:hAnsi="Tahoma" w:cs="Tahoma"/>
      <w:sz w:val="16"/>
      <w:szCs w:val="16"/>
    </w:rPr>
  </w:style>
  <w:style w:type="character" w:customStyle="1" w:styleId="BalloonTextChar">
    <w:name w:val="Balloon Text Char"/>
    <w:basedOn w:val="DefaultParagraphFont"/>
    <w:link w:val="BalloonText"/>
    <w:uiPriority w:val="99"/>
    <w:semiHidden/>
    <w:rsid w:val="002A3351"/>
    <w:rPr>
      <w:rFonts w:ascii="Tahoma" w:hAnsi="Tahoma" w:cs="Tahoma"/>
      <w:sz w:val="16"/>
      <w:szCs w:val="16"/>
    </w:rPr>
  </w:style>
  <w:style w:type="character" w:customStyle="1" w:styleId="Heading5Char">
    <w:name w:val="Heading 5 Char"/>
    <w:basedOn w:val="DefaultParagraphFont"/>
    <w:link w:val="Heading5"/>
    <w:uiPriority w:val="9"/>
    <w:rsid w:val="00053062"/>
    <w:rPr>
      <w:rFonts w:ascii="Times New Roman" w:eastAsiaTheme="majorEastAsia" w:hAnsi="Times New Roman" w:cstheme="majorBidi"/>
      <w:b/>
      <w:color w:val="000000" w:themeColor="text1"/>
      <w:sz w:val="24"/>
    </w:rPr>
  </w:style>
  <w:style w:type="table" w:styleId="TableGrid">
    <w:name w:val="Table Grid"/>
    <w:basedOn w:val="TableNormal"/>
    <w:uiPriority w:val="39"/>
    <w:rsid w:val="00C709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709FB"/>
    <w:rPr>
      <w:sz w:val="16"/>
      <w:szCs w:val="16"/>
    </w:rPr>
  </w:style>
  <w:style w:type="paragraph" w:styleId="CommentText">
    <w:name w:val="annotation text"/>
    <w:basedOn w:val="Normal"/>
    <w:link w:val="CommentTextChar"/>
    <w:uiPriority w:val="99"/>
    <w:semiHidden/>
    <w:unhideWhenUsed/>
    <w:rsid w:val="00C709FB"/>
    <w:pPr>
      <w:spacing w:after="200"/>
    </w:pPr>
    <w:rPr>
      <w:sz w:val="20"/>
      <w:szCs w:val="20"/>
    </w:rPr>
  </w:style>
  <w:style w:type="character" w:customStyle="1" w:styleId="CommentTextChar">
    <w:name w:val="Comment Text Char"/>
    <w:basedOn w:val="DefaultParagraphFont"/>
    <w:link w:val="CommentText"/>
    <w:uiPriority w:val="99"/>
    <w:semiHidden/>
    <w:rsid w:val="00C709FB"/>
    <w:rPr>
      <w:rFonts w:ascii="Times New Roman" w:hAnsi="Times New Roman"/>
      <w:sz w:val="20"/>
      <w:szCs w:val="20"/>
    </w:rPr>
  </w:style>
  <w:style w:type="character" w:customStyle="1" w:styleId="FootnoteAnchor">
    <w:name w:val="Footnote Anchor"/>
    <w:rsid w:val="00F27EDC"/>
    <w:rPr>
      <w:vertAlign w:val="superscript"/>
    </w:rPr>
  </w:style>
  <w:style w:type="paragraph" w:customStyle="1" w:styleId="Footnote">
    <w:name w:val="Footnote"/>
    <w:basedOn w:val="Normal"/>
    <w:rsid w:val="00F27EDC"/>
    <w:pPr>
      <w:widowControl w:val="0"/>
      <w:suppressLineNumbers/>
      <w:suppressAutoHyphens/>
      <w:spacing w:after="200" w:line="276" w:lineRule="auto"/>
      <w:ind w:left="339" w:hanging="339"/>
      <w:jc w:val="left"/>
    </w:pPr>
    <w:rPr>
      <w:rFonts w:eastAsia="Droid Sans Fallback" w:cs="Lohit Hindi"/>
      <w:sz w:val="20"/>
      <w:szCs w:val="20"/>
      <w:lang w:eastAsia="zh-CN" w:bidi="hi-IN"/>
    </w:rPr>
  </w:style>
  <w:style w:type="paragraph" w:styleId="Header">
    <w:name w:val="header"/>
    <w:basedOn w:val="Normal"/>
    <w:link w:val="HeaderChar"/>
    <w:uiPriority w:val="99"/>
    <w:unhideWhenUsed/>
    <w:rsid w:val="00230264"/>
    <w:pPr>
      <w:tabs>
        <w:tab w:val="center" w:pos="4252"/>
        <w:tab w:val="right" w:pos="8504"/>
      </w:tabs>
    </w:pPr>
  </w:style>
  <w:style w:type="character" w:customStyle="1" w:styleId="HeaderChar">
    <w:name w:val="Header Char"/>
    <w:basedOn w:val="DefaultParagraphFont"/>
    <w:link w:val="Header"/>
    <w:uiPriority w:val="99"/>
    <w:rsid w:val="00230264"/>
    <w:rPr>
      <w:rFonts w:ascii="Times New Roman" w:hAnsi="Times New Roman"/>
      <w:sz w:val="24"/>
    </w:rPr>
  </w:style>
  <w:style w:type="paragraph" w:styleId="Footer">
    <w:name w:val="footer"/>
    <w:basedOn w:val="Normal"/>
    <w:link w:val="FooterChar"/>
    <w:uiPriority w:val="99"/>
    <w:unhideWhenUsed/>
    <w:rsid w:val="00230264"/>
    <w:pPr>
      <w:tabs>
        <w:tab w:val="center" w:pos="4252"/>
        <w:tab w:val="right" w:pos="8504"/>
      </w:tabs>
    </w:pPr>
  </w:style>
  <w:style w:type="character" w:customStyle="1" w:styleId="FooterChar">
    <w:name w:val="Footer Char"/>
    <w:basedOn w:val="DefaultParagraphFont"/>
    <w:link w:val="Footer"/>
    <w:uiPriority w:val="99"/>
    <w:rsid w:val="00230264"/>
    <w:rPr>
      <w:rFonts w:ascii="Times New Roman" w:hAnsi="Times New Roman"/>
      <w:sz w:val="24"/>
    </w:rPr>
  </w:style>
  <w:style w:type="character" w:styleId="Hyperlink">
    <w:name w:val="Hyperlink"/>
    <w:basedOn w:val="DefaultParagraphFont"/>
    <w:uiPriority w:val="99"/>
    <w:unhideWhenUsed/>
    <w:rsid w:val="00C577FE"/>
    <w:rPr>
      <w:color w:val="0000FF" w:themeColor="hyperlink"/>
      <w:u w:val="single"/>
    </w:rPr>
  </w:style>
  <w:style w:type="character" w:styleId="PlaceholderText">
    <w:name w:val="Placeholder Text"/>
    <w:basedOn w:val="DefaultParagraphFont"/>
    <w:uiPriority w:val="99"/>
    <w:semiHidden/>
    <w:rsid w:val="00C52E41"/>
    <w:rPr>
      <w:color w:val="808080"/>
    </w:rPr>
  </w:style>
  <w:style w:type="paragraph" w:styleId="CommentSubject">
    <w:name w:val="annotation subject"/>
    <w:basedOn w:val="CommentText"/>
    <w:next w:val="CommentText"/>
    <w:link w:val="CommentSubjectChar"/>
    <w:uiPriority w:val="99"/>
    <w:semiHidden/>
    <w:unhideWhenUsed/>
    <w:rsid w:val="00351F14"/>
    <w:pPr>
      <w:spacing w:after="0"/>
    </w:pPr>
    <w:rPr>
      <w:b/>
      <w:bCs/>
    </w:rPr>
  </w:style>
  <w:style w:type="character" w:customStyle="1" w:styleId="CommentSubjectChar">
    <w:name w:val="Comment Subject Char"/>
    <w:basedOn w:val="CommentTextChar"/>
    <w:link w:val="CommentSubject"/>
    <w:uiPriority w:val="99"/>
    <w:semiHidden/>
    <w:rsid w:val="00351F14"/>
    <w:rPr>
      <w:rFonts w:ascii="Times New Roman" w:hAnsi="Times New Roman"/>
      <w:b/>
      <w:bCs/>
      <w:sz w:val="20"/>
      <w:szCs w:val="20"/>
    </w:rPr>
  </w:style>
  <w:style w:type="character" w:customStyle="1" w:styleId="footlabel">
    <w:name w:val="foot_label"/>
    <w:basedOn w:val="DefaultParagraphFont"/>
    <w:rsid w:val="00432B93"/>
    <w:rPr>
      <w:b/>
      <w:bCs/>
      <w:sz w:val="20"/>
      <w:szCs w:val="20"/>
      <w:u w:val="single"/>
      <w:vertAlign w:val="superscript"/>
    </w:rPr>
  </w:style>
  <w:style w:type="character" w:styleId="Emphasis">
    <w:name w:val="Emphasis"/>
    <w:basedOn w:val="DefaultParagraphFont"/>
    <w:uiPriority w:val="20"/>
    <w:qFormat/>
    <w:rsid w:val="00432B93"/>
    <w:rPr>
      <w:i/>
      <w:iCs/>
    </w:rPr>
  </w:style>
  <w:style w:type="character" w:customStyle="1" w:styleId="subsubsectionlabel">
    <w:name w:val="subsubsection_label"/>
    <w:basedOn w:val="DefaultParagraphFont"/>
    <w:rsid w:val="00432B93"/>
  </w:style>
  <w:style w:type="paragraph" w:styleId="Quote">
    <w:name w:val="Quote"/>
    <w:basedOn w:val="Normal"/>
    <w:next w:val="Normal"/>
    <w:link w:val="QuoteChar"/>
    <w:uiPriority w:val="29"/>
    <w:qFormat/>
    <w:rsid w:val="000D050E"/>
    <w:rPr>
      <w:i/>
      <w:iCs/>
      <w:color w:val="000000" w:themeColor="text1"/>
    </w:rPr>
  </w:style>
  <w:style w:type="character" w:customStyle="1" w:styleId="QuoteChar">
    <w:name w:val="Quote Char"/>
    <w:basedOn w:val="DefaultParagraphFont"/>
    <w:link w:val="Quote"/>
    <w:uiPriority w:val="29"/>
    <w:rsid w:val="000D050E"/>
    <w:rPr>
      <w:rFonts w:ascii="Times New Roman" w:hAnsi="Times New Roman"/>
      <w:i/>
      <w:iCs/>
      <w:color w:val="000000" w:themeColor="text1"/>
      <w:sz w:val="24"/>
    </w:rPr>
  </w:style>
  <w:style w:type="paragraph" w:styleId="ListParagraph">
    <w:name w:val="List Paragraph"/>
    <w:basedOn w:val="Normal"/>
    <w:uiPriority w:val="34"/>
    <w:qFormat/>
    <w:rsid w:val="00360C88"/>
    <w:pPr>
      <w:ind w:left="720"/>
      <w:contextualSpacing/>
    </w:pPr>
  </w:style>
  <w:style w:type="paragraph" w:styleId="EndnoteText">
    <w:name w:val="endnote text"/>
    <w:basedOn w:val="Normal"/>
    <w:link w:val="EndnoteTextChar"/>
    <w:uiPriority w:val="99"/>
    <w:semiHidden/>
    <w:unhideWhenUsed/>
    <w:rsid w:val="00CC2086"/>
    <w:rPr>
      <w:sz w:val="20"/>
      <w:szCs w:val="20"/>
    </w:rPr>
  </w:style>
  <w:style w:type="character" w:customStyle="1" w:styleId="EndnoteTextChar">
    <w:name w:val="Endnote Text Char"/>
    <w:basedOn w:val="DefaultParagraphFont"/>
    <w:link w:val="EndnoteText"/>
    <w:uiPriority w:val="99"/>
    <w:semiHidden/>
    <w:rsid w:val="00CC2086"/>
    <w:rPr>
      <w:rFonts w:ascii="Times New Roman" w:hAnsi="Times New Roman"/>
      <w:sz w:val="20"/>
      <w:szCs w:val="20"/>
    </w:rPr>
  </w:style>
  <w:style w:type="character" w:styleId="EndnoteReference">
    <w:name w:val="endnote reference"/>
    <w:basedOn w:val="DefaultParagraphFont"/>
    <w:uiPriority w:val="99"/>
    <w:semiHidden/>
    <w:unhideWhenUsed/>
    <w:rsid w:val="00CC2086"/>
    <w:rPr>
      <w:vertAlign w:val="superscript"/>
    </w:rPr>
  </w:style>
  <w:style w:type="character" w:customStyle="1" w:styleId="apple-converted-space">
    <w:name w:val="apple-converted-space"/>
    <w:basedOn w:val="DefaultParagraphFont"/>
    <w:rsid w:val="007633F5"/>
  </w:style>
  <w:style w:type="paragraph" w:styleId="NormalWeb">
    <w:name w:val="Normal (Web)"/>
    <w:basedOn w:val="Normal"/>
    <w:uiPriority w:val="99"/>
    <w:semiHidden/>
    <w:unhideWhenUsed/>
    <w:rsid w:val="002805D1"/>
    <w:pPr>
      <w:spacing w:before="100" w:beforeAutospacing="1" w:after="100" w:afterAutospacing="1"/>
      <w:jc w:val="left"/>
    </w:pPr>
    <w:rPr>
      <w:rFonts w:eastAsia="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21433">
      <w:bodyDiv w:val="1"/>
      <w:marLeft w:val="0"/>
      <w:marRight w:val="0"/>
      <w:marTop w:val="0"/>
      <w:marBottom w:val="0"/>
      <w:divBdr>
        <w:top w:val="none" w:sz="0" w:space="0" w:color="auto"/>
        <w:left w:val="none" w:sz="0" w:space="0" w:color="auto"/>
        <w:bottom w:val="none" w:sz="0" w:space="0" w:color="auto"/>
        <w:right w:val="none" w:sz="0" w:space="0" w:color="auto"/>
      </w:divBdr>
      <w:divsChild>
        <w:div w:id="1307933174">
          <w:marLeft w:val="0"/>
          <w:marRight w:val="0"/>
          <w:marTop w:val="0"/>
          <w:marBottom w:val="240"/>
          <w:divBdr>
            <w:top w:val="none" w:sz="0" w:space="0" w:color="auto"/>
            <w:left w:val="none" w:sz="0" w:space="0" w:color="auto"/>
            <w:bottom w:val="none" w:sz="0" w:space="0" w:color="auto"/>
            <w:right w:val="none" w:sz="0" w:space="0" w:color="auto"/>
          </w:divBdr>
        </w:div>
      </w:divsChild>
    </w:div>
    <w:div w:id="36978820">
      <w:bodyDiv w:val="1"/>
      <w:marLeft w:val="0"/>
      <w:marRight w:val="0"/>
      <w:marTop w:val="0"/>
      <w:marBottom w:val="0"/>
      <w:divBdr>
        <w:top w:val="none" w:sz="0" w:space="0" w:color="auto"/>
        <w:left w:val="none" w:sz="0" w:space="0" w:color="auto"/>
        <w:bottom w:val="none" w:sz="0" w:space="0" w:color="auto"/>
        <w:right w:val="none" w:sz="0" w:space="0" w:color="auto"/>
      </w:divBdr>
      <w:divsChild>
        <w:div w:id="2101827423">
          <w:marLeft w:val="0"/>
          <w:marRight w:val="0"/>
          <w:marTop w:val="0"/>
          <w:marBottom w:val="240"/>
          <w:divBdr>
            <w:top w:val="none" w:sz="0" w:space="0" w:color="auto"/>
            <w:left w:val="none" w:sz="0" w:space="0" w:color="auto"/>
            <w:bottom w:val="none" w:sz="0" w:space="0" w:color="auto"/>
            <w:right w:val="none" w:sz="0" w:space="0" w:color="auto"/>
          </w:divBdr>
        </w:div>
      </w:divsChild>
    </w:div>
    <w:div w:id="69423732">
      <w:bodyDiv w:val="1"/>
      <w:marLeft w:val="0"/>
      <w:marRight w:val="0"/>
      <w:marTop w:val="0"/>
      <w:marBottom w:val="0"/>
      <w:divBdr>
        <w:top w:val="none" w:sz="0" w:space="0" w:color="auto"/>
        <w:left w:val="none" w:sz="0" w:space="0" w:color="auto"/>
        <w:bottom w:val="none" w:sz="0" w:space="0" w:color="auto"/>
        <w:right w:val="none" w:sz="0" w:space="0" w:color="auto"/>
      </w:divBdr>
      <w:divsChild>
        <w:div w:id="1010790228">
          <w:marLeft w:val="0"/>
          <w:marRight w:val="0"/>
          <w:marTop w:val="0"/>
          <w:marBottom w:val="240"/>
          <w:divBdr>
            <w:top w:val="none" w:sz="0" w:space="0" w:color="auto"/>
            <w:left w:val="none" w:sz="0" w:space="0" w:color="auto"/>
            <w:bottom w:val="none" w:sz="0" w:space="0" w:color="auto"/>
            <w:right w:val="none" w:sz="0" w:space="0" w:color="auto"/>
          </w:divBdr>
        </w:div>
      </w:divsChild>
    </w:div>
    <w:div w:id="91629169">
      <w:bodyDiv w:val="1"/>
      <w:marLeft w:val="0"/>
      <w:marRight w:val="0"/>
      <w:marTop w:val="0"/>
      <w:marBottom w:val="0"/>
      <w:divBdr>
        <w:top w:val="none" w:sz="0" w:space="0" w:color="auto"/>
        <w:left w:val="none" w:sz="0" w:space="0" w:color="auto"/>
        <w:bottom w:val="none" w:sz="0" w:space="0" w:color="auto"/>
        <w:right w:val="none" w:sz="0" w:space="0" w:color="auto"/>
      </w:divBdr>
      <w:divsChild>
        <w:div w:id="847057791">
          <w:marLeft w:val="0"/>
          <w:marRight w:val="0"/>
          <w:marTop w:val="0"/>
          <w:marBottom w:val="240"/>
          <w:divBdr>
            <w:top w:val="none" w:sz="0" w:space="0" w:color="auto"/>
            <w:left w:val="none" w:sz="0" w:space="0" w:color="auto"/>
            <w:bottom w:val="none" w:sz="0" w:space="0" w:color="auto"/>
            <w:right w:val="none" w:sz="0" w:space="0" w:color="auto"/>
          </w:divBdr>
        </w:div>
      </w:divsChild>
    </w:div>
    <w:div w:id="114099438">
      <w:bodyDiv w:val="1"/>
      <w:marLeft w:val="0"/>
      <w:marRight w:val="0"/>
      <w:marTop w:val="0"/>
      <w:marBottom w:val="0"/>
      <w:divBdr>
        <w:top w:val="none" w:sz="0" w:space="0" w:color="auto"/>
        <w:left w:val="none" w:sz="0" w:space="0" w:color="auto"/>
        <w:bottom w:val="none" w:sz="0" w:space="0" w:color="auto"/>
        <w:right w:val="none" w:sz="0" w:space="0" w:color="auto"/>
      </w:divBdr>
      <w:divsChild>
        <w:div w:id="141195396">
          <w:marLeft w:val="0"/>
          <w:marRight w:val="0"/>
          <w:marTop w:val="0"/>
          <w:marBottom w:val="240"/>
          <w:divBdr>
            <w:top w:val="none" w:sz="0" w:space="0" w:color="auto"/>
            <w:left w:val="none" w:sz="0" w:space="0" w:color="auto"/>
            <w:bottom w:val="none" w:sz="0" w:space="0" w:color="auto"/>
            <w:right w:val="none" w:sz="0" w:space="0" w:color="auto"/>
          </w:divBdr>
        </w:div>
        <w:div w:id="513954219">
          <w:marLeft w:val="0"/>
          <w:marRight w:val="0"/>
          <w:marTop w:val="0"/>
          <w:marBottom w:val="240"/>
          <w:divBdr>
            <w:top w:val="none" w:sz="0" w:space="0" w:color="auto"/>
            <w:left w:val="none" w:sz="0" w:space="0" w:color="auto"/>
            <w:bottom w:val="none" w:sz="0" w:space="0" w:color="auto"/>
            <w:right w:val="none" w:sz="0" w:space="0" w:color="auto"/>
          </w:divBdr>
        </w:div>
        <w:div w:id="992640111">
          <w:marLeft w:val="0"/>
          <w:marRight w:val="0"/>
          <w:marTop w:val="0"/>
          <w:marBottom w:val="240"/>
          <w:divBdr>
            <w:top w:val="none" w:sz="0" w:space="0" w:color="auto"/>
            <w:left w:val="none" w:sz="0" w:space="0" w:color="auto"/>
            <w:bottom w:val="none" w:sz="0" w:space="0" w:color="auto"/>
            <w:right w:val="none" w:sz="0" w:space="0" w:color="auto"/>
          </w:divBdr>
        </w:div>
        <w:div w:id="1834834555">
          <w:marLeft w:val="0"/>
          <w:marRight w:val="0"/>
          <w:marTop w:val="0"/>
          <w:marBottom w:val="240"/>
          <w:divBdr>
            <w:top w:val="none" w:sz="0" w:space="0" w:color="auto"/>
            <w:left w:val="none" w:sz="0" w:space="0" w:color="auto"/>
            <w:bottom w:val="none" w:sz="0" w:space="0" w:color="auto"/>
            <w:right w:val="none" w:sz="0" w:space="0" w:color="auto"/>
          </w:divBdr>
        </w:div>
        <w:div w:id="1120879694">
          <w:marLeft w:val="0"/>
          <w:marRight w:val="0"/>
          <w:marTop w:val="0"/>
          <w:marBottom w:val="240"/>
          <w:divBdr>
            <w:top w:val="none" w:sz="0" w:space="0" w:color="auto"/>
            <w:left w:val="none" w:sz="0" w:space="0" w:color="auto"/>
            <w:bottom w:val="none" w:sz="0" w:space="0" w:color="auto"/>
            <w:right w:val="none" w:sz="0" w:space="0" w:color="auto"/>
          </w:divBdr>
        </w:div>
      </w:divsChild>
    </w:div>
    <w:div w:id="125590675">
      <w:bodyDiv w:val="1"/>
      <w:marLeft w:val="0"/>
      <w:marRight w:val="0"/>
      <w:marTop w:val="0"/>
      <w:marBottom w:val="0"/>
      <w:divBdr>
        <w:top w:val="none" w:sz="0" w:space="0" w:color="auto"/>
        <w:left w:val="none" w:sz="0" w:space="0" w:color="auto"/>
        <w:bottom w:val="none" w:sz="0" w:space="0" w:color="auto"/>
        <w:right w:val="none" w:sz="0" w:space="0" w:color="auto"/>
      </w:divBdr>
      <w:divsChild>
        <w:div w:id="1864589726">
          <w:marLeft w:val="0"/>
          <w:marRight w:val="0"/>
          <w:marTop w:val="0"/>
          <w:marBottom w:val="240"/>
          <w:divBdr>
            <w:top w:val="none" w:sz="0" w:space="0" w:color="auto"/>
            <w:left w:val="none" w:sz="0" w:space="0" w:color="auto"/>
            <w:bottom w:val="none" w:sz="0" w:space="0" w:color="auto"/>
            <w:right w:val="none" w:sz="0" w:space="0" w:color="auto"/>
          </w:divBdr>
        </w:div>
        <w:div w:id="335571028">
          <w:marLeft w:val="0"/>
          <w:marRight w:val="0"/>
          <w:marTop w:val="0"/>
          <w:marBottom w:val="240"/>
          <w:divBdr>
            <w:top w:val="none" w:sz="0" w:space="0" w:color="auto"/>
            <w:left w:val="none" w:sz="0" w:space="0" w:color="auto"/>
            <w:bottom w:val="none" w:sz="0" w:space="0" w:color="auto"/>
            <w:right w:val="none" w:sz="0" w:space="0" w:color="auto"/>
          </w:divBdr>
        </w:div>
      </w:divsChild>
    </w:div>
    <w:div w:id="130484797">
      <w:bodyDiv w:val="1"/>
      <w:marLeft w:val="0"/>
      <w:marRight w:val="0"/>
      <w:marTop w:val="0"/>
      <w:marBottom w:val="0"/>
      <w:divBdr>
        <w:top w:val="none" w:sz="0" w:space="0" w:color="auto"/>
        <w:left w:val="none" w:sz="0" w:space="0" w:color="auto"/>
        <w:bottom w:val="none" w:sz="0" w:space="0" w:color="auto"/>
        <w:right w:val="none" w:sz="0" w:space="0" w:color="auto"/>
      </w:divBdr>
      <w:divsChild>
        <w:div w:id="1090354091">
          <w:marLeft w:val="0"/>
          <w:marRight w:val="0"/>
          <w:marTop w:val="0"/>
          <w:marBottom w:val="240"/>
          <w:divBdr>
            <w:top w:val="none" w:sz="0" w:space="0" w:color="auto"/>
            <w:left w:val="none" w:sz="0" w:space="0" w:color="auto"/>
            <w:bottom w:val="none" w:sz="0" w:space="0" w:color="auto"/>
            <w:right w:val="none" w:sz="0" w:space="0" w:color="auto"/>
          </w:divBdr>
        </w:div>
      </w:divsChild>
    </w:div>
    <w:div w:id="183134131">
      <w:bodyDiv w:val="1"/>
      <w:marLeft w:val="0"/>
      <w:marRight w:val="0"/>
      <w:marTop w:val="0"/>
      <w:marBottom w:val="0"/>
      <w:divBdr>
        <w:top w:val="none" w:sz="0" w:space="0" w:color="auto"/>
        <w:left w:val="none" w:sz="0" w:space="0" w:color="auto"/>
        <w:bottom w:val="none" w:sz="0" w:space="0" w:color="auto"/>
        <w:right w:val="none" w:sz="0" w:space="0" w:color="auto"/>
      </w:divBdr>
      <w:divsChild>
        <w:div w:id="278149688">
          <w:marLeft w:val="0"/>
          <w:marRight w:val="0"/>
          <w:marTop w:val="0"/>
          <w:marBottom w:val="240"/>
          <w:divBdr>
            <w:top w:val="none" w:sz="0" w:space="0" w:color="auto"/>
            <w:left w:val="none" w:sz="0" w:space="0" w:color="auto"/>
            <w:bottom w:val="none" w:sz="0" w:space="0" w:color="auto"/>
            <w:right w:val="none" w:sz="0" w:space="0" w:color="auto"/>
          </w:divBdr>
        </w:div>
      </w:divsChild>
    </w:div>
    <w:div w:id="190651759">
      <w:bodyDiv w:val="1"/>
      <w:marLeft w:val="0"/>
      <w:marRight w:val="0"/>
      <w:marTop w:val="0"/>
      <w:marBottom w:val="0"/>
      <w:divBdr>
        <w:top w:val="none" w:sz="0" w:space="0" w:color="auto"/>
        <w:left w:val="none" w:sz="0" w:space="0" w:color="auto"/>
        <w:bottom w:val="none" w:sz="0" w:space="0" w:color="auto"/>
        <w:right w:val="none" w:sz="0" w:space="0" w:color="auto"/>
      </w:divBdr>
      <w:divsChild>
        <w:div w:id="1624455996">
          <w:marLeft w:val="0"/>
          <w:marRight w:val="0"/>
          <w:marTop w:val="0"/>
          <w:marBottom w:val="240"/>
          <w:divBdr>
            <w:top w:val="none" w:sz="0" w:space="0" w:color="auto"/>
            <w:left w:val="none" w:sz="0" w:space="0" w:color="auto"/>
            <w:bottom w:val="none" w:sz="0" w:space="0" w:color="auto"/>
            <w:right w:val="none" w:sz="0" w:space="0" w:color="auto"/>
          </w:divBdr>
        </w:div>
      </w:divsChild>
    </w:div>
    <w:div w:id="231237833">
      <w:bodyDiv w:val="1"/>
      <w:marLeft w:val="0"/>
      <w:marRight w:val="0"/>
      <w:marTop w:val="0"/>
      <w:marBottom w:val="0"/>
      <w:divBdr>
        <w:top w:val="none" w:sz="0" w:space="0" w:color="auto"/>
        <w:left w:val="none" w:sz="0" w:space="0" w:color="auto"/>
        <w:bottom w:val="none" w:sz="0" w:space="0" w:color="auto"/>
        <w:right w:val="none" w:sz="0" w:space="0" w:color="auto"/>
      </w:divBdr>
      <w:divsChild>
        <w:div w:id="1146169060">
          <w:marLeft w:val="0"/>
          <w:marRight w:val="0"/>
          <w:marTop w:val="0"/>
          <w:marBottom w:val="240"/>
          <w:divBdr>
            <w:top w:val="none" w:sz="0" w:space="0" w:color="auto"/>
            <w:left w:val="none" w:sz="0" w:space="0" w:color="auto"/>
            <w:bottom w:val="none" w:sz="0" w:space="0" w:color="auto"/>
            <w:right w:val="none" w:sz="0" w:space="0" w:color="auto"/>
          </w:divBdr>
        </w:div>
      </w:divsChild>
    </w:div>
    <w:div w:id="236979521">
      <w:bodyDiv w:val="1"/>
      <w:marLeft w:val="0"/>
      <w:marRight w:val="0"/>
      <w:marTop w:val="0"/>
      <w:marBottom w:val="0"/>
      <w:divBdr>
        <w:top w:val="none" w:sz="0" w:space="0" w:color="auto"/>
        <w:left w:val="none" w:sz="0" w:space="0" w:color="auto"/>
        <w:bottom w:val="none" w:sz="0" w:space="0" w:color="auto"/>
        <w:right w:val="none" w:sz="0" w:space="0" w:color="auto"/>
      </w:divBdr>
      <w:divsChild>
        <w:div w:id="1743675999">
          <w:marLeft w:val="0"/>
          <w:marRight w:val="0"/>
          <w:marTop w:val="0"/>
          <w:marBottom w:val="240"/>
          <w:divBdr>
            <w:top w:val="none" w:sz="0" w:space="0" w:color="auto"/>
            <w:left w:val="none" w:sz="0" w:space="0" w:color="auto"/>
            <w:bottom w:val="none" w:sz="0" w:space="0" w:color="auto"/>
            <w:right w:val="none" w:sz="0" w:space="0" w:color="auto"/>
          </w:divBdr>
        </w:div>
      </w:divsChild>
    </w:div>
    <w:div w:id="245456075">
      <w:bodyDiv w:val="1"/>
      <w:marLeft w:val="0"/>
      <w:marRight w:val="0"/>
      <w:marTop w:val="0"/>
      <w:marBottom w:val="0"/>
      <w:divBdr>
        <w:top w:val="none" w:sz="0" w:space="0" w:color="auto"/>
        <w:left w:val="none" w:sz="0" w:space="0" w:color="auto"/>
        <w:bottom w:val="none" w:sz="0" w:space="0" w:color="auto"/>
        <w:right w:val="none" w:sz="0" w:space="0" w:color="auto"/>
      </w:divBdr>
      <w:divsChild>
        <w:div w:id="519590107">
          <w:marLeft w:val="0"/>
          <w:marRight w:val="0"/>
          <w:marTop w:val="0"/>
          <w:marBottom w:val="240"/>
          <w:divBdr>
            <w:top w:val="none" w:sz="0" w:space="0" w:color="auto"/>
            <w:left w:val="none" w:sz="0" w:space="0" w:color="auto"/>
            <w:bottom w:val="none" w:sz="0" w:space="0" w:color="auto"/>
            <w:right w:val="none" w:sz="0" w:space="0" w:color="auto"/>
          </w:divBdr>
        </w:div>
      </w:divsChild>
    </w:div>
    <w:div w:id="247733379">
      <w:bodyDiv w:val="1"/>
      <w:marLeft w:val="0"/>
      <w:marRight w:val="0"/>
      <w:marTop w:val="0"/>
      <w:marBottom w:val="0"/>
      <w:divBdr>
        <w:top w:val="none" w:sz="0" w:space="0" w:color="auto"/>
        <w:left w:val="none" w:sz="0" w:space="0" w:color="auto"/>
        <w:bottom w:val="none" w:sz="0" w:space="0" w:color="auto"/>
        <w:right w:val="none" w:sz="0" w:space="0" w:color="auto"/>
      </w:divBdr>
      <w:divsChild>
        <w:div w:id="306783532">
          <w:marLeft w:val="0"/>
          <w:marRight w:val="0"/>
          <w:marTop w:val="0"/>
          <w:marBottom w:val="240"/>
          <w:divBdr>
            <w:top w:val="none" w:sz="0" w:space="0" w:color="auto"/>
            <w:left w:val="none" w:sz="0" w:space="0" w:color="auto"/>
            <w:bottom w:val="none" w:sz="0" w:space="0" w:color="auto"/>
            <w:right w:val="none" w:sz="0" w:space="0" w:color="auto"/>
          </w:divBdr>
        </w:div>
      </w:divsChild>
    </w:div>
    <w:div w:id="294795018">
      <w:bodyDiv w:val="1"/>
      <w:marLeft w:val="0"/>
      <w:marRight w:val="0"/>
      <w:marTop w:val="0"/>
      <w:marBottom w:val="0"/>
      <w:divBdr>
        <w:top w:val="none" w:sz="0" w:space="0" w:color="auto"/>
        <w:left w:val="none" w:sz="0" w:space="0" w:color="auto"/>
        <w:bottom w:val="none" w:sz="0" w:space="0" w:color="auto"/>
        <w:right w:val="none" w:sz="0" w:space="0" w:color="auto"/>
      </w:divBdr>
      <w:divsChild>
        <w:div w:id="1700857233">
          <w:marLeft w:val="0"/>
          <w:marRight w:val="0"/>
          <w:marTop w:val="0"/>
          <w:marBottom w:val="240"/>
          <w:divBdr>
            <w:top w:val="none" w:sz="0" w:space="0" w:color="auto"/>
            <w:left w:val="none" w:sz="0" w:space="0" w:color="auto"/>
            <w:bottom w:val="none" w:sz="0" w:space="0" w:color="auto"/>
            <w:right w:val="none" w:sz="0" w:space="0" w:color="auto"/>
          </w:divBdr>
        </w:div>
      </w:divsChild>
    </w:div>
    <w:div w:id="310335033">
      <w:bodyDiv w:val="1"/>
      <w:marLeft w:val="0"/>
      <w:marRight w:val="0"/>
      <w:marTop w:val="0"/>
      <w:marBottom w:val="0"/>
      <w:divBdr>
        <w:top w:val="none" w:sz="0" w:space="0" w:color="auto"/>
        <w:left w:val="none" w:sz="0" w:space="0" w:color="auto"/>
        <w:bottom w:val="none" w:sz="0" w:space="0" w:color="auto"/>
        <w:right w:val="none" w:sz="0" w:space="0" w:color="auto"/>
      </w:divBdr>
      <w:divsChild>
        <w:div w:id="1745028457">
          <w:marLeft w:val="0"/>
          <w:marRight w:val="0"/>
          <w:marTop w:val="0"/>
          <w:marBottom w:val="240"/>
          <w:divBdr>
            <w:top w:val="none" w:sz="0" w:space="0" w:color="auto"/>
            <w:left w:val="none" w:sz="0" w:space="0" w:color="auto"/>
            <w:bottom w:val="none" w:sz="0" w:space="0" w:color="auto"/>
            <w:right w:val="none" w:sz="0" w:space="0" w:color="auto"/>
          </w:divBdr>
        </w:div>
      </w:divsChild>
    </w:div>
    <w:div w:id="321661631">
      <w:bodyDiv w:val="1"/>
      <w:marLeft w:val="0"/>
      <w:marRight w:val="0"/>
      <w:marTop w:val="0"/>
      <w:marBottom w:val="0"/>
      <w:divBdr>
        <w:top w:val="none" w:sz="0" w:space="0" w:color="auto"/>
        <w:left w:val="none" w:sz="0" w:space="0" w:color="auto"/>
        <w:bottom w:val="none" w:sz="0" w:space="0" w:color="auto"/>
        <w:right w:val="none" w:sz="0" w:space="0" w:color="auto"/>
      </w:divBdr>
      <w:divsChild>
        <w:div w:id="1785222724">
          <w:marLeft w:val="0"/>
          <w:marRight w:val="0"/>
          <w:marTop w:val="0"/>
          <w:marBottom w:val="240"/>
          <w:divBdr>
            <w:top w:val="none" w:sz="0" w:space="0" w:color="auto"/>
            <w:left w:val="none" w:sz="0" w:space="0" w:color="auto"/>
            <w:bottom w:val="none" w:sz="0" w:space="0" w:color="auto"/>
            <w:right w:val="none" w:sz="0" w:space="0" w:color="auto"/>
          </w:divBdr>
        </w:div>
      </w:divsChild>
    </w:div>
    <w:div w:id="355545415">
      <w:bodyDiv w:val="1"/>
      <w:marLeft w:val="0"/>
      <w:marRight w:val="0"/>
      <w:marTop w:val="0"/>
      <w:marBottom w:val="0"/>
      <w:divBdr>
        <w:top w:val="none" w:sz="0" w:space="0" w:color="auto"/>
        <w:left w:val="none" w:sz="0" w:space="0" w:color="auto"/>
        <w:bottom w:val="none" w:sz="0" w:space="0" w:color="auto"/>
        <w:right w:val="none" w:sz="0" w:space="0" w:color="auto"/>
      </w:divBdr>
      <w:divsChild>
        <w:div w:id="1178809885">
          <w:marLeft w:val="0"/>
          <w:marRight w:val="0"/>
          <w:marTop w:val="0"/>
          <w:marBottom w:val="240"/>
          <w:divBdr>
            <w:top w:val="none" w:sz="0" w:space="0" w:color="auto"/>
            <w:left w:val="none" w:sz="0" w:space="0" w:color="auto"/>
            <w:bottom w:val="none" w:sz="0" w:space="0" w:color="auto"/>
            <w:right w:val="none" w:sz="0" w:space="0" w:color="auto"/>
          </w:divBdr>
        </w:div>
        <w:div w:id="198081972">
          <w:marLeft w:val="0"/>
          <w:marRight w:val="0"/>
          <w:marTop w:val="0"/>
          <w:marBottom w:val="240"/>
          <w:divBdr>
            <w:top w:val="none" w:sz="0" w:space="0" w:color="auto"/>
            <w:left w:val="none" w:sz="0" w:space="0" w:color="auto"/>
            <w:bottom w:val="none" w:sz="0" w:space="0" w:color="auto"/>
            <w:right w:val="none" w:sz="0" w:space="0" w:color="auto"/>
          </w:divBdr>
        </w:div>
      </w:divsChild>
    </w:div>
    <w:div w:id="359090649">
      <w:bodyDiv w:val="1"/>
      <w:marLeft w:val="0"/>
      <w:marRight w:val="0"/>
      <w:marTop w:val="0"/>
      <w:marBottom w:val="0"/>
      <w:divBdr>
        <w:top w:val="none" w:sz="0" w:space="0" w:color="auto"/>
        <w:left w:val="none" w:sz="0" w:space="0" w:color="auto"/>
        <w:bottom w:val="none" w:sz="0" w:space="0" w:color="auto"/>
        <w:right w:val="none" w:sz="0" w:space="0" w:color="auto"/>
      </w:divBdr>
      <w:divsChild>
        <w:div w:id="23557809">
          <w:marLeft w:val="0"/>
          <w:marRight w:val="0"/>
          <w:marTop w:val="0"/>
          <w:marBottom w:val="240"/>
          <w:divBdr>
            <w:top w:val="none" w:sz="0" w:space="0" w:color="auto"/>
            <w:left w:val="none" w:sz="0" w:space="0" w:color="auto"/>
            <w:bottom w:val="none" w:sz="0" w:space="0" w:color="auto"/>
            <w:right w:val="none" w:sz="0" w:space="0" w:color="auto"/>
          </w:divBdr>
        </w:div>
      </w:divsChild>
    </w:div>
    <w:div w:id="369889214">
      <w:bodyDiv w:val="1"/>
      <w:marLeft w:val="0"/>
      <w:marRight w:val="0"/>
      <w:marTop w:val="0"/>
      <w:marBottom w:val="0"/>
      <w:divBdr>
        <w:top w:val="none" w:sz="0" w:space="0" w:color="auto"/>
        <w:left w:val="none" w:sz="0" w:space="0" w:color="auto"/>
        <w:bottom w:val="none" w:sz="0" w:space="0" w:color="auto"/>
        <w:right w:val="none" w:sz="0" w:space="0" w:color="auto"/>
      </w:divBdr>
      <w:divsChild>
        <w:div w:id="962007288">
          <w:marLeft w:val="0"/>
          <w:marRight w:val="0"/>
          <w:marTop w:val="0"/>
          <w:marBottom w:val="240"/>
          <w:divBdr>
            <w:top w:val="none" w:sz="0" w:space="0" w:color="auto"/>
            <w:left w:val="none" w:sz="0" w:space="0" w:color="auto"/>
            <w:bottom w:val="none" w:sz="0" w:space="0" w:color="auto"/>
            <w:right w:val="none" w:sz="0" w:space="0" w:color="auto"/>
          </w:divBdr>
        </w:div>
      </w:divsChild>
    </w:div>
    <w:div w:id="370767556">
      <w:bodyDiv w:val="1"/>
      <w:marLeft w:val="0"/>
      <w:marRight w:val="0"/>
      <w:marTop w:val="0"/>
      <w:marBottom w:val="0"/>
      <w:divBdr>
        <w:top w:val="none" w:sz="0" w:space="0" w:color="auto"/>
        <w:left w:val="none" w:sz="0" w:space="0" w:color="auto"/>
        <w:bottom w:val="none" w:sz="0" w:space="0" w:color="auto"/>
        <w:right w:val="none" w:sz="0" w:space="0" w:color="auto"/>
      </w:divBdr>
      <w:divsChild>
        <w:div w:id="110445069">
          <w:marLeft w:val="0"/>
          <w:marRight w:val="0"/>
          <w:marTop w:val="0"/>
          <w:marBottom w:val="240"/>
          <w:divBdr>
            <w:top w:val="none" w:sz="0" w:space="0" w:color="auto"/>
            <w:left w:val="none" w:sz="0" w:space="0" w:color="auto"/>
            <w:bottom w:val="none" w:sz="0" w:space="0" w:color="auto"/>
            <w:right w:val="none" w:sz="0" w:space="0" w:color="auto"/>
          </w:divBdr>
        </w:div>
      </w:divsChild>
    </w:div>
    <w:div w:id="379600652">
      <w:bodyDiv w:val="1"/>
      <w:marLeft w:val="0"/>
      <w:marRight w:val="0"/>
      <w:marTop w:val="0"/>
      <w:marBottom w:val="0"/>
      <w:divBdr>
        <w:top w:val="none" w:sz="0" w:space="0" w:color="auto"/>
        <w:left w:val="none" w:sz="0" w:space="0" w:color="auto"/>
        <w:bottom w:val="none" w:sz="0" w:space="0" w:color="auto"/>
        <w:right w:val="none" w:sz="0" w:space="0" w:color="auto"/>
      </w:divBdr>
      <w:divsChild>
        <w:div w:id="135532866">
          <w:marLeft w:val="0"/>
          <w:marRight w:val="0"/>
          <w:marTop w:val="0"/>
          <w:marBottom w:val="240"/>
          <w:divBdr>
            <w:top w:val="none" w:sz="0" w:space="0" w:color="auto"/>
            <w:left w:val="none" w:sz="0" w:space="0" w:color="auto"/>
            <w:bottom w:val="none" w:sz="0" w:space="0" w:color="auto"/>
            <w:right w:val="none" w:sz="0" w:space="0" w:color="auto"/>
          </w:divBdr>
        </w:div>
      </w:divsChild>
    </w:div>
    <w:div w:id="384649600">
      <w:bodyDiv w:val="1"/>
      <w:marLeft w:val="0"/>
      <w:marRight w:val="0"/>
      <w:marTop w:val="0"/>
      <w:marBottom w:val="0"/>
      <w:divBdr>
        <w:top w:val="none" w:sz="0" w:space="0" w:color="auto"/>
        <w:left w:val="none" w:sz="0" w:space="0" w:color="auto"/>
        <w:bottom w:val="none" w:sz="0" w:space="0" w:color="auto"/>
        <w:right w:val="none" w:sz="0" w:space="0" w:color="auto"/>
      </w:divBdr>
      <w:divsChild>
        <w:div w:id="665017321">
          <w:marLeft w:val="0"/>
          <w:marRight w:val="0"/>
          <w:marTop w:val="0"/>
          <w:marBottom w:val="240"/>
          <w:divBdr>
            <w:top w:val="none" w:sz="0" w:space="0" w:color="auto"/>
            <w:left w:val="none" w:sz="0" w:space="0" w:color="auto"/>
            <w:bottom w:val="none" w:sz="0" w:space="0" w:color="auto"/>
            <w:right w:val="none" w:sz="0" w:space="0" w:color="auto"/>
          </w:divBdr>
        </w:div>
      </w:divsChild>
    </w:div>
    <w:div w:id="390230621">
      <w:bodyDiv w:val="1"/>
      <w:marLeft w:val="0"/>
      <w:marRight w:val="0"/>
      <w:marTop w:val="0"/>
      <w:marBottom w:val="0"/>
      <w:divBdr>
        <w:top w:val="none" w:sz="0" w:space="0" w:color="auto"/>
        <w:left w:val="none" w:sz="0" w:space="0" w:color="auto"/>
        <w:bottom w:val="none" w:sz="0" w:space="0" w:color="auto"/>
        <w:right w:val="none" w:sz="0" w:space="0" w:color="auto"/>
      </w:divBdr>
      <w:divsChild>
        <w:div w:id="818499330">
          <w:marLeft w:val="0"/>
          <w:marRight w:val="0"/>
          <w:marTop w:val="0"/>
          <w:marBottom w:val="240"/>
          <w:divBdr>
            <w:top w:val="none" w:sz="0" w:space="0" w:color="auto"/>
            <w:left w:val="none" w:sz="0" w:space="0" w:color="auto"/>
            <w:bottom w:val="none" w:sz="0" w:space="0" w:color="auto"/>
            <w:right w:val="none" w:sz="0" w:space="0" w:color="auto"/>
          </w:divBdr>
        </w:div>
      </w:divsChild>
    </w:div>
    <w:div w:id="412169348">
      <w:bodyDiv w:val="1"/>
      <w:marLeft w:val="0"/>
      <w:marRight w:val="0"/>
      <w:marTop w:val="0"/>
      <w:marBottom w:val="0"/>
      <w:divBdr>
        <w:top w:val="none" w:sz="0" w:space="0" w:color="auto"/>
        <w:left w:val="none" w:sz="0" w:space="0" w:color="auto"/>
        <w:bottom w:val="none" w:sz="0" w:space="0" w:color="auto"/>
        <w:right w:val="none" w:sz="0" w:space="0" w:color="auto"/>
      </w:divBdr>
    </w:div>
    <w:div w:id="415058674">
      <w:bodyDiv w:val="1"/>
      <w:marLeft w:val="0"/>
      <w:marRight w:val="0"/>
      <w:marTop w:val="0"/>
      <w:marBottom w:val="0"/>
      <w:divBdr>
        <w:top w:val="none" w:sz="0" w:space="0" w:color="auto"/>
        <w:left w:val="none" w:sz="0" w:space="0" w:color="auto"/>
        <w:bottom w:val="none" w:sz="0" w:space="0" w:color="auto"/>
        <w:right w:val="none" w:sz="0" w:space="0" w:color="auto"/>
      </w:divBdr>
      <w:divsChild>
        <w:div w:id="1982732580">
          <w:marLeft w:val="0"/>
          <w:marRight w:val="0"/>
          <w:marTop w:val="0"/>
          <w:marBottom w:val="240"/>
          <w:divBdr>
            <w:top w:val="none" w:sz="0" w:space="0" w:color="auto"/>
            <w:left w:val="none" w:sz="0" w:space="0" w:color="auto"/>
            <w:bottom w:val="none" w:sz="0" w:space="0" w:color="auto"/>
            <w:right w:val="none" w:sz="0" w:space="0" w:color="auto"/>
          </w:divBdr>
        </w:div>
      </w:divsChild>
    </w:div>
    <w:div w:id="427581232">
      <w:bodyDiv w:val="1"/>
      <w:marLeft w:val="0"/>
      <w:marRight w:val="0"/>
      <w:marTop w:val="0"/>
      <w:marBottom w:val="0"/>
      <w:divBdr>
        <w:top w:val="none" w:sz="0" w:space="0" w:color="auto"/>
        <w:left w:val="none" w:sz="0" w:space="0" w:color="auto"/>
        <w:bottom w:val="none" w:sz="0" w:space="0" w:color="auto"/>
        <w:right w:val="none" w:sz="0" w:space="0" w:color="auto"/>
      </w:divBdr>
      <w:divsChild>
        <w:div w:id="2034110619">
          <w:marLeft w:val="0"/>
          <w:marRight w:val="0"/>
          <w:marTop w:val="0"/>
          <w:marBottom w:val="240"/>
          <w:divBdr>
            <w:top w:val="none" w:sz="0" w:space="0" w:color="auto"/>
            <w:left w:val="none" w:sz="0" w:space="0" w:color="auto"/>
            <w:bottom w:val="none" w:sz="0" w:space="0" w:color="auto"/>
            <w:right w:val="none" w:sz="0" w:space="0" w:color="auto"/>
          </w:divBdr>
        </w:div>
      </w:divsChild>
    </w:div>
    <w:div w:id="443041168">
      <w:bodyDiv w:val="1"/>
      <w:marLeft w:val="0"/>
      <w:marRight w:val="0"/>
      <w:marTop w:val="0"/>
      <w:marBottom w:val="0"/>
      <w:divBdr>
        <w:top w:val="none" w:sz="0" w:space="0" w:color="auto"/>
        <w:left w:val="none" w:sz="0" w:space="0" w:color="auto"/>
        <w:bottom w:val="none" w:sz="0" w:space="0" w:color="auto"/>
        <w:right w:val="none" w:sz="0" w:space="0" w:color="auto"/>
      </w:divBdr>
      <w:divsChild>
        <w:div w:id="1623220658">
          <w:marLeft w:val="0"/>
          <w:marRight w:val="0"/>
          <w:marTop w:val="0"/>
          <w:marBottom w:val="240"/>
          <w:divBdr>
            <w:top w:val="none" w:sz="0" w:space="0" w:color="auto"/>
            <w:left w:val="none" w:sz="0" w:space="0" w:color="auto"/>
            <w:bottom w:val="none" w:sz="0" w:space="0" w:color="auto"/>
            <w:right w:val="none" w:sz="0" w:space="0" w:color="auto"/>
          </w:divBdr>
        </w:div>
      </w:divsChild>
    </w:div>
    <w:div w:id="449595638">
      <w:bodyDiv w:val="1"/>
      <w:marLeft w:val="0"/>
      <w:marRight w:val="0"/>
      <w:marTop w:val="0"/>
      <w:marBottom w:val="0"/>
      <w:divBdr>
        <w:top w:val="none" w:sz="0" w:space="0" w:color="auto"/>
        <w:left w:val="none" w:sz="0" w:space="0" w:color="auto"/>
        <w:bottom w:val="none" w:sz="0" w:space="0" w:color="auto"/>
        <w:right w:val="none" w:sz="0" w:space="0" w:color="auto"/>
      </w:divBdr>
    </w:div>
    <w:div w:id="466897147">
      <w:bodyDiv w:val="1"/>
      <w:marLeft w:val="0"/>
      <w:marRight w:val="0"/>
      <w:marTop w:val="0"/>
      <w:marBottom w:val="0"/>
      <w:divBdr>
        <w:top w:val="none" w:sz="0" w:space="0" w:color="auto"/>
        <w:left w:val="none" w:sz="0" w:space="0" w:color="auto"/>
        <w:bottom w:val="none" w:sz="0" w:space="0" w:color="auto"/>
        <w:right w:val="none" w:sz="0" w:space="0" w:color="auto"/>
      </w:divBdr>
      <w:divsChild>
        <w:div w:id="905070440">
          <w:marLeft w:val="0"/>
          <w:marRight w:val="0"/>
          <w:marTop w:val="0"/>
          <w:marBottom w:val="240"/>
          <w:divBdr>
            <w:top w:val="none" w:sz="0" w:space="0" w:color="auto"/>
            <w:left w:val="none" w:sz="0" w:space="0" w:color="auto"/>
            <w:bottom w:val="none" w:sz="0" w:space="0" w:color="auto"/>
            <w:right w:val="none" w:sz="0" w:space="0" w:color="auto"/>
          </w:divBdr>
        </w:div>
        <w:div w:id="1939754270">
          <w:marLeft w:val="0"/>
          <w:marRight w:val="0"/>
          <w:marTop w:val="0"/>
          <w:marBottom w:val="240"/>
          <w:divBdr>
            <w:top w:val="none" w:sz="0" w:space="0" w:color="auto"/>
            <w:left w:val="none" w:sz="0" w:space="0" w:color="auto"/>
            <w:bottom w:val="none" w:sz="0" w:space="0" w:color="auto"/>
            <w:right w:val="none" w:sz="0" w:space="0" w:color="auto"/>
          </w:divBdr>
        </w:div>
      </w:divsChild>
    </w:div>
    <w:div w:id="474183855">
      <w:bodyDiv w:val="1"/>
      <w:marLeft w:val="0"/>
      <w:marRight w:val="0"/>
      <w:marTop w:val="0"/>
      <w:marBottom w:val="0"/>
      <w:divBdr>
        <w:top w:val="none" w:sz="0" w:space="0" w:color="auto"/>
        <w:left w:val="none" w:sz="0" w:space="0" w:color="auto"/>
        <w:bottom w:val="none" w:sz="0" w:space="0" w:color="auto"/>
        <w:right w:val="none" w:sz="0" w:space="0" w:color="auto"/>
      </w:divBdr>
      <w:divsChild>
        <w:div w:id="1183282098">
          <w:marLeft w:val="0"/>
          <w:marRight w:val="0"/>
          <w:marTop w:val="0"/>
          <w:marBottom w:val="240"/>
          <w:divBdr>
            <w:top w:val="none" w:sz="0" w:space="0" w:color="auto"/>
            <w:left w:val="none" w:sz="0" w:space="0" w:color="auto"/>
            <w:bottom w:val="none" w:sz="0" w:space="0" w:color="auto"/>
            <w:right w:val="none" w:sz="0" w:space="0" w:color="auto"/>
          </w:divBdr>
        </w:div>
      </w:divsChild>
    </w:div>
    <w:div w:id="518277635">
      <w:bodyDiv w:val="1"/>
      <w:marLeft w:val="0"/>
      <w:marRight w:val="0"/>
      <w:marTop w:val="0"/>
      <w:marBottom w:val="0"/>
      <w:divBdr>
        <w:top w:val="none" w:sz="0" w:space="0" w:color="auto"/>
        <w:left w:val="none" w:sz="0" w:space="0" w:color="auto"/>
        <w:bottom w:val="none" w:sz="0" w:space="0" w:color="auto"/>
        <w:right w:val="none" w:sz="0" w:space="0" w:color="auto"/>
      </w:divBdr>
      <w:divsChild>
        <w:div w:id="1734279297">
          <w:marLeft w:val="0"/>
          <w:marRight w:val="0"/>
          <w:marTop w:val="0"/>
          <w:marBottom w:val="240"/>
          <w:divBdr>
            <w:top w:val="none" w:sz="0" w:space="0" w:color="auto"/>
            <w:left w:val="none" w:sz="0" w:space="0" w:color="auto"/>
            <w:bottom w:val="none" w:sz="0" w:space="0" w:color="auto"/>
            <w:right w:val="none" w:sz="0" w:space="0" w:color="auto"/>
          </w:divBdr>
        </w:div>
        <w:div w:id="1460295480">
          <w:marLeft w:val="0"/>
          <w:marRight w:val="0"/>
          <w:marTop w:val="0"/>
          <w:marBottom w:val="240"/>
          <w:divBdr>
            <w:top w:val="none" w:sz="0" w:space="0" w:color="auto"/>
            <w:left w:val="none" w:sz="0" w:space="0" w:color="auto"/>
            <w:bottom w:val="none" w:sz="0" w:space="0" w:color="auto"/>
            <w:right w:val="none" w:sz="0" w:space="0" w:color="auto"/>
          </w:divBdr>
        </w:div>
      </w:divsChild>
    </w:div>
    <w:div w:id="539514149">
      <w:bodyDiv w:val="1"/>
      <w:marLeft w:val="0"/>
      <w:marRight w:val="0"/>
      <w:marTop w:val="0"/>
      <w:marBottom w:val="0"/>
      <w:divBdr>
        <w:top w:val="none" w:sz="0" w:space="0" w:color="auto"/>
        <w:left w:val="none" w:sz="0" w:space="0" w:color="auto"/>
        <w:bottom w:val="none" w:sz="0" w:space="0" w:color="auto"/>
        <w:right w:val="none" w:sz="0" w:space="0" w:color="auto"/>
      </w:divBdr>
      <w:divsChild>
        <w:div w:id="859012053">
          <w:marLeft w:val="0"/>
          <w:marRight w:val="0"/>
          <w:marTop w:val="0"/>
          <w:marBottom w:val="240"/>
          <w:divBdr>
            <w:top w:val="none" w:sz="0" w:space="0" w:color="auto"/>
            <w:left w:val="none" w:sz="0" w:space="0" w:color="auto"/>
            <w:bottom w:val="none" w:sz="0" w:space="0" w:color="auto"/>
            <w:right w:val="none" w:sz="0" w:space="0" w:color="auto"/>
          </w:divBdr>
        </w:div>
        <w:div w:id="924456228">
          <w:marLeft w:val="0"/>
          <w:marRight w:val="0"/>
          <w:marTop w:val="0"/>
          <w:marBottom w:val="240"/>
          <w:divBdr>
            <w:top w:val="none" w:sz="0" w:space="0" w:color="auto"/>
            <w:left w:val="none" w:sz="0" w:space="0" w:color="auto"/>
            <w:bottom w:val="none" w:sz="0" w:space="0" w:color="auto"/>
            <w:right w:val="none" w:sz="0" w:space="0" w:color="auto"/>
          </w:divBdr>
        </w:div>
        <w:div w:id="223373297">
          <w:marLeft w:val="0"/>
          <w:marRight w:val="0"/>
          <w:marTop w:val="0"/>
          <w:marBottom w:val="240"/>
          <w:divBdr>
            <w:top w:val="none" w:sz="0" w:space="0" w:color="auto"/>
            <w:left w:val="none" w:sz="0" w:space="0" w:color="auto"/>
            <w:bottom w:val="none" w:sz="0" w:space="0" w:color="auto"/>
            <w:right w:val="none" w:sz="0" w:space="0" w:color="auto"/>
          </w:divBdr>
        </w:div>
        <w:div w:id="877206404">
          <w:marLeft w:val="0"/>
          <w:marRight w:val="0"/>
          <w:marTop w:val="0"/>
          <w:marBottom w:val="240"/>
          <w:divBdr>
            <w:top w:val="none" w:sz="0" w:space="0" w:color="auto"/>
            <w:left w:val="none" w:sz="0" w:space="0" w:color="auto"/>
            <w:bottom w:val="none" w:sz="0" w:space="0" w:color="auto"/>
            <w:right w:val="none" w:sz="0" w:space="0" w:color="auto"/>
          </w:divBdr>
        </w:div>
      </w:divsChild>
    </w:div>
    <w:div w:id="542131407">
      <w:bodyDiv w:val="1"/>
      <w:marLeft w:val="0"/>
      <w:marRight w:val="0"/>
      <w:marTop w:val="0"/>
      <w:marBottom w:val="0"/>
      <w:divBdr>
        <w:top w:val="none" w:sz="0" w:space="0" w:color="auto"/>
        <w:left w:val="none" w:sz="0" w:space="0" w:color="auto"/>
        <w:bottom w:val="none" w:sz="0" w:space="0" w:color="auto"/>
        <w:right w:val="none" w:sz="0" w:space="0" w:color="auto"/>
      </w:divBdr>
      <w:divsChild>
        <w:div w:id="449520947">
          <w:marLeft w:val="0"/>
          <w:marRight w:val="0"/>
          <w:marTop w:val="0"/>
          <w:marBottom w:val="240"/>
          <w:divBdr>
            <w:top w:val="none" w:sz="0" w:space="0" w:color="auto"/>
            <w:left w:val="none" w:sz="0" w:space="0" w:color="auto"/>
            <w:bottom w:val="none" w:sz="0" w:space="0" w:color="auto"/>
            <w:right w:val="none" w:sz="0" w:space="0" w:color="auto"/>
          </w:divBdr>
        </w:div>
      </w:divsChild>
    </w:div>
    <w:div w:id="545064467">
      <w:bodyDiv w:val="1"/>
      <w:marLeft w:val="0"/>
      <w:marRight w:val="0"/>
      <w:marTop w:val="0"/>
      <w:marBottom w:val="0"/>
      <w:divBdr>
        <w:top w:val="none" w:sz="0" w:space="0" w:color="auto"/>
        <w:left w:val="none" w:sz="0" w:space="0" w:color="auto"/>
        <w:bottom w:val="none" w:sz="0" w:space="0" w:color="auto"/>
        <w:right w:val="none" w:sz="0" w:space="0" w:color="auto"/>
      </w:divBdr>
    </w:div>
    <w:div w:id="553660249">
      <w:bodyDiv w:val="1"/>
      <w:marLeft w:val="0"/>
      <w:marRight w:val="0"/>
      <w:marTop w:val="0"/>
      <w:marBottom w:val="0"/>
      <w:divBdr>
        <w:top w:val="none" w:sz="0" w:space="0" w:color="auto"/>
        <w:left w:val="none" w:sz="0" w:space="0" w:color="auto"/>
        <w:bottom w:val="none" w:sz="0" w:space="0" w:color="auto"/>
        <w:right w:val="none" w:sz="0" w:space="0" w:color="auto"/>
      </w:divBdr>
      <w:divsChild>
        <w:div w:id="254245510">
          <w:marLeft w:val="0"/>
          <w:marRight w:val="0"/>
          <w:marTop w:val="0"/>
          <w:marBottom w:val="240"/>
          <w:divBdr>
            <w:top w:val="none" w:sz="0" w:space="0" w:color="auto"/>
            <w:left w:val="none" w:sz="0" w:space="0" w:color="auto"/>
            <w:bottom w:val="none" w:sz="0" w:space="0" w:color="auto"/>
            <w:right w:val="none" w:sz="0" w:space="0" w:color="auto"/>
          </w:divBdr>
        </w:div>
      </w:divsChild>
    </w:div>
    <w:div w:id="559557845">
      <w:bodyDiv w:val="1"/>
      <w:marLeft w:val="0"/>
      <w:marRight w:val="0"/>
      <w:marTop w:val="0"/>
      <w:marBottom w:val="0"/>
      <w:divBdr>
        <w:top w:val="none" w:sz="0" w:space="0" w:color="auto"/>
        <w:left w:val="none" w:sz="0" w:space="0" w:color="auto"/>
        <w:bottom w:val="none" w:sz="0" w:space="0" w:color="auto"/>
        <w:right w:val="none" w:sz="0" w:space="0" w:color="auto"/>
      </w:divBdr>
      <w:divsChild>
        <w:div w:id="317728188">
          <w:marLeft w:val="0"/>
          <w:marRight w:val="0"/>
          <w:marTop w:val="0"/>
          <w:marBottom w:val="240"/>
          <w:divBdr>
            <w:top w:val="none" w:sz="0" w:space="0" w:color="auto"/>
            <w:left w:val="none" w:sz="0" w:space="0" w:color="auto"/>
            <w:bottom w:val="none" w:sz="0" w:space="0" w:color="auto"/>
            <w:right w:val="none" w:sz="0" w:space="0" w:color="auto"/>
          </w:divBdr>
        </w:div>
      </w:divsChild>
    </w:div>
    <w:div w:id="562259159">
      <w:bodyDiv w:val="1"/>
      <w:marLeft w:val="0"/>
      <w:marRight w:val="0"/>
      <w:marTop w:val="0"/>
      <w:marBottom w:val="0"/>
      <w:divBdr>
        <w:top w:val="none" w:sz="0" w:space="0" w:color="auto"/>
        <w:left w:val="none" w:sz="0" w:space="0" w:color="auto"/>
        <w:bottom w:val="none" w:sz="0" w:space="0" w:color="auto"/>
        <w:right w:val="none" w:sz="0" w:space="0" w:color="auto"/>
      </w:divBdr>
      <w:divsChild>
        <w:div w:id="1284117343">
          <w:marLeft w:val="0"/>
          <w:marRight w:val="0"/>
          <w:marTop w:val="0"/>
          <w:marBottom w:val="240"/>
          <w:divBdr>
            <w:top w:val="none" w:sz="0" w:space="0" w:color="auto"/>
            <w:left w:val="none" w:sz="0" w:space="0" w:color="auto"/>
            <w:bottom w:val="none" w:sz="0" w:space="0" w:color="auto"/>
            <w:right w:val="none" w:sz="0" w:space="0" w:color="auto"/>
          </w:divBdr>
        </w:div>
      </w:divsChild>
    </w:div>
    <w:div w:id="575937174">
      <w:bodyDiv w:val="1"/>
      <w:marLeft w:val="0"/>
      <w:marRight w:val="0"/>
      <w:marTop w:val="0"/>
      <w:marBottom w:val="0"/>
      <w:divBdr>
        <w:top w:val="none" w:sz="0" w:space="0" w:color="auto"/>
        <w:left w:val="none" w:sz="0" w:space="0" w:color="auto"/>
        <w:bottom w:val="none" w:sz="0" w:space="0" w:color="auto"/>
        <w:right w:val="none" w:sz="0" w:space="0" w:color="auto"/>
      </w:divBdr>
      <w:divsChild>
        <w:div w:id="1742485622">
          <w:marLeft w:val="0"/>
          <w:marRight w:val="0"/>
          <w:marTop w:val="0"/>
          <w:marBottom w:val="240"/>
          <w:divBdr>
            <w:top w:val="none" w:sz="0" w:space="0" w:color="auto"/>
            <w:left w:val="none" w:sz="0" w:space="0" w:color="auto"/>
            <w:bottom w:val="none" w:sz="0" w:space="0" w:color="auto"/>
            <w:right w:val="none" w:sz="0" w:space="0" w:color="auto"/>
          </w:divBdr>
        </w:div>
      </w:divsChild>
    </w:div>
    <w:div w:id="588856595">
      <w:bodyDiv w:val="1"/>
      <w:marLeft w:val="0"/>
      <w:marRight w:val="0"/>
      <w:marTop w:val="0"/>
      <w:marBottom w:val="0"/>
      <w:divBdr>
        <w:top w:val="none" w:sz="0" w:space="0" w:color="auto"/>
        <w:left w:val="none" w:sz="0" w:space="0" w:color="auto"/>
        <w:bottom w:val="none" w:sz="0" w:space="0" w:color="auto"/>
        <w:right w:val="none" w:sz="0" w:space="0" w:color="auto"/>
      </w:divBdr>
      <w:divsChild>
        <w:div w:id="368455244">
          <w:marLeft w:val="0"/>
          <w:marRight w:val="0"/>
          <w:marTop w:val="0"/>
          <w:marBottom w:val="240"/>
          <w:divBdr>
            <w:top w:val="none" w:sz="0" w:space="0" w:color="auto"/>
            <w:left w:val="none" w:sz="0" w:space="0" w:color="auto"/>
            <w:bottom w:val="none" w:sz="0" w:space="0" w:color="auto"/>
            <w:right w:val="none" w:sz="0" w:space="0" w:color="auto"/>
          </w:divBdr>
        </w:div>
      </w:divsChild>
    </w:div>
    <w:div w:id="589776216">
      <w:bodyDiv w:val="1"/>
      <w:marLeft w:val="0"/>
      <w:marRight w:val="0"/>
      <w:marTop w:val="0"/>
      <w:marBottom w:val="0"/>
      <w:divBdr>
        <w:top w:val="none" w:sz="0" w:space="0" w:color="auto"/>
        <w:left w:val="none" w:sz="0" w:space="0" w:color="auto"/>
        <w:bottom w:val="none" w:sz="0" w:space="0" w:color="auto"/>
        <w:right w:val="none" w:sz="0" w:space="0" w:color="auto"/>
      </w:divBdr>
      <w:divsChild>
        <w:div w:id="1781603978">
          <w:marLeft w:val="0"/>
          <w:marRight w:val="0"/>
          <w:marTop w:val="0"/>
          <w:marBottom w:val="240"/>
          <w:divBdr>
            <w:top w:val="none" w:sz="0" w:space="0" w:color="auto"/>
            <w:left w:val="none" w:sz="0" w:space="0" w:color="auto"/>
            <w:bottom w:val="none" w:sz="0" w:space="0" w:color="auto"/>
            <w:right w:val="none" w:sz="0" w:space="0" w:color="auto"/>
          </w:divBdr>
        </w:div>
      </w:divsChild>
    </w:div>
    <w:div w:id="592712951">
      <w:bodyDiv w:val="1"/>
      <w:marLeft w:val="0"/>
      <w:marRight w:val="0"/>
      <w:marTop w:val="0"/>
      <w:marBottom w:val="0"/>
      <w:divBdr>
        <w:top w:val="none" w:sz="0" w:space="0" w:color="auto"/>
        <w:left w:val="none" w:sz="0" w:space="0" w:color="auto"/>
        <w:bottom w:val="none" w:sz="0" w:space="0" w:color="auto"/>
        <w:right w:val="none" w:sz="0" w:space="0" w:color="auto"/>
      </w:divBdr>
      <w:divsChild>
        <w:div w:id="1036538560">
          <w:marLeft w:val="0"/>
          <w:marRight w:val="0"/>
          <w:marTop w:val="0"/>
          <w:marBottom w:val="240"/>
          <w:divBdr>
            <w:top w:val="none" w:sz="0" w:space="0" w:color="auto"/>
            <w:left w:val="none" w:sz="0" w:space="0" w:color="auto"/>
            <w:bottom w:val="none" w:sz="0" w:space="0" w:color="auto"/>
            <w:right w:val="none" w:sz="0" w:space="0" w:color="auto"/>
          </w:divBdr>
        </w:div>
      </w:divsChild>
    </w:div>
    <w:div w:id="693577499">
      <w:bodyDiv w:val="1"/>
      <w:marLeft w:val="0"/>
      <w:marRight w:val="0"/>
      <w:marTop w:val="0"/>
      <w:marBottom w:val="0"/>
      <w:divBdr>
        <w:top w:val="none" w:sz="0" w:space="0" w:color="auto"/>
        <w:left w:val="none" w:sz="0" w:space="0" w:color="auto"/>
        <w:bottom w:val="none" w:sz="0" w:space="0" w:color="auto"/>
        <w:right w:val="none" w:sz="0" w:space="0" w:color="auto"/>
      </w:divBdr>
      <w:divsChild>
        <w:div w:id="1768496318">
          <w:marLeft w:val="0"/>
          <w:marRight w:val="0"/>
          <w:marTop w:val="0"/>
          <w:marBottom w:val="240"/>
          <w:divBdr>
            <w:top w:val="none" w:sz="0" w:space="0" w:color="auto"/>
            <w:left w:val="none" w:sz="0" w:space="0" w:color="auto"/>
            <w:bottom w:val="none" w:sz="0" w:space="0" w:color="auto"/>
            <w:right w:val="none" w:sz="0" w:space="0" w:color="auto"/>
          </w:divBdr>
        </w:div>
      </w:divsChild>
    </w:div>
    <w:div w:id="698093702">
      <w:bodyDiv w:val="1"/>
      <w:marLeft w:val="0"/>
      <w:marRight w:val="0"/>
      <w:marTop w:val="0"/>
      <w:marBottom w:val="0"/>
      <w:divBdr>
        <w:top w:val="none" w:sz="0" w:space="0" w:color="auto"/>
        <w:left w:val="none" w:sz="0" w:space="0" w:color="auto"/>
        <w:bottom w:val="none" w:sz="0" w:space="0" w:color="auto"/>
        <w:right w:val="none" w:sz="0" w:space="0" w:color="auto"/>
      </w:divBdr>
      <w:divsChild>
        <w:div w:id="2065987492">
          <w:marLeft w:val="0"/>
          <w:marRight w:val="0"/>
          <w:marTop w:val="0"/>
          <w:marBottom w:val="240"/>
          <w:divBdr>
            <w:top w:val="none" w:sz="0" w:space="0" w:color="auto"/>
            <w:left w:val="none" w:sz="0" w:space="0" w:color="auto"/>
            <w:bottom w:val="none" w:sz="0" w:space="0" w:color="auto"/>
            <w:right w:val="none" w:sz="0" w:space="0" w:color="auto"/>
          </w:divBdr>
        </w:div>
        <w:div w:id="76098064">
          <w:marLeft w:val="0"/>
          <w:marRight w:val="0"/>
          <w:marTop w:val="0"/>
          <w:marBottom w:val="240"/>
          <w:divBdr>
            <w:top w:val="none" w:sz="0" w:space="0" w:color="auto"/>
            <w:left w:val="none" w:sz="0" w:space="0" w:color="auto"/>
            <w:bottom w:val="none" w:sz="0" w:space="0" w:color="auto"/>
            <w:right w:val="none" w:sz="0" w:space="0" w:color="auto"/>
          </w:divBdr>
        </w:div>
      </w:divsChild>
    </w:div>
    <w:div w:id="703021328">
      <w:bodyDiv w:val="1"/>
      <w:marLeft w:val="0"/>
      <w:marRight w:val="0"/>
      <w:marTop w:val="0"/>
      <w:marBottom w:val="0"/>
      <w:divBdr>
        <w:top w:val="none" w:sz="0" w:space="0" w:color="auto"/>
        <w:left w:val="none" w:sz="0" w:space="0" w:color="auto"/>
        <w:bottom w:val="none" w:sz="0" w:space="0" w:color="auto"/>
        <w:right w:val="none" w:sz="0" w:space="0" w:color="auto"/>
      </w:divBdr>
      <w:divsChild>
        <w:div w:id="1294795277">
          <w:marLeft w:val="0"/>
          <w:marRight w:val="0"/>
          <w:marTop w:val="0"/>
          <w:marBottom w:val="240"/>
          <w:divBdr>
            <w:top w:val="none" w:sz="0" w:space="0" w:color="auto"/>
            <w:left w:val="none" w:sz="0" w:space="0" w:color="auto"/>
            <w:bottom w:val="none" w:sz="0" w:space="0" w:color="auto"/>
            <w:right w:val="none" w:sz="0" w:space="0" w:color="auto"/>
          </w:divBdr>
        </w:div>
      </w:divsChild>
    </w:div>
    <w:div w:id="727925520">
      <w:bodyDiv w:val="1"/>
      <w:marLeft w:val="0"/>
      <w:marRight w:val="0"/>
      <w:marTop w:val="0"/>
      <w:marBottom w:val="0"/>
      <w:divBdr>
        <w:top w:val="none" w:sz="0" w:space="0" w:color="auto"/>
        <w:left w:val="none" w:sz="0" w:space="0" w:color="auto"/>
        <w:bottom w:val="none" w:sz="0" w:space="0" w:color="auto"/>
        <w:right w:val="none" w:sz="0" w:space="0" w:color="auto"/>
      </w:divBdr>
    </w:div>
    <w:div w:id="732123861">
      <w:bodyDiv w:val="1"/>
      <w:marLeft w:val="0"/>
      <w:marRight w:val="0"/>
      <w:marTop w:val="0"/>
      <w:marBottom w:val="0"/>
      <w:divBdr>
        <w:top w:val="none" w:sz="0" w:space="0" w:color="auto"/>
        <w:left w:val="none" w:sz="0" w:space="0" w:color="auto"/>
        <w:bottom w:val="none" w:sz="0" w:space="0" w:color="auto"/>
        <w:right w:val="none" w:sz="0" w:space="0" w:color="auto"/>
      </w:divBdr>
      <w:divsChild>
        <w:div w:id="1764689063">
          <w:marLeft w:val="0"/>
          <w:marRight w:val="0"/>
          <w:marTop w:val="0"/>
          <w:marBottom w:val="240"/>
          <w:divBdr>
            <w:top w:val="none" w:sz="0" w:space="0" w:color="auto"/>
            <w:left w:val="none" w:sz="0" w:space="0" w:color="auto"/>
            <w:bottom w:val="none" w:sz="0" w:space="0" w:color="auto"/>
            <w:right w:val="none" w:sz="0" w:space="0" w:color="auto"/>
          </w:divBdr>
        </w:div>
        <w:div w:id="368186097">
          <w:marLeft w:val="0"/>
          <w:marRight w:val="0"/>
          <w:marTop w:val="0"/>
          <w:marBottom w:val="240"/>
          <w:divBdr>
            <w:top w:val="none" w:sz="0" w:space="0" w:color="auto"/>
            <w:left w:val="none" w:sz="0" w:space="0" w:color="auto"/>
            <w:bottom w:val="none" w:sz="0" w:space="0" w:color="auto"/>
            <w:right w:val="none" w:sz="0" w:space="0" w:color="auto"/>
          </w:divBdr>
        </w:div>
      </w:divsChild>
    </w:div>
    <w:div w:id="735471502">
      <w:bodyDiv w:val="1"/>
      <w:marLeft w:val="0"/>
      <w:marRight w:val="0"/>
      <w:marTop w:val="0"/>
      <w:marBottom w:val="0"/>
      <w:divBdr>
        <w:top w:val="none" w:sz="0" w:space="0" w:color="auto"/>
        <w:left w:val="none" w:sz="0" w:space="0" w:color="auto"/>
        <w:bottom w:val="none" w:sz="0" w:space="0" w:color="auto"/>
        <w:right w:val="none" w:sz="0" w:space="0" w:color="auto"/>
      </w:divBdr>
      <w:divsChild>
        <w:div w:id="1150903231">
          <w:marLeft w:val="0"/>
          <w:marRight w:val="0"/>
          <w:marTop w:val="0"/>
          <w:marBottom w:val="240"/>
          <w:divBdr>
            <w:top w:val="none" w:sz="0" w:space="0" w:color="auto"/>
            <w:left w:val="none" w:sz="0" w:space="0" w:color="auto"/>
            <w:bottom w:val="none" w:sz="0" w:space="0" w:color="auto"/>
            <w:right w:val="none" w:sz="0" w:space="0" w:color="auto"/>
          </w:divBdr>
        </w:div>
      </w:divsChild>
    </w:div>
    <w:div w:id="742989759">
      <w:bodyDiv w:val="1"/>
      <w:marLeft w:val="0"/>
      <w:marRight w:val="0"/>
      <w:marTop w:val="0"/>
      <w:marBottom w:val="0"/>
      <w:divBdr>
        <w:top w:val="none" w:sz="0" w:space="0" w:color="auto"/>
        <w:left w:val="none" w:sz="0" w:space="0" w:color="auto"/>
        <w:bottom w:val="none" w:sz="0" w:space="0" w:color="auto"/>
        <w:right w:val="none" w:sz="0" w:space="0" w:color="auto"/>
      </w:divBdr>
      <w:divsChild>
        <w:div w:id="2094888299">
          <w:marLeft w:val="0"/>
          <w:marRight w:val="0"/>
          <w:marTop w:val="0"/>
          <w:marBottom w:val="240"/>
          <w:divBdr>
            <w:top w:val="none" w:sz="0" w:space="0" w:color="auto"/>
            <w:left w:val="none" w:sz="0" w:space="0" w:color="auto"/>
            <w:bottom w:val="none" w:sz="0" w:space="0" w:color="auto"/>
            <w:right w:val="none" w:sz="0" w:space="0" w:color="auto"/>
          </w:divBdr>
        </w:div>
      </w:divsChild>
    </w:div>
    <w:div w:id="750741469">
      <w:bodyDiv w:val="1"/>
      <w:marLeft w:val="0"/>
      <w:marRight w:val="0"/>
      <w:marTop w:val="0"/>
      <w:marBottom w:val="0"/>
      <w:divBdr>
        <w:top w:val="none" w:sz="0" w:space="0" w:color="auto"/>
        <w:left w:val="none" w:sz="0" w:space="0" w:color="auto"/>
        <w:bottom w:val="none" w:sz="0" w:space="0" w:color="auto"/>
        <w:right w:val="none" w:sz="0" w:space="0" w:color="auto"/>
      </w:divBdr>
      <w:divsChild>
        <w:div w:id="1949004522">
          <w:marLeft w:val="0"/>
          <w:marRight w:val="0"/>
          <w:marTop w:val="0"/>
          <w:marBottom w:val="240"/>
          <w:divBdr>
            <w:top w:val="none" w:sz="0" w:space="0" w:color="auto"/>
            <w:left w:val="none" w:sz="0" w:space="0" w:color="auto"/>
            <w:bottom w:val="none" w:sz="0" w:space="0" w:color="auto"/>
            <w:right w:val="none" w:sz="0" w:space="0" w:color="auto"/>
          </w:divBdr>
        </w:div>
      </w:divsChild>
    </w:div>
    <w:div w:id="759133205">
      <w:bodyDiv w:val="1"/>
      <w:marLeft w:val="0"/>
      <w:marRight w:val="0"/>
      <w:marTop w:val="0"/>
      <w:marBottom w:val="0"/>
      <w:divBdr>
        <w:top w:val="none" w:sz="0" w:space="0" w:color="auto"/>
        <w:left w:val="none" w:sz="0" w:space="0" w:color="auto"/>
        <w:bottom w:val="none" w:sz="0" w:space="0" w:color="auto"/>
        <w:right w:val="none" w:sz="0" w:space="0" w:color="auto"/>
      </w:divBdr>
      <w:divsChild>
        <w:div w:id="675228706">
          <w:marLeft w:val="0"/>
          <w:marRight w:val="0"/>
          <w:marTop w:val="0"/>
          <w:marBottom w:val="240"/>
          <w:divBdr>
            <w:top w:val="none" w:sz="0" w:space="0" w:color="auto"/>
            <w:left w:val="none" w:sz="0" w:space="0" w:color="auto"/>
            <w:bottom w:val="none" w:sz="0" w:space="0" w:color="auto"/>
            <w:right w:val="none" w:sz="0" w:space="0" w:color="auto"/>
          </w:divBdr>
        </w:div>
      </w:divsChild>
    </w:div>
    <w:div w:id="798108985">
      <w:bodyDiv w:val="1"/>
      <w:marLeft w:val="0"/>
      <w:marRight w:val="0"/>
      <w:marTop w:val="0"/>
      <w:marBottom w:val="0"/>
      <w:divBdr>
        <w:top w:val="none" w:sz="0" w:space="0" w:color="auto"/>
        <w:left w:val="none" w:sz="0" w:space="0" w:color="auto"/>
        <w:bottom w:val="none" w:sz="0" w:space="0" w:color="auto"/>
        <w:right w:val="none" w:sz="0" w:space="0" w:color="auto"/>
      </w:divBdr>
      <w:divsChild>
        <w:div w:id="1505123372">
          <w:marLeft w:val="0"/>
          <w:marRight w:val="0"/>
          <w:marTop w:val="0"/>
          <w:marBottom w:val="240"/>
          <w:divBdr>
            <w:top w:val="none" w:sz="0" w:space="0" w:color="auto"/>
            <w:left w:val="none" w:sz="0" w:space="0" w:color="auto"/>
            <w:bottom w:val="none" w:sz="0" w:space="0" w:color="auto"/>
            <w:right w:val="none" w:sz="0" w:space="0" w:color="auto"/>
          </w:divBdr>
        </w:div>
      </w:divsChild>
    </w:div>
    <w:div w:id="814106275">
      <w:bodyDiv w:val="1"/>
      <w:marLeft w:val="0"/>
      <w:marRight w:val="0"/>
      <w:marTop w:val="0"/>
      <w:marBottom w:val="0"/>
      <w:divBdr>
        <w:top w:val="none" w:sz="0" w:space="0" w:color="auto"/>
        <w:left w:val="none" w:sz="0" w:space="0" w:color="auto"/>
        <w:bottom w:val="none" w:sz="0" w:space="0" w:color="auto"/>
        <w:right w:val="none" w:sz="0" w:space="0" w:color="auto"/>
      </w:divBdr>
      <w:divsChild>
        <w:div w:id="867718224">
          <w:marLeft w:val="0"/>
          <w:marRight w:val="0"/>
          <w:marTop w:val="0"/>
          <w:marBottom w:val="240"/>
          <w:divBdr>
            <w:top w:val="none" w:sz="0" w:space="0" w:color="auto"/>
            <w:left w:val="none" w:sz="0" w:space="0" w:color="auto"/>
            <w:bottom w:val="none" w:sz="0" w:space="0" w:color="auto"/>
            <w:right w:val="none" w:sz="0" w:space="0" w:color="auto"/>
          </w:divBdr>
        </w:div>
      </w:divsChild>
    </w:div>
    <w:div w:id="834758036">
      <w:bodyDiv w:val="1"/>
      <w:marLeft w:val="0"/>
      <w:marRight w:val="0"/>
      <w:marTop w:val="0"/>
      <w:marBottom w:val="0"/>
      <w:divBdr>
        <w:top w:val="none" w:sz="0" w:space="0" w:color="auto"/>
        <w:left w:val="none" w:sz="0" w:space="0" w:color="auto"/>
        <w:bottom w:val="none" w:sz="0" w:space="0" w:color="auto"/>
        <w:right w:val="none" w:sz="0" w:space="0" w:color="auto"/>
      </w:divBdr>
      <w:divsChild>
        <w:div w:id="485784436">
          <w:marLeft w:val="0"/>
          <w:marRight w:val="0"/>
          <w:marTop w:val="0"/>
          <w:marBottom w:val="240"/>
          <w:divBdr>
            <w:top w:val="none" w:sz="0" w:space="0" w:color="auto"/>
            <w:left w:val="none" w:sz="0" w:space="0" w:color="auto"/>
            <w:bottom w:val="none" w:sz="0" w:space="0" w:color="auto"/>
            <w:right w:val="none" w:sz="0" w:space="0" w:color="auto"/>
          </w:divBdr>
        </w:div>
        <w:div w:id="1100107603">
          <w:marLeft w:val="0"/>
          <w:marRight w:val="0"/>
          <w:marTop w:val="0"/>
          <w:marBottom w:val="240"/>
          <w:divBdr>
            <w:top w:val="none" w:sz="0" w:space="0" w:color="auto"/>
            <w:left w:val="none" w:sz="0" w:space="0" w:color="auto"/>
            <w:bottom w:val="none" w:sz="0" w:space="0" w:color="auto"/>
            <w:right w:val="none" w:sz="0" w:space="0" w:color="auto"/>
          </w:divBdr>
        </w:div>
      </w:divsChild>
    </w:div>
    <w:div w:id="836578518">
      <w:bodyDiv w:val="1"/>
      <w:marLeft w:val="0"/>
      <w:marRight w:val="0"/>
      <w:marTop w:val="0"/>
      <w:marBottom w:val="0"/>
      <w:divBdr>
        <w:top w:val="none" w:sz="0" w:space="0" w:color="auto"/>
        <w:left w:val="none" w:sz="0" w:space="0" w:color="auto"/>
        <w:bottom w:val="none" w:sz="0" w:space="0" w:color="auto"/>
        <w:right w:val="none" w:sz="0" w:space="0" w:color="auto"/>
      </w:divBdr>
      <w:divsChild>
        <w:div w:id="1051423526">
          <w:marLeft w:val="0"/>
          <w:marRight w:val="0"/>
          <w:marTop w:val="0"/>
          <w:marBottom w:val="240"/>
          <w:divBdr>
            <w:top w:val="none" w:sz="0" w:space="0" w:color="auto"/>
            <w:left w:val="none" w:sz="0" w:space="0" w:color="auto"/>
            <w:bottom w:val="none" w:sz="0" w:space="0" w:color="auto"/>
            <w:right w:val="none" w:sz="0" w:space="0" w:color="auto"/>
          </w:divBdr>
        </w:div>
      </w:divsChild>
    </w:div>
    <w:div w:id="836965249">
      <w:bodyDiv w:val="1"/>
      <w:marLeft w:val="0"/>
      <w:marRight w:val="0"/>
      <w:marTop w:val="0"/>
      <w:marBottom w:val="0"/>
      <w:divBdr>
        <w:top w:val="none" w:sz="0" w:space="0" w:color="auto"/>
        <w:left w:val="none" w:sz="0" w:space="0" w:color="auto"/>
        <w:bottom w:val="none" w:sz="0" w:space="0" w:color="auto"/>
        <w:right w:val="none" w:sz="0" w:space="0" w:color="auto"/>
      </w:divBdr>
      <w:divsChild>
        <w:div w:id="407769344">
          <w:marLeft w:val="0"/>
          <w:marRight w:val="0"/>
          <w:marTop w:val="0"/>
          <w:marBottom w:val="240"/>
          <w:divBdr>
            <w:top w:val="none" w:sz="0" w:space="0" w:color="auto"/>
            <w:left w:val="none" w:sz="0" w:space="0" w:color="auto"/>
            <w:bottom w:val="none" w:sz="0" w:space="0" w:color="auto"/>
            <w:right w:val="none" w:sz="0" w:space="0" w:color="auto"/>
          </w:divBdr>
        </w:div>
      </w:divsChild>
    </w:div>
    <w:div w:id="845944233">
      <w:bodyDiv w:val="1"/>
      <w:marLeft w:val="0"/>
      <w:marRight w:val="0"/>
      <w:marTop w:val="0"/>
      <w:marBottom w:val="0"/>
      <w:divBdr>
        <w:top w:val="none" w:sz="0" w:space="0" w:color="auto"/>
        <w:left w:val="none" w:sz="0" w:space="0" w:color="auto"/>
        <w:bottom w:val="none" w:sz="0" w:space="0" w:color="auto"/>
        <w:right w:val="none" w:sz="0" w:space="0" w:color="auto"/>
      </w:divBdr>
      <w:divsChild>
        <w:div w:id="1265960478">
          <w:marLeft w:val="0"/>
          <w:marRight w:val="0"/>
          <w:marTop w:val="0"/>
          <w:marBottom w:val="240"/>
          <w:divBdr>
            <w:top w:val="none" w:sz="0" w:space="0" w:color="auto"/>
            <w:left w:val="none" w:sz="0" w:space="0" w:color="auto"/>
            <w:bottom w:val="none" w:sz="0" w:space="0" w:color="auto"/>
            <w:right w:val="none" w:sz="0" w:space="0" w:color="auto"/>
          </w:divBdr>
        </w:div>
      </w:divsChild>
    </w:div>
    <w:div w:id="855190946">
      <w:bodyDiv w:val="1"/>
      <w:marLeft w:val="0"/>
      <w:marRight w:val="0"/>
      <w:marTop w:val="0"/>
      <w:marBottom w:val="0"/>
      <w:divBdr>
        <w:top w:val="none" w:sz="0" w:space="0" w:color="auto"/>
        <w:left w:val="none" w:sz="0" w:space="0" w:color="auto"/>
        <w:bottom w:val="none" w:sz="0" w:space="0" w:color="auto"/>
        <w:right w:val="none" w:sz="0" w:space="0" w:color="auto"/>
      </w:divBdr>
      <w:divsChild>
        <w:div w:id="392627859">
          <w:marLeft w:val="0"/>
          <w:marRight w:val="0"/>
          <w:marTop w:val="0"/>
          <w:marBottom w:val="240"/>
          <w:divBdr>
            <w:top w:val="none" w:sz="0" w:space="0" w:color="auto"/>
            <w:left w:val="none" w:sz="0" w:space="0" w:color="auto"/>
            <w:bottom w:val="none" w:sz="0" w:space="0" w:color="auto"/>
            <w:right w:val="none" w:sz="0" w:space="0" w:color="auto"/>
          </w:divBdr>
        </w:div>
      </w:divsChild>
    </w:div>
    <w:div w:id="855967813">
      <w:bodyDiv w:val="1"/>
      <w:marLeft w:val="0"/>
      <w:marRight w:val="0"/>
      <w:marTop w:val="0"/>
      <w:marBottom w:val="0"/>
      <w:divBdr>
        <w:top w:val="none" w:sz="0" w:space="0" w:color="auto"/>
        <w:left w:val="none" w:sz="0" w:space="0" w:color="auto"/>
        <w:bottom w:val="none" w:sz="0" w:space="0" w:color="auto"/>
        <w:right w:val="none" w:sz="0" w:space="0" w:color="auto"/>
      </w:divBdr>
      <w:divsChild>
        <w:div w:id="1209226858">
          <w:marLeft w:val="0"/>
          <w:marRight w:val="0"/>
          <w:marTop w:val="0"/>
          <w:marBottom w:val="240"/>
          <w:divBdr>
            <w:top w:val="none" w:sz="0" w:space="0" w:color="auto"/>
            <w:left w:val="none" w:sz="0" w:space="0" w:color="auto"/>
            <w:bottom w:val="none" w:sz="0" w:space="0" w:color="auto"/>
            <w:right w:val="none" w:sz="0" w:space="0" w:color="auto"/>
          </w:divBdr>
        </w:div>
      </w:divsChild>
    </w:div>
    <w:div w:id="860317335">
      <w:bodyDiv w:val="1"/>
      <w:marLeft w:val="0"/>
      <w:marRight w:val="0"/>
      <w:marTop w:val="0"/>
      <w:marBottom w:val="0"/>
      <w:divBdr>
        <w:top w:val="none" w:sz="0" w:space="0" w:color="auto"/>
        <w:left w:val="none" w:sz="0" w:space="0" w:color="auto"/>
        <w:bottom w:val="none" w:sz="0" w:space="0" w:color="auto"/>
        <w:right w:val="none" w:sz="0" w:space="0" w:color="auto"/>
      </w:divBdr>
      <w:divsChild>
        <w:div w:id="225341969">
          <w:marLeft w:val="0"/>
          <w:marRight w:val="0"/>
          <w:marTop w:val="0"/>
          <w:marBottom w:val="240"/>
          <w:divBdr>
            <w:top w:val="none" w:sz="0" w:space="0" w:color="auto"/>
            <w:left w:val="none" w:sz="0" w:space="0" w:color="auto"/>
            <w:bottom w:val="none" w:sz="0" w:space="0" w:color="auto"/>
            <w:right w:val="none" w:sz="0" w:space="0" w:color="auto"/>
          </w:divBdr>
        </w:div>
      </w:divsChild>
    </w:div>
    <w:div w:id="876697786">
      <w:bodyDiv w:val="1"/>
      <w:marLeft w:val="0"/>
      <w:marRight w:val="0"/>
      <w:marTop w:val="0"/>
      <w:marBottom w:val="0"/>
      <w:divBdr>
        <w:top w:val="none" w:sz="0" w:space="0" w:color="auto"/>
        <w:left w:val="none" w:sz="0" w:space="0" w:color="auto"/>
        <w:bottom w:val="none" w:sz="0" w:space="0" w:color="auto"/>
        <w:right w:val="none" w:sz="0" w:space="0" w:color="auto"/>
      </w:divBdr>
      <w:divsChild>
        <w:div w:id="531115831">
          <w:marLeft w:val="0"/>
          <w:marRight w:val="0"/>
          <w:marTop w:val="0"/>
          <w:marBottom w:val="240"/>
          <w:divBdr>
            <w:top w:val="none" w:sz="0" w:space="0" w:color="auto"/>
            <w:left w:val="none" w:sz="0" w:space="0" w:color="auto"/>
            <w:bottom w:val="none" w:sz="0" w:space="0" w:color="auto"/>
            <w:right w:val="none" w:sz="0" w:space="0" w:color="auto"/>
          </w:divBdr>
        </w:div>
        <w:div w:id="1890263731">
          <w:marLeft w:val="0"/>
          <w:marRight w:val="0"/>
          <w:marTop w:val="0"/>
          <w:marBottom w:val="240"/>
          <w:divBdr>
            <w:top w:val="none" w:sz="0" w:space="0" w:color="auto"/>
            <w:left w:val="none" w:sz="0" w:space="0" w:color="auto"/>
            <w:bottom w:val="none" w:sz="0" w:space="0" w:color="auto"/>
            <w:right w:val="none" w:sz="0" w:space="0" w:color="auto"/>
          </w:divBdr>
        </w:div>
      </w:divsChild>
    </w:div>
    <w:div w:id="901406186">
      <w:bodyDiv w:val="1"/>
      <w:marLeft w:val="0"/>
      <w:marRight w:val="0"/>
      <w:marTop w:val="0"/>
      <w:marBottom w:val="0"/>
      <w:divBdr>
        <w:top w:val="none" w:sz="0" w:space="0" w:color="auto"/>
        <w:left w:val="none" w:sz="0" w:space="0" w:color="auto"/>
        <w:bottom w:val="none" w:sz="0" w:space="0" w:color="auto"/>
        <w:right w:val="none" w:sz="0" w:space="0" w:color="auto"/>
      </w:divBdr>
      <w:divsChild>
        <w:div w:id="328869942">
          <w:marLeft w:val="0"/>
          <w:marRight w:val="0"/>
          <w:marTop w:val="0"/>
          <w:marBottom w:val="240"/>
          <w:divBdr>
            <w:top w:val="none" w:sz="0" w:space="0" w:color="auto"/>
            <w:left w:val="none" w:sz="0" w:space="0" w:color="auto"/>
            <w:bottom w:val="none" w:sz="0" w:space="0" w:color="auto"/>
            <w:right w:val="none" w:sz="0" w:space="0" w:color="auto"/>
          </w:divBdr>
        </w:div>
      </w:divsChild>
    </w:div>
    <w:div w:id="909270228">
      <w:bodyDiv w:val="1"/>
      <w:marLeft w:val="0"/>
      <w:marRight w:val="0"/>
      <w:marTop w:val="0"/>
      <w:marBottom w:val="0"/>
      <w:divBdr>
        <w:top w:val="none" w:sz="0" w:space="0" w:color="auto"/>
        <w:left w:val="none" w:sz="0" w:space="0" w:color="auto"/>
        <w:bottom w:val="none" w:sz="0" w:space="0" w:color="auto"/>
        <w:right w:val="none" w:sz="0" w:space="0" w:color="auto"/>
      </w:divBdr>
      <w:divsChild>
        <w:div w:id="1344477472">
          <w:marLeft w:val="0"/>
          <w:marRight w:val="0"/>
          <w:marTop w:val="0"/>
          <w:marBottom w:val="240"/>
          <w:divBdr>
            <w:top w:val="none" w:sz="0" w:space="0" w:color="auto"/>
            <w:left w:val="none" w:sz="0" w:space="0" w:color="auto"/>
            <w:bottom w:val="none" w:sz="0" w:space="0" w:color="auto"/>
            <w:right w:val="none" w:sz="0" w:space="0" w:color="auto"/>
          </w:divBdr>
        </w:div>
        <w:div w:id="33121482">
          <w:marLeft w:val="0"/>
          <w:marRight w:val="0"/>
          <w:marTop w:val="0"/>
          <w:marBottom w:val="240"/>
          <w:divBdr>
            <w:top w:val="none" w:sz="0" w:space="0" w:color="auto"/>
            <w:left w:val="none" w:sz="0" w:space="0" w:color="auto"/>
            <w:bottom w:val="none" w:sz="0" w:space="0" w:color="auto"/>
            <w:right w:val="none" w:sz="0" w:space="0" w:color="auto"/>
          </w:divBdr>
        </w:div>
        <w:div w:id="1224632986">
          <w:marLeft w:val="0"/>
          <w:marRight w:val="0"/>
          <w:marTop w:val="0"/>
          <w:marBottom w:val="240"/>
          <w:divBdr>
            <w:top w:val="none" w:sz="0" w:space="0" w:color="auto"/>
            <w:left w:val="none" w:sz="0" w:space="0" w:color="auto"/>
            <w:bottom w:val="none" w:sz="0" w:space="0" w:color="auto"/>
            <w:right w:val="none" w:sz="0" w:space="0" w:color="auto"/>
          </w:divBdr>
        </w:div>
        <w:div w:id="816919721">
          <w:marLeft w:val="0"/>
          <w:marRight w:val="0"/>
          <w:marTop w:val="0"/>
          <w:marBottom w:val="240"/>
          <w:divBdr>
            <w:top w:val="none" w:sz="0" w:space="0" w:color="auto"/>
            <w:left w:val="none" w:sz="0" w:space="0" w:color="auto"/>
            <w:bottom w:val="none" w:sz="0" w:space="0" w:color="auto"/>
            <w:right w:val="none" w:sz="0" w:space="0" w:color="auto"/>
          </w:divBdr>
        </w:div>
        <w:div w:id="1239632374">
          <w:marLeft w:val="0"/>
          <w:marRight w:val="0"/>
          <w:marTop w:val="0"/>
          <w:marBottom w:val="240"/>
          <w:divBdr>
            <w:top w:val="none" w:sz="0" w:space="0" w:color="auto"/>
            <w:left w:val="none" w:sz="0" w:space="0" w:color="auto"/>
            <w:bottom w:val="none" w:sz="0" w:space="0" w:color="auto"/>
            <w:right w:val="none" w:sz="0" w:space="0" w:color="auto"/>
          </w:divBdr>
        </w:div>
        <w:div w:id="252010075">
          <w:marLeft w:val="0"/>
          <w:marRight w:val="0"/>
          <w:marTop w:val="0"/>
          <w:marBottom w:val="240"/>
          <w:divBdr>
            <w:top w:val="none" w:sz="0" w:space="0" w:color="auto"/>
            <w:left w:val="none" w:sz="0" w:space="0" w:color="auto"/>
            <w:bottom w:val="none" w:sz="0" w:space="0" w:color="auto"/>
            <w:right w:val="none" w:sz="0" w:space="0" w:color="auto"/>
          </w:divBdr>
        </w:div>
        <w:div w:id="1783188786">
          <w:marLeft w:val="0"/>
          <w:marRight w:val="0"/>
          <w:marTop w:val="0"/>
          <w:marBottom w:val="240"/>
          <w:divBdr>
            <w:top w:val="none" w:sz="0" w:space="0" w:color="auto"/>
            <w:left w:val="none" w:sz="0" w:space="0" w:color="auto"/>
            <w:bottom w:val="none" w:sz="0" w:space="0" w:color="auto"/>
            <w:right w:val="none" w:sz="0" w:space="0" w:color="auto"/>
          </w:divBdr>
        </w:div>
        <w:div w:id="515847437">
          <w:marLeft w:val="0"/>
          <w:marRight w:val="0"/>
          <w:marTop w:val="0"/>
          <w:marBottom w:val="240"/>
          <w:divBdr>
            <w:top w:val="none" w:sz="0" w:space="0" w:color="auto"/>
            <w:left w:val="none" w:sz="0" w:space="0" w:color="auto"/>
            <w:bottom w:val="none" w:sz="0" w:space="0" w:color="auto"/>
            <w:right w:val="none" w:sz="0" w:space="0" w:color="auto"/>
          </w:divBdr>
        </w:div>
        <w:div w:id="1204098519">
          <w:marLeft w:val="0"/>
          <w:marRight w:val="0"/>
          <w:marTop w:val="0"/>
          <w:marBottom w:val="240"/>
          <w:divBdr>
            <w:top w:val="none" w:sz="0" w:space="0" w:color="auto"/>
            <w:left w:val="none" w:sz="0" w:space="0" w:color="auto"/>
            <w:bottom w:val="none" w:sz="0" w:space="0" w:color="auto"/>
            <w:right w:val="none" w:sz="0" w:space="0" w:color="auto"/>
          </w:divBdr>
        </w:div>
        <w:div w:id="1496846213">
          <w:marLeft w:val="0"/>
          <w:marRight w:val="0"/>
          <w:marTop w:val="0"/>
          <w:marBottom w:val="240"/>
          <w:divBdr>
            <w:top w:val="none" w:sz="0" w:space="0" w:color="auto"/>
            <w:left w:val="none" w:sz="0" w:space="0" w:color="auto"/>
            <w:bottom w:val="none" w:sz="0" w:space="0" w:color="auto"/>
            <w:right w:val="none" w:sz="0" w:space="0" w:color="auto"/>
          </w:divBdr>
        </w:div>
        <w:div w:id="2113164051">
          <w:marLeft w:val="0"/>
          <w:marRight w:val="0"/>
          <w:marTop w:val="0"/>
          <w:marBottom w:val="240"/>
          <w:divBdr>
            <w:top w:val="none" w:sz="0" w:space="0" w:color="auto"/>
            <w:left w:val="none" w:sz="0" w:space="0" w:color="auto"/>
            <w:bottom w:val="none" w:sz="0" w:space="0" w:color="auto"/>
            <w:right w:val="none" w:sz="0" w:space="0" w:color="auto"/>
          </w:divBdr>
        </w:div>
        <w:div w:id="727000615">
          <w:marLeft w:val="0"/>
          <w:marRight w:val="0"/>
          <w:marTop w:val="0"/>
          <w:marBottom w:val="240"/>
          <w:divBdr>
            <w:top w:val="none" w:sz="0" w:space="0" w:color="auto"/>
            <w:left w:val="none" w:sz="0" w:space="0" w:color="auto"/>
            <w:bottom w:val="none" w:sz="0" w:space="0" w:color="auto"/>
            <w:right w:val="none" w:sz="0" w:space="0" w:color="auto"/>
          </w:divBdr>
        </w:div>
        <w:div w:id="701591067">
          <w:marLeft w:val="0"/>
          <w:marRight w:val="0"/>
          <w:marTop w:val="0"/>
          <w:marBottom w:val="240"/>
          <w:divBdr>
            <w:top w:val="none" w:sz="0" w:space="0" w:color="auto"/>
            <w:left w:val="none" w:sz="0" w:space="0" w:color="auto"/>
            <w:bottom w:val="none" w:sz="0" w:space="0" w:color="auto"/>
            <w:right w:val="none" w:sz="0" w:space="0" w:color="auto"/>
          </w:divBdr>
        </w:div>
        <w:div w:id="828599033">
          <w:marLeft w:val="0"/>
          <w:marRight w:val="0"/>
          <w:marTop w:val="0"/>
          <w:marBottom w:val="240"/>
          <w:divBdr>
            <w:top w:val="none" w:sz="0" w:space="0" w:color="auto"/>
            <w:left w:val="none" w:sz="0" w:space="0" w:color="auto"/>
            <w:bottom w:val="none" w:sz="0" w:space="0" w:color="auto"/>
            <w:right w:val="none" w:sz="0" w:space="0" w:color="auto"/>
          </w:divBdr>
        </w:div>
        <w:div w:id="1827624017">
          <w:marLeft w:val="0"/>
          <w:marRight w:val="0"/>
          <w:marTop w:val="0"/>
          <w:marBottom w:val="240"/>
          <w:divBdr>
            <w:top w:val="none" w:sz="0" w:space="0" w:color="auto"/>
            <w:left w:val="none" w:sz="0" w:space="0" w:color="auto"/>
            <w:bottom w:val="none" w:sz="0" w:space="0" w:color="auto"/>
            <w:right w:val="none" w:sz="0" w:space="0" w:color="auto"/>
          </w:divBdr>
        </w:div>
        <w:div w:id="1089348502">
          <w:marLeft w:val="0"/>
          <w:marRight w:val="0"/>
          <w:marTop w:val="0"/>
          <w:marBottom w:val="240"/>
          <w:divBdr>
            <w:top w:val="none" w:sz="0" w:space="0" w:color="auto"/>
            <w:left w:val="none" w:sz="0" w:space="0" w:color="auto"/>
            <w:bottom w:val="none" w:sz="0" w:space="0" w:color="auto"/>
            <w:right w:val="none" w:sz="0" w:space="0" w:color="auto"/>
          </w:divBdr>
        </w:div>
        <w:div w:id="1286694238">
          <w:marLeft w:val="0"/>
          <w:marRight w:val="0"/>
          <w:marTop w:val="0"/>
          <w:marBottom w:val="240"/>
          <w:divBdr>
            <w:top w:val="none" w:sz="0" w:space="0" w:color="auto"/>
            <w:left w:val="none" w:sz="0" w:space="0" w:color="auto"/>
            <w:bottom w:val="none" w:sz="0" w:space="0" w:color="auto"/>
            <w:right w:val="none" w:sz="0" w:space="0" w:color="auto"/>
          </w:divBdr>
        </w:div>
        <w:div w:id="1792019432">
          <w:marLeft w:val="0"/>
          <w:marRight w:val="0"/>
          <w:marTop w:val="0"/>
          <w:marBottom w:val="240"/>
          <w:divBdr>
            <w:top w:val="none" w:sz="0" w:space="0" w:color="auto"/>
            <w:left w:val="none" w:sz="0" w:space="0" w:color="auto"/>
            <w:bottom w:val="none" w:sz="0" w:space="0" w:color="auto"/>
            <w:right w:val="none" w:sz="0" w:space="0" w:color="auto"/>
          </w:divBdr>
        </w:div>
        <w:div w:id="1270893080">
          <w:marLeft w:val="0"/>
          <w:marRight w:val="0"/>
          <w:marTop w:val="0"/>
          <w:marBottom w:val="240"/>
          <w:divBdr>
            <w:top w:val="none" w:sz="0" w:space="0" w:color="auto"/>
            <w:left w:val="none" w:sz="0" w:space="0" w:color="auto"/>
            <w:bottom w:val="none" w:sz="0" w:space="0" w:color="auto"/>
            <w:right w:val="none" w:sz="0" w:space="0" w:color="auto"/>
          </w:divBdr>
        </w:div>
        <w:div w:id="217058383">
          <w:marLeft w:val="0"/>
          <w:marRight w:val="0"/>
          <w:marTop w:val="0"/>
          <w:marBottom w:val="240"/>
          <w:divBdr>
            <w:top w:val="none" w:sz="0" w:space="0" w:color="auto"/>
            <w:left w:val="none" w:sz="0" w:space="0" w:color="auto"/>
            <w:bottom w:val="none" w:sz="0" w:space="0" w:color="auto"/>
            <w:right w:val="none" w:sz="0" w:space="0" w:color="auto"/>
          </w:divBdr>
        </w:div>
        <w:div w:id="1295017016">
          <w:marLeft w:val="0"/>
          <w:marRight w:val="0"/>
          <w:marTop w:val="0"/>
          <w:marBottom w:val="240"/>
          <w:divBdr>
            <w:top w:val="none" w:sz="0" w:space="0" w:color="auto"/>
            <w:left w:val="none" w:sz="0" w:space="0" w:color="auto"/>
            <w:bottom w:val="none" w:sz="0" w:space="0" w:color="auto"/>
            <w:right w:val="none" w:sz="0" w:space="0" w:color="auto"/>
          </w:divBdr>
        </w:div>
        <w:div w:id="1896892242">
          <w:marLeft w:val="0"/>
          <w:marRight w:val="0"/>
          <w:marTop w:val="0"/>
          <w:marBottom w:val="240"/>
          <w:divBdr>
            <w:top w:val="none" w:sz="0" w:space="0" w:color="auto"/>
            <w:left w:val="none" w:sz="0" w:space="0" w:color="auto"/>
            <w:bottom w:val="none" w:sz="0" w:space="0" w:color="auto"/>
            <w:right w:val="none" w:sz="0" w:space="0" w:color="auto"/>
          </w:divBdr>
        </w:div>
        <w:div w:id="701825582">
          <w:marLeft w:val="0"/>
          <w:marRight w:val="0"/>
          <w:marTop w:val="0"/>
          <w:marBottom w:val="240"/>
          <w:divBdr>
            <w:top w:val="none" w:sz="0" w:space="0" w:color="auto"/>
            <w:left w:val="none" w:sz="0" w:space="0" w:color="auto"/>
            <w:bottom w:val="none" w:sz="0" w:space="0" w:color="auto"/>
            <w:right w:val="none" w:sz="0" w:space="0" w:color="auto"/>
          </w:divBdr>
        </w:div>
        <w:div w:id="756755061">
          <w:marLeft w:val="0"/>
          <w:marRight w:val="0"/>
          <w:marTop w:val="0"/>
          <w:marBottom w:val="240"/>
          <w:divBdr>
            <w:top w:val="none" w:sz="0" w:space="0" w:color="auto"/>
            <w:left w:val="none" w:sz="0" w:space="0" w:color="auto"/>
            <w:bottom w:val="none" w:sz="0" w:space="0" w:color="auto"/>
            <w:right w:val="none" w:sz="0" w:space="0" w:color="auto"/>
          </w:divBdr>
        </w:div>
        <w:div w:id="1813907444">
          <w:marLeft w:val="0"/>
          <w:marRight w:val="0"/>
          <w:marTop w:val="0"/>
          <w:marBottom w:val="240"/>
          <w:divBdr>
            <w:top w:val="none" w:sz="0" w:space="0" w:color="auto"/>
            <w:left w:val="none" w:sz="0" w:space="0" w:color="auto"/>
            <w:bottom w:val="none" w:sz="0" w:space="0" w:color="auto"/>
            <w:right w:val="none" w:sz="0" w:space="0" w:color="auto"/>
          </w:divBdr>
        </w:div>
        <w:div w:id="477385350">
          <w:marLeft w:val="0"/>
          <w:marRight w:val="0"/>
          <w:marTop w:val="0"/>
          <w:marBottom w:val="240"/>
          <w:divBdr>
            <w:top w:val="none" w:sz="0" w:space="0" w:color="auto"/>
            <w:left w:val="none" w:sz="0" w:space="0" w:color="auto"/>
            <w:bottom w:val="none" w:sz="0" w:space="0" w:color="auto"/>
            <w:right w:val="none" w:sz="0" w:space="0" w:color="auto"/>
          </w:divBdr>
        </w:div>
        <w:div w:id="225459493">
          <w:marLeft w:val="0"/>
          <w:marRight w:val="0"/>
          <w:marTop w:val="0"/>
          <w:marBottom w:val="240"/>
          <w:divBdr>
            <w:top w:val="none" w:sz="0" w:space="0" w:color="auto"/>
            <w:left w:val="none" w:sz="0" w:space="0" w:color="auto"/>
            <w:bottom w:val="none" w:sz="0" w:space="0" w:color="auto"/>
            <w:right w:val="none" w:sz="0" w:space="0" w:color="auto"/>
          </w:divBdr>
        </w:div>
        <w:div w:id="1017316201">
          <w:marLeft w:val="0"/>
          <w:marRight w:val="0"/>
          <w:marTop w:val="0"/>
          <w:marBottom w:val="240"/>
          <w:divBdr>
            <w:top w:val="none" w:sz="0" w:space="0" w:color="auto"/>
            <w:left w:val="none" w:sz="0" w:space="0" w:color="auto"/>
            <w:bottom w:val="none" w:sz="0" w:space="0" w:color="auto"/>
            <w:right w:val="none" w:sz="0" w:space="0" w:color="auto"/>
          </w:divBdr>
        </w:div>
        <w:div w:id="1604923132">
          <w:marLeft w:val="0"/>
          <w:marRight w:val="0"/>
          <w:marTop w:val="0"/>
          <w:marBottom w:val="240"/>
          <w:divBdr>
            <w:top w:val="none" w:sz="0" w:space="0" w:color="auto"/>
            <w:left w:val="none" w:sz="0" w:space="0" w:color="auto"/>
            <w:bottom w:val="none" w:sz="0" w:space="0" w:color="auto"/>
            <w:right w:val="none" w:sz="0" w:space="0" w:color="auto"/>
          </w:divBdr>
        </w:div>
        <w:div w:id="199323769">
          <w:marLeft w:val="0"/>
          <w:marRight w:val="0"/>
          <w:marTop w:val="0"/>
          <w:marBottom w:val="240"/>
          <w:divBdr>
            <w:top w:val="none" w:sz="0" w:space="0" w:color="auto"/>
            <w:left w:val="none" w:sz="0" w:space="0" w:color="auto"/>
            <w:bottom w:val="none" w:sz="0" w:space="0" w:color="auto"/>
            <w:right w:val="none" w:sz="0" w:space="0" w:color="auto"/>
          </w:divBdr>
        </w:div>
        <w:div w:id="1766993583">
          <w:marLeft w:val="0"/>
          <w:marRight w:val="0"/>
          <w:marTop w:val="0"/>
          <w:marBottom w:val="240"/>
          <w:divBdr>
            <w:top w:val="none" w:sz="0" w:space="0" w:color="auto"/>
            <w:left w:val="none" w:sz="0" w:space="0" w:color="auto"/>
            <w:bottom w:val="none" w:sz="0" w:space="0" w:color="auto"/>
            <w:right w:val="none" w:sz="0" w:space="0" w:color="auto"/>
          </w:divBdr>
        </w:div>
        <w:div w:id="368115858">
          <w:marLeft w:val="0"/>
          <w:marRight w:val="0"/>
          <w:marTop w:val="0"/>
          <w:marBottom w:val="240"/>
          <w:divBdr>
            <w:top w:val="none" w:sz="0" w:space="0" w:color="auto"/>
            <w:left w:val="none" w:sz="0" w:space="0" w:color="auto"/>
            <w:bottom w:val="none" w:sz="0" w:space="0" w:color="auto"/>
            <w:right w:val="none" w:sz="0" w:space="0" w:color="auto"/>
          </w:divBdr>
        </w:div>
        <w:div w:id="1937789575">
          <w:marLeft w:val="0"/>
          <w:marRight w:val="0"/>
          <w:marTop w:val="0"/>
          <w:marBottom w:val="240"/>
          <w:divBdr>
            <w:top w:val="none" w:sz="0" w:space="0" w:color="auto"/>
            <w:left w:val="none" w:sz="0" w:space="0" w:color="auto"/>
            <w:bottom w:val="none" w:sz="0" w:space="0" w:color="auto"/>
            <w:right w:val="none" w:sz="0" w:space="0" w:color="auto"/>
          </w:divBdr>
        </w:div>
        <w:div w:id="527643093">
          <w:marLeft w:val="0"/>
          <w:marRight w:val="0"/>
          <w:marTop w:val="0"/>
          <w:marBottom w:val="240"/>
          <w:divBdr>
            <w:top w:val="none" w:sz="0" w:space="0" w:color="auto"/>
            <w:left w:val="none" w:sz="0" w:space="0" w:color="auto"/>
            <w:bottom w:val="none" w:sz="0" w:space="0" w:color="auto"/>
            <w:right w:val="none" w:sz="0" w:space="0" w:color="auto"/>
          </w:divBdr>
        </w:div>
        <w:div w:id="1285230640">
          <w:marLeft w:val="0"/>
          <w:marRight w:val="0"/>
          <w:marTop w:val="0"/>
          <w:marBottom w:val="240"/>
          <w:divBdr>
            <w:top w:val="none" w:sz="0" w:space="0" w:color="auto"/>
            <w:left w:val="none" w:sz="0" w:space="0" w:color="auto"/>
            <w:bottom w:val="none" w:sz="0" w:space="0" w:color="auto"/>
            <w:right w:val="none" w:sz="0" w:space="0" w:color="auto"/>
          </w:divBdr>
        </w:div>
        <w:div w:id="342628770">
          <w:marLeft w:val="0"/>
          <w:marRight w:val="0"/>
          <w:marTop w:val="0"/>
          <w:marBottom w:val="240"/>
          <w:divBdr>
            <w:top w:val="none" w:sz="0" w:space="0" w:color="auto"/>
            <w:left w:val="none" w:sz="0" w:space="0" w:color="auto"/>
            <w:bottom w:val="none" w:sz="0" w:space="0" w:color="auto"/>
            <w:right w:val="none" w:sz="0" w:space="0" w:color="auto"/>
          </w:divBdr>
        </w:div>
        <w:div w:id="1533153700">
          <w:marLeft w:val="0"/>
          <w:marRight w:val="0"/>
          <w:marTop w:val="0"/>
          <w:marBottom w:val="240"/>
          <w:divBdr>
            <w:top w:val="none" w:sz="0" w:space="0" w:color="auto"/>
            <w:left w:val="none" w:sz="0" w:space="0" w:color="auto"/>
            <w:bottom w:val="none" w:sz="0" w:space="0" w:color="auto"/>
            <w:right w:val="none" w:sz="0" w:space="0" w:color="auto"/>
          </w:divBdr>
        </w:div>
        <w:div w:id="1203175499">
          <w:marLeft w:val="0"/>
          <w:marRight w:val="0"/>
          <w:marTop w:val="0"/>
          <w:marBottom w:val="240"/>
          <w:divBdr>
            <w:top w:val="none" w:sz="0" w:space="0" w:color="auto"/>
            <w:left w:val="none" w:sz="0" w:space="0" w:color="auto"/>
            <w:bottom w:val="none" w:sz="0" w:space="0" w:color="auto"/>
            <w:right w:val="none" w:sz="0" w:space="0" w:color="auto"/>
          </w:divBdr>
        </w:div>
        <w:div w:id="952443808">
          <w:marLeft w:val="0"/>
          <w:marRight w:val="0"/>
          <w:marTop w:val="0"/>
          <w:marBottom w:val="240"/>
          <w:divBdr>
            <w:top w:val="none" w:sz="0" w:space="0" w:color="auto"/>
            <w:left w:val="none" w:sz="0" w:space="0" w:color="auto"/>
            <w:bottom w:val="none" w:sz="0" w:space="0" w:color="auto"/>
            <w:right w:val="none" w:sz="0" w:space="0" w:color="auto"/>
          </w:divBdr>
        </w:div>
        <w:div w:id="915095489">
          <w:marLeft w:val="0"/>
          <w:marRight w:val="0"/>
          <w:marTop w:val="0"/>
          <w:marBottom w:val="240"/>
          <w:divBdr>
            <w:top w:val="none" w:sz="0" w:space="0" w:color="auto"/>
            <w:left w:val="none" w:sz="0" w:space="0" w:color="auto"/>
            <w:bottom w:val="none" w:sz="0" w:space="0" w:color="auto"/>
            <w:right w:val="none" w:sz="0" w:space="0" w:color="auto"/>
          </w:divBdr>
        </w:div>
        <w:div w:id="1727099722">
          <w:marLeft w:val="0"/>
          <w:marRight w:val="0"/>
          <w:marTop w:val="0"/>
          <w:marBottom w:val="240"/>
          <w:divBdr>
            <w:top w:val="none" w:sz="0" w:space="0" w:color="auto"/>
            <w:left w:val="none" w:sz="0" w:space="0" w:color="auto"/>
            <w:bottom w:val="none" w:sz="0" w:space="0" w:color="auto"/>
            <w:right w:val="none" w:sz="0" w:space="0" w:color="auto"/>
          </w:divBdr>
        </w:div>
        <w:div w:id="73548279">
          <w:marLeft w:val="0"/>
          <w:marRight w:val="0"/>
          <w:marTop w:val="0"/>
          <w:marBottom w:val="240"/>
          <w:divBdr>
            <w:top w:val="none" w:sz="0" w:space="0" w:color="auto"/>
            <w:left w:val="none" w:sz="0" w:space="0" w:color="auto"/>
            <w:bottom w:val="none" w:sz="0" w:space="0" w:color="auto"/>
            <w:right w:val="none" w:sz="0" w:space="0" w:color="auto"/>
          </w:divBdr>
        </w:div>
        <w:div w:id="1049184571">
          <w:marLeft w:val="0"/>
          <w:marRight w:val="0"/>
          <w:marTop w:val="0"/>
          <w:marBottom w:val="240"/>
          <w:divBdr>
            <w:top w:val="none" w:sz="0" w:space="0" w:color="auto"/>
            <w:left w:val="none" w:sz="0" w:space="0" w:color="auto"/>
            <w:bottom w:val="none" w:sz="0" w:space="0" w:color="auto"/>
            <w:right w:val="none" w:sz="0" w:space="0" w:color="auto"/>
          </w:divBdr>
        </w:div>
        <w:div w:id="1974292553">
          <w:marLeft w:val="0"/>
          <w:marRight w:val="0"/>
          <w:marTop w:val="0"/>
          <w:marBottom w:val="240"/>
          <w:divBdr>
            <w:top w:val="none" w:sz="0" w:space="0" w:color="auto"/>
            <w:left w:val="none" w:sz="0" w:space="0" w:color="auto"/>
            <w:bottom w:val="none" w:sz="0" w:space="0" w:color="auto"/>
            <w:right w:val="none" w:sz="0" w:space="0" w:color="auto"/>
          </w:divBdr>
        </w:div>
        <w:div w:id="405882299">
          <w:marLeft w:val="0"/>
          <w:marRight w:val="0"/>
          <w:marTop w:val="0"/>
          <w:marBottom w:val="240"/>
          <w:divBdr>
            <w:top w:val="none" w:sz="0" w:space="0" w:color="auto"/>
            <w:left w:val="none" w:sz="0" w:space="0" w:color="auto"/>
            <w:bottom w:val="none" w:sz="0" w:space="0" w:color="auto"/>
            <w:right w:val="none" w:sz="0" w:space="0" w:color="auto"/>
          </w:divBdr>
        </w:div>
        <w:div w:id="1089232598">
          <w:marLeft w:val="0"/>
          <w:marRight w:val="0"/>
          <w:marTop w:val="0"/>
          <w:marBottom w:val="240"/>
          <w:divBdr>
            <w:top w:val="none" w:sz="0" w:space="0" w:color="auto"/>
            <w:left w:val="none" w:sz="0" w:space="0" w:color="auto"/>
            <w:bottom w:val="none" w:sz="0" w:space="0" w:color="auto"/>
            <w:right w:val="none" w:sz="0" w:space="0" w:color="auto"/>
          </w:divBdr>
        </w:div>
        <w:div w:id="1675259676">
          <w:marLeft w:val="0"/>
          <w:marRight w:val="0"/>
          <w:marTop w:val="0"/>
          <w:marBottom w:val="240"/>
          <w:divBdr>
            <w:top w:val="none" w:sz="0" w:space="0" w:color="auto"/>
            <w:left w:val="none" w:sz="0" w:space="0" w:color="auto"/>
            <w:bottom w:val="none" w:sz="0" w:space="0" w:color="auto"/>
            <w:right w:val="none" w:sz="0" w:space="0" w:color="auto"/>
          </w:divBdr>
        </w:div>
        <w:div w:id="828862416">
          <w:marLeft w:val="0"/>
          <w:marRight w:val="0"/>
          <w:marTop w:val="0"/>
          <w:marBottom w:val="240"/>
          <w:divBdr>
            <w:top w:val="none" w:sz="0" w:space="0" w:color="auto"/>
            <w:left w:val="none" w:sz="0" w:space="0" w:color="auto"/>
            <w:bottom w:val="none" w:sz="0" w:space="0" w:color="auto"/>
            <w:right w:val="none" w:sz="0" w:space="0" w:color="auto"/>
          </w:divBdr>
        </w:div>
        <w:div w:id="970591948">
          <w:marLeft w:val="0"/>
          <w:marRight w:val="0"/>
          <w:marTop w:val="0"/>
          <w:marBottom w:val="240"/>
          <w:divBdr>
            <w:top w:val="none" w:sz="0" w:space="0" w:color="auto"/>
            <w:left w:val="none" w:sz="0" w:space="0" w:color="auto"/>
            <w:bottom w:val="none" w:sz="0" w:space="0" w:color="auto"/>
            <w:right w:val="none" w:sz="0" w:space="0" w:color="auto"/>
          </w:divBdr>
        </w:div>
        <w:div w:id="785000103">
          <w:marLeft w:val="0"/>
          <w:marRight w:val="0"/>
          <w:marTop w:val="0"/>
          <w:marBottom w:val="240"/>
          <w:divBdr>
            <w:top w:val="none" w:sz="0" w:space="0" w:color="auto"/>
            <w:left w:val="none" w:sz="0" w:space="0" w:color="auto"/>
            <w:bottom w:val="none" w:sz="0" w:space="0" w:color="auto"/>
            <w:right w:val="none" w:sz="0" w:space="0" w:color="auto"/>
          </w:divBdr>
        </w:div>
        <w:div w:id="1921716064">
          <w:marLeft w:val="0"/>
          <w:marRight w:val="0"/>
          <w:marTop w:val="0"/>
          <w:marBottom w:val="240"/>
          <w:divBdr>
            <w:top w:val="none" w:sz="0" w:space="0" w:color="auto"/>
            <w:left w:val="none" w:sz="0" w:space="0" w:color="auto"/>
            <w:bottom w:val="none" w:sz="0" w:space="0" w:color="auto"/>
            <w:right w:val="none" w:sz="0" w:space="0" w:color="auto"/>
          </w:divBdr>
        </w:div>
        <w:div w:id="1361392444">
          <w:marLeft w:val="0"/>
          <w:marRight w:val="0"/>
          <w:marTop w:val="0"/>
          <w:marBottom w:val="240"/>
          <w:divBdr>
            <w:top w:val="none" w:sz="0" w:space="0" w:color="auto"/>
            <w:left w:val="none" w:sz="0" w:space="0" w:color="auto"/>
            <w:bottom w:val="none" w:sz="0" w:space="0" w:color="auto"/>
            <w:right w:val="none" w:sz="0" w:space="0" w:color="auto"/>
          </w:divBdr>
        </w:div>
        <w:div w:id="780566084">
          <w:marLeft w:val="0"/>
          <w:marRight w:val="0"/>
          <w:marTop w:val="0"/>
          <w:marBottom w:val="240"/>
          <w:divBdr>
            <w:top w:val="none" w:sz="0" w:space="0" w:color="auto"/>
            <w:left w:val="none" w:sz="0" w:space="0" w:color="auto"/>
            <w:bottom w:val="none" w:sz="0" w:space="0" w:color="auto"/>
            <w:right w:val="none" w:sz="0" w:space="0" w:color="auto"/>
          </w:divBdr>
        </w:div>
        <w:div w:id="423041824">
          <w:marLeft w:val="0"/>
          <w:marRight w:val="0"/>
          <w:marTop w:val="0"/>
          <w:marBottom w:val="240"/>
          <w:divBdr>
            <w:top w:val="none" w:sz="0" w:space="0" w:color="auto"/>
            <w:left w:val="none" w:sz="0" w:space="0" w:color="auto"/>
            <w:bottom w:val="none" w:sz="0" w:space="0" w:color="auto"/>
            <w:right w:val="none" w:sz="0" w:space="0" w:color="auto"/>
          </w:divBdr>
        </w:div>
        <w:div w:id="857550315">
          <w:marLeft w:val="0"/>
          <w:marRight w:val="0"/>
          <w:marTop w:val="0"/>
          <w:marBottom w:val="240"/>
          <w:divBdr>
            <w:top w:val="none" w:sz="0" w:space="0" w:color="auto"/>
            <w:left w:val="none" w:sz="0" w:space="0" w:color="auto"/>
            <w:bottom w:val="none" w:sz="0" w:space="0" w:color="auto"/>
            <w:right w:val="none" w:sz="0" w:space="0" w:color="auto"/>
          </w:divBdr>
        </w:div>
        <w:div w:id="523372220">
          <w:marLeft w:val="0"/>
          <w:marRight w:val="0"/>
          <w:marTop w:val="0"/>
          <w:marBottom w:val="240"/>
          <w:divBdr>
            <w:top w:val="none" w:sz="0" w:space="0" w:color="auto"/>
            <w:left w:val="none" w:sz="0" w:space="0" w:color="auto"/>
            <w:bottom w:val="none" w:sz="0" w:space="0" w:color="auto"/>
            <w:right w:val="none" w:sz="0" w:space="0" w:color="auto"/>
          </w:divBdr>
        </w:div>
        <w:div w:id="1930233087">
          <w:marLeft w:val="0"/>
          <w:marRight w:val="0"/>
          <w:marTop w:val="0"/>
          <w:marBottom w:val="240"/>
          <w:divBdr>
            <w:top w:val="none" w:sz="0" w:space="0" w:color="auto"/>
            <w:left w:val="none" w:sz="0" w:space="0" w:color="auto"/>
            <w:bottom w:val="none" w:sz="0" w:space="0" w:color="auto"/>
            <w:right w:val="none" w:sz="0" w:space="0" w:color="auto"/>
          </w:divBdr>
        </w:div>
        <w:div w:id="1139226503">
          <w:marLeft w:val="0"/>
          <w:marRight w:val="0"/>
          <w:marTop w:val="0"/>
          <w:marBottom w:val="240"/>
          <w:divBdr>
            <w:top w:val="none" w:sz="0" w:space="0" w:color="auto"/>
            <w:left w:val="none" w:sz="0" w:space="0" w:color="auto"/>
            <w:bottom w:val="none" w:sz="0" w:space="0" w:color="auto"/>
            <w:right w:val="none" w:sz="0" w:space="0" w:color="auto"/>
          </w:divBdr>
        </w:div>
        <w:div w:id="1272250791">
          <w:marLeft w:val="0"/>
          <w:marRight w:val="0"/>
          <w:marTop w:val="0"/>
          <w:marBottom w:val="240"/>
          <w:divBdr>
            <w:top w:val="none" w:sz="0" w:space="0" w:color="auto"/>
            <w:left w:val="none" w:sz="0" w:space="0" w:color="auto"/>
            <w:bottom w:val="none" w:sz="0" w:space="0" w:color="auto"/>
            <w:right w:val="none" w:sz="0" w:space="0" w:color="auto"/>
          </w:divBdr>
        </w:div>
        <w:div w:id="2009483805">
          <w:marLeft w:val="0"/>
          <w:marRight w:val="0"/>
          <w:marTop w:val="0"/>
          <w:marBottom w:val="240"/>
          <w:divBdr>
            <w:top w:val="none" w:sz="0" w:space="0" w:color="auto"/>
            <w:left w:val="none" w:sz="0" w:space="0" w:color="auto"/>
            <w:bottom w:val="none" w:sz="0" w:space="0" w:color="auto"/>
            <w:right w:val="none" w:sz="0" w:space="0" w:color="auto"/>
          </w:divBdr>
        </w:div>
        <w:div w:id="1395467104">
          <w:marLeft w:val="0"/>
          <w:marRight w:val="0"/>
          <w:marTop w:val="0"/>
          <w:marBottom w:val="240"/>
          <w:divBdr>
            <w:top w:val="none" w:sz="0" w:space="0" w:color="auto"/>
            <w:left w:val="none" w:sz="0" w:space="0" w:color="auto"/>
            <w:bottom w:val="none" w:sz="0" w:space="0" w:color="auto"/>
            <w:right w:val="none" w:sz="0" w:space="0" w:color="auto"/>
          </w:divBdr>
        </w:div>
        <w:div w:id="1034883590">
          <w:marLeft w:val="0"/>
          <w:marRight w:val="0"/>
          <w:marTop w:val="0"/>
          <w:marBottom w:val="240"/>
          <w:divBdr>
            <w:top w:val="none" w:sz="0" w:space="0" w:color="auto"/>
            <w:left w:val="none" w:sz="0" w:space="0" w:color="auto"/>
            <w:bottom w:val="none" w:sz="0" w:space="0" w:color="auto"/>
            <w:right w:val="none" w:sz="0" w:space="0" w:color="auto"/>
          </w:divBdr>
        </w:div>
        <w:div w:id="197134522">
          <w:marLeft w:val="0"/>
          <w:marRight w:val="0"/>
          <w:marTop w:val="0"/>
          <w:marBottom w:val="240"/>
          <w:divBdr>
            <w:top w:val="none" w:sz="0" w:space="0" w:color="auto"/>
            <w:left w:val="none" w:sz="0" w:space="0" w:color="auto"/>
            <w:bottom w:val="none" w:sz="0" w:space="0" w:color="auto"/>
            <w:right w:val="none" w:sz="0" w:space="0" w:color="auto"/>
          </w:divBdr>
        </w:div>
        <w:div w:id="1631545216">
          <w:marLeft w:val="0"/>
          <w:marRight w:val="0"/>
          <w:marTop w:val="0"/>
          <w:marBottom w:val="240"/>
          <w:divBdr>
            <w:top w:val="none" w:sz="0" w:space="0" w:color="auto"/>
            <w:left w:val="none" w:sz="0" w:space="0" w:color="auto"/>
            <w:bottom w:val="none" w:sz="0" w:space="0" w:color="auto"/>
            <w:right w:val="none" w:sz="0" w:space="0" w:color="auto"/>
          </w:divBdr>
        </w:div>
        <w:div w:id="1067072102">
          <w:marLeft w:val="0"/>
          <w:marRight w:val="0"/>
          <w:marTop w:val="0"/>
          <w:marBottom w:val="240"/>
          <w:divBdr>
            <w:top w:val="none" w:sz="0" w:space="0" w:color="auto"/>
            <w:left w:val="none" w:sz="0" w:space="0" w:color="auto"/>
            <w:bottom w:val="none" w:sz="0" w:space="0" w:color="auto"/>
            <w:right w:val="none" w:sz="0" w:space="0" w:color="auto"/>
          </w:divBdr>
        </w:div>
        <w:div w:id="2112966225">
          <w:marLeft w:val="0"/>
          <w:marRight w:val="0"/>
          <w:marTop w:val="0"/>
          <w:marBottom w:val="240"/>
          <w:divBdr>
            <w:top w:val="none" w:sz="0" w:space="0" w:color="auto"/>
            <w:left w:val="none" w:sz="0" w:space="0" w:color="auto"/>
            <w:bottom w:val="none" w:sz="0" w:space="0" w:color="auto"/>
            <w:right w:val="none" w:sz="0" w:space="0" w:color="auto"/>
          </w:divBdr>
        </w:div>
        <w:div w:id="507326946">
          <w:marLeft w:val="0"/>
          <w:marRight w:val="0"/>
          <w:marTop w:val="0"/>
          <w:marBottom w:val="240"/>
          <w:divBdr>
            <w:top w:val="none" w:sz="0" w:space="0" w:color="auto"/>
            <w:left w:val="none" w:sz="0" w:space="0" w:color="auto"/>
            <w:bottom w:val="none" w:sz="0" w:space="0" w:color="auto"/>
            <w:right w:val="none" w:sz="0" w:space="0" w:color="auto"/>
          </w:divBdr>
        </w:div>
        <w:div w:id="874806734">
          <w:marLeft w:val="0"/>
          <w:marRight w:val="0"/>
          <w:marTop w:val="0"/>
          <w:marBottom w:val="240"/>
          <w:divBdr>
            <w:top w:val="none" w:sz="0" w:space="0" w:color="auto"/>
            <w:left w:val="none" w:sz="0" w:space="0" w:color="auto"/>
            <w:bottom w:val="none" w:sz="0" w:space="0" w:color="auto"/>
            <w:right w:val="none" w:sz="0" w:space="0" w:color="auto"/>
          </w:divBdr>
        </w:div>
        <w:div w:id="1994917135">
          <w:marLeft w:val="0"/>
          <w:marRight w:val="0"/>
          <w:marTop w:val="0"/>
          <w:marBottom w:val="240"/>
          <w:divBdr>
            <w:top w:val="none" w:sz="0" w:space="0" w:color="auto"/>
            <w:left w:val="none" w:sz="0" w:space="0" w:color="auto"/>
            <w:bottom w:val="none" w:sz="0" w:space="0" w:color="auto"/>
            <w:right w:val="none" w:sz="0" w:space="0" w:color="auto"/>
          </w:divBdr>
        </w:div>
        <w:div w:id="671953963">
          <w:marLeft w:val="0"/>
          <w:marRight w:val="0"/>
          <w:marTop w:val="0"/>
          <w:marBottom w:val="240"/>
          <w:divBdr>
            <w:top w:val="none" w:sz="0" w:space="0" w:color="auto"/>
            <w:left w:val="none" w:sz="0" w:space="0" w:color="auto"/>
            <w:bottom w:val="none" w:sz="0" w:space="0" w:color="auto"/>
            <w:right w:val="none" w:sz="0" w:space="0" w:color="auto"/>
          </w:divBdr>
        </w:div>
        <w:div w:id="1600215299">
          <w:marLeft w:val="0"/>
          <w:marRight w:val="0"/>
          <w:marTop w:val="0"/>
          <w:marBottom w:val="240"/>
          <w:divBdr>
            <w:top w:val="none" w:sz="0" w:space="0" w:color="auto"/>
            <w:left w:val="none" w:sz="0" w:space="0" w:color="auto"/>
            <w:bottom w:val="none" w:sz="0" w:space="0" w:color="auto"/>
            <w:right w:val="none" w:sz="0" w:space="0" w:color="auto"/>
          </w:divBdr>
        </w:div>
        <w:div w:id="1893035311">
          <w:marLeft w:val="0"/>
          <w:marRight w:val="0"/>
          <w:marTop w:val="0"/>
          <w:marBottom w:val="240"/>
          <w:divBdr>
            <w:top w:val="none" w:sz="0" w:space="0" w:color="auto"/>
            <w:left w:val="none" w:sz="0" w:space="0" w:color="auto"/>
            <w:bottom w:val="none" w:sz="0" w:space="0" w:color="auto"/>
            <w:right w:val="none" w:sz="0" w:space="0" w:color="auto"/>
          </w:divBdr>
        </w:div>
        <w:div w:id="1242986438">
          <w:marLeft w:val="0"/>
          <w:marRight w:val="0"/>
          <w:marTop w:val="0"/>
          <w:marBottom w:val="240"/>
          <w:divBdr>
            <w:top w:val="none" w:sz="0" w:space="0" w:color="auto"/>
            <w:left w:val="none" w:sz="0" w:space="0" w:color="auto"/>
            <w:bottom w:val="none" w:sz="0" w:space="0" w:color="auto"/>
            <w:right w:val="none" w:sz="0" w:space="0" w:color="auto"/>
          </w:divBdr>
        </w:div>
        <w:div w:id="591669860">
          <w:marLeft w:val="0"/>
          <w:marRight w:val="0"/>
          <w:marTop w:val="0"/>
          <w:marBottom w:val="240"/>
          <w:divBdr>
            <w:top w:val="none" w:sz="0" w:space="0" w:color="auto"/>
            <w:left w:val="none" w:sz="0" w:space="0" w:color="auto"/>
            <w:bottom w:val="none" w:sz="0" w:space="0" w:color="auto"/>
            <w:right w:val="none" w:sz="0" w:space="0" w:color="auto"/>
          </w:divBdr>
        </w:div>
        <w:div w:id="1659382183">
          <w:marLeft w:val="0"/>
          <w:marRight w:val="0"/>
          <w:marTop w:val="0"/>
          <w:marBottom w:val="240"/>
          <w:divBdr>
            <w:top w:val="none" w:sz="0" w:space="0" w:color="auto"/>
            <w:left w:val="none" w:sz="0" w:space="0" w:color="auto"/>
            <w:bottom w:val="none" w:sz="0" w:space="0" w:color="auto"/>
            <w:right w:val="none" w:sz="0" w:space="0" w:color="auto"/>
          </w:divBdr>
        </w:div>
        <w:div w:id="184366265">
          <w:marLeft w:val="0"/>
          <w:marRight w:val="0"/>
          <w:marTop w:val="0"/>
          <w:marBottom w:val="240"/>
          <w:divBdr>
            <w:top w:val="none" w:sz="0" w:space="0" w:color="auto"/>
            <w:left w:val="none" w:sz="0" w:space="0" w:color="auto"/>
            <w:bottom w:val="none" w:sz="0" w:space="0" w:color="auto"/>
            <w:right w:val="none" w:sz="0" w:space="0" w:color="auto"/>
          </w:divBdr>
        </w:div>
        <w:div w:id="690184145">
          <w:marLeft w:val="0"/>
          <w:marRight w:val="0"/>
          <w:marTop w:val="0"/>
          <w:marBottom w:val="240"/>
          <w:divBdr>
            <w:top w:val="none" w:sz="0" w:space="0" w:color="auto"/>
            <w:left w:val="none" w:sz="0" w:space="0" w:color="auto"/>
            <w:bottom w:val="none" w:sz="0" w:space="0" w:color="auto"/>
            <w:right w:val="none" w:sz="0" w:space="0" w:color="auto"/>
          </w:divBdr>
        </w:div>
        <w:div w:id="2090152155">
          <w:marLeft w:val="0"/>
          <w:marRight w:val="0"/>
          <w:marTop w:val="0"/>
          <w:marBottom w:val="240"/>
          <w:divBdr>
            <w:top w:val="none" w:sz="0" w:space="0" w:color="auto"/>
            <w:left w:val="none" w:sz="0" w:space="0" w:color="auto"/>
            <w:bottom w:val="none" w:sz="0" w:space="0" w:color="auto"/>
            <w:right w:val="none" w:sz="0" w:space="0" w:color="auto"/>
          </w:divBdr>
        </w:div>
        <w:div w:id="1576862629">
          <w:marLeft w:val="0"/>
          <w:marRight w:val="0"/>
          <w:marTop w:val="0"/>
          <w:marBottom w:val="240"/>
          <w:divBdr>
            <w:top w:val="none" w:sz="0" w:space="0" w:color="auto"/>
            <w:left w:val="none" w:sz="0" w:space="0" w:color="auto"/>
            <w:bottom w:val="none" w:sz="0" w:space="0" w:color="auto"/>
            <w:right w:val="none" w:sz="0" w:space="0" w:color="auto"/>
          </w:divBdr>
        </w:div>
        <w:div w:id="1278416792">
          <w:marLeft w:val="0"/>
          <w:marRight w:val="0"/>
          <w:marTop w:val="0"/>
          <w:marBottom w:val="240"/>
          <w:divBdr>
            <w:top w:val="none" w:sz="0" w:space="0" w:color="auto"/>
            <w:left w:val="none" w:sz="0" w:space="0" w:color="auto"/>
            <w:bottom w:val="none" w:sz="0" w:space="0" w:color="auto"/>
            <w:right w:val="none" w:sz="0" w:space="0" w:color="auto"/>
          </w:divBdr>
        </w:div>
        <w:div w:id="891818163">
          <w:marLeft w:val="0"/>
          <w:marRight w:val="0"/>
          <w:marTop w:val="0"/>
          <w:marBottom w:val="240"/>
          <w:divBdr>
            <w:top w:val="none" w:sz="0" w:space="0" w:color="auto"/>
            <w:left w:val="none" w:sz="0" w:space="0" w:color="auto"/>
            <w:bottom w:val="none" w:sz="0" w:space="0" w:color="auto"/>
            <w:right w:val="none" w:sz="0" w:space="0" w:color="auto"/>
          </w:divBdr>
        </w:div>
        <w:div w:id="925848896">
          <w:marLeft w:val="0"/>
          <w:marRight w:val="0"/>
          <w:marTop w:val="0"/>
          <w:marBottom w:val="240"/>
          <w:divBdr>
            <w:top w:val="none" w:sz="0" w:space="0" w:color="auto"/>
            <w:left w:val="none" w:sz="0" w:space="0" w:color="auto"/>
            <w:bottom w:val="none" w:sz="0" w:space="0" w:color="auto"/>
            <w:right w:val="none" w:sz="0" w:space="0" w:color="auto"/>
          </w:divBdr>
        </w:div>
        <w:div w:id="419955095">
          <w:marLeft w:val="0"/>
          <w:marRight w:val="0"/>
          <w:marTop w:val="0"/>
          <w:marBottom w:val="240"/>
          <w:divBdr>
            <w:top w:val="none" w:sz="0" w:space="0" w:color="auto"/>
            <w:left w:val="none" w:sz="0" w:space="0" w:color="auto"/>
            <w:bottom w:val="none" w:sz="0" w:space="0" w:color="auto"/>
            <w:right w:val="none" w:sz="0" w:space="0" w:color="auto"/>
          </w:divBdr>
        </w:div>
        <w:div w:id="63644877">
          <w:marLeft w:val="0"/>
          <w:marRight w:val="0"/>
          <w:marTop w:val="0"/>
          <w:marBottom w:val="240"/>
          <w:divBdr>
            <w:top w:val="none" w:sz="0" w:space="0" w:color="auto"/>
            <w:left w:val="none" w:sz="0" w:space="0" w:color="auto"/>
            <w:bottom w:val="none" w:sz="0" w:space="0" w:color="auto"/>
            <w:right w:val="none" w:sz="0" w:space="0" w:color="auto"/>
          </w:divBdr>
        </w:div>
        <w:div w:id="1287926799">
          <w:marLeft w:val="0"/>
          <w:marRight w:val="0"/>
          <w:marTop w:val="0"/>
          <w:marBottom w:val="240"/>
          <w:divBdr>
            <w:top w:val="none" w:sz="0" w:space="0" w:color="auto"/>
            <w:left w:val="none" w:sz="0" w:space="0" w:color="auto"/>
            <w:bottom w:val="none" w:sz="0" w:space="0" w:color="auto"/>
            <w:right w:val="none" w:sz="0" w:space="0" w:color="auto"/>
          </w:divBdr>
        </w:div>
        <w:div w:id="1307469141">
          <w:marLeft w:val="0"/>
          <w:marRight w:val="0"/>
          <w:marTop w:val="0"/>
          <w:marBottom w:val="240"/>
          <w:divBdr>
            <w:top w:val="none" w:sz="0" w:space="0" w:color="auto"/>
            <w:left w:val="none" w:sz="0" w:space="0" w:color="auto"/>
            <w:bottom w:val="none" w:sz="0" w:space="0" w:color="auto"/>
            <w:right w:val="none" w:sz="0" w:space="0" w:color="auto"/>
          </w:divBdr>
        </w:div>
        <w:div w:id="107891483">
          <w:marLeft w:val="0"/>
          <w:marRight w:val="0"/>
          <w:marTop w:val="0"/>
          <w:marBottom w:val="240"/>
          <w:divBdr>
            <w:top w:val="none" w:sz="0" w:space="0" w:color="auto"/>
            <w:left w:val="none" w:sz="0" w:space="0" w:color="auto"/>
            <w:bottom w:val="none" w:sz="0" w:space="0" w:color="auto"/>
            <w:right w:val="none" w:sz="0" w:space="0" w:color="auto"/>
          </w:divBdr>
        </w:div>
        <w:div w:id="2014989525">
          <w:marLeft w:val="0"/>
          <w:marRight w:val="0"/>
          <w:marTop w:val="0"/>
          <w:marBottom w:val="240"/>
          <w:divBdr>
            <w:top w:val="none" w:sz="0" w:space="0" w:color="auto"/>
            <w:left w:val="none" w:sz="0" w:space="0" w:color="auto"/>
            <w:bottom w:val="none" w:sz="0" w:space="0" w:color="auto"/>
            <w:right w:val="none" w:sz="0" w:space="0" w:color="auto"/>
          </w:divBdr>
        </w:div>
        <w:div w:id="648511372">
          <w:marLeft w:val="0"/>
          <w:marRight w:val="0"/>
          <w:marTop w:val="0"/>
          <w:marBottom w:val="240"/>
          <w:divBdr>
            <w:top w:val="none" w:sz="0" w:space="0" w:color="auto"/>
            <w:left w:val="none" w:sz="0" w:space="0" w:color="auto"/>
            <w:bottom w:val="none" w:sz="0" w:space="0" w:color="auto"/>
            <w:right w:val="none" w:sz="0" w:space="0" w:color="auto"/>
          </w:divBdr>
        </w:div>
        <w:div w:id="1018971768">
          <w:marLeft w:val="0"/>
          <w:marRight w:val="0"/>
          <w:marTop w:val="0"/>
          <w:marBottom w:val="240"/>
          <w:divBdr>
            <w:top w:val="none" w:sz="0" w:space="0" w:color="auto"/>
            <w:left w:val="none" w:sz="0" w:space="0" w:color="auto"/>
            <w:bottom w:val="none" w:sz="0" w:space="0" w:color="auto"/>
            <w:right w:val="none" w:sz="0" w:space="0" w:color="auto"/>
          </w:divBdr>
        </w:div>
        <w:div w:id="279840443">
          <w:marLeft w:val="0"/>
          <w:marRight w:val="0"/>
          <w:marTop w:val="0"/>
          <w:marBottom w:val="240"/>
          <w:divBdr>
            <w:top w:val="none" w:sz="0" w:space="0" w:color="auto"/>
            <w:left w:val="none" w:sz="0" w:space="0" w:color="auto"/>
            <w:bottom w:val="none" w:sz="0" w:space="0" w:color="auto"/>
            <w:right w:val="none" w:sz="0" w:space="0" w:color="auto"/>
          </w:divBdr>
        </w:div>
        <w:div w:id="884486653">
          <w:marLeft w:val="0"/>
          <w:marRight w:val="0"/>
          <w:marTop w:val="0"/>
          <w:marBottom w:val="240"/>
          <w:divBdr>
            <w:top w:val="none" w:sz="0" w:space="0" w:color="auto"/>
            <w:left w:val="none" w:sz="0" w:space="0" w:color="auto"/>
            <w:bottom w:val="none" w:sz="0" w:space="0" w:color="auto"/>
            <w:right w:val="none" w:sz="0" w:space="0" w:color="auto"/>
          </w:divBdr>
        </w:div>
        <w:div w:id="1623725809">
          <w:marLeft w:val="0"/>
          <w:marRight w:val="0"/>
          <w:marTop w:val="0"/>
          <w:marBottom w:val="240"/>
          <w:divBdr>
            <w:top w:val="none" w:sz="0" w:space="0" w:color="auto"/>
            <w:left w:val="none" w:sz="0" w:space="0" w:color="auto"/>
            <w:bottom w:val="none" w:sz="0" w:space="0" w:color="auto"/>
            <w:right w:val="none" w:sz="0" w:space="0" w:color="auto"/>
          </w:divBdr>
        </w:div>
        <w:div w:id="900866724">
          <w:marLeft w:val="0"/>
          <w:marRight w:val="0"/>
          <w:marTop w:val="0"/>
          <w:marBottom w:val="240"/>
          <w:divBdr>
            <w:top w:val="none" w:sz="0" w:space="0" w:color="auto"/>
            <w:left w:val="none" w:sz="0" w:space="0" w:color="auto"/>
            <w:bottom w:val="none" w:sz="0" w:space="0" w:color="auto"/>
            <w:right w:val="none" w:sz="0" w:space="0" w:color="auto"/>
          </w:divBdr>
        </w:div>
        <w:div w:id="146286159">
          <w:marLeft w:val="0"/>
          <w:marRight w:val="0"/>
          <w:marTop w:val="0"/>
          <w:marBottom w:val="240"/>
          <w:divBdr>
            <w:top w:val="none" w:sz="0" w:space="0" w:color="auto"/>
            <w:left w:val="none" w:sz="0" w:space="0" w:color="auto"/>
            <w:bottom w:val="none" w:sz="0" w:space="0" w:color="auto"/>
            <w:right w:val="none" w:sz="0" w:space="0" w:color="auto"/>
          </w:divBdr>
        </w:div>
        <w:div w:id="1102648183">
          <w:marLeft w:val="0"/>
          <w:marRight w:val="0"/>
          <w:marTop w:val="0"/>
          <w:marBottom w:val="240"/>
          <w:divBdr>
            <w:top w:val="none" w:sz="0" w:space="0" w:color="auto"/>
            <w:left w:val="none" w:sz="0" w:space="0" w:color="auto"/>
            <w:bottom w:val="none" w:sz="0" w:space="0" w:color="auto"/>
            <w:right w:val="none" w:sz="0" w:space="0" w:color="auto"/>
          </w:divBdr>
        </w:div>
        <w:div w:id="1510103796">
          <w:marLeft w:val="0"/>
          <w:marRight w:val="0"/>
          <w:marTop w:val="0"/>
          <w:marBottom w:val="240"/>
          <w:divBdr>
            <w:top w:val="none" w:sz="0" w:space="0" w:color="auto"/>
            <w:left w:val="none" w:sz="0" w:space="0" w:color="auto"/>
            <w:bottom w:val="none" w:sz="0" w:space="0" w:color="auto"/>
            <w:right w:val="none" w:sz="0" w:space="0" w:color="auto"/>
          </w:divBdr>
        </w:div>
        <w:div w:id="1771852878">
          <w:marLeft w:val="0"/>
          <w:marRight w:val="0"/>
          <w:marTop w:val="0"/>
          <w:marBottom w:val="240"/>
          <w:divBdr>
            <w:top w:val="none" w:sz="0" w:space="0" w:color="auto"/>
            <w:left w:val="none" w:sz="0" w:space="0" w:color="auto"/>
            <w:bottom w:val="none" w:sz="0" w:space="0" w:color="auto"/>
            <w:right w:val="none" w:sz="0" w:space="0" w:color="auto"/>
          </w:divBdr>
        </w:div>
        <w:div w:id="1592739685">
          <w:marLeft w:val="0"/>
          <w:marRight w:val="0"/>
          <w:marTop w:val="0"/>
          <w:marBottom w:val="240"/>
          <w:divBdr>
            <w:top w:val="none" w:sz="0" w:space="0" w:color="auto"/>
            <w:left w:val="none" w:sz="0" w:space="0" w:color="auto"/>
            <w:bottom w:val="none" w:sz="0" w:space="0" w:color="auto"/>
            <w:right w:val="none" w:sz="0" w:space="0" w:color="auto"/>
          </w:divBdr>
        </w:div>
        <w:div w:id="2048677192">
          <w:marLeft w:val="0"/>
          <w:marRight w:val="0"/>
          <w:marTop w:val="0"/>
          <w:marBottom w:val="240"/>
          <w:divBdr>
            <w:top w:val="none" w:sz="0" w:space="0" w:color="auto"/>
            <w:left w:val="none" w:sz="0" w:space="0" w:color="auto"/>
            <w:bottom w:val="none" w:sz="0" w:space="0" w:color="auto"/>
            <w:right w:val="none" w:sz="0" w:space="0" w:color="auto"/>
          </w:divBdr>
        </w:div>
        <w:div w:id="1425036691">
          <w:marLeft w:val="0"/>
          <w:marRight w:val="0"/>
          <w:marTop w:val="0"/>
          <w:marBottom w:val="240"/>
          <w:divBdr>
            <w:top w:val="none" w:sz="0" w:space="0" w:color="auto"/>
            <w:left w:val="none" w:sz="0" w:space="0" w:color="auto"/>
            <w:bottom w:val="none" w:sz="0" w:space="0" w:color="auto"/>
            <w:right w:val="none" w:sz="0" w:space="0" w:color="auto"/>
          </w:divBdr>
        </w:div>
        <w:div w:id="241335248">
          <w:marLeft w:val="0"/>
          <w:marRight w:val="0"/>
          <w:marTop w:val="0"/>
          <w:marBottom w:val="240"/>
          <w:divBdr>
            <w:top w:val="none" w:sz="0" w:space="0" w:color="auto"/>
            <w:left w:val="none" w:sz="0" w:space="0" w:color="auto"/>
            <w:bottom w:val="none" w:sz="0" w:space="0" w:color="auto"/>
            <w:right w:val="none" w:sz="0" w:space="0" w:color="auto"/>
          </w:divBdr>
        </w:div>
        <w:div w:id="2009209405">
          <w:marLeft w:val="0"/>
          <w:marRight w:val="0"/>
          <w:marTop w:val="0"/>
          <w:marBottom w:val="240"/>
          <w:divBdr>
            <w:top w:val="none" w:sz="0" w:space="0" w:color="auto"/>
            <w:left w:val="none" w:sz="0" w:space="0" w:color="auto"/>
            <w:bottom w:val="none" w:sz="0" w:space="0" w:color="auto"/>
            <w:right w:val="none" w:sz="0" w:space="0" w:color="auto"/>
          </w:divBdr>
        </w:div>
        <w:div w:id="539362413">
          <w:marLeft w:val="0"/>
          <w:marRight w:val="0"/>
          <w:marTop w:val="0"/>
          <w:marBottom w:val="240"/>
          <w:divBdr>
            <w:top w:val="none" w:sz="0" w:space="0" w:color="auto"/>
            <w:left w:val="none" w:sz="0" w:space="0" w:color="auto"/>
            <w:bottom w:val="none" w:sz="0" w:space="0" w:color="auto"/>
            <w:right w:val="none" w:sz="0" w:space="0" w:color="auto"/>
          </w:divBdr>
        </w:div>
        <w:div w:id="1334606352">
          <w:marLeft w:val="0"/>
          <w:marRight w:val="0"/>
          <w:marTop w:val="0"/>
          <w:marBottom w:val="240"/>
          <w:divBdr>
            <w:top w:val="none" w:sz="0" w:space="0" w:color="auto"/>
            <w:left w:val="none" w:sz="0" w:space="0" w:color="auto"/>
            <w:bottom w:val="none" w:sz="0" w:space="0" w:color="auto"/>
            <w:right w:val="none" w:sz="0" w:space="0" w:color="auto"/>
          </w:divBdr>
        </w:div>
        <w:div w:id="1858733984">
          <w:marLeft w:val="0"/>
          <w:marRight w:val="0"/>
          <w:marTop w:val="0"/>
          <w:marBottom w:val="240"/>
          <w:divBdr>
            <w:top w:val="none" w:sz="0" w:space="0" w:color="auto"/>
            <w:left w:val="none" w:sz="0" w:space="0" w:color="auto"/>
            <w:bottom w:val="none" w:sz="0" w:space="0" w:color="auto"/>
            <w:right w:val="none" w:sz="0" w:space="0" w:color="auto"/>
          </w:divBdr>
        </w:div>
        <w:div w:id="224148037">
          <w:marLeft w:val="0"/>
          <w:marRight w:val="0"/>
          <w:marTop w:val="0"/>
          <w:marBottom w:val="240"/>
          <w:divBdr>
            <w:top w:val="none" w:sz="0" w:space="0" w:color="auto"/>
            <w:left w:val="none" w:sz="0" w:space="0" w:color="auto"/>
            <w:bottom w:val="none" w:sz="0" w:space="0" w:color="auto"/>
            <w:right w:val="none" w:sz="0" w:space="0" w:color="auto"/>
          </w:divBdr>
        </w:div>
        <w:div w:id="2014910503">
          <w:marLeft w:val="0"/>
          <w:marRight w:val="0"/>
          <w:marTop w:val="0"/>
          <w:marBottom w:val="240"/>
          <w:divBdr>
            <w:top w:val="none" w:sz="0" w:space="0" w:color="auto"/>
            <w:left w:val="none" w:sz="0" w:space="0" w:color="auto"/>
            <w:bottom w:val="none" w:sz="0" w:space="0" w:color="auto"/>
            <w:right w:val="none" w:sz="0" w:space="0" w:color="auto"/>
          </w:divBdr>
        </w:div>
        <w:div w:id="589892011">
          <w:marLeft w:val="0"/>
          <w:marRight w:val="0"/>
          <w:marTop w:val="0"/>
          <w:marBottom w:val="240"/>
          <w:divBdr>
            <w:top w:val="none" w:sz="0" w:space="0" w:color="auto"/>
            <w:left w:val="none" w:sz="0" w:space="0" w:color="auto"/>
            <w:bottom w:val="none" w:sz="0" w:space="0" w:color="auto"/>
            <w:right w:val="none" w:sz="0" w:space="0" w:color="auto"/>
          </w:divBdr>
        </w:div>
        <w:div w:id="1666937357">
          <w:marLeft w:val="0"/>
          <w:marRight w:val="0"/>
          <w:marTop w:val="0"/>
          <w:marBottom w:val="240"/>
          <w:divBdr>
            <w:top w:val="none" w:sz="0" w:space="0" w:color="auto"/>
            <w:left w:val="none" w:sz="0" w:space="0" w:color="auto"/>
            <w:bottom w:val="none" w:sz="0" w:space="0" w:color="auto"/>
            <w:right w:val="none" w:sz="0" w:space="0" w:color="auto"/>
          </w:divBdr>
        </w:div>
        <w:div w:id="2034186075">
          <w:marLeft w:val="0"/>
          <w:marRight w:val="0"/>
          <w:marTop w:val="0"/>
          <w:marBottom w:val="240"/>
          <w:divBdr>
            <w:top w:val="none" w:sz="0" w:space="0" w:color="auto"/>
            <w:left w:val="none" w:sz="0" w:space="0" w:color="auto"/>
            <w:bottom w:val="none" w:sz="0" w:space="0" w:color="auto"/>
            <w:right w:val="none" w:sz="0" w:space="0" w:color="auto"/>
          </w:divBdr>
        </w:div>
        <w:div w:id="774446305">
          <w:marLeft w:val="0"/>
          <w:marRight w:val="0"/>
          <w:marTop w:val="0"/>
          <w:marBottom w:val="240"/>
          <w:divBdr>
            <w:top w:val="none" w:sz="0" w:space="0" w:color="auto"/>
            <w:left w:val="none" w:sz="0" w:space="0" w:color="auto"/>
            <w:bottom w:val="none" w:sz="0" w:space="0" w:color="auto"/>
            <w:right w:val="none" w:sz="0" w:space="0" w:color="auto"/>
          </w:divBdr>
        </w:div>
        <w:div w:id="28648874">
          <w:marLeft w:val="0"/>
          <w:marRight w:val="0"/>
          <w:marTop w:val="0"/>
          <w:marBottom w:val="240"/>
          <w:divBdr>
            <w:top w:val="none" w:sz="0" w:space="0" w:color="auto"/>
            <w:left w:val="none" w:sz="0" w:space="0" w:color="auto"/>
            <w:bottom w:val="none" w:sz="0" w:space="0" w:color="auto"/>
            <w:right w:val="none" w:sz="0" w:space="0" w:color="auto"/>
          </w:divBdr>
        </w:div>
        <w:div w:id="2033064486">
          <w:marLeft w:val="0"/>
          <w:marRight w:val="0"/>
          <w:marTop w:val="0"/>
          <w:marBottom w:val="240"/>
          <w:divBdr>
            <w:top w:val="none" w:sz="0" w:space="0" w:color="auto"/>
            <w:left w:val="none" w:sz="0" w:space="0" w:color="auto"/>
            <w:bottom w:val="none" w:sz="0" w:space="0" w:color="auto"/>
            <w:right w:val="none" w:sz="0" w:space="0" w:color="auto"/>
          </w:divBdr>
        </w:div>
        <w:div w:id="998851124">
          <w:marLeft w:val="0"/>
          <w:marRight w:val="0"/>
          <w:marTop w:val="0"/>
          <w:marBottom w:val="240"/>
          <w:divBdr>
            <w:top w:val="none" w:sz="0" w:space="0" w:color="auto"/>
            <w:left w:val="none" w:sz="0" w:space="0" w:color="auto"/>
            <w:bottom w:val="none" w:sz="0" w:space="0" w:color="auto"/>
            <w:right w:val="none" w:sz="0" w:space="0" w:color="auto"/>
          </w:divBdr>
        </w:div>
        <w:div w:id="1630208868">
          <w:marLeft w:val="0"/>
          <w:marRight w:val="0"/>
          <w:marTop w:val="0"/>
          <w:marBottom w:val="240"/>
          <w:divBdr>
            <w:top w:val="none" w:sz="0" w:space="0" w:color="auto"/>
            <w:left w:val="none" w:sz="0" w:space="0" w:color="auto"/>
            <w:bottom w:val="none" w:sz="0" w:space="0" w:color="auto"/>
            <w:right w:val="none" w:sz="0" w:space="0" w:color="auto"/>
          </w:divBdr>
        </w:div>
        <w:div w:id="329910912">
          <w:marLeft w:val="0"/>
          <w:marRight w:val="0"/>
          <w:marTop w:val="0"/>
          <w:marBottom w:val="240"/>
          <w:divBdr>
            <w:top w:val="none" w:sz="0" w:space="0" w:color="auto"/>
            <w:left w:val="none" w:sz="0" w:space="0" w:color="auto"/>
            <w:bottom w:val="none" w:sz="0" w:space="0" w:color="auto"/>
            <w:right w:val="none" w:sz="0" w:space="0" w:color="auto"/>
          </w:divBdr>
        </w:div>
        <w:div w:id="1826125609">
          <w:marLeft w:val="0"/>
          <w:marRight w:val="0"/>
          <w:marTop w:val="0"/>
          <w:marBottom w:val="240"/>
          <w:divBdr>
            <w:top w:val="none" w:sz="0" w:space="0" w:color="auto"/>
            <w:left w:val="none" w:sz="0" w:space="0" w:color="auto"/>
            <w:bottom w:val="none" w:sz="0" w:space="0" w:color="auto"/>
            <w:right w:val="none" w:sz="0" w:space="0" w:color="auto"/>
          </w:divBdr>
        </w:div>
        <w:div w:id="2130314542">
          <w:marLeft w:val="0"/>
          <w:marRight w:val="0"/>
          <w:marTop w:val="0"/>
          <w:marBottom w:val="240"/>
          <w:divBdr>
            <w:top w:val="none" w:sz="0" w:space="0" w:color="auto"/>
            <w:left w:val="none" w:sz="0" w:space="0" w:color="auto"/>
            <w:bottom w:val="none" w:sz="0" w:space="0" w:color="auto"/>
            <w:right w:val="none" w:sz="0" w:space="0" w:color="auto"/>
          </w:divBdr>
        </w:div>
        <w:div w:id="1256788027">
          <w:marLeft w:val="0"/>
          <w:marRight w:val="0"/>
          <w:marTop w:val="0"/>
          <w:marBottom w:val="240"/>
          <w:divBdr>
            <w:top w:val="none" w:sz="0" w:space="0" w:color="auto"/>
            <w:left w:val="none" w:sz="0" w:space="0" w:color="auto"/>
            <w:bottom w:val="none" w:sz="0" w:space="0" w:color="auto"/>
            <w:right w:val="none" w:sz="0" w:space="0" w:color="auto"/>
          </w:divBdr>
        </w:div>
        <w:div w:id="1006060193">
          <w:marLeft w:val="0"/>
          <w:marRight w:val="0"/>
          <w:marTop w:val="0"/>
          <w:marBottom w:val="240"/>
          <w:divBdr>
            <w:top w:val="none" w:sz="0" w:space="0" w:color="auto"/>
            <w:left w:val="none" w:sz="0" w:space="0" w:color="auto"/>
            <w:bottom w:val="none" w:sz="0" w:space="0" w:color="auto"/>
            <w:right w:val="none" w:sz="0" w:space="0" w:color="auto"/>
          </w:divBdr>
        </w:div>
        <w:div w:id="1008486224">
          <w:marLeft w:val="0"/>
          <w:marRight w:val="0"/>
          <w:marTop w:val="0"/>
          <w:marBottom w:val="240"/>
          <w:divBdr>
            <w:top w:val="none" w:sz="0" w:space="0" w:color="auto"/>
            <w:left w:val="none" w:sz="0" w:space="0" w:color="auto"/>
            <w:bottom w:val="none" w:sz="0" w:space="0" w:color="auto"/>
            <w:right w:val="none" w:sz="0" w:space="0" w:color="auto"/>
          </w:divBdr>
        </w:div>
        <w:div w:id="1929924251">
          <w:marLeft w:val="0"/>
          <w:marRight w:val="0"/>
          <w:marTop w:val="0"/>
          <w:marBottom w:val="240"/>
          <w:divBdr>
            <w:top w:val="none" w:sz="0" w:space="0" w:color="auto"/>
            <w:left w:val="none" w:sz="0" w:space="0" w:color="auto"/>
            <w:bottom w:val="none" w:sz="0" w:space="0" w:color="auto"/>
            <w:right w:val="none" w:sz="0" w:space="0" w:color="auto"/>
          </w:divBdr>
        </w:div>
        <w:div w:id="945118369">
          <w:marLeft w:val="0"/>
          <w:marRight w:val="0"/>
          <w:marTop w:val="0"/>
          <w:marBottom w:val="240"/>
          <w:divBdr>
            <w:top w:val="none" w:sz="0" w:space="0" w:color="auto"/>
            <w:left w:val="none" w:sz="0" w:space="0" w:color="auto"/>
            <w:bottom w:val="none" w:sz="0" w:space="0" w:color="auto"/>
            <w:right w:val="none" w:sz="0" w:space="0" w:color="auto"/>
          </w:divBdr>
        </w:div>
        <w:div w:id="709231302">
          <w:marLeft w:val="0"/>
          <w:marRight w:val="0"/>
          <w:marTop w:val="0"/>
          <w:marBottom w:val="240"/>
          <w:divBdr>
            <w:top w:val="none" w:sz="0" w:space="0" w:color="auto"/>
            <w:left w:val="none" w:sz="0" w:space="0" w:color="auto"/>
            <w:bottom w:val="none" w:sz="0" w:space="0" w:color="auto"/>
            <w:right w:val="none" w:sz="0" w:space="0" w:color="auto"/>
          </w:divBdr>
        </w:div>
        <w:div w:id="2069524714">
          <w:marLeft w:val="0"/>
          <w:marRight w:val="0"/>
          <w:marTop w:val="0"/>
          <w:marBottom w:val="240"/>
          <w:divBdr>
            <w:top w:val="none" w:sz="0" w:space="0" w:color="auto"/>
            <w:left w:val="none" w:sz="0" w:space="0" w:color="auto"/>
            <w:bottom w:val="none" w:sz="0" w:space="0" w:color="auto"/>
            <w:right w:val="none" w:sz="0" w:space="0" w:color="auto"/>
          </w:divBdr>
        </w:div>
        <w:div w:id="2107460667">
          <w:marLeft w:val="0"/>
          <w:marRight w:val="0"/>
          <w:marTop w:val="0"/>
          <w:marBottom w:val="240"/>
          <w:divBdr>
            <w:top w:val="none" w:sz="0" w:space="0" w:color="auto"/>
            <w:left w:val="none" w:sz="0" w:space="0" w:color="auto"/>
            <w:bottom w:val="none" w:sz="0" w:space="0" w:color="auto"/>
            <w:right w:val="none" w:sz="0" w:space="0" w:color="auto"/>
          </w:divBdr>
        </w:div>
        <w:div w:id="167405033">
          <w:marLeft w:val="0"/>
          <w:marRight w:val="0"/>
          <w:marTop w:val="0"/>
          <w:marBottom w:val="240"/>
          <w:divBdr>
            <w:top w:val="none" w:sz="0" w:space="0" w:color="auto"/>
            <w:left w:val="none" w:sz="0" w:space="0" w:color="auto"/>
            <w:bottom w:val="none" w:sz="0" w:space="0" w:color="auto"/>
            <w:right w:val="none" w:sz="0" w:space="0" w:color="auto"/>
          </w:divBdr>
        </w:div>
        <w:div w:id="1068695823">
          <w:marLeft w:val="0"/>
          <w:marRight w:val="0"/>
          <w:marTop w:val="0"/>
          <w:marBottom w:val="240"/>
          <w:divBdr>
            <w:top w:val="none" w:sz="0" w:space="0" w:color="auto"/>
            <w:left w:val="none" w:sz="0" w:space="0" w:color="auto"/>
            <w:bottom w:val="none" w:sz="0" w:space="0" w:color="auto"/>
            <w:right w:val="none" w:sz="0" w:space="0" w:color="auto"/>
          </w:divBdr>
        </w:div>
        <w:div w:id="471018567">
          <w:marLeft w:val="0"/>
          <w:marRight w:val="0"/>
          <w:marTop w:val="0"/>
          <w:marBottom w:val="240"/>
          <w:divBdr>
            <w:top w:val="none" w:sz="0" w:space="0" w:color="auto"/>
            <w:left w:val="none" w:sz="0" w:space="0" w:color="auto"/>
            <w:bottom w:val="none" w:sz="0" w:space="0" w:color="auto"/>
            <w:right w:val="none" w:sz="0" w:space="0" w:color="auto"/>
          </w:divBdr>
        </w:div>
        <w:div w:id="1161894784">
          <w:marLeft w:val="0"/>
          <w:marRight w:val="0"/>
          <w:marTop w:val="0"/>
          <w:marBottom w:val="240"/>
          <w:divBdr>
            <w:top w:val="none" w:sz="0" w:space="0" w:color="auto"/>
            <w:left w:val="none" w:sz="0" w:space="0" w:color="auto"/>
            <w:bottom w:val="none" w:sz="0" w:space="0" w:color="auto"/>
            <w:right w:val="none" w:sz="0" w:space="0" w:color="auto"/>
          </w:divBdr>
        </w:div>
        <w:div w:id="190339386">
          <w:marLeft w:val="0"/>
          <w:marRight w:val="0"/>
          <w:marTop w:val="0"/>
          <w:marBottom w:val="240"/>
          <w:divBdr>
            <w:top w:val="none" w:sz="0" w:space="0" w:color="auto"/>
            <w:left w:val="none" w:sz="0" w:space="0" w:color="auto"/>
            <w:bottom w:val="none" w:sz="0" w:space="0" w:color="auto"/>
            <w:right w:val="none" w:sz="0" w:space="0" w:color="auto"/>
          </w:divBdr>
        </w:div>
        <w:div w:id="728655097">
          <w:marLeft w:val="0"/>
          <w:marRight w:val="0"/>
          <w:marTop w:val="0"/>
          <w:marBottom w:val="240"/>
          <w:divBdr>
            <w:top w:val="none" w:sz="0" w:space="0" w:color="auto"/>
            <w:left w:val="none" w:sz="0" w:space="0" w:color="auto"/>
            <w:bottom w:val="none" w:sz="0" w:space="0" w:color="auto"/>
            <w:right w:val="none" w:sz="0" w:space="0" w:color="auto"/>
          </w:divBdr>
        </w:div>
        <w:div w:id="1128813883">
          <w:marLeft w:val="0"/>
          <w:marRight w:val="0"/>
          <w:marTop w:val="0"/>
          <w:marBottom w:val="240"/>
          <w:divBdr>
            <w:top w:val="none" w:sz="0" w:space="0" w:color="auto"/>
            <w:left w:val="none" w:sz="0" w:space="0" w:color="auto"/>
            <w:bottom w:val="none" w:sz="0" w:space="0" w:color="auto"/>
            <w:right w:val="none" w:sz="0" w:space="0" w:color="auto"/>
          </w:divBdr>
        </w:div>
        <w:div w:id="1674451022">
          <w:marLeft w:val="0"/>
          <w:marRight w:val="0"/>
          <w:marTop w:val="0"/>
          <w:marBottom w:val="240"/>
          <w:divBdr>
            <w:top w:val="none" w:sz="0" w:space="0" w:color="auto"/>
            <w:left w:val="none" w:sz="0" w:space="0" w:color="auto"/>
            <w:bottom w:val="none" w:sz="0" w:space="0" w:color="auto"/>
            <w:right w:val="none" w:sz="0" w:space="0" w:color="auto"/>
          </w:divBdr>
        </w:div>
        <w:div w:id="1966740562">
          <w:marLeft w:val="0"/>
          <w:marRight w:val="0"/>
          <w:marTop w:val="0"/>
          <w:marBottom w:val="240"/>
          <w:divBdr>
            <w:top w:val="none" w:sz="0" w:space="0" w:color="auto"/>
            <w:left w:val="none" w:sz="0" w:space="0" w:color="auto"/>
            <w:bottom w:val="none" w:sz="0" w:space="0" w:color="auto"/>
            <w:right w:val="none" w:sz="0" w:space="0" w:color="auto"/>
          </w:divBdr>
        </w:div>
        <w:div w:id="616059753">
          <w:marLeft w:val="0"/>
          <w:marRight w:val="0"/>
          <w:marTop w:val="0"/>
          <w:marBottom w:val="240"/>
          <w:divBdr>
            <w:top w:val="none" w:sz="0" w:space="0" w:color="auto"/>
            <w:left w:val="none" w:sz="0" w:space="0" w:color="auto"/>
            <w:bottom w:val="none" w:sz="0" w:space="0" w:color="auto"/>
            <w:right w:val="none" w:sz="0" w:space="0" w:color="auto"/>
          </w:divBdr>
        </w:div>
        <w:div w:id="130489484">
          <w:marLeft w:val="0"/>
          <w:marRight w:val="0"/>
          <w:marTop w:val="0"/>
          <w:marBottom w:val="240"/>
          <w:divBdr>
            <w:top w:val="none" w:sz="0" w:space="0" w:color="auto"/>
            <w:left w:val="none" w:sz="0" w:space="0" w:color="auto"/>
            <w:bottom w:val="none" w:sz="0" w:space="0" w:color="auto"/>
            <w:right w:val="none" w:sz="0" w:space="0" w:color="auto"/>
          </w:divBdr>
        </w:div>
        <w:div w:id="698747089">
          <w:marLeft w:val="0"/>
          <w:marRight w:val="0"/>
          <w:marTop w:val="0"/>
          <w:marBottom w:val="240"/>
          <w:divBdr>
            <w:top w:val="none" w:sz="0" w:space="0" w:color="auto"/>
            <w:left w:val="none" w:sz="0" w:space="0" w:color="auto"/>
            <w:bottom w:val="none" w:sz="0" w:space="0" w:color="auto"/>
            <w:right w:val="none" w:sz="0" w:space="0" w:color="auto"/>
          </w:divBdr>
        </w:div>
        <w:div w:id="1393044784">
          <w:marLeft w:val="0"/>
          <w:marRight w:val="0"/>
          <w:marTop w:val="0"/>
          <w:marBottom w:val="240"/>
          <w:divBdr>
            <w:top w:val="none" w:sz="0" w:space="0" w:color="auto"/>
            <w:left w:val="none" w:sz="0" w:space="0" w:color="auto"/>
            <w:bottom w:val="none" w:sz="0" w:space="0" w:color="auto"/>
            <w:right w:val="none" w:sz="0" w:space="0" w:color="auto"/>
          </w:divBdr>
        </w:div>
        <w:div w:id="229117644">
          <w:marLeft w:val="0"/>
          <w:marRight w:val="0"/>
          <w:marTop w:val="0"/>
          <w:marBottom w:val="240"/>
          <w:divBdr>
            <w:top w:val="none" w:sz="0" w:space="0" w:color="auto"/>
            <w:left w:val="none" w:sz="0" w:space="0" w:color="auto"/>
            <w:bottom w:val="none" w:sz="0" w:space="0" w:color="auto"/>
            <w:right w:val="none" w:sz="0" w:space="0" w:color="auto"/>
          </w:divBdr>
        </w:div>
        <w:div w:id="993683016">
          <w:marLeft w:val="0"/>
          <w:marRight w:val="0"/>
          <w:marTop w:val="0"/>
          <w:marBottom w:val="240"/>
          <w:divBdr>
            <w:top w:val="none" w:sz="0" w:space="0" w:color="auto"/>
            <w:left w:val="none" w:sz="0" w:space="0" w:color="auto"/>
            <w:bottom w:val="none" w:sz="0" w:space="0" w:color="auto"/>
            <w:right w:val="none" w:sz="0" w:space="0" w:color="auto"/>
          </w:divBdr>
        </w:div>
        <w:div w:id="54085161">
          <w:marLeft w:val="0"/>
          <w:marRight w:val="0"/>
          <w:marTop w:val="0"/>
          <w:marBottom w:val="240"/>
          <w:divBdr>
            <w:top w:val="none" w:sz="0" w:space="0" w:color="auto"/>
            <w:left w:val="none" w:sz="0" w:space="0" w:color="auto"/>
            <w:bottom w:val="none" w:sz="0" w:space="0" w:color="auto"/>
            <w:right w:val="none" w:sz="0" w:space="0" w:color="auto"/>
          </w:divBdr>
        </w:div>
        <w:div w:id="519273542">
          <w:marLeft w:val="0"/>
          <w:marRight w:val="0"/>
          <w:marTop w:val="0"/>
          <w:marBottom w:val="240"/>
          <w:divBdr>
            <w:top w:val="none" w:sz="0" w:space="0" w:color="auto"/>
            <w:left w:val="none" w:sz="0" w:space="0" w:color="auto"/>
            <w:bottom w:val="none" w:sz="0" w:space="0" w:color="auto"/>
            <w:right w:val="none" w:sz="0" w:space="0" w:color="auto"/>
          </w:divBdr>
        </w:div>
        <w:div w:id="1118063283">
          <w:marLeft w:val="0"/>
          <w:marRight w:val="0"/>
          <w:marTop w:val="0"/>
          <w:marBottom w:val="240"/>
          <w:divBdr>
            <w:top w:val="none" w:sz="0" w:space="0" w:color="auto"/>
            <w:left w:val="none" w:sz="0" w:space="0" w:color="auto"/>
            <w:bottom w:val="none" w:sz="0" w:space="0" w:color="auto"/>
            <w:right w:val="none" w:sz="0" w:space="0" w:color="auto"/>
          </w:divBdr>
        </w:div>
        <w:div w:id="1533415121">
          <w:marLeft w:val="0"/>
          <w:marRight w:val="0"/>
          <w:marTop w:val="0"/>
          <w:marBottom w:val="240"/>
          <w:divBdr>
            <w:top w:val="none" w:sz="0" w:space="0" w:color="auto"/>
            <w:left w:val="none" w:sz="0" w:space="0" w:color="auto"/>
            <w:bottom w:val="none" w:sz="0" w:space="0" w:color="auto"/>
            <w:right w:val="none" w:sz="0" w:space="0" w:color="auto"/>
          </w:divBdr>
        </w:div>
        <w:div w:id="2072995687">
          <w:marLeft w:val="0"/>
          <w:marRight w:val="0"/>
          <w:marTop w:val="0"/>
          <w:marBottom w:val="240"/>
          <w:divBdr>
            <w:top w:val="none" w:sz="0" w:space="0" w:color="auto"/>
            <w:left w:val="none" w:sz="0" w:space="0" w:color="auto"/>
            <w:bottom w:val="none" w:sz="0" w:space="0" w:color="auto"/>
            <w:right w:val="none" w:sz="0" w:space="0" w:color="auto"/>
          </w:divBdr>
        </w:div>
        <w:div w:id="2144690383">
          <w:marLeft w:val="0"/>
          <w:marRight w:val="0"/>
          <w:marTop w:val="0"/>
          <w:marBottom w:val="240"/>
          <w:divBdr>
            <w:top w:val="none" w:sz="0" w:space="0" w:color="auto"/>
            <w:left w:val="none" w:sz="0" w:space="0" w:color="auto"/>
            <w:bottom w:val="none" w:sz="0" w:space="0" w:color="auto"/>
            <w:right w:val="none" w:sz="0" w:space="0" w:color="auto"/>
          </w:divBdr>
        </w:div>
        <w:div w:id="2026596148">
          <w:marLeft w:val="0"/>
          <w:marRight w:val="0"/>
          <w:marTop w:val="0"/>
          <w:marBottom w:val="240"/>
          <w:divBdr>
            <w:top w:val="none" w:sz="0" w:space="0" w:color="auto"/>
            <w:left w:val="none" w:sz="0" w:space="0" w:color="auto"/>
            <w:bottom w:val="none" w:sz="0" w:space="0" w:color="auto"/>
            <w:right w:val="none" w:sz="0" w:space="0" w:color="auto"/>
          </w:divBdr>
        </w:div>
        <w:div w:id="1860045104">
          <w:marLeft w:val="0"/>
          <w:marRight w:val="0"/>
          <w:marTop w:val="0"/>
          <w:marBottom w:val="240"/>
          <w:divBdr>
            <w:top w:val="none" w:sz="0" w:space="0" w:color="auto"/>
            <w:left w:val="none" w:sz="0" w:space="0" w:color="auto"/>
            <w:bottom w:val="none" w:sz="0" w:space="0" w:color="auto"/>
            <w:right w:val="none" w:sz="0" w:space="0" w:color="auto"/>
          </w:divBdr>
        </w:div>
        <w:div w:id="97916777">
          <w:marLeft w:val="0"/>
          <w:marRight w:val="0"/>
          <w:marTop w:val="0"/>
          <w:marBottom w:val="240"/>
          <w:divBdr>
            <w:top w:val="none" w:sz="0" w:space="0" w:color="auto"/>
            <w:left w:val="none" w:sz="0" w:space="0" w:color="auto"/>
            <w:bottom w:val="none" w:sz="0" w:space="0" w:color="auto"/>
            <w:right w:val="none" w:sz="0" w:space="0" w:color="auto"/>
          </w:divBdr>
        </w:div>
      </w:divsChild>
    </w:div>
    <w:div w:id="935484116">
      <w:bodyDiv w:val="1"/>
      <w:marLeft w:val="0"/>
      <w:marRight w:val="0"/>
      <w:marTop w:val="0"/>
      <w:marBottom w:val="0"/>
      <w:divBdr>
        <w:top w:val="none" w:sz="0" w:space="0" w:color="auto"/>
        <w:left w:val="none" w:sz="0" w:space="0" w:color="auto"/>
        <w:bottom w:val="none" w:sz="0" w:space="0" w:color="auto"/>
        <w:right w:val="none" w:sz="0" w:space="0" w:color="auto"/>
      </w:divBdr>
      <w:divsChild>
        <w:div w:id="464542975">
          <w:marLeft w:val="0"/>
          <w:marRight w:val="0"/>
          <w:marTop w:val="0"/>
          <w:marBottom w:val="240"/>
          <w:divBdr>
            <w:top w:val="none" w:sz="0" w:space="0" w:color="auto"/>
            <w:left w:val="none" w:sz="0" w:space="0" w:color="auto"/>
            <w:bottom w:val="none" w:sz="0" w:space="0" w:color="auto"/>
            <w:right w:val="none" w:sz="0" w:space="0" w:color="auto"/>
          </w:divBdr>
        </w:div>
      </w:divsChild>
    </w:div>
    <w:div w:id="960571494">
      <w:bodyDiv w:val="1"/>
      <w:marLeft w:val="0"/>
      <w:marRight w:val="0"/>
      <w:marTop w:val="0"/>
      <w:marBottom w:val="0"/>
      <w:divBdr>
        <w:top w:val="none" w:sz="0" w:space="0" w:color="auto"/>
        <w:left w:val="none" w:sz="0" w:space="0" w:color="auto"/>
        <w:bottom w:val="none" w:sz="0" w:space="0" w:color="auto"/>
        <w:right w:val="none" w:sz="0" w:space="0" w:color="auto"/>
      </w:divBdr>
      <w:divsChild>
        <w:div w:id="233246466">
          <w:marLeft w:val="0"/>
          <w:marRight w:val="0"/>
          <w:marTop w:val="0"/>
          <w:marBottom w:val="240"/>
          <w:divBdr>
            <w:top w:val="none" w:sz="0" w:space="0" w:color="auto"/>
            <w:left w:val="none" w:sz="0" w:space="0" w:color="auto"/>
            <w:bottom w:val="none" w:sz="0" w:space="0" w:color="auto"/>
            <w:right w:val="none" w:sz="0" w:space="0" w:color="auto"/>
          </w:divBdr>
        </w:div>
      </w:divsChild>
    </w:div>
    <w:div w:id="986977677">
      <w:bodyDiv w:val="1"/>
      <w:marLeft w:val="0"/>
      <w:marRight w:val="0"/>
      <w:marTop w:val="0"/>
      <w:marBottom w:val="0"/>
      <w:divBdr>
        <w:top w:val="none" w:sz="0" w:space="0" w:color="auto"/>
        <w:left w:val="none" w:sz="0" w:space="0" w:color="auto"/>
        <w:bottom w:val="none" w:sz="0" w:space="0" w:color="auto"/>
        <w:right w:val="none" w:sz="0" w:space="0" w:color="auto"/>
      </w:divBdr>
      <w:divsChild>
        <w:div w:id="199830619">
          <w:marLeft w:val="0"/>
          <w:marRight w:val="0"/>
          <w:marTop w:val="0"/>
          <w:marBottom w:val="240"/>
          <w:divBdr>
            <w:top w:val="none" w:sz="0" w:space="0" w:color="auto"/>
            <w:left w:val="none" w:sz="0" w:space="0" w:color="auto"/>
            <w:bottom w:val="none" w:sz="0" w:space="0" w:color="auto"/>
            <w:right w:val="none" w:sz="0" w:space="0" w:color="auto"/>
          </w:divBdr>
        </w:div>
      </w:divsChild>
    </w:div>
    <w:div w:id="995182131">
      <w:bodyDiv w:val="1"/>
      <w:marLeft w:val="0"/>
      <w:marRight w:val="0"/>
      <w:marTop w:val="0"/>
      <w:marBottom w:val="0"/>
      <w:divBdr>
        <w:top w:val="none" w:sz="0" w:space="0" w:color="auto"/>
        <w:left w:val="none" w:sz="0" w:space="0" w:color="auto"/>
        <w:bottom w:val="none" w:sz="0" w:space="0" w:color="auto"/>
        <w:right w:val="none" w:sz="0" w:space="0" w:color="auto"/>
      </w:divBdr>
      <w:divsChild>
        <w:div w:id="1044334418">
          <w:marLeft w:val="0"/>
          <w:marRight w:val="0"/>
          <w:marTop w:val="0"/>
          <w:marBottom w:val="240"/>
          <w:divBdr>
            <w:top w:val="none" w:sz="0" w:space="0" w:color="auto"/>
            <w:left w:val="none" w:sz="0" w:space="0" w:color="auto"/>
            <w:bottom w:val="none" w:sz="0" w:space="0" w:color="auto"/>
            <w:right w:val="none" w:sz="0" w:space="0" w:color="auto"/>
          </w:divBdr>
        </w:div>
      </w:divsChild>
    </w:div>
    <w:div w:id="1008098681">
      <w:bodyDiv w:val="1"/>
      <w:marLeft w:val="0"/>
      <w:marRight w:val="0"/>
      <w:marTop w:val="0"/>
      <w:marBottom w:val="0"/>
      <w:divBdr>
        <w:top w:val="none" w:sz="0" w:space="0" w:color="auto"/>
        <w:left w:val="none" w:sz="0" w:space="0" w:color="auto"/>
        <w:bottom w:val="none" w:sz="0" w:space="0" w:color="auto"/>
        <w:right w:val="none" w:sz="0" w:space="0" w:color="auto"/>
      </w:divBdr>
      <w:divsChild>
        <w:div w:id="174422600">
          <w:marLeft w:val="0"/>
          <w:marRight w:val="0"/>
          <w:marTop w:val="0"/>
          <w:marBottom w:val="240"/>
          <w:divBdr>
            <w:top w:val="none" w:sz="0" w:space="0" w:color="auto"/>
            <w:left w:val="none" w:sz="0" w:space="0" w:color="auto"/>
            <w:bottom w:val="none" w:sz="0" w:space="0" w:color="auto"/>
            <w:right w:val="none" w:sz="0" w:space="0" w:color="auto"/>
          </w:divBdr>
        </w:div>
      </w:divsChild>
    </w:div>
    <w:div w:id="1031959932">
      <w:bodyDiv w:val="1"/>
      <w:marLeft w:val="0"/>
      <w:marRight w:val="0"/>
      <w:marTop w:val="0"/>
      <w:marBottom w:val="0"/>
      <w:divBdr>
        <w:top w:val="none" w:sz="0" w:space="0" w:color="auto"/>
        <w:left w:val="none" w:sz="0" w:space="0" w:color="auto"/>
        <w:bottom w:val="none" w:sz="0" w:space="0" w:color="auto"/>
        <w:right w:val="none" w:sz="0" w:space="0" w:color="auto"/>
      </w:divBdr>
      <w:divsChild>
        <w:div w:id="633174540">
          <w:marLeft w:val="0"/>
          <w:marRight w:val="0"/>
          <w:marTop w:val="0"/>
          <w:marBottom w:val="240"/>
          <w:divBdr>
            <w:top w:val="none" w:sz="0" w:space="0" w:color="auto"/>
            <w:left w:val="none" w:sz="0" w:space="0" w:color="auto"/>
            <w:bottom w:val="none" w:sz="0" w:space="0" w:color="auto"/>
            <w:right w:val="none" w:sz="0" w:space="0" w:color="auto"/>
          </w:divBdr>
        </w:div>
      </w:divsChild>
    </w:div>
    <w:div w:id="1046950582">
      <w:bodyDiv w:val="1"/>
      <w:marLeft w:val="0"/>
      <w:marRight w:val="0"/>
      <w:marTop w:val="0"/>
      <w:marBottom w:val="0"/>
      <w:divBdr>
        <w:top w:val="none" w:sz="0" w:space="0" w:color="auto"/>
        <w:left w:val="none" w:sz="0" w:space="0" w:color="auto"/>
        <w:bottom w:val="none" w:sz="0" w:space="0" w:color="auto"/>
        <w:right w:val="none" w:sz="0" w:space="0" w:color="auto"/>
      </w:divBdr>
      <w:divsChild>
        <w:div w:id="779496342">
          <w:marLeft w:val="0"/>
          <w:marRight w:val="0"/>
          <w:marTop w:val="0"/>
          <w:marBottom w:val="240"/>
          <w:divBdr>
            <w:top w:val="none" w:sz="0" w:space="0" w:color="auto"/>
            <w:left w:val="none" w:sz="0" w:space="0" w:color="auto"/>
            <w:bottom w:val="none" w:sz="0" w:space="0" w:color="auto"/>
            <w:right w:val="none" w:sz="0" w:space="0" w:color="auto"/>
          </w:divBdr>
        </w:div>
      </w:divsChild>
    </w:div>
    <w:div w:id="1059935952">
      <w:bodyDiv w:val="1"/>
      <w:marLeft w:val="0"/>
      <w:marRight w:val="0"/>
      <w:marTop w:val="0"/>
      <w:marBottom w:val="0"/>
      <w:divBdr>
        <w:top w:val="none" w:sz="0" w:space="0" w:color="auto"/>
        <w:left w:val="none" w:sz="0" w:space="0" w:color="auto"/>
        <w:bottom w:val="none" w:sz="0" w:space="0" w:color="auto"/>
        <w:right w:val="none" w:sz="0" w:space="0" w:color="auto"/>
      </w:divBdr>
      <w:divsChild>
        <w:div w:id="202133147">
          <w:marLeft w:val="0"/>
          <w:marRight w:val="0"/>
          <w:marTop w:val="0"/>
          <w:marBottom w:val="240"/>
          <w:divBdr>
            <w:top w:val="none" w:sz="0" w:space="0" w:color="auto"/>
            <w:left w:val="none" w:sz="0" w:space="0" w:color="auto"/>
            <w:bottom w:val="none" w:sz="0" w:space="0" w:color="auto"/>
            <w:right w:val="none" w:sz="0" w:space="0" w:color="auto"/>
          </w:divBdr>
        </w:div>
      </w:divsChild>
    </w:div>
    <w:div w:id="1102996286">
      <w:bodyDiv w:val="1"/>
      <w:marLeft w:val="0"/>
      <w:marRight w:val="0"/>
      <w:marTop w:val="0"/>
      <w:marBottom w:val="0"/>
      <w:divBdr>
        <w:top w:val="none" w:sz="0" w:space="0" w:color="auto"/>
        <w:left w:val="none" w:sz="0" w:space="0" w:color="auto"/>
        <w:bottom w:val="none" w:sz="0" w:space="0" w:color="auto"/>
        <w:right w:val="none" w:sz="0" w:space="0" w:color="auto"/>
      </w:divBdr>
      <w:divsChild>
        <w:div w:id="1090783787">
          <w:marLeft w:val="0"/>
          <w:marRight w:val="0"/>
          <w:marTop w:val="0"/>
          <w:marBottom w:val="240"/>
          <w:divBdr>
            <w:top w:val="none" w:sz="0" w:space="0" w:color="auto"/>
            <w:left w:val="none" w:sz="0" w:space="0" w:color="auto"/>
            <w:bottom w:val="none" w:sz="0" w:space="0" w:color="auto"/>
            <w:right w:val="none" w:sz="0" w:space="0" w:color="auto"/>
          </w:divBdr>
        </w:div>
        <w:div w:id="834033394">
          <w:marLeft w:val="0"/>
          <w:marRight w:val="0"/>
          <w:marTop w:val="0"/>
          <w:marBottom w:val="240"/>
          <w:divBdr>
            <w:top w:val="none" w:sz="0" w:space="0" w:color="auto"/>
            <w:left w:val="none" w:sz="0" w:space="0" w:color="auto"/>
            <w:bottom w:val="none" w:sz="0" w:space="0" w:color="auto"/>
            <w:right w:val="none" w:sz="0" w:space="0" w:color="auto"/>
          </w:divBdr>
        </w:div>
        <w:div w:id="456261950">
          <w:marLeft w:val="0"/>
          <w:marRight w:val="0"/>
          <w:marTop w:val="0"/>
          <w:marBottom w:val="240"/>
          <w:divBdr>
            <w:top w:val="none" w:sz="0" w:space="0" w:color="auto"/>
            <w:left w:val="none" w:sz="0" w:space="0" w:color="auto"/>
            <w:bottom w:val="none" w:sz="0" w:space="0" w:color="auto"/>
            <w:right w:val="none" w:sz="0" w:space="0" w:color="auto"/>
          </w:divBdr>
        </w:div>
        <w:div w:id="545919518">
          <w:marLeft w:val="0"/>
          <w:marRight w:val="0"/>
          <w:marTop w:val="0"/>
          <w:marBottom w:val="240"/>
          <w:divBdr>
            <w:top w:val="none" w:sz="0" w:space="0" w:color="auto"/>
            <w:left w:val="none" w:sz="0" w:space="0" w:color="auto"/>
            <w:bottom w:val="none" w:sz="0" w:space="0" w:color="auto"/>
            <w:right w:val="none" w:sz="0" w:space="0" w:color="auto"/>
          </w:divBdr>
        </w:div>
        <w:div w:id="518466219">
          <w:marLeft w:val="0"/>
          <w:marRight w:val="0"/>
          <w:marTop w:val="0"/>
          <w:marBottom w:val="240"/>
          <w:divBdr>
            <w:top w:val="none" w:sz="0" w:space="0" w:color="auto"/>
            <w:left w:val="none" w:sz="0" w:space="0" w:color="auto"/>
            <w:bottom w:val="none" w:sz="0" w:space="0" w:color="auto"/>
            <w:right w:val="none" w:sz="0" w:space="0" w:color="auto"/>
          </w:divBdr>
        </w:div>
        <w:div w:id="1865056075">
          <w:marLeft w:val="0"/>
          <w:marRight w:val="0"/>
          <w:marTop w:val="0"/>
          <w:marBottom w:val="240"/>
          <w:divBdr>
            <w:top w:val="none" w:sz="0" w:space="0" w:color="auto"/>
            <w:left w:val="none" w:sz="0" w:space="0" w:color="auto"/>
            <w:bottom w:val="none" w:sz="0" w:space="0" w:color="auto"/>
            <w:right w:val="none" w:sz="0" w:space="0" w:color="auto"/>
          </w:divBdr>
        </w:div>
        <w:div w:id="368918417">
          <w:marLeft w:val="0"/>
          <w:marRight w:val="0"/>
          <w:marTop w:val="0"/>
          <w:marBottom w:val="240"/>
          <w:divBdr>
            <w:top w:val="none" w:sz="0" w:space="0" w:color="auto"/>
            <w:left w:val="none" w:sz="0" w:space="0" w:color="auto"/>
            <w:bottom w:val="none" w:sz="0" w:space="0" w:color="auto"/>
            <w:right w:val="none" w:sz="0" w:space="0" w:color="auto"/>
          </w:divBdr>
        </w:div>
      </w:divsChild>
    </w:div>
    <w:div w:id="1114983286">
      <w:bodyDiv w:val="1"/>
      <w:marLeft w:val="0"/>
      <w:marRight w:val="0"/>
      <w:marTop w:val="0"/>
      <w:marBottom w:val="0"/>
      <w:divBdr>
        <w:top w:val="none" w:sz="0" w:space="0" w:color="auto"/>
        <w:left w:val="none" w:sz="0" w:space="0" w:color="auto"/>
        <w:bottom w:val="none" w:sz="0" w:space="0" w:color="auto"/>
        <w:right w:val="none" w:sz="0" w:space="0" w:color="auto"/>
      </w:divBdr>
      <w:divsChild>
        <w:div w:id="749928943">
          <w:marLeft w:val="0"/>
          <w:marRight w:val="0"/>
          <w:marTop w:val="0"/>
          <w:marBottom w:val="240"/>
          <w:divBdr>
            <w:top w:val="none" w:sz="0" w:space="0" w:color="auto"/>
            <w:left w:val="none" w:sz="0" w:space="0" w:color="auto"/>
            <w:bottom w:val="none" w:sz="0" w:space="0" w:color="auto"/>
            <w:right w:val="none" w:sz="0" w:space="0" w:color="auto"/>
          </w:divBdr>
        </w:div>
        <w:div w:id="1053308917">
          <w:marLeft w:val="0"/>
          <w:marRight w:val="0"/>
          <w:marTop w:val="0"/>
          <w:marBottom w:val="240"/>
          <w:divBdr>
            <w:top w:val="none" w:sz="0" w:space="0" w:color="auto"/>
            <w:left w:val="none" w:sz="0" w:space="0" w:color="auto"/>
            <w:bottom w:val="none" w:sz="0" w:space="0" w:color="auto"/>
            <w:right w:val="none" w:sz="0" w:space="0" w:color="auto"/>
          </w:divBdr>
        </w:div>
      </w:divsChild>
    </w:div>
    <w:div w:id="1125661012">
      <w:bodyDiv w:val="1"/>
      <w:marLeft w:val="0"/>
      <w:marRight w:val="0"/>
      <w:marTop w:val="0"/>
      <w:marBottom w:val="0"/>
      <w:divBdr>
        <w:top w:val="none" w:sz="0" w:space="0" w:color="auto"/>
        <w:left w:val="none" w:sz="0" w:space="0" w:color="auto"/>
        <w:bottom w:val="none" w:sz="0" w:space="0" w:color="auto"/>
        <w:right w:val="none" w:sz="0" w:space="0" w:color="auto"/>
      </w:divBdr>
      <w:divsChild>
        <w:div w:id="1300115317">
          <w:marLeft w:val="0"/>
          <w:marRight w:val="0"/>
          <w:marTop w:val="0"/>
          <w:marBottom w:val="240"/>
          <w:divBdr>
            <w:top w:val="none" w:sz="0" w:space="0" w:color="auto"/>
            <w:left w:val="none" w:sz="0" w:space="0" w:color="auto"/>
            <w:bottom w:val="none" w:sz="0" w:space="0" w:color="auto"/>
            <w:right w:val="none" w:sz="0" w:space="0" w:color="auto"/>
          </w:divBdr>
        </w:div>
      </w:divsChild>
    </w:div>
    <w:div w:id="1129204058">
      <w:bodyDiv w:val="1"/>
      <w:marLeft w:val="0"/>
      <w:marRight w:val="0"/>
      <w:marTop w:val="0"/>
      <w:marBottom w:val="0"/>
      <w:divBdr>
        <w:top w:val="none" w:sz="0" w:space="0" w:color="auto"/>
        <w:left w:val="none" w:sz="0" w:space="0" w:color="auto"/>
        <w:bottom w:val="none" w:sz="0" w:space="0" w:color="auto"/>
        <w:right w:val="none" w:sz="0" w:space="0" w:color="auto"/>
      </w:divBdr>
      <w:divsChild>
        <w:div w:id="1264532532">
          <w:marLeft w:val="0"/>
          <w:marRight w:val="0"/>
          <w:marTop w:val="0"/>
          <w:marBottom w:val="240"/>
          <w:divBdr>
            <w:top w:val="none" w:sz="0" w:space="0" w:color="auto"/>
            <w:left w:val="none" w:sz="0" w:space="0" w:color="auto"/>
            <w:bottom w:val="none" w:sz="0" w:space="0" w:color="auto"/>
            <w:right w:val="none" w:sz="0" w:space="0" w:color="auto"/>
          </w:divBdr>
        </w:div>
      </w:divsChild>
    </w:div>
    <w:div w:id="1134980915">
      <w:bodyDiv w:val="1"/>
      <w:marLeft w:val="0"/>
      <w:marRight w:val="0"/>
      <w:marTop w:val="0"/>
      <w:marBottom w:val="0"/>
      <w:divBdr>
        <w:top w:val="none" w:sz="0" w:space="0" w:color="auto"/>
        <w:left w:val="none" w:sz="0" w:space="0" w:color="auto"/>
        <w:bottom w:val="none" w:sz="0" w:space="0" w:color="auto"/>
        <w:right w:val="none" w:sz="0" w:space="0" w:color="auto"/>
      </w:divBdr>
      <w:divsChild>
        <w:div w:id="1535653166">
          <w:marLeft w:val="0"/>
          <w:marRight w:val="0"/>
          <w:marTop w:val="0"/>
          <w:marBottom w:val="240"/>
          <w:divBdr>
            <w:top w:val="none" w:sz="0" w:space="0" w:color="auto"/>
            <w:left w:val="none" w:sz="0" w:space="0" w:color="auto"/>
            <w:bottom w:val="none" w:sz="0" w:space="0" w:color="auto"/>
            <w:right w:val="none" w:sz="0" w:space="0" w:color="auto"/>
          </w:divBdr>
        </w:div>
      </w:divsChild>
    </w:div>
    <w:div w:id="1137381151">
      <w:bodyDiv w:val="1"/>
      <w:marLeft w:val="0"/>
      <w:marRight w:val="0"/>
      <w:marTop w:val="0"/>
      <w:marBottom w:val="0"/>
      <w:divBdr>
        <w:top w:val="none" w:sz="0" w:space="0" w:color="auto"/>
        <w:left w:val="none" w:sz="0" w:space="0" w:color="auto"/>
        <w:bottom w:val="none" w:sz="0" w:space="0" w:color="auto"/>
        <w:right w:val="none" w:sz="0" w:space="0" w:color="auto"/>
      </w:divBdr>
      <w:divsChild>
        <w:div w:id="1809397645">
          <w:marLeft w:val="0"/>
          <w:marRight w:val="0"/>
          <w:marTop w:val="0"/>
          <w:marBottom w:val="240"/>
          <w:divBdr>
            <w:top w:val="none" w:sz="0" w:space="0" w:color="auto"/>
            <w:left w:val="none" w:sz="0" w:space="0" w:color="auto"/>
            <w:bottom w:val="none" w:sz="0" w:space="0" w:color="auto"/>
            <w:right w:val="none" w:sz="0" w:space="0" w:color="auto"/>
          </w:divBdr>
        </w:div>
      </w:divsChild>
    </w:div>
    <w:div w:id="1153567432">
      <w:bodyDiv w:val="1"/>
      <w:marLeft w:val="0"/>
      <w:marRight w:val="0"/>
      <w:marTop w:val="0"/>
      <w:marBottom w:val="0"/>
      <w:divBdr>
        <w:top w:val="none" w:sz="0" w:space="0" w:color="auto"/>
        <w:left w:val="none" w:sz="0" w:space="0" w:color="auto"/>
        <w:bottom w:val="none" w:sz="0" w:space="0" w:color="auto"/>
        <w:right w:val="none" w:sz="0" w:space="0" w:color="auto"/>
      </w:divBdr>
      <w:divsChild>
        <w:div w:id="536284393">
          <w:marLeft w:val="0"/>
          <w:marRight w:val="0"/>
          <w:marTop w:val="0"/>
          <w:marBottom w:val="240"/>
          <w:divBdr>
            <w:top w:val="none" w:sz="0" w:space="0" w:color="auto"/>
            <w:left w:val="none" w:sz="0" w:space="0" w:color="auto"/>
            <w:bottom w:val="none" w:sz="0" w:space="0" w:color="auto"/>
            <w:right w:val="none" w:sz="0" w:space="0" w:color="auto"/>
          </w:divBdr>
        </w:div>
      </w:divsChild>
    </w:div>
    <w:div w:id="1155755009">
      <w:bodyDiv w:val="1"/>
      <w:marLeft w:val="0"/>
      <w:marRight w:val="0"/>
      <w:marTop w:val="0"/>
      <w:marBottom w:val="0"/>
      <w:divBdr>
        <w:top w:val="none" w:sz="0" w:space="0" w:color="auto"/>
        <w:left w:val="none" w:sz="0" w:space="0" w:color="auto"/>
        <w:bottom w:val="none" w:sz="0" w:space="0" w:color="auto"/>
        <w:right w:val="none" w:sz="0" w:space="0" w:color="auto"/>
      </w:divBdr>
      <w:divsChild>
        <w:div w:id="1602757559">
          <w:marLeft w:val="0"/>
          <w:marRight w:val="0"/>
          <w:marTop w:val="0"/>
          <w:marBottom w:val="240"/>
          <w:divBdr>
            <w:top w:val="none" w:sz="0" w:space="0" w:color="auto"/>
            <w:left w:val="none" w:sz="0" w:space="0" w:color="auto"/>
            <w:bottom w:val="none" w:sz="0" w:space="0" w:color="auto"/>
            <w:right w:val="none" w:sz="0" w:space="0" w:color="auto"/>
          </w:divBdr>
        </w:div>
      </w:divsChild>
    </w:div>
    <w:div w:id="1156074434">
      <w:bodyDiv w:val="1"/>
      <w:marLeft w:val="0"/>
      <w:marRight w:val="0"/>
      <w:marTop w:val="0"/>
      <w:marBottom w:val="0"/>
      <w:divBdr>
        <w:top w:val="none" w:sz="0" w:space="0" w:color="auto"/>
        <w:left w:val="none" w:sz="0" w:space="0" w:color="auto"/>
        <w:bottom w:val="none" w:sz="0" w:space="0" w:color="auto"/>
        <w:right w:val="none" w:sz="0" w:space="0" w:color="auto"/>
      </w:divBdr>
      <w:divsChild>
        <w:div w:id="1368409815">
          <w:marLeft w:val="0"/>
          <w:marRight w:val="0"/>
          <w:marTop w:val="0"/>
          <w:marBottom w:val="240"/>
          <w:divBdr>
            <w:top w:val="none" w:sz="0" w:space="0" w:color="auto"/>
            <w:left w:val="none" w:sz="0" w:space="0" w:color="auto"/>
            <w:bottom w:val="none" w:sz="0" w:space="0" w:color="auto"/>
            <w:right w:val="none" w:sz="0" w:space="0" w:color="auto"/>
          </w:divBdr>
        </w:div>
      </w:divsChild>
    </w:div>
    <w:div w:id="1157456405">
      <w:bodyDiv w:val="1"/>
      <w:marLeft w:val="0"/>
      <w:marRight w:val="0"/>
      <w:marTop w:val="0"/>
      <w:marBottom w:val="0"/>
      <w:divBdr>
        <w:top w:val="none" w:sz="0" w:space="0" w:color="auto"/>
        <w:left w:val="none" w:sz="0" w:space="0" w:color="auto"/>
        <w:bottom w:val="none" w:sz="0" w:space="0" w:color="auto"/>
        <w:right w:val="none" w:sz="0" w:space="0" w:color="auto"/>
      </w:divBdr>
      <w:divsChild>
        <w:div w:id="630136949">
          <w:marLeft w:val="0"/>
          <w:marRight w:val="0"/>
          <w:marTop w:val="0"/>
          <w:marBottom w:val="240"/>
          <w:divBdr>
            <w:top w:val="none" w:sz="0" w:space="0" w:color="auto"/>
            <w:left w:val="none" w:sz="0" w:space="0" w:color="auto"/>
            <w:bottom w:val="none" w:sz="0" w:space="0" w:color="auto"/>
            <w:right w:val="none" w:sz="0" w:space="0" w:color="auto"/>
          </w:divBdr>
        </w:div>
        <w:div w:id="976838015">
          <w:marLeft w:val="0"/>
          <w:marRight w:val="0"/>
          <w:marTop w:val="0"/>
          <w:marBottom w:val="240"/>
          <w:divBdr>
            <w:top w:val="none" w:sz="0" w:space="0" w:color="auto"/>
            <w:left w:val="none" w:sz="0" w:space="0" w:color="auto"/>
            <w:bottom w:val="none" w:sz="0" w:space="0" w:color="auto"/>
            <w:right w:val="none" w:sz="0" w:space="0" w:color="auto"/>
          </w:divBdr>
        </w:div>
        <w:div w:id="1697806513">
          <w:marLeft w:val="0"/>
          <w:marRight w:val="0"/>
          <w:marTop w:val="0"/>
          <w:marBottom w:val="240"/>
          <w:divBdr>
            <w:top w:val="none" w:sz="0" w:space="0" w:color="auto"/>
            <w:left w:val="none" w:sz="0" w:space="0" w:color="auto"/>
            <w:bottom w:val="none" w:sz="0" w:space="0" w:color="auto"/>
            <w:right w:val="none" w:sz="0" w:space="0" w:color="auto"/>
          </w:divBdr>
        </w:div>
      </w:divsChild>
    </w:div>
    <w:div w:id="1186410613">
      <w:bodyDiv w:val="1"/>
      <w:marLeft w:val="0"/>
      <w:marRight w:val="0"/>
      <w:marTop w:val="0"/>
      <w:marBottom w:val="0"/>
      <w:divBdr>
        <w:top w:val="none" w:sz="0" w:space="0" w:color="auto"/>
        <w:left w:val="none" w:sz="0" w:space="0" w:color="auto"/>
        <w:bottom w:val="none" w:sz="0" w:space="0" w:color="auto"/>
        <w:right w:val="none" w:sz="0" w:space="0" w:color="auto"/>
      </w:divBdr>
      <w:divsChild>
        <w:div w:id="166749113">
          <w:marLeft w:val="0"/>
          <w:marRight w:val="0"/>
          <w:marTop w:val="0"/>
          <w:marBottom w:val="240"/>
          <w:divBdr>
            <w:top w:val="none" w:sz="0" w:space="0" w:color="auto"/>
            <w:left w:val="none" w:sz="0" w:space="0" w:color="auto"/>
            <w:bottom w:val="none" w:sz="0" w:space="0" w:color="auto"/>
            <w:right w:val="none" w:sz="0" w:space="0" w:color="auto"/>
          </w:divBdr>
        </w:div>
      </w:divsChild>
    </w:div>
    <w:div w:id="1198471720">
      <w:bodyDiv w:val="1"/>
      <w:marLeft w:val="0"/>
      <w:marRight w:val="0"/>
      <w:marTop w:val="0"/>
      <w:marBottom w:val="0"/>
      <w:divBdr>
        <w:top w:val="none" w:sz="0" w:space="0" w:color="auto"/>
        <w:left w:val="none" w:sz="0" w:space="0" w:color="auto"/>
        <w:bottom w:val="none" w:sz="0" w:space="0" w:color="auto"/>
        <w:right w:val="none" w:sz="0" w:space="0" w:color="auto"/>
      </w:divBdr>
      <w:divsChild>
        <w:div w:id="425736231">
          <w:marLeft w:val="0"/>
          <w:marRight w:val="0"/>
          <w:marTop w:val="0"/>
          <w:marBottom w:val="240"/>
          <w:divBdr>
            <w:top w:val="none" w:sz="0" w:space="0" w:color="auto"/>
            <w:left w:val="none" w:sz="0" w:space="0" w:color="auto"/>
            <w:bottom w:val="none" w:sz="0" w:space="0" w:color="auto"/>
            <w:right w:val="none" w:sz="0" w:space="0" w:color="auto"/>
          </w:divBdr>
          <w:divsChild>
            <w:div w:id="1182158914">
              <w:marLeft w:val="0"/>
              <w:marRight w:val="0"/>
              <w:marTop w:val="0"/>
              <w:marBottom w:val="0"/>
              <w:divBdr>
                <w:top w:val="none" w:sz="0" w:space="0" w:color="auto"/>
                <w:left w:val="none" w:sz="0" w:space="0" w:color="auto"/>
                <w:bottom w:val="none" w:sz="0" w:space="0" w:color="auto"/>
                <w:right w:val="none" w:sz="0" w:space="0" w:color="auto"/>
              </w:divBdr>
              <w:divsChild>
                <w:div w:id="2284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01935">
      <w:bodyDiv w:val="1"/>
      <w:marLeft w:val="0"/>
      <w:marRight w:val="0"/>
      <w:marTop w:val="0"/>
      <w:marBottom w:val="0"/>
      <w:divBdr>
        <w:top w:val="none" w:sz="0" w:space="0" w:color="auto"/>
        <w:left w:val="none" w:sz="0" w:space="0" w:color="auto"/>
        <w:bottom w:val="none" w:sz="0" w:space="0" w:color="auto"/>
        <w:right w:val="none" w:sz="0" w:space="0" w:color="auto"/>
      </w:divBdr>
      <w:divsChild>
        <w:div w:id="759836567">
          <w:marLeft w:val="0"/>
          <w:marRight w:val="0"/>
          <w:marTop w:val="0"/>
          <w:marBottom w:val="240"/>
          <w:divBdr>
            <w:top w:val="none" w:sz="0" w:space="0" w:color="auto"/>
            <w:left w:val="none" w:sz="0" w:space="0" w:color="auto"/>
            <w:bottom w:val="none" w:sz="0" w:space="0" w:color="auto"/>
            <w:right w:val="none" w:sz="0" w:space="0" w:color="auto"/>
          </w:divBdr>
        </w:div>
        <w:div w:id="1255748597">
          <w:marLeft w:val="0"/>
          <w:marRight w:val="0"/>
          <w:marTop w:val="0"/>
          <w:marBottom w:val="240"/>
          <w:divBdr>
            <w:top w:val="none" w:sz="0" w:space="0" w:color="auto"/>
            <w:left w:val="none" w:sz="0" w:space="0" w:color="auto"/>
            <w:bottom w:val="none" w:sz="0" w:space="0" w:color="auto"/>
            <w:right w:val="none" w:sz="0" w:space="0" w:color="auto"/>
          </w:divBdr>
        </w:div>
      </w:divsChild>
    </w:div>
    <w:div w:id="1208373896">
      <w:bodyDiv w:val="1"/>
      <w:marLeft w:val="0"/>
      <w:marRight w:val="0"/>
      <w:marTop w:val="0"/>
      <w:marBottom w:val="0"/>
      <w:divBdr>
        <w:top w:val="none" w:sz="0" w:space="0" w:color="auto"/>
        <w:left w:val="none" w:sz="0" w:space="0" w:color="auto"/>
        <w:bottom w:val="none" w:sz="0" w:space="0" w:color="auto"/>
        <w:right w:val="none" w:sz="0" w:space="0" w:color="auto"/>
      </w:divBdr>
      <w:divsChild>
        <w:div w:id="816605487">
          <w:marLeft w:val="0"/>
          <w:marRight w:val="0"/>
          <w:marTop w:val="0"/>
          <w:marBottom w:val="240"/>
          <w:divBdr>
            <w:top w:val="none" w:sz="0" w:space="0" w:color="auto"/>
            <w:left w:val="none" w:sz="0" w:space="0" w:color="auto"/>
            <w:bottom w:val="none" w:sz="0" w:space="0" w:color="auto"/>
            <w:right w:val="none" w:sz="0" w:space="0" w:color="auto"/>
          </w:divBdr>
        </w:div>
      </w:divsChild>
    </w:div>
    <w:div w:id="1240098086">
      <w:bodyDiv w:val="1"/>
      <w:marLeft w:val="0"/>
      <w:marRight w:val="0"/>
      <w:marTop w:val="0"/>
      <w:marBottom w:val="0"/>
      <w:divBdr>
        <w:top w:val="none" w:sz="0" w:space="0" w:color="auto"/>
        <w:left w:val="none" w:sz="0" w:space="0" w:color="auto"/>
        <w:bottom w:val="none" w:sz="0" w:space="0" w:color="auto"/>
        <w:right w:val="none" w:sz="0" w:space="0" w:color="auto"/>
      </w:divBdr>
      <w:divsChild>
        <w:div w:id="279145138">
          <w:marLeft w:val="0"/>
          <w:marRight w:val="0"/>
          <w:marTop w:val="0"/>
          <w:marBottom w:val="240"/>
          <w:divBdr>
            <w:top w:val="none" w:sz="0" w:space="0" w:color="auto"/>
            <w:left w:val="none" w:sz="0" w:space="0" w:color="auto"/>
            <w:bottom w:val="none" w:sz="0" w:space="0" w:color="auto"/>
            <w:right w:val="none" w:sz="0" w:space="0" w:color="auto"/>
          </w:divBdr>
        </w:div>
      </w:divsChild>
    </w:div>
    <w:div w:id="1240216077">
      <w:bodyDiv w:val="1"/>
      <w:marLeft w:val="0"/>
      <w:marRight w:val="0"/>
      <w:marTop w:val="0"/>
      <w:marBottom w:val="0"/>
      <w:divBdr>
        <w:top w:val="none" w:sz="0" w:space="0" w:color="auto"/>
        <w:left w:val="none" w:sz="0" w:space="0" w:color="auto"/>
        <w:bottom w:val="none" w:sz="0" w:space="0" w:color="auto"/>
        <w:right w:val="none" w:sz="0" w:space="0" w:color="auto"/>
      </w:divBdr>
      <w:divsChild>
        <w:div w:id="1513959443">
          <w:marLeft w:val="0"/>
          <w:marRight w:val="0"/>
          <w:marTop w:val="0"/>
          <w:marBottom w:val="240"/>
          <w:divBdr>
            <w:top w:val="none" w:sz="0" w:space="0" w:color="auto"/>
            <w:left w:val="none" w:sz="0" w:space="0" w:color="auto"/>
            <w:bottom w:val="none" w:sz="0" w:space="0" w:color="auto"/>
            <w:right w:val="none" w:sz="0" w:space="0" w:color="auto"/>
          </w:divBdr>
        </w:div>
        <w:div w:id="1758479947">
          <w:marLeft w:val="0"/>
          <w:marRight w:val="0"/>
          <w:marTop w:val="0"/>
          <w:marBottom w:val="240"/>
          <w:divBdr>
            <w:top w:val="none" w:sz="0" w:space="0" w:color="auto"/>
            <w:left w:val="none" w:sz="0" w:space="0" w:color="auto"/>
            <w:bottom w:val="none" w:sz="0" w:space="0" w:color="auto"/>
            <w:right w:val="none" w:sz="0" w:space="0" w:color="auto"/>
          </w:divBdr>
        </w:div>
      </w:divsChild>
    </w:div>
    <w:div w:id="1253972132">
      <w:bodyDiv w:val="1"/>
      <w:marLeft w:val="0"/>
      <w:marRight w:val="0"/>
      <w:marTop w:val="0"/>
      <w:marBottom w:val="0"/>
      <w:divBdr>
        <w:top w:val="none" w:sz="0" w:space="0" w:color="auto"/>
        <w:left w:val="none" w:sz="0" w:space="0" w:color="auto"/>
        <w:bottom w:val="none" w:sz="0" w:space="0" w:color="auto"/>
        <w:right w:val="none" w:sz="0" w:space="0" w:color="auto"/>
      </w:divBdr>
      <w:divsChild>
        <w:div w:id="2000574866">
          <w:marLeft w:val="0"/>
          <w:marRight w:val="0"/>
          <w:marTop w:val="0"/>
          <w:marBottom w:val="240"/>
          <w:divBdr>
            <w:top w:val="none" w:sz="0" w:space="0" w:color="auto"/>
            <w:left w:val="none" w:sz="0" w:space="0" w:color="auto"/>
            <w:bottom w:val="none" w:sz="0" w:space="0" w:color="auto"/>
            <w:right w:val="none" w:sz="0" w:space="0" w:color="auto"/>
          </w:divBdr>
        </w:div>
      </w:divsChild>
    </w:div>
    <w:div w:id="1255552500">
      <w:bodyDiv w:val="1"/>
      <w:marLeft w:val="0"/>
      <w:marRight w:val="0"/>
      <w:marTop w:val="0"/>
      <w:marBottom w:val="0"/>
      <w:divBdr>
        <w:top w:val="none" w:sz="0" w:space="0" w:color="auto"/>
        <w:left w:val="none" w:sz="0" w:space="0" w:color="auto"/>
        <w:bottom w:val="none" w:sz="0" w:space="0" w:color="auto"/>
        <w:right w:val="none" w:sz="0" w:space="0" w:color="auto"/>
      </w:divBdr>
      <w:divsChild>
        <w:div w:id="1545368249">
          <w:blockQuote w:val="1"/>
          <w:marLeft w:val="360"/>
          <w:marRight w:val="360"/>
          <w:marTop w:val="60"/>
          <w:marBottom w:val="60"/>
          <w:divBdr>
            <w:top w:val="none" w:sz="0" w:space="0" w:color="auto"/>
            <w:left w:val="none" w:sz="0" w:space="0" w:color="auto"/>
            <w:bottom w:val="none" w:sz="0" w:space="0" w:color="auto"/>
            <w:right w:val="none" w:sz="0" w:space="0" w:color="auto"/>
          </w:divBdr>
          <w:divsChild>
            <w:div w:id="2104910123">
              <w:marLeft w:val="0"/>
              <w:marRight w:val="0"/>
              <w:marTop w:val="0"/>
              <w:marBottom w:val="0"/>
              <w:divBdr>
                <w:top w:val="none" w:sz="0" w:space="0" w:color="auto"/>
                <w:left w:val="none" w:sz="0" w:space="0" w:color="auto"/>
                <w:bottom w:val="none" w:sz="0" w:space="0" w:color="auto"/>
                <w:right w:val="none" w:sz="0" w:space="0" w:color="auto"/>
              </w:divBdr>
              <w:divsChild>
                <w:div w:id="948664865">
                  <w:marLeft w:val="0"/>
                  <w:marRight w:val="0"/>
                  <w:marTop w:val="0"/>
                  <w:marBottom w:val="0"/>
                  <w:divBdr>
                    <w:top w:val="none" w:sz="0" w:space="0" w:color="auto"/>
                    <w:left w:val="none" w:sz="0" w:space="0" w:color="auto"/>
                    <w:bottom w:val="none" w:sz="0" w:space="0" w:color="auto"/>
                    <w:right w:val="none" w:sz="0" w:space="0" w:color="auto"/>
                  </w:divBdr>
                  <w:divsChild>
                    <w:div w:id="61606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827667">
      <w:bodyDiv w:val="1"/>
      <w:marLeft w:val="0"/>
      <w:marRight w:val="0"/>
      <w:marTop w:val="0"/>
      <w:marBottom w:val="0"/>
      <w:divBdr>
        <w:top w:val="none" w:sz="0" w:space="0" w:color="auto"/>
        <w:left w:val="none" w:sz="0" w:space="0" w:color="auto"/>
        <w:bottom w:val="none" w:sz="0" w:space="0" w:color="auto"/>
        <w:right w:val="none" w:sz="0" w:space="0" w:color="auto"/>
      </w:divBdr>
      <w:divsChild>
        <w:div w:id="1650670635">
          <w:marLeft w:val="0"/>
          <w:marRight w:val="0"/>
          <w:marTop w:val="0"/>
          <w:marBottom w:val="240"/>
          <w:divBdr>
            <w:top w:val="none" w:sz="0" w:space="0" w:color="auto"/>
            <w:left w:val="none" w:sz="0" w:space="0" w:color="auto"/>
            <w:bottom w:val="none" w:sz="0" w:space="0" w:color="auto"/>
            <w:right w:val="none" w:sz="0" w:space="0" w:color="auto"/>
          </w:divBdr>
        </w:div>
      </w:divsChild>
    </w:div>
    <w:div w:id="1260984540">
      <w:bodyDiv w:val="1"/>
      <w:marLeft w:val="0"/>
      <w:marRight w:val="0"/>
      <w:marTop w:val="0"/>
      <w:marBottom w:val="0"/>
      <w:divBdr>
        <w:top w:val="none" w:sz="0" w:space="0" w:color="auto"/>
        <w:left w:val="none" w:sz="0" w:space="0" w:color="auto"/>
        <w:bottom w:val="none" w:sz="0" w:space="0" w:color="auto"/>
        <w:right w:val="none" w:sz="0" w:space="0" w:color="auto"/>
      </w:divBdr>
      <w:divsChild>
        <w:div w:id="141779156">
          <w:marLeft w:val="0"/>
          <w:marRight w:val="0"/>
          <w:marTop w:val="0"/>
          <w:marBottom w:val="240"/>
          <w:divBdr>
            <w:top w:val="none" w:sz="0" w:space="0" w:color="auto"/>
            <w:left w:val="none" w:sz="0" w:space="0" w:color="auto"/>
            <w:bottom w:val="none" w:sz="0" w:space="0" w:color="auto"/>
            <w:right w:val="none" w:sz="0" w:space="0" w:color="auto"/>
          </w:divBdr>
        </w:div>
      </w:divsChild>
    </w:div>
    <w:div w:id="1293249987">
      <w:bodyDiv w:val="1"/>
      <w:marLeft w:val="0"/>
      <w:marRight w:val="0"/>
      <w:marTop w:val="0"/>
      <w:marBottom w:val="0"/>
      <w:divBdr>
        <w:top w:val="none" w:sz="0" w:space="0" w:color="auto"/>
        <w:left w:val="none" w:sz="0" w:space="0" w:color="auto"/>
        <w:bottom w:val="none" w:sz="0" w:space="0" w:color="auto"/>
        <w:right w:val="none" w:sz="0" w:space="0" w:color="auto"/>
      </w:divBdr>
      <w:divsChild>
        <w:div w:id="1352685416">
          <w:marLeft w:val="0"/>
          <w:marRight w:val="0"/>
          <w:marTop w:val="0"/>
          <w:marBottom w:val="240"/>
          <w:divBdr>
            <w:top w:val="none" w:sz="0" w:space="0" w:color="auto"/>
            <w:left w:val="none" w:sz="0" w:space="0" w:color="auto"/>
            <w:bottom w:val="none" w:sz="0" w:space="0" w:color="auto"/>
            <w:right w:val="none" w:sz="0" w:space="0" w:color="auto"/>
          </w:divBdr>
        </w:div>
      </w:divsChild>
    </w:div>
    <w:div w:id="1296912424">
      <w:bodyDiv w:val="1"/>
      <w:marLeft w:val="0"/>
      <w:marRight w:val="0"/>
      <w:marTop w:val="0"/>
      <w:marBottom w:val="0"/>
      <w:divBdr>
        <w:top w:val="none" w:sz="0" w:space="0" w:color="auto"/>
        <w:left w:val="none" w:sz="0" w:space="0" w:color="auto"/>
        <w:bottom w:val="none" w:sz="0" w:space="0" w:color="auto"/>
        <w:right w:val="none" w:sz="0" w:space="0" w:color="auto"/>
      </w:divBdr>
      <w:divsChild>
        <w:div w:id="397363771">
          <w:marLeft w:val="0"/>
          <w:marRight w:val="0"/>
          <w:marTop w:val="0"/>
          <w:marBottom w:val="240"/>
          <w:divBdr>
            <w:top w:val="none" w:sz="0" w:space="0" w:color="auto"/>
            <w:left w:val="none" w:sz="0" w:space="0" w:color="auto"/>
            <w:bottom w:val="none" w:sz="0" w:space="0" w:color="auto"/>
            <w:right w:val="none" w:sz="0" w:space="0" w:color="auto"/>
          </w:divBdr>
        </w:div>
      </w:divsChild>
    </w:div>
    <w:div w:id="1310674774">
      <w:bodyDiv w:val="1"/>
      <w:marLeft w:val="0"/>
      <w:marRight w:val="0"/>
      <w:marTop w:val="0"/>
      <w:marBottom w:val="0"/>
      <w:divBdr>
        <w:top w:val="none" w:sz="0" w:space="0" w:color="auto"/>
        <w:left w:val="none" w:sz="0" w:space="0" w:color="auto"/>
        <w:bottom w:val="none" w:sz="0" w:space="0" w:color="auto"/>
        <w:right w:val="none" w:sz="0" w:space="0" w:color="auto"/>
      </w:divBdr>
      <w:divsChild>
        <w:div w:id="1934121372">
          <w:marLeft w:val="0"/>
          <w:marRight w:val="0"/>
          <w:marTop w:val="0"/>
          <w:marBottom w:val="240"/>
          <w:divBdr>
            <w:top w:val="none" w:sz="0" w:space="0" w:color="auto"/>
            <w:left w:val="none" w:sz="0" w:space="0" w:color="auto"/>
            <w:bottom w:val="none" w:sz="0" w:space="0" w:color="auto"/>
            <w:right w:val="none" w:sz="0" w:space="0" w:color="auto"/>
          </w:divBdr>
        </w:div>
      </w:divsChild>
    </w:div>
    <w:div w:id="1327593440">
      <w:bodyDiv w:val="1"/>
      <w:marLeft w:val="0"/>
      <w:marRight w:val="0"/>
      <w:marTop w:val="0"/>
      <w:marBottom w:val="0"/>
      <w:divBdr>
        <w:top w:val="none" w:sz="0" w:space="0" w:color="auto"/>
        <w:left w:val="none" w:sz="0" w:space="0" w:color="auto"/>
        <w:bottom w:val="none" w:sz="0" w:space="0" w:color="auto"/>
        <w:right w:val="none" w:sz="0" w:space="0" w:color="auto"/>
      </w:divBdr>
      <w:divsChild>
        <w:div w:id="1399477403">
          <w:marLeft w:val="0"/>
          <w:marRight w:val="0"/>
          <w:marTop w:val="0"/>
          <w:marBottom w:val="240"/>
          <w:divBdr>
            <w:top w:val="none" w:sz="0" w:space="0" w:color="auto"/>
            <w:left w:val="none" w:sz="0" w:space="0" w:color="auto"/>
            <w:bottom w:val="none" w:sz="0" w:space="0" w:color="auto"/>
            <w:right w:val="none" w:sz="0" w:space="0" w:color="auto"/>
          </w:divBdr>
        </w:div>
      </w:divsChild>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sChild>
        <w:div w:id="1608077073">
          <w:marLeft w:val="0"/>
          <w:marRight w:val="0"/>
          <w:marTop w:val="0"/>
          <w:marBottom w:val="240"/>
          <w:divBdr>
            <w:top w:val="none" w:sz="0" w:space="0" w:color="auto"/>
            <w:left w:val="none" w:sz="0" w:space="0" w:color="auto"/>
            <w:bottom w:val="none" w:sz="0" w:space="0" w:color="auto"/>
            <w:right w:val="none" w:sz="0" w:space="0" w:color="auto"/>
          </w:divBdr>
        </w:div>
      </w:divsChild>
    </w:div>
    <w:div w:id="1362709898">
      <w:bodyDiv w:val="1"/>
      <w:marLeft w:val="0"/>
      <w:marRight w:val="0"/>
      <w:marTop w:val="0"/>
      <w:marBottom w:val="0"/>
      <w:divBdr>
        <w:top w:val="none" w:sz="0" w:space="0" w:color="auto"/>
        <w:left w:val="none" w:sz="0" w:space="0" w:color="auto"/>
        <w:bottom w:val="none" w:sz="0" w:space="0" w:color="auto"/>
        <w:right w:val="none" w:sz="0" w:space="0" w:color="auto"/>
      </w:divBdr>
      <w:divsChild>
        <w:div w:id="1299337517">
          <w:marLeft w:val="0"/>
          <w:marRight w:val="0"/>
          <w:marTop w:val="0"/>
          <w:marBottom w:val="240"/>
          <w:divBdr>
            <w:top w:val="none" w:sz="0" w:space="0" w:color="auto"/>
            <w:left w:val="none" w:sz="0" w:space="0" w:color="auto"/>
            <w:bottom w:val="none" w:sz="0" w:space="0" w:color="auto"/>
            <w:right w:val="none" w:sz="0" w:space="0" w:color="auto"/>
          </w:divBdr>
        </w:div>
      </w:divsChild>
    </w:div>
    <w:div w:id="1380057407">
      <w:bodyDiv w:val="1"/>
      <w:marLeft w:val="0"/>
      <w:marRight w:val="0"/>
      <w:marTop w:val="0"/>
      <w:marBottom w:val="0"/>
      <w:divBdr>
        <w:top w:val="none" w:sz="0" w:space="0" w:color="auto"/>
        <w:left w:val="none" w:sz="0" w:space="0" w:color="auto"/>
        <w:bottom w:val="none" w:sz="0" w:space="0" w:color="auto"/>
        <w:right w:val="none" w:sz="0" w:space="0" w:color="auto"/>
      </w:divBdr>
      <w:divsChild>
        <w:div w:id="554778564">
          <w:marLeft w:val="0"/>
          <w:marRight w:val="0"/>
          <w:marTop w:val="0"/>
          <w:marBottom w:val="240"/>
          <w:divBdr>
            <w:top w:val="none" w:sz="0" w:space="0" w:color="auto"/>
            <w:left w:val="none" w:sz="0" w:space="0" w:color="auto"/>
            <w:bottom w:val="none" w:sz="0" w:space="0" w:color="auto"/>
            <w:right w:val="none" w:sz="0" w:space="0" w:color="auto"/>
          </w:divBdr>
        </w:div>
      </w:divsChild>
    </w:div>
    <w:div w:id="1386417079">
      <w:bodyDiv w:val="1"/>
      <w:marLeft w:val="0"/>
      <w:marRight w:val="0"/>
      <w:marTop w:val="0"/>
      <w:marBottom w:val="0"/>
      <w:divBdr>
        <w:top w:val="none" w:sz="0" w:space="0" w:color="auto"/>
        <w:left w:val="none" w:sz="0" w:space="0" w:color="auto"/>
        <w:bottom w:val="none" w:sz="0" w:space="0" w:color="auto"/>
        <w:right w:val="none" w:sz="0" w:space="0" w:color="auto"/>
      </w:divBdr>
      <w:divsChild>
        <w:div w:id="1709068847">
          <w:marLeft w:val="0"/>
          <w:marRight w:val="0"/>
          <w:marTop w:val="0"/>
          <w:marBottom w:val="240"/>
          <w:divBdr>
            <w:top w:val="none" w:sz="0" w:space="0" w:color="auto"/>
            <w:left w:val="none" w:sz="0" w:space="0" w:color="auto"/>
            <w:bottom w:val="none" w:sz="0" w:space="0" w:color="auto"/>
            <w:right w:val="none" w:sz="0" w:space="0" w:color="auto"/>
          </w:divBdr>
        </w:div>
        <w:div w:id="1820463899">
          <w:marLeft w:val="0"/>
          <w:marRight w:val="0"/>
          <w:marTop w:val="0"/>
          <w:marBottom w:val="240"/>
          <w:divBdr>
            <w:top w:val="none" w:sz="0" w:space="0" w:color="auto"/>
            <w:left w:val="none" w:sz="0" w:space="0" w:color="auto"/>
            <w:bottom w:val="none" w:sz="0" w:space="0" w:color="auto"/>
            <w:right w:val="none" w:sz="0" w:space="0" w:color="auto"/>
          </w:divBdr>
        </w:div>
        <w:div w:id="292256392">
          <w:marLeft w:val="0"/>
          <w:marRight w:val="0"/>
          <w:marTop w:val="0"/>
          <w:marBottom w:val="240"/>
          <w:divBdr>
            <w:top w:val="none" w:sz="0" w:space="0" w:color="auto"/>
            <w:left w:val="none" w:sz="0" w:space="0" w:color="auto"/>
            <w:bottom w:val="none" w:sz="0" w:space="0" w:color="auto"/>
            <w:right w:val="none" w:sz="0" w:space="0" w:color="auto"/>
          </w:divBdr>
        </w:div>
      </w:divsChild>
    </w:div>
    <w:div w:id="1402674738">
      <w:bodyDiv w:val="1"/>
      <w:marLeft w:val="0"/>
      <w:marRight w:val="0"/>
      <w:marTop w:val="0"/>
      <w:marBottom w:val="0"/>
      <w:divBdr>
        <w:top w:val="none" w:sz="0" w:space="0" w:color="auto"/>
        <w:left w:val="none" w:sz="0" w:space="0" w:color="auto"/>
        <w:bottom w:val="none" w:sz="0" w:space="0" w:color="auto"/>
        <w:right w:val="none" w:sz="0" w:space="0" w:color="auto"/>
      </w:divBdr>
      <w:divsChild>
        <w:div w:id="811603925">
          <w:marLeft w:val="0"/>
          <w:marRight w:val="0"/>
          <w:marTop w:val="0"/>
          <w:marBottom w:val="240"/>
          <w:divBdr>
            <w:top w:val="none" w:sz="0" w:space="0" w:color="auto"/>
            <w:left w:val="none" w:sz="0" w:space="0" w:color="auto"/>
            <w:bottom w:val="none" w:sz="0" w:space="0" w:color="auto"/>
            <w:right w:val="none" w:sz="0" w:space="0" w:color="auto"/>
          </w:divBdr>
        </w:div>
      </w:divsChild>
    </w:div>
    <w:div w:id="1404179507">
      <w:bodyDiv w:val="1"/>
      <w:marLeft w:val="0"/>
      <w:marRight w:val="0"/>
      <w:marTop w:val="0"/>
      <w:marBottom w:val="0"/>
      <w:divBdr>
        <w:top w:val="none" w:sz="0" w:space="0" w:color="auto"/>
        <w:left w:val="none" w:sz="0" w:space="0" w:color="auto"/>
        <w:bottom w:val="none" w:sz="0" w:space="0" w:color="auto"/>
        <w:right w:val="none" w:sz="0" w:space="0" w:color="auto"/>
      </w:divBdr>
      <w:divsChild>
        <w:div w:id="704872285">
          <w:marLeft w:val="0"/>
          <w:marRight w:val="0"/>
          <w:marTop w:val="0"/>
          <w:marBottom w:val="240"/>
          <w:divBdr>
            <w:top w:val="none" w:sz="0" w:space="0" w:color="auto"/>
            <w:left w:val="none" w:sz="0" w:space="0" w:color="auto"/>
            <w:bottom w:val="none" w:sz="0" w:space="0" w:color="auto"/>
            <w:right w:val="none" w:sz="0" w:space="0" w:color="auto"/>
          </w:divBdr>
        </w:div>
      </w:divsChild>
    </w:div>
    <w:div w:id="1418482586">
      <w:bodyDiv w:val="1"/>
      <w:marLeft w:val="0"/>
      <w:marRight w:val="0"/>
      <w:marTop w:val="0"/>
      <w:marBottom w:val="0"/>
      <w:divBdr>
        <w:top w:val="none" w:sz="0" w:space="0" w:color="auto"/>
        <w:left w:val="none" w:sz="0" w:space="0" w:color="auto"/>
        <w:bottom w:val="none" w:sz="0" w:space="0" w:color="auto"/>
        <w:right w:val="none" w:sz="0" w:space="0" w:color="auto"/>
      </w:divBdr>
      <w:divsChild>
        <w:div w:id="1421947559">
          <w:marLeft w:val="0"/>
          <w:marRight w:val="0"/>
          <w:marTop w:val="0"/>
          <w:marBottom w:val="240"/>
          <w:divBdr>
            <w:top w:val="none" w:sz="0" w:space="0" w:color="auto"/>
            <w:left w:val="none" w:sz="0" w:space="0" w:color="auto"/>
            <w:bottom w:val="none" w:sz="0" w:space="0" w:color="auto"/>
            <w:right w:val="none" w:sz="0" w:space="0" w:color="auto"/>
          </w:divBdr>
        </w:div>
      </w:divsChild>
    </w:div>
    <w:div w:id="1426809115">
      <w:bodyDiv w:val="1"/>
      <w:marLeft w:val="0"/>
      <w:marRight w:val="0"/>
      <w:marTop w:val="0"/>
      <w:marBottom w:val="0"/>
      <w:divBdr>
        <w:top w:val="none" w:sz="0" w:space="0" w:color="auto"/>
        <w:left w:val="none" w:sz="0" w:space="0" w:color="auto"/>
        <w:bottom w:val="none" w:sz="0" w:space="0" w:color="auto"/>
        <w:right w:val="none" w:sz="0" w:space="0" w:color="auto"/>
      </w:divBdr>
      <w:divsChild>
        <w:div w:id="982123022">
          <w:marLeft w:val="0"/>
          <w:marRight w:val="0"/>
          <w:marTop w:val="0"/>
          <w:marBottom w:val="240"/>
          <w:divBdr>
            <w:top w:val="none" w:sz="0" w:space="0" w:color="auto"/>
            <w:left w:val="none" w:sz="0" w:space="0" w:color="auto"/>
            <w:bottom w:val="none" w:sz="0" w:space="0" w:color="auto"/>
            <w:right w:val="none" w:sz="0" w:space="0" w:color="auto"/>
          </w:divBdr>
        </w:div>
        <w:div w:id="1852720488">
          <w:marLeft w:val="0"/>
          <w:marRight w:val="0"/>
          <w:marTop w:val="0"/>
          <w:marBottom w:val="240"/>
          <w:divBdr>
            <w:top w:val="none" w:sz="0" w:space="0" w:color="auto"/>
            <w:left w:val="none" w:sz="0" w:space="0" w:color="auto"/>
            <w:bottom w:val="none" w:sz="0" w:space="0" w:color="auto"/>
            <w:right w:val="none" w:sz="0" w:space="0" w:color="auto"/>
          </w:divBdr>
        </w:div>
      </w:divsChild>
    </w:div>
    <w:div w:id="1479424104">
      <w:bodyDiv w:val="1"/>
      <w:marLeft w:val="0"/>
      <w:marRight w:val="0"/>
      <w:marTop w:val="0"/>
      <w:marBottom w:val="0"/>
      <w:divBdr>
        <w:top w:val="none" w:sz="0" w:space="0" w:color="auto"/>
        <w:left w:val="none" w:sz="0" w:space="0" w:color="auto"/>
        <w:bottom w:val="none" w:sz="0" w:space="0" w:color="auto"/>
        <w:right w:val="none" w:sz="0" w:space="0" w:color="auto"/>
      </w:divBdr>
      <w:divsChild>
        <w:div w:id="535506959">
          <w:marLeft w:val="0"/>
          <w:marRight w:val="0"/>
          <w:marTop w:val="0"/>
          <w:marBottom w:val="240"/>
          <w:divBdr>
            <w:top w:val="none" w:sz="0" w:space="0" w:color="auto"/>
            <w:left w:val="none" w:sz="0" w:space="0" w:color="auto"/>
            <w:bottom w:val="none" w:sz="0" w:space="0" w:color="auto"/>
            <w:right w:val="none" w:sz="0" w:space="0" w:color="auto"/>
          </w:divBdr>
        </w:div>
      </w:divsChild>
    </w:div>
    <w:div w:id="1498115543">
      <w:bodyDiv w:val="1"/>
      <w:marLeft w:val="0"/>
      <w:marRight w:val="0"/>
      <w:marTop w:val="0"/>
      <w:marBottom w:val="0"/>
      <w:divBdr>
        <w:top w:val="none" w:sz="0" w:space="0" w:color="auto"/>
        <w:left w:val="none" w:sz="0" w:space="0" w:color="auto"/>
        <w:bottom w:val="none" w:sz="0" w:space="0" w:color="auto"/>
        <w:right w:val="none" w:sz="0" w:space="0" w:color="auto"/>
      </w:divBdr>
      <w:divsChild>
        <w:div w:id="1133016625">
          <w:marLeft w:val="0"/>
          <w:marRight w:val="0"/>
          <w:marTop w:val="0"/>
          <w:marBottom w:val="240"/>
          <w:divBdr>
            <w:top w:val="none" w:sz="0" w:space="0" w:color="auto"/>
            <w:left w:val="none" w:sz="0" w:space="0" w:color="auto"/>
            <w:bottom w:val="none" w:sz="0" w:space="0" w:color="auto"/>
            <w:right w:val="none" w:sz="0" w:space="0" w:color="auto"/>
          </w:divBdr>
        </w:div>
      </w:divsChild>
    </w:div>
    <w:div w:id="1521696295">
      <w:bodyDiv w:val="1"/>
      <w:marLeft w:val="0"/>
      <w:marRight w:val="0"/>
      <w:marTop w:val="0"/>
      <w:marBottom w:val="0"/>
      <w:divBdr>
        <w:top w:val="none" w:sz="0" w:space="0" w:color="auto"/>
        <w:left w:val="none" w:sz="0" w:space="0" w:color="auto"/>
        <w:bottom w:val="none" w:sz="0" w:space="0" w:color="auto"/>
        <w:right w:val="none" w:sz="0" w:space="0" w:color="auto"/>
      </w:divBdr>
      <w:divsChild>
        <w:div w:id="1649702052">
          <w:marLeft w:val="0"/>
          <w:marRight w:val="0"/>
          <w:marTop w:val="0"/>
          <w:marBottom w:val="240"/>
          <w:divBdr>
            <w:top w:val="none" w:sz="0" w:space="0" w:color="auto"/>
            <w:left w:val="none" w:sz="0" w:space="0" w:color="auto"/>
            <w:bottom w:val="none" w:sz="0" w:space="0" w:color="auto"/>
            <w:right w:val="none" w:sz="0" w:space="0" w:color="auto"/>
          </w:divBdr>
        </w:div>
      </w:divsChild>
    </w:div>
    <w:div w:id="1526598311">
      <w:bodyDiv w:val="1"/>
      <w:marLeft w:val="0"/>
      <w:marRight w:val="0"/>
      <w:marTop w:val="0"/>
      <w:marBottom w:val="0"/>
      <w:divBdr>
        <w:top w:val="none" w:sz="0" w:space="0" w:color="auto"/>
        <w:left w:val="none" w:sz="0" w:space="0" w:color="auto"/>
        <w:bottom w:val="none" w:sz="0" w:space="0" w:color="auto"/>
        <w:right w:val="none" w:sz="0" w:space="0" w:color="auto"/>
      </w:divBdr>
      <w:divsChild>
        <w:div w:id="1522234108">
          <w:marLeft w:val="0"/>
          <w:marRight w:val="0"/>
          <w:marTop w:val="0"/>
          <w:marBottom w:val="240"/>
          <w:divBdr>
            <w:top w:val="none" w:sz="0" w:space="0" w:color="auto"/>
            <w:left w:val="none" w:sz="0" w:space="0" w:color="auto"/>
            <w:bottom w:val="none" w:sz="0" w:space="0" w:color="auto"/>
            <w:right w:val="none" w:sz="0" w:space="0" w:color="auto"/>
          </w:divBdr>
        </w:div>
      </w:divsChild>
    </w:div>
    <w:div w:id="1553812289">
      <w:bodyDiv w:val="1"/>
      <w:marLeft w:val="0"/>
      <w:marRight w:val="0"/>
      <w:marTop w:val="0"/>
      <w:marBottom w:val="0"/>
      <w:divBdr>
        <w:top w:val="none" w:sz="0" w:space="0" w:color="auto"/>
        <w:left w:val="none" w:sz="0" w:space="0" w:color="auto"/>
        <w:bottom w:val="none" w:sz="0" w:space="0" w:color="auto"/>
        <w:right w:val="none" w:sz="0" w:space="0" w:color="auto"/>
      </w:divBdr>
      <w:divsChild>
        <w:div w:id="1957519113">
          <w:marLeft w:val="0"/>
          <w:marRight w:val="0"/>
          <w:marTop w:val="0"/>
          <w:marBottom w:val="240"/>
          <w:divBdr>
            <w:top w:val="none" w:sz="0" w:space="0" w:color="auto"/>
            <w:left w:val="none" w:sz="0" w:space="0" w:color="auto"/>
            <w:bottom w:val="none" w:sz="0" w:space="0" w:color="auto"/>
            <w:right w:val="none" w:sz="0" w:space="0" w:color="auto"/>
          </w:divBdr>
        </w:div>
        <w:div w:id="131338511">
          <w:marLeft w:val="0"/>
          <w:marRight w:val="0"/>
          <w:marTop w:val="0"/>
          <w:marBottom w:val="240"/>
          <w:divBdr>
            <w:top w:val="none" w:sz="0" w:space="0" w:color="auto"/>
            <w:left w:val="none" w:sz="0" w:space="0" w:color="auto"/>
            <w:bottom w:val="none" w:sz="0" w:space="0" w:color="auto"/>
            <w:right w:val="none" w:sz="0" w:space="0" w:color="auto"/>
          </w:divBdr>
        </w:div>
        <w:div w:id="188490483">
          <w:marLeft w:val="0"/>
          <w:marRight w:val="0"/>
          <w:marTop w:val="0"/>
          <w:marBottom w:val="240"/>
          <w:divBdr>
            <w:top w:val="none" w:sz="0" w:space="0" w:color="auto"/>
            <w:left w:val="none" w:sz="0" w:space="0" w:color="auto"/>
            <w:bottom w:val="none" w:sz="0" w:space="0" w:color="auto"/>
            <w:right w:val="none" w:sz="0" w:space="0" w:color="auto"/>
          </w:divBdr>
        </w:div>
        <w:div w:id="1639140295">
          <w:marLeft w:val="0"/>
          <w:marRight w:val="0"/>
          <w:marTop w:val="0"/>
          <w:marBottom w:val="240"/>
          <w:divBdr>
            <w:top w:val="none" w:sz="0" w:space="0" w:color="auto"/>
            <w:left w:val="none" w:sz="0" w:space="0" w:color="auto"/>
            <w:bottom w:val="none" w:sz="0" w:space="0" w:color="auto"/>
            <w:right w:val="none" w:sz="0" w:space="0" w:color="auto"/>
          </w:divBdr>
        </w:div>
        <w:div w:id="880677695">
          <w:marLeft w:val="0"/>
          <w:marRight w:val="0"/>
          <w:marTop w:val="0"/>
          <w:marBottom w:val="240"/>
          <w:divBdr>
            <w:top w:val="none" w:sz="0" w:space="0" w:color="auto"/>
            <w:left w:val="none" w:sz="0" w:space="0" w:color="auto"/>
            <w:bottom w:val="none" w:sz="0" w:space="0" w:color="auto"/>
            <w:right w:val="none" w:sz="0" w:space="0" w:color="auto"/>
          </w:divBdr>
        </w:div>
      </w:divsChild>
    </w:div>
    <w:div w:id="1577015404">
      <w:bodyDiv w:val="1"/>
      <w:marLeft w:val="0"/>
      <w:marRight w:val="0"/>
      <w:marTop w:val="0"/>
      <w:marBottom w:val="0"/>
      <w:divBdr>
        <w:top w:val="none" w:sz="0" w:space="0" w:color="auto"/>
        <w:left w:val="none" w:sz="0" w:space="0" w:color="auto"/>
        <w:bottom w:val="none" w:sz="0" w:space="0" w:color="auto"/>
        <w:right w:val="none" w:sz="0" w:space="0" w:color="auto"/>
      </w:divBdr>
      <w:divsChild>
        <w:div w:id="1077676502">
          <w:marLeft w:val="0"/>
          <w:marRight w:val="0"/>
          <w:marTop w:val="0"/>
          <w:marBottom w:val="240"/>
          <w:divBdr>
            <w:top w:val="none" w:sz="0" w:space="0" w:color="auto"/>
            <w:left w:val="none" w:sz="0" w:space="0" w:color="auto"/>
            <w:bottom w:val="none" w:sz="0" w:space="0" w:color="auto"/>
            <w:right w:val="none" w:sz="0" w:space="0" w:color="auto"/>
          </w:divBdr>
        </w:div>
        <w:div w:id="1622876059">
          <w:marLeft w:val="0"/>
          <w:marRight w:val="0"/>
          <w:marTop w:val="0"/>
          <w:marBottom w:val="240"/>
          <w:divBdr>
            <w:top w:val="none" w:sz="0" w:space="0" w:color="auto"/>
            <w:left w:val="none" w:sz="0" w:space="0" w:color="auto"/>
            <w:bottom w:val="none" w:sz="0" w:space="0" w:color="auto"/>
            <w:right w:val="none" w:sz="0" w:space="0" w:color="auto"/>
          </w:divBdr>
        </w:div>
        <w:div w:id="172309551">
          <w:marLeft w:val="0"/>
          <w:marRight w:val="0"/>
          <w:marTop w:val="0"/>
          <w:marBottom w:val="240"/>
          <w:divBdr>
            <w:top w:val="none" w:sz="0" w:space="0" w:color="auto"/>
            <w:left w:val="none" w:sz="0" w:space="0" w:color="auto"/>
            <w:bottom w:val="none" w:sz="0" w:space="0" w:color="auto"/>
            <w:right w:val="none" w:sz="0" w:space="0" w:color="auto"/>
          </w:divBdr>
        </w:div>
      </w:divsChild>
    </w:div>
    <w:div w:id="1589999540">
      <w:bodyDiv w:val="1"/>
      <w:marLeft w:val="0"/>
      <w:marRight w:val="0"/>
      <w:marTop w:val="0"/>
      <w:marBottom w:val="0"/>
      <w:divBdr>
        <w:top w:val="none" w:sz="0" w:space="0" w:color="auto"/>
        <w:left w:val="none" w:sz="0" w:space="0" w:color="auto"/>
        <w:bottom w:val="none" w:sz="0" w:space="0" w:color="auto"/>
        <w:right w:val="none" w:sz="0" w:space="0" w:color="auto"/>
      </w:divBdr>
      <w:divsChild>
        <w:div w:id="566500713">
          <w:marLeft w:val="0"/>
          <w:marRight w:val="0"/>
          <w:marTop w:val="0"/>
          <w:marBottom w:val="240"/>
          <w:divBdr>
            <w:top w:val="none" w:sz="0" w:space="0" w:color="auto"/>
            <w:left w:val="none" w:sz="0" w:space="0" w:color="auto"/>
            <w:bottom w:val="none" w:sz="0" w:space="0" w:color="auto"/>
            <w:right w:val="none" w:sz="0" w:space="0" w:color="auto"/>
          </w:divBdr>
        </w:div>
      </w:divsChild>
    </w:div>
    <w:div w:id="1602181912">
      <w:bodyDiv w:val="1"/>
      <w:marLeft w:val="0"/>
      <w:marRight w:val="0"/>
      <w:marTop w:val="0"/>
      <w:marBottom w:val="0"/>
      <w:divBdr>
        <w:top w:val="none" w:sz="0" w:space="0" w:color="auto"/>
        <w:left w:val="none" w:sz="0" w:space="0" w:color="auto"/>
        <w:bottom w:val="none" w:sz="0" w:space="0" w:color="auto"/>
        <w:right w:val="none" w:sz="0" w:space="0" w:color="auto"/>
      </w:divBdr>
      <w:divsChild>
        <w:div w:id="516776803">
          <w:marLeft w:val="0"/>
          <w:marRight w:val="0"/>
          <w:marTop w:val="0"/>
          <w:marBottom w:val="240"/>
          <w:divBdr>
            <w:top w:val="none" w:sz="0" w:space="0" w:color="auto"/>
            <w:left w:val="none" w:sz="0" w:space="0" w:color="auto"/>
            <w:bottom w:val="none" w:sz="0" w:space="0" w:color="auto"/>
            <w:right w:val="none" w:sz="0" w:space="0" w:color="auto"/>
          </w:divBdr>
        </w:div>
      </w:divsChild>
    </w:div>
    <w:div w:id="1606226065">
      <w:bodyDiv w:val="1"/>
      <w:marLeft w:val="0"/>
      <w:marRight w:val="0"/>
      <w:marTop w:val="0"/>
      <w:marBottom w:val="0"/>
      <w:divBdr>
        <w:top w:val="none" w:sz="0" w:space="0" w:color="auto"/>
        <w:left w:val="none" w:sz="0" w:space="0" w:color="auto"/>
        <w:bottom w:val="none" w:sz="0" w:space="0" w:color="auto"/>
        <w:right w:val="none" w:sz="0" w:space="0" w:color="auto"/>
      </w:divBdr>
    </w:div>
    <w:div w:id="1620141509">
      <w:bodyDiv w:val="1"/>
      <w:marLeft w:val="0"/>
      <w:marRight w:val="0"/>
      <w:marTop w:val="0"/>
      <w:marBottom w:val="0"/>
      <w:divBdr>
        <w:top w:val="none" w:sz="0" w:space="0" w:color="auto"/>
        <w:left w:val="none" w:sz="0" w:space="0" w:color="auto"/>
        <w:bottom w:val="none" w:sz="0" w:space="0" w:color="auto"/>
        <w:right w:val="none" w:sz="0" w:space="0" w:color="auto"/>
      </w:divBdr>
      <w:divsChild>
        <w:div w:id="1334576534">
          <w:marLeft w:val="0"/>
          <w:marRight w:val="0"/>
          <w:marTop w:val="0"/>
          <w:marBottom w:val="240"/>
          <w:divBdr>
            <w:top w:val="none" w:sz="0" w:space="0" w:color="auto"/>
            <w:left w:val="none" w:sz="0" w:space="0" w:color="auto"/>
            <w:bottom w:val="none" w:sz="0" w:space="0" w:color="auto"/>
            <w:right w:val="none" w:sz="0" w:space="0" w:color="auto"/>
          </w:divBdr>
        </w:div>
        <w:div w:id="1418089834">
          <w:marLeft w:val="0"/>
          <w:marRight w:val="0"/>
          <w:marTop w:val="0"/>
          <w:marBottom w:val="240"/>
          <w:divBdr>
            <w:top w:val="none" w:sz="0" w:space="0" w:color="auto"/>
            <w:left w:val="none" w:sz="0" w:space="0" w:color="auto"/>
            <w:bottom w:val="none" w:sz="0" w:space="0" w:color="auto"/>
            <w:right w:val="none" w:sz="0" w:space="0" w:color="auto"/>
          </w:divBdr>
        </w:div>
        <w:div w:id="1981378213">
          <w:marLeft w:val="0"/>
          <w:marRight w:val="0"/>
          <w:marTop w:val="0"/>
          <w:marBottom w:val="240"/>
          <w:divBdr>
            <w:top w:val="none" w:sz="0" w:space="0" w:color="auto"/>
            <w:left w:val="none" w:sz="0" w:space="0" w:color="auto"/>
            <w:bottom w:val="none" w:sz="0" w:space="0" w:color="auto"/>
            <w:right w:val="none" w:sz="0" w:space="0" w:color="auto"/>
          </w:divBdr>
        </w:div>
      </w:divsChild>
    </w:div>
    <w:div w:id="1627008300">
      <w:bodyDiv w:val="1"/>
      <w:marLeft w:val="0"/>
      <w:marRight w:val="0"/>
      <w:marTop w:val="0"/>
      <w:marBottom w:val="0"/>
      <w:divBdr>
        <w:top w:val="none" w:sz="0" w:space="0" w:color="auto"/>
        <w:left w:val="none" w:sz="0" w:space="0" w:color="auto"/>
        <w:bottom w:val="none" w:sz="0" w:space="0" w:color="auto"/>
        <w:right w:val="none" w:sz="0" w:space="0" w:color="auto"/>
      </w:divBdr>
      <w:divsChild>
        <w:div w:id="1467553012">
          <w:marLeft w:val="0"/>
          <w:marRight w:val="0"/>
          <w:marTop w:val="0"/>
          <w:marBottom w:val="240"/>
          <w:divBdr>
            <w:top w:val="none" w:sz="0" w:space="0" w:color="auto"/>
            <w:left w:val="none" w:sz="0" w:space="0" w:color="auto"/>
            <w:bottom w:val="none" w:sz="0" w:space="0" w:color="auto"/>
            <w:right w:val="none" w:sz="0" w:space="0" w:color="auto"/>
          </w:divBdr>
        </w:div>
      </w:divsChild>
    </w:div>
    <w:div w:id="1639677544">
      <w:bodyDiv w:val="1"/>
      <w:marLeft w:val="0"/>
      <w:marRight w:val="0"/>
      <w:marTop w:val="0"/>
      <w:marBottom w:val="0"/>
      <w:divBdr>
        <w:top w:val="none" w:sz="0" w:space="0" w:color="auto"/>
        <w:left w:val="none" w:sz="0" w:space="0" w:color="auto"/>
        <w:bottom w:val="none" w:sz="0" w:space="0" w:color="auto"/>
        <w:right w:val="none" w:sz="0" w:space="0" w:color="auto"/>
      </w:divBdr>
      <w:divsChild>
        <w:div w:id="2138984159">
          <w:marLeft w:val="0"/>
          <w:marRight w:val="0"/>
          <w:marTop w:val="0"/>
          <w:marBottom w:val="240"/>
          <w:divBdr>
            <w:top w:val="none" w:sz="0" w:space="0" w:color="auto"/>
            <w:left w:val="none" w:sz="0" w:space="0" w:color="auto"/>
            <w:bottom w:val="none" w:sz="0" w:space="0" w:color="auto"/>
            <w:right w:val="none" w:sz="0" w:space="0" w:color="auto"/>
          </w:divBdr>
        </w:div>
      </w:divsChild>
    </w:div>
    <w:div w:id="1701587426">
      <w:bodyDiv w:val="1"/>
      <w:marLeft w:val="0"/>
      <w:marRight w:val="0"/>
      <w:marTop w:val="0"/>
      <w:marBottom w:val="0"/>
      <w:divBdr>
        <w:top w:val="none" w:sz="0" w:space="0" w:color="auto"/>
        <w:left w:val="none" w:sz="0" w:space="0" w:color="auto"/>
        <w:bottom w:val="none" w:sz="0" w:space="0" w:color="auto"/>
        <w:right w:val="none" w:sz="0" w:space="0" w:color="auto"/>
      </w:divBdr>
      <w:divsChild>
        <w:div w:id="837158026">
          <w:marLeft w:val="0"/>
          <w:marRight w:val="0"/>
          <w:marTop w:val="0"/>
          <w:marBottom w:val="240"/>
          <w:divBdr>
            <w:top w:val="none" w:sz="0" w:space="0" w:color="auto"/>
            <w:left w:val="none" w:sz="0" w:space="0" w:color="auto"/>
            <w:bottom w:val="none" w:sz="0" w:space="0" w:color="auto"/>
            <w:right w:val="none" w:sz="0" w:space="0" w:color="auto"/>
          </w:divBdr>
        </w:div>
        <w:div w:id="949631032">
          <w:marLeft w:val="0"/>
          <w:marRight w:val="0"/>
          <w:marTop w:val="0"/>
          <w:marBottom w:val="240"/>
          <w:divBdr>
            <w:top w:val="none" w:sz="0" w:space="0" w:color="auto"/>
            <w:left w:val="none" w:sz="0" w:space="0" w:color="auto"/>
            <w:bottom w:val="none" w:sz="0" w:space="0" w:color="auto"/>
            <w:right w:val="none" w:sz="0" w:space="0" w:color="auto"/>
          </w:divBdr>
        </w:div>
      </w:divsChild>
    </w:div>
    <w:div w:id="1702196670">
      <w:bodyDiv w:val="1"/>
      <w:marLeft w:val="0"/>
      <w:marRight w:val="0"/>
      <w:marTop w:val="0"/>
      <w:marBottom w:val="0"/>
      <w:divBdr>
        <w:top w:val="none" w:sz="0" w:space="0" w:color="auto"/>
        <w:left w:val="none" w:sz="0" w:space="0" w:color="auto"/>
        <w:bottom w:val="none" w:sz="0" w:space="0" w:color="auto"/>
        <w:right w:val="none" w:sz="0" w:space="0" w:color="auto"/>
      </w:divBdr>
      <w:divsChild>
        <w:div w:id="1777095111">
          <w:marLeft w:val="0"/>
          <w:marRight w:val="0"/>
          <w:marTop w:val="0"/>
          <w:marBottom w:val="240"/>
          <w:divBdr>
            <w:top w:val="none" w:sz="0" w:space="0" w:color="auto"/>
            <w:left w:val="none" w:sz="0" w:space="0" w:color="auto"/>
            <w:bottom w:val="none" w:sz="0" w:space="0" w:color="auto"/>
            <w:right w:val="none" w:sz="0" w:space="0" w:color="auto"/>
          </w:divBdr>
        </w:div>
      </w:divsChild>
    </w:div>
    <w:div w:id="1721173077">
      <w:bodyDiv w:val="1"/>
      <w:marLeft w:val="0"/>
      <w:marRight w:val="0"/>
      <w:marTop w:val="0"/>
      <w:marBottom w:val="0"/>
      <w:divBdr>
        <w:top w:val="none" w:sz="0" w:space="0" w:color="auto"/>
        <w:left w:val="none" w:sz="0" w:space="0" w:color="auto"/>
        <w:bottom w:val="none" w:sz="0" w:space="0" w:color="auto"/>
        <w:right w:val="none" w:sz="0" w:space="0" w:color="auto"/>
      </w:divBdr>
      <w:divsChild>
        <w:div w:id="1114979405">
          <w:marLeft w:val="0"/>
          <w:marRight w:val="0"/>
          <w:marTop w:val="0"/>
          <w:marBottom w:val="240"/>
          <w:divBdr>
            <w:top w:val="none" w:sz="0" w:space="0" w:color="auto"/>
            <w:left w:val="none" w:sz="0" w:space="0" w:color="auto"/>
            <w:bottom w:val="none" w:sz="0" w:space="0" w:color="auto"/>
            <w:right w:val="none" w:sz="0" w:space="0" w:color="auto"/>
          </w:divBdr>
        </w:div>
      </w:divsChild>
    </w:div>
    <w:div w:id="1727991569">
      <w:bodyDiv w:val="1"/>
      <w:marLeft w:val="0"/>
      <w:marRight w:val="0"/>
      <w:marTop w:val="0"/>
      <w:marBottom w:val="0"/>
      <w:divBdr>
        <w:top w:val="none" w:sz="0" w:space="0" w:color="auto"/>
        <w:left w:val="none" w:sz="0" w:space="0" w:color="auto"/>
        <w:bottom w:val="none" w:sz="0" w:space="0" w:color="auto"/>
        <w:right w:val="none" w:sz="0" w:space="0" w:color="auto"/>
      </w:divBdr>
      <w:divsChild>
        <w:div w:id="1509783179">
          <w:marLeft w:val="0"/>
          <w:marRight w:val="0"/>
          <w:marTop w:val="0"/>
          <w:marBottom w:val="240"/>
          <w:divBdr>
            <w:top w:val="none" w:sz="0" w:space="0" w:color="auto"/>
            <w:left w:val="none" w:sz="0" w:space="0" w:color="auto"/>
            <w:bottom w:val="none" w:sz="0" w:space="0" w:color="auto"/>
            <w:right w:val="none" w:sz="0" w:space="0" w:color="auto"/>
          </w:divBdr>
        </w:div>
      </w:divsChild>
    </w:div>
    <w:div w:id="1756779185">
      <w:bodyDiv w:val="1"/>
      <w:marLeft w:val="0"/>
      <w:marRight w:val="0"/>
      <w:marTop w:val="0"/>
      <w:marBottom w:val="0"/>
      <w:divBdr>
        <w:top w:val="none" w:sz="0" w:space="0" w:color="auto"/>
        <w:left w:val="none" w:sz="0" w:space="0" w:color="auto"/>
        <w:bottom w:val="none" w:sz="0" w:space="0" w:color="auto"/>
        <w:right w:val="none" w:sz="0" w:space="0" w:color="auto"/>
      </w:divBdr>
      <w:divsChild>
        <w:div w:id="1851674809">
          <w:marLeft w:val="0"/>
          <w:marRight w:val="0"/>
          <w:marTop w:val="0"/>
          <w:marBottom w:val="240"/>
          <w:divBdr>
            <w:top w:val="none" w:sz="0" w:space="0" w:color="auto"/>
            <w:left w:val="none" w:sz="0" w:space="0" w:color="auto"/>
            <w:bottom w:val="none" w:sz="0" w:space="0" w:color="auto"/>
            <w:right w:val="none" w:sz="0" w:space="0" w:color="auto"/>
          </w:divBdr>
        </w:div>
      </w:divsChild>
    </w:div>
    <w:div w:id="1780443127">
      <w:bodyDiv w:val="1"/>
      <w:marLeft w:val="0"/>
      <w:marRight w:val="0"/>
      <w:marTop w:val="0"/>
      <w:marBottom w:val="0"/>
      <w:divBdr>
        <w:top w:val="none" w:sz="0" w:space="0" w:color="auto"/>
        <w:left w:val="none" w:sz="0" w:space="0" w:color="auto"/>
        <w:bottom w:val="none" w:sz="0" w:space="0" w:color="auto"/>
        <w:right w:val="none" w:sz="0" w:space="0" w:color="auto"/>
      </w:divBdr>
      <w:divsChild>
        <w:div w:id="802818829">
          <w:marLeft w:val="0"/>
          <w:marRight w:val="0"/>
          <w:marTop w:val="0"/>
          <w:marBottom w:val="240"/>
          <w:divBdr>
            <w:top w:val="none" w:sz="0" w:space="0" w:color="auto"/>
            <w:left w:val="none" w:sz="0" w:space="0" w:color="auto"/>
            <w:bottom w:val="none" w:sz="0" w:space="0" w:color="auto"/>
            <w:right w:val="none" w:sz="0" w:space="0" w:color="auto"/>
          </w:divBdr>
        </w:div>
      </w:divsChild>
    </w:div>
    <w:div w:id="1781955049">
      <w:bodyDiv w:val="1"/>
      <w:marLeft w:val="0"/>
      <w:marRight w:val="0"/>
      <w:marTop w:val="0"/>
      <w:marBottom w:val="0"/>
      <w:divBdr>
        <w:top w:val="none" w:sz="0" w:space="0" w:color="auto"/>
        <w:left w:val="none" w:sz="0" w:space="0" w:color="auto"/>
        <w:bottom w:val="none" w:sz="0" w:space="0" w:color="auto"/>
        <w:right w:val="none" w:sz="0" w:space="0" w:color="auto"/>
      </w:divBdr>
      <w:divsChild>
        <w:div w:id="824246662">
          <w:marLeft w:val="0"/>
          <w:marRight w:val="0"/>
          <w:marTop w:val="0"/>
          <w:marBottom w:val="240"/>
          <w:divBdr>
            <w:top w:val="none" w:sz="0" w:space="0" w:color="auto"/>
            <w:left w:val="none" w:sz="0" w:space="0" w:color="auto"/>
            <w:bottom w:val="none" w:sz="0" w:space="0" w:color="auto"/>
            <w:right w:val="none" w:sz="0" w:space="0" w:color="auto"/>
          </w:divBdr>
        </w:div>
      </w:divsChild>
    </w:div>
    <w:div w:id="1785154871">
      <w:bodyDiv w:val="1"/>
      <w:marLeft w:val="0"/>
      <w:marRight w:val="0"/>
      <w:marTop w:val="0"/>
      <w:marBottom w:val="0"/>
      <w:divBdr>
        <w:top w:val="none" w:sz="0" w:space="0" w:color="auto"/>
        <w:left w:val="none" w:sz="0" w:space="0" w:color="auto"/>
        <w:bottom w:val="none" w:sz="0" w:space="0" w:color="auto"/>
        <w:right w:val="none" w:sz="0" w:space="0" w:color="auto"/>
      </w:divBdr>
      <w:divsChild>
        <w:div w:id="282156545">
          <w:marLeft w:val="0"/>
          <w:marRight w:val="0"/>
          <w:marTop w:val="0"/>
          <w:marBottom w:val="240"/>
          <w:divBdr>
            <w:top w:val="none" w:sz="0" w:space="0" w:color="auto"/>
            <w:left w:val="none" w:sz="0" w:space="0" w:color="auto"/>
            <w:bottom w:val="none" w:sz="0" w:space="0" w:color="auto"/>
            <w:right w:val="none" w:sz="0" w:space="0" w:color="auto"/>
          </w:divBdr>
        </w:div>
      </w:divsChild>
    </w:div>
    <w:div w:id="1803182896">
      <w:bodyDiv w:val="1"/>
      <w:marLeft w:val="0"/>
      <w:marRight w:val="0"/>
      <w:marTop w:val="0"/>
      <w:marBottom w:val="0"/>
      <w:divBdr>
        <w:top w:val="none" w:sz="0" w:space="0" w:color="auto"/>
        <w:left w:val="none" w:sz="0" w:space="0" w:color="auto"/>
        <w:bottom w:val="none" w:sz="0" w:space="0" w:color="auto"/>
        <w:right w:val="none" w:sz="0" w:space="0" w:color="auto"/>
      </w:divBdr>
      <w:divsChild>
        <w:div w:id="1718777350">
          <w:marLeft w:val="0"/>
          <w:marRight w:val="0"/>
          <w:marTop w:val="0"/>
          <w:marBottom w:val="240"/>
          <w:divBdr>
            <w:top w:val="none" w:sz="0" w:space="0" w:color="auto"/>
            <w:left w:val="none" w:sz="0" w:space="0" w:color="auto"/>
            <w:bottom w:val="none" w:sz="0" w:space="0" w:color="auto"/>
            <w:right w:val="none" w:sz="0" w:space="0" w:color="auto"/>
          </w:divBdr>
        </w:div>
      </w:divsChild>
    </w:div>
    <w:div w:id="1808158112">
      <w:bodyDiv w:val="1"/>
      <w:marLeft w:val="0"/>
      <w:marRight w:val="0"/>
      <w:marTop w:val="0"/>
      <w:marBottom w:val="0"/>
      <w:divBdr>
        <w:top w:val="none" w:sz="0" w:space="0" w:color="auto"/>
        <w:left w:val="none" w:sz="0" w:space="0" w:color="auto"/>
        <w:bottom w:val="none" w:sz="0" w:space="0" w:color="auto"/>
        <w:right w:val="none" w:sz="0" w:space="0" w:color="auto"/>
      </w:divBdr>
      <w:divsChild>
        <w:div w:id="1877499206">
          <w:marLeft w:val="0"/>
          <w:marRight w:val="0"/>
          <w:marTop w:val="0"/>
          <w:marBottom w:val="240"/>
          <w:divBdr>
            <w:top w:val="none" w:sz="0" w:space="0" w:color="auto"/>
            <w:left w:val="none" w:sz="0" w:space="0" w:color="auto"/>
            <w:bottom w:val="none" w:sz="0" w:space="0" w:color="auto"/>
            <w:right w:val="none" w:sz="0" w:space="0" w:color="auto"/>
          </w:divBdr>
        </w:div>
      </w:divsChild>
    </w:div>
    <w:div w:id="1822110345">
      <w:bodyDiv w:val="1"/>
      <w:marLeft w:val="0"/>
      <w:marRight w:val="0"/>
      <w:marTop w:val="0"/>
      <w:marBottom w:val="0"/>
      <w:divBdr>
        <w:top w:val="none" w:sz="0" w:space="0" w:color="auto"/>
        <w:left w:val="none" w:sz="0" w:space="0" w:color="auto"/>
        <w:bottom w:val="none" w:sz="0" w:space="0" w:color="auto"/>
        <w:right w:val="none" w:sz="0" w:space="0" w:color="auto"/>
      </w:divBdr>
      <w:divsChild>
        <w:div w:id="1559705710">
          <w:marLeft w:val="0"/>
          <w:marRight w:val="0"/>
          <w:marTop w:val="0"/>
          <w:marBottom w:val="240"/>
          <w:divBdr>
            <w:top w:val="none" w:sz="0" w:space="0" w:color="auto"/>
            <w:left w:val="none" w:sz="0" w:space="0" w:color="auto"/>
            <w:bottom w:val="none" w:sz="0" w:space="0" w:color="auto"/>
            <w:right w:val="none" w:sz="0" w:space="0" w:color="auto"/>
          </w:divBdr>
        </w:div>
      </w:divsChild>
    </w:div>
    <w:div w:id="1840122462">
      <w:bodyDiv w:val="1"/>
      <w:marLeft w:val="0"/>
      <w:marRight w:val="0"/>
      <w:marTop w:val="0"/>
      <w:marBottom w:val="0"/>
      <w:divBdr>
        <w:top w:val="none" w:sz="0" w:space="0" w:color="auto"/>
        <w:left w:val="none" w:sz="0" w:space="0" w:color="auto"/>
        <w:bottom w:val="none" w:sz="0" w:space="0" w:color="auto"/>
        <w:right w:val="none" w:sz="0" w:space="0" w:color="auto"/>
      </w:divBdr>
      <w:divsChild>
        <w:div w:id="69278364">
          <w:marLeft w:val="0"/>
          <w:marRight w:val="0"/>
          <w:marTop w:val="0"/>
          <w:marBottom w:val="240"/>
          <w:divBdr>
            <w:top w:val="none" w:sz="0" w:space="0" w:color="auto"/>
            <w:left w:val="none" w:sz="0" w:space="0" w:color="auto"/>
            <w:bottom w:val="none" w:sz="0" w:space="0" w:color="auto"/>
            <w:right w:val="none" w:sz="0" w:space="0" w:color="auto"/>
          </w:divBdr>
        </w:div>
      </w:divsChild>
    </w:div>
    <w:div w:id="1843542695">
      <w:bodyDiv w:val="1"/>
      <w:marLeft w:val="0"/>
      <w:marRight w:val="0"/>
      <w:marTop w:val="0"/>
      <w:marBottom w:val="0"/>
      <w:divBdr>
        <w:top w:val="none" w:sz="0" w:space="0" w:color="auto"/>
        <w:left w:val="none" w:sz="0" w:space="0" w:color="auto"/>
        <w:bottom w:val="none" w:sz="0" w:space="0" w:color="auto"/>
        <w:right w:val="none" w:sz="0" w:space="0" w:color="auto"/>
      </w:divBdr>
      <w:divsChild>
        <w:div w:id="820736408">
          <w:marLeft w:val="0"/>
          <w:marRight w:val="0"/>
          <w:marTop w:val="0"/>
          <w:marBottom w:val="240"/>
          <w:divBdr>
            <w:top w:val="none" w:sz="0" w:space="0" w:color="auto"/>
            <w:left w:val="none" w:sz="0" w:space="0" w:color="auto"/>
            <w:bottom w:val="none" w:sz="0" w:space="0" w:color="auto"/>
            <w:right w:val="none" w:sz="0" w:space="0" w:color="auto"/>
          </w:divBdr>
        </w:div>
      </w:divsChild>
    </w:div>
    <w:div w:id="1847480824">
      <w:bodyDiv w:val="1"/>
      <w:marLeft w:val="0"/>
      <w:marRight w:val="0"/>
      <w:marTop w:val="0"/>
      <w:marBottom w:val="0"/>
      <w:divBdr>
        <w:top w:val="none" w:sz="0" w:space="0" w:color="auto"/>
        <w:left w:val="none" w:sz="0" w:space="0" w:color="auto"/>
        <w:bottom w:val="none" w:sz="0" w:space="0" w:color="auto"/>
        <w:right w:val="none" w:sz="0" w:space="0" w:color="auto"/>
      </w:divBdr>
      <w:divsChild>
        <w:div w:id="989020244">
          <w:marLeft w:val="0"/>
          <w:marRight w:val="0"/>
          <w:marTop w:val="0"/>
          <w:marBottom w:val="240"/>
          <w:divBdr>
            <w:top w:val="none" w:sz="0" w:space="0" w:color="auto"/>
            <w:left w:val="none" w:sz="0" w:space="0" w:color="auto"/>
            <w:bottom w:val="none" w:sz="0" w:space="0" w:color="auto"/>
            <w:right w:val="none" w:sz="0" w:space="0" w:color="auto"/>
          </w:divBdr>
        </w:div>
      </w:divsChild>
    </w:div>
    <w:div w:id="1861971451">
      <w:bodyDiv w:val="1"/>
      <w:marLeft w:val="0"/>
      <w:marRight w:val="0"/>
      <w:marTop w:val="0"/>
      <w:marBottom w:val="0"/>
      <w:divBdr>
        <w:top w:val="none" w:sz="0" w:space="0" w:color="auto"/>
        <w:left w:val="none" w:sz="0" w:space="0" w:color="auto"/>
        <w:bottom w:val="none" w:sz="0" w:space="0" w:color="auto"/>
        <w:right w:val="none" w:sz="0" w:space="0" w:color="auto"/>
      </w:divBdr>
      <w:divsChild>
        <w:div w:id="1270966732">
          <w:marLeft w:val="0"/>
          <w:marRight w:val="0"/>
          <w:marTop w:val="0"/>
          <w:marBottom w:val="240"/>
          <w:divBdr>
            <w:top w:val="none" w:sz="0" w:space="0" w:color="auto"/>
            <w:left w:val="none" w:sz="0" w:space="0" w:color="auto"/>
            <w:bottom w:val="none" w:sz="0" w:space="0" w:color="auto"/>
            <w:right w:val="none" w:sz="0" w:space="0" w:color="auto"/>
          </w:divBdr>
        </w:div>
      </w:divsChild>
    </w:div>
    <w:div w:id="1904173063">
      <w:bodyDiv w:val="1"/>
      <w:marLeft w:val="0"/>
      <w:marRight w:val="0"/>
      <w:marTop w:val="0"/>
      <w:marBottom w:val="0"/>
      <w:divBdr>
        <w:top w:val="none" w:sz="0" w:space="0" w:color="auto"/>
        <w:left w:val="none" w:sz="0" w:space="0" w:color="auto"/>
        <w:bottom w:val="none" w:sz="0" w:space="0" w:color="auto"/>
        <w:right w:val="none" w:sz="0" w:space="0" w:color="auto"/>
      </w:divBdr>
      <w:divsChild>
        <w:div w:id="769935338">
          <w:marLeft w:val="0"/>
          <w:marRight w:val="0"/>
          <w:marTop w:val="0"/>
          <w:marBottom w:val="240"/>
          <w:divBdr>
            <w:top w:val="none" w:sz="0" w:space="0" w:color="auto"/>
            <w:left w:val="none" w:sz="0" w:space="0" w:color="auto"/>
            <w:bottom w:val="none" w:sz="0" w:space="0" w:color="auto"/>
            <w:right w:val="none" w:sz="0" w:space="0" w:color="auto"/>
          </w:divBdr>
        </w:div>
      </w:divsChild>
    </w:div>
    <w:div w:id="1906408724">
      <w:bodyDiv w:val="1"/>
      <w:marLeft w:val="0"/>
      <w:marRight w:val="0"/>
      <w:marTop w:val="0"/>
      <w:marBottom w:val="0"/>
      <w:divBdr>
        <w:top w:val="none" w:sz="0" w:space="0" w:color="auto"/>
        <w:left w:val="none" w:sz="0" w:space="0" w:color="auto"/>
        <w:bottom w:val="none" w:sz="0" w:space="0" w:color="auto"/>
        <w:right w:val="none" w:sz="0" w:space="0" w:color="auto"/>
      </w:divBdr>
      <w:divsChild>
        <w:div w:id="1439761758">
          <w:marLeft w:val="0"/>
          <w:marRight w:val="0"/>
          <w:marTop w:val="0"/>
          <w:marBottom w:val="240"/>
          <w:divBdr>
            <w:top w:val="none" w:sz="0" w:space="0" w:color="auto"/>
            <w:left w:val="none" w:sz="0" w:space="0" w:color="auto"/>
            <w:bottom w:val="none" w:sz="0" w:space="0" w:color="auto"/>
            <w:right w:val="none" w:sz="0" w:space="0" w:color="auto"/>
          </w:divBdr>
        </w:div>
      </w:divsChild>
    </w:div>
    <w:div w:id="1931742007">
      <w:bodyDiv w:val="1"/>
      <w:marLeft w:val="0"/>
      <w:marRight w:val="0"/>
      <w:marTop w:val="0"/>
      <w:marBottom w:val="0"/>
      <w:divBdr>
        <w:top w:val="none" w:sz="0" w:space="0" w:color="auto"/>
        <w:left w:val="none" w:sz="0" w:space="0" w:color="auto"/>
        <w:bottom w:val="none" w:sz="0" w:space="0" w:color="auto"/>
        <w:right w:val="none" w:sz="0" w:space="0" w:color="auto"/>
      </w:divBdr>
      <w:divsChild>
        <w:div w:id="1886015393">
          <w:marLeft w:val="0"/>
          <w:marRight w:val="0"/>
          <w:marTop w:val="0"/>
          <w:marBottom w:val="240"/>
          <w:divBdr>
            <w:top w:val="none" w:sz="0" w:space="0" w:color="auto"/>
            <w:left w:val="none" w:sz="0" w:space="0" w:color="auto"/>
            <w:bottom w:val="none" w:sz="0" w:space="0" w:color="auto"/>
            <w:right w:val="none" w:sz="0" w:space="0" w:color="auto"/>
          </w:divBdr>
        </w:div>
      </w:divsChild>
    </w:div>
    <w:div w:id="1933975370">
      <w:bodyDiv w:val="1"/>
      <w:marLeft w:val="0"/>
      <w:marRight w:val="0"/>
      <w:marTop w:val="0"/>
      <w:marBottom w:val="0"/>
      <w:divBdr>
        <w:top w:val="none" w:sz="0" w:space="0" w:color="auto"/>
        <w:left w:val="none" w:sz="0" w:space="0" w:color="auto"/>
        <w:bottom w:val="none" w:sz="0" w:space="0" w:color="auto"/>
        <w:right w:val="none" w:sz="0" w:space="0" w:color="auto"/>
      </w:divBdr>
      <w:divsChild>
        <w:div w:id="583346358">
          <w:marLeft w:val="0"/>
          <w:marRight w:val="0"/>
          <w:marTop w:val="0"/>
          <w:marBottom w:val="240"/>
          <w:divBdr>
            <w:top w:val="none" w:sz="0" w:space="0" w:color="auto"/>
            <w:left w:val="none" w:sz="0" w:space="0" w:color="auto"/>
            <w:bottom w:val="none" w:sz="0" w:space="0" w:color="auto"/>
            <w:right w:val="none" w:sz="0" w:space="0" w:color="auto"/>
          </w:divBdr>
        </w:div>
      </w:divsChild>
    </w:div>
    <w:div w:id="1946226723">
      <w:bodyDiv w:val="1"/>
      <w:marLeft w:val="0"/>
      <w:marRight w:val="0"/>
      <w:marTop w:val="0"/>
      <w:marBottom w:val="0"/>
      <w:divBdr>
        <w:top w:val="none" w:sz="0" w:space="0" w:color="auto"/>
        <w:left w:val="none" w:sz="0" w:space="0" w:color="auto"/>
        <w:bottom w:val="none" w:sz="0" w:space="0" w:color="auto"/>
        <w:right w:val="none" w:sz="0" w:space="0" w:color="auto"/>
      </w:divBdr>
      <w:divsChild>
        <w:div w:id="956909883">
          <w:marLeft w:val="0"/>
          <w:marRight w:val="0"/>
          <w:marTop w:val="0"/>
          <w:marBottom w:val="240"/>
          <w:divBdr>
            <w:top w:val="none" w:sz="0" w:space="0" w:color="auto"/>
            <w:left w:val="none" w:sz="0" w:space="0" w:color="auto"/>
            <w:bottom w:val="none" w:sz="0" w:space="0" w:color="auto"/>
            <w:right w:val="none" w:sz="0" w:space="0" w:color="auto"/>
          </w:divBdr>
        </w:div>
      </w:divsChild>
    </w:div>
    <w:div w:id="2010323244">
      <w:bodyDiv w:val="1"/>
      <w:marLeft w:val="0"/>
      <w:marRight w:val="0"/>
      <w:marTop w:val="0"/>
      <w:marBottom w:val="0"/>
      <w:divBdr>
        <w:top w:val="none" w:sz="0" w:space="0" w:color="auto"/>
        <w:left w:val="none" w:sz="0" w:space="0" w:color="auto"/>
        <w:bottom w:val="none" w:sz="0" w:space="0" w:color="auto"/>
        <w:right w:val="none" w:sz="0" w:space="0" w:color="auto"/>
      </w:divBdr>
      <w:divsChild>
        <w:div w:id="519199139">
          <w:marLeft w:val="0"/>
          <w:marRight w:val="0"/>
          <w:marTop w:val="0"/>
          <w:marBottom w:val="240"/>
          <w:divBdr>
            <w:top w:val="none" w:sz="0" w:space="0" w:color="auto"/>
            <w:left w:val="none" w:sz="0" w:space="0" w:color="auto"/>
            <w:bottom w:val="none" w:sz="0" w:space="0" w:color="auto"/>
            <w:right w:val="none" w:sz="0" w:space="0" w:color="auto"/>
          </w:divBdr>
        </w:div>
      </w:divsChild>
    </w:div>
    <w:div w:id="2039742495">
      <w:bodyDiv w:val="1"/>
      <w:marLeft w:val="0"/>
      <w:marRight w:val="0"/>
      <w:marTop w:val="0"/>
      <w:marBottom w:val="0"/>
      <w:divBdr>
        <w:top w:val="none" w:sz="0" w:space="0" w:color="auto"/>
        <w:left w:val="none" w:sz="0" w:space="0" w:color="auto"/>
        <w:bottom w:val="none" w:sz="0" w:space="0" w:color="auto"/>
        <w:right w:val="none" w:sz="0" w:space="0" w:color="auto"/>
      </w:divBdr>
      <w:divsChild>
        <w:div w:id="602761763">
          <w:marLeft w:val="0"/>
          <w:marRight w:val="0"/>
          <w:marTop w:val="0"/>
          <w:marBottom w:val="240"/>
          <w:divBdr>
            <w:top w:val="none" w:sz="0" w:space="0" w:color="auto"/>
            <w:left w:val="none" w:sz="0" w:space="0" w:color="auto"/>
            <w:bottom w:val="none" w:sz="0" w:space="0" w:color="auto"/>
            <w:right w:val="none" w:sz="0" w:space="0" w:color="auto"/>
          </w:divBdr>
        </w:div>
      </w:divsChild>
    </w:div>
    <w:div w:id="2078505118">
      <w:bodyDiv w:val="1"/>
      <w:marLeft w:val="0"/>
      <w:marRight w:val="0"/>
      <w:marTop w:val="0"/>
      <w:marBottom w:val="0"/>
      <w:divBdr>
        <w:top w:val="none" w:sz="0" w:space="0" w:color="auto"/>
        <w:left w:val="none" w:sz="0" w:space="0" w:color="auto"/>
        <w:bottom w:val="none" w:sz="0" w:space="0" w:color="auto"/>
        <w:right w:val="none" w:sz="0" w:space="0" w:color="auto"/>
      </w:divBdr>
      <w:divsChild>
        <w:div w:id="1494182352">
          <w:marLeft w:val="0"/>
          <w:marRight w:val="0"/>
          <w:marTop w:val="0"/>
          <w:marBottom w:val="240"/>
          <w:divBdr>
            <w:top w:val="none" w:sz="0" w:space="0" w:color="auto"/>
            <w:left w:val="none" w:sz="0" w:space="0" w:color="auto"/>
            <w:bottom w:val="none" w:sz="0" w:space="0" w:color="auto"/>
            <w:right w:val="none" w:sz="0" w:space="0" w:color="auto"/>
          </w:divBdr>
        </w:div>
      </w:divsChild>
    </w:div>
    <w:div w:id="2093156963">
      <w:bodyDiv w:val="1"/>
      <w:marLeft w:val="0"/>
      <w:marRight w:val="0"/>
      <w:marTop w:val="0"/>
      <w:marBottom w:val="0"/>
      <w:divBdr>
        <w:top w:val="none" w:sz="0" w:space="0" w:color="auto"/>
        <w:left w:val="none" w:sz="0" w:space="0" w:color="auto"/>
        <w:bottom w:val="none" w:sz="0" w:space="0" w:color="auto"/>
        <w:right w:val="none" w:sz="0" w:space="0" w:color="auto"/>
      </w:divBdr>
      <w:divsChild>
        <w:div w:id="1077900543">
          <w:marLeft w:val="0"/>
          <w:marRight w:val="0"/>
          <w:marTop w:val="0"/>
          <w:marBottom w:val="240"/>
          <w:divBdr>
            <w:top w:val="none" w:sz="0" w:space="0" w:color="auto"/>
            <w:left w:val="none" w:sz="0" w:space="0" w:color="auto"/>
            <w:bottom w:val="none" w:sz="0" w:space="0" w:color="auto"/>
            <w:right w:val="none" w:sz="0" w:space="0" w:color="auto"/>
          </w:divBdr>
        </w:div>
      </w:divsChild>
    </w:div>
    <w:div w:id="2134977611">
      <w:bodyDiv w:val="1"/>
      <w:marLeft w:val="0"/>
      <w:marRight w:val="0"/>
      <w:marTop w:val="0"/>
      <w:marBottom w:val="0"/>
      <w:divBdr>
        <w:top w:val="none" w:sz="0" w:space="0" w:color="auto"/>
        <w:left w:val="none" w:sz="0" w:space="0" w:color="auto"/>
        <w:bottom w:val="none" w:sz="0" w:space="0" w:color="auto"/>
        <w:right w:val="none" w:sz="0" w:space="0" w:color="auto"/>
      </w:divBdr>
      <w:divsChild>
        <w:div w:id="1985429268">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BE7E5-8CC7-4243-9F14-04488B4D8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21</Pages>
  <Words>7926</Words>
  <Characters>42801</Characters>
  <Application>Microsoft Office Word</Application>
  <DocSecurity>0</DocSecurity>
  <Lines>356</Lines>
  <Paragraphs>101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André Gaspar Cieplinski</dc:creator>
  <cp:lastModifiedBy>ricardo summa</cp:lastModifiedBy>
  <cp:revision>4</cp:revision>
  <cp:lastPrinted>2014-10-17T17:26:00Z</cp:lastPrinted>
  <dcterms:created xsi:type="dcterms:W3CDTF">2015-07-20T01:39:00Z</dcterms:created>
  <dcterms:modified xsi:type="dcterms:W3CDTF">2015-07-20T11:53:00Z</dcterms:modified>
</cp:coreProperties>
</file>