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44D" w:rsidRDefault="00D5544D" w:rsidP="006567D3">
      <w:pPr>
        <w:spacing w:line="480" w:lineRule="auto"/>
        <w:jc w:val="center"/>
        <w:rPr>
          <w:b/>
        </w:rPr>
      </w:pPr>
      <w:r>
        <w:rPr>
          <w:b/>
        </w:rPr>
        <w:t xml:space="preserve">ESTRUTURA CONCORRENCIAL DA OFERTA DE EILD E O </w:t>
      </w:r>
    </w:p>
    <w:p w:rsidR="00D5544D" w:rsidRDefault="00D5544D" w:rsidP="006567D3">
      <w:pPr>
        <w:spacing w:line="480" w:lineRule="auto"/>
        <w:jc w:val="center"/>
        <w:rPr>
          <w:b/>
        </w:rPr>
      </w:pPr>
      <w:r>
        <w:rPr>
          <w:b/>
        </w:rPr>
        <w:t>FECHAMENTO VERTICAL DO MERCADO DE BANDA LARGA NO BRASIL</w:t>
      </w:r>
    </w:p>
    <w:p w:rsidR="006567D3" w:rsidRPr="00CF6DBC" w:rsidRDefault="006567D3" w:rsidP="006567D3">
      <w:pPr>
        <w:spacing w:line="480" w:lineRule="auto"/>
        <w:jc w:val="center"/>
      </w:pPr>
    </w:p>
    <w:p w:rsidR="006567D3" w:rsidRPr="005977F7" w:rsidRDefault="006567D3" w:rsidP="006567D3">
      <w:pPr>
        <w:jc w:val="center"/>
      </w:pPr>
      <w:r w:rsidRPr="005977F7">
        <w:t>Carlos M. Baigorri</w:t>
      </w:r>
    </w:p>
    <w:p w:rsidR="006567D3" w:rsidRPr="00D5544D" w:rsidRDefault="006567D3" w:rsidP="006567D3">
      <w:pPr>
        <w:jc w:val="center"/>
      </w:pPr>
      <w:r w:rsidRPr="00D5544D">
        <w:t>Catholic University of Brasília</w:t>
      </w:r>
    </w:p>
    <w:p w:rsidR="006567D3" w:rsidRPr="005977F7" w:rsidRDefault="006567D3" w:rsidP="006567D3">
      <w:pPr>
        <w:jc w:val="center"/>
        <w:rPr>
          <w:lang w:val="en-US"/>
        </w:rPr>
      </w:pPr>
      <w:r>
        <w:t xml:space="preserve">SGAN 916, Módulo B. Brasília DF. </w:t>
      </w:r>
      <w:r w:rsidRPr="005977F7">
        <w:rPr>
          <w:lang w:val="en-US"/>
        </w:rPr>
        <w:t>CEP 70790-160</w:t>
      </w:r>
    </w:p>
    <w:p w:rsidR="006567D3" w:rsidRPr="005977F7" w:rsidRDefault="006567D3" w:rsidP="006567D3">
      <w:pPr>
        <w:jc w:val="center"/>
        <w:rPr>
          <w:lang w:val="en-US"/>
        </w:rPr>
      </w:pPr>
      <w:r w:rsidRPr="005977F7">
        <w:rPr>
          <w:lang w:val="en-US"/>
        </w:rPr>
        <w:t>BRAZIL</w:t>
      </w:r>
    </w:p>
    <w:p w:rsidR="00D5544D" w:rsidRPr="005977F7" w:rsidRDefault="005977F7" w:rsidP="00D5544D">
      <w:pPr>
        <w:jc w:val="center"/>
        <w:rPr>
          <w:lang w:val="en-US"/>
        </w:rPr>
      </w:pPr>
      <w:hyperlink r:id="rId8" w:history="1">
        <w:r w:rsidR="00D5544D" w:rsidRPr="005977F7">
          <w:rPr>
            <w:rStyle w:val="Hyperlink"/>
            <w:lang w:val="en-US"/>
          </w:rPr>
          <w:t>Baigorri@anatel.gov.br</w:t>
        </w:r>
      </w:hyperlink>
      <w:r w:rsidR="00D5544D" w:rsidRPr="005977F7">
        <w:rPr>
          <w:lang w:val="en-US"/>
        </w:rPr>
        <w:t xml:space="preserve"> </w:t>
      </w:r>
    </w:p>
    <w:p w:rsidR="006567D3" w:rsidRPr="005977F7" w:rsidRDefault="006567D3" w:rsidP="006567D3">
      <w:pPr>
        <w:jc w:val="center"/>
        <w:rPr>
          <w:lang w:val="en-US"/>
        </w:rPr>
      </w:pPr>
    </w:p>
    <w:p w:rsidR="006567D3" w:rsidRDefault="00B771F7" w:rsidP="006567D3">
      <w:pPr>
        <w:jc w:val="center"/>
      </w:pPr>
      <w:r>
        <w:t>Wilfredo</w:t>
      </w:r>
      <w:r w:rsidR="006567D3" w:rsidRPr="00963D9B">
        <w:t xml:space="preserve"> L. Maldonado</w:t>
      </w:r>
      <w:r w:rsidR="00B8794F">
        <w:rPr>
          <w:rStyle w:val="Refdenotaderodap"/>
        </w:rPr>
        <w:footnoteReference w:customMarkFollows="1" w:id="1"/>
        <w:t>*</w:t>
      </w:r>
    </w:p>
    <w:p w:rsidR="006567D3" w:rsidRPr="005977F7" w:rsidRDefault="006567D3" w:rsidP="006567D3">
      <w:pPr>
        <w:jc w:val="center"/>
      </w:pPr>
      <w:r w:rsidRPr="005977F7">
        <w:t>Catholic University of Brasília</w:t>
      </w:r>
    </w:p>
    <w:p w:rsidR="006567D3" w:rsidRPr="00BD04C6" w:rsidRDefault="006567D3" w:rsidP="006567D3">
      <w:pPr>
        <w:jc w:val="center"/>
        <w:rPr>
          <w:lang w:val="en-US"/>
        </w:rPr>
      </w:pPr>
      <w:r w:rsidRPr="006567D3">
        <w:t xml:space="preserve">SGAN 916, Módulo B. Brasília DF. </w:t>
      </w:r>
      <w:r w:rsidRPr="00BD04C6">
        <w:rPr>
          <w:lang w:val="en-US"/>
        </w:rPr>
        <w:t>CEP 70790-160</w:t>
      </w:r>
    </w:p>
    <w:p w:rsidR="00D5544D" w:rsidRPr="00BD04C6" w:rsidRDefault="006567D3" w:rsidP="00D5544D">
      <w:pPr>
        <w:jc w:val="center"/>
        <w:rPr>
          <w:lang w:val="en-US"/>
        </w:rPr>
      </w:pPr>
      <w:r w:rsidRPr="00BD04C6">
        <w:rPr>
          <w:lang w:val="en-US"/>
        </w:rPr>
        <w:t>BRAZIL</w:t>
      </w:r>
    </w:p>
    <w:p w:rsidR="00D5544D" w:rsidRPr="00BD04C6" w:rsidRDefault="005977F7" w:rsidP="00D5544D">
      <w:pPr>
        <w:jc w:val="center"/>
        <w:rPr>
          <w:rStyle w:val="Hyperlink"/>
          <w:lang w:val="en-US"/>
        </w:rPr>
      </w:pPr>
      <w:hyperlink r:id="rId9" w:history="1">
        <w:r w:rsidR="00D5544D" w:rsidRPr="00BD04C6">
          <w:rPr>
            <w:rStyle w:val="Hyperlink"/>
            <w:lang w:val="en-US"/>
          </w:rPr>
          <w:t>wilfredo@pos.ucb.br</w:t>
        </w:r>
      </w:hyperlink>
    </w:p>
    <w:p w:rsidR="00BD04C6" w:rsidRDefault="00BD04C6" w:rsidP="00BD04C6">
      <w:pPr>
        <w:ind w:firstLine="708"/>
      </w:pPr>
      <w:r>
        <w:rPr>
          <w:noProof/>
        </w:rPr>
        <mc:AlternateContent>
          <mc:Choice Requires="wps">
            <w:drawing>
              <wp:anchor distT="45720" distB="45720" distL="114300" distR="114300" simplePos="0" relativeHeight="251659776" behindDoc="0" locked="0" layoutInCell="1" allowOverlap="1" wp14:anchorId="1BB4D30C" wp14:editId="031129D6">
                <wp:simplePos x="0" y="0"/>
                <wp:positionH relativeFrom="column">
                  <wp:posOffset>-6985</wp:posOffset>
                </wp:positionH>
                <wp:positionV relativeFrom="paragraph">
                  <wp:posOffset>165735</wp:posOffset>
                </wp:positionV>
                <wp:extent cx="6591300" cy="1666875"/>
                <wp:effectExtent l="0" t="0" r="0" b="952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666875"/>
                        </a:xfrm>
                        <a:prstGeom prst="rect">
                          <a:avLst/>
                        </a:prstGeom>
                        <a:solidFill>
                          <a:srgbClr val="FFFFFF"/>
                        </a:solidFill>
                        <a:ln w="9525">
                          <a:noFill/>
                          <a:miter lim="800000"/>
                          <a:headEnd/>
                          <a:tailEnd/>
                        </a:ln>
                      </wps:spPr>
                      <wps:txbx>
                        <w:txbxContent>
                          <w:p w:rsidR="005977F7" w:rsidRDefault="005977F7" w:rsidP="0071481C">
                            <w:pPr>
                              <w:jc w:val="center"/>
                              <w:rPr>
                                <w:b/>
                              </w:rPr>
                            </w:pPr>
                            <w:r>
                              <w:rPr>
                                <w:b/>
                              </w:rPr>
                              <w:t>Resumo</w:t>
                            </w:r>
                          </w:p>
                          <w:p w:rsidR="005977F7" w:rsidRPr="0071481C" w:rsidRDefault="005977F7" w:rsidP="0071481C">
                            <w:pPr>
                              <w:jc w:val="both"/>
                              <w:rPr>
                                <w:b/>
                              </w:rPr>
                            </w:pPr>
                            <w:r>
                              <w:t>O presente trabalho tem o objetivo de analisar a estrutura concorrencial do mercado de redes de transporte de telecomunicações, considerando a oferta de Exploração Industrial de Linhas Dedicadas (EILD). Para tal, são utilizadas informações municipais referentes à oferta de EILD e à demanda por serviços de banda larga em cada município. Após a avaliação da estrutura concorrencial é feita uma análise econométrica de dados referentes à demanda pelos serviços de banda larga em cada município de forma a avaliar a existência de evidências de fechamento vertical nesse mercado.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55pt;margin-top:13.05pt;width:519pt;height:131.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" stroked="f">
                <v:textbox>
                  <w:txbxContent>
                    <w:p w:rsidR="005977F7" w:rsidRDefault="005977F7" w:rsidP="0071481C">
                      <w:pPr>
                        <w:jc w:val="center"/>
                        <w:rPr>
                          <w:b/>
                        </w:rPr>
                      </w:pPr>
                      <w:r>
                        <w:rPr>
                          <w:b/>
                        </w:rPr>
                        <w:t>Resumo</w:t>
                      </w:r>
                    </w:p>
                    <w:p w:rsidR="005977F7" w:rsidRPr="0071481C" w:rsidRDefault="005977F7" w:rsidP="0071481C">
                      <w:pPr>
                        <w:jc w:val="both"/>
                        <w:rPr>
                          <w:b/>
                        </w:rPr>
                      </w:pPr>
                      <w:r>
                        <w:t>O presente trabalho tem o objetivo de analisar a estrutura concorrencial do mercado de redes de transporte de telecomunicações, considerando a oferta de Exploração Industrial de Linhas Dedicadas (EILD). Para tal, são utilizadas informações municipais referentes à oferta de EILD e à demanda por serviços de banda larga em cada município. Após a avaliação da estrutura concorrencial é feita uma análise econométrica de dados referentes à demanda pelos serviços de banda larga em cada município de forma a avaliar a existência de evidências de fechamento vertical nesse mercado.</w:t>
                      </w:r>
                    </w:p>
                  </w:txbxContent>
                </v:textbox>
                <w10:wrap type="square"/>
              </v:shape>
            </w:pict>
          </mc:Fallback>
        </mc:AlternateContent>
      </w:r>
      <w:r w:rsidRPr="00B771F7">
        <w:rPr>
          <w:i/>
        </w:rPr>
        <w:t>Palavras-chave</w:t>
      </w:r>
      <w:r w:rsidRPr="008E7FD7">
        <w:t>:</w:t>
      </w:r>
      <w:r>
        <w:rPr>
          <w:i/>
        </w:rPr>
        <w:t xml:space="preserve"> </w:t>
      </w:r>
      <w:r>
        <w:t>Banda larga, estrutura de mercado, fechamento vertical.</w:t>
      </w:r>
    </w:p>
    <w:p w:rsidR="00BD04C6" w:rsidRDefault="00BD04C6" w:rsidP="00BD04C6">
      <w:pPr>
        <w:ind w:firstLine="708"/>
        <w:jc w:val="both"/>
      </w:pPr>
      <w:r>
        <w:rPr>
          <w:i/>
        </w:rPr>
        <w:t xml:space="preserve">Classificação </w:t>
      </w:r>
      <w:r w:rsidRPr="00B771F7">
        <w:rPr>
          <w:i/>
        </w:rPr>
        <w:t>JEL</w:t>
      </w:r>
      <w:r>
        <w:t>: L13, L42, L86.</w:t>
      </w:r>
    </w:p>
    <w:p w:rsidR="0071481C" w:rsidRDefault="0071481C" w:rsidP="00D5544D">
      <w:pPr>
        <w:jc w:val="center"/>
        <w:rPr>
          <w:rStyle w:val="Hyperlink"/>
        </w:rPr>
      </w:pPr>
    </w:p>
    <w:p w:rsidR="0071481C" w:rsidRDefault="0071481C" w:rsidP="0071481C">
      <w:pPr>
        <w:jc w:val="both"/>
        <w:rPr>
          <w:i/>
        </w:rPr>
      </w:pPr>
    </w:p>
    <w:p w:rsidR="00272D0F" w:rsidRDefault="009B1D81" w:rsidP="0071481C">
      <w:pPr>
        <w:jc w:val="both"/>
      </w:pPr>
      <w:r>
        <w:rPr>
          <w:noProof/>
        </w:rPr>
        <mc:AlternateContent>
          <mc:Choice Requires="wps">
            <w:drawing>
              <wp:anchor distT="45720" distB="45720" distL="114300" distR="114300" simplePos="0" relativeHeight="251668992" behindDoc="0" locked="0" layoutInCell="1" allowOverlap="1" wp14:anchorId="109A48E9" wp14:editId="09EBBD48">
                <wp:simplePos x="0" y="0"/>
                <wp:positionH relativeFrom="column">
                  <wp:posOffset>-6985</wp:posOffset>
                </wp:positionH>
                <wp:positionV relativeFrom="paragraph">
                  <wp:posOffset>60960</wp:posOffset>
                </wp:positionV>
                <wp:extent cx="6534150" cy="140462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1404620"/>
                        </a:xfrm>
                        <a:prstGeom prst="rect">
                          <a:avLst/>
                        </a:prstGeom>
                        <a:solidFill>
                          <a:srgbClr val="FFFFFF"/>
                        </a:solidFill>
                        <a:ln w="9525">
                          <a:noFill/>
                          <a:miter lim="800000"/>
                          <a:headEnd/>
                          <a:tailEnd/>
                        </a:ln>
                      </wps:spPr>
                      <wps:txbx>
                        <w:txbxContent>
                          <w:p w:rsidR="005977F7" w:rsidRPr="0071481C" w:rsidRDefault="005977F7" w:rsidP="00D5544D">
                            <w:pPr>
                              <w:jc w:val="center"/>
                              <w:rPr>
                                <w:b/>
                                <w:lang w:val="en-US"/>
                              </w:rPr>
                            </w:pPr>
                            <w:r w:rsidRPr="0071481C">
                              <w:rPr>
                                <w:b/>
                                <w:lang w:val="en-US"/>
                              </w:rPr>
                              <w:t>Abstract</w:t>
                            </w:r>
                          </w:p>
                          <w:p w:rsidR="005977F7" w:rsidRPr="005977F7" w:rsidRDefault="005977F7" w:rsidP="0071481C">
                            <w:pPr>
                              <w:jc w:val="both"/>
                              <w:rPr>
                                <w:lang w:val="en-US"/>
                              </w:rPr>
                            </w:pPr>
                            <w:r w:rsidRPr="0071481C">
                              <w:rPr>
                                <w:lang w:val="en-US"/>
                              </w:rPr>
                              <w:t xml:space="preserve">This work aims to analyze the competitive structure of the market for telecommunications transport networks, considering the supply of Leased Lines (EILD). </w:t>
                            </w:r>
                            <w:r w:rsidRPr="005977F7">
                              <w:rPr>
                                <w:lang w:val="en-US"/>
                              </w:rPr>
                              <w:t>To this end, local information concerning the provision of EILD and the demand for broadband services are used. After identifying the most suitable market structure at that level, we proceed to an econometric analysis of the broadband services demand in each municipality in order to assess the possibility of vertical foreclosure in those markets.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5pt;margin-top:4.8pt;width:514.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" stroked="f">
                <v:textbox style="mso-fit-shape-to-text:t">
                  <w:txbxContent>
                    <w:p w:rsidR="005977F7" w:rsidRPr="0071481C" w:rsidRDefault="005977F7" w:rsidP="00D5544D">
                      <w:pPr>
                        <w:jc w:val="center"/>
                        <w:rPr>
                          <w:b/>
                          <w:lang w:val="en-US"/>
                        </w:rPr>
                      </w:pPr>
                      <w:r w:rsidRPr="0071481C">
                        <w:rPr>
                          <w:b/>
                          <w:lang w:val="en-US"/>
                        </w:rPr>
                        <w:t>Abstract</w:t>
                      </w:r>
                    </w:p>
                    <w:p w:rsidR="005977F7" w:rsidRPr="005977F7" w:rsidRDefault="005977F7" w:rsidP="0071481C">
                      <w:pPr>
                        <w:jc w:val="both"/>
                        <w:rPr>
                          <w:lang w:val="en-US"/>
                        </w:rPr>
                      </w:pPr>
                      <w:r w:rsidRPr="0071481C">
                        <w:rPr>
                          <w:lang w:val="en-US"/>
                        </w:rPr>
                        <w:t xml:space="preserve">This work aims to analyze the competitive structure of the market for telecommunications transport networks, considering the supply of Leased Lines (EILD). </w:t>
                      </w:r>
                      <w:r w:rsidRPr="005977F7">
                        <w:rPr>
                          <w:lang w:val="en-US"/>
                        </w:rPr>
                        <w:t>To this end, local information concerning the provision of EILD and the demand for broadband services are used. After identifying the most suitable market structure at that level, we proceed to an econometric analysis of the broadband services demand in each municipality in order to assess the possibility of vertical foreclosure in those markets.</w:t>
                      </w:r>
                    </w:p>
                  </w:txbxContent>
                </v:textbox>
                <w10:wrap type="square"/>
              </v:shape>
            </w:pict>
          </mc:Fallback>
        </mc:AlternateContent>
      </w:r>
    </w:p>
    <w:p w:rsidR="00272D0F" w:rsidRPr="00272D0F" w:rsidRDefault="00272D0F" w:rsidP="00BD04C6">
      <w:pPr>
        <w:ind w:firstLine="708"/>
        <w:jc w:val="both"/>
        <w:rPr>
          <w:lang w:val="en-US"/>
        </w:rPr>
      </w:pPr>
      <w:r w:rsidRPr="00272D0F">
        <w:rPr>
          <w:i/>
          <w:lang w:val="en-US"/>
        </w:rPr>
        <w:t>Keywords</w:t>
      </w:r>
      <w:r w:rsidRPr="00272D0F">
        <w:rPr>
          <w:lang w:val="en-US"/>
        </w:rPr>
        <w:t>:</w:t>
      </w:r>
      <w:r w:rsidRPr="00272D0F">
        <w:rPr>
          <w:i/>
          <w:lang w:val="en-US"/>
        </w:rPr>
        <w:t xml:space="preserve"> </w:t>
      </w:r>
      <w:r w:rsidRPr="00272D0F">
        <w:rPr>
          <w:lang w:val="en-US"/>
        </w:rPr>
        <w:t>Broadband, market structure, vertical foreclosure.</w:t>
      </w:r>
    </w:p>
    <w:p w:rsidR="00272D0F" w:rsidRDefault="00272D0F" w:rsidP="00BD04C6">
      <w:pPr>
        <w:ind w:firstLine="708"/>
        <w:jc w:val="both"/>
      </w:pPr>
      <w:r w:rsidRPr="00B771F7">
        <w:rPr>
          <w:i/>
        </w:rPr>
        <w:t>JEL Classification</w:t>
      </w:r>
      <w:r>
        <w:t>: L13, L42, L86.</w:t>
      </w:r>
    </w:p>
    <w:p w:rsidR="00272D0F" w:rsidRDefault="00272D0F" w:rsidP="0071481C">
      <w:pPr>
        <w:jc w:val="both"/>
      </w:pPr>
    </w:p>
    <w:p w:rsidR="00BD04C6" w:rsidRDefault="00BD04C6" w:rsidP="005401B3">
      <w:pPr>
        <w:spacing w:before="240" w:line="360" w:lineRule="auto"/>
        <w:rPr>
          <w:b/>
        </w:rPr>
      </w:pPr>
    </w:p>
    <w:p w:rsidR="00BD04C6" w:rsidRDefault="00BD04C6" w:rsidP="005401B3">
      <w:pPr>
        <w:spacing w:before="240" w:line="360" w:lineRule="auto"/>
        <w:rPr>
          <w:b/>
        </w:rPr>
      </w:pPr>
    </w:p>
    <w:p w:rsidR="00BD04C6" w:rsidRDefault="00BD04C6" w:rsidP="005401B3">
      <w:pPr>
        <w:spacing w:before="240" w:line="360" w:lineRule="auto"/>
        <w:rPr>
          <w:b/>
        </w:rPr>
      </w:pPr>
    </w:p>
    <w:p w:rsidR="005401B3" w:rsidRDefault="005401B3" w:rsidP="005401B3">
      <w:pPr>
        <w:spacing w:before="240" w:line="360" w:lineRule="auto"/>
        <w:rPr>
          <w:b/>
        </w:rPr>
      </w:pPr>
      <w:r>
        <w:rPr>
          <w:b/>
        </w:rPr>
        <w:lastRenderedPageBreak/>
        <w:t>INTRODUÇÃO</w:t>
      </w:r>
    </w:p>
    <w:p w:rsidR="005401B3" w:rsidRDefault="005401B3" w:rsidP="005401B3">
      <w:pPr>
        <w:spacing w:before="240" w:line="360" w:lineRule="auto"/>
        <w:jc w:val="both"/>
      </w:pPr>
      <w:r>
        <w:t xml:space="preserve">O Brasil tem observado nos últimos anos um crescimento </w:t>
      </w:r>
      <w:r w:rsidR="0021056B">
        <w:t xml:space="preserve">acentuado </w:t>
      </w:r>
      <w:r>
        <w:t>da participação do acesso à internet em banda larga na vida dos seus cidadãos. Atualmente, por meio da rede mundial de computadores, as famílias brasileiras têm acesso a notícias, entretenimento, serviços de telecomunicações, entre outras facilidades.</w:t>
      </w:r>
    </w:p>
    <w:p w:rsidR="00303EFD" w:rsidRDefault="00303EFD" w:rsidP="00303EFD">
      <w:pPr>
        <w:spacing w:before="240" w:line="360" w:lineRule="auto"/>
        <w:jc w:val="both"/>
      </w:pPr>
      <w:r>
        <w:t xml:space="preserve">Podemos constatar o crescimento da importância do acesso à internet em banda larga para as famílias brasileiras por meio de dados relativos à penetração desse serviço. No </w:t>
      </w:r>
      <w:r w:rsidR="00494C59">
        <w:t>Brasil</w:t>
      </w:r>
      <w:r>
        <w:t xml:space="preserve"> observamos que entre 2000 e 2012 o crescimento médio do número de acessos em banda larga fixa no Brasil foi de </w:t>
      </w:r>
      <w:r w:rsidRPr="00F3384F">
        <w:t>53% a</w:t>
      </w:r>
      <w:r>
        <w:t xml:space="preserve">o ano nos últimos 12 anos. </w:t>
      </w:r>
    </w:p>
    <w:p w:rsidR="00303EFD" w:rsidRDefault="00303EFD" w:rsidP="00303EFD">
      <w:pPr>
        <w:spacing w:before="240" w:line="360" w:lineRule="auto"/>
        <w:jc w:val="both"/>
      </w:pPr>
      <w:r>
        <w:t>Tendo em vista o rápido crescimento do uso da internet não só no Brasil, a literatura econômica passou a buscar evidência</w:t>
      </w:r>
      <w:bookmarkStart w:id="0" w:name="_GoBack"/>
      <w:bookmarkEnd w:id="0"/>
      <w:r>
        <w:t xml:space="preserve">s para avaliar os impactos do aumento do uso dessa tecnologia na produtividade dos países. Nesse sentido, diversos estudos foram realizados mundialmente, alguns focados no impacto do uso da banda larga sobre crescimento do PIB (Crandall </w:t>
      </w:r>
      <w:r>
        <w:rPr>
          <w:i/>
        </w:rPr>
        <w:t>et al</w:t>
      </w:r>
      <w:r w:rsidR="0021056B">
        <w:t>, 2007; Thompson and</w:t>
      </w:r>
      <w:r>
        <w:t xml:space="preserve"> Garbacz, 2008; </w:t>
      </w:r>
      <w:r w:rsidRPr="00B54063">
        <w:t xml:space="preserve">Czernich </w:t>
      </w:r>
      <w:r>
        <w:rPr>
          <w:i/>
        </w:rPr>
        <w:t>et al</w:t>
      </w:r>
      <w:r>
        <w:t xml:space="preserve">, </w:t>
      </w:r>
      <w:r w:rsidRPr="00B54063">
        <w:t>2009</w:t>
      </w:r>
      <w:r>
        <w:t xml:space="preserve">; Koutroumpis, 2009; Qiang </w:t>
      </w:r>
      <w:r>
        <w:rPr>
          <w:i/>
        </w:rPr>
        <w:t>et al</w:t>
      </w:r>
      <w:r>
        <w:t xml:space="preserve"> 2009), outros focados nos impactos do uso da internet sobre a produtividade dos fatores da economia (Waverman</w:t>
      </w:r>
      <w:r w:rsidR="0045195B">
        <w:t>,</w:t>
      </w:r>
      <w:r>
        <w:t xml:space="preserve"> </w:t>
      </w:r>
      <w:r w:rsidRPr="00DE221D">
        <w:t>2009)</w:t>
      </w:r>
      <w:r>
        <w:t xml:space="preserve">, e também alguns estudos focados no impacto da adoção da internet na geração de emprego (Crandall </w:t>
      </w:r>
      <w:r>
        <w:rPr>
          <w:i/>
        </w:rPr>
        <w:t>et al</w:t>
      </w:r>
      <w:r w:rsidRPr="00E00287">
        <w:rPr>
          <w:i/>
        </w:rPr>
        <w:t xml:space="preserve">, </w:t>
      </w:r>
      <w:r w:rsidRPr="00E00287">
        <w:t>2003</w:t>
      </w:r>
      <w:r>
        <w:t>;</w:t>
      </w:r>
      <w:r w:rsidRPr="00E00287">
        <w:t xml:space="preserve"> Atkinson </w:t>
      </w:r>
      <w:r>
        <w:rPr>
          <w:i/>
        </w:rPr>
        <w:t>et al</w:t>
      </w:r>
      <w:r>
        <w:t xml:space="preserve">, </w:t>
      </w:r>
      <w:r w:rsidRPr="00E00287">
        <w:t>2009</w:t>
      </w:r>
      <w:r>
        <w:t>;</w:t>
      </w:r>
      <w:r w:rsidRPr="00E00287">
        <w:t xml:space="preserve"> Liebenau </w:t>
      </w:r>
      <w:r>
        <w:rPr>
          <w:i/>
        </w:rPr>
        <w:t>et al</w:t>
      </w:r>
      <w:r>
        <w:t>, 2009).</w:t>
      </w:r>
    </w:p>
    <w:p w:rsidR="005401B3" w:rsidRDefault="005401B3" w:rsidP="005401B3">
      <w:pPr>
        <w:spacing w:before="240" w:line="360" w:lineRule="auto"/>
        <w:jc w:val="both"/>
      </w:pPr>
      <w:r>
        <w:t xml:space="preserve">Diante das evidências desses estudos quanto aos benefícios associados ao aumento de produtividade das economias em decorrência maior acesso à internet, </w:t>
      </w:r>
      <w:r w:rsidR="008F555C">
        <w:t xml:space="preserve">governos </w:t>
      </w:r>
      <w:r>
        <w:t>de diversos países passaram a promover políticas públicas de massificação do acesso à internet.</w:t>
      </w:r>
    </w:p>
    <w:p w:rsidR="005401B3" w:rsidRDefault="005401B3" w:rsidP="005401B3">
      <w:pPr>
        <w:spacing w:before="240" w:line="360" w:lineRule="auto"/>
        <w:jc w:val="both"/>
      </w:pPr>
      <w:r>
        <w:t xml:space="preserve">Nesse contexto, um dos pilares </w:t>
      </w:r>
      <w:r w:rsidR="001F33E9">
        <w:t>à</w:t>
      </w:r>
      <w:r>
        <w:t xml:space="preserve"> proposta governamental consiste na oferta, pela Telebrás, de capacidade de transmissão. A oferta da capacidade de transmissão de dados no atacado, conhecida no mercado como Exploração Industrial de Linhas Dedicadas (EILD), é caracterizada como serviço no qual uma empresa fornece insumos (linhas dedicadas) para constituição da rede de serviços desta última. Nesse sentido, a EILD pode ser entendida como a venda de acesso à rede de transporte de uma empresa, sendo assim um dos principais insumos necessários para levar o serviço até o usuário final (redes de acesso), conforme </w:t>
      </w:r>
      <w:r w:rsidR="00F64928">
        <w:t>ilustramos na Figura 1</w:t>
      </w:r>
      <w:r w:rsidRPr="002761E7">
        <w:t>.</w:t>
      </w:r>
    </w:p>
    <w:p w:rsidR="005977F7" w:rsidRDefault="005977F7" w:rsidP="00303EFD">
      <w:pPr>
        <w:spacing w:line="360" w:lineRule="auto"/>
        <w:rPr>
          <w:sz w:val="20"/>
          <w:szCs w:val="20"/>
        </w:rPr>
      </w:pPr>
    </w:p>
    <w:p w:rsidR="00BD04C6" w:rsidRDefault="00BD04C6" w:rsidP="00303EFD">
      <w:pPr>
        <w:spacing w:line="360" w:lineRule="auto"/>
        <w:rPr>
          <w:sz w:val="20"/>
          <w:szCs w:val="20"/>
        </w:rPr>
      </w:pPr>
    </w:p>
    <w:p w:rsidR="00BD04C6" w:rsidRDefault="00BD04C6" w:rsidP="00303EFD">
      <w:pPr>
        <w:spacing w:line="360" w:lineRule="auto"/>
        <w:rPr>
          <w:sz w:val="20"/>
          <w:szCs w:val="20"/>
        </w:rPr>
      </w:pPr>
    </w:p>
    <w:p w:rsidR="00BD04C6" w:rsidRDefault="00BD04C6" w:rsidP="00303EFD">
      <w:pPr>
        <w:spacing w:line="360" w:lineRule="auto"/>
        <w:rPr>
          <w:sz w:val="20"/>
          <w:szCs w:val="20"/>
        </w:rPr>
      </w:pPr>
    </w:p>
    <w:p w:rsidR="00BD04C6" w:rsidRDefault="00BD04C6" w:rsidP="00303EFD">
      <w:pPr>
        <w:spacing w:line="360" w:lineRule="auto"/>
        <w:rPr>
          <w:sz w:val="20"/>
          <w:szCs w:val="20"/>
        </w:rPr>
      </w:pPr>
    </w:p>
    <w:p w:rsidR="00BD04C6" w:rsidRDefault="00BD04C6" w:rsidP="00303EFD">
      <w:pPr>
        <w:spacing w:line="360" w:lineRule="auto"/>
        <w:rPr>
          <w:sz w:val="20"/>
          <w:szCs w:val="20"/>
        </w:rPr>
      </w:pPr>
    </w:p>
    <w:p w:rsidR="00303EFD" w:rsidRPr="00FE7B77" w:rsidRDefault="00F64928" w:rsidP="00303EFD">
      <w:pPr>
        <w:spacing w:line="360" w:lineRule="auto"/>
        <w:rPr>
          <w:sz w:val="20"/>
          <w:szCs w:val="20"/>
        </w:rPr>
      </w:pPr>
      <w:r>
        <w:rPr>
          <w:sz w:val="20"/>
          <w:szCs w:val="20"/>
        </w:rPr>
        <w:lastRenderedPageBreak/>
        <w:t>Figura 1</w:t>
      </w:r>
      <w:r w:rsidR="00303EFD" w:rsidRPr="00FE7B77">
        <w:rPr>
          <w:sz w:val="20"/>
          <w:szCs w:val="20"/>
        </w:rPr>
        <w:t xml:space="preserve"> – Digrama de funcionamento das redes de banda larga</w:t>
      </w:r>
    </w:p>
    <w:p w:rsidR="00303EFD" w:rsidRDefault="00303EFD" w:rsidP="00303EFD">
      <w:pPr>
        <w:spacing w:before="240" w:line="360" w:lineRule="auto"/>
        <w:jc w:val="center"/>
      </w:pPr>
      <w:r>
        <w:rPr>
          <w:noProof/>
        </w:rPr>
        <w:drawing>
          <wp:inline distT="0" distB="0" distL="0" distR="0" wp14:anchorId="7252964E" wp14:editId="655D21B9">
            <wp:extent cx="3309439" cy="2628900"/>
            <wp:effectExtent l="0" t="0" r="0" b="0"/>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731" cy="2630721"/>
                    </a:xfrm>
                    <a:prstGeom prst="rect">
                      <a:avLst/>
                    </a:prstGeom>
                    <a:noFill/>
                    <a:ln>
                      <a:noFill/>
                    </a:ln>
                  </pic:spPr>
                </pic:pic>
              </a:graphicData>
            </a:graphic>
          </wp:inline>
        </w:drawing>
      </w:r>
    </w:p>
    <w:p w:rsidR="00303EFD" w:rsidRPr="00FE7B77" w:rsidRDefault="00303EFD" w:rsidP="00303EFD">
      <w:pPr>
        <w:spacing w:line="360" w:lineRule="auto"/>
        <w:rPr>
          <w:sz w:val="20"/>
          <w:szCs w:val="20"/>
        </w:rPr>
      </w:pPr>
      <w:r w:rsidRPr="00FE7B77">
        <w:rPr>
          <w:sz w:val="20"/>
          <w:szCs w:val="20"/>
        </w:rPr>
        <w:t>Fonte: Elaboração própria</w:t>
      </w:r>
    </w:p>
    <w:p w:rsidR="005262C8" w:rsidRDefault="005401B3" w:rsidP="005262C8">
      <w:pPr>
        <w:spacing w:before="240" w:line="360" w:lineRule="auto"/>
        <w:jc w:val="both"/>
      </w:pPr>
      <w:r>
        <w:t>Um dos fundamentos para justificar a atuação governamental na oferta de capacidade de transmissão é a alta concentração desse mercado e a integração vertical entre as ofertantes de EILD e as ofertantes de banda larga para o consumidor final. Esse tipo de prática anti-competitiva é conhecida na literatura</w:t>
      </w:r>
      <w:r w:rsidR="00DB3840">
        <w:t xml:space="preserve"> como fechamento vertical</w:t>
      </w:r>
      <w:r>
        <w:t>.</w:t>
      </w:r>
      <w:r w:rsidR="00DB3840">
        <w:t xml:space="preserve"> </w:t>
      </w:r>
      <w:r w:rsidR="005262C8">
        <w:t xml:space="preserve">Os pontos fundamentais sobre teoria do fechamento do mercado por meio da integração vertical podem ser encontrados no trabalho seminal de Rey e Tirole (2006). </w:t>
      </w:r>
      <w:r w:rsidR="005262C8" w:rsidRPr="001247D2">
        <w:t>O</w:t>
      </w:r>
      <w:r w:rsidR="005262C8">
        <w:t>s</w:t>
      </w:r>
      <w:r w:rsidR="005262C8" w:rsidRPr="001247D2">
        <w:t xml:space="preserve"> autores faz</w:t>
      </w:r>
      <w:r w:rsidR="005262C8">
        <w:t>em</w:t>
      </w:r>
      <w:r w:rsidR="005262C8" w:rsidRPr="001247D2">
        <w:t xml:space="preserve"> uma ampla revis</w:t>
      </w:r>
      <w:r w:rsidR="005262C8">
        <w:t>ão da literatura sobre as formas e os efeitos do fechamento (</w:t>
      </w:r>
      <w:r w:rsidR="005262C8" w:rsidRPr="00F5243C">
        <w:rPr>
          <w:i/>
        </w:rPr>
        <w:t>foreclosure</w:t>
      </w:r>
      <w:r w:rsidR="005262C8">
        <w:t xml:space="preserve">) de mercados de produtos finais. </w:t>
      </w:r>
    </w:p>
    <w:p w:rsidR="00C56FCC" w:rsidRDefault="00C56FCC" w:rsidP="00C56FCC">
      <w:pPr>
        <w:spacing w:before="240" w:line="360" w:lineRule="auto"/>
        <w:jc w:val="both"/>
      </w:pPr>
      <w:r>
        <w:t xml:space="preserve">Nessa mesma linha, Foros (2004) desenvolve um modelo de concorrência entre duas varejistas com possibilidade de integração vertical no caso do mercado acesso em banda larga. De forma análoga a Rey </w:t>
      </w:r>
      <w:r w:rsidR="003E05BB">
        <w:t>and</w:t>
      </w:r>
      <w:r>
        <w:t xml:space="preserve"> Tirole (2006), o modelo prevê duas firmas no mercado de produto final adquirindo um insumo essencial de uma firma monopolista no mercado à montante, integrada verticalmente com uma das firmas.</w:t>
      </w:r>
    </w:p>
    <w:p w:rsidR="005401B3" w:rsidRDefault="005401B3" w:rsidP="005401B3">
      <w:pPr>
        <w:spacing w:before="240" w:line="360" w:lineRule="auto"/>
        <w:jc w:val="both"/>
      </w:pPr>
      <w:r>
        <w:t>Assim, é com base nessa perspectiva de exercício de poder de mercado que o Governo brasileiro propôs a criação de uma empresa estatal para atuar no mercado de acesso à rede de transporte (EILD), reduzindo assim a capacidade das empresas estabelecidas em realizar o fechamento vertical. Nessa proposta, a estratégia anunciada para atuação da Telebrás consiste basicamente em ofertar EILD a um preço abaixo do praticado no mercado em uma grande quantidade de municípios.</w:t>
      </w:r>
    </w:p>
    <w:p w:rsidR="0032206A" w:rsidRDefault="0015780B" w:rsidP="005401B3">
      <w:pPr>
        <w:spacing w:before="240" w:line="360" w:lineRule="auto"/>
        <w:jc w:val="both"/>
      </w:pPr>
      <w:r>
        <w:t xml:space="preserve">Assim, no presente artigo </w:t>
      </w:r>
      <w:r w:rsidR="00AF3268">
        <w:t xml:space="preserve">primeiramente </w:t>
      </w:r>
      <w:r>
        <w:t xml:space="preserve">analisamos </w:t>
      </w:r>
      <w:r w:rsidR="005A3071">
        <w:t>duas possíveis</w:t>
      </w:r>
      <w:r>
        <w:t xml:space="preserve"> estrutura</w:t>
      </w:r>
      <w:r w:rsidR="005A3071">
        <w:t>s</w:t>
      </w:r>
      <w:r>
        <w:t xml:space="preserve"> d</w:t>
      </w:r>
      <w:r w:rsidR="005A3071">
        <w:t xml:space="preserve">e mercado (Cournot ou Bertrand), avaliando qual </w:t>
      </w:r>
      <w:r>
        <w:t xml:space="preserve">é a mais adequada para </w:t>
      </w:r>
      <w:r w:rsidR="005A3071">
        <w:t xml:space="preserve">caracterizar o mercado </w:t>
      </w:r>
      <w:r>
        <w:t>de EILD</w:t>
      </w:r>
      <w:r w:rsidR="00AF3268">
        <w:t>;</w:t>
      </w:r>
      <w:r w:rsidR="005A3071">
        <w:t xml:space="preserve"> uma vez que </w:t>
      </w:r>
      <w:r w:rsidR="00C35C7E">
        <w:t xml:space="preserve">a estrutura do mercado é fundamental para o potencial sucesso da estratégia do Governo Federal ao </w:t>
      </w:r>
      <w:r w:rsidR="00C35C7E">
        <w:lastRenderedPageBreak/>
        <w:t>reestruturar a Telebrás</w:t>
      </w:r>
      <w:r>
        <w:t xml:space="preserve">. </w:t>
      </w:r>
      <w:r w:rsidR="00AF3268">
        <w:t>Finalmente</w:t>
      </w:r>
      <w:r>
        <w:t xml:space="preserve"> avaliamos a existência de evidências de fechamento vertical do mercado banda larga por meio </w:t>
      </w:r>
      <w:r w:rsidR="001151F3">
        <w:t>de abuso de posição dominante no mercado de EILD</w:t>
      </w:r>
      <w:r>
        <w:t>.</w:t>
      </w:r>
    </w:p>
    <w:p w:rsidR="005401B3" w:rsidRDefault="005401B3" w:rsidP="005401B3">
      <w:pPr>
        <w:spacing w:before="240" w:line="360" w:lineRule="auto"/>
        <w:jc w:val="both"/>
      </w:pPr>
      <w:r w:rsidRPr="006E284C">
        <w:t>O presente trabalho está estruturado da seguinte forma: n</w:t>
      </w:r>
      <w:r w:rsidR="00983FB1" w:rsidRPr="006E284C">
        <w:t>a</w:t>
      </w:r>
      <w:r w:rsidRPr="006E284C">
        <w:t xml:space="preserve"> </w:t>
      </w:r>
      <w:r w:rsidR="00983FB1" w:rsidRPr="006E284C">
        <w:t xml:space="preserve">Seção </w:t>
      </w:r>
      <w:r w:rsidRPr="006E284C">
        <w:t xml:space="preserve">1 apresentamos as condições da oferta de EILD no Brasil e identificamos empiricamente qual a estrutura de concorrência imperfeita mais aderente aos dados disponíveis. </w:t>
      </w:r>
      <w:r w:rsidR="006E284C" w:rsidRPr="006E284C">
        <w:t xml:space="preserve">Na Seção </w:t>
      </w:r>
      <w:r w:rsidR="002B0BA6">
        <w:t>2</w:t>
      </w:r>
      <w:r w:rsidRPr="006E284C">
        <w:t xml:space="preserve">, por sua vez, apresentamos </w:t>
      </w:r>
      <w:r w:rsidR="006E284C" w:rsidRPr="006E284C">
        <w:t>uma análise para avaliar a evidências de fechamento vertical</w:t>
      </w:r>
      <w:r w:rsidRPr="006E284C">
        <w:t xml:space="preserve">. </w:t>
      </w:r>
      <w:r w:rsidR="006E284C" w:rsidRPr="006E284C">
        <w:t>N</w:t>
      </w:r>
      <w:r w:rsidR="00FF22FF">
        <w:t>a</w:t>
      </w:r>
      <w:r w:rsidRPr="006E284C">
        <w:t xml:space="preserve"> </w:t>
      </w:r>
      <w:r w:rsidR="00FF22FF">
        <w:t xml:space="preserve">Seção </w:t>
      </w:r>
      <w:r w:rsidR="002B0BA6">
        <w:t>3</w:t>
      </w:r>
      <w:r w:rsidRPr="006E284C">
        <w:t xml:space="preserve"> apresentamos nossas considerações finais.</w:t>
      </w:r>
    </w:p>
    <w:p w:rsidR="00950D93" w:rsidRDefault="00950D93">
      <w:pPr>
        <w:spacing w:after="200" w:line="276" w:lineRule="auto"/>
      </w:pPr>
    </w:p>
    <w:p w:rsidR="00205FC8" w:rsidRDefault="00205FC8" w:rsidP="00205FC8">
      <w:pPr>
        <w:spacing w:before="240" w:line="360" w:lineRule="auto"/>
        <w:jc w:val="both"/>
        <w:rPr>
          <w:b/>
        </w:rPr>
      </w:pPr>
      <w:r>
        <w:rPr>
          <w:b/>
        </w:rPr>
        <w:t>I – ESTRUTURA DO MERCADO DE REDES DE TRANSPORTE DE TELECOMUNICAÇÕES NO BRASIL</w:t>
      </w:r>
    </w:p>
    <w:p w:rsidR="00205FC8" w:rsidRPr="00D92EC1" w:rsidRDefault="00205FC8" w:rsidP="00205FC8">
      <w:pPr>
        <w:spacing w:before="240" w:line="360" w:lineRule="auto"/>
        <w:jc w:val="both"/>
      </w:pPr>
      <w:r>
        <w:t>A exploração das redes de transporte de telecomunicações no Brasil é feita principalmente por meio da oferta de Exploração Industrial de Linhas Dedicadas (EILD). Para entendermos melhor esse mercado, abordaremos a seguir o produto EILD, caracterizando suas funcionalidades, os ofertantes de EILD, e utilizaremos um teste original de estrutura de mercado para assim identificaremos qual a estrutura concorrencial dessa oferta.</w:t>
      </w:r>
    </w:p>
    <w:p w:rsidR="00205FC8" w:rsidRDefault="0057008A" w:rsidP="00205FC8">
      <w:pPr>
        <w:spacing w:before="240" w:line="360" w:lineRule="auto"/>
        <w:jc w:val="both"/>
        <w:rPr>
          <w:b/>
        </w:rPr>
      </w:pPr>
      <w:r>
        <w:rPr>
          <w:b/>
        </w:rPr>
        <w:t>1</w:t>
      </w:r>
      <w:r w:rsidR="00205FC8">
        <w:rPr>
          <w:b/>
        </w:rPr>
        <w:t>.1 - O produto EILD</w:t>
      </w:r>
    </w:p>
    <w:p w:rsidR="00897B90" w:rsidRDefault="00897B90" w:rsidP="00897B90">
      <w:pPr>
        <w:spacing w:before="240" w:line="360" w:lineRule="auto"/>
        <w:jc w:val="both"/>
      </w:pPr>
      <w:r>
        <w:t xml:space="preserve">A Exploração Industrial de Linhas Dedicadas (EILD) consiste basicamente em um insumo para prestação de serviços de telecomunicações. Esse insumo nada mais é que uma conexão de dados com características técnicas de garantia </w:t>
      </w:r>
      <w:r w:rsidR="00B75DAC">
        <w:t xml:space="preserve">de </w:t>
      </w:r>
      <w:r>
        <w:t>taxas de transmissão diferenciadas em relação ao consumidor final.</w:t>
      </w:r>
    </w:p>
    <w:p w:rsidR="00897B90" w:rsidRDefault="00897B90" w:rsidP="00897B90">
      <w:pPr>
        <w:spacing w:before="240" w:line="360" w:lineRule="auto"/>
        <w:jc w:val="both"/>
      </w:pPr>
      <w:r>
        <w:t>Tendo em vista que a indústria de banda larga é organizada por meio de redes, temos que essas redes são dimensionadas de forma a garantir uma entrega estatística de conexão. Em outros termos, as redes de telecomunicações são dimensionadas tendo em vista o uso não simultâneo do serviço por todos os usuários.</w:t>
      </w:r>
    </w:p>
    <w:p w:rsidR="00897B90" w:rsidRDefault="00897B90" w:rsidP="00897B90">
      <w:pPr>
        <w:spacing w:before="240" w:line="360" w:lineRule="auto"/>
        <w:jc w:val="both"/>
      </w:pPr>
      <w:r>
        <w:t>Por outro lado, quando é necessário fazer uma conexão entre redes existentes, é necessário que essa conexão tenha características técnicas de garantia contínua de conectividade. Esse tipo de conexão é chamado de linha dedicada, uma vez que não é compartilhada e está integralmente disponível a ambas as redes.</w:t>
      </w:r>
    </w:p>
    <w:p w:rsidR="00897B90" w:rsidRDefault="00897B90" w:rsidP="00897B90">
      <w:pPr>
        <w:spacing w:before="240" w:line="360" w:lineRule="auto"/>
        <w:jc w:val="both"/>
      </w:pPr>
      <w:r>
        <w:t>Nesse sentido, as empresas de telecomunicações que não detém uma rede com alta capilaridade e cobertura regional optam por comprar capacidade de transporte, ao invés de terem que construir redes próprias.</w:t>
      </w:r>
    </w:p>
    <w:p w:rsidR="00897B90" w:rsidRDefault="00897B90" w:rsidP="00897B90">
      <w:pPr>
        <w:spacing w:before="240" w:line="360" w:lineRule="auto"/>
        <w:jc w:val="both"/>
      </w:pPr>
      <w:r>
        <w:lastRenderedPageBreak/>
        <w:t xml:space="preserve">Atualmente, a oferta de EILD é feita na maior parte pelas concessionárias da telefonia fixa. Essas empresas são monopolistas na oferta de EILD na maioria das cidades </w:t>
      </w:r>
      <w:r w:rsidRPr="007E6189">
        <w:t>brasileiras (87%), segundo informações da Anatel relativas a aproximadamente 100 mil contratos de EILD.</w:t>
      </w:r>
      <w:r>
        <w:t xml:space="preserve"> </w:t>
      </w:r>
    </w:p>
    <w:p w:rsidR="00897B90" w:rsidRDefault="00897B90" w:rsidP="00897B90">
      <w:pPr>
        <w:spacing w:before="240" w:line="360" w:lineRule="auto"/>
        <w:jc w:val="both"/>
      </w:pPr>
      <w:r>
        <w:t>A caracterização das redes de acesso como monopólios naturais já está consideravelmente consolidada na</w:t>
      </w:r>
      <w:r w:rsidR="00B467BF">
        <w:t xml:space="preserve"> literatura econômica (Laffont and</w:t>
      </w:r>
      <w:r>
        <w:t xml:space="preserve"> Tirole, 1994 e 2001). Entretanto, quanto às redes de transmissão, a caracterização de monopólio natural não é tão evidente. Assim como as redes de acesso, a construção das redes de transmissão envolve elevados investimentos e custos afundados, principalmente no que diz respeito às obras de engenharia civil e no lançamento de fibras óticas.</w:t>
      </w:r>
    </w:p>
    <w:p w:rsidR="00897B90" w:rsidRDefault="00897B90" w:rsidP="00897B90">
      <w:pPr>
        <w:spacing w:before="240" w:line="360" w:lineRule="auto"/>
        <w:jc w:val="both"/>
      </w:pPr>
      <w:r>
        <w:t>Os custos fixos associados às redes de transmissão são diretamente proporcionais ao comprimento dessas redes. Nesse sentido, a exploração de redes de transmissão com ampla cobertura regional geralmente é feita em regime de monopólio. De fato, no Brasil, as redes de transmissão de longa distância são exploradas em monopólio ou duopólio, sendo que a construção de tais redes foi feita na época em que a exploração do serviço era feita pelo Estado.</w:t>
      </w:r>
    </w:p>
    <w:p w:rsidR="00897B90" w:rsidRDefault="00897B90" w:rsidP="00897B90">
      <w:pPr>
        <w:spacing w:before="240" w:line="360" w:lineRule="auto"/>
        <w:jc w:val="both"/>
      </w:pPr>
      <w:r>
        <w:t>Outro fator que eleva os custos fixos associados à exploração de tais redes diz respeito à capilaridade da rede. A necessidade de extensão da rede para diversos pontos aumenta a necessidade de investimentos na construção de pontos de agregação de redes, assim como eleva os custos fixos associados à manutenção desses pontos. Essa situação é especialmente delicada no Brasil, uma vez que as redes de transmissão chegam a todos os 5.565 municípios brasileiros. Novamente, a construção de tais redes foi feita na época em que a exploração do serviço era feita pelo Estado.</w:t>
      </w:r>
    </w:p>
    <w:p w:rsidR="00897B90" w:rsidRDefault="00897B90" w:rsidP="00897B90">
      <w:pPr>
        <w:spacing w:before="240" w:line="360" w:lineRule="auto"/>
        <w:jc w:val="both"/>
      </w:pPr>
      <w:r>
        <w:t>Ambas as características, a necessidade de cobrir grandes distâncias e de atender diversos pontos, fazem com que as redes de transmissão possuam características de monopólio natural no Brasil.</w:t>
      </w:r>
    </w:p>
    <w:p w:rsidR="00897B90" w:rsidRDefault="00897B90" w:rsidP="00897B90">
      <w:pPr>
        <w:spacing w:line="360" w:lineRule="auto"/>
        <w:rPr>
          <w:sz w:val="20"/>
          <w:szCs w:val="20"/>
        </w:rPr>
      </w:pPr>
    </w:p>
    <w:p w:rsidR="00897B90" w:rsidRPr="004F6E91" w:rsidRDefault="00F64928" w:rsidP="00897B90">
      <w:pPr>
        <w:spacing w:line="360" w:lineRule="auto"/>
        <w:rPr>
          <w:sz w:val="20"/>
          <w:szCs w:val="20"/>
        </w:rPr>
      </w:pPr>
      <w:r>
        <w:rPr>
          <w:sz w:val="20"/>
          <w:szCs w:val="20"/>
        </w:rPr>
        <w:t>Gráfico 1</w:t>
      </w:r>
      <w:r w:rsidR="00897B90" w:rsidRPr="004F6E91">
        <w:rPr>
          <w:sz w:val="20"/>
          <w:szCs w:val="20"/>
        </w:rPr>
        <w:t xml:space="preserve"> – Dispersão de municípios entre concentração de mercado e penetração de banda larga</w:t>
      </w:r>
    </w:p>
    <w:p w:rsidR="00897B90" w:rsidRDefault="00897B90" w:rsidP="00897B90">
      <w:pPr>
        <w:spacing w:before="240" w:line="360" w:lineRule="auto"/>
        <w:jc w:val="center"/>
      </w:pPr>
      <w:r>
        <w:rPr>
          <w:noProof/>
        </w:rPr>
        <w:drawing>
          <wp:inline distT="0" distB="0" distL="0" distR="0" wp14:anchorId="28D146AD" wp14:editId="7F91125E">
            <wp:extent cx="3407633" cy="2047875"/>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6180" cy="2047002"/>
                    </a:xfrm>
                    <a:prstGeom prst="rect">
                      <a:avLst/>
                    </a:prstGeom>
                    <a:noFill/>
                    <a:ln>
                      <a:noFill/>
                    </a:ln>
                  </pic:spPr>
                </pic:pic>
              </a:graphicData>
            </a:graphic>
          </wp:inline>
        </w:drawing>
      </w:r>
    </w:p>
    <w:p w:rsidR="00897B90" w:rsidRPr="004F6E91" w:rsidRDefault="00897B90" w:rsidP="00897B90">
      <w:pPr>
        <w:spacing w:line="360" w:lineRule="auto"/>
        <w:rPr>
          <w:sz w:val="20"/>
          <w:szCs w:val="20"/>
        </w:rPr>
      </w:pPr>
      <w:r w:rsidRPr="004F6E91">
        <w:rPr>
          <w:sz w:val="20"/>
          <w:szCs w:val="20"/>
        </w:rPr>
        <w:t>Fonte: ANATEL</w:t>
      </w:r>
    </w:p>
    <w:p w:rsidR="00205FC8" w:rsidRDefault="0057008A" w:rsidP="00205FC8">
      <w:pPr>
        <w:spacing w:before="240" w:line="360" w:lineRule="auto"/>
        <w:jc w:val="both"/>
        <w:rPr>
          <w:b/>
        </w:rPr>
      </w:pPr>
      <w:r>
        <w:rPr>
          <w:b/>
        </w:rPr>
        <w:lastRenderedPageBreak/>
        <w:t>1</w:t>
      </w:r>
      <w:r w:rsidR="00205FC8">
        <w:rPr>
          <w:b/>
        </w:rPr>
        <w:t>.2 - Ofertantes de EILD</w:t>
      </w:r>
    </w:p>
    <w:p w:rsidR="00897B90" w:rsidRDefault="00897B90" w:rsidP="00897B90">
      <w:pPr>
        <w:spacing w:before="240" w:line="360" w:lineRule="auto"/>
        <w:jc w:val="both"/>
      </w:pPr>
      <w:r>
        <w:t>Por questões históricas, em especial o processo de privatização, a demanda tem sido suprida, principalmente, pelas concessionárias do STFC. Contudo, existem outros grupos que ofertam de forma integrada com operações de varejo (ex. GVT, Net Serviços, etc.), e também empresas especializadas na venda desse insumo em relações de atacado (ex. Level 3, Copel Telecomunicações, etc.).</w:t>
      </w:r>
    </w:p>
    <w:p w:rsidR="00897B90" w:rsidRDefault="00897B90" w:rsidP="00897B90">
      <w:pPr>
        <w:spacing w:before="240" w:line="360" w:lineRule="auto"/>
        <w:jc w:val="both"/>
      </w:pPr>
      <w:r>
        <w:t>Os preços de EILD variam em função da velocidade contratada, sendo que essas taxas iniciam-se em 64 Kbps e chegam a até 10 Gbps. Outra variável para definição do preço da EILD é a distância entre as redes que se busca conectar. Nesse sentido, o mercado opera com 9 degraus de preço (D0 a D8)</w:t>
      </w:r>
      <w:r>
        <w:rPr>
          <w:rStyle w:val="Refdenotaderodap"/>
        </w:rPr>
        <w:footnoteReference w:id="2"/>
      </w:r>
      <w:r>
        <w:t xml:space="preserve">. </w:t>
      </w:r>
    </w:p>
    <w:p w:rsidR="00205FC8" w:rsidRDefault="0057008A" w:rsidP="00205FC8">
      <w:pPr>
        <w:spacing w:before="240" w:line="360" w:lineRule="auto"/>
        <w:jc w:val="both"/>
        <w:rPr>
          <w:b/>
        </w:rPr>
      </w:pPr>
      <w:r>
        <w:rPr>
          <w:b/>
        </w:rPr>
        <w:t>1</w:t>
      </w:r>
      <w:r w:rsidR="00205FC8">
        <w:rPr>
          <w:b/>
        </w:rPr>
        <w:t>.3 - Estrutura de mercado</w:t>
      </w:r>
    </w:p>
    <w:p w:rsidR="00897B90" w:rsidRDefault="00897B90" w:rsidP="00897B90">
      <w:pPr>
        <w:spacing w:before="240" w:line="360" w:lineRule="auto"/>
        <w:jc w:val="both"/>
      </w:pPr>
      <w:r w:rsidRPr="002F35F3">
        <w:t>Como em todos os mercados de infraestrutura, identifica-se no mercado de EILD a presença de barreiras à entrada estruturais elevadas e não transitórias. A principal barreira à entrada elevada e não transitória diz respeito à dificuldade para construção de rede de transporte para escoar tráfego oriundo da rede de acesso entre dois (ou mais) pontos de agregação de tráfego. Trata-se basicamente de infraestrutura essencial, onde a construção da rede de transporte é inviável para um potencial entrante no mercado.</w:t>
      </w:r>
      <w:r>
        <w:t xml:space="preserve"> </w:t>
      </w:r>
    </w:p>
    <w:p w:rsidR="00897B90" w:rsidRDefault="00897B90" w:rsidP="00897B90">
      <w:pPr>
        <w:spacing w:before="240" w:line="360" w:lineRule="auto"/>
        <w:jc w:val="both"/>
      </w:pPr>
      <w:r>
        <w:t>Observamos, ainda, que neste mercado estão presentes elevadas economias de escala decorrentes das redes instaladas que, associadas aos elevados custos de construção de infraestrutura, provê ao operador que detiver maior capilaridade destas redes vantagem sobre entrantes ao se considerar o custo marginal de expansão da rede.</w:t>
      </w:r>
    </w:p>
    <w:p w:rsidR="00897B90" w:rsidRDefault="00897B90" w:rsidP="00897B90">
      <w:pPr>
        <w:spacing w:before="240" w:line="360" w:lineRule="auto"/>
        <w:jc w:val="both"/>
      </w:pPr>
      <w:r>
        <w:t>A presença de infraestruturas essenciais de difícil duplicação</w:t>
      </w:r>
      <w:r>
        <w:rPr>
          <w:rStyle w:val="Refdenotaderodap"/>
        </w:rPr>
        <w:footnoteReference w:id="3"/>
      </w:r>
      <w:r>
        <w:t xml:space="preserve"> faz com que não haja perspectivas no curto ou médio longo prazo para a redução da probabilidade de exercício de poder de mercado, uma vez que os altos custos associados à construção de uma nova rede dificultam a duplicação por uma empresa entrante.</w:t>
      </w:r>
    </w:p>
    <w:p w:rsidR="00897B90" w:rsidRDefault="00897B90" w:rsidP="00897B90">
      <w:pPr>
        <w:spacing w:before="240" w:line="360" w:lineRule="auto"/>
        <w:jc w:val="both"/>
      </w:pPr>
      <w:r>
        <w:t>Nesse sentido, é fácil identificar que as condições de produção de EILD tendem a criar mercados onde há reduzida quantidade de empresas ofertantes. Assim, é de se esperar que a estrutura de mercado de EILD seja de concorrência imperfeita.</w:t>
      </w:r>
    </w:p>
    <w:p w:rsidR="00897B90" w:rsidRDefault="00897B90" w:rsidP="00897B90">
      <w:pPr>
        <w:spacing w:before="240" w:line="360" w:lineRule="auto"/>
        <w:jc w:val="both"/>
      </w:pPr>
      <w:r>
        <w:t xml:space="preserve">A possibilidade de fechamento vertical ganha relevância em decorrência do fato de que aproximadamente 80% do mercado de banda larga residencial estão concentrados em empresas dos mesmos grupos </w:t>
      </w:r>
      <w:r>
        <w:lastRenderedPageBreak/>
        <w:t>econômicos das concessionárias de telefonia fixa</w:t>
      </w:r>
      <w:r>
        <w:rPr>
          <w:rStyle w:val="Refdenotaderodap"/>
        </w:rPr>
        <w:footnoteReference w:id="4"/>
      </w:r>
      <w:r>
        <w:t>, que, como visto já, são as grande</w:t>
      </w:r>
      <w:r w:rsidR="001A62AB">
        <w:t>s</w:t>
      </w:r>
      <w:r>
        <w:t xml:space="preserve"> detentoras de redes de transporte. </w:t>
      </w:r>
    </w:p>
    <w:p w:rsidR="00897B90" w:rsidRDefault="00897B90" w:rsidP="00897B90">
      <w:pPr>
        <w:spacing w:before="240" w:line="360" w:lineRule="auto"/>
        <w:jc w:val="both"/>
      </w:pPr>
      <w:r>
        <w:t xml:space="preserve">Utilizando dados da Anatel é possível identificar o nível de competição, considerando a quantidade de ofertantes, em cada um dos municípios brasileiros. Conforme podemos ver no Gráfico </w:t>
      </w:r>
      <w:r w:rsidR="00F64928">
        <w:t>2</w:t>
      </w:r>
      <w:r w:rsidR="001A62AB">
        <w:t xml:space="preserve"> </w:t>
      </w:r>
      <w:r>
        <w:t>abaixo, em 78% dos municípios identifica-se que a oferta de EILD é feita em uma estrutura de monopólio. Ainda, em 16% dos municípios a estrutura de mercado é de duopólio.</w:t>
      </w:r>
    </w:p>
    <w:p w:rsidR="00897B90" w:rsidRDefault="00897B90" w:rsidP="00897B90">
      <w:pPr>
        <w:spacing w:line="360" w:lineRule="auto"/>
        <w:rPr>
          <w:sz w:val="20"/>
          <w:szCs w:val="20"/>
        </w:rPr>
      </w:pPr>
    </w:p>
    <w:p w:rsidR="00897B90" w:rsidRPr="00063106" w:rsidRDefault="00897B90" w:rsidP="00897B90">
      <w:pPr>
        <w:spacing w:line="360" w:lineRule="auto"/>
        <w:rPr>
          <w:sz w:val="20"/>
          <w:szCs w:val="20"/>
        </w:rPr>
      </w:pPr>
      <w:r w:rsidRPr="00063106">
        <w:rPr>
          <w:sz w:val="20"/>
          <w:szCs w:val="20"/>
        </w:rPr>
        <w:t>Gráfico</w:t>
      </w:r>
      <w:r w:rsidR="00F64928">
        <w:rPr>
          <w:sz w:val="20"/>
          <w:szCs w:val="20"/>
        </w:rPr>
        <w:t xml:space="preserve"> 2</w:t>
      </w:r>
      <w:r w:rsidRPr="00063106">
        <w:rPr>
          <w:sz w:val="20"/>
          <w:szCs w:val="20"/>
        </w:rPr>
        <w:t xml:space="preserve"> – Distribuição dos municípios em função das quantidades de ofertantes de EILD</w:t>
      </w:r>
    </w:p>
    <w:p w:rsidR="00897B90" w:rsidRDefault="00897B90" w:rsidP="00897B90">
      <w:pPr>
        <w:spacing w:before="240" w:line="360" w:lineRule="auto"/>
        <w:jc w:val="center"/>
      </w:pPr>
      <w:r>
        <w:rPr>
          <w:noProof/>
        </w:rPr>
        <w:drawing>
          <wp:inline distT="0" distB="0" distL="0" distR="0" wp14:anchorId="3AC199E6" wp14:editId="3039D3BD">
            <wp:extent cx="2933700" cy="1695450"/>
            <wp:effectExtent l="0" t="0" r="0" b="0"/>
            <wp:docPr id="7" name="Gráfico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5"/>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6407" cy="1697014"/>
                    </a:xfrm>
                    <a:prstGeom prst="rect">
                      <a:avLst/>
                    </a:prstGeom>
                    <a:noFill/>
                    <a:ln>
                      <a:noFill/>
                    </a:ln>
                  </pic:spPr>
                </pic:pic>
              </a:graphicData>
            </a:graphic>
          </wp:inline>
        </w:drawing>
      </w:r>
    </w:p>
    <w:p w:rsidR="00897B90" w:rsidRPr="00063106" w:rsidRDefault="00897B90" w:rsidP="00897B90">
      <w:pPr>
        <w:spacing w:line="360" w:lineRule="auto"/>
        <w:rPr>
          <w:sz w:val="20"/>
          <w:szCs w:val="20"/>
        </w:rPr>
      </w:pPr>
      <w:r w:rsidRPr="00063106">
        <w:rPr>
          <w:sz w:val="20"/>
          <w:szCs w:val="20"/>
        </w:rPr>
        <w:t>Fonte: ANATEL</w:t>
      </w:r>
    </w:p>
    <w:p w:rsidR="00897B90" w:rsidRDefault="008F1BD3" w:rsidP="00897B90">
      <w:pPr>
        <w:spacing w:before="240" w:line="360" w:lineRule="auto"/>
        <w:jc w:val="both"/>
      </w:pPr>
      <w:r>
        <w:t>Entretanto</w:t>
      </w:r>
      <w:r w:rsidR="00897B90">
        <w:t>, a quantidade de ofertantes em um mercado não necessariamente é uma medida da eficiência daquele mercado. A relação entre eficiência de mercado e a quantidade de ofertantes está intrinsicamente relacionada com a forma em que a concorrência se dá.</w:t>
      </w:r>
    </w:p>
    <w:p w:rsidR="00897B90" w:rsidRDefault="00897B90" w:rsidP="00897B90">
      <w:pPr>
        <w:spacing w:before="240" w:line="360" w:lineRule="auto"/>
        <w:jc w:val="both"/>
      </w:pPr>
      <w:r>
        <w:t xml:space="preserve">Nesse sentido, a concorrência imperfeita </w:t>
      </w:r>
      <w:r>
        <w:rPr>
          <w:i/>
        </w:rPr>
        <w:t>a la</w:t>
      </w:r>
      <w:r>
        <w:t xml:space="preserve"> Cournot tem um aumento de eficiência à medida em que novos ofertantes entram no mercado, alcançando o nível ótimo de eficiência à medida que a quantidade de ofertantes tende ao infinito. Entretanto, em uma concorrência imperfeita </w:t>
      </w:r>
      <w:r>
        <w:rPr>
          <w:i/>
        </w:rPr>
        <w:t>a la</w:t>
      </w:r>
      <w:r>
        <w:t xml:space="preserve"> Bertrand com custos simétricos, o nível máximo de eficiência é alcançado com apenas dois ofertantes.</w:t>
      </w:r>
    </w:p>
    <w:p w:rsidR="00897B90" w:rsidRDefault="00897B90" w:rsidP="00897B90">
      <w:pPr>
        <w:spacing w:before="240" w:line="360" w:lineRule="auto"/>
        <w:jc w:val="both"/>
      </w:pPr>
      <w:r>
        <w:t>Assim, iremos avaliar quais dessas duas estruturas é mais aderente à realidade do mercado de EILD e, de forma obliqua, avaliar a razoabilidade das premissas quanto à estrutura no mercado de insumos de redes de telecomunicações.</w:t>
      </w:r>
      <w:r w:rsidR="00D92F79">
        <w:t xml:space="preserve"> </w:t>
      </w:r>
      <w:r>
        <w:t>Para avaliar a estrutura de concorrência imperfeita mais aderente ao mercado brasileiro de EILD iremos utilizar informações de preço referentes aos contratos de EILD firmados.</w:t>
      </w:r>
    </w:p>
    <w:p w:rsidR="00897B90" w:rsidRDefault="00897B90" w:rsidP="00897B90">
      <w:pPr>
        <w:spacing w:before="240" w:line="360" w:lineRule="auto"/>
        <w:jc w:val="both"/>
      </w:pPr>
      <w:r>
        <w:lastRenderedPageBreak/>
        <w:t xml:space="preserve">Como variáveis explicativas para o preço da EILD em uma cidade </w:t>
      </w:r>
      <w:r w:rsidRPr="0038124A">
        <w:rPr>
          <w:position w:val="-14"/>
        </w:rPr>
        <w:object w:dxaOrig="390"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pt;height:19.6pt" o:ole="">
            <v:imagedata r:id="rId13" o:title=""/>
          </v:shape>
          <o:OLEObject Type="Embed" ProgID="Equation.3" ShapeID="_x0000_i1025" DrawAspect="Content" ObjectID="_1498299863" r:id="rId14"/>
        </w:object>
      </w:r>
      <w:r>
        <w:t xml:space="preserve"> iremos considerar a renda das famílias (</w:t>
      </w:r>
      <w:r w:rsidRPr="0038124A">
        <w:rPr>
          <w:position w:val="-14"/>
        </w:rPr>
        <w:object w:dxaOrig="315" w:dyaOrig="375">
          <v:shape id="_x0000_i1026" type="#_x0000_t75" style="width:16.15pt;height:18.45pt" o:ole="">
            <v:imagedata r:id="rId15" o:title=""/>
          </v:shape>
          <o:OLEObject Type="Embed" ProgID="Equation.3" ShapeID="_x0000_i1026" DrawAspect="Content" ObjectID="_1498299864" r:id="rId16"/>
        </w:object>
      </w:r>
      <w:r>
        <w:t xml:space="preserve">); </w:t>
      </w:r>
      <w:r w:rsidR="000E7CD4">
        <w:t xml:space="preserve">o parâmetro de </w:t>
      </w:r>
      <w:r>
        <w:t xml:space="preserve">elasticidade </w:t>
      </w:r>
      <w:r w:rsidR="000E7CD4">
        <w:t xml:space="preserve">de substituição </w:t>
      </w:r>
      <w:r>
        <w:t>(</w:t>
      </w:r>
      <w:r w:rsidRPr="0038124A">
        <w:rPr>
          <w:position w:val="-14"/>
        </w:rPr>
        <w:object w:dxaOrig="285" w:dyaOrig="375">
          <v:shape id="_x0000_i1027" type="#_x0000_t75" style="width:14.4pt;height:18.45pt" o:ole="">
            <v:imagedata r:id="rId17" o:title=""/>
          </v:shape>
          <o:OLEObject Type="Embed" ProgID="Equation.3" ShapeID="_x0000_i1027" DrawAspect="Content" ObjectID="_1498299865" r:id="rId18"/>
        </w:object>
      </w:r>
      <w:r>
        <w:t>); o número de competidores no mercado (</w:t>
      </w:r>
      <w:r w:rsidRPr="0038124A">
        <w:rPr>
          <w:position w:val="-14"/>
        </w:rPr>
        <w:object w:dxaOrig="345" w:dyaOrig="375">
          <v:shape id="_x0000_i1028" type="#_x0000_t75" style="width:17.85pt;height:18.45pt" o:ole="">
            <v:imagedata r:id="rId19" o:title=""/>
          </v:shape>
          <o:OLEObject Type="Embed" ProgID="Equation.3" ShapeID="_x0000_i1028" DrawAspect="Content" ObjectID="_1498299866" r:id="rId20"/>
        </w:object>
      </w:r>
      <w:r w:rsidR="000E7CD4">
        <w:t xml:space="preserve">); </w:t>
      </w:r>
      <w:r>
        <w:t>o custo de oferta de EILD (</w:t>
      </w:r>
      <w:r w:rsidRPr="0038124A">
        <w:rPr>
          <w:position w:val="-14"/>
        </w:rPr>
        <w:object w:dxaOrig="255" w:dyaOrig="375">
          <v:shape id="_x0000_i1029" type="#_x0000_t75" style="width:12.1pt;height:18.45pt" o:ole="">
            <v:imagedata r:id="rId21" o:title=""/>
          </v:shape>
          <o:OLEObject Type="Embed" ProgID="Equation.3" ShapeID="_x0000_i1029" DrawAspect="Content" ObjectID="_1498299867" r:id="rId22"/>
        </w:object>
      </w:r>
      <w:r w:rsidR="000E7CD4">
        <w:t xml:space="preserve">); e </w:t>
      </w:r>
      <w:r>
        <w:t>o “tamanho” do mercado (</w:t>
      </w:r>
      <w:r w:rsidRPr="0038124A">
        <w:rPr>
          <w:position w:val="-14"/>
        </w:rPr>
        <w:object w:dxaOrig="300" w:dyaOrig="375">
          <v:shape id="_x0000_i1030" type="#_x0000_t75" style="width:15pt;height:18.45pt" o:ole="">
            <v:imagedata r:id="rId23" o:title=""/>
          </v:shape>
          <o:OLEObject Type="Embed" ProgID="Equation.3" ShapeID="_x0000_i1030" DrawAspect="Content" ObjectID="_1498299868" r:id="rId24"/>
        </w:object>
      </w:r>
      <w:r>
        <w:t xml:space="preserve">). </w:t>
      </w:r>
    </w:p>
    <w:p w:rsidR="00897B90" w:rsidRPr="00841DA6" w:rsidRDefault="00897B90" w:rsidP="00897B90">
      <w:pPr>
        <w:spacing w:before="240" w:line="360" w:lineRule="auto"/>
        <w:jc w:val="both"/>
      </w:pPr>
      <w:r w:rsidRPr="00841DA6">
        <w:t>Formalmente:</w:t>
      </w:r>
    </w:p>
    <w:p w:rsidR="00897B90" w:rsidRDefault="00897B90" w:rsidP="00897B90">
      <w:pPr>
        <w:spacing w:before="240" w:line="360" w:lineRule="auto"/>
        <w:jc w:val="both"/>
      </w:pPr>
      <w:r>
        <w:tab/>
      </w:r>
      <w:r w:rsidRPr="00841DA6">
        <w:rPr>
          <w:position w:val="-14"/>
        </w:rPr>
        <w:object w:dxaOrig="2600" w:dyaOrig="380">
          <v:shape id="_x0000_i1031" type="#_x0000_t75" style="width:130.8pt;height:18.45pt" o:ole="">
            <v:imagedata r:id="rId25" o:title=""/>
          </v:shape>
          <o:OLEObject Type="Embed" ProgID="Equation.3" ShapeID="_x0000_i1031" DrawAspect="Content" ObjectID="_1498299869" r:id="rId26"/>
        </w:object>
      </w:r>
      <w:r>
        <w:tab/>
      </w:r>
      <w:r>
        <w:tab/>
      </w:r>
      <w:r>
        <w:tab/>
      </w:r>
      <w:r>
        <w:tab/>
      </w:r>
      <w:r>
        <w:tab/>
      </w:r>
      <w:r>
        <w:tab/>
      </w:r>
    </w:p>
    <w:p w:rsidR="00897B90" w:rsidRDefault="00897B90" w:rsidP="00897B90">
      <w:pPr>
        <w:spacing w:before="240" w:line="360" w:lineRule="auto"/>
        <w:jc w:val="both"/>
      </w:pPr>
      <w:r>
        <w:t>Tendo em vista a disp</w:t>
      </w:r>
      <w:r w:rsidR="000115CB">
        <w:t>onibilidade de dados relativos ao preço</w:t>
      </w:r>
      <w:r>
        <w:t xml:space="preserve"> </w:t>
      </w:r>
      <w:r w:rsidRPr="0038124A">
        <w:rPr>
          <w:position w:val="-14"/>
        </w:rPr>
        <w:object w:dxaOrig="390" w:dyaOrig="390">
          <v:shape id="_x0000_i1032" type="#_x0000_t75" style="width:19.6pt;height:19.6pt" o:ole="">
            <v:imagedata r:id="rId13" o:title=""/>
          </v:shape>
          <o:OLEObject Type="Embed" ProgID="Equation.3" ShapeID="_x0000_i1032" DrawAspect="Content" ObjectID="_1498299870" r:id="rId27"/>
        </w:object>
      </w:r>
      <w:r>
        <w:t xml:space="preserve">, além dos </w:t>
      </w:r>
      <w:r w:rsidRPr="0038124A">
        <w:rPr>
          <w:position w:val="-14"/>
        </w:rPr>
        <w:object w:dxaOrig="285" w:dyaOrig="375">
          <v:shape id="_x0000_i1033" type="#_x0000_t75" style="width:14.4pt;height:18.45pt" o:ole="">
            <v:imagedata r:id="rId28" o:title=""/>
          </v:shape>
          <o:OLEObject Type="Embed" ProgID="Equation.3" ShapeID="_x0000_i1033" DrawAspect="Content" ObjectID="_1498299871" r:id="rId29"/>
        </w:object>
      </w:r>
      <w:r>
        <w:t xml:space="preserve"> calculados conforme apresentado no </w:t>
      </w:r>
      <w:r w:rsidR="00AA1A45">
        <w:t>Apêndice</w:t>
      </w:r>
      <w:r>
        <w:t xml:space="preserve">, precisamos identificar dados que sirvam de </w:t>
      </w:r>
      <w:r>
        <w:rPr>
          <w:i/>
        </w:rPr>
        <w:t>proxy</w:t>
      </w:r>
      <w:r>
        <w:t xml:space="preserve"> para os demais elementos.</w:t>
      </w:r>
    </w:p>
    <w:p w:rsidR="00897B90" w:rsidRDefault="00897B90" w:rsidP="00897B90">
      <w:pPr>
        <w:spacing w:before="240" w:line="360" w:lineRule="auto"/>
        <w:jc w:val="both"/>
      </w:pPr>
      <w:r>
        <w:t xml:space="preserve">As </w:t>
      </w:r>
      <w:r>
        <w:rPr>
          <w:i/>
        </w:rPr>
        <w:t>proxies</w:t>
      </w:r>
      <w:r>
        <w:t xml:space="preserve"> para renda das famílias (</w:t>
      </w:r>
      <w:r w:rsidRPr="0038124A">
        <w:rPr>
          <w:position w:val="-14"/>
        </w:rPr>
        <w:object w:dxaOrig="315" w:dyaOrig="375">
          <v:shape id="_x0000_i1034" type="#_x0000_t75" style="width:16.15pt;height:18.45pt" o:ole="">
            <v:imagedata r:id="rId15" o:title=""/>
          </v:shape>
          <o:OLEObject Type="Embed" ProgID="Equation.3" ShapeID="_x0000_i1034" DrawAspect="Content" ObjectID="_1498299872" r:id="rId30"/>
        </w:object>
      </w:r>
      <w:r>
        <w:t>) e para “tamanho” do mercado (</w:t>
      </w:r>
      <w:r w:rsidRPr="0038124A">
        <w:rPr>
          <w:position w:val="-14"/>
        </w:rPr>
        <w:object w:dxaOrig="300" w:dyaOrig="375">
          <v:shape id="_x0000_i1035" type="#_x0000_t75" style="width:15pt;height:18.45pt" o:ole="">
            <v:imagedata r:id="rId23" o:title=""/>
          </v:shape>
          <o:OLEObject Type="Embed" ProgID="Equation.3" ShapeID="_x0000_i1035" DrawAspect="Content" ObjectID="_1498299873" r:id="rId31"/>
        </w:object>
      </w:r>
      <w:r>
        <w:t>) serão o PIB per capita</w:t>
      </w:r>
      <w:r>
        <w:rPr>
          <w:rStyle w:val="Refdenotaderodap"/>
        </w:rPr>
        <w:footnoteReference w:id="5"/>
      </w:r>
      <w:r>
        <w:t xml:space="preserve"> e o número de domicílios urbanos permanentes do município segundo </w:t>
      </w:r>
      <w:r w:rsidRPr="006C0740">
        <w:t>informações do IBGE</w:t>
      </w:r>
      <w:r>
        <w:t>, respectivamente</w:t>
      </w:r>
      <w:r w:rsidRPr="006C0740">
        <w:t xml:space="preserve">. No que diz respeito ao custo marginal </w:t>
      </w:r>
      <w:r w:rsidRPr="006C0740">
        <w:rPr>
          <w:position w:val="-14"/>
        </w:rPr>
        <w:object w:dxaOrig="255" w:dyaOrig="375">
          <v:shape id="_x0000_i1036" type="#_x0000_t75" style="width:12.1pt;height:18.45pt" o:ole="">
            <v:imagedata r:id="rId21" o:title=""/>
          </v:shape>
          <o:OLEObject Type="Embed" ProgID="Equation.3" ShapeID="_x0000_i1036" DrawAspect="Content" ObjectID="_1498299874" r:id="rId32"/>
        </w:object>
      </w:r>
      <w:r w:rsidRPr="006C0740">
        <w:t xml:space="preserve">, iremos utilizar como </w:t>
      </w:r>
      <w:r w:rsidRPr="006C0740">
        <w:rPr>
          <w:i/>
        </w:rPr>
        <w:t>proxy</w:t>
      </w:r>
      <w:r w:rsidRPr="006C0740">
        <w:t xml:space="preserve"> dessa variável a</w:t>
      </w:r>
      <w:r>
        <w:t xml:space="preserve"> área urbana do município (</w:t>
      </w:r>
      <w:r w:rsidRPr="0038124A">
        <w:rPr>
          <w:position w:val="-14"/>
        </w:rPr>
        <w:object w:dxaOrig="300" w:dyaOrig="390">
          <v:shape id="_x0000_i1037" type="#_x0000_t75" style="width:15pt;height:19.6pt" o:ole="">
            <v:imagedata r:id="rId33" o:title=""/>
          </v:shape>
          <o:OLEObject Type="Embed" ProgID="Equation.3" ShapeID="_x0000_i1037" DrawAspect="Content" ObjectID="_1498299875" r:id="rId34"/>
        </w:object>
      </w:r>
      <w:r>
        <w:t xml:space="preserve">), que está diretamente associado com os custos de provimento da infraestrutura. </w:t>
      </w:r>
    </w:p>
    <w:p w:rsidR="00897B90" w:rsidRDefault="00897B90" w:rsidP="00897B90">
      <w:pPr>
        <w:spacing w:before="240" w:line="360" w:lineRule="auto"/>
        <w:jc w:val="both"/>
      </w:pPr>
      <w:r>
        <w:t xml:space="preserve">Além de </w:t>
      </w:r>
      <w:r w:rsidRPr="0038124A">
        <w:rPr>
          <w:position w:val="-14"/>
        </w:rPr>
        <w:object w:dxaOrig="300" w:dyaOrig="390">
          <v:shape id="_x0000_i1038" type="#_x0000_t75" style="width:15pt;height:19.6pt" o:ole="">
            <v:imagedata r:id="rId33" o:title=""/>
          </v:shape>
          <o:OLEObject Type="Embed" ProgID="Equation.3" ShapeID="_x0000_i1038" DrawAspect="Content" ObjectID="_1498299876" r:id="rId35"/>
        </w:object>
      </w:r>
      <w:r>
        <w:t xml:space="preserve">, utilizaremos também como </w:t>
      </w:r>
      <w:r>
        <w:rPr>
          <w:i/>
        </w:rPr>
        <w:t>proxy</w:t>
      </w:r>
      <w:r>
        <w:t xml:space="preserve"> para custos a alíquota de ICMS </w:t>
      </w:r>
      <w:r w:rsidRPr="0038124A">
        <w:rPr>
          <w:position w:val="-14"/>
        </w:rPr>
        <w:object w:dxaOrig="460" w:dyaOrig="380">
          <v:shape id="_x0000_i1039" type="#_x0000_t75" style="width:23.6pt;height:18.45pt" o:ole="">
            <v:imagedata r:id="rId36" o:title=""/>
          </v:shape>
          <o:OLEObject Type="Embed" ProgID="Equation.3" ShapeID="_x0000_i1039" DrawAspect="Content" ObjectID="_1498299877" r:id="rId37"/>
        </w:object>
      </w:r>
      <w:r>
        <w:rPr>
          <w:position w:val="-14"/>
        </w:rPr>
        <w:t xml:space="preserve"> </w:t>
      </w:r>
      <w:r>
        <w:t xml:space="preserve">cobrado no município. Nesse ponto, vale destacar que as alíquotas de ICMS são unificadas por Unidade Federativa (UF), de tal forma que municípios de uma mesma UF apresentarão o mesmo valor de </w:t>
      </w:r>
      <w:r w:rsidRPr="0038124A">
        <w:rPr>
          <w:position w:val="-14"/>
        </w:rPr>
        <w:object w:dxaOrig="260" w:dyaOrig="380">
          <v:shape id="_x0000_i1040" type="#_x0000_t75" style="width:12.1pt;height:18.45pt" o:ole="">
            <v:imagedata r:id="rId38" o:title=""/>
          </v:shape>
          <o:OLEObject Type="Embed" ProgID="Equation.3" ShapeID="_x0000_i1040" DrawAspect="Content" ObjectID="_1498299878" r:id="rId39"/>
        </w:object>
      </w:r>
      <w:r>
        <w:t>.</w:t>
      </w:r>
    </w:p>
    <w:p w:rsidR="00897B90" w:rsidRDefault="00897B90" w:rsidP="00897B90">
      <w:pPr>
        <w:spacing w:before="240" w:line="360" w:lineRule="auto"/>
        <w:jc w:val="both"/>
      </w:pPr>
      <w:r>
        <w:t>As informações referentes à área urbana do município estão diretamente relacionadas com o custo de oferta de EILD, uma vez que as distâncias entre as redes a serem conectadas é considerada quando da precificação do produto. A informação binária referente ao atendimento do município por meio de fibra ótica também está intimamente ligada aos custos de provimento da EILD, uma vez que municípios que não são atendidos por fibra ótica são atendidos por links de rádio ou links de satélite, que tem um custo maior de provimento, uma vez que sua escala de operação é consideravelmente menor.</w:t>
      </w:r>
    </w:p>
    <w:p w:rsidR="00897B90" w:rsidRDefault="00897B90" w:rsidP="00897B90">
      <w:pPr>
        <w:spacing w:before="240" w:line="360" w:lineRule="auto"/>
        <w:jc w:val="both"/>
      </w:pPr>
      <w:r>
        <w:t xml:space="preserve">Quanto à quantidade de ofertantes no mercado, iremos utilizar duas abordagens diferentes, justamente para avaliar qual modelo de estrutura competitiva se ajusta melhor aos dados. Assim, no primeiro modelo iremos utilizar a variável </w:t>
      </w:r>
      <w:r w:rsidRPr="0038124A">
        <w:rPr>
          <w:position w:val="-14"/>
        </w:rPr>
        <w:object w:dxaOrig="345" w:dyaOrig="375">
          <v:shape id="_x0000_i1041" type="#_x0000_t75" style="width:17.85pt;height:18.45pt" o:ole="">
            <v:imagedata r:id="rId19" o:title=""/>
          </v:shape>
          <o:OLEObject Type="Embed" ProgID="Equation.3" ShapeID="_x0000_i1041" DrawAspect="Content" ObjectID="_1498299879" r:id="rId40"/>
        </w:object>
      </w:r>
      <w:r>
        <w:t xml:space="preserve"> correspondente à quantidade de ofertantes de EILD no município. No segundo modelo utilizaremos a variável </w:t>
      </w:r>
      <w:r w:rsidRPr="0038124A">
        <w:rPr>
          <w:position w:val="-14"/>
        </w:rPr>
        <w:object w:dxaOrig="300" w:dyaOrig="375">
          <v:shape id="_x0000_i1042" type="#_x0000_t75" style="width:15pt;height:18.45pt" o:ole="">
            <v:imagedata r:id="rId41" o:title=""/>
          </v:shape>
          <o:OLEObject Type="Embed" ProgID="Equation.3" ShapeID="_x0000_i1042" DrawAspect="Content" ObjectID="_1498299880" r:id="rId42"/>
        </w:object>
      </w:r>
      <w:r>
        <w:t>, que será uma variável binária assumindo o valor unitário nos municípios em que há monopólio e o valor nulo nos demais casos.</w:t>
      </w:r>
    </w:p>
    <w:p w:rsidR="00897B90" w:rsidRDefault="00897B90" w:rsidP="00897B90">
      <w:pPr>
        <w:spacing w:before="240" w:line="360" w:lineRule="auto"/>
        <w:jc w:val="both"/>
      </w:pPr>
      <w:r>
        <w:lastRenderedPageBreak/>
        <w:t>Posto isso, iremos então rodar dois modelos:</w:t>
      </w:r>
    </w:p>
    <w:p w:rsidR="00897B90" w:rsidRDefault="00897B90" w:rsidP="00897B90">
      <w:pPr>
        <w:spacing w:before="240" w:line="360" w:lineRule="auto"/>
        <w:jc w:val="both"/>
      </w:pPr>
      <w:r w:rsidRPr="0038124A">
        <w:rPr>
          <w:position w:val="-14"/>
        </w:rPr>
        <w:object w:dxaOrig="8000" w:dyaOrig="380">
          <v:shape id="_x0000_i1043" type="#_x0000_t75" style="width:399.2pt;height:18.45pt" o:ole="">
            <v:imagedata r:id="rId43" o:title=""/>
          </v:shape>
          <o:OLEObject Type="Embed" ProgID="Equation.3" ShapeID="_x0000_i1043" DrawAspect="Content" ObjectID="_1498299881" r:id="rId44"/>
        </w:object>
      </w:r>
      <w:r>
        <w:t xml:space="preserve">   (1)</w:t>
      </w:r>
    </w:p>
    <w:p w:rsidR="00897B90" w:rsidRDefault="00897B90" w:rsidP="00897B90">
      <w:pPr>
        <w:spacing w:before="240" w:line="360" w:lineRule="auto"/>
        <w:jc w:val="both"/>
        <w:rPr>
          <w:position w:val="-14"/>
        </w:rPr>
      </w:pPr>
      <w:r w:rsidRPr="0038124A">
        <w:rPr>
          <w:position w:val="-14"/>
        </w:rPr>
        <w:object w:dxaOrig="7940" w:dyaOrig="380">
          <v:shape id="_x0000_i1044" type="#_x0000_t75" style="width:395.8pt;height:18.45pt" o:ole="">
            <v:imagedata r:id="rId45" o:title=""/>
          </v:shape>
          <o:OLEObject Type="Embed" ProgID="Equation.3" ShapeID="_x0000_i1044" DrawAspect="Content" ObjectID="_1498299882" r:id="rId46"/>
        </w:object>
      </w:r>
      <w:r>
        <w:rPr>
          <w:position w:val="-14"/>
        </w:rPr>
        <w:t xml:space="preserve">    (2)</w:t>
      </w:r>
    </w:p>
    <w:p w:rsidR="00897B90" w:rsidRDefault="00897B90" w:rsidP="00897B90">
      <w:pPr>
        <w:spacing w:before="240" w:line="360" w:lineRule="auto"/>
        <w:jc w:val="both"/>
      </w:pPr>
      <w:r>
        <w:t xml:space="preserve">Utilizando dados da Anatel e do IBGE referentes a dados dos 5.565 municípios em 2010 e utilizando o método de mínimos quadrados ordinários (MQO) com correção para </w:t>
      </w:r>
      <w:r w:rsidR="00C64305">
        <w:t>heteroscedasticidade</w:t>
      </w:r>
      <w:r>
        <w:t>, obtemos os resultados</w:t>
      </w:r>
      <w:r w:rsidR="00272D0F">
        <w:t xml:space="preserve"> na Tabela 2.</w:t>
      </w:r>
    </w:p>
    <w:p w:rsidR="00272D0F" w:rsidRDefault="00272D0F" w:rsidP="00272D0F">
      <w:pPr>
        <w:spacing w:before="240" w:line="360" w:lineRule="auto"/>
        <w:jc w:val="both"/>
      </w:pPr>
      <w:r w:rsidRPr="00B549A8">
        <w:t>Como podemos observar, os parâmetros associados à alíquota de ICMS não apresentam significância estatística para explicar variações no preço de EILD. Esse resultado pode ser explicado tendo em vista que as alíquotas de ICMS são definidas por UF, o que resulta em uma baixa variabilidade de amostras, prejudicando assim a eficiência dos estimadores. Posto isso, testamos os resultados considerando modelos alternativos, onde as informações acerca das alíquotas de ICMS não são incorporadas no modelo</w:t>
      </w:r>
      <w:r w:rsidRPr="00B549A8">
        <w:rPr>
          <w:rStyle w:val="Refdenotaderodap"/>
        </w:rPr>
        <w:footnoteReference w:id="6"/>
      </w:r>
      <w:r w:rsidRPr="00B549A8">
        <w:t>.</w:t>
      </w:r>
      <w:r>
        <w:t xml:space="preserve"> </w:t>
      </w:r>
    </w:p>
    <w:p w:rsidR="00E024F5" w:rsidRDefault="00E024F5" w:rsidP="00897B90">
      <w:pPr>
        <w:spacing w:line="360" w:lineRule="auto"/>
        <w:rPr>
          <w:sz w:val="20"/>
          <w:szCs w:val="20"/>
        </w:rPr>
      </w:pPr>
    </w:p>
    <w:p w:rsidR="00897B90" w:rsidRDefault="00897B90" w:rsidP="00897B90">
      <w:pPr>
        <w:spacing w:line="360" w:lineRule="auto"/>
        <w:rPr>
          <w:sz w:val="20"/>
          <w:szCs w:val="20"/>
        </w:rPr>
      </w:pPr>
      <w:r w:rsidRPr="00D01BF0">
        <w:rPr>
          <w:sz w:val="20"/>
          <w:szCs w:val="20"/>
        </w:rPr>
        <w:t>Tabela 2 – Resultados das estimativas considerando o modelo de Cournot e de Bertrand</w:t>
      </w:r>
    </w:p>
    <w:p w:rsidR="00E024F5" w:rsidRPr="00D01BF0" w:rsidRDefault="00E024F5" w:rsidP="00897B90">
      <w:pPr>
        <w:spacing w:line="360" w:lineRule="auto"/>
        <w:rPr>
          <w:sz w:val="20"/>
          <w:szCs w:val="20"/>
        </w:rPr>
      </w:pPr>
    </w:p>
    <w:tbl>
      <w:tblPr>
        <w:tblW w:w="7683" w:type="dxa"/>
        <w:jc w:val="center"/>
        <w:tblCellMar>
          <w:left w:w="70" w:type="dxa"/>
          <w:right w:w="70" w:type="dxa"/>
        </w:tblCellMar>
        <w:tblLook w:val="04A0" w:firstRow="1" w:lastRow="0" w:firstColumn="1" w:lastColumn="0" w:noHBand="0" w:noVBand="1"/>
      </w:tblPr>
      <w:tblGrid>
        <w:gridCol w:w="1283"/>
        <w:gridCol w:w="1666"/>
        <w:gridCol w:w="1534"/>
        <w:gridCol w:w="1600"/>
        <w:gridCol w:w="1600"/>
      </w:tblGrid>
      <w:tr w:rsidR="00897B90" w:rsidTr="0021056B">
        <w:trPr>
          <w:trHeight w:val="315"/>
          <w:jc w:val="center"/>
        </w:trPr>
        <w:tc>
          <w:tcPr>
            <w:tcW w:w="1283" w:type="dxa"/>
            <w:tcBorders>
              <w:top w:val="nil"/>
              <w:left w:val="nil"/>
              <w:bottom w:val="single" w:sz="12" w:space="0" w:color="auto"/>
              <w:right w:val="nil"/>
            </w:tcBorders>
            <w:shd w:val="clear" w:color="auto" w:fill="auto"/>
            <w:noWrap/>
            <w:vAlign w:val="center"/>
            <w:hideMark/>
          </w:tcPr>
          <w:p w:rsidR="00897B90" w:rsidRDefault="00897B90" w:rsidP="0021056B">
            <w:pPr>
              <w:jc w:val="center"/>
              <w:rPr>
                <w:rFonts w:ascii="Calibri" w:hAnsi="Calibri" w:cs="Calibri"/>
                <w:b/>
                <w:bCs/>
                <w:color w:val="000000"/>
                <w:sz w:val="22"/>
                <w:szCs w:val="22"/>
              </w:rPr>
            </w:pPr>
            <w:r>
              <w:rPr>
                <w:rFonts w:ascii="Calibri" w:hAnsi="Calibri" w:cs="Calibri"/>
                <w:b/>
                <w:bCs/>
                <w:color w:val="000000"/>
                <w:sz w:val="22"/>
                <w:szCs w:val="22"/>
              </w:rPr>
              <w:t>Variáveis</w:t>
            </w:r>
          </w:p>
        </w:tc>
        <w:tc>
          <w:tcPr>
            <w:tcW w:w="3200" w:type="dxa"/>
            <w:gridSpan w:val="2"/>
            <w:tcBorders>
              <w:top w:val="nil"/>
              <w:left w:val="nil"/>
              <w:bottom w:val="single" w:sz="12" w:space="0" w:color="auto"/>
              <w:right w:val="nil"/>
            </w:tcBorders>
            <w:shd w:val="clear" w:color="auto" w:fill="auto"/>
            <w:noWrap/>
            <w:vAlign w:val="center"/>
            <w:hideMark/>
          </w:tcPr>
          <w:p w:rsidR="00897B90" w:rsidRDefault="00897B90" w:rsidP="0021056B">
            <w:pPr>
              <w:jc w:val="center"/>
              <w:rPr>
                <w:rFonts w:ascii="Calibri" w:hAnsi="Calibri" w:cs="Calibri"/>
                <w:b/>
                <w:bCs/>
                <w:color w:val="000000"/>
                <w:sz w:val="22"/>
                <w:szCs w:val="22"/>
              </w:rPr>
            </w:pPr>
            <w:r>
              <w:rPr>
                <w:rFonts w:ascii="Calibri" w:hAnsi="Calibri" w:cs="Calibri"/>
                <w:b/>
                <w:bCs/>
                <w:color w:val="000000"/>
                <w:sz w:val="22"/>
                <w:szCs w:val="22"/>
              </w:rPr>
              <w:t>Modelo 1 - Cournot</w:t>
            </w:r>
          </w:p>
        </w:tc>
        <w:tc>
          <w:tcPr>
            <w:tcW w:w="3200" w:type="dxa"/>
            <w:gridSpan w:val="2"/>
            <w:tcBorders>
              <w:top w:val="nil"/>
              <w:left w:val="nil"/>
              <w:bottom w:val="single" w:sz="12" w:space="0" w:color="auto"/>
              <w:right w:val="nil"/>
            </w:tcBorders>
            <w:shd w:val="clear" w:color="auto" w:fill="auto"/>
            <w:noWrap/>
            <w:vAlign w:val="center"/>
            <w:hideMark/>
          </w:tcPr>
          <w:p w:rsidR="00897B90" w:rsidRDefault="00897B90" w:rsidP="0021056B">
            <w:pPr>
              <w:jc w:val="center"/>
              <w:rPr>
                <w:rFonts w:ascii="Calibri" w:hAnsi="Calibri" w:cs="Calibri"/>
                <w:b/>
                <w:bCs/>
                <w:color w:val="000000"/>
                <w:sz w:val="22"/>
                <w:szCs w:val="22"/>
              </w:rPr>
            </w:pPr>
            <w:r>
              <w:rPr>
                <w:rFonts w:ascii="Calibri" w:hAnsi="Calibri" w:cs="Calibri"/>
                <w:b/>
                <w:bCs/>
                <w:color w:val="000000"/>
                <w:sz w:val="22"/>
                <w:szCs w:val="22"/>
              </w:rPr>
              <w:t>Modelo 2 - Bertrand</w:t>
            </w:r>
          </w:p>
        </w:tc>
      </w:tr>
      <w:tr w:rsidR="00897B90" w:rsidTr="0021056B">
        <w:trPr>
          <w:trHeight w:val="315"/>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Constante</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6,81683***</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6,76260***</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7,01466***</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7,00742***</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6,45E-91</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4,31E-106</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7,14E-101</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2,63E-127</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m</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-0,10357***</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-0,105331***</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-0,12148***</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-0,121693***</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0,0022</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0,0013</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0,0002</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0,0001</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δ</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-0,945658***</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-0,943970***</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-0,944521***</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-0,944320***</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4,26E-52</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1,02E-52</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3,74E-50</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1,73E-50</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A</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-0,162861***</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-0,163174***</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-0,194065***</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-0,194090***</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2,06E-12</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1,65E-12</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2,68E-19</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2,18E-19</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N</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-0,0384736***</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-0,0379252**</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0,009</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0,0094</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B</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0,0296608</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0,0299084</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22"/>
                <w:szCs w:val="22"/>
              </w:rPr>
            </w:pPr>
            <w:r w:rsidRPr="00DB1255">
              <w:rPr>
                <w:rFonts w:ascii="Calibri" w:hAnsi="Calibri" w:cs="Calibri"/>
                <w:i/>
                <w:color w:val="000000"/>
                <w:sz w:val="22"/>
                <w:szCs w:val="22"/>
              </w:rPr>
              <w:t>-</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22"/>
                <w:szCs w:val="22"/>
              </w:rPr>
            </w:pPr>
            <w:r w:rsidRPr="00DB1255">
              <w:rPr>
                <w:rFonts w:ascii="Calibri" w:hAnsi="Calibri" w:cs="Calibri"/>
                <w:i/>
                <w:color w:val="000000"/>
                <w:sz w:val="22"/>
                <w:szCs w:val="22"/>
              </w:rPr>
              <w:t>-</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0,4318</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0,4206</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I</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0,0619748</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0,00800243</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0,7191</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22"/>
                <w:szCs w:val="22"/>
              </w:rPr>
            </w:pPr>
            <w:r w:rsidRPr="00DB1255">
              <w:rPr>
                <w:rFonts w:ascii="Calibri" w:hAnsi="Calibri" w:cs="Calibri"/>
                <w:i/>
                <w:color w:val="000000"/>
                <w:sz w:val="22"/>
                <w:szCs w:val="22"/>
              </w:rPr>
              <w:t>-</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0,9624</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22"/>
                <w:szCs w:val="22"/>
              </w:rPr>
            </w:pPr>
            <w:r w:rsidRPr="00DB1255">
              <w:rPr>
                <w:rFonts w:ascii="Calibri" w:hAnsi="Calibri" w:cs="Calibri"/>
                <w:i/>
                <w:color w:val="000000"/>
                <w:sz w:val="22"/>
                <w:szCs w:val="22"/>
              </w:rPr>
              <w:t>-</w:t>
            </w:r>
          </w:p>
        </w:tc>
      </w:tr>
      <w:tr w:rsidR="00897B90" w:rsidTr="0021056B">
        <w:trPr>
          <w:trHeight w:val="300"/>
          <w:jc w:val="center"/>
        </w:trPr>
        <w:tc>
          <w:tcPr>
            <w:tcW w:w="1283" w:type="dxa"/>
            <w:vMerge w:val="restart"/>
            <w:tcBorders>
              <w:top w:val="nil"/>
              <w:left w:val="nil"/>
              <w:bottom w:val="single" w:sz="12" w:space="0" w:color="000000"/>
              <w:right w:val="nil"/>
            </w:tcBorders>
            <w:shd w:val="clear" w:color="auto" w:fill="auto"/>
            <w:noWrap/>
            <w:vAlign w:val="center"/>
            <w:hideMark/>
          </w:tcPr>
          <w:p w:rsidR="00897B90" w:rsidRDefault="00897B90" w:rsidP="0021056B">
            <w:pPr>
              <w:jc w:val="center"/>
              <w:rPr>
                <w:rFonts w:ascii="Calibri" w:hAnsi="Calibri" w:cs="Calibri"/>
                <w:i/>
                <w:iCs/>
                <w:color w:val="000000"/>
                <w:sz w:val="22"/>
                <w:szCs w:val="22"/>
              </w:rPr>
            </w:pPr>
            <w:r>
              <w:rPr>
                <w:rFonts w:ascii="Calibri" w:hAnsi="Calibri" w:cs="Calibri"/>
                <w:i/>
                <w:iCs/>
                <w:color w:val="000000"/>
                <w:sz w:val="22"/>
                <w:szCs w:val="22"/>
              </w:rPr>
              <w:t>R</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0,0397998*</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0,0406847*</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0,0418908*</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0,0420043*</w:t>
            </w:r>
          </w:p>
        </w:tc>
      </w:tr>
      <w:tr w:rsidR="00897B90" w:rsidTr="0021056B">
        <w:trPr>
          <w:trHeight w:val="315"/>
          <w:jc w:val="center"/>
        </w:trPr>
        <w:tc>
          <w:tcPr>
            <w:tcW w:w="1283" w:type="dxa"/>
            <w:vMerge/>
            <w:tcBorders>
              <w:top w:val="nil"/>
              <w:left w:val="nil"/>
              <w:bottom w:val="single" w:sz="12" w:space="0" w:color="000000"/>
              <w:right w:val="nil"/>
            </w:tcBorders>
            <w:vAlign w:val="center"/>
            <w:hideMark/>
          </w:tcPr>
          <w:p w:rsidR="00897B90" w:rsidRDefault="00897B90" w:rsidP="0021056B">
            <w:pPr>
              <w:rPr>
                <w:rFonts w:ascii="Calibri" w:hAnsi="Calibri" w:cs="Calibri"/>
                <w:i/>
                <w:iCs/>
                <w:color w:val="000000"/>
                <w:sz w:val="22"/>
                <w:szCs w:val="22"/>
              </w:rPr>
            </w:pPr>
          </w:p>
        </w:tc>
        <w:tc>
          <w:tcPr>
            <w:tcW w:w="1666" w:type="dxa"/>
            <w:tcBorders>
              <w:top w:val="nil"/>
              <w:left w:val="nil"/>
              <w:bottom w:val="single" w:sz="12" w:space="0" w:color="auto"/>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0,0756</w:t>
            </w:r>
          </w:p>
        </w:tc>
        <w:tc>
          <w:tcPr>
            <w:tcW w:w="1534" w:type="dxa"/>
            <w:tcBorders>
              <w:top w:val="nil"/>
              <w:left w:val="nil"/>
              <w:bottom w:val="single" w:sz="12" w:space="0" w:color="auto"/>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0,0643</w:t>
            </w:r>
          </w:p>
        </w:tc>
        <w:tc>
          <w:tcPr>
            <w:tcW w:w="1600" w:type="dxa"/>
            <w:tcBorders>
              <w:top w:val="nil"/>
              <w:left w:val="nil"/>
              <w:bottom w:val="single" w:sz="12" w:space="0" w:color="auto"/>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0,0555</w:t>
            </w:r>
          </w:p>
        </w:tc>
        <w:tc>
          <w:tcPr>
            <w:tcW w:w="1600" w:type="dxa"/>
            <w:tcBorders>
              <w:top w:val="nil"/>
              <w:left w:val="nil"/>
              <w:bottom w:val="single" w:sz="12" w:space="0" w:color="auto"/>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0,05</w:t>
            </w:r>
          </w:p>
        </w:tc>
      </w:tr>
      <w:tr w:rsidR="00897B90" w:rsidTr="0021056B">
        <w:trPr>
          <w:trHeight w:val="315"/>
          <w:jc w:val="center"/>
        </w:trPr>
        <w:tc>
          <w:tcPr>
            <w:tcW w:w="1283" w:type="dxa"/>
            <w:tcBorders>
              <w:top w:val="nil"/>
              <w:left w:val="nil"/>
              <w:bottom w:val="nil"/>
              <w:right w:val="nil"/>
            </w:tcBorders>
            <w:shd w:val="clear" w:color="auto" w:fill="auto"/>
            <w:noWrap/>
            <w:vAlign w:val="bottom"/>
            <w:hideMark/>
          </w:tcPr>
          <w:p w:rsidR="00897B90" w:rsidRDefault="00897B90" w:rsidP="0021056B">
            <w:pPr>
              <w:rPr>
                <w:color w:val="000000"/>
                <w:sz w:val="20"/>
                <w:szCs w:val="20"/>
              </w:rPr>
            </w:pPr>
          </w:p>
        </w:tc>
        <w:tc>
          <w:tcPr>
            <w:tcW w:w="1666" w:type="dxa"/>
            <w:tcBorders>
              <w:top w:val="nil"/>
              <w:left w:val="nil"/>
              <w:bottom w:val="nil"/>
              <w:right w:val="nil"/>
            </w:tcBorders>
            <w:shd w:val="clear" w:color="auto" w:fill="auto"/>
            <w:noWrap/>
            <w:vAlign w:val="bottom"/>
            <w:hideMark/>
          </w:tcPr>
          <w:p w:rsidR="00897B90" w:rsidRDefault="00897B90" w:rsidP="0021056B">
            <w:pPr>
              <w:rPr>
                <w:color w:val="000000"/>
                <w:sz w:val="20"/>
                <w:szCs w:val="20"/>
              </w:rPr>
            </w:pPr>
          </w:p>
        </w:tc>
        <w:tc>
          <w:tcPr>
            <w:tcW w:w="1534" w:type="dxa"/>
            <w:tcBorders>
              <w:top w:val="nil"/>
              <w:left w:val="nil"/>
              <w:bottom w:val="nil"/>
              <w:right w:val="nil"/>
            </w:tcBorders>
            <w:shd w:val="clear" w:color="auto" w:fill="auto"/>
            <w:noWrap/>
            <w:vAlign w:val="bottom"/>
            <w:hideMark/>
          </w:tcPr>
          <w:p w:rsidR="00897B90" w:rsidRDefault="00897B90" w:rsidP="0021056B">
            <w:pPr>
              <w:rPr>
                <w:color w:val="000000"/>
                <w:sz w:val="20"/>
                <w:szCs w:val="20"/>
              </w:rPr>
            </w:pPr>
          </w:p>
        </w:tc>
        <w:tc>
          <w:tcPr>
            <w:tcW w:w="1600" w:type="dxa"/>
            <w:tcBorders>
              <w:top w:val="nil"/>
              <w:left w:val="nil"/>
              <w:bottom w:val="nil"/>
              <w:right w:val="nil"/>
            </w:tcBorders>
            <w:shd w:val="clear" w:color="auto" w:fill="auto"/>
            <w:noWrap/>
            <w:vAlign w:val="bottom"/>
            <w:hideMark/>
          </w:tcPr>
          <w:p w:rsidR="00897B90" w:rsidRDefault="00897B90"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bottom"/>
            <w:hideMark/>
          </w:tcPr>
          <w:p w:rsidR="00897B90" w:rsidRDefault="00897B90" w:rsidP="0021056B">
            <w:pPr>
              <w:rPr>
                <w:color w:val="000000"/>
                <w:sz w:val="20"/>
                <w:szCs w:val="20"/>
              </w:rPr>
            </w:pPr>
          </w:p>
        </w:tc>
      </w:tr>
      <w:tr w:rsidR="00897B90" w:rsidTr="0021056B">
        <w:trPr>
          <w:trHeight w:val="300"/>
          <w:jc w:val="center"/>
        </w:trPr>
        <w:tc>
          <w:tcPr>
            <w:tcW w:w="1283"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R² (adj.)</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0,6161</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0,6168</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0,6097</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0,6106</w:t>
            </w:r>
          </w:p>
        </w:tc>
      </w:tr>
      <w:tr w:rsidR="00897B90" w:rsidTr="0021056B">
        <w:trPr>
          <w:trHeight w:val="300"/>
          <w:jc w:val="center"/>
        </w:trPr>
        <w:tc>
          <w:tcPr>
            <w:tcW w:w="1283" w:type="dxa"/>
            <w:vMerge w:val="restart"/>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F</w:t>
            </w:r>
          </w:p>
        </w:tc>
        <w:tc>
          <w:tcPr>
            <w:tcW w:w="1666"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72,478</w:t>
            </w:r>
          </w:p>
        </w:tc>
        <w:tc>
          <w:tcPr>
            <w:tcW w:w="1534"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87,116</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70,767</w:t>
            </w:r>
          </w:p>
        </w:tc>
        <w:tc>
          <w:tcPr>
            <w:tcW w:w="1600" w:type="dxa"/>
            <w:tcBorders>
              <w:top w:val="nil"/>
              <w:left w:val="nil"/>
              <w:bottom w:val="nil"/>
              <w:right w:val="nil"/>
            </w:tcBorders>
            <w:shd w:val="clear" w:color="auto" w:fill="auto"/>
            <w:noWrap/>
            <w:vAlign w:val="center"/>
            <w:hideMark/>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85,079</w:t>
            </w:r>
          </w:p>
        </w:tc>
      </w:tr>
      <w:tr w:rsidR="00897B90" w:rsidTr="0021056B">
        <w:trPr>
          <w:trHeight w:val="300"/>
          <w:jc w:val="center"/>
        </w:trPr>
        <w:tc>
          <w:tcPr>
            <w:tcW w:w="1283" w:type="dxa"/>
            <w:vMerge/>
            <w:tcBorders>
              <w:top w:val="nil"/>
              <w:left w:val="nil"/>
              <w:bottom w:val="nil"/>
              <w:right w:val="nil"/>
            </w:tcBorders>
            <w:vAlign w:val="center"/>
            <w:hideMark/>
          </w:tcPr>
          <w:p w:rsidR="00897B90" w:rsidRDefault="00897B90" w:rsidP="0021056B">
            <w:pPr>
              <w:rPr>
                <w:rFonts w:ascii="Calibri" w:hAnsi="Calibri" w:cs="Calibri"/>
                <w:color w:val="000000"/>
                <w:sz w:val="22"/>
                <w:szCs w:val="22"/>
              </w:rPr>
            </w:pPr>
          </w:p>
        </w:tc>
        <w:tc>
          <w:tcPr>
            <w:tcW w:w="1666"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4,98E-61</w:t>
            </w:r>
          </w:p>
        </w:tc>
        <w:tc>
          <w:tcPr>
            <w:tcW w:w="1534"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5,53E-62</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5,84E-60</w:t>
            </w:r>
          </w:p>
        </w:tc>
        <w:tc>
          <w:tcPr>
            <w:tcW w:w="1600" w:type="dxa"/>
            <w:tcBorders>
              <w:top w:val="nil"/>
              <w:left w:val="nil"/>
              <w:bottom w:val="nil"/>
              <w:right w:val="nil"/>
            </w:tcBorders>
            <w:shd w:val="clear" w:color="auto" w:fill="auto"/>
            <w:noWrap/>
            <w:vAlign w:val="center"/>
            <w:hideMark/>
          </w:tcPr>
          <w:p w:rsidR="00897B90" w:rsidRPr="00DB1255" w:rsidRDefault="00897B90" w:rsidP="0021056B">
            <w:pPr>
              <w:jc w:val="center"/>
              <w:rPr>
                <w:rFonts w:ascii="Calibri" w:hAnsi="Calibri" w:cs="Calibri"/>
                <w:i/>
                <w:color w:val="000000"/>
                <w:sz w:val="16"/>
                <w:szCs w:val="16"/>
              </w:rPr>
            </w:pPr>
            <w:r w:rsidRPr="00DB1255">
              <w:rPr>
                <w:rFonts w:ascii="Calibri" w:hAnsi="Calibri" w:cs="Calibri"/>
                <w:i/>
                <w:color w:val="000000"/>
                <w:sz w:val="16"/>
                <w:szCs w:val="16"/>
              </w:rPr>
              <w:t>6,39E-61</w:t>
            </w:r>
          </w:p>
        </w:tc>
      </w:tr>
      <w:tr w:rsidR="00897B90" w:rsidTr="0021056B">
        <w:trPr>
          <w:trHeight w:val="300"/>
          <w:jc w:val="center"/>
        </w:trPr>
        <w:tc>
          <w:tcPr>
            <w:tcW w:w="1283" w:type="dxa"/>
            <w:tcBorders>
              <w:top w:val="nil"/>
              <w:left w:val="nil"/>
              <w:bottom w:val="nil"/>
              <w:right w:val="nil"/>
            </w:tcBorders>
            <w:vAlign w:val="bottom"/>
          </w:tcPr>
          <w:p w:rsidR="00897B90" w:rsidRDefault="00897B90" w:rsidP="0021056B">
            <w:pPr>
              <w:jc w:val="center"/>
              <w:rPr>
                <w:rFonts w:ascii="Calibri" w:hAnsi="Calibri" w:cs="Calibri"/>
                <w:color w:val="000000"/>
                <w:sz w:val="22"/>
                <w:szCs w:val="22"/>
              </w:rPr>
            </w:pPr>
          </w:p>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Observações</w:t>
            </w:r>
          </w:p>
        </w:tc>
        <w:tc>
          <w:tcPr>
            <w:tcW w:w="1666" w:type="dxa"/>
            <w:tcBorders>
              <w:top w:val="nil"/>
              <w:left w:val="nil"/>
              <w:bottom w:val="nil"/>
              <w:right w:val="nil"/>
            </w:tcBorders>
            <w:shd w:val="clear" w:color="auto" w:fill="auto"/>
            <w:noWrap/>
            <w:vAlign w:val="bottom"/>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406</w:t>
            </w:r>
          </w:p>
        </w:tc>
        <w:tc>
          <w:tcPr>
            <w:tcW w:w="1534" w:type="dxa"/>
            <w:tcBorders>
              <w:top w:val="nil"/>
              <w:left w:val="nil"/>
              <w:bottom w:val="nil"/>
              <w:right w:val="nil"/>
            </w:tcBorders>
            <w:shd w:val="clear" w:color="auto" w:fill="auto"/>
            <w:noWrap/>
            <w:vAlign w:val="bottom"/>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406</w:t>
            </w:r>
          </w:p>
        </w:tc>
        <w:tc>
          <w:tcPr>
            <w:tcW w:w="1600" w:type="dxa"/>
            <w:tcBorders>
              <w:top w:val="nil"/>
              <w:left w:val="nil"/>
              <w:bottom w:val="nil"/>
              <w:right w:val="nil"/>
            </w:tcBorders>
            <w:shd w:val="clear" w:color="auto" w:fill="auto"/>
            <w:noWrap/>
            <w:vAlign w:val="bottom"/>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406</w:t>
            </w:r>
          </w:p>
        </w:tc>
        <w:tc>
          <w:tcPr>
            <w:tcW w:w="1600" w:type="dxa"/>
            <w:tcBorders>
              <w:top w:val="nil"/>
              <w:left w:val="nil"/>
              <w:bottom w:val="nil"/>
              <w:right w:val="nil"/>
            </w:tcBorders>
            <w:shd w:val="clear" w:color="auto" w:fill="auto"/>
            <w:noWrap/>
            <w:vAlign w:val="bottom"/>
          </w:tcPr>
          <w:p w:rsidR="00897B90" w:rsidRDefault="00897B90" w:rsidP="0021056B">
            <w:pPr>
              <w:jc w:val="center"/>
              <w:rPr>
                <w:rFonts w:ascii="Calibri" w:hAnsi="Calibri" w:cs="Calibri"/>
                <w:color w:val="000000"/>
                <w:sz w:val="22"/>
                <w:szCs w:val="22"/>
              </w:rPr>
            </w:pPr>
            <w:r>
              <w:rPr>
                <w:rFonts w:ascii="Calibri" w:hAnsi="Calibri" w:cs="Calibri"/>
                <w:color w:val="000000"/>
                <w:sz w:val="22"/>
                <w:szCs w:val="22"/>
              </w:rPr>
              <w:t>406</w:t>
            </w:r>
          </w:p>
        </w:tc>
      </w:tr>
    </w:tbl>
    <w:p w:rsidR="00897B90" w:rsidRDefault="00897B90" w:rsidP="00897B90">
      <w:pPr>
        <w:spacing w:before="240" w:line="360" w:lineRule="auto"/>
        <w:jc w:val="both"/>
      </w:pPr>
    </w:p>
    <w:p w:rsidR="00897B90" w:rsidRDefault="00897B90" w:rsidP="00897B90">
      <w:pPr>
        <w:ind w:left="709"/>
        <w:rPr>
          <w:sz w:val="16"/>
          <w:szCs w:val="16"/>
        </w:rPr>
      </w:pPr>
      <w:r>
        <w:rPr>
          <w:sz w:val="16"/>
          <w:szCs w:val="16"/>
        </w:rPr>
        <w:t>Obs.: ***  Estimativas significantes ao nível de 1%;</w:t>
      </w:r>
    </w:p>
    <w:p w:rsidR="00897B90" w:rsidRDefault="00897B90" w:rsidP="00897B90">
      <w:pPr>
        <w:ind w:left="709"/>
        <w:rPr>
          <w:sz w:val="16"/>
          <w:szCs w:val="16"/>
        </w:rPr>
      </w:pPr>
      <w:r>
        <w:rPr>
          <w:sz w:val="16"/>
          <w:szCs w:val="16"/>
        </w:rPr>
        <w:t xml:space="preserve">          **    Estimativas significantes ao nível de 5%;</w:t>
      </w:r>
    </w:p>
    <w:p w:rsidR="00897B90" w:rsidRDefault="00897B90" w:rsidP="00897B90">
      <w:pPr>
        <w:ind w:left="709"/>
        <w:rPr>
          <w:sz w:val="16"/>
          <w:szCs w:val="16"/>
        </w:rPr>
      </w:pPr>
      <w:r>
        <w:rPr>
          <w:sz w:val="16"/>
          <w:szCs w:val="16"/>
        </w:rPr>
        <w:t xml:space="preserve">          *       Estimativas significantes ao nível de 10%;</w:t>
      </w:r>
    </w:p>
    <w:p w:rsidR="00897B90" w:rsidRDefault="00897B90" w:rsidP="00897B90">
      <w:pPr>
        <w:ind w:left="709"/>
        <w:rPr>
          <w:sz w:val="16"/>
          <w:szCs w:val="16"/>
        </w:rPr>
      </w:pPr>
    </w:p>
    <w:p w:rsidR="00897B90" w:rsidRDefault="00897B90" w:rsidP="00897B90">
      <w:pPr>
        <w:ind w:left="709"/>
        <w:rPr>
          <w:sz w:val="16"/>
          <w:szCs w:val="16"/>
        </w:rPr>
      </w:pPr>
      <w:r>
        <w:rPr>
          <w:sz w:val="16"/>
          <w:szCs w:val="16"/>
        </w:rPr>
        <w:t>Valores em itálico representam o p-valor das estimativas.</w:t>
      </w:r>
    </w:p>
    <w:p w:rsidR="00897B90" w:rsidRDefault="00897B90" w:rsidP="00897B90">
      <w:pPr>
        <w:spacing w:line="360" w:lineRule="auto"/>
        <w:rPr>
          <w:sz w:val="20"/>
          <w:szCs w:val="20"/>
        </w:rPr>
      </w:pPr>
    </w:p>
    <w:p w:rsidR="00897B90" w:rsidRPr="00D01BF0" w:rsidRDefault="00897B90" w:rsidP="00897B90">
      <w:pPr>
        <w:spacing w:line="360" w:lineRule="auto"/>
        <w:rPr>
          <w:sz w:val="20"/>
          <w:szCs w:val="20"/>
        </w:rPr>
      </w:pPr>
      <w:r>
        <w:rPr>
          <w:sz w:val="20"/>
          <w:szCs w:val="20"/>
        </w:rPr>
        <w:t>Fonte: Elaboração própria</w:t>
      </w:r>
    </w:p>
    <w:p w:rsidR="00897B90" w:rsidRDefault="00897B90" w:rsidP="00897B90">
      <w:pPr>
        <w:spacing w:before="240" w:line="360" w:lineRule="auto"/>
        <w:jc w:val="both"/>
      </w:pPr>
      <w:r>
        <w:t xml:space="preserve">Em relação ao Modelo 1, todos os valores estimados apresentaram sinal de acordo com o previsto pelos resultados de preço de equilíbrio em concorrência imperfeita </w:t>
      </w:r>
      <w:r>
        <w:rPr>
          <w:i/>
        </w:rPr>
        <w:t>à la</w:t>
      </w:r>
      <w:r>
        <w:t xml:space="preserve"> Cournot. Nesse sentido, temos que os resultados indicam que os preços tendem a ser menores em cidades com maior demanda (</w:t>
      </w:r>
      <w:r w:rsidRPr="0038124A">
        <w:rPr>
          <w:position w:val="-10"/>
        </w:rPr>
        <w:object w:dxaOrig="300" w:dyaOrig="330">
          <v:shape id="_x0000_i1045" type="#_x0000_t75" style="width:15pt;height:16.15pt" o:ole="">
            <v:imagedata r:id="rId47" o:title=""/>
          </v:shape>
          <o:OLEObject Type="Embed" ProgID="Equation.3" ShapeID="_x0000_i1045" DrawAspect="Content" ObjectID="_1498299883" r:id="rId48"/>
        </w:object>
      </w:r>
      <w:r>
        <w:t>,</w:t>
      </w:r>
      <w:r w:rsidRPr="0038124A">
        <w:rPr>
          <w:position w:val="-12"/>
        </w:rPr>
        <w:object w:dxaOrig="300" w:dyaOrig="375">
          <v:shape id="_x0000_i1046" type="#_x0000_t75" style="width:15pt;height:18.45pt" o:ole="">
            <v:imagedata r:id="rId49" o:title=""/>
          </v:shape>
          <o:OLEObject Type="Embed" ProgID="Equation.3" ShapeID="_x0000_i1046" DrawAspect="Content" ObjectID="_1498299884" r:id="rId50"/>
        </w:object>
      </w:r>
      <w:r>
        <w:t xml:space="preserve"> e </w:t>
      </w:r>
      <w:r w:rsidRPr="0038124A">
        <w:rPr>
          <w:position w:val="-10"/>
        </w:rPr>
        <w:object w:dxaOrig="300" w:dyaOrig="330">
          <v:shape id="_x0000_i1047" type="#_x0000_t75" style="width:15pt;height:16.15pt" o:ole="">
            <v:imagedata r:id="rId51" o:title=""/>
          </v:shape>
          <o:OLEObject Type="Embed" ProgID="Equation.3" ShapeID="_x0000_i1047" DrawAspect="Content" ObjectID="_1498299885" r:id="rId52"/>
        </w:object>
      </w:r>
      <w:r>
        <w:t xml:space="preserve">). Todas as estimativas referentes às características de demanda apresentaram significância estatística ao nível de 1%. </w:t>
      </w:r>
    </w:p>
    <w:p w:rsidR="00897B90" w:rsidRDefault="00897B90" w:rsidP="00897B90">
      <w:pPr>
        <w:spacing w:before="240" w:line="360" w:lineRule="auto"/>
        <w:jc w:val="both"/>
      </w:pPr>
      <w:r>
        <w:t xml:space="preserve">No que diz respeito às condições de oferta, os resultados indicam que a entrada de um novo competidor no mercado tem uma redução esperada de 3,7% no preço da EILD </w:t>
      </w:r>
      <w:r w:rsidRPr="0038124A">
        <w:rPr>
          <w:position w:val="-12"/>
        </w:rPr>
        <w:object w:dxaOrig="495" w:dyaOrig="375">
          <v:shape id="_x0000_i1048" type="#_x0000_t75" style="width:25.35pt;height:18.45pt" o:ole="">
            <v:imagedata r:id="rId53" o:title=""/>
          </v:shape>
          <o:OLEObject Type="Embed" ProgID="Equation.3" ShapeID="_x0000_i1048" DrawAspect="Content" ObjectID="_1498299886" r:id="rId54"/>
        </w:object>
      </w:r>
      <w:r>
        <w:t xml:space="preserve">, com estimativa significante ao nível de 5%. Quanto à </w:t>
      </w:r>
      <w:r>
        <w:rPr>
          <w:i/>
        </w:rPr>
        <w:t>proxy</w:t>
      </w:r>
      <w:r>
        <w:t xml:space="preserve"> de custo, os resultados são estatisticamente significantes ao nível de 10% e indicam que a dimensão geográfica dos municípios tem um impacto de incremento do preço da EILD.</w:t>
      </w:r>
    </w:p>
    <w:p w:rsidR="00897B90" w:rsidRDefault="00897B90" w:rsidP="00897B90">
      <w:pPr>
        <w:spacing w:before="240" w:line="360" w:lineRule="auto"/>
        <w:jc w:val="both"/>
      </w:pPr>
      <w:r>
        <w:t xml:space="preserve">Além disso, os resultados também indicam que há significância conjunta das estimativas. Ainda, pode-se observar que o modelo especificado se adapta razoavelmente bem aos dados disponíveis (R² = 0,617). No que diz respeito à questão da </w:t>
      </w:r>
      <w:r w:rsidR="00C64305">
        <w:t>heteroscedasticidade</w:t>
      </w:r>
      <w:r>
        <w:t>, essa, é corrigida pela utilização de erros-padrão robustos. Quanto ao comportamento dos erros, comprovou-se normalidade dos resíduos em todos os quatro modelos estimados utilizando o teste χ² de Pearson.</w:t>
      </w:r>
    </w:p>
    <w:p w:rsidR="00897B90" w:rsidRDefault="00897B90" w:rsidP="00897B90">
      <w:pPr>
        <w:spacing w:before="240" w:line="360" w:lineRule="auto"/>
        <w:jc w:val="both"/>
      </w:pPr>
      <w:r>
        <w:t xml:space="preserve">Já em relação ao Modelo 2, todos os valores estimados apresentaram sinal de acordo com o previsto pelos resultados de preço de equilíbrio em concorrência imperfeita </w:t>
      </w:r>
      <w:r>
        <w:rPr>
          <w:i/>
        </w:rPr>
        <w:t>à la</w:t>
      </w:r>
      <w:r>
        <w:t xml:space="preserve"> Bertrand. Enquanto que os resultados referentes às estimativas de demanda são significativas ao nível de 1% e indicam que os preços tendem a ser menores em cidades com maior demanda (</w:t>
      </w:r>
      <w:r w:rsidRPr="0038124A">
        <w:rPr>
          <w:position w:val="-10"/>
        </w:rPr>
        <w:object w:dxaOrig="300" w:dyaOrig="330">
          <v:shape id="_x0000_i1049" type="#_x0000_t75" style="width:15pt;height:16.15pt" o:ole="">
            <v:imagedata r:id="rId55" o:title=""/>
          </v:shape>
          <o:OLEObject Type="Embed" ProgID="Equation.3" ShapeID="_x0000_i1049" DrawAspect="Content" ObjectID="_1498299887" r:id="rId56"/>
        </w:object>
      </w:r>
      <w:r>
        <w:t>,</w:t>
      </w:r>
      <w:r w:rsidRPr="0038124A">
        <w:rPr>
          <w:position w:val="-12"/>
        </w:rPr>
        <w:object w:dxaOrig="300" w:dyaOrig="375">
          <v:shape id="_x0000_i1050" type="#_x0000_t75" style="width:15pt;height:18.45pt" o:ole="">
            <v:imagedata r:id="rId57" o:title=""/>
          </v:shape>
          <o:OLEObject Type="Embed" ProgID="Equation.3" ShapeID="_x0000_i1050" DrawAspect="Content" ObjectID="_1498299888" r:id="rId58"/>
        </w:object>
      </w:r>
      <w:r>
        <w:t xml:space="preserve"> e </w:t>
      </w:r>
      <w:r w:rsidRPr="0038124A">
        <w:rPr>
          <w:position w:val="-10"/>
        </w:rPr>
        <w:object w:dxaOrig="300" w:dyaOrig="330">
          <v:shape id="_x0000_i1051" type="#_x0000_t75" style="width:15pt;height:16.15pt" o:ole="">
            <v:imagedata r:id="rId59" o:title=""/>
          </v:shape>
          <o:OLEObject Type="Embed" ProgID="Equation.3" ShapeID="_x0000_i1051" DrawAspect="Content" ObjectID="_1498299889" r:id="rId60"/>
        </w:object>
      </w:r>
      <w:r>
        <w:t xml:space="preserve">), por outro lado, a estimativa dos efeitos da competição </w:t>
      </w:r>
      <w:r w:rsidRPr="0038124A">
        <w:rPr>
          <w:position w:val="-12"/>
        </w:rPr>
        <w:object w:dxaOrig="495" w:dyaOrig="375">
          <v:shape id="_x0000_i1052" type="#_x0000_t75" style="width:25.35pt;height:18.45pt" o:ole="">
            <v:imagedata r:id="rId61" o:title=""/>
          </v:shape>
          <o:OLEObject Type="Embed" ProgID="Equation.3" ShapeID="_x0000_i1052" DrawAspect="Content" ObjectID="_1498299890" r:id="rId62"/>
        </w:object>
      </w:r>
      <w:r>
        <w:rPr>
          <w:position w:val="-12"/>
        </w:rPr>
        <w:t xml:space="preserve"> </w:t>
      </w:r>
      <w:r>
        <w:t xml:space="preserve">apresenta sinal de acordo do esperado, porém sem significância estatística. Quanto à </w:t>
      </w:r>
      <w:r>
        <w:rPr>
          <w:i/>
        </w:rPr>
        <w:t>proxy</w:t>
      </w:r>
      <w:r>
        <w:t xml:space="preserve"> de custo, os resultados indicam que a dimensão geográfica dos municípios tem um impacto de incremento do preço da EILD.</w:t>
      </w:r>
    </w:p>
    <w:p w:rsidR="00897B90" w:rsidRDefault="00897B90" w:rsidP="00897B90">
      <w:pPr>
        <w:spacing w:before="240" w:line="360" w:lineRule="auto"/>
        <w:jc w:val="both"/>
      </w:pPr>
      <w:r>
        <w:t xml:space="preserve">Ainda em relação ao Modelo 2, os resultados indicam que também há significância conjunta das estimativas. Ainda, pode-se observar que o modelo especificado se adapta razoavelmente bem aos dados </w:t>
      </w:r>
      <w:r>
        <w:lastRenderedPageBreak/>
        <w:t xml:space="preserve">disponíveis (R² = 0,611). No que diz respeito à questão da </w:t>
      </w:r>
      <w:r w:rsidR="00C64305">
        <w:t>heteroscedasticidade</w:t>
      </w:r>
      <w:r>
        <w:t>, essa, é corrigida pela utilização de erros-padrão robustos.</w:t>
      </w:r>
    </w:p>
    <w:p w:rsidR="00897B90" w:rsidRDefault="00897B90" w:rsidP="00897B90">
      <w:pPr>
        <w:spacing w:before="240" w:line="360" w:lineRule="auto"/>
        <w:jc w:val="both"/>
      </w:pPr>
      <w:r>
        <w:t xml:space="preserve">Assim, temos que a comparação entre os resultados entre os dois modelos indica que a competição no mercado de EILD apresenta uma estrutura competitiva mais aderente ao modelo de Cournot. Dessa forma, os dados indicam que os ofertantes de EILD competem entre si por meio da quantidade de EILD disponibilizada no mercado e não pelo preço. </w:t>
      </w:r>
    </w:p>
    <w:p w:rsidR="00897B90" w:rsidRDefault="00897B90" w:rsidP="00897B90">
      <w:pPr>
        <w:spacing w:before="240" w:line="360" w:lineRule="auto"/>
        <w:jc w:val="both"/>
      </w:pPr>
      <w:r>
        <w:t xml:space="preserve">Logo, fica fácil identificar que a decisão de cada firma no mercado está associada à construção da sua rede, e logo, à quantidade de endereços que podem ser atendidos. Dessa forma, fica claro que a competição no mercado se dá pela escolha da quantidade de EILD ofertada, que pode ser entendida como o tamanho da rede a ser construída. Essa reflexão do ponto de vista do processo produtivo deixa claro que a competição deve ser mais aderente a uma estrutura competitiva </w:t>
      </w:r>
      <w:r>
        <w:rPr>
          <w:i/>
        </w:rPr>
        <w:t>a la</w:t>
      </w:r>
      <w:r>
        <w:t xml:space="preserve"> Cournot, o que é corroborado pelos resultados dos Modelos 1 e 2.</w:t>
      </w:r>
    </w:p>
    <w:p w:rsidR="00205FC8" w:rsidRDefault="006E284C" w:rsidP="00205FC8">
      <w:pPr>
        <w:spacing w:before="240" w:line="360" w:lineRule="auto"/>
        <w:jc w:val="both"/>
        <w:rPr>
          <w:b/>
        </w:rPr>
      </w:pPr>
      <w:r>
        <w:rPr>
          <w:b/>
        </w:rPr>
        <w:t>II</w:t>
      </w:r>
      <w:r w:rsidR="00205FC8">
        <w:rPr>
          <w:b/>
        </w:rPr>
        <w:t xml:space="preserve"> – EVIDÊNCIAS E IMPACTOS DO FECHAMENTO VERTICAL</w:t>
      </w:r>
    </w:p>
    <w:p w:rsidR="00E024F5" w:rsidRDefault="00E024F5" w:rsidP="00E024F5">
      <w:pPr>
        <w:spacing w:before="240" w:line="360" w:lineRule="auto"/>
        <w:jc w:val="both"/>
      </w:pPr>
      <w:r>
        <w:t xml:space="preserve">Uma evidência de que de fato o fechamento vertical ocorre nos mercados em que a oferta de capacidade das redes de transporte por meio de EILD é feita por poucas empresas pode ser observada no Gráfico </w:t>
      </w:r>
      <w:r w:rsidR="00F64928">
        <w:t>3</w:t>
      </w:r>
      <w:r w:rsidR="00E06B03">
        <w:t xml:space="preserve"> </w:t>
      </w:r>
      <w:r>
        <w:t xml:space="preserve">abaixo. </w:t>
      </w:r>
    </w:p>
    <w:p w:rsidR="00E024F5" w:rsidRDefault="00E024F5" w:rsidP="00E024F5">
      <w:pPr>
        <w:spacing w:line="360" w:lineRule="auto"/>
        <w:rPr>
          <w:sz w:val="20"/>
          <w:szCs w:val="20"/>
        </w:rPr>
      </w:pPr>
    </w:p>
    <w:p w:rsidR="00E024F5" w:rsidRPr="00D01BF0" w:rsidRDefault="00E024F5" w:rsidP="00E024F5">
      <w:pPr>
        <w:spacing w:line="360" w:lineRule="auto"/>
        <w:rPr>
          <w:sz w:val="20"/>
          <w:szCs w:val="20"/>
        </w:rPr>
      </w:pPr>
      <w:r w:rsidRPr="00D01BF0">
        <w:rPr>
          <w:sz w:val="20"/>
          <w:szCs w:val="20"/>
        </w:rPr>
        <w:t xml:space="preserve">Gráfico </w:t>
      </w:r>
      <w:r w:rsidR="00F64928">
        <w:rPr>
          <w:sz w:val="20"/>
          <w:szCs w:val="20"/>
        </w:rPr>
        <w:t>3</w:t>
      </w:r>
      <w:r w:rsidRPr="00D01BF0">
        <w:rPr>
          <w:sz w:val="20"/>
          <w:szCs w:val="20"/>
        </w:rPr>
        <w:t xml:space="preserve"> – Relação entre concentração de mercado e a quantidade de ofertantes</w:t>
      </w:r>
    </w:p>
    <w:p w:rsidR="00E024F5" w:rsidRDefault="00E024F5" w:rsidP="00E024F5">
      <w:pPr>
        <w:spacing w:before="240" w:line="360" w:lineRule="auto"/>
        <w:jc w:val="center"/>
        <w:rPr>
          <w:noProof/>
        </w:rPr>
      </w:pPr>
      <w:r>
        <w:rPr>
          <w:noProof/>
        </w:rPr>
        <w:drawing>
          <wp:inline distT="0" distB="0" distL="0" distR="0" wp14:anchorId="22882559" wp14:editId="5C0D9050">
            <wp:extent cx="3638550" cy="1971675"/>
            <wp:effectExtent l="0" t="0" r="19050" b="9525"/>
            <wp:docPr id="42" name="Imagem 4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E024F5" w:rsidRPr="00D01BF0" w:rsidRDefault="00E024F5" w:rsidP="00E024F5">
      <w:pPr>
        <w:spacing w:line="360" w:lineRule="auto"/>
        <w:rPr>
          <w:sz w:val="20"/>
          <w:szCs w:val="20"/>
        </w:rPr>
      </w:pPr>
      <w:r w:rsidRPr="00D01BF0">
        <w:rPr>
          <w:sz w:val="20"/>
          <w:szCs w:val="20"/>
        </w:rPr>
        <w:t>Fonte: ANATEL</w:t>
      </w:r>
    </w:p>
    <w:p w:rsidR="00E024F5" w:rsidRDefault="00E024F5" w:rsidP="00E024F5">
      <w:pPr>
        <w:spacing w:before="240" w:line="360" w:lineRule="auto"/>
        <w:jc w:val="both"/>
      </w:pPr>
      <w:r>
        <w:t>Conforme podemos observar, os níveis de concentração do mercado de banda larga (</w:t>
      </w:r>
      <w:r>
        <w:rPr>
          <w:i/>
        </w:rPr>
        <w:t>downstream</w:t>
      </w:r>
      <w:r w:rsidRPr="00703A6B">
        <w:t>)</w:t>
      </w:r>
      <w:r>
        <w:t xml:space="preserve"> tendem a ser maiores nos municípios em que não há competição na oferta de EILD (</w:t>
      </w:r>
      <w:r>
        <w:rPr>
          <w:i/>
        </w:rPr>
        <w:t>upstream</w:t>
      </w:r>
      <w:r>
        <w:t xml:space="preserve">), ou seja, nas cidades em que a rede de transporte é um gargalo para os ofertantes de banda larga. Em especial, a evidência de fechamento vertical fica bastante </w:t>
      </w:r>
      <w:r w:rsidR="00610F55">
        <w:t>clara</w:t>
      </w:r>
      <w:r>
        <w:t xml:space="preserve"> quando consideramos os municípios em que há </w:t>
      </w:r>
      <w:r>
        <w:lastRenderedPageBreak/>
        <w:t>apenas uma oferta</w:t>
      </w:r>
      <w:r w:rsidR="00755F95">
        <w:t>nte</w:t>
      </w:r>
      <w:r>
        <w:t xml:space="preserve"> de EILD. Conforme apresentado acima, nesses municípios identifica-se uma concentração muito elevada do mercado de banda larga, praticamente um monopólio (HHI de 0,99).</w:t>
      </w:r>
    </w:p>
    <w:p w:rsidR="00E024F5" w:rsidRDefault="00E024F5" w:rsidP="00E024F5">
      <w:pPr>
        <w:spacing w:before="240" w:line="360" w:lineRule="auto"/>
        <w:jc w:val="both"/>
      </w:pPr>
      <w:r>
        <w:t xml:space="preserve">Quando contrapomos as curvas apresentadas no Gráfico </w:t>
      </w:r>
      <w:r w:rsidR="00001846">
        <w:t>3</w:t>
      </w:r>
      <w:r>
        <w:t xml:space="preserve"> </w:t>
      </w:r>
      <w:r w:rsidR="00001846">
        <w:t>com os preços médios de EILD</w:t>
      </w:r>
      <w:r>
        <w:t>, percebemos que a concentração do mercado de banda larga é altamente correlacionada com o preço da EILD</w:t>
      </w:r>
      <w:r w:rsidR="00BD2E6C">
        <w:t>, conforme</w:t>
      </w:r>
      <w:r>
        <w:t xml:space="preserve"> Gráfico</w:t>
      </w:r>
      <w:r w:rsidR="00BD2E6C">
        <w:t xml:space="preserve"> 4 abaixo</w:t>
      </w:r>
      <w:r>
        <w:t xml:space="preserve">. </w:t>
      </w:r>
    </w:p>
    <w:p w:rsidR="00E024F5" w:rsidRDefault="00E024F5" w:rsidP="00E024F5">
      <w:pPr>
        <w:spacing w:line="360" w:lineRule="auto"/>
        <w:rPr>
          <w:sz w:val="20"/>
          <w:szCs w:val="20"/>
        </w:rPr>
      </w:pPr>
    </w:p>
    <w:p w:rsidR="00E024F5" w:rsidRPr="00D01BF0" w:rsidRDefault="00E024F5" w:rsidP="00E024F5">
      <w:pPr>
        <w:spacing w:line="360" w:lineRule="auto"/>
        <w:rPr>
          <w:sz w:val="20"/>
          <w:szCs w:val="20"/>
        </w:rPr>
      </w:pPr>
      <w:r w:rsidRPr="00D01BF0">
        <w:rPr>
          <w:sz w:val="20"/>
          <w:szCs w:val="20"/>
        </w:rPr>
        <w:t xml:space="preserve">Gráfico </w:t>
      </w:r>
      <w:r w:rsidR="00001846">
        <w:rPr>
          <w:sz w:val="20"/>
          <w:szCs w:val="20"/>
        </w:rPr>
        <w:t>4</w:t>
      </w:r>
      <w:r w:rsidRPr="00D01BF0">
        <w:rPr>
          <w:sz w:val="20"/>
          <w:szCs w:val="20"/>
        </w:rPr>
        <w:t xml:space="preserve"> – Relação entre preços de EILD, concentração de mercado e a quantidade de ofertantes</w:t>
      </w:r>
    </w:p>
    <w:p w:rsidR="00E024F5" w:rsidRDefault="00E024F5" w:rsidP="00E024F5">
      <w:pPr>
        <w:spacing w:before="240" w:line="360" w:lineRule="auto"/>
        <w:jc w:val="center"/>
      </w:pPr>
      <w:r w:rsidRPr="00EA3AC5">
        <w:rPr>
          <w:noProof/>
        </w:rPr>
        <w:drawing>
          <wp:inline distT="0" distB="0" distL="0" distR="0" wp14:anchorId="0F6623C2" wp14:editId="5C768305">
            <wp:extent cx="4257675" cy="2548691"/>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68486" cy="2555163"/>
                    </a:xfrm>
                    <a:prstGeom prst="rect">
                      <a:avLst/>
                    </a:prstGeom>
                    <a:noFill/>
                    <a:ln>
                      <a:noFill/>
                    </a:ln>
                    <a:effectLst>
                      <a:softEdge rad="0"/>
                    </a:effectLst>
                    <a:extLst/>
                  </pic:spPr>
                </pic:pic>
              </a:graphicData>
            </a:graphic>
          </wp:inline>
        </w:drawing>
      </w:r>
    </w:p>
    <w:p w:rsidR="00E024F5" w:rsidRPr="00D01BF0" w:rsidRDefault="00E024F5" w:rsidP="00E024F5">
      <w:pPr>
        <w:spacing w:line="360" w:lineRule="auto"/>
        <w:rPr>
          <w:sz w:val="20"/>
          <w:szCs w:val="20"/>
        </w:rPr>
      </w:pPr>
      <w:r w:rsidRPr="00D01BF0">
        <w:rPr>
          <w:sz w:val="20"/>
          <w:szCs w:val="20"/>
        </w:rPr>
        <w:t>Fonte: ANATEL</w:t>
      </w:r>
    </w:p>
    <w:p w:rsidR="00E024F5" w:rsidRDefault="00E024F5" w:rsidP="00E024F5">
      <w:pPr>
        <w:spacing w:before="240" w:line="360" w:lineRule="auto"/>
        <w:jc w:val="both"/>
      </w:pPr>
      <w:r w:rsidRPr="00A7519B">
        <w:t>Como</w:t>
      </w:r>
      <w:r>
        <w:t xml:space="preserve"> podemos ver, os dados indicam uma alta correlação entre o preço da EILD e a concentração do mercado varejista de banda larga. Essa evidência está de acordo com o previsto na literatura sobre fechamento vertical (Rey </w:t>
      </w:r>
      <w:r w:rsidR="007D132B">
        <w:t>and</w:t>
      </w:r>
      <w:r>
        <w:t xml:space="preserve"> Tirole, 2006), e revela que as ofertantes do mercado de redes de transporte de fato utilizam seu poder de mercado na oferta de EILD para reduzir a competição no mercado varejista de banda larga.</w:t>
      </w:r>
    </w:p>
    <w:p w:rsidR="00E024F5" w:rsidRDefault="00E024F5" w:rsidP="00E024F5">
      <w:pPr>
        <w:spacing w:before="240" w:line="360" w:lineRule="auto"/>
        <w:jc w:val="both"/>
      </w:pPr>
      <w:r>
        <w:t xml:space="preserve">Quando consideramos os dados apresentados no Gráfico </w:t>
      </w:r>
      <w:r w:rsidR="00001846">
        <w:t>4</w:t>
      </w:r>
      <w:r>
        <w:t>, identificamos que a prática do fechamento vertical pode ter um efeito sobre a penetração do serviço de banda larga nos municípios. Ou seja, o abuso do poder de mercado na oferta de EILD permite uma concentração de mercado na oferta de banda larga para o usuário final, de tal forma que o poder de mercado na oferta de EILD é replicado no mercado do produto final, gerando assim uma quantidade demandada pela banda larga que está aquém daquela que seria encontrada em um cenário sem o fechamento vertical.</w:t>
      </w:r>
    </w:p>
    <w:p w:rsidR="00E024F5" w:rsidRDefault="00E024F5" w:rsidP="00E024F5">
      <w:pPr>
        <w:spacing w:before="240" w:line="360" w:lineRule="auto"/>
        <w:jc w:val="both"/>
      </w:pPr>
      <w:r>
        <w:t xml:space="preserve">Os determinantes da penetração da banda larga nos municípios brasileiros foram investigados por Macedo e Carvalho (2010b). Os autores utilizaram dados municipais para identificar quais os possíveis determinantes da penetração da banda larga. Nesse contexto, utilizaram como variáveis explicativas o </w:t>
      </w:r>
      <w:r>
        <w:lastRenderedPageBreak/>
        <w:t xml:space="preserve">nível de concentração do mercado de banda larga, bem como o nível de competição entre diferentes plataformas tecnológicas, conforme Distaso </w:t>
      </w:r>
      <w:r w:rsidRPr="0010035B">
        <w:rPr>
          <w:i/>
        </w:rPr>
        <w:t>et al</w:t>
      </w:r>
      <w:r>
        <w:t xml:space="preserve"> (2006).</w:t>
      </w:r>
    </w:p>
    <w:p w:rsidR="00E024F5" w:rsidRDefault="00E024F5" w:rsidP="00E024F5">
      <w:pPr>
        <w:spacing w:before="240" w:line="360" w:lineRule="auto"/>
        <w:jc w:val="both"/>
      </w:pPr>
      <w:r>
        <w:t>Entretanto, destacam os autores que:</w:t>
      </w:r>
    </w:p>
    <w:p w:rsidR="00E024F5" w:rsidRPr="00A12E13" w:rsidRDefault="00E024F5" w:rsidP="00E024F5">
      <w:pPr>
        <w:spacing w:before="240"/>
        <w:ind w:left="2268"/>
        <w:jc w:val="both"/>
        <w:rPr>
          <w:sz w:val="20"/>
          <w:szCs w:val="20"/>
        </w:rPr>
      </w:pPr>
      <w:r w:rsidRPr="00A12E13">
        <w:rPr>
          <w:sz w:val="20"/>
          <w:szCs w:val="20"/>
        </w:rPr>
        <w:t xml:space="preserve">(...) houve resultados que não corresponderam ao esperado. As análises de regressão, neste caso específico, utilizando-se este conjunto de dados disponíveis em particular, não indicaram um relacionamento positivo entre aumento da competição entre empresas e aumento da penetração do serviço. Talvez isto se explique pelo alto grau de concentração econômica na exploração do serviço ao nível do município. (Macedo e Carvalho, 2010b, p. 26) </w:t>
      </w:r>
    </w:p>
    <w:p w:rsidR="00E024F5" w:rsidRDefault="00E024F5" w:rsidP="00E024F5">
      <w:pPr>
        <w:spacing w:before="240" w:line="360" w:lineRule="auto"/>
        <w:jc w:val="both"/>
      </w:pPr>
      <w:r>
        <w:t>Tendo em vista toda a discussão sobre o fechamento vertical, bem como as evidências desse fechamento no caso brasileiro, vamos avaliar se a incorporação das variáveis referentes à quantidade de competidores no mercado de EILD ou o preço médio da EILD nos municípios melhora os resultados do modelo.</w:t>
      </w:r>
    </w:p>
    <w:p w:rsidR="00E024F5" w:rsidRDefault="00E024F5" w:rsidP="00E024F5">
      <w:pPr>
        <w:spacing w:before="240" w:line="360" w:lineRule="auto"/>
        <w:jc w:val="both"/>
      </w:pPr>
      <w:r>
        <w:t xml:space="preserve">Assim, iremos </w:t>
      </w:r>
      <w:r w:rsidR="00CA5CAC">
        <w:t>aprimorar os modelos</w:t>
      </w:r>
      <w:r>
        <w:t xml:space="preserve"> de Macedo e Carvalho (2010b) utilizando como variáveis explicativas a quantidade de ofertantes de EILD e o preço médio da EILD nos municípios. Além disso, utilizaremos os dados mais atualizados disponíveis, ou seja, referentes a 2010. Seja então </w:t>
      </w:r>
      <w:r w:rsidRPr="00042403">
        <w:rPr>
          <w:position w:val="-12"/>
        </w:rPr>
        <w:object w:dxaOrig="320" w:dyaOrig="360">
          <v:shape id="_x0000_i1053" type="#_x0000_t75" style="width:16.15pt;height:18.45pt" o:ole="">
            <v:imagedata r:id="rId65" o:title=""/>
          </v:shape>
          <o:OLEObject Type="Embed" ProgID="Equation.3" ShapeID="_x0000_i1053" DrawAspect="Content" ObjectID="_1498299891" r:id="rId66"/>
        </w:object>
      </w:r>
      <w:r>
        <w:t xml:space="preserve"> o conjunto de variáveis de controle, estimaremos então o seguinte modelo:</w:t>
      </w:r>
    </w:p>
    <w:p w:rsidR="00E024F5" w:rsidRDefault="00E024F5" w:rsidP="00066724">
      <w:pPr>
        <w:spacing w:before="240" w:line="360" w:lineRule="auto"/>
        <w:jc w:val="both"/>
        <w:rPr>
          <w:position w:val="-14"/>
        </w:rPr>
      </w:pPr>
      <w:r>
        <w:t>Modelo 1</w:t>
      </w:r>
      <w:r w:rsidR="00066724">
        <w:t xml:space="preserve">: </w:t>
      </w:r>
      <w:r w:rsidRPr="00C9680E">
        <w:rPr>
          <w:position w:val="-14"/>
        </w:rPr>
        <w:object w:dxaOrig="5740" w:dyaOrig="380">
          <v:shape id="_x0000_i1054" type="#_x0000_t75" style="width:287.3pt;height:18.45pt" o:ole="">
            <v:imagedata r:id="rId67" o:title=""/>
          </v:shape>
          <o:OLEObject Type="Embed" ProgID="Equation.3" ShapeID="_x0000_i1054" DrawAspect="Content" ObjectID="_1498299892" r:id="rId68"/>
        </w:object>
      </w:r>
    </w:p>
    <w:p w:rsidR="00E024F5" w:rsidRDefault="00E024F5" w:rsidP="00066724">
      <w:pPr>
        <w:spacing w:before="240" w:line="360" w:lineRule="auto"/>
        <w:jc w:val="both"/>
        <w:rPr>
          <w:position w:val="-14"/>
        </w:rPr>
      </w:pPr>
      <w:r>
        <w:t>Modelo 2</w:t>
      </w:r>
      <w:r w:rsidR="00066724">
        <w:t xml:space="preserve">: </w:t>
      </w:r>
      <w:r w:rsidRPr="0038472E">
        <w:rPr>
          <w:position w:val="-14"/>
        </w:rPr>
        <w:object w:dxaOrig="6000" w:dyaOrig="380">
          <v:shape id="_x0000_i1055" type="#_x0000_t75" style="width:299.4pt;height:18.45pt" o:ole="">
            <v:imagedata r:id="rId69" o:title=""/>
          </v:shape>
          <o:OLEObject Type="Embed" ProgID="Equation.3" ShapeID="_x0000_i1055" DrawAspect="Content" ObjectID="_1498299893" r:id="rId70"/>
        </w:object>
      </w:r>
    </w:p>
    <w:p w:rsidR="005659FB" w:rsidRDefault="00E024F5" w:rsidP="00066724">
      <w:pPr>
        <w:spacing w:before="240" w:line="360" w:lineRule="auto"/>
        <w:jc w:val="both"/>
      </w:pPr>
      <w:r>
        <w:t>Modelo 3</w:t>
      </w:r>
      <w:r w:rsidR="00066724">
        <w:t xml:space="preserve">: </w:t>
      </w:r>
      <w:r w:rsidR="00066724" w:rsidRPr="0038472E">
        <w:rPr>
          <w:position w:val="-14"/>
        </w:rPr>
        <w:object w:dxaOrig="8280" w:dyaOrig="380">
          <v:shape id="_x0000_i1097" type="#_x0000_t75" style="width:370.55pt;height:17.25pt" o:ole="">
            <v:imagedata r:id="rId71" o:title=""/>
          </v:shape>
          <o:OLEObject Type="Embed" ProgID="Equation.3" ShapeID="_x0000_i1097" DrawAspect="Content" ObjectID="_1498299894" r:id="rId72"/>
        </w:object>
      </w:r>
    </w:p>
    <w:p w:rsidR="00E024F5" w:rsidRDefault="00E024F5" w:rsidP="00066724">
      <w:pPr>
        <w:spacing w:before="240" w:line="360" w:lineRule="auto"/>
        <w:jc w:val="both"/>
      </w:pPr>
      <w:r>
        <w:t>Modelo 4</w:t>
      </w:r>
      <w:r w:rsidR="00066724">
        <w:t xml:space="preserve">: </w:t>
      </w:r>
      <w:r w:rsidRPr="003F5BB7">
        <w:rPr>
          <w:position w:val="-14"/>
        </w:rPr>
        <w:object w:dxaOrig="3960" w:dyaOrig="380">
          <v:shape id="_x0000_i1056" type="#_x0000_t75" style="width:197.6pt;height:18.45pt" o:ole="">
            <v:imagedata r:id="rId73" o:title=""/>
          </v:shape>
          <o:OLEObject Type="Embed" ProgID="Equation.3" ShapeID="_x0000_i1056" DrawAspect="Content" ObjectID="_1498299895" r:id="rId74"/>
        </w:object>
      </w:r>
      <w:r w:rsidRPr="00C55486">
        <w:t xml:space="preserve"> </w:t>
      </w:r>
    </w:p>
    <w:p w:rsidR="00E024F5" w:rsidRDefault="00E024F5" w:rsidP="00066724">
      <w:pPr>
        <w:spacing w:before="240" w:line="360" w:lineRule="auto"/>
        <w:jc w:val="both"/>
      </w:pPr>
      <w:r>
        <w:t>Modelo 5</w:t>
      </w:r>
      <w:r w:rsidR="00066724">
        <w:t xml:space="preserve">: </w:t>
      </w:r>
      <w:r w:rsidRPr="006B13E1">
        <w:rPr>
          <w:position w:val="-14"/>
        </w:rPr>
        <w:object w:dxaOrig="4700" w:dyaOrig="380">
          <v:shape id="_x0000_i1057" type="#_x0000_t75" style="width:234.55pt;height:18.45pt" o:ole="">
            <v:imagedata r:id="rId75" o:title=""/>
          </v:shape>
          <o:OLEObject Type="Embed" ProgID="Equation.3" ShapeID="_x0000_i1057" DrawAspect="Content" ObjectID="_1498299896" r:id="rId76"/>
        </w:object>
      </w:r>
    </w:p>
    <w:p w:rsidR="00E024F5" w:rsidRDefault="00E024F5" w:rsidP="00066724">
      <w:pPr>
        <w:spacing w:before="240" w:line="360" w:lineRule="auto"/>
        <w:jc w:val="both"/>
        <w:rPr>
          <w:position w:val="-14"/>
        </w:rPr>
      </w:pPr>
      <w:r>
        <w:t>Modelo 6</w:t>
      </w:r>
      <w:r w:rsidR="00066724">
        <w:t xml:space="preserve">: </w:t>
      </w:r>
      <w:r w:rsidR="00714BA1" w:rsidRPr="005D059A">
        <w:rPr>
          <w:position w:val="-14"/>
        </w:rPr>
        <w:object w:dxaOrig="7520" w:dyaOrig="380">
          <v:shape id="_x0000_i1058" type="#_x0000_t75" style="width:353.8pt;height:17.65pt" o:ole="">
            <v:imagedata r:id="rId77" o:title=""/>
          </v:shape>
          <o:OLEObject Type="Embed" ProgID="Equation.3" ShapeID="_x0000_i1058" DrawAspect="Content" ObjectID="_1498299897" r:id="rId78"/>
        </w:object>
      </w:r>
    </w:p>
    <w:p w:rsidR="00E024F5" w:rsidRDefault="00E024F5" w:rsidP="00E024F5">
      <w:pPr>
        <w:spacing w:before="240" w:line="360" w:lineRule="auto"/>
        <w:jc w:val="both"/>
      </w:pPr>
      <w:r>
        <w:t>No quadro abaixo apresentamos a definição de cada variável dos modelos, incluindo as variáveis de controle utilizadas, conforme Macedo e Carvalho (2010b).</w:t>
      </w:r>
    </w:p>
    <w:p w:rsidR="0079136B" w:rsidRDefault="0079136B" w:rsidP="00E024F5">
      <w:pPr>
        <w:spacing w:line="360" w:lineRule="auto"/>
        <w:rPr>
          <w:sz w:val="20"/>
          <w:szCs w:val="20"/>
        </w:rPr>
      </w:pPr>
    </w:p>
    <w:p w:rsidR="00E024F5" w:rsidRPr="003D7368" w:rsidRDefault="00E024F5" w:rsidP="00E024F5">
      <w:pPr>
        <w:spacing w:line="360" w:lineRule="auto"/>
        <w:rPr>
          <w:sz w:val="20"/>
          <w:szCs w:val="20"/>
        </w:rPr>
      </w:pPr>
      <w:r w:rsidRPr="003D7368">
        <w:rPr>
          <w:sz w:val="20"/>
          <w:szCs w:val="20"/>
        </w:rPr>
        <w:t>Tabela 3 – Descrição das variáveis utilizadas</w:t>
      </w:r>
    </w:p>
    <w:tbl>
      <w:tblPr>
        <w:tblW w:w="6900" w:type="dxa"/>
        <w:jc w:val="center"/>
        <w:tblCellMar>
          <w:left w:w="70" w:type="dxa"/>
          <w:right w:w="70" w:type="dxa"/>
        </w:tblCellMar>
        <w:tblLook w:val="04A0" w:firstRow="1" w:lastRow="0" w:firstColumn="1" w:lastColumn="0" w:noHBand="0" w:noVBand="1"/>
      </w:tblPr>
      <w:tblGrid>
        <w:gridCol w:w="1980"/>
        <w:gridCol w:w="3460"/>
        <w:gridCol w:w="1460"/>
      </w:tblGrid>
      <w:tr w:rsidR="00E024F5" w:rsidTr="0021056B">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b/>
                <w:bCs/>
                <w:color w:val="000000"/>
                <w:sz w:val="20"/>
                <w:szCs w:val="20"/>
              </w:rPr>
            </w:pPr>
            <w:r w:rsidRPr="0079136B">
              <w:rPr>
                <w:rFonts w:ascii="Calibri" w:hAnsi="Calibri" w:cs="Calibri"/>
                <w:b/>
                <w:bCs/>
                <w:color w:val="000000"/>
                <w:sz w:val="20"/>
                <w:szCs w:val="20"/>
              </w:rPr>
              <w:t>Variável</w:t>
            </w:r>
          </w:p>
        </w:tc>
        <w:tc>
          <w:tcPr>
            <w:tcW w:w="3460" w:type="dxa"/>
            <w:tcBorders>
              <w:top w:val="single" w:sz="4" w:space="0" w:color="auto"/>
              <w:left w:val="nil"/>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b/>
                <w:bCs/>
                <w:color w:val="000000"/>
                <w:sz w:val="20"/>
                <w:szCs w:val="20"/>
              </w:rPr>
            </w:pPr>
            <w:r w:rsidRPr="0079136B">
              <w:rPr>
                <w:rFonts w:ascii="Calibri" w:hAnsi="Calibri" w:cs="Calibri"/>
                <w:b/>
                <w:bCs/>
                <w:color w:val="000000"/>
                <w:sz w:val="20"/>
                <w:szCs w:val="20"/>
              </w:rPr>
              <w:t>Definição</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b/>
                <w:bCs/>
                <w:color w:val="000000"/>
                <w:sz w:val="20"/>
                <w:szCs w:val="20"/>
              </w:rPr>
            </w:pPr>
            <w:r w:rsidRPr="0079136B">
              <w:rPr>
                <w:rFonts w:ascii="Calibri" w:hAnsi="Calibri" w:cs="Calibri"/>
                <w:b/>
                <w:bCs/>
                <w:color w:val="000000"/>
                <w:sz w:val="20"/>
                <w:szCs w:val="20"/>
              </w:rPr>
              <w:t>Fonte</w:t>
            </w:r>
          </w:p>
        </w:tc>
      </w:tr>
      <w:tr w:rsidR="00E024F5" w:rsidTr="0021056B">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center"/>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Penet</w:t>
            </w:r>
          </w:p>
        </w:tc>
        <w:tc>
          <w:tcPr>
            <w:tcW w:w="3460" w:type="dxa"/>
            <w:tcBorders>
              <w:top w:val="nil"/>
              <w:left w:val="single" w:sz="4" w:space="0" w:color="auto"/>
              <w:bottom w:val="single" w:sz="4" w:space="0" w:color="auto"/>
              <w:right w:val="single" w:sz="4" w:space="0" w:color="auto"/>
            </w:tcBorders>
            <w:shd w:val="clear" w:color="auto" w:fill="auto"/>
            <w:vAlign w:val="center"/>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Penetração da banda larga no município</w:t>
            </w:r>
          </w:p>
        </w:tc>
        <w:tc>
          <w:tcPr>
            <w:tcW w:w="1460" w:type="dxa"/>
            <w:tcBorders>
              <w:top w:val="nil"/>
              <w:left w:val="single" w:sz="4" w:space="0" w:color="auto"/>
              <w:bottom w:val="single" w:sz="4" w:space="0" w:color="auto"/>
              <w:right w:val="single" w:sz="4" w:space="0" w:color="auto"/>
            </w:tcBorders>
            <w:shd w:val="clear" w:color="auto" w:fill="auto"/>
            <w:vAlign w:val="center"/>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ANATEL</w:t>
            </w: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%Agro</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Percentual do PIB do município decorrente de atividades agropecuárias</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IBGE</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%Ind.</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Percentual do PIB do município decorrente de atividades industriais</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IBGE</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lastRenderedPageBreak/>
              <w:t>%Serv.</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Percentual do PIB do município decorrente de atividades de prestação de serviços</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IBGE</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IFDM_Edu</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Índice FIRJAN de desenvolvimento da educação</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FIRJAN</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IFDM_Emp</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Índice FIRJAN de desenvolvimento do emprego e renda</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FIRJAN</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IFDM_Saude</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Índice FIRJAN de desenvolvimento da saúde</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FIRJAN</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DPPU</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Quantidade de Domicílios Permanentes Urbanos</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IBGE</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PIBpc</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PIB per capita</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IBGE</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HHI_empresas</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HHI do mercado de banda larga</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ANATEL</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HHI_tecnologias</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HHI entre as tecnologias DSL e HFC</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ANATEL</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N</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Quantidade de ofertantes de EILD</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ANATEL</w:t>
            </w:r>
          </w:p>
        </w:tc>
      </w:tr>
      <w:tr w:rsidR="00E024F5" w:rsidTr="0021056B">
        <w:trPr>
          <w:trHeight w:val="300"/>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i/>
                <w:iCs/>
                <w:color w:val="000000"/>
                <w:sz w:val="20"/>
                <w:szCs w:val="20"/>
              </w:rPr>
            </w:pPr>
          </w:p>
        </w:tc>
        <w:tc>
          <w:tcPr>
            <w:tcW w:w="3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c>
          <w:tcPr>
            <w:tcW w:w="1460" w:type="dxa"/>
            <w:vMerge/>
            <w:tcBorders>
              <w:top w:val="nil"/>
              <w:left w:val="single" w:sz="4" w:space="0" w:color="auto"/>
              <w:bottom w:val="single" w:sz="4" w:space="0" w:color="auto"/>
              <w:right w:val="single" w:sz="4" w:space="0" w:color="auto"/>
            </w:tcBorders>
            <w:vAlign w:val="center"/>
            <w:hideMark/>
          </w:tcPr>
          <w:p w:rsidR="00E024F5" w:rsidRPr="0079136B" w:rsidRDefault="00E024F5" w:rsidP="0021056B">
            <w:pPr>
              <w:rPr>
                <w:rFonts w:ascii="Calibri" w:hAnsi="Calibri" w:cs="Calibri"/>
                <w:color w:val="000000"/>
                <w:sz w:val="20"/>
                <w:szCs w:val="20"/>
              </w:rPr>
            </w:pPr>
          </w:p>
        </w:tc>
      </w:tr>
      <w:tr w:rsidR="00E024F5" w:rsidTr="0021056B">
        <w:trPr>
          <w:trHeight w:val="300"/>
          <w:jc w:val="center"/>
        </w:trPr>
        <w:tc>
          <w:tcPr>
            <w:tcW w:w="19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024F5" w:rsidRPr="0079136B" w:rsidRDefault="00E024F5" w:rsidP="0021056B">
            <w:pPr>
              <w:jc w:val="center"/>
              <w:rPr>
                <w:rFonts w:ascii="Calibri" w:hAnsi="Calibri" w:cs="Calibri"/>
                <w:i/>
                <w:iCs/>
                <w:color w:val="000000"/>
                <w:sz w:val="20"/>
                <w:szCs w:val="20"/>
              </w:rPr>
            </w:pPr>
            <w:r w:rsidRPr="0079136B">
              <w:rPr>
                <w:rFonts w:ascii="Calibri" w:hAnsi="Calibri" w:cs="Calibri"/>
                <w:i/>
                <w:iCs/>
                <w:color w:val="000000"/>
                <w:sz w:val="20"/>
                <w:szCs w:val="20"/>
              </w:rPr>
              <w:t>EILD</w:t>
            </w:r>
          </w:p>
        </w:tc>
        <w:tc>
          <w:tcPr>
            <w:tcW w:w="3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Preço médio da EILD</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E024F5" w:rsidRPr="0079136B" w:rsidRDefault="00E024F5" w:rsidP="0021056B">
            <w:pPr>
              <w:rPr>
                <w:rFonts w:ascii="Calibri" w:hAnsi="Calibri" w:cs="Calibri"/>
                <w:color w:val="000000"/>
                <w:sz w:val="20"/>
                <w:szCs w:val="20"/>
              </w:rPr>
            </w:pPr>
            <w:r w:rsidRPr="0079136B">
              <w:rPr>
                <w:rFonts w:ascii="Calibri" w:hAnsi="Calibri" w:cs="Calibri"/>
                <w:color w:val="000000"/>
                <w:sz w:val="20"/>
                <w:szCs w:val="20"/>
              </w:rPr>
              <w:t>ANATEL</w:t>
            </w:r>
          </w:p>
        </w:tc>
      </w:tr>
      <w:tr w:rsidR="00E024F5" w:rsidTr="0021056B">
        <w:trPr>
          <w:trHeight w:val="315"/>
          <w:jc w:val="center"/>
        </w:trPr>
        <w:tc>
          <w:tcPr>
            <w:tcW w:w="1980" w:type="dxa"/>
            <w:vMerge/>
            <w:tcBorders>
              <w:top w:val="nil"/>
              <w:left w:val="single" w:sz="4" w:space="0" w:color="auto"/>
              <w:bottom w:val="single" w:sz="4" w:space="0" w:color="auto"/>
              <w:right w:val="single" w:sz="4" w:space="0" w:color="auto"/>
            </w:tcBorders>
            <w:vAlign w:val="center"/>
            <w:hideMark/>
          </w:tcPr>
          <w:p w:rsidR="00E024F5" w:rsidRDefault="00E024F5" w:rsidP="0021056B">
            <w:pPr>
              <w:rPr>
                <w:rFonts w:ascii="Calibri" w:hAnsi="Calibri" w:cs="Calibri"/>
                <w:i/>
                <w:iCs/>
                <w:color w:val="000000"/>
                <w:sz w:val="22"/>
                <w:szCs w:val="22"/>
              </w:rPr>
            </w:pPr>
          </w:p>
        </w:tc>
        <w:tc>
          <w:tcPr>
            <w:tcW w:w="3460" w:type="dxa"/>
            <w:vMerge/>
            <w:tcBorders>
              <w:top w:val="nil"/>
              <w:left w:val="single" w:sz="4" w:space="0" w:color="auto"/>
              <w:bottom w:val="single" w:sz="4" w:space="0" w:color="auto"/>
              <w:right w:val="single" w:sz="4" w:space="0" w:color="auto"/>
            </w:tcBorders>
            <w:vAlign w:val="center"/>
            <w:hideMark/>
          </w:tcPr>
          <w:p w:rsidR="00E024F5" w:rsidRDefault="00E024F5" w:rsidP="0021056B">
            <w:pPr>
              <w:rPr>
                <w:rFonts w:ascii="Calibri" w:hAnsi="Calibri" w:cs="Calibri"/>
                <w:color w:val="000000"/>
                <w:sz w:val="22"/>
                <w:szCs w:val="22"/>
              </w:rPr>
            </w:pPr>
          </w:p>
        </w:tc>
        <w:tc>
          <w:tcPr>
            <w:tcW w:w="1460" w:type="dxa"/>
            <w:vMerge/>
            <w:tcBorders>
              <w:top w:val="nil"/>
              <w:left w:val="single" w:sz="4" w:space="0" w:color="auto"/>
              <w:bottom w:val="single" w:sz="4" w:space="0" w:color="auto"/>
              <w:right w:val="single" w:sz="4" w:space="0" w:color="auto"/>
            </w:tcBorders>
            <w:vAlign w:val="center"/>
            <w:hideMark/>
          </w:tcPr>
          <w:p w:rsidR="00E024F5" w:rsidRDefault="00E024F5" w:rsidP="0021056B">
            <w:pPr>
              <w:rPr>
                <w:rFonts w:ascii="Calibri" w:hAnsi="Calibri" w:cs="Calibri"/>
                <w:color w:val="000000"/>
                <w:sz w:val="22"/>
                <w:szCs w:val="22"/>
              </w:rPr>
            </w:pPr>
          </w:p>
        </w:tc>
      </w:tr>
    </w:tbl>
    <w:p w:rsidR="00E024F5" w:rsidRPr="003D7368" w:rsidRDefault="00E024F5" w:rsidP="00E024F5">
      <w:pPr>
        <w:spacing w:line="360" w:lineRule="auto"/>
        <w:rPr>
          <w:sz w:val="20"/>
          <w:szCs w:val="20"/>
        </w:rPr>
      </w:pPr>
    </w:p>
    <w:p w:rsidR="00E024F5" w:rsidRPr="003D7368" w:rsidRDefault="00E024F5" w:rsidP="00E024F5">
      <w:pPr>
        <w:spacing w:line="360" w:lineRule="auto"/>
        <w:rPr>
          <w:sz w:val="20"/>
          <w:szCs w:val="20"/>
        </w:rPr>
      </w:pPr>
      <w:r>
        <w:rPr>
          <w:sz w:val="20"/>
          <w:szCs w:val="20"/>
        </w:rPr>
        <w:t>Fonte: Elaboração própria</w:t>
      </w:r>
    </w:p>
    <w:p w:rsidR="007E1846" w:rsidRDefault="007E1846" w:rsidP="007E1846">
      <w:pPr>
        <w:spacing w:before="240" w:line="360" w:lineRule="auto"/>
        <w:jc w:val="both"/>
      </w:pPr>
      <w:r w:rsidRPr="00B462DF">
        <w:t xml:space="preserve">Como podemos observar, </w:t>
      </w:r>
      <w:r>
        <w:t xml:space="preserve">a utilização de dados referentes a 2010 não foi suficiente para gerar resultados condizentes com as expectativas. Assim como em Macedo e Carvalho (2010b), as estimativas dos parâmetros associados à competição entre empresas têm sinais contrários aos esperados nos modelos 1 e 3. Por outro lado, identificamos que as estimativas referentes à concentração de mercado entre plataformas tecnológicas tem o sinal esperado nos modelos 2, 3 e 6. </w:t>
      </w:r>
    </w:p>
    <w:p w:rsidR="007E1846" w:rsidRDefault="007E1846" w:rsidP="007E1846">
      <w:pPr>
        <w:spacing w:before="240" w:line="360" w:lineRule="auto"/>
        <w:jc w:val="both"/>
      </w:pPr>
      <w:r>
        <w:t xml:space="preserve">Entretanto, no modelo 6, ao utilizarmos informações sobre preços de EILD percebemos que o parâmetro associado à concentração de mercado entre plataformas tecnológicas não tem significância estatística. Dessa forma, o resultado do modelo 6 quanto ao parâmetro de competição entre tecnologias indica que a competição entre plataformas não é um determinante da penetração da banda larga, mas sim, que o preço da EILD é um fator mais significante, o que está em linha com a hipótese de fechamento vertical. </w:t>
      </w:r>
    </w:p>
    <w:p w:rsidR="00E024F5" w:rsidRDefault="00E024F5" w:rsidP="00E024F5">
      <w:pPr>
        <w:spacing w:line="360" w:lineRule="auto"/>
        <w:rPr>
          <w:sz w:val="20"/>
          <w:szCs w:val="20"/>
        </w:rPr>
      </w:pPr>
    </w:p>
    <w:p w:rsidR="007E1846" w:rsidRDefault="007E1846" w:rsidP="00E024F5">
      <w:pPr>
        <w:spacing w:line="360" w:lineRule="auto"/>
        <w:rPr>
          <w:sz w:val="20"/>
          <w:szCs w:val="20"/>
        </w:rPr>
      </w:pPr>
    </w:p>
    <w:p w:rsidR="00E024F5" w:rsidRDefault="00E024F5" w:rsidP="00E024F5">
      <w:pPr>
        <w:spacing w:line="360" w:lineRule="auto"/>
        <w:rPr>
          <w:b/>
          <w:sz w:val="18"/>
          <w:szCs w:val="18"/>
        </w:rPr>
      </w:pPr>
      <w:r w:rsidRPr="00EB0207">
        <w:rPr>
          <w:sz w:val="20"/>
          <w:szCs w:val="20"/>
        </w:rPr>
        <w:t>Tabela 4 – Resultados das estimativas dos modelos 1 a 4</w:t>
      </w:r>
    </w:p>
    <w:tbl>
      <w:tblPr>
        <w:tblW w:w="8002" w:type="dxa"/>
        <w:jc w:val="center"/>
        <w:tblCellMar>
          <w:left w:w="70" w:type="dxa"/>
          <w:right w:w="70" w:type="dxa"/>
        </w:tblCellMar>
        <w:tblLook w:val="04A0" w:firstRow="1" w:lastRow="0" w:firstColumn="1" w:lastColumn="0" w:noHBand="0" w:noVBand="1"/>
      </w:tblPr>
      <w:tblGrid>
        <w:gridCol w:w="1602"/>
        <w:gridCol w:w="1600"/>
        <w:gridCol w:w="1600"/>
        <w:gridCol w:w="1600"/>
        <w:gridCol w:w="1600"/>
      </w:tblGrid>
      <w:tr w:rsidR="00E024F5" w:rsidTr="0021056B">
        <w:trPr>
          <w:trHeight w:val="315"/>
          <w:jc w:val="center"/>
        </w:trPr>
        <w:tc>
          <w:tcPr>
            <w:tcW w:w="1602"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p>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Variáveis</w:t>
            </w:r>
          </w:p>
        </w:tc>
        <w:tc>
          <w:tcPr>
            <w:tcW w:w="1600"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Modelo 1</w:t>
            </w:r>
          </w:p>
        </w:tc>
        <w:tc>
          <w:tcPr>
            <w:tcW w:w="1600"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Modelo 2</w:t>
            </w:r>
          </w:p>
        </w:tc>
        <w:tc>
          <w:tcPr>
            <w:tcW w:w="1600"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Modelo 3</w:t>
            </w:r>
          </w:p>
        </w:tc>
        <w:tc>
          <w:tcPr>
            <w:tcW w:w="1600"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Modelo 4</w:t>
            </w:r>
          </w:p>
        </w:tc>
      </w:tr>
      <w:tr w:rsidR="00E024F5" w:rsidTr="0021056B">
        <w:trPr>
          <w:trHeight w:val="315"/>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Constante</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-10,2549***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-10,1962***</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-10,2368***</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-9,88881***</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1,53E-120</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3,50E-121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1,40E-121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1,97E-116</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%Agro</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0,00245631</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0,0087553</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0,00579605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0,0212209</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0,8658</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0,5445</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0,6899</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0,1427</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%Ind.</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0,154058***</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0,162405***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0,158383***</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0,190167***</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1,09E-08</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1,52E-09</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4,29E-09</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2,37E-12</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%Serv.</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0,788711***</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0,798151***</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0,795391***</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0,829030***</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1,45E-20</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3,19E-21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4,95E-21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1,07E-23</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IFDM_Edu</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1,87253***</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1,85183***</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1,84210***</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1,93866 ***</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5,98E-51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4,19E-50</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2,07E-49</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6,07E-55</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IFDM_Emp</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0,111263**</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0,107457**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0,110792**</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0,0937472**</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0,0206</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0,0248</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0,0208</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0,0482</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IFDM_Saude</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0,561779***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0,560605***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0,570675***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0,458523***</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0,0001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0,0001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7,88E-05</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1,40E-03</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DPPU</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0,191696***</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0,187367***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0,191251***</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0,154155***</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2,74E-34</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2,67E-34</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3,13E-34</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4,08E-22</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PIBpc</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0,786242***</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0,785919***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0,786087***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0,765480***</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2,94E-61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5,61E-62</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5,20E-62</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2,22E-61</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HHI_empresas</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-0,156712</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0,229399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0,11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0,1431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HHI_tecnologias</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-0,604683***</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-0,825877***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2,45E-10</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3,25E-06</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N</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0,177779***</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3,03E-25</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EILD</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r>
      <w:tr w:rsidR="00E024F5" w:rsidTr="0021056B">
        <w:trPr>
          <w:trHeight w:val="315"/>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w:t>
            </w:r>
          </w:p>
        </w:tc>
      </w:tr>
      <w:tr w:rsidR="00E024F5" w:rsidTr="0021056B">
        <w:trPr>
          <w:trHeight w:val="315"/>
          <w:jc w:val="center"/>
        </w:trPr>
        <w:tc>
          <w:tcPr>
            <w:tcW w:w="1602"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c>
          <w:tcPr>
            <w:tcW w:w="1600"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c>
          <w:tcPr>
            <w:tcW w:w="1600"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c>
          <w:tcPr>
            <w:tcW w:w="1600" w:type="dxa"/>
            <w:tcBorders>
              <w:top w:val="single" w:sz="12" w:space="0" w:color="auto"/>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r>
              <w:rPr>
                <w:rFonts w:ascii="Calibri" w:hAnsi="Calibri" w:cs="Calibri"/>
                <w:color w:val="000000"/>
                <w:sz w:val="22"/>
                <w:szCs w:val="22"/>
              </w:rPr>
              <w:t> </w:t>
            </w:r>
          </w:p>
        </w:tc>
        <w:tc>
          <w:tcPr>
            <w:tcW w:w="1600"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r>
      <w:tr w:rsidR="00E024F5" w:rsidTr="0021056B">
        <w:trPr>
          <w:trHeight w:val="300"/>
          <w:jc w:val="center"/>
        </w:trPr>
        <w:tc>
          <w:tcPr>
            <w:tcW w:w="1602"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R² (adj.)</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0,5067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0,5079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0,5080</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0,5145</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F</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741,675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905,602</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810,490</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842,467</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0,00</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0,00</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0,00</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0,00</w:t>
            </w:r>
          </w:p>
        </w:tc>
      </w:tr>
      <w:tr w:rsidR="00E024F5" w:rsidTr="0021056B">
        <w:trPr>
          <w:trHeight w:val="300"/>
          <w:jc w:val="center"/>
        </w:trPr>
        <w:tc>
          <w:tcPr>
            <w:tcW w:w="1602"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r>
      <w:tr w:rsidR="00E024F5" w:rsidTr="0021056B">
        <w:trPr>
          <w:trHeight w:val="300"/>
          <w:jc w:val="center"/>
        </w:trPr>
        <w:tc>
          <w:tcPr>
            <w:tcW w:w="1602"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Observações</w:t>
            </w:r>
          </w:p>
        </w:tc>
        <w:tc>
          <w:tcPr>
            <w:tcW w:w="1600"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5312</w:t>
            </w:r>
          </w:p>
        </w:tc>
        <w:tc>
          <w:tcPr>
            <w:tcW w:w="1600"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5312</w:t>
            </w:r>
          </w:p>
        </w:tc>
        <w:tc>
          <w:tcPr>
            <w:tcW w:w="1600"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5312</w:t>
            </w:r>
          </w:p>
        </w:tc>
        <w:tc>
          <w:tcPr>
            <w:tcW w:w="1600"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5312</w:t>
            </w:r>
          </w:p>
        </w:tc>
      </w:tr>
    </w:tbl>
    <w:p w:rsidR="00E024F5" w:rsidRDefault="00E024F5" w:rsidP="00E024F5">
      <w:pPr>
        <w:ind w:left="709"/>
        <w:rPr>
          <w:sz w:val="16"/>
          <w:szCs w:val="16"/>
        </w:rPr>
      </w:pPr>
    </w:p>
    <w:p w:rsidR="00E024F5" w:rsidRDefault="00E024F5" w:rsidP="00E024F5">
      <w:pPr>
        <w:ind w:left="709"/>
        <w:rPr>
          <w:sz w:val="16"/>
          <w:szCs w:val="16"/>
        </w:rPr>
      </w:pPr>
    </w:p>
    <w:p w:rsidR="00E024F5" w:rsidRDefault="00E024F5" w:rsidP="00E024F5">
      <w:pPr>
        <w:ind w:left="709"/>
        <w:rPr>
          <w:sz w:val="16"/>
          <w:szCs w:val="16"/>
        </w:rPr>
      </w:pPr>
      <w:r>
        <w:rPr>
          <w:sz w:val="16"/>
          <w:szCs w:val="16"/>
        </w:rPr>
        <w:t>Obs.: ***  Estimativas significantes ao nível de 1%;</w:t>
      </w:r>
    </w:p>
    <w:p w:rsidR="00E024F5" w:rsidRDefault="00E024F5" w:rsidP="00E024F5">
      <w:pPr>
        <w:ind w:left="709"/>
        <w:rPr>
          <w:sz w:val="16"/>
          <w:szCs w:val="16"/>
        </w:rPr>
      </w:pPr>
      <w:r>
        <w:rPr>
          <w:sz w:val="16"/>
          <w:szCs w:val="16"/>
        </w:rPr>
        <w:t xml:space="preserve">          **    Estimativas significantes ao nível de 5%;</w:t>
      </w:r>
    </w:p>
    <w:p w:rsidR="00E024F5" w:rsidRDefault="00E024F5" w:rsidP="00E024F5">
      <w:pPr>
        <w:ind w:left="709"/>
        <w:rPr>
          <w:sz w:val="16"/>
          <w:szCs w:val="16"/>
        </w:rPr>
      </w:pPr>
      <w:r>
        <w:rPr>
          <w:sz w:val="16"/>
          <w:szCs w:val="16"/>
        </w:rPr>
        <w:t xml:space="preserve">          *       Estimativas significantes ao nível de 10%;</w:t>
      </w:r>
    </w:p>
    <w:p w:rsidR="00E024F5" w:rsidRDefault="00E024F5" w:rsidP="00E024F5">
      <w:pPr>
        <w:ind w:left="709"/>
        <w:rPr>
          <w:sz w:val="16"/>
          <w:szCs w:val="16"/>
        </w:rPr>
      </w:pPr>
    </w:p>
    <w:p w:rsidR="00E024F5" w:rsidRDefault="00E024F5" w:rsidP="00E024F5">
      <w:pPr>
        <w:ind w:left="709"/>
        <w:rPr>
          <w:sz w:val="16"/>
          <w:szCs w:val="16"/>
        </w:rPr>
      </w:pPr>
      <w:r>
        <w:rPr>
          <w:sz w:val="16"/>
          <w:szCs w:val="16"/>
        </w:rPr>
        <w:t>Valores em itálico representam o p-valor das estimativas.</w:t>
      </w:r>
    </w:p>
    <w:p w:rsidR="00E024F5" w:rsidRPr="003D7368" w:rsidRDefault="00E024F5" w:rsidP="00E024F5">
      <w:pPr>
        <w:spacing w:line="360" w:lineRule="auto"/>
        <w:rPr>
          <w:sz w:val="20"/>
          <w:szCs w:val="20"/>
        </w:rPr>
      </w:pPr>
      <w:r>
        <w:rPr>
          <w:sz w:val="20"/>
          <w:szCs w:val="20"/>
        </w:rPr>
        <w:t>Fonte: Elaboração própria</w:t>
      </w:r>
    </w:p>
    <w:p w:rsidR="007E1846" w:rsidRDefault="007E1846" w:rsidP="00E024F5">
      <w:pPr>
        <w:spacing w:line="360" w:lineRule="auto"/>
        <w:rPr>
          <w:sz w:val="20"/>
          <w:szCs w:val="20"/>
        </w:rPr>
      </w:pPr>
    </w:p>
    <w:p w:rsidR="00E024F5" w:rsidRPr="00EB0207" w:rsidRDefault="00E024F5" w:rsidP="00E024F5">
      <w:pPr>
        <w:spacing w:line="360" w:lineRule="auto"/>
        <w:rPr>
          <w:sz w:val="20"/>
          <w:szCs w:val="20"/>
        </w:rPr>
      </w:pPr>
      <w:r w:rsidRPr="00EB0207">
        <w:rPr>
          <w:sz w:val="20"/>
          <w:szCs w:val="20"/>
        </w:rPr>
        <w:t>Tabela 5– Resultados das estimativas dos modelos 5 e 6</w:t>
      </w:r>
    </w:p>
    <w:tbl>
      <w:tblPr>
        <w:tblW w:w="4802" w:type="dxa"/>
        <w:jc w:val="center"/>
        <w:tblCellMar>
          <w:left w:w="70" w:type="dxa"/>
          <w:right w:w="70" w:type="dxa"/>
        </w:tblCellMar>
        <w:tblLook w:val="04A0" w:firstRow="1" w:lastRow="0" w:firstColumn="1" w:lastColumn="0" w:noHBand="0" w:noVBand="1"/>
      </w:tblPr>
      <w:tblGrid>
        <w:gridCol w:w="1602"/>
        <w:gridCol w:w="1600"/>
        <w:gridCol w:w="1600"/>
      </w:tblGrid>
      <w:tr w:rsidR="00E024F5" w:rsidTr="0021056B">
        <w:trPr>
          <w:trHeight w:val="315"/>
          <w:jc w:val="center"/>
        </w:trPr>
        <w:tc>
          <w:tcPr>
            <w:tcW w:w="1602"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Variáveis</w:t>
            </w:r>
          </w:p>
        </w:tc>
        <w:tc>
          <w:tcPr>
            <w:tcW w:w="1600"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Modelo 5</w:t>
            </w:r>
          </w:p>
        </w:tc>
        <w:tc>
          <w:tcPr>
            <w:tcW w:w="1600" w:type="dxa"/>
            <w:tcBorders>
              <w:top w:val="nil"/>
              <w:left w:val="nil"/>
              <w:bottom w:val="single" w:sz="12" w:space="0" w:color="auto"/>
              <w:right w:val="nil"/>
            </w:tcBorders>
            <w:shd w:val="clear" w:color="auto" w:fill="auto"/>
            <w:noWrap/>
            <w:vAlign w:val="center"/>
            <w:hideMark/>
          </w:tcPr>
          <w:p w:rsidR="00E024F5" w:rsidRDefault="00E024F5" w:rsidP="0021056B">
            <w:pPr>
              <w:jc w:val="center"/>
              <w:rPr>
                <w:rFonts w:ascii="Calibri" w:hAnsi="Calibri" w:cs="Calibri"/>
                <w:b/>
                <w:bCs/>
                <w:color w:val="000000"/>
                <w:sz w:val="22"/>
                <w:szCs w:val="22"/>
              </w:rPr>
            </w:pPr>
            <w:r>
              <w:rPr>
                <w:rFonts w:ascii="Calibri" w:hAnsi="Calibri" w:cs="Calibri"/>
                <w:b/>
                <w:bCs/>
                <w:color w:val="000000"/>
                <w:sz w:val="22"/>
                <w:szCs w:val="22"/>
              </w:rPr>
              <w:t>Modelo 6</w:t>
            </w:r>
          </w:p>
        </w:tc>
      </w:tr>
      <w:tr w:rsidR="00E024F5" w:rsidTr="0021056B">
        <w:trPr>
          <w:trHeight w:val="315"/>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Constante</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-3,46345***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-3,37006***</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6,00E-04</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9,00E-04</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%Agro</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-0,0031397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-0,00407076</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0,8381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0,7976</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%Ind.</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-0,0472566</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-0,0424913</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4,82E-01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5,32E-01</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%Serv.</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0,130174</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0,146609</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3,30E-01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2,80E-01</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IFDM_Edu</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2,49634***</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2,44814***</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1,19E-12</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1,58E-11</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lastRenderedPageBreak/>
              <w:t>IFDM_Emp</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0,452417***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0,448770 ***</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0,0027</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0,003</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IFDM_Saude</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1,67362**</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1,65823**</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0,0145</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0,0169</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DPPU</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0,122469***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0,110775***</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0,0000591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0,0021</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PIBpc</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0,305879***</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0,303634***</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1,10E-03</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1,20E-03</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HHI_empresas</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16"/>
                <w:szCs w:val="16"/>
              </w:rPr>
            </w:pPr>
            <w:r>
              <w:rPr>
                <w:rFonts w:ascii="Calibri" w:hAnsi="Calibri" w:cs="Calibri"/>
                <w:color w:val="000000"/>
                <w:sz w:val="16"/>
                <w:szCs w:val="16"/>
              </w:rPr>
              <w:t>-</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HHI_tecnologias</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-0,125352</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0,3298</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N</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w:t>
            </w:r>
          </w:p>
        </w:tc>
      </w:tr>
      <w:tr w:rsidR="00E024F5" w:rsidTr="0021056B">
        <w:trPr>
          <w:trHeight w:val="300"/>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i/>
                <w:iCs/>
                <w:color w:val="000000"/>
                <w:sz w:val="22"/>
                <w:szCs w:val="22"/>
              </w:rPr>
            </w:pPr>
            <w:r>
              <w:rPr>
                <w:rFonts w:ascii="Calibri" w:hAnsi="Calibri" w:cs="Calibri"/>
                <w:i/>
                <w:iCs/>
                <w:color w:val="000000"/>
                <w:sz w:val="22"/>
                <w:szCs w:val="22"/>
              </w:rPr>
              <w:t>EILD</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-0,175981***</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-0,172258**</w:t>
            </w:r>
          </w:p>
        </w:tc>
      </w:tr>
      <w:tr w:rsidR="00E024F5" w:rsidTr="0021056B">
        <w:trPr>
          <w:trHeight w:val="315"/>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i/>
                <w:iCs/>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0,01</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0,0132</w:t>
            </w:r>
          </w:p>
        </w:tc>
      </w:tr>
      <w:tr w:rsidR="00E024F5" w:rsidTr="0021056B">
        <w:trPr>
          <w:trHeight w:val="315"/>
          <w:jc w:val="center"/>
        </w:trPr>
        <w:tc>
          <w:tcPr>
            <w:tcW w:w="1602"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c>
          <w:tcPr>
            <w:tcW w:w="1600"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c>
          <w:tcPr>
            <w:tcW w:w="1600" w:type="dxa"/>
            <w:tcBorders>
              <w:top w:val="single" w:sz="12" w:space="0" w:color="auto"/>
              <w:left w:val="nil"/>
              <w:bottom w:val="nil"/>
              <w:right w:val="nil"/>
            </w:tcBorders>
            <w:shd w:val="clear" w:color="auto" w:fill="auto"/>
            <w:noWrap/>
            <w:vAlign w:val="bottom"/>
            <w:hideMark/>
          </w:tcPr>
          <w:p w:rsidR="00E024F5" w:rsidRDefault="00E024F5" w:rsidP="0021056B">
            <w:pPr>
              <w:rPr>
                <w:color w:val="000000"/>
                <w:sz w:val="20"/>
                <w:szCs w:val="20"/>
              </w:rPr>
            </w:pPr>
            <w:r>
              <w:rPr>
                <w:color w:val="000000"/>
                <w:sz w:val="20"/>
                <w:szCs w:val="20"/>
              </w:rPr>
              <w:t> </w:t>
            </w:r>
          </w:p>
        </w:tc>
      </w:tr>
      <w:tr w:rsidR="00E024F5" w:rsidTr="0021056B">
        <w:trPr>
          <w:trHeight w:val="300"/>
          <w:jc w:val="center"/>
        </w:trPr>
        <w:tc>
          <w:tcPr>
            <w:tcW w:w="1602"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R² (adj.)</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0,5727</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0,5724</w:t>
            </w:r>
          </w:p>
        </w:tc>
      </w:tr>
      <w:tr w:rsidR="00E024F5" w:rsidTr="0021056B">
        <w:trPr>
          <w:trHeight w:val="300"/>
          <w:jc w:val="center"/>
        </w:trPr>
        <w:tc>
          <w:tcPr>
            <w:tcW w:w="1602" w:type="dxa"/>
            <w:vMerge w:val="restart"/>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F</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39,015</w:t>
            </w:r>
          </w:p>
        </w:tc>
        <w:tc>
          <w:tcPr>
            <w:tcW w:w="1600" w:type="dxa"/>
            <w:tcBorders>
              <w:top w:val="nil"/>
              <w:left w:val="nil"/>
              <w:bottom w:val="nil"/>
              <w:right w:val="nil"/>
            </w:tcBorders>
            <w:shd w:val="clear" w:color="auto" w:fill="auto"/>
            <w:noWrap/>
            <w:vAlign w:val="center"/>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51,436</w:t>
            </w:r>
          </w:p>
        </w:tc>
      </w:tr>
      <w:tr w:rsidR="00E024F5" w:rsidTr="0021056B">
        <w:trPr>
          <w:trHeight w:val="222"/>
          <w:jc w:val="center"/>
        </w:trPr>
        <w:tc>
          <w:tcPr>
            <w:tcW w:w="1602" w:type="dxa"/>
            <w:vMerge/>
            <w:tcBorders>
              <w:top w:val="nil"/>
              <w:left w:val="nil"/>
              <w:bottom w:val="nil"/>
              <w:right w:val="nil"/>
            </w:tcBorders>
            <w:vAlign w:val="center"/>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1,82E-49</w:t>
            </w:r>
          </w:p>
        </w:tc>
        <w:tc>
          <w:tcPr>
            <w:tcW w:w="1600" w:type="dxa"/>
            <w:tcBorders>
              <w:top w:val="nil"/>
              <w:left w:val="nil"/>
              <w:bottom w:val="nil"/>
              <w:right w:val="nil"/>
            </w:tcBorders>
            <w:shd w:val="clear" w:color="auto" w:fill="auto"/>
            <w:noWrap/>
            <w:vAlign w:val="center"/>
            <w:hideMark/>
          </w:tcPr>
          <w:p w:rsidR="00E024F5" w:rsidRPr="00DB1255" w:rsidRDefault="00E024F5" w:rsidP="0021056B">
            <w:pPr>
              <w:jc w:val="center"/>
              <w:rPr>
                <w:rFonts w:ascii="Calibri" w:hAnsi="Calibri" w:cs="Calibri"/>
                <w:i/>
                <w:color w:val="000000"/>
                <w:sz w:val="16"/>
                <w:szCs w:val="16"/>
              </w:rPr>
            </w:pPr>
            <w:r w:rsidRPr="00DB1255">
              <w:rPr>
                <w:rFonts w:ascii="Calibri" w:hAnsi="Calibri" w:cs="Calibri"/>
                <w:i/>
                <w:color w:val="000000"/>
                <w:sz w:val="16"/>
                <w:szCs w:val="16"/>
              </w:rPr>
              <w:t>2,08E-65</w:t>
            </w:r>
          </w:p>
        </w:tc>
      </w:tr>
      <w:tr w:rsidR="00E024F5" w:rsidTr="0021056B">
        <w:trPr>
          <w:trHeight w:val="300"/>
          <w:jc w:val="center"/>
        </w:trPr>
        <w:tc>
          <w:tcPr>
            <w:tcW w:w="1602"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c>
          <w:tcPr>
            <w:tcW w:w="1600" w:type="dxa"/>
            <w:tcBorders>
              <w:top w:val="nil"/>
              <w:left w:val="nil"/>
              <w:bottom w:val="nil"/>
              <w:right w:val="nil"/>
            </w:tcBorders>
            <w:shd w:val="clear" w:color="auto" w:fill="auto"/>
            <w:noWrap/>
            <w:vAlign w:val="bottom"/>
            <w:hideMark/>
          </w:tcPr>
          <w:p w:rsidR="00E024F5" w:rsidRDefault="00E024F5" w:rsidP="0021056B">
            <w:pPr>
              <w:rPr>
                <w:rFonts w:ascii="Calibri" w:hAnsi="Calibri" w:cs="Calibri"/>
                <w:color w:val="000000"/>
                <w:sz w:val="22"/>
                <w:szCs w:val="22"/>
              </w:rPr>
            </w:pPr>
          </w:p>
        </w:tc>
      </w:tr>
      <w:tr w:rsidR="00E024F5" w:rsidTr="0021056B">
        <w:trPr>
          <w:trHeight w:val="300"/>
          <w:jc w:val="center"/>
        </w:trPr>
        <w:tc>
          <w:tcPr>
            <w:tcW w:w="1602"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Observações</w:t>
            </w:r>
          </w:p>
        </w:tc>
        <w:tc>
          <w:tcPr>
            <w:tcW w:w="1600"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406</w:t>
            </w:r>
          </w:p>
        </w:tc>
        <w:tc>
          <w:tcPr>
            <w:tcW w:w="1600" w:type="dxa"/>
            <w:tcBorders>
              <w:top w:val="nil"/>
              <w:left w:val="nil"/>
              <w:bottom w:val="nil"/>
              <w:right w:val="nil"/>
            </w:tcBorders>
            <w:shd w:val="clear" w:color="auto" w:fill="auto"/>
            <w:noWrap/>
            <w:vAlign w:val="bottom"/>
            <w:hideMark/>
          </w:tcPr>
          <w:p w:rsidR="00E024F5" w:rsidRDefault="00E024F5" w:rsidP="0021056B">
            <w:pPr>
              <w:jc w:val="center"/>
              <w:rPr>
                <w:rFonts w:ascii="Calibri" w:hAnsi="Calibri" w:cs="Calibri"/>
                <w:color w:val="000000"/>
                <w:sz w:val="22"/>
                <w:szCs w:val="22"/>
              </w:rPr>
            </w:pPr>
            <w:r>
              <w:rPr>
                <w:rFonts w:ascii="Calibri" w:hAnsi="Calibri" w:cs="Calibri"/>
                <w:color w:val="000000"/>
                <w:sz w:val="22"/>
                <w:szCs w:val="22"/>
              </w:rPr>
              <w:t>406</w:t>
            </w:r>
          </w:p>
        </w:tc>
      </w:tr>
    </w:tbl>
    <w:p w:rsidR="00E024F5" w:rsidRDefault="00E024F5" w:rsidP="00E024F5">
      <w:pPr>
        <w:ind w:left="709"/>
        <w:rPr>
          <w:sz w:val="16"/>
          <w:szCs w:val="16"/>
        </w:rPr>
      </w:pPr>
    </w:p>
    <w:p w:rsidR="00E024F5" w:rsidRDefault="00E024F5" w:rsidP="00E024F5">
      <w:pPr>
        <w:ind w:left="709"/>
        <w:rPr>
          <w:sz w:val="16"/>
          <w:szCs w:val="16"/>
        </w:rPr>
      </w:pPr>
      <w:r>
        <w:rPr>
          <w:sz w:val="16"/>
          <w:szCs w:val="16"/>
        </w:rPr>
        <w:t>Obs.: ***  Estimativas significantes ao nível de 1%;</w:t>
      </w:r>
    </w:p>
    <w:p w:rsidR="00E024F5" w:rsidRDefault="00E024F5" w:rsidP="00E024F5">
      <w:pPr>
        <w:ind w:left="709"/>
        <w:rPr>
          <w:sz w:val="16"/>
          <w:szCs w:val="16"/>
        </w:rPr>
      </w:pPr>
      <w:r>
        <w:rPr>
          <w:sz w:val="16"/>
          <w:szCs w:val="16"/>
        </w:rPr>
        <w:t xml:space="preserve">          **    Estimativas significantes ao nível de 5%;</w:t>
      </w:r>
    </w:p>
    <w:p w:rsidR="00E024F5" w:rsidRDefault="00E024F5" w:rsidP="00E024F5">
      <w:pPr>
        <w:ind w:left="709"/>
        <w:rPr>
          <w:sz w:val="16"/>
          <w:szCs w:val="16"/>
        </w:rPr>
      </w:pPr>
      <w:r>
        <w:rPr>
          <w:sz w:val="16"/>
          <w:szCs w:val="16"/>
        </w:rPr>
        <w:t xml:space="preserve">          *       Estimativas significantes ao nível de 10%;</w:t>
      </w:r>
    </w:p>
    <w:p w:rsidR="00E024F5" w:rsidRDefault="00E024F5" w:rsidP="00E024F5">
      <w:pPr>
        <w:ind w:left="709"/>
        <w:rPr>
          <w:sz w:val="16"/>
          <w:szCs w:val="16"/>
        </w:rPr>
      </w:pPr>
    </w:p>
    <w:p w:rsidR="00E024F5" w:rsidRDefault="00E024F5" w:rsidP="00E024F5">
      <w:pPr>
        <w:ind w:left="709"/>
        <w:rPr>
          <w:sz w:val="16"/>
          <w:szCs w:val="16"/>
        </w:rPr>
      </w:pPr>
      <w:r>
        <w:rPr>
          <w:sz w:val="16"/>
          <w:szCs w:val="16"/>
        </w:rPr>
        <w:t>Valores em itálico representam o p-valor das estimativas.</w:t>
      </w:r>
    </w:p>
    <w:p w:rsidR="00E024F5" w:rsidRPr="003D7368" w:rsidRDefault="00E024F5" w:rsidP="00E024F5">
      <w:pPr>
        <w:spacing w:line="360" w:lineRule="auto"/>
        <w:rPr>
          <w:sz w:val="20"/>
          <w:szCs w:val="20"/>
        </w:rPr>
      </w:pPr>
      <w:r>
        <w:rPr>
          <w:sz w:val="20"/>
          <w:szCs w:val="20"/>
        </w:rPr>
        <w:t>Fonte: Elaboração própria</w:t>
      </w:r>
    </w:p>
    <w:p w:rsidR="00E024F5" w:rsidRDefault="00E024F5" w:rsidP="00E024F5">
      <w:pPr>
        <w:spacing w:before="240" w:line="360" w:lineRule="auto"/>
        <w:jc w:val="both"/>
      </w:pPr>
      <w:r>
        <w:t xml:space="preserve">Quando avaliamos a utilização dos preços médios de EILD, identificamos que em todos os modelos as estimativas têm sinal de acordo com o esperado, além de terem significância estatística em todos os modelos em que a variável é utilizada. </w:t>
      </w:r>
    </w:p>
    <w:p w:rsidR="00E024F5" w:rsidRDefault="00E024F5" w:rsidP="00E024F5">
      <w:pPr>
        <w:spacing w:before="240" w:line="360" w:lineRule="auto"/>
        <w:jc w:val="both"/>
      </w:pPr>
      <w:r>
        <w:t xml:space="preserve">Assim, podemos concluir que os dados indicam a reduzida quantidade de ofertantes de redes de transporte e o consequente elevado preço da EILD afeta de forma negativa a adoção da banda larga pelas famílias brasileiras. Nesse sentido, podemos identificar que a reduzida quantidade de ofertantes de redes de transporte permite que os ofertantes tenham poder de mercado, gerando um preço de EILD superior àquele que seria praticado em um mercado competitivo. </w:t>
      </w:r>
    </w:p>
    <w:p w:rsidR="00E024F5" w:rsidRDefault="00E024F5" w:rsidP="00E024F5">
      <w:pPr>
        <w:spacing w:before="240" w:line="360" w:lineRule="auto"/>
        <w:jc w:val="both"/>
      </w:pPr>
      <w:r>
        <w:t>Os resultados dos modelos econométricos trazem apenas indícios de que há a prática do fechamento vertical no mercado de telecomunicações, e nos permite mensurar em alguma medida os impactos da elevação do preço da EILD.</w:t>
      </w:r>
    </w:p>
    <w:p w:rsidR="0097141F" w:rsidRDefault="0097141F" w:rsidP="00E024F5">
      <w:pPr>
        <w:spacing w:before="240" w:line="360" w:lineRule="auto"/>
        <w:jc w:val="both"/>
      </w:pPr>
    </w:p>
    <w:p w:rsidR="006E284C" w:rsidRDefault="006E284C" w:rsidP="006E284C">
      <w:pPr>
        <w:spacing w:before="240" w:line="360" w:lineRule="auto"/>
        <w:jc w:val="both"/>
        <w:rPr>
          <w:b/>
        </w:rPr>
      </w:pPr>
      <w:r>
        <w:rPr>
          <w:b/>
        </w:rPr>
        <w:lastRenderedPageBreak/>
        <w:t>I</w:t>
      </w:r>
      <w:r w:rsidR="0057008A">
        <w:rPr>
          <w:b/>
        </w:rPr>
        <w:t>II</w:t>
      </w:r>
      <w:r>
        <w:rPr>
          <w:b/>
        </w:rPr>
        <w:t xml:space="preserve"> – CONCLUSÕES</w:t>
      </w:r>
    </w:p>
    <w:p w:rsidR="00180942" w:rsidRDefault="00180942" w:rsidP="00180942">
      <w:pPr>
        <w:spacing w:before="240" w:line="360" w:lineRule="auto"/>
        <w:jc w:val="both"/>
      </w:pPr>
      <w:r>
        <w:t>Tendo em vista que o mercado de telecomunicações, em especial o de banda larga, é caracterizado pela necessidade de construção de redes, e que os altos custos fixos para construção gera</w:t>
      </w:r>
      <w:r w:rsidR="00D45E40">
        <w:t>m</w:t>
      </w:r>
      <w:r>
        <w:t xml:space="preserve"> naturalmente uma maior concentração nesse mercado, é fundamental que se tenha conhecimento sobre a estrutura da concorrência nesse mercado para poder avaliar diferentes políticas de </w:t>
      </w:r>
      <w:r w:rsidR="00D45E40">
        <w:t xml:space="preserve">massificação do acesso à </w:t>
      </w:r>
      <w:r>
        <w:t>banda larga.</w:t>
      </w:r>
    </w:p>
    <w:p w:rsidR="002D6AAE" w:rsidRDefault="002D6AAE" w:rsidP="002D6AAE">
      <w:pPr>
        <w:spacing w:before="240" w:line="360" w:lineRule="auto"/>
        <w:jc w:val="both"/>
      </w:pPr>
      <w:r>
        <w:t>Considerando que a EILD é um insumo essencial para prestação de banda larga, que, na maioria das cidades, verifica-se o monopólio na oferta desse produto, e que as empresas que ofertam EILD também atuam no mercado final de banda larga, é de se esperar que seja praticado o fechamento vertical.</w:t>
      </w:r>
    </w:p>
    <w:p w:rsidR="002D6AAE" w:rsidRDefault="002D6AAE" w:rsidP="002D6AAE">
      <w:pPr>
        <w:spacing w:before="240" w:line="360" w:lineRule="auto"/>
        <w:jc w:val="both"/>
      </w:pPr>
      <w:r>
        <w:t>Ao analisar a estrutura concorrencial do mercado de oferta de capacidade de redes de transporte identificamos que o comportamento dos agentes econômicos é mais aderente a uma competição imperfeita nos moldes de Cournot, de tal forma que os preços de equilíbrio de EILD são afetados pela quantidade de ofertantes, e não apenas pela existência de monopólio.</w:t>
      </w:r>
    </w:p>
    <w:p w:rsidR="007C210E" w:rsidRDefault="007C210E" w:rsidP="007C210E">
      <w:pPr>
        <w:spacing w:before="240" w:line="360" w:lineRule="auto"/>
        <w:jc w:val="both"/>
      </w:pPr>
      <w:r>
        <w:t>Identificamos que o elevado preço da EILD decorrente do poder de mercado dos ofertantes gera efeitos negativos na penetração de banda larga nos municípios. Esse efeito negativo sobre a quantidade demandada decorre da possibilidade de abuso de poder de mercado na oferta de EILD e da reduzida competição no mercado final como consequência do fechamento vertical.</w:t>
      </w:r>
    </w:p>
    <w:p w:rsidR="007C210E" w:rsidRDefault="007C210E" w:rsidP="007C210E">
      <w:pPr>
        <w:spacing w:before="240" w:line="360" w:lineRule="auto"/>
        <w:jc w:val="both"/>
      </w:pPr>
      <w:r>
        <w:t>Tendo em vista esses efeitos negativos da concentração de mercado na oferta de EILD, fica evidente a necessidade políticas públicas para evitar a possibilidade do fechamento vertical, ou para minimizar seus efeitos sobre o mercado.</w:t>
      </w:r>
      <w:r w:rsidR="00BA1F4E">
        <w:t xml:space="preserve"> </w:t>
      </w:r>
      <w:r w:rsidR="00DF4BAD">
        <w:t xml:space="preserve">As evidências aqui apresentadas legitimam a atuação do Estado </w:t>
      </w:r>
      <w:r w:rsidR="00624ACC">
        <w:t xml:space="preserve">gerando um oligopólio misto </w:t>
      </w:r>
      <w:r w:rsidR="00DF4BAD">
        <w:t xml:space="preserve">na </w:t>
      </w:r>
      <w:r w:rsidR="00624ACC">
        <w:t xml:space="preserve">oferta de EILD e na </w:t>
      </w:r>
      <w:r w:rsidR="00DF4BAD">
        <w:t>promoção do uso da banda larga</w:t>
      </w:r>
      <w:r w:rsidR="00624ACC">
        <w:t>. Fica ainda esse desafio, de</w:t>
      </w:r>
      <w:r w:rsidR="00DF4BAD">
        <w:t xml:space="preserve"> não haver </w:t>
      </w:r>
      <w:r w:rsidR="00CF6DBC">
        <w:t>consenso na literatura internacional sobre a forma mais eficiente de intervir nesse mercado.</w:t>
      </w:r>
    </w:p>
    <w:p w:rsidR="009A23E6" w:rsidRPr="00166832" w:rsidRDefault="009A23E6" w:rsidP="00D53380">
      <w:pPr>
        <w:spacing w:before="240" w:line="360" w:lineRule="auto"/>
        <w:jc w:val="center"/>
        <w:rPr>
          <w:b/>
          <w:lang w:val="en-US"/>
        </w:rPr>
      </w:pPr>
      <w:r w:rsidRPr="00166832">
        <w:rPr>
          <w:b/>
          <w:lang w:val="en-US"/>
        </w:rPr>
        <w:t>REFERÊNCIAS</w:t>
      </w:r>
    </w:p>
    <w:p w:rsidR="009A23E6" w:rsidRDefault="009A23E6" w:rsidP="009A23E6">
      <w:pPr>
        <w:jc w:val="both"/>
        <w:rPr>
          <w:b/>
          <w:lang w:val="en-US"/>
        </w:rPr>
      </w:pPr>
    </w:p>
    <w:p w:rsidR="009A23E6" w:rsidRDefault="009A23E6" w:rsidP="009A23E6">
      <w:pPr>
        <w:jc w:val="both"/>
        <w:rPr>
          <w:lang w:val="en-US"/>
        </w:rPr>
      </w:pPr>
      <w:r w:rsidRPr="00943A70">
        <w:rPr>
          <w:b/>
          <w:lang w:val="en-US"/>
        </w:rPr>
        <w:t xml:space="preserve">ATKINSON, R., CASTRO, D. </w:t>
      </w:r>
      <w:r w:rsidR="00166832">
        <w:rPr>
          <w:b/>
          <w:lang w:val="en-US"/>
        </w:rPr>
        <w:t>and</w:t>
      </w:r>
      <w:r w:rsidRPr="00943A70">
        <w:rPr>
          <w:b/>
          <w:lang w:val="en-US"/>
        </w:rPr>
        <w:t xml:space="preserve"> EZELL, S.J.</w:t>
      </w:r>
      <w:r>
        <w:rPr>
          <w:b/>
          <w:lang w:val="en-US"/>
        </w:rPr>
        <w:t>,</w:t>
      </w:r>
      <w:r w:rsidRPr="00731FA9">
        <w:rPr>
          <w:lang w:val="en-US"/>
        </w:rPr>
        <w:t xml:space="preserve"> (2009)</w:t>
      </w:r>
      <w:r>
        <w:rPr>
          <w:lang w:val="en-US"/>
        </w:rPr>
        <w:t>,</w:t>
      </w:r>
      <w:r w:rsidRPr="00731FA9">
        <w:rPr>
          <w:lang w:val="en-US"/>
        </w:rPr>
        <w:t xml:space="preserve"> </w:t>
      </w:r>
      <w:r w:rsidRPr="00943A70">
        <w:rPr>
          <w:i/>
          <w:lang w:val="en-US"/>
        </w:rPr>
        <w:t>The digital road to recovery: a stimulus plan to create jobs, boost productivity and revitalize America</w:t>
      </w:r>
      <w:r w:rsidRPr="00731FA9">
        <w:rPr>
          <w:lang w:val="en-US"/>
        </w:rPr>
        <w:t>. The Information Technology and Innovation Foundation, Washington, DC.</w:t>
      </w:r>
    </w:p>
    <w:p w:rsidR="009A23E6" w:rsidRDefault="009A23E6" w:rsidP="009A23E6">
      <w:pPr>
        <w:jc w:val="both"/>
        <w:rPr>
          <w:b/>
          <w:lang w:val="en-US"/>
        </w:rPr>
      </w:pPr>
    </w:p>
    <w:p w:rsidR="009A23E6" w:rsidRDefault="00166832" w:rsidP="009A23E6">
      <w:pPr>
        <w:jc w:val="both"/>
        <w:rPr>
          <w:lang w:val="en-US"/>
        </w:rPr>
      </w:pPr>
      <w:r>
        <w:rPr>
          <w:b/>
          <w:lang w:val="en-US"/>
        </w:rPr>
        <w:t>CRANDALL, R., JACKSON, C. and</w:t>
      </w:r>
      <w:r w:rsidR="009A23E6" w:rsidRPr="00943A70">
        <w:rPr>
          <w:b/>
          <w:lang w:val="en-US"/>
        </w:rPr>
        <w:t xml:space="preserve"> SINGER, H.</w:t>
      </w:r>
      <w:r w:rsidR="009A23E6" w:rsidRPr="00DE67EA">
        <w:rPr>
          <w:lang w:val="en-US"/>
        </w:rPr>
        <w:t xml:space="preserve"> (2003). </w:t>
      </w:r>
      <w:r w:rsidR="009A23E6" w:rsidRPr="00943A70">
        <w:rPr>
          <w:i/>
          <w:lang w:val="en-US"/>
        </w:rPr>
        <w:t>The Effect of Ubiquitous Broadband Adoption on Investment, Jobs, and the U.S. Economy.</w:t>
      </w:r>
      <w:r w:rsidR="009A23E6" w:rsidRPr="00DE67EA">
        <w:rPr>
          <w:lang w:val="en-US"/>
        </w:rPr>
        <w:t xml:space="preserve"> Washington DC: Criterion Economics.  </w:t>
      </w:r>
    </w:p>
    <w:p w:rsidR="009A23E6" w:rsidRDefault="00096221" w:rsidP="009A23E6">
      <w:pPr>
        <w:spacing w:before="240"/>
        <w:jc w:val="both"/>
        <w:rPr>
          <w:lang w:val="en-US"/>
        </w:rPr>
      </w:pPr>
      <w:r>
        <w:rPr>
          <w:b/>
          <w:lang w:val="en-US"/>
        </w:rPr>
        <w:t>CRANDALL, R., LEHR, W. and</w:t>
      </w:r>
      <w:r w:rsidR="009A23E6" w:rsidRPr="005356D2">
        <w:rPr>
          <w:b/>
          <w:lang w:val="en-US"/>
        </w:rPr>
        <w:t xml:space="preserve"> LITAN, R. </w:t>
      </w:r>
      <w:r w:rsidR="009A23E6" w:rsidRPr="006B66F5">
        <w:rPr>
          <w:lang w:val="en-US"/>
        </w:rPr>
        <w:t xml:space="preserve">(2007). </w:t>
      </w:r>
      <w:r w:rsidR="009A23E6" w:rsidRPr="00C36296">
        <w:rPr>
          <w:i/>
          <w:lang w:val="en-US"/>
        </w:rPr>
        <w:t>The Effects of Broadband Deployment on Output and Employment: A Cross-sectional Analysis of U.S. Data</w:t>
      </w:r>
      <w:r w:rsidR="009A23E6" w:rsidRPr="006B66F5">
        <w:rPr>
          <w:lang w:val="en-US"/>
        </w:rPr>
        <w:t xml:space="preserve">. Issues in Economic Policy, 6. </w:t>
      </w:r>
    </w:p>
    <w:p w:rsidR="009A23E6" w:rsidRDefault="009A23E6" w:rsidP="009A23E6">
      <w:pPr>
        <w:jc w:val="both"/>
        <w:rPr>
          <w:b/>
          <w:lang w:val="en-US"/>
        </w:rPr>
      </w:pPr>
    </w:p>
    <w:p w:rsidR="009A23E6" w:rsidRDefault="009A23E6" w:rsidP="009A23E6">
      <w:pPr>
        <w:jc w:val="both"/>
        <w:rPr>
          <w:lang w:val="en-US"/>
        </w:rPr>
      </w:pPr>
      <w:r w:rsidRPr="00C92D71">
        <w:rPr>
          <w:b/>
          <w:lang w:val="en-US"/>
        </w:rPr>
        <w:lastRenderedPageBreak/>
        <w:t>CZERNICH,</w:t>
      </w:r>
      <w:r w:rsidR="00096221">
        <w:rPr>
          <w:b/>
          <w:lang w:val="en-US"/>
        </w:rPr>
        <w:t xml:space="preserve"> N., FALCK, O., KRETSCHMER T. and</w:t>
      </w:r>
      <w:r w:rsidRPr="00C92D71">
        <w:rPr>
          <w:b/>
          <w:lang w:val="en-US"/>
        </w:rPr>
        <w:t xml:space="preserve"> WOESSMAN, L.</w:t>
      </w:r>
      <w:r w:rsidRPr="00F12A0B">
        <w:rPr>
          <w:lang w:val="en-US"/>
        </w:rPr>
        <w:t xml:space="preserve"> (2009</w:t>
      </w:r>
      <w:r>
        <w:rPr>
          <w:lang w:val="en-US"/>
        </w:rPr>
        <w:t>)</w:t>
      </w:r>
      <w:r w:rsidRPr="00F12A0B">
        <w:rPr>
          <w:lang w:val="en-US"/>
        </w:rPr>
        <w:t xml:space="preserve">, </w:t>
      </w:r>
      <w:r w:rsidRPr="00C92D71">
        <w:rPr>
          <w:i/>
          <w:lang w:val="en-US"/>
        </w:rPr>
        <w:t>Broadband infrastructure and economic growth</w:t>
      </w:r>
      <w:r>
        <w:rPr>
          <w:lang w:val="en-US"/>
        </w:rPr>
        <w:t>,</w:t>
      </w:r>
      <w:r w:rsidRPr="00F12A0B">
        <w:rPr>
          <w:lang w:val="en-US"/>
        </w:rPr>
        <w:t xml:space="preserve"> CESifo Working Paper No. 2861</w:t>
      </w:r>
      <w:r>
        <w:rPr>
          <w:lang w:val="en-US"/>
        </w:rPr>
        <w:t xml:space="preserve">, disponível em: </w:t>
      </w:r>
      <w:r w:rsidRPr="00EF3A74">
        <w:rPr>
          <w:lang w:val="en-US"/>
        </w:rPr>
        <w:t xml:space="preserve"> </w:t>
      </w:r>
      <w:hyperlink r:id="rId79" w:history="1">
        <w:r w:rsidRPr="002E4168">
          <w:rPr>
            <w:rStyle w:val="Hyperlink"/>
            <w:lang w:val="en-US"/>
          </w:rPr>
          <w:t>www.ifo.de/DocCIDL/cesifo1_wp2861.pdf</w:t>
        </w:r>
      </w:hyperlink>
      <w:r>
        <w:rPr>
          <w:lang w:val="en-US"/>
        </w:rPr>
        <w:t xml:space="preserve"> </w:t>
      </w:r>
    </w:p>
    <w:p w:rsidR="009A23E6" w:rsidRDefault="009A23E6" w:rsidP="009A23E6">
      <w:pPr>
        <w:jc w:val="both"/>
        <w:rPr>
          <w:b/>
          <w:lang w:val="en-US"/>
        </w:rPr>
      </w:pPr>
    </w:p>
    <w:p w:rsidR="009A23E6" w:rsidRDefault="00096221" w:rsidP="009A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Pr>
          <w:b/>
          <w:lang w:val="en-US"/>
        </w:rPr>
        <w:t>DISTASO, W., LUPI, P. and</w:t>
      </w:r>
      <w:r w:rsidR="009A23E6" w:rsidRPr="009D2EA2">
        <w:rPr>
          <w:b/>
          <w:lang w:val="en-US"/>
        </w:rPr>
        <w:t xml:space="preserve"> MANENTI F. M.,</w:t>
      </w:r>
      <w:r w:rsidR="009A23E6">
        <w:rPr>
          <w:lang w:val="en-US"/>
        </w:rPr>
        <w:t xml:space="preserve"> (2006),</w:t>
      </w:r>
      <w:r w:rsidR="009A23E6" w:rsidRPr="00CC4640">
        <w:rPr>
          <w:lang w:val="en-US"/>
        </w:rPr>
        <w:t xml:space="preserve"> </w:t>
      </w:r>
      <w:r w:rsidR="009A23E6" w:rsidRPr="009D2EA2">
        <w:rPr>
          <w:i/>
          <w:lang w:val="en-US"/>
        </w:rPr>
        <w:t>Platform competition and broadband uptake: Theory and empirical evidence from the European union</w:t>
      </w:r>
      <w:r w:rsidR="009A23E6" w:rsidRPr="00CC4640">
        <w:rPr>
          <w:lang w:val="en-US"/>
        </w:rPr>
        <w:t xml:space="preserve">, Information Economics and Policy, Volume 18, Issue 1, March 2006, </w:t>
      </w:r>
      <w:r w:rsidR="009A23E6">
        <w:rPr>
          <w:lang w:val="en-US"/>
        </w:rPr>
        <w:t>p. 87-106.</w:t>
      </w:r>
      <w:r w:rsidR="009A23E6" w:rsidRPr="00CC4640">
        <w:rPr>
          <w:lang w:val="en-US"/>
        </w:rPr>
        <w:t xml:space="preserve"> </w:t>
      </w:r>
    </w:p>
    <w:p w:rsidR="002F0572" w:rsidRDefault="002F0572" w:rsidP="009A2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p>
    <w:p w:rsidR="002F0572" w:rsidRDefault="002F0572" w:rsidP="002F0572">
      <w:pPr>
        <w:jc w:val="both"/>
        <w:rPr>
          <w:lang w:val="en-US"/>
        </w:rPr>
      </w:pPr>
      <w:r w:rsidRPr="0000603D">
        <w:rPr>
          <w:b/>
          <w:lang w:val="en-US"/>
        </w:rPr>
        <w:t xml:space="preserve">FAULHABER, G. R. </w:t>
      </w:r>
      <w:r>
        <w:rPr>
          <w:b/>
          <w:lang w:val="en-US"/>
        </w:rPr>
        <w:t>and</w:t>
      </w:r>
      <w:r w:rsidRPr="0000603D">
        <w:rPr>
          <w:b/>
          <w:lang w:val="en-US"/>
        </w:rPr>
        <w:t xml:space="preserve"> HOGENDORN, C.,</w:t>
      </w:r>
      <w:r>
        <w:rPr>
          <w:lang w:val="en-US"/>
        </w:rPr>
        <w:t xml:space="preserve"> (2000)</w:t>
      </w:r>
      <w:r w:rsidRPr="005547AA">
        <w:rPr>
          <w:lang w:val="en-US"/>
        </w:rPr>
        <w:t xml:space="preserve"> </w:t>
      </w:r>
      <w:r w:rsidRPr="0000603D">
        <w:rPr>
          <w:i/>
          <w:lang w:val="en-US"/>
        </w:rPr>
        <w:t>The Market Structure of Broadband Telecommunications</w:t>
      </w:r>
      <w:r>
        <w:rPr>
          <w:i/>
          <w:lang w:val="en-US"/>
        </w:rPr>
        <w:t>,</w:t>
      </w:r>
      <w:r w:rsidRPr="005547AA">
        <w:rPr>
          <w:lang w:val="en-US"/>
        </w:rPr>
        <w:t xml:space="preserve"> Journal of Industrial Economics, Vol. 48, No. 3, September 2000. </w:t>
      </w:r>
      <w:r>
        <w:rPr>
          <w:lang w:val="en-US"/>
        </w:rPr>
        <w:t>Disponível em</w:t>
      </w:r>
      <w:r w:rsidRPr="005547AA">
        <w:rPr>
          <w:lang w:val="en-US"/>
        </w:rPr>
        <w:t xml:space="preserve">: </w:t>
      </w:r>
      <w:hyperlink r:id="rId80" w:history="1">
        <w:r w:rsidRPr="004E1CC8">
          <w:rPr>
            <w:rStyle w:val="Hyperlink"/>
            <w:lang w:val="en-US"/>
          </w:rPr>
          <w:t>http://ssrn.com/abstract=241999</w:t>
        </w:r>
      </w:hyperlink>
    </w:p>
    <w:p w:rsidR="002F0572" w:rsidRDefault="002F0572" w:rsidP="002F0572">
      <w:pPr>
        <w:jc w:val="both"/>
        <w:rPr>
          <w:b/>
          <w:lang w:val="en-US"/>
        </w:rPr>
      </w:pPr>
    </w:p>
    <w:p w:rsidR="009A23E6" w:rsidRDefault="009A23E6" w:rsidP="009A23E6">
      <w:pPr>
        <w:jc w:val="both"/>
        <w:rPr>
          <w:lang w:val="en-US"/>
        </w:rPr>
      </w:pPr>
      <w:r w:rsidRPr="0000603D">
        <w:rPr>
          <w:b/>
          <w:lang w:val="en-US"/>
        </w:rPr>
        <w:t>FOROS, O</w:t>
      </w:r>
      <w:r w:rsidRPr="00A26252">
        <w:rPr>
          <w:lang w:val="en-US"/>
        </w:rPr>
        <w:t xml:space="preserve"> (2004), </w:t>
      </w:r>
      <w:r w:rsidRPr="0000603D">
        <w:rPr>
          <w:i/>
          <w:lang w:val="en-US"/>
        </w:rPr>
        <w:t>Strategic investments with Spillovers, vertical integration and foreclosure in the broadband access market</w:t>
      </w:r>
      <w:r w:rsidRPr="00A26252">
        <w:rPr>
          <w:lang w:val="en-US"/>
        </w:rPr>
        <w:t>, International Journal of</w:t>
      </w:r>
      <w:r>
        <w:rPr>
          <w:lang w:val="en-US"/>
        </w:rPr>
        <w:t xml:space="preserve"> </w:t>
      </w:r>
      <w:r w:rsidRPr="00A26252">
        <w:rPr>
          <w:lang w:val="en-US"/>
        </w:rPr>
        <w:t>Industrial Organization 22, 1-24.</w:t>
      </w:r>
    </w:p>
    <w:p w:rsidR="009A23E6" w:rsidRPr="00D87F29" w:rsidRDefault="009A23E6" w:rsidP="009A23E6">
      <w:pPr>
        <w:spacing w:before="240"/>
        <w:jc w:val="both"/>
        <w:rPr>
          <w:lang w:val="en-US"/>
        </w:rPr>
      </w:pPr>
      <w:r w:rsidRPr="005356D2">
        <w:rPr>
          <w:b/>
          <w:lang w:val="en-US"/>
        </w:rPr>
        <w:t>KOUTROUMPIS, A.</w:t>
      </w:r>
      <w:r>
        <w:rPr>
          <w:lang w:val="en-US"/>
        </w:rPr>
        <w:t xml:space="preserve"> </w:t>
      </w:r>
      <w:r w:rsidRPr="00D87F29">
        <w:rPr>
          <w:lang w:val="en-US"/>
        </w:rPr>
        <w:t xml:space="preserve">(2009). </w:t>
      </w:r>
      <w:r w:rsidRPr="00D87F29">
        <w:rPr>
          <w:i/>
          <w:lang w:val="en-US"/>
        </w:rPr>
        <w:t>The economic impact of broadband on growth: A simultaneous approach</w:t>
      </w:r>
      <w:r w:rsidRPr="00D87F29">
        <w:rPr>
          <w:lang w:val="en-US"/>
        </w:rPr>
        <w:t>, Telecommunications Policy  471-485.</w:t>
      </w:r>
    </w:p>
    <w:p w:rsidR="009A23E6" w:rsidRDefault="009A23E6" w:rsidP="009A23E6">
      <w:pPr>
        <w:jc w:val="both"/>
        <w:rPr>
          <w:b/>
          <w:lang w:val="en-US"/>
        </w:rPr>
      </w:pPr>
    </w:p>
    <w:p w:rsidR="009A23E6" w:rsidRPr="00D5544D" w:rsidRDefault="009A23E6" w:rsidP="009A23E6">
      <w:pPr>
        <w:jc w:val="both"/>
        <w:rPr>
          <w:rStyle w:val="Hyperlink"/>
          <w:lang w:val="en-US"/>
        </w:rPr>
      </w:pPr>
      <w:r w:rsidRPr="00096221">
        <w:rPr>
          <w:b/>
          <w:lang w:val="en-US"/>
        </w:rPr>
        <w:t>LIEBENAU, J., ATKINSON, R</w:t>
      </w:r>
      <w:r w:rsidR="00096221" w:rsidRPr="00096221">
        <w:rPr>
          <w:b/>
          <w:lang w:val="en-US"/>
        </w:rPr>
        <w:t>. D., KÄRRBERG, P., CASTRO, D. and</w:t>
      </w:r>
      <w:r w:rsidRPr="00096221">
        <w:rPr>
          <w:b/>
          <w:lang w:val="en-US"/>
        </w:rPr>
        <w:t xml:space="preserve"> EZELL, S. J.</w:t>
      </w:r>
      <w:r w:rsidRPr="00096221">
        <w:rPr>
          <w:lang w:val="en-US"/>
        </w:rPr>
        <w:t xml:space="preserve"> (2009), </w:t>
      </w:r>
      <w:r w:rsidRPr="00096221">
        <w:rPr>
          <w:i/>
          <w:lang w:val="en-US"/>
        </w:rPr>
        <w:t>The UK's Digital Road to Recovery</w:t>
      </w:r>
      <w:r w:rsidRPr="00096221">
        <w:rPr>
          <w:lang w:val="en-US"/>
        </w:rPr>
        <w:t xml:space="preserve">. </w:t>
      </w:r>
      <w:r w:rsidRPr="00D5544D">
        <w:rPr>
          <w:lang w:val="en-US"/>
        </w:rPr>
        <w:t xml:space="preserve">Disponível em: </w:t>
      </w:r>
      <w:hyperlink r:id="rId81" w:history="1">
        <w:r w:rsidRPr="00D5544D">
          <w:rPr>
            <w:rStyle w:val="Hyperlink"/>
            <w:lang w:val="en-US"/>
          </w:rPr>
          <w:t>http://ssrn.com/abstract=1396687</w:t>
        </w:r>
      </w:hyperlink>
    </w:p>
    <w:p w:rsidR="00B467BF" w:rsidRPr="00D5544D" w:rsidRDefault="00B467BF" w:rsidP="009A23E6">
      <w:pPr>
        <w:jc w:val="both"/>
        <w:rPr>
          <w:rStyle w:val="Hyperlink"/>
          <w:lang w:val="en-US"/>
        </w:rPr>
      </w:pPr>
    </w:p>
    <w:p w:rsidR="00B467BF" w:rsidRDefault="00B467BF" w:rsidP="00B467BF">
      <w:pPr>
        <w:jc w:val="both"/>
        <w:rPr>
          <w:lang w:val="en-US"/>
        </w:rPr>
      </w:pPr>
      <w:r>
        <w:rPr>
          <w:b/>
          <w:lang w:val="en-US"/>
        </w:rPr>
        <w:t>LAFFONT, J-J.</w:t>
      </w:r>
      <w:r w:rsidRPr="008577B3">
        <w:rPr>
          <w:b/>
          <w:lang w:val="en-US"/>
        </w:rPr>
        <w:t xml:space="preserve"> </w:t>
      </w:r>
      <w:r>
        <w:rPr>
          <w:b/>
          <w:lang w:val="en-US"/>
        </w:rPr>
        <w:t>and</w:t>
      </w:r>
      <w:r w:rsidRPr="008577B3">
        <w:rPr>
          <w:b/>
          <w:lang w:val="en-US"/>
        </w:rPr>
        <w:t xml:space="preserve"> TIROLE, J</w:t>
      </w:r>
      <w:r w:rsidRPr="00417412">
        <w:rPr>
          <w:lang w:val="en-US"/>
        </w:rPr>
        <w:t xml:space="preserve">, </w:t>
      </w:r>
      <w:r>
        <w:rPr>
          <w:lang w:val="en-US"/>
        </w:rPr>
        <w:t>(1994),</w:t>
      </w:r>
      <w:r w:rsidRPr="00417412">
        <w:rPr>
          <w:lang w:val="en-US"/>
        </w:rPr>
        <w:t xml:space="preserve"> </w:t>
      </w:r>
      <w:r w:rsidRPr="00DC2522">
        <w:rPr>
          <w:i/>
          <w:lang w:val="en-US"/>
        </w:rPr>
        <w:t>Access Pricing and Competition</w:t>
      </w:r>
      <w:r>
        <w:rPr>
          <w:i/>
          <w:lang w:val="en-US"/>
        </w:rPr>
        <w:t>,</w:t>
      </w:r>
      <w:r w:rsidRPr="00AA3106">
        <w:rPr>
          <w:lang w:val="en-US"/>
        </w:rPr>
        <w:t xml:space="preserve"> European Economic Review, 38, 1994, pp. 1673-1710.</w:t>
      </w:r>
    </w:p>
    <w:p w:rsidR="00B467BF" w:rsidRDefault="00B467BF" w:rsidP="00B467BF">
      <w:pPr>
        <w:jc w:val="both"/>
        <w:rPr>
          <w:b/>
          <w:lang w:val="en-US"/>
        </w:rPr>
      </w:pPr>
    </w:p>
    <w:p w:rsidR="00B467BF" w:rsidRDefault="00B467BF" w:rsidP="00B467BF">
      <w:pPr>
        <w:jc w:val="both"/>
        <w:rPr>
          <w:lang w:val="en-US"/>
        </w:rPr>
      </w:pPr>
      <w:r>
        <w:rPr>
          <w:b/>
          <w:lang w:val="en-US"/>
        </w:rPr>
        <w:t>LAFFONT, J-J. and</w:t>
      </w:r>
      <w:r w:rsidRPr="008577B3">
        <w:rPr>
          <w:b/>
          <w:lang w:val="en-US"/>
        </w:rPr>
        <w:t xml:space="preserve"> TIROLE, J</w:t>
      </w:r>
      <w:r w:rsidRPr="00417412">
        <w:rPr>
          <w:lang w:val="en-US"/>
        </w:rPr>
        <w:t xml:space="preserve">, </w:t>
      </w:r>
      <w:r>
        <w:rPr>
          <w:lang w:val="en-US"/>
        </w:rPr>
        <w:t>(</w:t>
      </w:r>
      <w:r w:rsidRPr="008C14ED">
        <w:rPr>
          <w:lang w:val="en-US"/>
        </w:rPr>
        <w:t>2001</w:t>
      </w:r>
      <w:r>
        <w:rPr>
          <w:lang w:val="en-US"/>
        </w:rPr>
        <w:t xml:space="preserve">) </w:t>
      </w:r>
      <w:r w:rsidRPr="00DC7525">
        <w:rPr>
          <w:i/>
          <w:lang w:val="en-US"/>
        </w:rPr>
        <w:t>Competition in Telecommunications</w:t>
      </w:r>
      <w:r>
        <w:rPr>
          <w:i/>
          <w:lang w:val="en-US"/>
        </w:rPr>
        <w:t>,</w:t>
      </w:r>
      <w:r w:rsidRPr="008C14ED">
        <w:rPr>
          <w:lang w:val="en-US"/>
        </w:rPr>
        <w:t xml:space="preserve"> MIT Press Books, The MIT Press, edition 1, volume 1</w:t>
      </w:r>
    </w:p>
    <w:p w:rsidR="009A23E6" w:rsidRPr="00B467BF" w:rsidRDefault="009A23E6" w:rsidP="009A23E6">
      <w:pPr>
        <w:jc w:val="both"/>
        <w:rPr>
          <w:b/>
          <w:lang w:val="en-US"/>
        </w:rPr>
      </w:pPr>
    </w:p>
    <w:p w:rsidR="009A23E6" w:rsidRPr="00666C0C" w:rsidRDefault="00096221" w:rsidP="009A23E6">
      <w:pPr>
        <w:jc w:val="both"/>
      </w:pPr>
      <w:r>
        <w:rPr>
          <w:b/>
        </w:rPr>
        <w:t>MACEDO, H. R. e</w:t>
      </w:r>
      <w:r w:rsidR="009A23E6" w:rsidRPr="005356D2">
        <w:rPr>
          <w:b/>
        </w:rPr>
        <w:t xml:space="preserve"> CARVALHO, A. X. Y.</w:t>
      </w:r>
      <w:r w:rsidR="009A23E6">
        <w:t xml:space="preserve">, </w:t>
      </w:r>
      <w:r w:rsidR="009A23E6" w:rsidRPr="00666C0C">
        <w:t xml:space="preserve">(2010), </w:t>
      </w:r>
      <w:r w:rsidR="009A23E6">
        <w:rPr>
          <w:bCs/>
          <w:i/>
          <w:szCs w:val="48"/>
        </w:rPr>
        <w:t>A</w:t>
      </w:r>
      <w:r w:rsidR="009A23E6" w:rsidRPr="00DD0216">
        <w:rPr>
          <w:bCs/>
          <w:i/>
          <w:szCs w:val="48"/>
        </w:rPr>
        <w:t>nálise de possíveis determinantes da penetração do serviço de acesso à internet em banda larga nos municípios brasileiros</w:t>
      </w:r>
      <w:r w:rsidR="009A23E6">
        <w:rPr>
          <w:bCs/>
          <w:i/>
          <w:szCs w:val="48"/>
        </w:rPr>
        <w:t>,</w:t>
      </w:r>
      <w:r w:rsidR="009A23E6" w:rsidRPr="00666C0C">
        <w:rPr>
          <w:szCs w:val="48"/>
        </w:rPr>
        <w:t xml:space="preserve"> </w:t>
      </w:r>
      <w:r w:rsidR="009A23E6" w:rsidRPr="00666C0C">
        <w:rPr>
          <w:iCs/>
          <w:szCs w:val="20"/>
        </w:rPr>
        <w:t>Textos Para Discussão</w:t>
      </w:r>
      <w:r w:rsidR="009A23E6">
        <w:rPr>
          <w:szCs w:val="20"/>
        </w:rPr>
        <w:t>, nº 1503</w:t>
      </w:r>
      <w:r w:rsidR="009A23E6" w:rsidRPr="00666C0C">
        <w:rPr>
          <w:szCs w:val="20"/>
        </w:rPr>
        <w:t>, Instituto de Pesquisas Econômicas Aplicadas – IPEA.</w:t>
      </w:r>
      <w:r w:rsidR="009A23E6" w:rsidRPr="00666C0C">
        <w:rPr>
          <w:szCs w:val="28"/>
        </w:rPr>
        <w:t xml:space="preserve">  </w:t>
      </w:r>
    </w:p>
    <w:p w:rsidR="009A23E6" w:rsidRPr="00E05409" w:rsidRDefault="009A23E6" w:rsidP="009A23E6">
      <w:pPr>
        <w:jc w:val="both"/>
        <w:rPr>
          <w:b/>
        </w:rPr>
      </w:pPr>
    </w:p>
    <w:p w:rsidR="009A23E6" w:rsidRPr="00F32320" w:rsidRDefault="009A23E6" w:rsidP="009A23E6">
      <w:pPr>
        <w:jc w:val="both"/>
        <w:rPr>
          <w:lang w:val="en-US"/>
        </w:rPr>
      </w:pPr>
      <w:r w:rsidRPr="00F563E7">
        <w:rPr>
          <w:b/>
          <w:lang w:val="en-US"/>
        </w:rPr>
        <w:t>OECD</w:t>
      </w:r>
      <w:r w:rsidRPr="00731FA9">
        <w:rPr>
          <w:lang w:val="en-US"/>
        </w:rPr>
        <w:t xml:space="preserve"> (2011), </w:t>
      </w:r>
      <w:r w:rsidRPr="00F563E7">
        <w:rPr>
          <w:i/>
          <w:lang w:val="en-US"/>
        </w:rPr>
        <w:t>National Broadband Plans</w:t>
      </w:r>
      <w:r w:rsidRPr="00731FA9">
        <w:rPr>
          <w:lang w:val="en-US"/>
        </w:rPr>
        <w:t>, OECD Digital</w:t>
      </w:r>
      <w:r>
        <w:rPr>
          <w:lang w:val="en-US"/>
        </w:rPr>
        <w:t xml:space="preserve"> </w:t>
      </w:r>
      <w:r w:rsidRPr="00731FA9">
        <w:rPr>
          <w:lang w:val="en-US"/>
        </w:rPr>
        <w:t>Economy Papers, No. 181, OECD Publishing.</w:t>
      </w:r>
      <w:r>
        <w:rPr>
          <w:lang w:val="en-US"/>
        </w:rPr>
        <w:t xml:space="preserve"> </w:t>
      </w:r>
      <w:r w:rsidRPr="00F32320">
        <w:rPr>
          <w:lang w:val="en-US"/>
        </w:rPr>
        <w:t xml:space="preserve">Disponível em: </w:t>
      </w:r>
      <w:hyperlink r:id="rId82" w:history="1">
        <w:r w:rsidRPr="00F32320">
          <w:rPr>
            <w:rStyle w:val="Hyperlink"/>
            <w:lang w:val="en-US"/>
          </w:rPr>
          <w:t>http://dx.doi.org/10.1787/5kg9sr5fmqwd-en</w:t>
        </w:r>
      </w:hyperlink>
      <w:r w:rsidRPr="00F32320">
        <w:rPr>
          <w:lang w:val="en-US"/>
        </w:rPr>
        <w:t xml:space="preserve"> </w:t>
      </w:r>
    </w:p>
    <w:p w:rsidR="009A23E6" w:rsidRPr="001B0C41" w:rsidRDefault="00096221" w:rsidP="009A23E6">
      <w:pPr>
        <w:spacing w:before="240"/>
        <w:jc w:val="both"/>
        <w:rPr>
          <w:lang w:val="en-US"/>
        </w:rPr>
      </w:pPr>
      <w:r>
        <w:rPr>
          <w:b/>
          <w:lang w:val="en-US"/>
        </w:rPr>
        <w:t>QIANG, C. Z., ROSSOTTO, C. M. and</w:t>
      </w:r>
      <w:r w:rsidR="009A23E6" w:rsidRPr="005356D2">
        <w:rPr>
          <w:b/>
          <w:lang w:val="en-US"/>
        </w:rPr>
        <w:t xml:space="preserve"> KIMURA,  K.,</w:t>
      </w:r>
      <w:r w:rsidR="009A23E6" w:rsidRPr="001B0C41">
        <w:rPr>
          <w:lang w:val="en-US"/>
        </w:rPr>
        <w:t xml:space="preserve"> (2009), </w:t>
      </w:r>
      <w:r w:rsidR="009A23E6" w:rsidRPr="001B0C41">
        <w:rPr>
          <w:i/>
          <w:lang w:val="en-US"/>
        </w:rPr>
        <w:t>Economic Impacts of Broadband</w:t>
      </w:r>
      <w:r w:rsidR="009A23E6" w:rsidRPr="001B0C41">
        <w:rPr>
          <w:lang w:val="en-US"/>
        </w:rPr>
        <w:t xml:space="preserve">, in ICAD2009 - Information and Communications for Development, Capítulo 3: Extending Reach and Increasing Impact, </w:t>
      </w:r>
      <w:r w:rsidR="009A23E6">
        <w:rPr>
          <w:lang w:val="en-US"/>
        </w:rPr>
        <w:t>Banco Mundial</w:t>
      </w:r>
      <w:r w:rsidR="009A23E6" w:rsidRPr="001B0C41">
        <w:rPr>
          <w:lang w:val="en-US"/>
        </w:rPr>
        <w:t>.</w:t>
      </w:r>
    </w:p>
    <w:p w:rsidR="009A23E6" w:rsidRDefault="009A23E6" w:rsidP="009A23E6">
      <w:pPr>
        <w:jc w:val="both"/>
        <w:rPr>
          <w:b/>
          <w:lang w:val="en-US"/>
        </w:rPr>
      </w:pPr>
    </w:p>
    <w:p w:rsidR="009A23E6" w:rsidRPr="00DD7A3C" w:rsidRDefault="00096221" w:rsidP="009A23E6">
      <w:pPr>
        <w:jc w:val="both"/>
      </w:pPr>
      <w:r>
        <w:rPr>
          <w:b/>
          <w:lang w:val="en-US"/>
        </w:rPr>
        <w:t>REY, P. and</w:t>
      </w:r>
      <w:r w:rsidR="009A23E6" w:rsidRPr="008577B3">
        <w:rPr>
          <w:b/>
          <w:lang w:val="en-US"/>
        </w:rPr>
        <w:t xml:space="preserve"> TIROLE, J.</w:t>
      </w:r>
      <w:r w:rsidR="009A23E6">
        <w:rPr>
          <w:lang w:val="en-US"/>
        </w:rPr>
        <w:t xml:space="preserve">, (2006), </w:t>
      </w:r>
      <w:r w:rsidR="009A23E6" w:rsidRPr="00DD7A3C">
        <w:rPr>
          <w:i/>
          <w:lang w:val="en-US"/>
        </w:rPr>
        <w:t>A Primer on Foreclosure</w:t>
      </w:r>
      <w:r w:rsidR="009A23E6" w:rsidRPr="00DD7A3C">
        <w:rPr>
          <w:lang w:val="en-US"/>
        </w:rPr>
        <w:t xml:space="preserve"> </w:t>
      </w:r>
      <w:r w:rsidR="009A23E6">
        <w:rPr>
          <w:lang w:val="en-US"/>
        </w:rPr>
        <w:t xml:space="preserve">em </w:t>
      </w:r>
      <w:r w:rsidR="009A23E6" w:rsidRPr="00DD7A3C">
        <w:rPr>
          <w:lang w:val="en-US"/>
        </w:rPr>
        <w:t xml:space="preserve">Handbook of Industrial Organization, vol. </w:t>
      </w:r>
      <w:r w:rsidR="009A23E6" w:rsidRPr="00DD7A3C">
        <w:t>III, North Holland, 200</w:t>
      </w:r>
      <w:r w:rsidR="009A23E6">
        <w:t>6</w:t>
      </w:r>
      <w:r w:rsidR="009A23E6" w:rsidRPr="00DD7A3C">
        <w:t xml:space="preserve">, p. 2145-2220. Disponível em </w:t>
      </w:r>
      <w:hyperlink r:id="rId83" w:history="1">
        <w:r w:rsidR="009A23E6" w:rsidRPr="00DD7A3C">
          <w:rPr>
            <w:rStyle w:val="Hyperlink"/>
          </w:rPr>
          <w:t>http://idei.fr/doc/by/tirole/primer.pdf</w:t>
        </w:r>
      </w:hyperlink>
      <w:r w:rsidR="009A23E6" w:rsidRPr="00DD7A3C">
        <w:t>, acessado em 31/05/2012.</w:t>
      </w:r>
    </w:p>
    <w:p w:rsidR="009A23E6" w:rsidRPr="005A6559" w:rsidRDefault="009A23E6" w:rsidP="009A23E6">
      <w:pPr>
        <w:jc w:val="both"/>
        <w:rPr>
          <w:b/>
        </w:rPr>
      </w:pPr>
    </w:p>
    <w:p w:rsidR="009A23E6" w:rsidRDefault="0021056B" w:rsidP="009A23E6">
      <w:pPr>
        <w:jc w:val="both"/>
        <w:rPr>
          <w:lang w:val="en-US"/>
        </w:rPr>
      </w:pPr>
      <w:r>
        <w:rPr>
          <w:b/>
          <w:lang w:val="en-US"/>
        </w:rPr>
        <w:t>THOMPSON, H., and</w:t>
      </w:r>
      <w:r w:rsidR="009A23E6" w:rsidRPr="004A233B">
        <w:rPr>
          <w:b/>
          <w:lang w:val="en-US"/>
        </w:rPr>
        <w:t xml:space="preserve"> GARBACZ, C.,</w:t>
      </w:r>
      <w:r w:rsidR="009A23E6" w:rsidRPr="004A233B">
        <w:rPr>
          <w:lang w:val="en-US"/>
        </w:rPr>
        <w:t xml:space="preserve"> (2008), </w:t>
      </w:r>
      <w:r w:rsidR="009A23E6" w:rsidRPr="004A233B">
        <w:rPr>
          <w:i/>
          <w:lang w:val="en-US"/>
        </w:rPr>
        <w:t>Broadband Impacts on State GDP: Direct and Indirect Impacts</w:t>
      </w:r>
      <w:r w:rsidR="009A23E6" w:rsidRPr="00DE67EA">
        <w:rPr>
          <w:lang w:val="en-US"/>
        </w:rPr>
        <w:t xml:space="preserve">. Paper </w:t>
      </w:r>
      <w:r w:rsidR="009A23E6">
        <w:rPr>
          <w:lang w:val="en-US"/>
        </w:rPr>
        <w:t xml:space="preserve">apresentado no </w:t>
      </w:r>
      <w:r w:rsidR="009A23E6" w:rsidRPr="00DE67EA">
        <w:rPr>
          <w:lang w:val="en-US"/>
        </w:rPr>
        <w:t>International Telecommunications Society 17th Biennial Conference, Canada.</w:t>
      </w:r>
    </w:p>
    <w:p w:rsidR="009A23E6" w:rsidRDefault="009A23E6" w:rsidP="009A23E6">
      <w:pPr>
        <w:rPr>
          <w:lang w:val="en-US"/>
        </w:rPr>
      </w:pPr>
    </w:p>
    <w:p w:rsidR="009A23E6" w:rsidRPr="005977F7" w:rsidRDefault="009A23E6" w:rsidP="009A23E6">
      <w:pPr>
        <w:jc w:val="both"/>
      </w:pPr>
      <w:r w:rsidRPr="00943A70">
        <w:rPr>
          <w:b/>
          <w:lang w:val="en-US"/>
        </w:rPr>
        <w:t>WAVERMAN, L</w:t>
      </w:r>
      <w:r>
        <w:rPr>
          <w:lang w:val="en-US"/>
        </w:rPr>
        <w:t>. (2009)</w:t>
      </w:r>
      <w:r w:rsidRPr="00DE67EA">
        <w:rPr>
          <w:lang w:val="en-US"/>
        </w:rPr>
        <w:t xml:space="preserve">. </w:t>
      </w:r>
      <w:r w:rsidRPr="00943A70">
        <w:rPr>
          <w:i/>
          <w:lang w:val="en-US"/>
        </w:rPr>
        <w:t>Economic Impact of Broadband: An Empirical Study</w:t>
      </w:r>
      <w:r w:rsidRPr="00DE67EA">
        <w:rPr>
          <w:lang w:val="en-US"/>
        </w:rPr>
        <w:t xml:space="preserve">. </w:t>
      </w:r>
      <w:r w:rsidRPr="005977F7">
        <w:t>London: LECG.</w:t>
      </w:r>
    </w:p>
    <w:p w:rsidR="00D53380" w:rsidRPr="005977F7" w:rsidRDefault="00D53380" w:rsidP="009A23E6">
      <w:pPr>
        <w:jc w:val="both"/>
      </w:pPr>
    </w:p>
    <w:p w:rsidR="009A23E6" w:rsidRDefault="009A23E6"/>
    <w:p w:rsidR="008D7762" w:rsidRDefault="008D7762" w:rsidP="00D53380">
      <w:pPr>
        <w:jc w:val="center"/>
        <w:rPr>
          <w:b/>
        </w:rPr>
      </w:pPr>
    </w:p>
    <w:p w:rsidR="008D7762" w:rsidRDefault="008D7762" w:rsidP="00D53380">
      <w:pPr>
        <w:jc w:val="center"/>
        <w:rPr>
          <w:b/>
        </w:rPr>
      </w:pPr>
    </w:p>
    <w:p w:rsidR="008D7762" w:rsidRDefault="008D7762" w:rsidP="00D53380">
      <w:pPr>
        <w:jc w:val="center"/>
        <w:rPr>
          <w:b/>
        </w:rPr>
      </w:pPr>
    </w:p>
    <w:p w:rsidR="00D53380" w:rsidRDefault="00D53380" w:rsidP="00D53380">
      <w:pPr>
        <w:jc w:val="center"/>
        <w:rPr>
          <w:b/>
        </w:rPr>
      </w:pPr>
      <w:r>
        <w:rPr>
          <w:b/>
        </w:rPr>
        <w:lastRenderedPageBreak/>
        <w:t>APÊNDICE</w:t>
      </w:r>
    </w:p>
    <w:p w:rsidR="00D53380" w:rsidRDefault="00D53380" w:rsidP="00D53380">
      <w:pPr>
        <w:spacing w:before="240" w:line="360" w:lineRule="auto"/>
        <w:jc w:val="both"/>
      </w:pPr>
      <w:r>
        <w:t>Neste apêndice apresentamos a metodologia de calibragem da elasticidade de substituição do serviço de banda larga. Para isto</w:t>
      </w:r>
      <w:r w:rsidR="00F269ED">
        <w:t xml:space="preserve">, consideraremos </w:t>
      </w:r>
      <w:r>
        <w:t xml:space="preserve">que a decisão de uma família quanto à aquisição do serviço de banda larga é uma decisão binária baseada </w:t>
      </w:r>
      <w:r w:rsidR="00921CCD">
        <w:t>numa u</w:t>
      </w:r>
      <w:r>
        <w:t xml:space="preserve">tilidade do tipo CES. Assim, </w:t>
      </w:r>
      <w:r w:rsidR="00921CCD">
        <w:t>se</w:t>
      </w:r>
      <w:r>
        <w:t xml:space="preserve"> </w:t>
      </w:r>
      <w:r>
        <w:rPr>
          <w:i/>
        </w:rPr>
        <w:t>x</w:t>
      </w:r>
      <w:r>
        <w:t xml:space="preserve"> representa o consumo do serviço de banda larga e </w:t>
      </w:r>
      <w:r>
        <w:rPr>
          <w:i/>
        </w:rPr>
        <w:t xml:space="preserve">m </w:t>
      </w:r>
      <w:r>
        <w:t>representa o gasto da família com demais produtos e serviços, temos então:</w:t>
      </w:r>
    </w:p>
    <w:p w:rsidR="00D53380" w:rsidRDefault="00EB52B3" w:rsidP="00D53380">
      <w:pPr>
        <w:spacing w:before="240" w:line="360" w:lineRule="auto"/>
        <w:ind w:firstLine="708"/>
        <w:jc w:val="both"/>
      </w:pPr>
      <w:r w:rsidRPr="00921CCD">
        <w:rPr>
          <w:rFonts w:eastAsiaTheme="minorHAnsi"/>
          <w:position w:val="-12"/>
          <w:lang w:eastAsia="en-US"/>
        </w:rPr>
        <w:object w:dxaOrig="5400" w:dyaOrig="460">
          <v:shape id="_x0000_i1059" type="#_x0000_t75" style="width:270.25pt;height:23.05pt" o:ole="">
            <v:imagedata r:id="rId84" o:title=""/>
          </v:shape>
          <o:OLEObject Type="Embed" ProgID="Equation.3" ShapeID="_x0000_i1059" DrawAspect="Content" ObjectID="_1498299898" r:id="rId85"/>
        </w:object>
      </w:r>
    </w:p>
    <w:p w:rsidR="00D53380" w:rsidRDefault="00D53380" w:rsidP="00D53380">
      <w:pPr>
        <w:spacing w:before="240" w:line="360" w:lineRule="auto"/>
        <w:jc w:val="both"/>
      </w:pPr>
      <w:r>
        <w:t xml:space="preserve">onde a elasticidade de substituição entre serviços de banda larga e renda é </w:t>
      </w:r>
      <w:r>
        <w:rPr>
          <w:rFonts w:eastAsiaTheme="minorHAnsi"/>
          <w:position w:val="-10"/>
          <w:lang w:eastAsia="en-US"/>
        </w:rPr>
        <w:object w:dxaOrig="840" w:dyaOrig="360">
          <v:shape id="_x0000_i1060" type="#_x0000_t75" style="width:42.05pt;height:17.85pt" o:ole="">
            <v:imagedata r:id="rId86" o:title=""/>
          </v:shape>
          <o:OLEObject Type="Embed" ProgID="Equation.3" ShapeID="_x0000_i1060" DrawAspect="Content" ObjectID="_1498299899" r:id="rId87"/>
        </w:object>
      </w:r>
      <w:r>
        <w:t xml:space="preserve"> e o parâmetro </w:t>
      </w:r>
      <w:r>
        <w:rPr>
          <w:rFonts w:eastAsiaTheme="minorHAnsi"/>
          <w:position w:val="-12"/>
          <w:lang w:eastAsia="en-US"/>
        </w:rPr>
        <w:object w:dxaOrig="300" w:dyaOrig="360">
          <v:shape id="_x0000_i1061" type="#_x0000_t75" style="width:15pt;height:17.85pt" o:ole="">
            <v:imagedata r:id="rId88" o:title=""/>
          </v:shape>
          <o:OLEObject Type="Embed" ProgID="Equation.3" ShapeID="_x0000_i1061" DrawAspect="Content" ObjectID="_1498299900" r:id="rId89"/>
        </w:object>
      </w:r>
      <w:r>
        <w:t xml:space="preserve"> é o peso da contratação de serviços de banda larga nas preferências da família </w:t>
      </w:r>
      <w:r>
        <w:rPr>
          <w:i/>
        </w:rPr>
        <w:t>n</w:t>
      </w:r>
      <w:r>
        <w:t xml:space="preserve"> e portanto na restrição orçamentária. Considerando que o parâmetro </w:t>
      </w:r>
      <w:r>
        <w:rPr>
          <w:rFonts w:eastAsiaTheme="minorHAnsi"/>
          <w:position w:val="-6"/>
          <w:lang w:eastAsia="en-US"/>
        </w:rPr>
        <w:object w:dxaOrig="225" w:dyaOrig="285">
          <v:shape id="_x0000_i1062" type="#_x0000_t75" style="width:11.5pt;height:14.4pt" o:ole="">
            <v:imagedata r:id="rId90" o:title=""/>
          </v:shape>
          <o:OLEObject Type="Embed" ProgID="Equation.3" ShapeID="_x0000_i1062" DrawAspect="Content" ObjectID="_1498299901" r:id="rId91"/>
        </w:object>
      </w:r>
      <w:r>
        <w:t xml:space="preserve"> varia apenas entre as cidades </w:t>
      </w:r>
      <w:r>
        <w:rPr>
          <w:i/>
        </w:rPr>
        <w:t>i</w:t>
      </w:r>
      <w:r>
        <w:t xml:space="preserve">, temos que a função utilidade de uma família </w:t>
      </w:r>
      <w:r>
        <w:rPr>
          <w:i/>
        </w:rPr>
        <w:t>n</w:t>
      </w:r>
      <w:r>
        <w:t xml:space="preserve"> localizada na cidade </w:t>
      </w:r>
      <w:r>
        <w:rPr>
          <w:i/>
        </w:rPr>
        <w:t>i</w:t>
      </w:r>
      <w:r>
        <w:t xml:space="preserve"> terá a seguinte forma:</w:t>
      </w:r>
    </w:p>
    <w:p w:rsidR="00D53380" w:rsidRDefault="00EB52B3" w:rsidP="00D53380">
      <w:pPr>
        <w:spacing w:before="240" w:line="360" w:lineRule="auto"/>
        <w:ind w:left="709"/>
        <w:jc w:val="both"/>
      </w:pPr>
      <w:r w:rsidRPr="00EB52B3">
        <w:rPr>
          <w:rFonts w:eastAsiaTheme="minorHAnsi"/>
          <w:position w:val="-14"/>
          <w:lang w:eastAsia="en-US"/>
        </w:rPr>
        <w:object w:dxaOrig="5860" w:dyaOrig="520">
          <v:shape id="_x0000_i1063" type="#_x0000_t75" style="width:293.3pt;height:25.9pt" o:ole="">
            <v:imagedata r:id="rId92" o:title=""/>
          </v:shape>
          <o:OLEObject Type="Embed" ProgID="Equation.3" ShapeID="_x0000_i1063" DrawAspect="Content" ObjectID="_1498299902" r:id="rId93"/>
        </w:object>
      </w:r>
    </w:p>
    <w:p w:rsidR="00D53380" w:rsidRDefault="00D53380" w:rsidP="00D53380">
      <w:pPr>
        <w:spacing w:before="240" w:line="360" w:lineRule="auto"/>
        <w:jc w:val="both"/>
      </w:pPr>
      <w:r>
        <w:t xml:space="preserve">Evidentemente, supor que o parâmetro </w:t>
      </w:r>
      <w:r>
        <w:rPr>
          <w:rFonts w:eastAsiaTheme="minorHAnsi"/>
          <w:position w:val="-6"/>
          <w:lang w:eastAsia="en-US"/>
        </w:rPr>
        <w:object w:dxaOrig="225" w:dyaOrig="285">
          <v:shape id="_x0000_i1064" type="#_x0000_t75" style="width:11.5pt;height:14.4pt" o:ole="">
            <v:imagedata r:id="rId94" o:title=""/>
          </v:shape>
          <o:OLEObject Type="Embed" ProgID="Equation.3" ShapeID="_x0000_i1064" DrawAspect="Content" ObjectID="_1498299903" r:id="rId95"/>
        </w:object>
      </w:r>
      <w:r>
        <w:t xml:space="preserve"> não varia entre as famílias de uma mesma cidade, mas apenas entre cidades, é uma hipótese forte. Essa suposição é necessária tendo em vista a estrutura de dados disposta.</w:t>
      </w:r>
      <w:r w:rsidR="00CD7B19">
        <w:t xml:space="preserve"> </w:t>
      </w:r>
      <w:r>
        <w:t xml:space="preserve">Considerando o preço do serviço como </w:t>
      </w:r>
      <w:r>
        <w:rPr>
          <w:i/>
        </w:rPr>
        <w:t>p</w:t>
      </w:r>
      <w:r>
        <w:rPr>
          <w:i/>
          <w:vertAlign w:val="subscript"/>
        </w:rPr>
        <w:t>i</w:t>
      </w:r>
      <w:r>
        <w:t xml:space="preserve"> e a renda total da família como </w:t>
      </w:r>
      <w:r>
        <w:rPr>
          <w:i/>
        </w:rPr>
        <w:t>M</w:t>
      </w:r>
      <w:r>
        <w:rPr>
          <w:i/>
          <w:vertAlign w:val="subscript"/>
        </w:rPr>
        <w:t>n</w:t>
      </w:r>
      <w:r>
        <w:t xml:space="preserve">, temos então que a família </w:t>
      </w:r>
      <w:r>
        <w:rPr>
          <w:i/>
        </w:rPr>
        <w:t>n</w:t>
      </w:r>
      <w:r>
        <w:t xml:space="preserve"> compra o serviço de banda larga se e só se:</w:t>
      </w:r>
    </w:p>
    <w:p w:rsidR="00D53380" w:rsidRDefault="00D53380" w:rsidP="00D53380">
      <w:pPr>
        <w:spacing w:before="240" w:line="360" w:lineRule="auto"/>
        <w:ind w:left="709"/>
        <w:jc w:val="both"/>
      </w:pPr>
      <w:r>
        <w:rPr>
          <w:rFonts w:eastAsiaTheme="minorHAnsi"/>
          <w:position w:val="-84"/>
          <w:lang w:eastAsia="en-US"/>
        </w:rPr>
        <w:object w:dxaOrig="7305" w:dyaOrig="1620">
          <v:shape id="_x0000_i1065" type="#_x0000_t75" style="width:365.25pt;height:81.15pt" o:ole="">
            <v:imagedata r:id="rId96" o:title=""/>
          </v:shape>
          <o:OLEObject Type="Embed" ProgID="Equation.3" ShapeID="_x0000_i1065" DrawAspect="Content" ObjectID="_1498299904" r:id="rId97"/>
        </w:object>
      </w:r>
    </w:p>
    <w:p w:rsidR="00D53380" w:rsidRDefault="00D53380" w:rsidP="00D53380">
      <w:pPr>
        <w:spacing w:before="240" w:line="360" w:lineRule="auto"/>
        <w:jc w:val="both"/>
      </w:pPr>
      <w:r>
        <w:t xml:space="preserve">Destaca-se que o preço </w:t>
      </w:r>
      <w:r>
        <w:rPr>
          <w:i/>
        </w:rPr>
        <w:t>p</w:t>
      </w:r>
      <w:r>
        <w:rPr>
          <w:i/>
          <w:vertAlign w:val="subscript"/>
        </w:rPr>
        <w:t>i</w:t>
      </w:r>
      <w:r>
        <w:t xml:space="preserve"> não varia entre as famílias de uma cidade. Por outro lado, não há qualquer restrição quanto à variação de preços entre cidades. </w:t>
      </w:r>
    </w:p>
    <w:p w:rsidR="00D53380" w:rsidRDefault="00D53380" w:rsidP="00D53380">
      <w:pPr>
        <w:spacing w:before="240" w:line="360" w:lineRule="auto"/>
        <w:jc w:val="both"/>
      </w:pPr>
      <w:r>
        <w:t xml:space="preserve">Para calibrar o parâmetro </w:t>
      </w:r>
      <w:r>
        <w:rPr>
          <w:rFonts w:eastAsiaTheme="minorHAnsi"/>
          <w:position w:val="-12"/>
          <w:lang w:eastAsia="en-US"/>
        </w:rPr>
        <w:object w:dxaOrig="240" w:dyaOrig="360">
          <v:shape id="_x0000_i1066" type="#_x0000_t75" style="width:12.1pt;height:17.85pt" o:ole="">
            <v:imagedata r:id="rId98" o:title=""/>
          </v:shape>
          <o:OLEObject Type="Embed" ProgID="Equation.3" ShapeID="_x0000_i1066" DrawAspect="Content" ObjectID="_1498299905" r:id="rId99"/>
        </w:object>
      </w:r>
      <w:r>
        <w:t xml:space="preserve"> procedemos da seguinte maneira: Utilizando dados da Pesquisa de Orçamentos Familiares (POF), ordenamos as famílias de maneira decrescente na renda, ou seja, </w:t>
      </w:r>
      <w:r>
        <w:rPr>
          <w:rFonts w:eastAsiaTheme="minorHAnsi"/>
          <w:position w:val="-12"/>
          <w:lang w:eastAsia="en-US"/>
        </w:rPr>
        <w:object w:dxaOrig="375" w:dyaOrig="360">
          <v:shape id="_x0000_i1067" type="#_x0000_t75" style="width:19pt;height:17.85pt" o:ole="">
            <v:imagedata r:id="rId100" o:title=""/>
          </v:shape>
          <o:OLEObject Type="Embed" ProgID="Equation.3" ShapeID="_x0000_i1067" DrawAspect="Content" ObjectID="_1498299906" r:id="rId101"/>
        </w:object>
      </w:r>
      <w:r>
        <w:t xml:space="preserve"> é a renda da </w:t>
      </w:r>
      <w:r>
        <w:rPr>
          <w:i/>
        </w:rPr>
        <w:t>n</w:t>
      </w:r>
      <w:r>
        <w:t xml:space="preserve">-ésima família mais rica no município </w:t>
      </w:r>
      <w:r>
        <w:rPr>
          <w:i/>
        </w:rPr>
        <w:t>i</w:t>
      </w:r>
      <w:r>
        <w:t xml:space="preserve">. Utilizando dados da ANATEL, calculamos a última família mais rica no município que contrata serviços de banda larga. Seja </w:t>
      </w:r>
      <w:r>
        <w:rPr>
          <w:rFonts w:eastAsiaTheme="minorHAnsi"/>
          <w:position w:val="-12"/>
          <w:lang w:eastAsia="en-US"/>
        </w:rPr>
        <w:object w:dxaOrig="315" w:dyaOrig="360">
          <v:shape id="_x0000_i1068" type="#_x0000_t75" style="width:15.55pt;height:17.85pt" o:ole="">
            <v:imagedata r:id="rId102" o:title=""/>
          </v:shape>
          <o:OLEObject Type="Embed" ProgID="Equation.3" ShapeID="_x0000_i1068" DrawAspect="Content" ObjectID="_1498299907" r:id="rId103"/>
        </w:object>
      </w:r>
      <w:r>
        <w:t xml:space="preserve"> a renda dessa família. Então definimos:</w:t>
      </w:r>
    </w:p>
    <w:p w:rsidR="00D53380" w:rsidRDefault="00D53380" w:rsidP="00D53380">
      <w:pPr>
        <w:spacing w:before="240" w:line="360" w:lineRule="auto"/>
        <w:ind w:left="709"/>
        <w:jc w:val="both"/>
        <w:rPr>
          <w:highlight w:val="yellow"/>
        </w:rPr>
      </w:pPr>
      <w:r>
        <w:rPr>
          <w:rFonts w:eastAsiaTheme="minorHAnsi"/>
          <w:position w:val="-32"/>
          <w:lang w:eastAsia="en-US"/>
        </w:rPr>
        <w:object w:dxaOrig="6990" w:dyaOrig="765">
          <v:shape id="_x0000_i1069" type="#_x0000_t75" style="width:349.5pt;height:38pt" o:ole="">
            <v:imagedata r:id="rId104" o:title=""/>
          </v:shape>
          <o:OLEObject Type="Embed" ProgID="Equation.3" ShapeID="_x0000_i1069" DrawAspect="Content" ObjectID="_1498299908" r:id="rId105"/>
        </w:object>
      </w:r>
      <w:r>
        <w:t>;</w:t>
      </w:r>
    </w:p>
    <w:p w:rsidR="00D53380" w:rsidRDefault="00D53380" w:rsidP="00D53380">
      <w:pPr>
        <w:spacing w:before="240" w:line="360" w:lineRule="auto"/>
        <w:jc w:val="both"/>
      </w:pPr>
      <w:r>
        <w:t xml:space="preserve">ou seja, o parâmetro </w:t>
      </w:r>
      <w:r w:rsidR="00EB52B3">
        <w:t>que define a</w:t>
      </w:r>
      <w:r>
        <w:t xml:space="preserve"> elasticidade de substituição entre serviços de banda larga e renda no município é aquele que deixa indiferente entre ter e não ter esse serviço à última família mais rica que contrata o serviço. </w:t>
      </w:r>
    </w:p>
    <w:p w:rsidR="00D53380" w:rsidRDefault="00D53380" w:rsidP="00D53380">
      <w:pPr>
        <w:spacing w:before="240" w:line="360" w:lineRule="auto"/>
        <w:jc w:val="both"/>
      </w:pPr>
      <w:r>
        <w:t xml:space="preserve">O parâmetro </w:t>
      </w:r>
      <w:r>
        <w:rPr>
          <w:rFonts w:eastAsiaTheme="minorHAnsi"/>
          <w:position w:val="-12"/>
          <w:lang w:eastAsia="en-US"/>
        </w:rPr>
        <w:object w:dxaOrig="240" w:dyaOrig="405">
          <v:shape id="_x0000_i1070" type="#_x0000_t75" style="width:12.1pt;height:20.15pt" o:ole="">
            <v:imagedata r:id="rId106" o:title=""/>
          </v:shape>
          <o:OLEObject Type="Embed" ProgID="Equation.3" ShapeID="_x0000_i1070" DrawAspect="Content" ObjectID="_1498299909" r:id="rId107"/>
        </w:object>
      </w:r>
      <w:r>
        <w:t xml:space="preserve"> não pode ser calculado explicitamente, mas uma solução numérica </w:t>
      </w:r>
      <w:r w:rsidR="00EB52B3">
        <w:t>pode ser calculada</w:t>
      </w:r>
      <w:r>
        <w:t xml:space="preserve">. </w:t>
      </w:r>
      <w:r w:rsidR="00EB52B3">
        <w:t>Portanto</w:t>
      </w:r>
      <w:r>
        <w:t xml:space="preserve">, apresentamos </w:t>
      </w:r>
      <w:r w:rsidR="00EB52B3">
        <w:t>a seguir</w:t>
      </w:r>
      <w:r>
        <w:t xml:space="preserve"> a prova de existência e unicidade de </w:t>
      </w:r>
      <w:r>
        <w:rPr>
          <w:rFonts w:eastAsiaTheme="minorHAnsi"/>
          <w:b/>
          <w:position w:val="-6"/>
          <w:lang w:val="en-US" w:eastAsia="en-US"/>
        </w:rPr>
        <w:object w:dxaOrig="240" w:dyaOrig="345">
          <v:shape id="_x0000_i1071" type="#_x0000_t75" style="width:12.1pt;height:17.3pt" o:ole="">
            <v:imagedata r:id="rId108" o:title=""/>
          </v:shape>
          <o:OLEObject Type="Embed" ProgID="Equation.3" ShapeID="_x0000_i1071" DrawAspect="Content" ObjectID="_1498299910" r:id="rId109"/>
        </w:object>
      </w:r>
      <w:r>
        <w:rPr>
          <w:b/>
        </w:rPr>
        <w:t>.</w:t>
      </w:r>
    </w:p>
    <w:p w:rsidR="00D53380" w:rsidRDefault="00D53380" w:rsidP="00D53380">
      <w:pPr>
        <w:spacing w:before="240" w:line="360" w:lineRule="auto"/>
        <w:jc w:val="both"/>
      </w:pPr>
      <w:r w:rsidRPr="00D53380">
        <w:rPr>
          <w:b/>
        </w:rPr>
        <w:t>Existência e unicidade de</w:t>
      </w:r>
      <w:r>
        <w:t xml:space="preserve"> </w:t>
      </w:r>
      <w:r w:rsidRPr="00D53380">
        <w:rPr>
          <w:position w:val="-12"/>
        </w:rPr>
        <w:object w:dxaOrig="240" w:dyaOrig="400">
          <v:shape id="_x0000_i1072" type="#_x0000_t75" style="width:12.1pt;height:20.15pt" o:ole="">
            <v:imagedata r:id="rId110" o:title=""/>
          </v:shape>
          <o:OLEObject Type="Embed" ProgID="Equation.3" ShapeID="_x0000_i1072" DrawAspect="Content" ObjectID="_1498299911" r:id="rId111"/>
        </w:object>
      </w:r>
    </w:p>
    <w:p w:rsidR="00D53380" w:rsidRDefault="00D53380" w:rsidP="00D53380">
      <w:pPr>
        <w:spacing w:before="240" w:line="360" w:lineRule="auto"/>
        <w:jc w:val="both"/>
      </w:pPr>
      <w:r>
        <w:t xml:space="preserve">Considere a função </w:t>
      </w:r>
      <w:r w:rsidRPr="00D53380">
        <w:rPr>
          <w:position w:val="-10"/>
        </w:rPr>
        <w:object w:dxaOrig="1200" w:dyaOrig="340">
          <v:shape id="_x0000_i1073" type="#_x0000_t75" style="width:59.9pt;height:17.3pt" o:ole="">
            <v:imagedata r:id="rId112" o:title=""/>
          </v:shape>
          <o:OLEObject Type="Embed" ProgID="Equation.3" ShapeID="_x0000_i1073" DrawAspect="Content" ObjectID="_1498299912" r:id="rId113"/>
        </w:object>
      </w:r>
      <w:r>
        <w:t xml:space="preserve"> dada por </w:t>
      </w:r>
      <w:r w:rsidRPr="00D53380">
        <w:rPr>
          <w:position w:val="-10"/>
        </w:rPr>
        <w:object w:dxaOrig="1440" w:dyaOrig="360">
          <v:shape id="_x0000_i1074" type="#_x0000_t75" style="width:1in;height:17.85pt" o:ole="">
            <v:imagedata r:id="rId114" o:title=""/>
          </v:shape>
          <o:OLEObject Type="Embed" ProgID="Equation.3" ShapeID="_x0000_i1074" DrawAspect="Content" ObjectID="_1498299913" r:id="rId115"/>
        </w:object>
      </w:r>
      <w:r>
        <w:t xml:space="preserve">, onde </w:t>
      </w:r>
      <w:r w:rsidRPr="00D53380">
        <w:rPr>
          <w:position w:val="-6"/>
        </w:rPr>
        <w:object w:dxaOrig="900" w:dyaOrig="279">
          <v:shape id="_x0000_i1075" type="#_x0000_t75" style="width:44.95pt;height:13.8pt" o:ole="">
            <v:imagedata r:id="rId116" o:title=""/>
          </v:shape>
          <o:OLEObject Type="Embed" ProgID="Equation.3" ShapeID="_x0000_i1075" DrawAspect="Content" ObjectID="_1498299914" r:id="rId117"/>
        </w:object>
      </w:r>
      <w:r>
        <w:t xml:space="preserve">. No nosso caso temos que </w:t>
      </w:r>
      <w:r w:rsidRPr="00D53380">
        <w:rPr>
          <w:position w:val="-10"/>
        </w:rPr>
        <w:object w:dxaOrig="1060" w:dyaOrig="320">
          <v:shape id="_x0000_i1076" type="#_x0000_t75" style="width:53pt;height:16.15pt" o:ole="">
            <v:imagedata r:id="rId118" o:title=""/>
          </v:shape>
          <o:OLEObject Type="Embed" ProgID="Equation.3" ShapeID="_x0000_i1076" DrawAspect="Content" ObjectID="_1498299915" r:id="rId119"/>
        </w:object>
      </w:r>
      <w:r>
        <w:t xml:space="preserve"> e </w:t>
      </w:r>
      <w:r w:rsidRPr="00D53380">
        <w:rPr>
          <w:position w:val="-6"/>
        </w:rPr>
        <w:object w:dxaOrig="680" w:dyaOrig="279">
          <v:shape id="_x0000_i1077" type="#_x0000_t75" style="width:34pt;height:13.8pt" o:ole="">
            <v:imagedata r:id="rId120" o:title=""/>
          </v:shape>
          <o:OLEObject Type="Embed" ProgID="Equation.3" ShapeID="_x0000_i1077" DrawAspect="Content" ObjectID="_1498299916" r:id="rId121"/>
        </w:object>
      </w:r>
      <w:r>
        <w:t>.</w:t>
      </w:r>
    </w:p>
    <w:p w:rsidR="00D53380" w:rsidRDefault="00D53380" w:rsidP="00D53380">
      <w:pPr>
        <w:spacing w:line="360" w:lineRule="auto"/>
      </w:pPr>
      <w:r>
        <w:rPr>
          <w:b/>
        </w:rPr>
        <w:t>Existência</w:t>
      </w:r>
      <w:r>
        <w:t xml:space="preserve">: </w:t>
      </w:r>
      <w:r>
        <w:rPr>
          <w:rFonts w:eastAsiaTheme="minorHAnsi"/>
          <w:position w:val="-10"/>
          <w:lang w:eastAsia="en-US"/>
        </w:rPr>
        <w:object w:dxaOrig="900" w:dyaOrig="315">
          <v:shape id="_x0000_i1078" type="#_x0000_t75" style="width:44.95pt;height:15.55pt" o:ole="">
            <v:imagedata r:id="rId122" o:title=""/>
          </v:shape>
          <o:OLEObject Type="Embed" ProgID="Equation.3" ShapeID="_x0000_i1078" DrawAspect="Content" ObjectID="_1498299917" r:id="rId123"/>
        </w:object>
      </w:r>
      <w:r>
        <w:t xml:space="preserve"> e como </w:t>
      </w:r>
      <w:r>
        <w:rPr>
          <w:rFonts w:eastAsiaTheme="minorHAnsi"/>
          <w:position w:val="-36"/>
          <w:lang w:eastAsia="en-US"/>
        </w:rPr>
        <w:object w:dxaOrig="2010" w:dyaOrig="840">
          <v:shape id="_x0000_i1079" type="#_x0000_t75" style="width:100.2pt;height:42.05pt" o:ole="">
            <v:imagedata r:id="rId124" o:title=""/>
          </v:shape>
          <o:OLEObject Type="Embed" ProgID="Equation.3" ShapeID="_x0000_i1079" DrawAspect="Content" ObjectID="_1498299918" r:id="rId125"/>
        </w:object>
      </w:r>
      <w:r>
        <w:t xml:space="preserve"> temos </w:t>
      </w:r>
      <w:r>
        <w:rPr>
          <w:rFonts w:eastAsiaTheme="minorHAnsi"/>
          <w:position w:val="-10"/>
          <w:lang w:eastAsia="en-US"/>
        </w:rPr>
        <w:object w:dxaOrig="1275" w:dyaOrig="315">
          <v:shape id="_x0000_i1080" type="#_x0000_t75" style="width:63.95pt;height:15.55pt" o:ole="">
            <v:imagedata r:id="rId126" o:title=""/>
          </v:shape>
          <o:OLEObject Type="Embed" ProgID="Equation.3" ShapeID="_x0000_i1080" DrawAspect="Content" ObjectID="_1498299919" r:id="rId127"/>
        </w:object>
      </w:r>
      <w:r>
        <w:t xml:space="preserve">. Portanto </w:t>
      </w:r>
      <w:r>
        <w:rPr>
          <w:rFonts w:eastAsiaTheme="minorHAnsi"/>
          <w:position w:val="-10"/>
          <w:lang w:eastAsia="en-US"/>
        </w:rPr>
        <w:object w:dxaOrig="1230" w:dyaOrig="345">
          <v:shape id="_x0000_i1081" type="#_x0000_t75" style="width:61.6pt;height:17.3pt" o:ole="">
            <v:imagedata r:id="rId128" o:title=""/>
          </v:shape>
          <o:OLEObject Type="Embed" ProgID="Equation.3" ShapeID="_x0000_i1081" DrawAspect="Content" ObjectID="_1498299920" r:id="rId129"/>
        </w:object>
      </w:r>
      <w:r>
        <w:t xml:space="preserve"> é sobrejetora e por continuidade teremos que sempre existe </w:t>
      </w:r>
      <w:r>
        <w:rPr>
          <w:rFonts w:eastAsiaTheme="minorHAnsi"/>
          <w:position w:val="-10"/>
          <w:lang w:eastAsia="en-US"/>
        </w:rPr>
        <w:object w:dxaOrig="690" w:dyaOrig="345">
          <v:shape id="_x0000_i1082" type="#_x0000_t75" style="width:34.55pt;height:17.3pt" o:ole="">
            <v:imagedata r:id="rId130" o:title=""/>
          </v:shape>
          <o:OLEObject Type="Embed" ProgID="Equation.3" ShapeID="_x0000_i1082" DrawAspect="Content" ObjectID="_1498299921" r:id="rId131"/>
        </w:object>
      </w:r>
      <w:r>
        <w:t xml:space="preserve"> tal que </w:t>
      </w:r>
      <w:r>
        <w:rPr>
          <w:rFonts w:eastAsiaTheme="minorHAnsi"/>
          <w:position w:val="-24"/>
          <w:lang w:eastAsia="en-US"/>
        </w:rPr>
        <w:object w:dxaOrig="1290" w:dyaOrig="615">
          <v:shape id="_x0000_i1083" type="#_x0000_t75" style="width:64.5pt;height:30.55pt" o:ole="">
            <v:imagedata r:id="rId132" o:title=""/>
          </v:shape>
          <o:OLEObject Type="Embed" ProgID="Equation.3" ShapeID="_x0000_i1083" DrawAspect="Content" ObjectID="_1498299922" r:id="rId133"/>
        </w:object>
      </w:r>
      <w:r>
        <w:t>.</w:t>
      </w:r>
    </w:p>
    <w:p w:rsidR="00D53380" w:rsidRDefault="00D53380" w:rsidP="00D53380">
      <w:pPr>
        <w:spacing w:line="360" w:lineRule="auto"/>
      </w:pPr>
      <w:r>
        <w:rPr>
          <w:b/>
        </w:rPr>
        <w:t>Unicidade</w:t>
      </w:r>
      <w:r>
        <w:t>: A derivada dessa função é:</w:t>
      </w:r>
      <w:r w:rsidR="008D7762">
        <w:t xml:space="preserve"> </w:t>
      </w:r>
      <w:r>
        <w:rPr>
          <w:rFonts w:eastAsiaTheme="minorHAnsi"/>
          <w:position w:val="-10"/>
          <w:lang w:eastAsia="en-US"/>
        </w:rPr>
        <w:object w:dxaOrig="2550" w:dyaOrig="360">
          <v:shape id="_x0000_i1084" type="#_x0000_t75" style="width:127.25pt;height:17.85pt" o:ole="">
            <v:imagedata r:id="rId134" o:title=""/>
          </v:shape>
          <o:OLEObject Type="Embed" ProgID="Equation.3" ShapeID="_x0000_i1084" DrawAspect="Content" ObjectID="_1498299923" r:id="rId135"/>
        </w:object>
      </w:r>
      <w:r>
        <w:t>,</w:t>
      </w:r>
      <w:r w:rsidR="008D7762">
        <w:t xml:space="preserve"> </w:t>
      </w:r>
      <w:r>
        <w:t xml:space="preserve">que é estritamente positiva para todo </w:t>
      </w:r>
      <w:r>
        <w:rPr>
          <w:rFonts w:eastAsiaTheme="minorHAnsi"/>
          <w:position w:val="-10"/>
          <w:lang w:eastAsia="en-US"/>
        </w:rPr>
        <w:object w:dxaOrig="675" w:dyaOrig="345">
          <v:shape id="_x0000_i1085" type="#_x0000_t75" style="width:34pt;height:17.3pt" o:ole="">
            <v:imagedata r:id="rId136" o:title=""/>
          </v:shape>
          <o:OLEObject Type="Embed" ProgID="Equation.3" ShapeID="_x0000_i1085" DrawAspect="Content" ObjectID="_1498299924" r:id="rId137"/>
        </w:object>
      </w:r>
      <w:r>
        <w:t xml:space="preserve">. Para provar isto note que: </w:t>
      </w:r>
    </w:p>
    <w:p w:rsidR="00D53380" w:rsidRDefault="00D53380" w:rsidP="00D53380">
      <w:pPr>
        <w:spacing w:line="360" w:lineRule="auto"/>
        <w:ind w:firstLine="708"/>
      </w:pPr>
      <w:r>
        <w:rPr>
          <w:rFonts w:eastAsiaTheme="minorHAnsi"/>
          <w:position w:val="-24"/>
          <w:lang w:eastAsia="en-US"/>
        </w:rPr>
        <w:object w:dxaOrig="555" w:dyaOrig="615">
          <v:shape id="_x0000_i1086" type="#_x0000_t75" style="width:27.65pt;height:30.55pt" o:ole="">
            <v:imagedata r:id="rId138" o:title=""/>
          </v:shape>
          <o:OLEObject Type="Embed" ProgID="Equation.3" ShapeID="_x0000_i1086" DrawAspect="Content" ObjectID="_1498299925" r:id="rId139"/>
        </w:object>
      </w:r>
      <w:r>
        <w:t xml:space="preserve"> e que </w:t>
      </w:r>
      <w:r>
        <w:rPr>
          <w:rFonts w:eastAsiaTheme="minorHAnsi"/>
          <w:position w:val="-28"/>
          <w:lang w:eastAsia="en-US"/>
        </w:rPr>
        <w:object w:dxaOrig="900" w:dyaOrig="660">
          <v:shape id="_x0000_i1087" type="#_x0000_t75" style="width:44.95pt;height:32.85pt" o:ole="">
            <v:imagedata r:id="rId140" o:title=""/>
          </v:shape>
          <o:OLEObject Type="Embed" ProgID="Equation.3" ShapeID="_x0000_i1087" DrawAspect="Content" ObjectID="_1498299926" r:id="rId141"/>
        </w:object>
      </w:r>
    </w:p>
    <w:p w:rsidR="00D53380" w:rsidRDefault="00D53380" w:rsidP="00D53380">
      <w:pPr>
        <w:spacing w:line="360" w:lineRule="auto"/>
      </w:pPr>
      <w:r>
        <w:t xml:space="preserve">Então, para qualquer </w:t>
      </w:r>
      <w:r>
        <w:rPr>
          <w:rFonts w:eastAsiaTheme="minorHAnsi"/>
          <w:position w:val="-6"/>
          <w:lang w:eastAsia="en-US"/>
        </w:rPr>
        <w:object w:dxaOrig="555" w:dyaOrig="285">
          <v:shape id="_x0000_i1088" type="#_x0000_t75" style="width:27.65pt;height:14.4pt" o:ole="">
            <v:imagedata r:id="rId142" o:title=""/>
          </v:shape>
          <o:OLEObject Type="Embed" ProgID="Equation.3" ShapeID="_x0000_i1088" DrawAspect="Content" ObjectID="_1498299927" r:id="rId143"/>
        </w:object>
      </w:r>
      <w:r>
        <w:t xml:space="preserve"> teremos:</w:t>
      </w:r>
    </w:p>
    <w:p w:rsidR="00D53380" w:rsidRDefault="00D53380" w:rsidP="00D53380">
      <w:pPr>
        <w:spacing w:line="360" w:lineRule="auto"/>
        <w:ind w:firstLine="708"/>
      </w:pPr>
      <w:r>
        <w:rPr>
          <w:rFonts w:eastAsiaTheme="minorHAnsi"/>
          <w:position w:val="-28"/>
          <w:lang w:eastAsia="en-US"/>
        </w:rPr>
        <w:object w:dxaOrig="4620" w:dyaOrig="735">
          <v:shape id="_x0000_i1089" type="#_x0000_t75" style="width:231pt;height:36.85pt" o:ole="">
            <v:imagedata r:id="rId144" o:title=""/>
          </v:shape>
          <o:OLEObject Type="Embed" ProgID="Equation.3" ShapeID="_x0000_i1089" DrawAspect="Content" ObjectID="_1498299928" r:id="rId145"/>
        </w:object>
      </w:r>
    </w:p>
    <w:p w:rsidR="00D53380" w:rsidRDefault="00D53380" w:rsidP="00D53380">
      <w:pPr>
        <w:spacing w:line="360" w:lineRule="auto"/>
      </w:pPr>
      <w:r>
        <w:t xml:space="preserve">Portanto, a função </w:t>
      </w:r>
      <w:r>
        <w:rPr>
          <w:rFonts w:eastAsiaTheme="minorHAnsi"/>
          <w:position w:val="-10"/>
          <w:lang w:eastAsia="en-US"/>
        </w:rPr>
        <w:object w:dxaOrig="240" w:dyaOrig="315">
          <v:shape id="_x0000_i1090" type="#_x0000_t75" style="width:12.1pt;height:15.55pt" o:ole="">
            <v:imagedata r:id="rId146" o:title=""/>
          </v:shape>
          <o:OLEObject Type="Embed" ProgID="Equation.3" ShapeID="_x0000_i1090" DrawAspect="Content" ObjectID="_1498299929" r:id="rId147"/>
        </w:object>
      </w:r>
      <w:r>
        <w:t xml:space="preserve"> é estritamente crescente (injetora). Assim, o </w:t>
      </w:r>
      <w:r>
        <w:rPr>
          <w:rFonts w:eastAsiaTheme="minorHAnsi"/>
          <w:position w:val="-10"/>
          <w:lang w:eastAsia="en-US"/>
        </w:rPr>
        <w:object w:dxaOrig="690" w:dyaOrig="345">
          <v:shape id="_x0000_i1091" type="#_x0000_t75" style="width:34.55pt;height:17.3pt" o:ole="">
            <v:imagedata r:id="rId148" o:title=""/>
          </v:shape>
          <o:OLEObject Type="Embed" ProgID="Equation.3" ShapeID="_x0000_i1091" DrawAspect="Content" ObjectID="_1498299930" r:id="rId149"/>
        </w:object>
      </w:r>
      <w:r>
        <w:t xml:space="preserve"> anterior é único. c.q.d.</w:t>
      </w:r>
    </w:p>
    <w:p w:rsidR="00D53380" w:rsidRDefault="00D53380" w:rsidP="00BD2E6C">
      <w:pPr>
        <w:spacing w:before="240" w:line="360" w:lineRule="auto"/>
        <w:jc w:val="both"/>
      </w:pPr>
      <w:r>
        <w:t xml:space="preserve">Para obtermos a informação </w:t>
      </w:r>
      <w:r w:rsidRPr="00BD2E6C">
        <w:object w:dxaOrig="300" w:dyaOrig="360">
          <v:shape id="_x0000_i1092" type="#_x0000_t75" style="width:15pt;height:17.85pt" o:ole="">
            <v:imagedata r:id="rId150" o:title=""/>
          </v:shape>
          <o:OLEObject Type="Embed" ProgID="Equation.3" ShapeID="_x0000_i1092" DrawAspect="Content" ObjectID="_1498299931" r:id="rId151"/>
        </w:object>
      </w:r>
      <w:r>
        <w:t xml:space="preserve"> de cada família </w:t>
      </w:r>
      <w:r w:rsidRPr="00BD2E6C">
        <w:t>n</w:t>
      </w:r>
      <w:r>
        <w:t xml:space="preserve"> em cada cidade i utilizamos informações da Pesqu</w:t>
      </w:r>
      <w:r w:rsidR="00CD7B19">
        <w:t>isa de Orçamento Familiar (POF)</w:t>
      </w:r>
      <w:r>
        <w:t xml:space="preserve">. O parâmetro utilizado varia tanto na dimensão geográfica, associada à Região em que o município está localizado, quanto na dimensão de renda, considerando o nível de renda das famílias. </w:t>
      </w:r>
      <w:r w:rsidR="00CD7B19">
        <w:t xml:space="preserve"> </w:t>
      </w:r>
      <w:r>
        <w:t xml:space="preserve">Finalmente, de posse de dados referentes a </w:t>
      </w:r>
      <w:r w:rsidRPr="00BD2E6C">
        <w:object w:dxaOrig="285" w:dyaOrig="360">
          <v:shape id="_x0000_i1093" type="#_x0000_t75" style="width:14.4pt;height:17.85pt" o:ole="">
            <v:imagedata r:id="rId152" o:title=""/>
          </v:shape>
          <o:OLEObject Type="Embed" ProgID="Equation.3" ShapeID="_x0000_i1093" DrawAspect="Content" ObjectID="_1498299932" r:id="rId153"/>
        </w:object>
      </w:r>
      <w:r>
        <w:t xml:space="preserve">, </w:t>
      </w:r>
      <w:r w:rsidRPr="00BD2E6C">
        <w:object w:dxaOrig="300" w:dyaOrig="360">
          <v:shape id="_x0000_i1094" type="#_x0000_t75" style="width:15pt;height:17.85pt" o:ole="">
            <v:imagedata r:id="rId154" o:title=""/>
          </v:shape>
          <o:OLEObject Type="Embed" ProgID="Equation.3" ShapeID="_x0000_i1094" DrawAspect="Content" ObjectID="_1498299933" r:id="rId155"/>
        </w:object>
      </w:r>
      <w:r>
        <w:t xml:space="preserve"> e à renda </w:t>
      </w:r>
      <w:r w:rsidRPr="00BD2E6C">
        <w:object w:dxaOrig="315" w:dyaOrig="360">
          <v:shape id="_x0000_i1095" type="#_x0000_t75" style="width:15.55pt;height:17.85pt" o:ole="">
            <v:imagedata r:id="rId156" o:title=""/>
          </v:shape>
          <o:OLEObject Type="Embed" ProgID="Equation.3" ShapeID="_x0000_i1095" DrawAspect="Content" ObjectID="_1498299934" r:id="rId157"/>
        </w:object>
      </w:r>
      <w:r>
        <w:t xml:space="preserve"> da família de menor renda dentre aquelas que compram o serviço de banda larga, calculamos o parâmetro </w:t>
      </w:r>
      <w:r w:rsidRPr="00BD2E6C">
        <w:object w:dxaOrig="240" w:dyaOrig="405">
          <v:shape id="_x0000_i1096" type="#_x0000_t75" style="width:12.1pt;height:20.15pt" o:ole="">
            <v:imagedata r:id="rId158" o:title=""/>
          </v:shape>
          <o:OLEObject Type="Embed" ProgID="Equation.3" ShapeID="_x0000_i1096" DrawAspect="Content" ObjectID="_1498299935" r:id="rId159"/>
        </w:object>
      </w:r>
      <w:r>
        <w:t xml:space="preserve"> de cada município e utilizamos esse parâmetro como variável explicativa associada à demanda para explicar os preços de EILD em cada município.</w:t>
      </w:r>
    </w:p>
    <w:sectPr w:rsidR="00D53380" w:rsidSect="009B1D81">
      <w:footerReference w:type="default" r:id="rId16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373" w:rsidRDefault="00F17373" w:rsidP="005401B3">
      <w:r>
        <w:separator/>
      </w:r>
    </w:p>
  </w:endnote>
  <w:endnote w:type="continuationSeparator" w:id="0">
    <w:p w:rsidR="00F17373" w:rsidRDefault="00F17373" w:rsidP="0054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878238"/>
      <w:docPartObj>
        <w:docPartGallery w:val="Page Numbers (Bottom of Page)"/>
        <w:docPartUnique/>
      </w:docPartObj>
    </w:sdtPr>
    <w:sdtContent>
      <w:p w:rsidR="005977F7" w:rsidRDefault="005977F7">
        <w:pPr>
          <w:pStyle w:val="Rodap"/>
          <w:jc w:val="right"/>
        </w:pPr>
        <w:r>
          <w:fldChar w:fldCharType="begin"/>
        </w:r>
        <w:r>
          <w:instrText>PAGE   \* MERGEFORMAT</w:instrText>
        </w:r>
        <w:r>
          <w:fldChar w:fldCharType="separate"/>
        </w:r>
        <w:r w:rsidR="00BD2E6C">
          <w:rPr>
            <w:noProof/>
          </w:rPr>
          <w:t>2</w:t>
        </w:r>
        <w:r>
          <w:fldChar w:fldCharType="end"/>
        </w:r>
      </w:p>
    </w:sdtContent>
  </w:sdt>
  <w:p w:rsidR="005977F7" w:rsidRDefault="005977F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373" w:rsidRDefault="00F17373" w:rsidP="005401B3">
      <w:r>
        <w:separator/>
      </w:r>
    </w:p>
  </w:footnote>
  <w:footnote w:type="continuationSeparator" w:id="0">
    <w:p w:rsidR="00F17373" w:rsidRDefault="00F17373" w:rsidP="005401B3">
      <w:r>
        <w:continuationSeparator/>
      </w:r>
    </w:p>
  </w:footnote>
  <w:footnote w:id="1">
    <w:p w:rsidR="005977F7" w:rsidRDefault="005977F7">
      <w:pPr>
        <w:pStyle w:val="Textodenotaderodap"/>
      </w:pPr>
      <w:r>
        <w:rPr>
          <w:rStyle w:val="Refdenotaderodap"/>
        </w:rPr>
        <w:t>*</w:t>
      </w:r>
      <w:r>
        <w:t xml:space="preserve"> Autor para correspondência. Este autor agradece o apoio financeiro do CNPq através dos processos </w:t>
      </w:r>
      <w:r w:rsidRPr="0094336C">
        <w:t xml:space="preserve">304844/2009-8 </w:t>
      </w:r>
      <w:r>
        <w:t>e</w:t>
      </w:r>
      <w:r w:rsidRPr="0094336C">
        <w:t xml:space="preserve"> 401461/2009-2</w:t>
      </w:r>
      <w:r>
        <w:t>.</w:t>
      </w:r>
    </w:p>
  </w:footnote>
  <w:footnote w:id="2">
    <w:p w:rsidR="005977F7" w:rsidRPr="00B049A9" w:rsidRDefault="005977F7" w:rsidP="00897B90">
      <w:pPr>
        <w:pStyle w:val="Textodenotaderodap"/>
      </w:pPr>
      <w:r>
        <w:rPr>
          <w:rStyle w:val="Refdenotaderodap"/>
        </w:rPr>
        <w:footnoteRef/>
      </w:r>
      <w:r>
        <w:t xml:space="preserve"> Os degraus são definidos em função da distância geográfica entre as redes de telecomunicações que a EILD irá conectar. Assim, o Degrau 0 (D0) corresponde a </w:t>
      </w:r>
      <w:r>
        <w:rPr>
          <w:i/>
        </w:rPr>
        <w:t>links</w:t>
      </w:r>
      <w:r>
        <w:t xml:space="preserve"> com distância até 5 km, e o Degrau 8 (D8) corresponde a </w:t>
      </w:r>
      <w:r>
        <w:rPr>
          <w:i/>
        </w:rPr>
        <w:t xml:space="preserve">links </w:t>
      </w:r>
      <w:r>
        <w:t>com distância superior a 1.000 km.</w:t>
      </w:r>
    </w:p>
  </w:footnote>
  <w:footnote w:id="3">
    <w:p w:rsidR="005977F7" w:rsidRDefault="005977F7" w:rsidP="00897B90">
      <w:pPr>
        <w:pStyle w:val="Textodenotaderodap"/>
      </w:pPr>
      <w:r>
        <w:rPr>
          <w:rStyle w:val="Refdenotaderodap"/>
        </w:rPr>
        <w:footnoteRef/>
      </w:r>
      <w:r>
        <w:t xml:space="preserve"> Basicamente a dificuldade da duplicação das redes para oferta de EILD está associada aos custos de construção dessas redes, que são essencialmente os custos de obras civis, especialmente custosas nos grandes centros.</w:t>
      </w:r>
    </w:p>
  </w:footnote>
  <w:footnote w:id="4">
    <w:p w:rsidR="005977F7" w:rsidRDefault="005977F7" w:rsidP="00897B90">
      <w:pPr>
        <w:pStyle w:val="Textodenotaderodap"/>
      </w:pPr>
      <w:r>
        <w:rPr>
          <w:rStyle w:val="Refdenotaderodap"/>
        </w:rPr>
        <w:footnoteRef/>
      </w:r>
      <w:r>
        <w:t xml:space="preserve"> Segundo dados da Anatel referentes a 2013, o Grupo Embratel detém cerca de 30% do mercado, seguido pelo Grupo Oi com aproximadamente 28% do mercado e Grupo Telefônica com pouco mais de 18% do mercado.</w:t>
      </w:r>
    </w:p>
  </w:footnote>
  <w:footnote w:id="5">
    <w:p w:rsidR="005977F7" w:rsidRDefault="005977F7" w:rsidP="00897B90">
      <w:pPr>
        <w:pStyle w:val="Textodenotaderodap"/>
      </w:pPr>
      <w:r>
        <w:rPr>
          <w:rStyle w:val="Refdenotaderodap"/>
        </w:rPr>
        <w:footnoteRef/>
      </w:r>
      <w:r>
        <w:t xml:space="preserve"> Cabe destacar que o PIB per capita é utilizado como </w:t>
      </w:r>
      <w:r w:rsidRPr="00BE0068">
        <w:rPr>
          <w:i/>
        </w:rPr>
        <w:t>proxy</w:t>
      </w:r>
      <w:r>
        <w:t xml:space="preserve"> de renda, apesar do PIB ser uma variável associada à produção das firmas. </w:t>
      </w:r>
    </w:p>
  </w:footnote>
  <w:footnote w:id="6">
    <w:p w:rsidR="005977F7" w:rsidRPr="00F970B5" w:rsidRDefault="005977F7" w:rsidP="00272D0F">
      <w:pPr>
        <w:pStyle w:val="Textodenotaderodap"/>
      </w:pPr>
      <w:r>
        <w:rPr>
          <w:rStyle w:val="Refdenotaderodap"/>
        </w:rPr>
        <w:footnoteRef/>
      </w:r>
      <w:r>
        <w:t xml:space="preserve"> Para avaliar s</w:t>
      </w:r>
      <w:r w:rsidRPr="00C97B36">
        <w:t xml:space="preserve">e existe algum efeito especifico de cada </w:t>
      </w:r>
      <w:r>
        <w:t xml:space="preserve">UF também foram utilizadas variáveis </w:t>
      </w:r>
      <w:r>
        <w:rPr>
          <w:i/>
        </w:rPr>
        <w:t xml:space="preserve">dummy </w:t>
      </w:r>
      <w:r>
        <w:t xml:space="preserve">associadas a cada UF, entretanto, os resultados obtidos não apresentaram significância estatística e tampouco melhoraram a adequação do modelo. A significância para essas </w:t>
      </w:r>
      <w:r>
        <w:rPr>
          <w:i/>
        </w:rPr>
        <w:t>dummies</w:t>
      </w:r>
      <w:r>
        <w:t xml:space="preserve"> só foi verificada em algumas UF da Região Norte e Nordeste e pode estar associada com questões referentes à capacidade da infraestrutura disponível nessas regiões.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D3"/>
    <w:rsid w:val="00001846"/>
    <w:rsid w:val="000115CB"/>
    <w:rsid w:val="00050B8B"/>
    <w:rsid w:val="00066724"/>
    <w:rsid w:val="00096221"/>
    <w:rsid w:val="000D5505"/>
    <w:rsid w:val="000E257E"/>
    <w:rsid w:val="000E7CD4"/>
    <w:rsid w:val="00106505"/>
    <w:rsid w:val="001151F3"/>
    <w:rsid w:val="0015780B"/>
    <w:rsid w:val="00166832"/>
    <w:rsid w:val="001720B9"/>
    <w:rsid w:val="00180942"/>
    <w:rsid w:val="001947BF"/>
    <w:rsid w:val="001A5102"/>
    <w:rsid w:val="001A62AB"/>
    <w:rsid w:val="001C4386"/>
    <w:rsid w:val="001C6E75"/>
    <w:rsid w:val="001F33E9"/>
    <w:rsid w:val="00205FC8"/>
    <w:rsid w:val="0021056B"/>
    <w:rsid w:val="00243C67"/>
    <w:rsid w:val="00272D0F"/>
    <w:rsid w:val="00287E8E"/>
    <w:rsid w:val="002B0BA6"/>
    <w:rsid w:val="002D6AAE"/>
    <w:rsid w:val="002D7D5B"/>
    <w:rsid w:val="002F0572"/>
    <w:rsid w:val="00303EFD"/>
    <w:rsid w:val="0032206A"/>
    <w:rsid w:val="00341159"/>
    <w:rsid w:val="00354891"/>
    <w:rsid w:val="00382CC0"/>
    <w:rsid w:val="00393DA8"/>
    <w:rsid w:val="003B4C67"/>
    <w:rsid w:val="003C67A0"/>
    <w:rsid w:val="003E05BB"/>
    <w:rsid w:val="003E6F98"/>
    <w:rsid w:val="00431177"/>
    <w:rsid w:val="0045195B"/>
    <w:rsid w:val="00494C59"/>
    <w:rsid w:val="004B4AF0"/>
    <w:rsid w:val="004B4FE9"/>
    <w:rsid w:val="005262C8"/>
    <w:rsid w:val="00530A35"/>
    <w:rsid w:val="005401B3"/>
    <w:rsid w:val="005659FB"/>
    <w:rsid w:val="00567762"/>
    <w:rsid w:val="0057008A"/>
    <w:rsid w:val="00594D1E"/>
    <w:rsid w:val="005977F7"/>
    <w:rsid w:val="005A3071"/>
    <w:rsid w:val="005C1AA7"/>
    <w:rsid w:val="005C6B92"/>
    <w:rsid w:val="005D3630"/>
    <w:rsid w:val="005E4238"/>
    <w:rsid w:val="006040F5"/>
    <w:rsid w:val="00610F55"/>
    <w:rsid w:val="00624ACC"/>
    <w:rsid w:val="00630A82"/>
    <w:rsid w:val="00650C34"/>
    <w:rsid w:val="006567D3"/>
    <w:rsid w:val="00661309"/>
    <w:rsid w:val="00661A86"/>
    <w:rsid w:val="006B3CBB"/>
    <w:rsid w:val="006E284C"/>
    <w:rsid w:val="006E5B1F"/>
    <w:rsid w:val="006F25EA"/>
    <w:rsid w:val="00703D1F"/>
    <w:rsid w:val="0071481C"/>
    <w:rsid w:val="00714BA1"/>
    <w:rsid w:val="00745D6B"/>
    <w:rsid w:val="00751030"/>
    <w:rsid w:val="00755F95"/>
    <w:rsid w:val="0079136B"/>
    <w:rsid w:val="007A2A08"/>
    <w:rsid w:val="007C210E"/>
    <w:rsid w:val="007D132B"/>
    <w:rsid w:val="007E1846"/>
    <w:rsid w:val="00862394"/>
    <w:rsid w:val="00897B90"/>
    <w:rsid w:val="008A40AE"/>
    <w:rsid w:val="008A4365"/>
    <w:rsid w:val="008D52D6"/>
    <w:rsid w:val="008D7762"/>
    <w:rsid w:val="008F1BD3"/>
    <w:rsid w:val="008F555C"/>
    <w:rsid w:val="00921CCD"/>
    <w:rsid w:val="00921EB8"/>
    <w:rsid w:val="00950D93"/>
    <w:rsid w:val="0097141F"/>
    <w:rsid w:val="00983FB1"/>
    <w:rsid w:val="00986B0B"/>
    <w:rsid w:val="009A23E6"/>
    <w:rsid w:val="009B1D81"/>
    <w:rsid w:val="009D1B64"/>
    <w:rsid w:val="00A36F7F"/>
    <w:rsid w:val="00A432CF"/>
    <w:rsid w:val="00A52478"/>
    <w:rsid w:val="00A97CF4"/>
    <w:rsid w:val="00AA1A45"/>
    <w:rsid w:val="00AB4C3C"/>
    <w:rsid w:val="00AD1D5F"/>
    <w:rsid w:val="00AF3268"/>
    <w:rsid w:val="00AF4DF5"/>
    <w:rsid w:val="00AF4FDD"/>
    <w:rsid w:val="00B0789D"/>
    <w:rsid w:val="00B467BF"/>
    <w:rsid w:val="00B56D58"/>
    <w:rsid w:val="00B75DAC"/>
    <w:rsid w:val="00B771F7"/>
    <w:rsid w:val="00B8794F"/>
    <w:rsid w:val="00BA1F4E"/>
    <w:rsid w:val="00BC5628"/>
    <w:rsid w:val="00BD04C6"/>
    <w:rsid w:val="00BD2E6C"/>
    <w:rsid w:val="00BE4F0B"/>
    <w:rsid w:val="00C055E2"/>
    <w:rsid w:val="00C12363"/>
    <w:rsid w:val="00C15298"/>
    <w:rsid w:val="00C35C7E"/>
    <w:rsid w:val="00C43B2E"/>
    <w:rsid w:val="00C4423A"/>
    <w:rsid w:val="00C56FCC"/>
    <w:rsid w:val="00C60773"/>
    <w:rsid w:val="00C64305"/>
    <w:rsid w:val="00C64548"/>
    <w:rsid w:val="00C80133"/>
    <w:rsid w:val="00CA5CAC"/>
    <w:rsid w:val="00CD7B19"/>
    <w:rsid w:val="00CF6DBC"/>
    <w:rsid w:val="00D03C03"/>
    <w:rsid w:val="00D45E40"/>
    <w:rsid w:val="00D53380"/>
    <w:rsid w:val="00D5544D"/>
    <w:rsid w:val="00D62E73"/>
    <w:rsid w:val="00D77337"/>
    <w:rsid w:val="00D92F79"/>
    <w:rsid w:val="00DB3840"/>
    <w:rsid w:val="00DC5F96"/>
    <w:rsid w:val="00DC716F"/>
    <w:rsid w:val="00DF4BAD"/>
    <w:rsid w:val="00E024F5"/>
    <w:rsid w:val="00E06B03"/>
    <w:rsid w:val="00E2375C"/>
    <w:rsid w:val="00E27786"/>
    <w:rsid w:val="00E77EE9"/>
    <w:rsid w:val="00EB52B3"/>
    <w:rsid w:val="00EF01FF"/>
    <w:rsid w:val="00F17373"/>
    <w:rsid w:val="00F24B0C"/>
    <w:rsid w:val="00F269ED"/>
    <w:rsid w:val="00F3257D"/>
    <w:rsid w:val="00F4137A"/>
    <w:rsid w:val="00F50013"/>
    <w:rsid w:val="00F64928"/>
    <w:rsid w:val="00FF22FF"/>
    <w:rsid w:val="00FF50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6567D3"/>
    <w:rPr>
      <w:color w:val="0000FF"/>
      <w:u w:val="single"/>
    </w:rPr>
  </w:style>
  <w:style w:type="paragraph" w:styleId="Textodenotaderodap">
    <w:name w:val="footnote text"/>
    <w:basedOn w:val="Normal"/>
    <w:link w:val="TextodenotaderodapChar"/>
    <w:semiHidden/>
    <w:rsid w:val="005401B3"/>
    <w:rPr>
      <w:sz w:val="20"/>
      <w:szCs w:val="20"/>
    </w:rPr>
  </w:style>
  <w:style w:type="character" w:customStyle="1" w:styleId="TextodenotaderodapChar">
    <w:name w:val="Texto de nota de rodapé Char"/>
    <w:basedOn w:val="Fontepargpadro"/>
    <w:link w:val="Textodenotaderodap"/>
    <w:semiHidden/>
    <w:rsid w:val="005401B3"/>
    <w:rPr>
      <w:rFonts w:ascii="Times New Roman" w:eastAsia="Times New Roman" w:hAnsi="Times New Roman" w:cs="Times New Roman"/>
      <w:sz w:val="20"/>
      <w:szCs w:val="20"/>
      <w:lang w:eastAsia="pt-BR"/>
    </w:rPr>
  </w:style>
  <w:style w:type="character" w:styleId="Refdenotaderodap">
    <w:name w:val="footnote reference"/>
    <w:semiHidden/>
    <w:rsid w:val="005401B3"/>
    <w:rPr>
      <w:vertAlign w:val="superscript"/>
    </w:rPr>
  </w:style>
  <w:style w:type="paragraph" w:styleId="Textodebalo">
    <w:name w:val="Balloon Text"/>
    <w:basedOn w:val="Normal"/>
    <w:link w:val="TextodebaloChar"/>
    <w:uiPriority w:val="99"/>
    <w:semiHidden/>
    <w:unhideWhenUsed/>
    <w:rsid w:val="005401B3"/>
    <w:rPr>
      <w:rFonts w:ascii="Tahoma" w:hAnsi="Tahoma" w:cs="Tahoma"/>
      <w:sz w:val="16"/>
      <w:szCs w:val="16"/>
    </w:rPr>
  </w:style>
  <w:style w:type="character" w:customStyle="1" w:styleId="TextodebaloChar">
    <w:name w:val="Texto de balão Char"/>
    <w:basedOn w:val="Fontepargpadro"/>
    <w:link w:val="Textodebalo"/>
    <w:uiPriority w:val="99"/>
    <w:semiHidden/>
    <w:rsid w:val="005401B3"/>
    <w:rPr>
      <w:rFonts w:ascii="Tahoma" w:eastAsia="Times New Roman" w:hAnsi="Tahoma" w:cs="Tahoma"/>
      <w:sz w:val="16"/>
      <w:szCs w:val="16"/>
      <w:lang w:eastAsia="pt-BR"/>
    </w:rPr>
  </w:style>
  <w:style w:type="paragraph" w:customStyle="1" w:styleId="ABNT">
    <w:name w:val="ABNT"/>
    <w:basedOn w:val="Normal"/>
    <w:rsid w:val="00205FC8"/>
    <w:pPr>
      <w:spacing w:line="440" w:lineRule="atLeast"/>
      <w:jc w:val="both"/>
    </w:pPr>
    <w:rPr>
      <w:szCs w:val="20"/>
    </w:rPr>
  </w:style>
  <w:style w:type="character" w:styleId="Refdecomentrio">
    <w:name w:val="annotation reference"/>
    <w:basedOn w:val="Fontepargpadro"/>
    <w:uiPriority w:val="99"/>
    <w:semiHidden/>
    <w:unhideWhenUsed/>
    <w:rsid w:val="00986B0B"/>
    <w:rPr>
      <w:sz w:val="16"/>
      <w:szCs w:val="16"/>
    </w:rPr>
  </w:style>
  <w:style w:type="paragraph" w:styleId="Textodecomentrio">
    <w:name w:val="annotation text"/>
    <w:basedOn w:val="Normal"/>
    <w:link w:val="TextodecomentrioChar"/>
    <w:uiPriority w:val="99"/>
    <w:semiHidden/>
    <w:unhideWhenUsed/>
    <w:rsid w:val="00986B0B"/>
    <w:rPr>
      <w:sz w:val="20"/>
      <w:szCs w:val="20"/>
    </w:rPr>
  </w:style>
  <w:style w:type="character" w:customStyle="1" w:styleId="TextodecomentrioChar">
    <w:name w:val="Texto de comentário Char"/>
    <w:basedOn w:val="Fontepargpadro"/>
    <w:link w:val="Textodecomentrio"/>
    <w:uiPriority w:val="99"/>
    <w:semiHidden/>
    <w:rsid w:val="00986B0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986B0B"/>
    <w:rPr>
      <w:b/>
      <w:bCs/>
    </w:rPr>
  </w:style>
  <w:style w:type="character" w:customStyle="1" w:styleId="AssuntodocomentrioChar">
    <w:name w:val="Assunto do comentário Char"/>
    <w:basedOn w:val="TextodecomentrioChar"/>
    <w:link w:val="Assuntodocomentrio"/>
    <w:uiPriority w:val="99"/>
    <w:semiHidden/>
    <w:rsid w:val="00986B0B"/>
    <w:rPr>
      <w:rFonts w:ascii="Times New Roman" w:eastAsia="Times New Roman" w:hAnsi="Times New Roman" w:cs="Times New Roman"/>
      <w:b/>
      <w:bCs/>
      <w:sz w:val="20"/>
      <w:szCs w:val="20"/>
      <w:lang w:eastAsia="pt-BR"/>
    </w:rPr>
  </w:style>
  <w:style w:type="paragraph" w:styleId="Cabealho">
    <w:name w:val="header"/>
    <w:basedOn w:val="Normal"/>
    <w:link w:val="CabealhoChar"/>
    <w:uiPriority w:val="99"/>
    <w:unhideWhenUsed/>
    <w:rsid w:val="000115CB"/>
    <w:pPr>
      <w:tabs>
        <w:tab w:val="center" w:pos="4252"/>
        <w:tab w:val="right" w:pos="8504"/>
      </w:tabs>
    </w:pPr>
  </w:style>
  <w:style w:type="character" w:customStyle="1" w:styleId="CabealhoChar">
    <w:name w:val="Cabeçalho Char"/>
    <w:basedOn w:val="Fontepargpadro"/>
    <w:link w:val="Cabealho"/>
    <w:uiPriority w:val="99"/>
    <w:rsid w:val="000115C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0115CB"/>
    <w:pPr>
      <w:tabs>
        <w:tab w:val="center" w:pos="4252"/>
        <w:tab w:val="right" w:pos="8504"/>
      </w:tabs>
    </w:pPr>
  </w:style>
  <w:style w:type="character" w:customStyle="1" w:styleId="RodapChar">
    <w:name w:val="Rodapé Char"/>
    <w:basedOn w:val="Fontepargpadro"/>
    <w:link w:val="Rodap"/>
    <w:uiPriority w:val="99"/>
    <w:rsid w:val="000115CB"/>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7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6567D3"/>
    <w:rPr>
      <w:color w:val="0000FF"/>
      <w:u w:val="single"/>
    </w:rPr>
  </w:style>
  <w:style w:type="paragraph" w:styleId="Textodenotaderodap">
    <w:name w:val="footnote text"/>
    <w:basedOn w:val="Normal"/>
    <w:link w:val="TextodenotaderodapChar"/>
    <w:semiHidden/>
    <w:rsid w:val="005401B3"/>
    <w:rPr>
      <w:sz w:val="20"/>
      <w:szCs w:val="20"/>
    </w:rPr>
  </w:style>
  <w:style w:type="character" w:customStyle="1" w:styleId="TextodenotaderodapChar">
    <w:name w:val="Texto de nota de rodapé Char"/>
    <w:basedOn w:val="Fontepargpadro"/>
    <w:link w:val="Textodenotaderodap"/>
    <w:semiHidden/>
    <w:rsid w:val="005401B3"/>
    <w:rPr>
      <w:rFonts w:ascii="Times New Roman" w:eastAsia="Times New Roman" w:hAnsi="Times New Roman" w:cs="Times New Roman"/>
      <w:sz w:val="20"/>
      <w:szCs w:val="20"/>
      <w:lang w:eastAsia="pt-BR"/>
    </w:rPr>
  </w:style>
  <w:style w:type="character" w:styleId="Refdenotaderodap">
    <w:name w:val="footnote reference"/>
    <w:semiHidden/>
    <w:rsid w:val="005401B3"/>
    <w:rPr>
      <w:vertAlign w:val="superscript"/>
    </w:rPr>
  </w:style>
  <w:style w:type="paragraph" w:styleId="Textodebalo">
    <w:name w:val="Balloon Text"/>
    <w:basedOn w:val="Normal"/>
    <w:link w:val="TextodebaloChar"/>
    <w:uiPriority w:val="99"/>
    <w:semiHidden/>
    <w:unhideWhenUsed/>
    <w:rsid w:val="005401B3"/>
    <w:rPr>
      <w:rFonts w:ascii="Tahoma" w:hAnsi="Tahoma" w:cs="Tahoma"/>
      <w:sz w:val="16"/>
      <w:szCs w:val="16"/>
    </w:rPr>
  </w:style>
  <w:style w:type="character" w:customStyle="1" w:styleId="TextodebaloChar">
    <w:name w:val="Texto de balão Char"/>
    <w:basedOn w:val="Fontepargpadro"/>
    <w:link w:val="Textodebalo"/>
    <w:uiPriority w:val="99"/>
    <w:semiHidden/>
    <w:rsid w:val="005401B3"/>
    <w:rPr>
      <w:rFonts w:ascii="Tahoma" w:eastAsia="Times New Roman" w:hAnsi="Tahoma" w:cs="Tahoma"/>
      <w:sz w:val="16"/>
      <w:szCs w:val="16"/>
      <w:lang w:eastAsia="pt-BR"/>
    </w:rPr>
  </w:style>
  <w:style w:type="paragraph" w:customStyle="1" w:styleId="ABNT">
    <w:name w:val="ABNT"/>
    <w:basedOn w:val="Normal"/>
    <w:rsid w:val="00205FC8"/>
    <w:pPr>
      <w:spacing w:line="440" w:lineRule="atLeast"/>
      <w:jc w:val="both"/>
    </w:pPr>
    <w:rPr>
      <w:szCs w:val="20"/>
    </w:rPr>
  </w:style>
  <w:style w:type="character" w:styleId="Refdecomentrio">
    <w:name w:val="annotation reference"/>
    <w:basedOn w:val="Fontepargpadro"/>
    <w:uiPriority w:val="99"/>
    <w:semiHidden/>
    <w:unhideWhenUsed/>
    <w:rsid w:val="00986B0B"/>
    <w:rPr>
      <w:sz w:val="16"/>
      <w:szCs w:val="16"/>
    </w:rPr>
  </w:style>
  <w:style w:type="paragraph" w:styleId="Textodecomentrio">
    <w:name w:val="annotation text"/>
    <w:basedOn w:val="Normal"/>
    <w:link w:val="TextodecomentrioChar"/>
    <w:uiPriority w:val="99"/>
    <w:semiHidden/>
    <w:unhideWhenUsed/>
    <w:rsid w:val="00986B0B"/>
    <w:rPr>
      <w:sz w:val="20"/>
      <w:szCs w:val="20"/>
    </w:rPr>
  </w:style>
  <w:style w:type="character" w:customStyle="1" w:styleId="TextodecomentrioChar">
    <w:name w:val="Texto de comentário Char"/>
    <w:basedOn w:val="Fontepargpadro"/>
    <w:link w:val="Textodecomentrio"/>
    <w:uiPriority w:val="99"/>
    <w:semiHidden/>
    <w:rsid w:val="00986B0B"/>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986B0B"/>
    <w:rPr>
      <w:b/>
      <w:bCs/>
    </w:rPr>
  </w:style>
  <w:style w:type="character" w:customStyle="1" w:styleId="AssuntodocomentrioChar">
    <w:name w:val="Assunto do comentário Char"/>
    <w:basedOn w:val="TextodecomentrioChar"/>
    <w:link w:val="Assuntodocomentrio"/>
    <w:uiPriority w:val="99"/>
    <w:semiHidden/>
    <w:rsid w:val="00986B0B"/>
    <w:rPr>
      <w:rFonts w:ascii="Times New Roman" w:eastAsia="Times New Roman" w:hAnsi="Times New Roman" w:cs="Times New Roman"/>
      <w:b/>
      <w:bCs/>
      <w:sz w:val="20"/>
      <w:szCs w:val="20"/>
      <w:lang w:eastAsia="pt-BR"/>
    </w:rPr>
  </w:style>
  <w:style w:type="paragraph" w:styleId="Cabealho">
    <w:name w:val="header"/>
    <w:basedOn w:val="Normal"/>
    <w:link w:val="CabealhoChar"/>
    <w:uiPriority w:val="99"/>
    <w:unhideWhenUsed/>
    <w:rsid w:val="000115CB"/>
    <w:pPr>
      <w:tabs>
        <w:tab w:val="center" w:pos="4252"/>
        <w:tab w:val="right" w:pos="8504"/>
      </w:tabs>
    </w:pPr>
  </w:style>
  <w:style w:type="character" w:customStyle="1" w:styleId="CabealhoChar">
    <w:name w:val="Cabeçalho Char"/>
    <w:basedOn w:val="Fontepargpadro"/>
    <w:link w:val="Cabealho"/>
    <w:uiPriority w:val="99"/>
    <w:rsid w:val="000115C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0115CB"/>
    <w:pPr>
      <w:tabs>
        <w:tab w:val="center" w:pos="4252"/>
        <w:tab w:val="right" w:pos="8504"/>
      </w:tabs>
    </w:pPr>
  </w:style>
  <w:style w:type="character" w:customStyle="1" w:styleId="RodapChar">
    <w:name w:val="Rodapé Char"/>
    <w:basedOn w:val="Fontepargpadro"/>
    <w:link w:val="Rodap"/>
    <w:uiPriority w:val="99"/>
    <w:rsid w:val="000115CB"/>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chart" Target="charts/chart1.xml"/><Relationship Id="rId68" Type="http://schemas.openxmlformats.org/officeDocument/2006/relationships/oleObject" Target="embeddings/oleObject30.bin"/><Relationship Id="rId84" Type="http://schemas.openxmlformats.org/officeDocument/2006/relationships/image" Target="media/image34.wmf"/><Relationship Id="rId89" Type="http://schemas.openxmlformats.org/officeDocument/2006/relationships/oleObject" Target="embeddings/oleObject38.bin"/><Relationship Id="rId112" Type="http://schemas.openxmlformats.org/officeDocument/2006/relationships/image" Target="media/image48.wmf"/><Relationship Id="rId133" Type="http://schemas.openxmlformats.org/officeDocument/2006/relationships/oleObject" Target="embeddings/oleObject60.bin"/><Relationship Id="rId138" Type="http://schemas.openxmlformats.org/officeDocument/2006/relationships/image" Target="media/image61.wmf"/><Relationship Id="rId154" Type="http://schemas.openxmlformats.org/officeDocument/2006/relationships/image" Target="media/image69.wmf"/><Relationship Id="rId159" Type="http://schemas.openxmlformats.org/officeDocument/2006/relationships/oleObject" Target="embeddings/oleObject73.bin"/><Relationship Id="rId16" Type="http://schemas.openxmlformats.org/officeDocument/2006/relationships/oleObject" Target="embeddings/oleObject2.bin"/><Relationship Id="rId107" Type="http://schemas.openxmlformats.org/officeDocument/2006/relationships/oleObject" Target="embeddings/oleObject47.bin"/><Relationship Id="rId11" Type="http://schemas.openxmlformats.org/officeDocument/2006/relationships/image" Target="media/image2.png"/><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21.wmf"/><Relationship Id="rId58" Type="http://schemas.openxmlformats.org/officeDocument/2006/relationships/oleObject" Target="embeddings/oleObject26.bin"/><Relationship Id="rId74" Type="http://schemas.openxmlformats.org/officeDocument/2006/relationships/oleObject" Target="embeddings/oleObject33.bin"/><Relationship Id="rId79" Type="http://schemas.openxmlformats.org/officeDocument/2006/relationships/hyperlink" Target="http://www.ifo.de/DocCIDL/cesifo1_wp2861.pdf" TargetMode="External"/><Relationship Id="rId102" Type="http://schemas.openxmlformats.org/officeDocument/2006/relationships/image" Target="media/image43.wmf"/><Relationship Id="rId123" Type="http://schemas.openxmlformats.org/officeDocument/2006/relationships/oleObject" Target="embeddings/oleObject55.bin"/><Relationship Id="rId128" Type="http://schemas.openxmlformats.org/officeDocument/2006/relationships/image" Target="media/image56.wmf"/><Relationship Id="rId144" Type="http://schemas.openxmlformats.org/officeDocument/2006/relationships/image" Target="media/image64.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1.bin"/><Relationship Id="rId160" Type="http://schemas.openxmlformats.org/officeDocument/2006/relationships/footer" Target="footer1.xml"/><Relationship Id="rId22" Type="http://schemas.openxmlformats.org/officeDocument/2006/relationships/oleObject" Target="embeddings/oleObject5.bin"/><Relationship Id="rId27" Type="http://schemas.openxmlformats.org/officeDocument/2006/relationships/oleObject" Target="embeddings/oleObject8.bin"/><Relationship Id="rId43" Type="http://schemas.openxmlformats.org/officeDocument/2006/relationships/image" Target="media/image16.wmf"/><Relationship Id="rId48" Type="http://schemas.openxmlformats.org/officeDocument/2006/relationships/oleObject" Target="embeddings/oleObject21.bin"/><Relationship Id="rId64" Type="http://schemas.openxmlformats.org/officeDocument/2006/relationships/image" Target="media/image26.png"/><Relationship Id="rId69" Type="http://schemas.openxmlformats.org/officeDocument/2006/relationships/image" Target="media/image29.wmf"/><Relationship Id="rId113" Type="http://schemas.openxmlformats.org/officeDocument/2006/relationships/oleObject" Target="embeddings/oleObject50.bin"/><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63.bin"/><Relationship Id="rId80" Type="http://schemas.openxmlformats.org/officeDocument/2006/relationships/hyperlink" Target="http://ssrn.com/abstract=241999" TargetMode="External"/><Relationship Id="rId85" Type="http://schemas.openxmlformats.org/officeDocument/2006/relationships/oleObject" Target="embeddings/oleObject36.bin"/><Relationship Id="rId150" Type="http://schemas.openxmlformats.org/officeDocument/2006/relationships/image" Target="media/image67.wmf"/><Relationship Id="rId155" Type="http://schemas.openxmlformats.org/officeDocument/2006/relationships/oleObject" Target="embeddings/oleObject71.bin"/><Relationship Id="rId12" Type="http://schemas.openxmlformats.org/officeDocument/2006/relationships/image" Target="media/image3.png"/><Relationship Id="rId17" Type="http://schemas.openxmlformats.org/officeDocument/2006/relationships/image" Target="media/image6.wmf"/><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45.bin"/><Relationship Id="rId108" Type="http://schemas.openxmlformats.org/officeDocument/2006/relationships/image" Target="media/image46.wmf"/><Relationship Id="rId124" Type="http://schemas.openxmlformats.org/officeDocument/2006/relationships/image" Target="media/image54.wmf"/><Relationship Id="rId129" Type="http://schemas.openxmlformats.org/officeDocument/2006/relationships/oleObject" Target="embeddings/oleObject58.bin"/><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1.bin"/><Relationship Id="rId75" Type="http://schemas.openxmlformats.org/officeDocument/2006/relationships/image" Target="media/image32.wmf"/><Relationship Id="rId83" Type="http://schemas.openxmlformats.org/officeDocument/2006/relationships/hyperlink" Target="http://idei.fr/doc/by/tirole/primer.pdf" TargetMode="External"/><Relationship Id="rId88" Type="http://schemas.openxmlformats.org/officeDocument/2006/relationships/image" Target="media/image36.wmf"/><Relationship Id="rId91" Type="http://schemas.openxmlformats.org/officeDocument/2006/relationships/oleObject" Target="embeddings/oleObject39.bin"/><Relationship Id="rId96"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image" Target="media/image58.wmf"/><Relationship Id="rId140" Type="http://schemas.openxmlformats.org/officeDocument/2006/relationships/image" Target="media/image62.wmf"/><Relationship Id="rId145" Type="http://schemas.openxmlformats.org/officeDocument/2006/relationships/oleObject" Target="embeddings/oleObject66.bin"/><Relationship Id="rId153" Type="http://schemas.openxmlformats.org/officeDocument/2006/relationships/oleObject" Target="embeddings/oleObject70.bin"/><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5.wmf"/><Relationship Id="rId114" Type="http://schemas.openxmlformats.org/officeDocument/2006/relationships/image" Target="media/image49.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1.png"/><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5.bin"/><Relationship Id="rId81" Type="http://schemas.openxmlformats.org/officeDocument/2006/relationships/hyperlink" Target="http://ssrn.com/abstract=1396687" TargetMode="External"/><Relationship Id="rId86" Type="http://schemas.openxmlformats.org/officeDocument/2006/relationships/image" Target="media/image35.wmf"/><Relationship Id="rId94" Type="http://schemas.openxmlformats.org/officeDocument/2006/relationships/image" Target="media/image39.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3.wmf"/><Relationship Id="rId130" Type="http://schemas.openxmlformats.org/officeDocument/2006/relationships/image" Target="media/image57.wmf"/><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image" Target="media/image66.wmf"/><Relationship Id="rId151" Type="http://schemas.openxmlformats.org/officeDocument/2006/relationships/oleObject" Target="embeddings/oleObject69.bin"/><Relationship Id="rId156"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hyperlink" Target="mailto:wilfredo@pos.ucb.br" TargetMode="External"/><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oleObject" Target="embeddings/oleObject42.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5.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38.wmf"/><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oleObject" Target="embeddings/oleObject6.bin"/><Relationship Id="rId40" Type="http://schemas.openxmlformats.org/officeDocument/2006/relationships/oleObject" Target="embeddings/oleObject17.bin"/><Relationship Id="rId45" Type="http://schemas.openxmlformats.org/officeDocument/2006/relationships/image" Target="media/image17.wmf"/><Relationship Id="rId66" Type="http://schemas.openxmlformats.org/officeDocument/2006/relationships/oleObject" Target="embeddings/oleObject29.bin"/><Relationship Id="rId87" Type="http://schemas.openxmlformats.org/officeDocument/2006/relationships/oleObject" Target="embeddings/oleObject37.bin"/><Relationship Id="rId110" Type="http://schemas.openxmlformats.org/officeDocument/2006/relationships/image" Target="media/image47.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0.wmf"/><Relationship Id="rId157" Type="http://schemas.openxmlformats.org/officeDocument/2006/relationships/oleObject" Target="embeddings/oleObject72.bin"/><Relationship Id="rId61" Type="http://schemas.openxmlformats.org/officeDocument/2006/relationships/image" Target="media/image25.wmf"/><Relationship Id="rId82" Type="http://schemas.openxmlformats.org/officeDocument/2006/relationships/hyperlink" Target="http://dx.doi.org/10.1787/5kg9sr5fmqwd-en" TargetMode="External"/><Relationship Id="rId152" Type="http://schemas.openxmlformats.org/officeDocument/2006/relationships/image" Target="media/image68.wmf"/><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image" Target="media/image42.wmf"/><Relationship Id="rId105" Type="http://schemas.openxmlformats.org/officeDocument/2006/relationships/oleObject" Target="embeddings/oleObject46.bin"/><Relationship Id="rId126" Type="http://schemas.openxmlformats.org/officeDocument/2006/relationships/image" Target="media/image55.wmf"/><Relationship Id="rId147" Type="http://schemas.openxmlformats.org/officeDocument/2006/relationships/oleObject" Target="embeddings/oleObject67.bin"/><Relationship Id="rId8" Type="http://schemas.openxmlformats.org/officeDocument/2006/relationships/hyperlink" Target="mailto:Baigorri@anatel.gov.br" TargetMode="Externa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oleObject" Target="embeddings/oleObject40.bin"/><Relationship Id="rId98" Type="http://schemas.openxmlformats.org/officeDocument/2006/relationships/image" Target="media/image41.wmf"/><Relationship Id="rId121" Type="http://schemas.openxmlformats.org/officeDocument/2006/relationships/oleObject" Target="embeddings/oleObject54.bin"/><Relationship Id="rId142" Type="http://schemas.openxmlformats.org/officeDocument/2006/relationships/image" Target="media/image63.wmf"/><Relationship Id="rId3" Type="http://schemas.microsoft.com/office/2007/relationships/stylesWithEffects" Target="stylesWithEffect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image" Target="media/image50.wmf"/><Relationship Id="rId137" Type="http://schemas.openxmlformats.org/officeDocument/2006/relationships/oleObject" Target="embeddings/oleObject62.bin"/><Relationship Id="rId158" Type="http://schemas.openxmlformats.org/officeDocument/2006/relationships/image" Target="media/image71.wmf"/></Relationships>
</file>

<file path=word/charts/_rels/chart1.xml.rels><?xml version="1.0" encoding="UTF-8" standalone="yes"?>
<Relationships xmlns="http://schemas.openxmlformats.org/package/2006/relationships"><Relationship Id="rId2" Type="http://schemas.openxmlformats.org/officeDocument/2006/relationships/oleObject" Target="file:///C:\Documents%20and%20Settings\baigorri\Meus%20documentos\Baigorri\Base%20de%20Dados\ANATEL\Bases%20de%20Dados\Base%20PGMC%202011%20-%2022.10.2012%20-%20Revis&#227;o%20incluindo%20HFC%20e%20at&#233;%2010Mb.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6596556320512293"/>
          <c:y val="0.10980828916832595"/>
          <c:w val="0.68939577578980638"/>
          <c:h val="0.67762099576386403"/>
        </c:manualLayout>
      </c:layout>
      <c:scatterChart>
        <c:scatterStyle val="smoothMarker"/>
        <c:varyColors val="0"/>
        <c:ser>
          <c:idx val="0"/>
          <c:order val="0"/>
          <c:tx>
            <c:strRef>
              <c:f>Plan3!$H$5</c:f>
              <c:strCache>
                <c:ptCount val="1"/>
                <c:pt idx="0">
                  <c:v>HHI do mercado de banda alrga</c:v>
                </c:pt>
              </c:strCache>
            </c:strRef>
          </c:tx>
          <c:marker>
            <c:symbol val="none"/>
          </c:marker>
          <c:dLbls>
            <c:numFmt formatCode="#,##0.00" sourceLinked="0"/>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Plan3!$G$6:$G$14</c:f>
              <c:numCache>
                <c:formatCode>General</c:formatCode>
                <c:ptCount val="9"/>
                <c:pt idx="0">
                  <c:v>1</c:v>
                </c:pt>
                <c:pt idx="1">
                  <c:v>2</c:v>
                </c:pt>
                <c:pt idx="2">
                  <c:v>3</c:v>
                </c:pt>
                <c:pt idx="3">
                  <c:v>4</c:v>
                </c:pt>
                <c:pt idx="4">
                  <c:v>5</c:v>
                </c:pt>
                <c:pt idx="5">
                  <c:v>6</c:v>
                </c:pt>
                <c:pt idx="6">
                  <c:v>7</c:v>
                </c:pt>
                <c:pt idx="7">
                  <c:v>8</c:v>
                </c:pt>
                <c:pt idx="8">
                  <c:v>9</c:v>
                </c:pt>
              </c:numCache>
            </c:numRef>
          </c:xVal>
          <c:yVal>
            <c:numRef>
              <c:f>Plan3!$H$6:$H$14</c:f>
              <c:numCache>
                <c:formatCode>General</c:formatCode>
                <c:ptCount val="9"/>
                <c:pt idx="0">
                  <c:v>0.99354803394840485</c:v>
                </c:pt>
                <c:pt idx="1">
                  <c:v>0.97259664835130166</c:v>
                </c:pt>
                <c:pt idx="2">
                  <c:v>0.86072921138561276</c:v>
                </c:pt>
                <c:pt idx="3">
                  <c:v>0.71280422650413966</c:v>
                </c:pt>
                <c:pt idx="4">
                  <c:v>0.54240841805488371</c:v>
                </c:pt>
                <c:pt idx="5">
                  <c:v>0.49273949102701031</c:v>
                </c:pt>
                <c:pt idx="6">
                  <c:v>0.45576226112027574</c:v>
                </c:pt>
                <c:pt idx="7">
                  <c:v>0.36829174316936758</c:v>
                </c:pt>
                <c:pt idx="8">
                  <c:v>0.45757174022809405</c:v>
                </c:pt>
              </c:numCache>
            </c:numRef>
          </c:yVal>
          <c:smooth val="1"/>
        </c:ser>
        <c:dLbls>
          <c:showLegendKey val="0"/>
          <c:showVal val="0"/>
          <c:showCatName val="0"/>
          <c:showSerName val="0"/>
          <c:showPercent val="0"/>
          <c:showBubbleSize val="0"/>
        </c:dLbls>
        <c:axId val="143061760"/>
        <c:axId val="143064064"/>
      </c:scatterChart>
      <c:valAx>
        <c:axId val="143061760"/>
        <c:scaling>
          <c:orientation val="minMax"/>
        </c:scaling>
        <c:delete val="0"/>
        <c:axPos val="b"/>
        <c:title>
          <c:tx>
            <c:rich>
              <a:bodyPr/>
              <a:lstStyle/>
              <a:p>
                <a:pPr>
                  <a:defRPr/>
                </a:pPr>
                <a:r>
                  <a:rPr lang="en-US"/>
                  <a:t>Qnt. de ofertantes de EILD</a:t>
                </a:r>
              </a:p>
            </c:rich>
          </c:tx>
          <c:overlay val="0"/>
        </c:title>
        <c:numFmt formatCode="General" sourceLinked="1"/>
        <c:majorTickMark val="out"/>
        <c:minorTickMark val="none"/>
        <c:tickLblPos val="nextTo"/>
        <c:crossAx val="143064064"/>
        <c:crosses val="autoZero"/>
        <c:crossBetween val="midCat"/>
        <c:majorUnit val="1"/>
      </c:valAx>
      <c:valAx>
        <c:axId val="143064064"/>
        <c:scaling>
          <c:orientation val="minMax"/>
        </c:scaling>
        <c:delete val="0"/>
        <c:axPos val="l"/>
        <c:title>
          <c:tx>
            <c:rich>
              <a:bodyPr rot="-5400000" vert="horz"/>
              <a:lstStyle/>
              <a:p>
                <a:pPr>
                  <a:defRPr/>
                </a:pPr>
                <a:r>
                  <a:rPr lang="en-US"/>
                  <a:t>Concentração média do mercado de banda larga (HHI)</a:t>
                </a:r>
              </a:p>
            </c:rich>
          </c:tx>
          <c:overlay val="0"/>
        </c:title>
        <c:numFmt formatCode="General" sourceLinked="1"/>
        <c:majorTickMark val="out"/>
        <c:minorTickMark val="none"/>
        <c:tickLblPos val="nextTo"/>
        <c:crossAx val="143061760"/>
        <c:crosses val="autoZero"/>
        <c:crossBetween val="midCat"/>
      </c:valAx>
    </c:plotArea>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5E3BA2-BCC4-487D-9128-11C5234B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6199</Words>
  <Characters>33480</Characters>
  <Application>Microsoft Office Word</Application>
  <DocSecurity>0</DocSecurity>
  <Lines>279</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Anatel</Company>
  <LinksUpToDate>false</LinksUpToDate>
  <CharactersWithSpaces>39600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ANATEL</dc:creator>
  <cp:lastModifiedBy>Windows User</cp:lastModifiedBy>
  <cp:revision>2</cp:revision>
  <dcterms:created xsi:type="dcterms:W3CDTF">2015-07-13T16:37:00Z</dcterms:created>
  <dcterms:modified xsi:type="dcterms:W3CDTF">2015-07-13T16:37:00Z</dcterms:modified>
</cp:coreProperties>
</file>