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EFA" w:rsidRPr="0064560B" w:rsidRDefault="003F07A7" w:rsidP="00837FE2">
      <w:pPr>
        <w:pStyle w:val="Caption"/>
        <w:spacing w:after="360"/>
        <w:ind w:firstLine="0"/>
        <w:jc w:val="left"/>
        <w:rPr>
          <w:rFonts w:ascii="Times New Roman" w:hAnsi="Times New Roman"/>
          <w:sz w:val="44"/>
        </w:rPr>
      </w:pPr>
      <w:bookmarkStart w:id="0" w:name="_Toc251110122"/>
      <w:bookmarkStart w:id="1" w:name="_Toc258490509"/>
      <w:bookmarkStart w:id="2" w:name="_Ref265553829"/>
      <w:bookmarkStart w:id="3" w:name="_Ref265597028"/>
      <w:bookmarkStart w:id="4" w:name="_Toc266438040"/>
      <w:bookmarkStart w:id="5" w:name="_Toc266438158"/>
      <w:r w:rsidRPr="0064560B">
        <w:rPr>
          <w:rFonts w:ascii="Times New Roman" w:hAnsi="Times New Roman"/>
          <w:sz w:val="44"/>
        </w:rPr>
        <w:t xml:space="preserve">Electricity auctions with integer decisions: </w:t>
      </w:r>
      <w:r w:rsidR="00DA3CA5" w:rsidRPr="0064560B">
        <w:rPr>
          <w:rFonts w:ascii="Times New Roman" w:hAnsi="Times New Roman"/>
          <w:sz w:val="44"/>
        </w:rPr>
        <w:t>P</w:t>
      </w:r>
      <w:r w:rsidR="00876DDE" w:rsidRPr="0064560B">
        <w:rPr>
          <w:rFonts w:ascii="Times New Roman" w:hAnsi="Times New Roman"/>
          <w:sz w:val="44"/>
        </w:rPr>
        <w:t>ricing rule</w:t>
      </w:r>
      <w:r w:rsidR="00DA3CA5" w:rsidRPr="0064560B">
        <w:rPr>
          <w:rFonts w:ascii="Times New Roman" w:hAnsi="Times New Roman"/>
          <w:sz w:val="44"/>
        </w:rPr>
        <w:t>s</w:t>
      </w:r>
      <w:r w:rsidRPr="0064560B">
        <w:rPr>
          <w:rFonts w:ascii="Times New Roman" w:hAnsi="Times New Roman"/>
          <w:sz w:val="44"/>
        </w:rPr>
        <w:t xml:space="preserve"> </w:t>
      </w:r>
      <w:r w:rsidR="00987BC0" w:rsidRPr="0064560B">
        <w:rPr>
          <w:rFonts w:ascii="Times New Roman" w:hAnsi="Times New Roman"/>
          <w:sz w:val="44"/>
        </w:rPr>
        <w:t>to signal</w:t>
      </w:r>
      <w:r w:rsidR="00876DDE" w:rsidRPr="0064560B">
        <w:rPr>
          <w:rFonts w:ascii="Times New Roman" w:hAnsi="Times New Roman"/>
          <w:sz w:val="44"/>
        </w:rPr>
        <w:t xml:space="preserve"> optimal </w:t>
      </w:r>
      <w:r w:rsidRPr="0064560B">
        <w:rPr>
          <w:rFonts w:ascii="Times New Roman" w:hAnsi="Times New Roman"/>
          <w:sz w:val="44"/>
        </w:rPr>
        <w:t>investment</w:t>
      </w:r>
    </w:p>
    <w:p w:rsidR="00FA708C" w:rsidRPr="0064560B" w:rsidRDefault="00AC5CB0" w:rsidP="00837FE2">
      <w:pPr>
        <w:pStyle w:val="Autores"/>
        <w:ind w:firstLine="0"/>
        <w:rPr>
          <w:rFonts w:ascii="Times New Roman" w:hAnsi="Times New Roman"/>
          <w:i/>
          <w:sz w:val="22"/>
        </w:rPr>
      </w:pPr>
      <w:r w:rsidRPr="0064560B">
        <w:rPr>
          <w:rFonts w:ascii="Times New Roman" w:hAnsi="Times New Roman"/>
        </w:rPr>
        <w:t>Mi</w:t>
      </w:r>
      <w:r w:rsidR="00263972" w:rsidRPr="0064560B">
        <w:rPr>
          <w:rFonts w:ascii="Times New Roman" w:hAnsi="Times New Roman"/>
        </w:rPr>
        <w:t>guel</w:t>
      </w:r>
      <w:r w:rsidRPr="0064560B">
        <w:rPr>
          <w:rFonts w:ascii="Times New Roman" w:hAnsi="Times New Roman"/>
        </w:rPr>
        <w:t xml:space="preserve"> Vazquez</w:t>
      </w:r>
      <w:r w:rsidRPr="0064560B">
        <w:rPr>
          <w:rFonts w:ascii="Times New Roman" w:hAnsi="Times New Roman"/>
        </w:rPr>
        <w:br/>
      </w:r>
      <w:proofErr w:type="spellStart"/>
      <w:r w:rsidR="0028061B" w:rsidRPr="0064560B">
        <w:rPr>
          <w:rFonts w:ascii="Times New Roman" w:hAnsi="Times New Roman"/>
          <w:i/>
          <w:sz w:val="22"/>
        </w:rPr>
        <w:t>Faculty</w:t>
      </w:r>
      <w:proofErr w:type="spellEnd"/>
      <w:r w:rsidR="0028061B" w:rsidRPr="0064560B">
        <w:rPr>
          <w:rFonts w:ascii="Times New Roman" w:hAnsi="Times New Roman"/>
          <w:i/>
          <w:sz w:val="22"/>
        </w:rPr>
        <w:t xml:space="preserve"> of </w:t>
      </w:r>
      <w:proofErr w:type="spellStart"/>
      <w:r w:rsidR="0028061B" w:rsidRPr="0064560B">
        <w:rPr>
          <w:rFonts w:ascii="Times New Roman" w:hAnsi="Times New Roman"/>
          <w:i/>
          <w:sz w:val="22"/>
        </w:rPr>
        <w:t>Economics</w:t>
      </w:r>
      <w:proofErr w:type="spellEnd"/>
      <w:r w:rsidRPr="0064560B">
        <w:rPr>
          <w:rFonts w:ascii="Times New Roman" w:hAnsi="Times New Roman"/>
          <w:i/>
          <w:sz w:val="22"/>
        </w:rPr>
        <w:t xml:space="preserve">, </w:t>
      </w:r>
      <w:proofErr w:type="spellStart"/>
      <w:r w:rsidR="0028061B" w:rsidRPr="0064560B">
        <w:rPr>
          <w:rFonts w:ascii="Times New Roman" w:hAnsi="Times New Roman"/>
          <w:i/>
          <w:sz w:val="22"/>
        </w:rPr>
        <w:t>Universidade</w:t>
      </w:r>
      <w:proofErr w:type="spellEnd"/>
      <w:r w:rsidR="0028061B" w:rsidRPr="0064560B">
        <w:rPr>
          <w:rFonts w:ascii="Times New Roman" w:hAnsi="Times New Roman"/>
          <w:i/>
          <w:sz w:val="22"/>
        </w:rPr>
        <w:t xml:space="preserve"> Federal </w:t>
      </w:r>
      <w:r w:rsidRPr="0064560B">
        <w:rPr>
          <w:rFonts w:ascii="Times New Roman" w:hAnsi="Times New Roman"/>
          <w:i/>
          <w:sz w:val="22"/>
        </w:rPr>
        <w:t>Fluminense (UFF), Rio de Janeiro</w:t>
      </w:r>
      <w:r w:rsidR="00FF6FD2" w:rsidRPr="0064560B">
        <w:rPr>
          <w:rFonts w:ascii="Times New Roman" w:hAnsi="Times New Roman"/>
          <w:i/>
          <w:sz w:val="22"/>
        </w:rPr>
        <w:br/>
        <w:t>email:miguel.vazquez.martinez@gmail.com</w:t>
      </w:r>
    </w:p>
    <w:p w:rsidR="002E238F" w:rsidRPr="0064560B" w:rsidRDefault="002E238F" w:rsidP="00837FE2">
      <w:pPr>
        <w:pStyle w:val="Autores"/>
        <w:ind w:firstLine="0"/>
        <w:rPr>
          <w:rFonts w:ascii="Times New Roman" w:hAnsi="Times New Roman"/>
        </w:rPr>
      </w:pPr>
      <w:r w:rsidRPr="0064560B">
        <w:rPr>
          <w:rFonts w:ascii="Times New Roman" w:hAnsi="Times New Roman"/>
        </w:rPr>
        <w:t xml:space="preserve">Michelle </w:t>
      </w:r>
      <w:proofErr w:type="spellStart"/>
      <w:r w:rsidRPr="0064560B">
        <w:rPr>
          <w:rFonts w:ascii="Times New Roman" w:hAnsi="Times New Roman"/>
        </w:rPr>
        <w:t>Hallack</w:t>
      </w:r>
      <w:proofErr w:type="spellEnd"/>
      <w:r w:rsidRPr="0064560B">
        <w:rPr>
          <w:rFonts w:ascii="Times New Roman" w:hAnsi="Times New Roman"/>
        </w:rPr>
        <w:br/>
      </w:r>
      <w:proofErr w:type="spellStart"/>
      <w:r w:rsidRPr="0064560B">
        <w:rPr>
          <w:rFonts w:ascii="Times New Roman" w:hAnsi="Times New Roman"/>
          <w:i/>
          <w:sz w:val="22"/>
        </w:rPr>
        <w:t>Faculty</w:t>
      </w:r>
      <w:proofErr w:type="spellEnd"/>
      <w:r w:rsidRPr="0064560B">
        <w:rPr>
          <w:rFonts w:ascii="Times New Roman" w:hAnsi="Times New Roman"/>
          <w:i/>
          <w:sz w:val="22"/>
        </w:rPr>
        <w:t xml:space="preserve"> of </w:t>
      </w:r>
      <w:proofErr w:type="spellStart"/>
      <w:r w:rsidRPr="0064560B">
        <w:rPr>
          <w:rFonts w:ascii="Times New Roman" w:hAnsi="Times New Roman"/>
          <w:i/>
          <w:sz w:val="22"/>
        </w:rPr>
        <w:t>Economics</w:t>
      </w:r>
      <w:proofErr w:type="spellEnd"/>
      <w:r w:rsidRPr="0064560B">
        <w:rPr>
          <w:rFonts w:ascii="Times New Roman" w:hAnsi="Times New Roman"/>
          <w:i/>
          <w:sz w:val="22"/>
        </w:rPr>
        <w:t xml:space="preserve">, </w:t>
      </w:r>
      <w:proofErr w:type="spellStart"/>
      <w:r w:rsidRPr="0064560B">
        <w:rPr>
          <w:rFonts w:ascii="Times New Roman" w:hAnsi="Times New Roman"/>
          <w:i/>
          <w:sz w:val="22"/>
        </w:rPr>
        <w:t>Universidade</w:t>
      </w:r>
      <w:proofErr w:type="spellEnd"/>
      <w:r w:rsidRPr="0064560B">
        <w:rPr>
          <w:rFonts w:ascii="Times New Roman" w:hAnsi="Times New Roman"/>
          <w:i/>
          <w:sz w:val="22"/>
        </w:rPr>
        <w:t xml:space="preserve"> Federal Fluminense (UFF), Rio de Janeiro</w:t>
      </w:r>
      <w:r w:rsidR="00FF6FD2" w:rsidRPr="0064560B">
        <w:rPr>
          <w:rFonts w:ascii="Times New Roman" w:hAnsi="Times New Roman"/>
          <w:i/>
          <w:sz w:val="22"/>
        </w:rPr>
        <w:br/>
        <w:t>email:michellecmhallack@gmail.com</w:t>
      </w:r>
    </w:p>
    <w:p w:rsidR="00AC2EFA" w:rsidRPr="0064560B" w:rsidRDefault="00AC5CB0" w:rsidP="00837FE2">
      <w:pPr>
        <w:pStyle w:val="Autores"/>
        <w:pBdr>
          <w:bottom w:val="single" w:sz="4" w:space="1" w:color="auto"/>
        </w:pBdr>
        <w:spacing w:after="360"/>
        <w:ind w:firstLine="0"/>
        <w:rPr>
          <w:rFonts w:ascii="Times New Roman" w:hAnsi="Times New Roman"/>
          <w:i/>
          <w:sz w:val="22"/>
        </w:rPr>
      </w:pPr>
      <w:r w:rsidRPr="0064560B">
        <w:rPr>
          <w:rFonts w:ascii="Times New Roman" w:hAnsi="Times New Roman"/>
        </w:rPr>
        <w:t>Carlos Vazquez</w:t>
      </w:r>
      <w:r w:rsidRPr="0064560B">
        <w:rPr>
          <w:rFonts w:ascii="Times New Roman" w:hAnsi="Times New Roman"/>
        </w:rPr>
        <w:br/>
      </w:r>
      <w:proofErr w:type="spellStart"/>
      <w:r w:rsidRPr="0064560B">
        <w:rPr>
          <w:rFonts w:ascii="Times New Roman" w:hAnsi="Times New Roman"/>
          <w:i/>
          <w:sz w:val="22"/>
        </w:rPr>
        <w:t>School</w:t>
      </w:r>
      <w:proofErr w:type="spellEnd"/>
      <w:r w:rsidRPr="0064560B">
        <w:rPr>
          <w:rFonts w:ascii="Times New Roman" w:hAnsi="Times New Roman"/>
          <w:i/>
          <w:sz w:val="22"/>
        </w:rPr>
        <w:t xml:space="preserve"> of </w:t>
      </w:r>
      <w:r w:rsidR="005E6D0D" w:rsidRPr="0064560B">
        <w:rPr>
          <w:rFonts w:ascii="Times New Roman" w:hAnsi="Times New Roman"/>
          <w:i/>
          <w:sz w:val="22"/>
        </w:rPr>
        <w:t xml:space="preserve">Mines and </w:t>
      </w:r>
      <w:proofErr w:type="spellStart"/>
      <w:r w:rsidR="003524FF" w:rsidRPr="0064560B">
        <w:rPr>
          <w:rFonts w:ascii="Times New Roman" w:hAnsi="Times New Roman"/>
          <w:i/>
          <w:sz w:val="22"/>
        </w:rPr>
        <w:t>Energy</w:t>
      </w:r>
      <w:proofErr w:type="spellEnd"/>
      <w:r w:rsidRPr="0064560B">
        <w:rPr>
          <w:rFonts w:ascii="Times New Roman" w:hAnsi="Times New Roman"/>
          <w:i/>
          <w:sz w:val="22"/>
        </w:rPr>
        <w:t>, Universidad Politécnica</w:t>
      </w:r>
      <w:r w:rsidR="003524FF" w:rsidRPr="0064560B">
        <w:rPr>
          <w:rFonts w:ascii="Times New Roman" w:hAnsi="Times New Roman"/>
          <w:i/>
          <w:sz w:val="22"/>
        </w:rPr>
        <w:t xml:space="preserve"> de</w:t>
      </w:r>
      <w:r w:rsidRPr="0064560B">
        <w:rPr>
          <w:rFonts w:ascii="Times New Roman" w:hAnsi="Times New Roman"/>
          <w:i/>
          <w:sz w:val="22"/>
        </w:rPr>
        <w:t xml:space="preserve"> Madrid</w:t>
      </w:r>
      <w:r w:rsidR="003524FF" w:rsidRPr="0064560B">
        <w:rPr>
          <w:rFonts w:ascii="Times New Roman" w:hAnsi="Times New Roman"/>
          <w:i/>
          <w:sz w:val="22"/>
        </w:rPr>
        <w:t>, and Gas Natural Fenosa</w:t>
      </w:r>
      <w:r w:rsidR="00787D02" w:rsidRPr="0064560B">
        <w:rPr>
          <w:rFonts w:ascii="Times New Roman" w:hAnsi="Times New Roman"/>
          <w:i/>
          <w:sz w:val="22"/>
        </w:rPr>
        <w:br/>
        <w:t>email:cvazquezm@gasnaturalfenosa.com</w:t>
      </w:r>
    </w:p>
    <w:p w:rsidR="00C60AB1" w:rsidRPr="0064560B" w:rsidRDefault="005D0268" w:rsidP="0018745C">
      <w:pPr>
        <w:pStyle w:val="Abstract"/>
        <w:rPr>
          <w:rFonts w:ascii="Times New Roman" w:hAnsi="Times New Roman"/>
        </w:rPr>
      </w:pPr>
      <w:r w:rsidRPr="0064560B">
        <w:rPr>
          <w:rFonts w:ascii="Times New Roman" w:hAnsi="Times New Roman"/>
          <w:lang w:val="es-ES"/>
        </w:rPr>
        <w:t>Non</w:t>
      </w:r>
      <w:r w:rsidR="00664898" w:rsidRPr="0064560B">
        <w:rPr>
          <w:rFonts w:ascii="Times New Roman" w:hAnsi="Times New Roman"/>
          <w:lang w:val="es-ES"/>
        </w:rPr>
        <w:t>-</w:t>
      </w:r>
      <w:r w:rsidRPr="0064560B">
        <w:rPr>
          <w:rFonts w:ascii="Times New Roman" w:hAnsi="Times New Roman"/>
          <w:lang w:val="en-GB"/>
        </w:rPr>
        <w:t>convexit</w:t>
      </w:r>
      <w:r w:rsidR="00664898" w:rsidRPr="0064560B">
        <w:rPr>
          <w:rFonts w:ascii="Times New Roman" w:hAnsi="Times New Roman"/>
          <w:lang w:val="en-GB"/>
        </w:rPr>
        <w:t>ies</w:t>
      </w:r>
      <w:r w:rsidRPr="0064560B">
        <w:rPr>
          <w:rFonts w:ascii="Times New Roman" w:hAnsi="Times New Roman"/>
          <w:lang w:val="en-GB"/>
        </w:rPr>
        <w:t xml:space="preserve"> has been long-time identified as a central problem to </w:t>
      </w:r>
      <w:r w:rsidR="00664898" w:rsidRPr="0064560B">
        <w:rPr>
          <w:rFonts w:ascii="Times New Roman" w:hAnsi="Times New Roman"/>
          <w:lang w:val="en-GB"/>
        </w:rPr>
        <w:t>ensure the existence of</w:t>
      </w:r>
      <w:r w:rsidRPr="0064560B">
        <w:rPr>
          <w:rFonts w:ascii="Times New Roman" w:hAnsi="Times New Roman"/>
          <w:lang w:val="en-GB"/>
        </w:rPr>
        <w:t xml:space="preserve"> equilibrium. </w:t>
      </w:r>
      <w:r w:rsidR="00B03CDF" w:rsidRPr="0064560B">
        <w:rPr>
          <w:rFonts w:ascii="Times New Roman" w:hAnsi="Times New Roman"/>
          <w:lang w:val="en-GB"/>
        </w:rPr>
        <w:t>Start-up</w:t>
      </w:r>
      <w:r w:rsidRPr="0064560B">
        <w:rPr>
          <w:rFonts w:ascii="Times New Roman" w:hAnsi="Times New Roman"/>
          <w:lang w:val="en-GB"/>
        </w:rPr>
        <w:t xml:space="preserve"> costs, as identified in electricity industries</w:t>
      </w:r>
      <w:r w:rsidR="00894C3D" w:rsidRPr="0064560B">
        <w:rPr>
          <w:rFonts w:ascii="Times New Roman" w:hAnsi="Times New Roman"/>
          <w:lang w:val="en-GB"/>
        </w:rPr>
        <w:t xml:space="preserve">, are quasi-fixed costs </w:t>
      </w:r>
      <w:r w:rsidR="005A7669" w:rsidRPr="0064560B">
        <w:rPr>
          <w:rFonts w:ascii="Times New Roman" w:hAnsi="Times New Roman"/>
          <w:lang w:val="en-GB"/>
        </w:rPr>
        <w:t>that</w:t>
      </w:r>
      <w:r w:rsidR="00894C3D" w:rsidRPr="0064560B">
        <w:rPr>
          <w:rFonts w:ascii="Times New Roman" w:hAnsi="Times New Roman"/>
          <w:lang w:val="en-GB"/>
        </w:rPr>
        <w:t xml:space="preserve"> depend on power plants technology. The presence of quasi-fixed costs is a key challenge to the market clearance pricing. In order to find an equilibrium in this market, auction designers </w:t>
      </w:r>
      <w:r w:rsidR="005A144A" w:rsidRPr="0064560B">
        <w:rPr>
          <w:rFonts w:ascii="Times New Roman" w:hAnsi="Times New Roman"/>
          <w:lang w:val="en-GB"/>
        </w:rPr>
        <w:t xml:space="preserve">frequently </w:t>
      </w:r>
      <w:r w:rsidR="00894C3D" w:rsidRPr="0064560B">
        <w:rPr>
          <w:rFonts w:ascii="Times New Roman" w:hAnsi="Times New Roman"/>
          <w:lang w:val="en-GB"/>
        </w:rPr>
        <w:t>define algorithm</w:t>
      </w:r>
      <w:r w:rsidR="00664898" w:rsidRPr="0064560B">
        <w:rPr>
          <w:rFonts w:ascii="Times New Roman" w:hAnsi="Times New Roman"/>
          <w:lang w:val="en-GB"/>
        </w:rPr>
        <w:t>s</w:t>
      </w:r>
      <w:r w:rsidR="00894C3D" w:rsidRPr="0064560B">
        <w:rPr>
          <w:rFonts w:ascii="Times New Roman" w:hAnsi="Times New Roman"/>
          <w:lang w:val="en-GB"/>
        </w:rPr>
        <w:t xml:space="preserve"> to simplify the costs curves</w:t>
      </w:r>
      <w:r w:rsidR="00664898" w:rsidRPr="0064560B">
        <w:rPr>
          <w:rFonts w:ascii="Times New Roman" w:hAnsi="Times New Roman"/>
          <w:lang w:val="en-GB"/>
        </w:rPr>
        <w:t>. H</w:t>
      </w:r>
      <w:r w:rsidR="00894C3D" w:rsidRPr="0064560B">
        <w:rPr>
          <w:rFonts w:ascii="Times New Roman" w:hAnsi="Times New Roman"/>
          <w:lang w:val="en-GB"/>
        </w:rPr>
        <w:t>owever,</w:t>
      </w:r>
      <w:r w:rsidR="005A144A" w:rsidRPr="0064560B">
        <w:rPr>
          <w:rFonts w:ascii="Times New Roman" w:hAnsi="Times New Roman"/>
          <w:lang w:val="en-GB"/>
        </w:rPr>
        <w:t xml:space="preserve"> we show that</w:t>
      </w:r>
      <w:r w:rsidR="00894C3D" w:rsidRPr="0064560B">
        <w:rPr>
          <w:rFonts w:ascii="Times New Roman" w:hAnsi="Times New Roman"/>
          <w:lang w:val="en-GB"/>
        </w:rPr>
        <w:t xml:space="preserve"> this simplification </w:t>
      </w:r>
      <w:r w:rsidR="005A144A" w:rsidRPr="0064560B">
        <w:rPr>
          <w:rFonts w:ascii="Times New Roman" w:hAnsi="Times New Roman"/>
          <w:lang w:val="en-GB"/>
        </w:rPr>
        <w:t>distort</w:t>
      </w:r>
      <w:r w:rsidR="00894C3D" w:rsidRPr="0064560B">
        <w:rPr>
          <w:rFonts w:ascii="Times New Roman" w:hAnsi="Times New Roman"/>
          <w:lang w:val="en-GB"/>
        </w:rPr>
        <w:t xml:space="preserve"> the long-run investment decision</w:t>
      </w:r>
      <w:r w:rsidR="00664898" w:rsidRPr="0064560B">
        <w:rPr>
          <w:rFonts w:ascii="Times New Roman" w:hAnsi="Times New Roman"/>
          <w:lang w:val="en-GB"/>
        </w:rPr>
        <w:t>s</w:t>
      </w:r>
      <w:r w:rsidR="00894C3D" w:rsidRPr="0064560B">
        <w:rPr>
          <w:rFonts w:ascii="Times New Roman" w:hAnsi="Times New Roman"/>
          <w:lang w:val="en-GB"/>
        </w:rPr>
        <w:t>.</w:t>
      </w:r>
      <w:r w:rsidRPr="0064560B">
        <w:rPr>
          <w:rFonts w:ascii="Times New Roman" w:hAnsi="Times New Roman"/>
          <w:lang w:val="en-GB"/>
        </w:rPr>
        <w:t xml:space="preserve"> </w:t>
      </w:r>
      <w:r w:rsidR="005A144A" w:rsidRPr="0064560B">
        <w:rPr>
          <w:rFonts w:ascii="Times New Roman" w:hAnsi="Times New Roman"/>
          <w:lang w:val="en-GB"/>
        </w:rPr>
        <w:t>Our case study start</w:t>
      </w:r>
      <w:r w:rsidR="00664898" w:rsidRPr="0064560B">
        <w:rPr>
          <w:rFonts w:ascii="Times New Roman" w:hAnsi="Times New Roman"/>
          <w:lang w:val="en-GB"/>
        </w:rPr>
        <w:t>s</w:t>
      </w:r>
      <w:r w:rsidR="005A144A" w:rsidRPr="0064560B">
        <w:rPr>
          <w:rFonts w:ascii="Times New Roman" w:hAnsi="Times New Roman"/>
          <w:lang w:val="en-GB"/>
        </w:rPr>
        <w:t xml:space="preserve"> by supposing a </w:t>
      </w:r>
      <w:r w:rsidR="003645A0" w:rsidRPr="0064560B">
        <w:rPr>
          <w:rFonts w:ascii="Times New Roman" w:hAnsi="Times New Roman"/>
        </w:rPr>
        <w:t xml:space="preserve">combinatorial auction for </w:t>
      </w:r>
      <w:r w:rsidR="005A144A" w:rsidRPr="0064560B">
        <w:rPr>
          <w:rFonts w:ascii="Times New Roman" w:hAnsi="Times New Roman"/>
        </w:rPr>
        <w:t>the</w:t>
      </w:r>
      <w:r w:rsidR="003645A0" w:rsidRPr="0064560B">
        <w:rPr>
          <w:rFonts w:ascii="Times New Roman" w:hAnsi="Times New Roman"/>
        </w:rPr>
        <w:t xml:space="preserve"> day-ahead market. In </w:t>
      </w:r>
      <w:r w:rsidR="00664898" w:rsidRPr="0064560B">
        <w:rPr>
          <w:rFonts w:ascii="Times New Roman" w:hAnsi="Times New Roman"/>
        </w:rPr>
        <w:t>it</w:t>
      </w:r>
      <w:r w:rsidR="003645A0" w:rsidRPr="0064560B">
        <w:rPr>
          <w:rFonts w:ascii="Times New Roman" w:hAnsi="Times New Roman"/>
        </w:rPr>
        <w:t>, market operator</w:t>
      </w:r>
      <w:r w:rsidR="00F97BBD" w:rsidRPr="0064560B">
        <w:rPr>
          <w:rFonts w:ascii="Times New Roman" w:hAnsi="Times New Roman"/>
        </w:rPr>
        <w:t>s</w:t>
      </w:r>
      <w:r w:rsidR="003645A0" w:rsidRPr="0064560B">
        <w:rPr>
          <w:rFonts w:ascii="Times New Roman" w:hAnsi="Times New Roman"/>
        </w:rPr>
        <w:t xml:space="preserve"> receive bids for different concepts, such as variable cost, start-up cost, no-load cost, etc., and some kind of optimization procedure determines the accepted bids. Unfortunately, </w:t>
      </w:r>
      <w:r w:rsidR="00F97BBD" w:rsidRPr="0064560B">
        <w:rPr>
          <w:rFonts w:ascii="Times New Roman" w:hAnsi="Times New Roman"/>
        </w:rPr>
        <w:t>this</w:t>
      </w:r>
      <w:r w:rsidR="003645A0" w:rsidRPr="0064560B">
        <w:rPr>
          <w:rFonts w:ascii="Times New Roman" w:hAnsi="Times New Roman"/>
        </w:rPr>
        <w:t xml:space="preserve"> </w:t>
      </w:r>
      <w:r w:rsidR="005E6D0D" w:rsidRPr="0064560B">
        <w:rPr>
          <w:rFonts w:ascii="Times New Roman" w:hAnsi="Times New Roman"/>
        </w:rPr>
        <w:t xml:space="preserve">frequently </w:t>
      </w:r>
      <w:r w:rsidR="003645A0" w:rsidRPr="0064560B">
        <w:rPr>
          <w:rFonts w:ascii="Times New Roman" w:hAnsi="Times New Roman"/>
        </w:rPr>
        <w:t>impl</w:t>
      </w:r>
      <w:r w:rsidR="00F97BBD" w:rsidRPr="0064560B">
        <w:rPr>
          <w:rFonts w:ascii="Times New Roman" w:hAnsi="Times New Roman"/>
        </w:rPr>
        <w:t>ies</w:t>
      </w:r>
      <w:r w:rsidR="003645A0" w:rsidRPr="0064560B">
        <w:rPr>
          <w:rFonts w:ascii="Times New Roman" w:hAnsi="Times New Roman"/>
        </w:rPr>
        <w:t xml:space="preserve"> </w:t>
      </w:r>
      <w:r w:rsidR="005E6D0D" w:rsidRPr="0064560B">
        <w:rPr>
          <w:rFonts w:ascii="Times New Roman" w:hAnsi="Times New Roman"/>
        </w:rPr>
        <w:t xml:space="preserve">the use of </w:t>
      </w:r>
      <w:r w:rsidR="003645A0" w:rsidRPr="0064560B">
        <w:rPr>
          <w:rFonts w:ascii="Times New Roman" w:hAnsi="Times New Roman"/>
        </w:rPr>
        <w:t xml:space="preserve">discrete variables, and there is no consensus on how to </w:t>
      </w:r>
      <w:r w:rsidR="00742A04" w:rsidRPr="0064560B">
        <w:rPr>
          <w:rFonts w:ascii="Times New Roman" w:hAnsi="Times New Roman"/>
        </w:rPr>
        <w:t>define</w:t>
      </w:r>
      <w:r w:rsidR="003645A0" w:rsidRPr="0064560B">
        <w:rPr>
          <w:rFonts w:ascii="Times New Roman" w:hAnsi="Times New Roman"/>
        </w:rPr>
        <w:t xml:space="preserve"> </w:t>
      </w:r>
      <w:r w:rsidR="00742A04" w:rsidRPr="0064560B">
        <w:rPr>
          <w:rFonts w:ascii="Times New Roman" w:hAnsi="Times New Roman"/>
        </w:rPr>
        <w:t>marginal costs in presence of such</w:t>
      </w:r>
      <w:r w:rsidR="003645A0" w:rsidRPr="0064560B">
        <w:rPr>
          <w:rFonts w:ascii="Times New Roman" w:hAnsi="Times New Roman"/>
        </w:rPr>
        <w:t xml:space="preserve"> integer decisions. </w:t>
      </w:r>
      <w:r w:rsidR="00742A04" w:rsidRPr="0064560B">
        <w:rPr>
          <w:rFonts w:ascii="Times New Roman" w:hAnsi="Times New Roman"/>
        </w:rPr>
        <w:t xml:space="preserve">This problem is exacerbated by the increasing </w:t>
      </w:r>
      <w:r w:rsidR="005A144A" w:rsidRPr="0064560B">
        <w:rPr>
          <w:rFonts w:ascii="Times New Roman" w:hAnsi="Times New Roman"/>
        </w:rPr>
        <w:t>frequency and costs related to</w:t>
      </w:r>
      <w:r w:rsidR="00742A04" w:rsidRPr="0064560B">
        <w:rPr>
          <w:rFonts w:ascii="Times New Roman" w:hAnsi="Times New Roman"/>
        </w:rPr>
        <w:t xml:space="preserve"> start-ups</w:t>
      </w:r>
      <w:r w:rsidR="005A144A" w:rsidRPr="0064560B">
        <w:rPr>
          <w:rFonts w:ascii="Times New Roman" w:hAnsi="Times New Roman"/>
        </w:rPr>
        <w:t xml:space="preserve"> caused by volatility of new renewables technologies</w:t>
      </w:r>
      <w:r w:rsidR="00F97BBD" w:rsidRPr="0064560B">
        <w:rPr>
          <w:rFonts w:ascii="Times New Roman" w:hAnsi="Times New Roman"/>
        </w:rPr>
        <w:t>, and therefore makes integer decisions more relevant</w:t>
      </w:r>
      <w:r w:rsidR="00742A04" w:rsidRPr="0064560B">
        <w:rPr>
          <w:rFonts w:ascii="Times New Roman" w:hAnsi="Times New Roman"/>
        </w:rPr>
        <w:t xml:space="preserve">. </w:t>
      </w:r>
      <w:r w:rsidR="003645A0" w:rsidRPr="0064560B">
        <w:rPr>
          <w:rFonts w:ascii="Times New Roman" w:hAnsi="Times New Roman"/>
        </w:rPr>
        <w:t xml:space="preserve">We show that </w:t>
      </w:r>
      <w:r w:rsidR="006D58C5" w:rsidRPr="0064560B">
        <w:rPr>
          <w:rFonts w:ascii="Times New Roman" w:hAnsi="Times New Roman"/>
        </w:rPr>
        <w:t xml:space="preserve">the </w:t>
      </w:r>
      <w:r w:rsidR="003645A0" w:rsidRPr="0064560B">
        <w:rPr>
          <w:rFonts w:ascii="Times New Roman" w:hAnsi="Times New Roman"/>
        </w:rPr>
        <w:t xml:space="preserve">criterion that prices </w:t>
      </w:r>
      <w:r w:rsidR="00F97BBD" w:rsidRPr="0064560B">
        <w:rPr>
          <w:rFonts w:ascii="Times New Roman" w:hAnsi="Times New Roman"/>
        </w:rPr>
        <w:t xml:space="preserve">should </w:t>
      </w:r>
      <w:r w:rsidR="003645A0" w:rsidRPr="0064560B">
        <w:rPr>
          <w:rFonts w:ascii="Times New Roman" w:hAnsi="Times New Roman"/>
        </w:rPr>
        <w:t>support a competitive short-term equilibrium is too loose</w:t>
      </w:r>
      <w:r w:rsidR="00F97BBD" w:rsidRPr="0064560B">
        <w:rPr>
          <w:rFonts w:ascii="Times New Roman" w:hAnsi="Times New Roman"/>
        </w:rPr>
        <w:t xml:space="preserve"> to define the prices</w:t>
      </w:r>
      <w:r w:rsidR="003645A0" w:rsidRPr="0064560B">
        <w:rPr>
          <w:rFonts w:ascii="Times New Roman" w:hAnsi="Times New Roman"/>
        </w:rPr>
        <w:t xml:space="preserve">: many different </w:t>
      </w:r>
      <w:r w:rsidR="00F97BBD" w:rsidRPr="0064560B">
        <w:rPr>
          <w:rFonts w:ascii="Times New Roman" w:hAnsi="Times New Roman"/>
        </w:rPr>
        <w:t xml:space="preserve">price </w:t>
      </w:r>
      <w:r w:rsidR="003645A0" w:rsidRPr="0064560B">
        <w:rPr>
          <w:rFonts w:ascii="Times New Roman" w:hAnsi="Times New Roman"/>
        </w:rPr>
        <w:t xml:space="preserve">solutions could be adopted if only this condition were considered. We then incorporate long-term competitive equilibrium requirements, considering explicitly that the infra-marginal rents that base-load generators receive have an influence on their investment decisions, and looking for the prices that induce generation equipment to be optimal. Imposing this, we derive an optimal pricing rule, which now turns out to be a single solution. These prices represent an optimal combination of marginal price and side payment that </w:t>
      </w:r>
      <w:r w:rsidR="00C9145A" w:rsidRPr="0064560B">
        <w:rPr>
          <w:rFonts w:ascii="Times New Roman" w:hAnsi="Times New Roman"/>
        </w:rPr>
        <w:t>is</w:t>
      </w:r>
      <w:r w:rsidR="003645A0" w:rsidRPr="0064560B">
        <w:rPr>
          <w:rFonts w:ascii="Times New Roman" w:hAnsi="Times New Roman"/>
        </w:rPr>
        <w:t xml:space="preserve"> supported by a sound theoretical justification.</w:t>
      </w:r>
      <w:r w:rsidR="005D1360" w:rsidRPr="0064560B">
        <w:rPr>
          <w:rFonts w:ascii="Times New Roman" w:hAnsi="Times New Roman"/>
        </w:rPr>
        <w:t xml:space="preserve">  </w:t>
      </w:r>
    </w:p>
    <w:p w:rsidR="00EE1415" w:rsidRDefault="00EE1415" w:rsidP="00EE1415">
      <w:pPr>
        <w:pStyle w:val="Abstract"/>
        <w:rPr>
          <w:rFonts w:ascii="Times New Roman" w:hAnsi="Times New Roman"/>
        </w:rPr>
      </w:pPr>
      <w:r>
        <w:rPr>
          <w:rFonts w:ascii="Times New Roman" w:hAnsi="Times New Roman"/>
        </w:rPr>
        <w:t>Key words: Electricity auctions; Investment signals; Si</w:t>
      </w:r>
      <w:r>
        <w:rPr>
          <w:rFonts w:ascii="Times New Roman" w:hAnsi="Times New Roman"/>
        </w:rPr>
        <w:t>de payments; Quasi-fixed c</w:t>
      </w:r>
      <w:bookmarkStart w:id="6" w:name="_GoBack"/>
      <w:bookmarkEnd w:id="6"/>
      <w:r>
        <w:rPr>
          <w:rFonts w:ascii="Times New Roman" w:hAnsi="Times New Roman"/>
        </w:rPr>
        <w:t>ost, N</w:t>
      </w:r>
      <w:r>
        <w:rPr>
          <w:rFonts w:ascii="Times New Roman" w:hAnsi="Times New Roman"/>
        </w:rPr>
        <w:t>on-convexity</w:t>
      </w:r>
    </w:p>
    <w:p w:rsidR="00F0133E" w:rsidRDefault="0064560B" w:rsidP="0018745C">
      <w:pPr>
        <w:pStyle w:val="Abstract"/>
        <w:rPr>
          <w:rFonts w:ascii="Times New Roman" w:hAnsi="Times New Roman"/>
        </w:rPr>
      </w:pPr>
      <w:r>
        <w:rPr>
          <w:rFonts w:ascii="Times New Roman" w:hAnsi="Times New Roman"/>
        </w:rPr>
        <w:t>JEL: D44, D47, C61, Q4</w:t>
      </w:r>
    </w:p>
    <w:p w:rsidR="0064560B" w:rsidRPr="0064560B" w:rsidRDefault="0064560B" w:rsidP="0018745C">
      <w:pPr>
        <w:pStyle w:val="Abstract"/>
        <w:rPr>
          <w:rFonts w:ascii="Times New Roman" w:hAnsi="Times New Roman"/>
        </w:rPr>
        <w:sectPr w:rsidR="0064560B" w:rsidRPr="0064560B" w:rsidSect="0001239E">
          <w:headerReference w:type="default" r:id="rId8"/>
          <w:footerReference w:type="default" r:id="rId9"/>
          <w:footnotePr>
            <w:numFmt w:val="chicago"/>
          </w:footnotePr>
          <w:pgSz w:w="11906" w:h="16838"/>
          <w:pgMar w:top="1440" w:right="2304" w:bottom="1440" w:left="2304" w:header="706" w:footer="706" w:gutter="0"/>
          <w:cols w:space="708"/>
          <w:docGrid w:linePitch="360"/>
        </w:sectPr>
      </w:pPr>
    </w:p>
    <w:p w:rsidR="00632094" w:rsidRPr="0064560B" w:rsidRDefault="00632094" w:rsidP="00055536">
      <w:pPr>
        <w:pStyle w:val="Heading1"/>
        <w:rPr>
          <w:rFonts w:cs="Times New Roman"/>
        </w:rPr>
      </w:pPr>
      <w:r w:rsidRPr="0064560B">
        <w:rPr>
          <w:rFonts w:cs="Times New Roman"/>
        </w:rPr>
        <w:lastRenderedPageBreak/>
        <w:t>Introduction</w:t>
      </w:r>
    </w:p>
    <w:p w:rsidR="006935D9" w:rsidRPr="0064560B" w:rsidRDefault="00F34FA7" w:rsidP="006935D9">
      <w:pPr>
        <w:pStyle w:val="Abstract"/>
        <w:rPr>
          <w:rFonts w:ascii="Times New Roman" w:hAnsi="Times New Roman"/>
        </w:rPr>
      </w:pPr>
      <w:r w:rsidRPr="0064560B">
        <w:rPr>
          <w:rFonts w:ascii="Times New Roman" w:hAnsi="Times New Roman"/>
        </w:rPr>
        <w:t>It is well</w:t>
      </w:r>
      <w:r w:rsidR="00664898" w:rsidRPr="0064560B">
        <w:rPr>
          <w:rFonts w:ascii="Times New Roman" w:hAnsi="Times New Roman"/>
        </w:rPr>
        <w:t>-</w:t>
      </w:r>
      <w:r w:rsidRPr="0064560B">
        <w:rPr>
          <w:rFonts w:ascii="Times New Roman" w:hAnsi="Times New Roman"/>
        </w:rPr>
        <w:t xml:space="preserve">known </w:t>
      </w:r>
      <w:r w:rsidR="00664898" w:rsidRPr="0064560B">
        <w:rPr>
          <w:rFonts w:ascii="Times New Roman" w:hAnsi="Times New Roman"/>
        </w:rPr>
        <w:t>in</w:t>
      </w:r>
      <w:r w:rsidRPr="0064560B">
        <w:rPr>
          <w:rFonts w:ascii="Times New Roman" w:hAnsi="Times New Roman"/>
        </w:rPr>
        <w:t xml:space="preserve"> the economic literature the problem that technological indivisibilities </w:t>
      </w:r>
      <w:r w:rsidR="00664898" w:rsidRPr="0064560B">
        <w:rPr>
          <w:rFonts w:ascii="Times New Roman" w:hAnsi="Times New Roman"/>
        </w:rPr>
        <w:t>causes</w:t>
      </w:r>
      <w:r w:rsidRPr="0064560B">
        <w:rPr>
          <w:rFonts w:ascii="Times New Roman" w:hAnsi="Times New Roman"/>
        </w:rPr>
        <w:t xml:space="preserve"> </w:t>
      </w:r>
      <w:r w:rsidR="00664898" w:rsidRPr="0064560B">
        <w:rPr>
          <w:rFonts w:ascii="Times New Roman" w:hAnsi="Times New Roman"/>
        </w:rPr>
        <w:t>in the calculation of</w:t>
      </w:r>
      <w:r w:rsidRPr="0064560B">
        <w:rPr>
          <w:rFonts w:ascii="Times New Roman" w:hAnsi="Times New Roman"/>
        </w:rPr>
        <w:t xml:space="preserve"> market prices. When indivisibility is not important, under an optimal expansion plan, the short-run marginal cost would equal the long-run marginal cost. </w:t>
      </w:r>
      <w:r w:rsidR="003C72B5" w:rsidRPr="0064560B">
        <w:rPr>
          <w:rFonts w:ascii="Times New Roman" w:hAnsi="Times New Roman"/>
        </w:rPr>
        <w:t>The indivisibility, however, introduce non-convexit</w:t>
      </w:r>
      <w:r w:rsidR="00664898" w:rsidRPr="0064560B">
        <w:rPr>
          <w:rFonts w:ascii="Times New Roman" w:hAnsi="Times New Roman"/>
        </w:rPr>
        <w:t>ies</w:t>
      </w:r>
      <w:r w:rsidR="003C72B5" w:rsidRPr="0064560B">
        <w:rPr>
          <w:rFonts w:ascii="Times New Roman" w:hAnsi="Times New Roman"/>
        </w:rPr>
        <w:t xml:space="preserve"> in the cost curves and the equilibrium cannot be guaranteed anymore.</w:t>
      </w:r>
      <w:r w:rsidR="002D6122" w:rsidRPr="0064560B">
        <w:rPr>
          <w:rFonts w:ascii="Times New Roman" w:hAnsi="Times New Roman"/>
        </w:rPr>
        <w:t xml:space="preserve"> The design of markets in the industries with this technological profile demands the definition of </w:t>
      </w:r>
      <w:r w:rsidR="004A5031" w:rsidRPr="0064560B">
        <w:rPr>
          <w:rFonts w:ascii="Times New Roman" w:hAnsi="Times New Roman"/>
        </w:rPr>
        <w:t xml:space="preserve">pricing mechanism based on </w:t>
      </w:r>
      <w:r w:rsidR="002D6122" w:rsidRPr="0064560B">
        <w:rPr>
          <w:rFonts w:ascii="Times New Roman" w:hAnsi="Times New Roman"/>
        </w:rPr>
        <w:t xml:space="preserve">an algorithm </w:t>
      </w:r>
      <w:r w:rsidR="00664898" w:rsidRPr="0064560B">
        <w:rPr>
          <w:rFonts w:ascii="Times New Roman" w:hAnsi="Times New Roman"/>
        </w:rPr>
        <w:t xml:space="preserve">that </w:t>
      </w:r>
      <w:r w:rsidR="002D6122" w:rsidRPr="0064560B">
        <w:rPr>
          <w:rFonts w:ascii="Times New Roman" w:hAnsi="Times New Roman"/>
        </w:rPr>
        <w:t>simplif</w:t>
      </w:r>
      <w:r w:rsidR="00664898" w:rsidRPr="0064560B">
        <w:rPr>
          <w:rFonts w:ascii="Times New Roman" w:hAnsi="Times New Roman"/>
        </w:rPr>
        <w:t>ies</w:t>
      </w:r>
      <w:r w:rsidR="002D6122" w:rsidRPr="0064560B">
        <w:rPr>
          <w:rFonts w:ascii="Times New Roman" w:hAnsi="Times New Roman"/>
        </w:rPr>
        <w:t xml:space="preserve"> the problem.   </w:t>
      </w:r>
      <w:r w:rsidR="003C72B5" w:rsidRPr="0064560B">
        <w:rPr>
          <w:rFonts w:ascii="Times New Roman" w:hAnsi="Times New Roman"/>
        </w:rPr>
        <w:t xml:space="preserve">    </w:t>
      </w:r>
    </w:p>
    <w:p w:rsidR="00F21A23" w:rsidRPr="0064560B" w:rsidRDefault="006935D9" w:rsidP="006935D9">
      <w:pPr>
        <w:pStyle w:val="Abstract"/>
        <w:rPr>
          <w:rFonts w:ascii="Times New Roman" w:hAnsi="Times New Roman"/>
        </w:rPr>
      </w:pPr>
      <w:r w:rsidRPr="0064560B">
        <w:rPr>
          <w:rFonts w:ascii="Times New Roman" w:hAnsi="Times New Roman"/>
        </w:rPr>
        <w:t xml:space="preserve">This </w:t>
      </w:r>
      <w:r w:rsidR="00664898" w:rsidRPr="0064560B">
        <w:rPr>
          <w:rFonts w:ascii="Times New Roman" w:hAnsi="Times New Roman"/>
        </w:rPr>
        <w:t>paper</w:t>
      </w:r>
      <w:r w:rsidRPr="0064560B">
        <w:rPr>
          <w:rFonts w:ascii="Times New Roman" w:hAnsi="Times New Roman"/>
        </w:rPr>
        <w:t xml:space="preserve"> stud</w:t>
      </w:r>
      <w:r w:rsidR="00664898" w:rsidRPr="0064560B">
        <w:rPr>
          <w:rFonts w:ascii="Times New Roman" w:hAnsi="Times New Roman"/>
        </w:rPr>
        <w:t>ies</w:t>
      </w:r>
      <w:r w:rsidRPr="0064560B">
        <w:rPr>
          <w:rFonts w:ascii="Times New Roman" w:hAnsi="Times New Roman"/>
        </w:rPr>
        <w:t xml:space="preserve"> the relation between long and short term cost curves</w:t>
      </w:r>
      <w:r w:rsidR="005A491B" w:rsidRPr="0064560B">
        <w:rPr>
          <w:rFonts w:ascii="Times New Roman" w:hAnsi="Times New Roman"/>
        </w:rPr>
        <w:t xml:space="preserve">. More precisely, </w:t>
      </w:r>
      <w:r w:rsidRPr="0064560B">
        <w:rPr>
          <w:rFonts w:ascii="Times New Roman" w:hAnsi="Times New Roman"/>
        </w:rPr>
        <w:t xml:space="preserve">how </w:t>
      </w:r>
      <w:r w:rsidR="00664898" w:rsidRPr="0064560B">
        <w:rPr>
          <w:rFonts w:ascii="Times New Roman" w:hAnsi="Times New Roman"/>
        </w:rPr>
        <w:t xml:space="preserve">the </w:t>
      </w:r>
      <w:r w:rsidRPr="0064560B">
        <w:rPr>
          <w:rFonts w:ascii="Times New Roman" w:hAnsi="Times New Roman"/>
        </w:rPr>
        <w:t xml:space="preserve">short term </w:t>
      </w:r>
      <w:r w:rsidR="004A5031" w:rsidRPr="0064560B">
        <w:rPr>
          <w:rFonts w:ascii="Times New Roman" w:hAnsi="Times New Roman"/>
        </w:rPr>
        <w:t>pricing mechanism</w:t>
      </w:r>
      <w:r w:rsidR="00664898" w:rsidRPr="0064560B">
        <w:rPr>
          <w:rFonts w:ascii="Times New Roman" w:hAnsi="Times New Roman"/>
        </w:rPr>
        <w:t>,</w:t>
      </w:r>
      <w:r w:rsidR="005A491B" w:rsidRPr="0064560B">
        <w:rPr>
          <w:rFonts w:ascii="Times New Roman" w:hAnsi="Times New Roman"/>
        </w:rPr>
        <w:t xml:space="preserve"> in presence of different quasi-fixed costs</w:t>
      </w:r>
      <w:r w:rsidR="00664898" w:rsidRPr="0064560B">
        <w:rPr>
          <w:rFonts w:ascii="Times New Roman" w:hAnsi="Times New Roman"/>
        </w:rPr>
        <w:t>,</w:t>
      </w:r>
      <w:r w:rsidRPr="0064560B">
        <w:rPr>
          <w:rFonts w:ascii="Times New Roman" w:hAnsi="Times New Roman"/>
        </w:rPr>
        <w:t xml:space="preserve"> impacts on the long term </w:t>
      </w:r>
      <w:r w:rsidR="006E074C" w:rsidRPr="0064560B">
        <w:rPr>
          <w:rFonts w:ascii="Times New Roman" w:hAnsi="Times New Roman"/>
        </w:rPr>
        <w:t xml:space="preserve">investment </w:t>
      </w:r>
      <w:r w:rsidRPr="0064560B">
        <w:rPr>
          <w:rFonts w:ascii="Times New Roman" w:hAnsi="Times New Roman"/>
        </w:rPr>
        <w:t xml:space="preserve">decision. The case studied is the </w:t>
      </w:r>
      <w:r w:rsidR="004A5031" w:rsidRPr="0064560B">
        <w:rPr>
          <w:rFonts w:ascii="Times New Roman" w:hAnsi="Times New Roman"/>
        </w:rPr>
        <w:t xml:space="preserve">market design </w:t>
      </w:r>
      <w:r w:rsidRPr="0064560B">
        <w:rPr>
          <w:rFonts w:ascii="Times New Roman" w:hAnsi="Times New Roman"/>
        </w:rPr>
        <w:t xml:space="preserve">of electricity industry. </w:t>
      </w:r>
      <w:r w:rsidR="00F21A23" w:rsidRPr="0064560B">
        <w:rPr>
          <w:rFonts w:ascii="Times New Roman" w:hAnsi="Times New Roman"/>
        </w:rPr>
        <w:t xml:space="preserve">The impact of the indivisibility of power plants generation in the long run have been well documented. However, in the </w:t>
      </w:r>
      <w:r w:rsidR="00D82613" w:rsidRPr="0064560B">
        <w:rPr>
          <w:rFonts w:ascii="Times New Roman" w:hAnsi="Times New Roman"/>
        </w:rPr>
        <w:t>short run it is frequent to assume that costs are linear. However, in fact, they are not. The startup costs of power plants are key elements in the decision of plants to generate. As many of electricity markets are hourly based, the questions regarding how to allocate the startup costs become an issue. The star</w:t>
      </w:r>
      <w:r w:rsidR="00C92137" w:rsidRPr="0064560B">
        <w:rPr>
          <w:rFonts w:ascii="Times New Roman" w:hAnsi="Times New Roman"/>
        </w:rPr>
        <w:t>tup costs can be seen as a quasi</w:t>
      </w:r>
      <w:r w:rsidR="00D82613" w:rsidRPr="0064560B">
        <w:rPr>
          <w:rFonts w:ascii="Times New Roman" w:hAnsi="Times New Roman"/>
        </w:rPr>
        <w:t>-fixed cost, it means, if there is no production it does not exit. However, for producing the first unit of electricity it is necessary to pay the full startup cost.</w:t>
      </w:r>
    </w:p>
    <w:p w:rsidR="00C92137" w:rsidRPr="0064560B" w:rsidRDefault="00CF3CD3" w:rsidP="006935D9">
      <w:pPr>
        <w:pStyle w:val="Abstract"/>
        <w:rPr>
          <w:rFonts w:ascii="Times New Roman" w:hAnsi="Times New Roman"/>
        </w:rPr>
      </w:pPr>
      <w:r w:rsidRPr="0064560B">
        <w:rPr>
          <w:rFonts w:ascii="Times New Roman" w:hAnsi="Times New Roman"/>
        </w:rPr>
        <w:t>The quasi-fixed cost can be seen as kind of indivisibility and raise again the non-convexity problem. The presence of quasi-fixed cost can be found in different industries, what makes electricity an especially interesting case is the way market is organized. The market designs for electricity industry liberalization in the 1990´s was based on auctions mechanisms. In this context, electricity market and problems raised in this design can be particularly of interest as it allows to study pricing problems in a</w:t>
      </w:r>
      <w:r w:rsidR="00875529" w:rsidRPr="0064560B">
        <w:rPr>
          <w:rFonts w:ascii="Times New Roman" w:hAnsi="Times New Roman"/>
        </w:rPr>
        <w:t>n organized</w:t>
      </w:r>
      <w:r w:rsidRPr="0064560B">
        <w:rPr>
          <w:rFonts w:ascii="Times New Roman" w:hAnsi="Times New Roman"/>
        </w:rPr>
        <w:t xml:space="preserve"> market designed to work </w:t>
      </w:r>
      <w:r w:rsidR="00875529" w:rsidRPr="0064560B">
        <w:rPr>
          <w:rFonts w:ascii="Times New Roman" w:hAnsi="Times New Roman"/>
        </w:rPr>
        <w:t>as close as possible</w:t>
      </w:r>
      <w:r w:rsidRPr="0064560B">
        <w:rPr>
          <w:rFonts w:ascii="Times New Roman" w:hAnsi="Times New Roman"/>
        </w:rPr>
        <w:t xml:space="preserve"> to market as defined by microeconomics text books. In this context, the analysis of the impact of the quasi-</w:t>
      </w:r>
      <w:r w:rsidR="00875529" w:rsidRPr="0064560B">
        <w:rPr>
          <w:rFonts w:ascii="Times New Roman" w:hAnsi="Times New Roman"/>
        </w:rPr>
        <w:t>fixed costs in the auction pricing system, for example, can be isolated from other elements observed in less organized markets.</w:t>
      </w:r>
    </w:p>
    <w:p w:rsidR="005A3D54" w:rsidRPr="0064560B" w:rsidRDefault="00C92137" w:rsidP="005A3D54">
      <w:pPr>
        <w:pStyle w:val="Abstract"/>
        <w:rPr>
          <w:rFonts w:ascii="Times New Roman" w:hAnsi="Times New Roman"/>
        </w:rPr>
      </w:pPr>
      <w:r w:rsidRPr="0064560B">
        <w:rPr>
          <w:rFonts w:ascii="Times New Roman" w:hAnsi="Times New Roman"/>
        </w:rPr>
        <w:t>In this context we can assume that electricity market is an organized market, with a kind of homogenous product,</w:t>
      </w:r>
      <w:r w:rsidR="005A3D54" w:rsidRPr="0064560B">
        <w:rPr>
          <w:rFonts w:ascii="Times New Roman" w:hAnsi="Times New Roman"/>
        </w:rPr>
        <w:t xml:space="preserve"> however, with</w:t>
      </w:r>
      <w:r w:rsidRPr="0064560B">
        <w:rPr>
          <w:rFonts w:ascii="Times New Roman" w:hAnsi="Times New Roman"/>
        </w:rPr>
        <w:t xml:space="preserve"> different production function</w:t>
      </w:r>
      <w:r w:rsidR="005A3D54" w:rsidRPr="0064560B">
        <w:rPr>
          <w:rFonts w:ascii="Times New Roman" w:hAnsi="Times New Roman"/>
        </w:rPr>
        <w:t xml:space="preserve"> and</w:t>
      </w:r>
      <w:r w:rsidRPr="0064560B">
        <w:rPr>
          <w:rFonts w:ascii="Times New Roman" w:hAnsi="Times New Roman"/>
        </w:rPr>
        <w:t xml:space="preserve"> a quite variable and volatile demand.</w:t>
      </w:r>
      <w:r w:rsidR="005A3D54" w:rsidRPr="0064560B">
        <w:rPr>
          <w:rFonts w:ascii="Times New Roman" w:hAnsi="Times New Roman"/>
        </w:rPr>
        <w:t xml:space="preserve"> The questions regarding how to coordinate the short run decision (what power plant should generate) and the long run decision (what technology should be added) are key elements in this industry. Historically, the liberalization on electricity industries around the world have been looking for a pricing mechanism able to do it. And so, market design become a key element. </w:t>
      </w:r>
    </w:p>
    <w:p w:rsidR="00BB3A3A" w:rsidRPr="0064560B" w:rsidRDefault="008D115A" w:rsidP="00BB3A3A">
      <w:pPr>
        <w:pStyle w:val="Abstract"/>
        <w:rPr>
          <w:rFonts w:ascii="Times New Roman" w:hAnsi="Times New Roman"/>
        </w:rPr>
      </w:pPr>
      <w:r w:rsidRPr="0064560B">
        <w:rPr>
          <w:rFonts w:ascii="Times New Roman" w:hAnsi="Times New Roman"/>
        </w:rPr>
        <w:t xml:space="preserve">As consequence of the complexity electricity </w:t>
      </w:r>
      <w:r w:rsidR="003C72B5" w:rsidRPr="0064560B">
        <w:rPr>
          <w:rFonts w:ascii="Times New Roman" w:hAnsi="Times New Roman"/>
        </w:rPr>
        <w:t>industry</w:t>
      </w:r>
      <w:r w:rsidRPr="0064560B">
        <w:rPr>
          <w:rFonts w:ascii="Times New Roman" w:hAnsi="Times New Roman"/>
        </w:rPr>
        <w:t>, s</w:t>
      </w:r>
      <w:r w:rsidR="00BB3A3A" w:rsidRPr="0064560B">
        <w:rPr>
          <w:rFonts w:ascii="Times New Roman" w:hAnsi="Times New Roman"/>
        </w:rPr>
        <w:t>everal power systems around the world</w:t>
      </w:r>
      <w:r w:rsidRPr="0064560B">
        <w:rPr>
          <w:rFonts w:ascii="Times New Roman" w:hAnsi="Times New Roman"/>
        </w:rPr>
        <w:t xml:space="preserve"> </w:t>
      </w:r>
      <w:r w:rsidR="00BB3A3A" w:rsidRPr="0064560B">
        <w:rPr>
          <w:rFonts w:ascii="Times New Roman" w:hAnsi="Times New Roman"/>
        </w:rPr>
        <w:t xml:space="preserve">have opted for using a </w:t>
      </w:r>
      <w:r w:rsidR="000538FF" w:rsidRPr="0064560B">
        <w:rPr>
          <w:rFonts w:ascii="Times New Roman" w:hAnsi="Times New Roman"/>
        </w:rPr>
        <w:t>combinatorial</w:t>
      </w:r>
      <w:r w:rsidR="00BB3A3A" w:rsidRPr="0064560B">
        <w:rPr>
          <w:rFonts w:ascii="Times New Roman" w:hAnsi="Times New Roman"/>
        </w:rPr>
        <w:t xml:space="preserve"> auction for their day-ahead market</w:t>
      </w:r>
      <w:r w:rsidR="004A5031" w:rsidRPr="0064560B">
        <w:rPr>
          <w:rStyle w:val="FootnoteReference"/>
          <w:rFonts w:ascii="Times New Roman" w:hAnsi="Times New Roman"/>
        </w:rPr>
        <w:footnoteReference w:id="2"/>
      </w:r>
      <w:r w:rsidR="00BB3A3A" w:rsidRPr="0064560B">
        <w:rPr>
          <w:rFonts w:ascii="Times New Roman" w:hAnsi="Times New Roman"/>
        </w:rPr>
        <w:t xml:space="preserve">. </w:t>
      </w:r>
      <w:r w:rsidR="00971866" w:rsidRPr="0064560B">
        <w:rPr>
          <w:rFonts w:ascii="Times New Roman" w:hAnsi="Times New Roman"/>
        </w:rPr>
        <w:t>T</w:t>
      </w:r>
      <w:r w:rsidR="00BB3A3A" w:rsidRPr="0064560B">
        <w:rPr>
          <w:rFonts w:ascii="Times New Roman" w:hAnsi="Times New Roman"/>
        </w:rPr>
        <w:t>heir market operator receives bids for different concepts, such as variable cost, start-up cost, no-load cost, etc., and some kind of optimization procedure determine</w:t>
      </w:r>
      <w:r w:rsidR="00971866" w:rsidRPr="0064560B">
        <w:rPr>
          <w:rFonts w:ascii="Times New Roman" w:hAnsi="Times New Roman"/>
        </w:rPr>
        <w:t>s</w:t>
      </w:r>
      <w:r w:rsidR="00BB3A3A" w:rsidRPr="0064560B">
        <w:rPr>
          <w:rFonts w:ascii="Times New Roman" w:hAnsi="Times New Roman"/>
        </w:rPr>
        <w:t xml:space="preserve"> the accepted bids. Well-known marginal pricing </w:t>
      </w:r>
      <w:r w:rsidR="00971866" w:rsidRPr="0064560B">
        <w:rPr>
          <w:rFonts w:ascii="Times New Roman" w:hAnsi="Times New Roman"/>
        </w:rPr>
        <w:t>principles</w:t>
      </w:r>
      <w:r w:rsidR="00BB3A3A" w:rsidRPr="0064560B">
        <w:rPr>
          <w:rFonts w:ascii="Times New Roman" w:hAnsi="Times New Roman"/>
        </w:rPr>
        <w:t xml:space="preserve"> allow the auctioneer to compute prices for each hour using the results of this optimization tool, if the model is linear. However, when the model is not convex, the previous results cannot be extended in a straightforward way. Unfortunately, the discrete variables related, among others, to start-ups introduce non-convexities in the auction problem and, therefore, there is no consensus on how to compute prices in a power auction that explicitly represents unit commitment decisions. </w:t>
      </w:r>
      <w:r w:rsidRPr="0064560B">
        <w:rPr>
          <w:rFonts w:ascii="Times New Roman" w:hAnsi="Times New Roman"/>
        </w:rPr>
        <w:t>In practice, market designers adopted different rule of thumb solutions, as</w:t>
      </w:r>
      <w:r w:rsidR="003C72B5" w:rsidRPr="0064560B">
        <w:rPr>
          <w:rFonts w:ascii="Times New Roman" w:hAnsi="Times New Roman"/>
        </w:rPr>
        <w:t xml:space="preserve"> cost linearization</w:t>
      </w:r>
      <w:r w:rsidRPr="0064560B">
        <w:rPr>
          <w:rFonts w:ascii="Times New Roman" w:hAnsi="Times New Roman"/>
        </w:rPr>
        <w:t xml:space="preserve">. This article shows how the different pricing solutions </w:t>
      </w:r>
      <w:r w:rsidR="002E301E" w:rsidRPr="0064560B">
        <w:rPr>
          <w:rFonts w:ascii="Times New Roman" w:hAnsi="Times New Roman"/>
        </w:rPr>
        <w:t xml:space="preserve">to </w:t>
      </w:r>
      <w:r w:rsidR="002E301E" w:rsidRPr="0064560B">
        <w:rPr>
          <w:rFonts w:ascii="Times New Roman" w:hAnsi="Times New Roman"/>
        </w:rPr>
        <w:lastRenderedPageBreak/>
        <w:t xml:space="preserve">deal with quasi-fixed cost </w:t>
      </w:r>
      <w:r w:rsidRPr="0064560B">
        <w:rPr>
          <w:rFonts w:ascii="Times New Roman" w:hAnsi="Times New Roman"/>
        </w:rPr>
        <w:t>impact on long run decisions</w:t>
      </w:r>
      <w:r w:rsidR="002E301E" w:rsidRPr="0064560B">
        <w:rPr>
          <w:rFonts w:ascii="Times New Roman" w:hAnsi="Times New Roman"/>
        </w:rPr>
        <w:t xml:space="preserve">. This article also </w:t>
      </w:r>
      <w:r w:rsidRPr="0064560B">
        <w:rPr>
          <w:rFonts w:ascii="Times New Roman" w:hAnsi="Times New Roman"/>
        </w:rPr>
        <w:t>propose a theore</w:t>
      </w:r>
      <w:r w:rsidR="002D6122" w:rsidRPr="0064560B">
        <w:rPr>
          <w:rFonts w:ascii="Times New Roman" w:hAnsi="Times New Roman"/>
        </w:rPr>
        <w:t xml:space="preserve">tical solution to minimize </w:t>
      </w:r>
      <w:r w:rsidRPr="0064560B">
        <w:rPr>
          <w:rFonts w:ascii="Times New Roman" w:hAnsi="Times New Roman"/>
        </w:rPr>
        <w:t>distortions</w:t>
      </w:r>
      <w:r w:rsidR="002D6122" w:rsidRPr="0064560B">
        <w:rPr>
          <w:rFonts w:ascii="Times New Roman" w:hAnsi="Times New Roman"/>
        </w:rPr>
        <w:t xml:space="preserve"> in the </w:t>
      </w:r>
      <w:r w:rsidR="002E301E" w:rsidRPr="0064560B">
        <w:rPr>
          <w:rFonts w:ascii="Times New Roman" w:hAnsi="Times New Roman"/>
        </w:rPr>
        <w:t xml:space="preserve">power plant </w:t>
      </w:r>
      <w:r w:rsidR="002D6122" w:rsidRPr="0064560B">
        <w:rPr>
          <w:rFonts w:ascii="Times New Roman" w:hAnsi="Times New Roman"/>
        </w:rPr>
        <w:t>investment incentives</w:t>
      </w:r>
      <w:r w:rsidRPr="0064560B">
        <w:rPr>
          <w:rFonts w:ascii="Times New Roman" w:hAnsi="Times New Roman"/>
        </w:rPr>
        <w:t xml:space="preserve">.  </w:t>
      </w:r>
      <w:r w:rsidR="00BB3A3A" w:rsidRPr="0064560B">
        <w:rPr>
          <w:rFonts w:ascii="Times New Roman" w:hAnsi="Times New Roman"/>
        </w:rPr>
        <w:t xml:space="preserve">  </w:t>
      </w:r>
    </w:p>
    <w:p w:rsidR="00D94275" w:rsidRPr="0064560B" w:rsidRDefault="00176295" w:rsidP="00176295">
      <w:pPr>
        <w:pStyle w:val="Abstract"/>
        <w:rPr>
          <w:rFonts w:ascii="Times New Roman" w:hAnsi="Times New Roman"/>
        </w:rPr>
      </w:pPr>
      <w:r w:rsidRPr="0064560B">
        <w:rPr>
          <w:rFonts w:ascii="Times New Roman" w:hAnsi="Times New Roman"/>
        </w:rPr>
        <w:t>We first set up the frame</w:t>
      </w:r>
      <w:r w:rsidR="00D94275" w:rsidRPr="0064560B">
        <w:rPr>
          <w:rFonts w:ascii="Times New Roman" w:hAnsi="Times New Roman"/>
        </w:rPr>
        <w:t xml:space="preserve"> for our analysis</w:t>
      </w:r>
      <w:r w:rsidRPr="0064560B">
        <w:rPr>
          <w:rFonts w:ascii="Times New Roman" w:hAnsi="Times New Roman"/>
        </w:rPr>
        <w:t xml:space="preserve">, in section </w:t>
      </w:r>
      <w:r w:rsidR="003C72B5" w:rsidRPr="0064560B">
        <w:rPr>
          <w:rFonts w:ascii="Times New Roman" w:hAnsi="Times New Roman"/>
        </w:rPr>
        <w:t>2</w:t>
      </w:r>
      <w:r w:rsidR="00D94275" w:rsidRPr="0064560B">
        <w:rPr>
          <w:rFonts w:ascii="Times New Roman" w:hAnsi="Times New Roman"/>
        </w:rPr>
        <w:t xml:space="preserve">, focusing on the price in its role as a tool to clear the auction. </w:t>
      </w:r>
      <w:r w:rsidRPr="0064560B">
        <w:rPr>
          <w:rFonts w:ascii="Times New Roman" w:hAnsi="Times New Roman"/>
        </w:rPr>
        <w:t>W</w:t>
      </w:r>
      <w:r w:rsidR="00D94275" w:rsidRPr="0064560B">
        <w:rPr>
          <w:rFonts w:ascii="Times New Roman" w:hAnsi="Times New Roman"/>
        </w:rPr>
        <w:t xml:space="preserve">e describe the logic for price computation in optimization-cleared markets and show that </w:t>
      </w:r>
      <w:r w:rsidRPr="0064560B">
        <w:rPr>
          <w:rFonts w:ascii="Times New Roman" w:hAnsi="Times New Roman"/>
        </w:rPr>
        <w:t xml:space="preserve">the </w:t>
      </w:r>
      <w:r w:rsidR="00D94275" w:rsidRPr="0064560B">
        <w:rPr>
          <w:rFonts w:ascii="Times New Roman" w:hAnsi="Times New Roman"/>
        </w:rPr>
        <w:t xml:space="preserve">price </w:t>
      </w:r>
      <w:r w:rsidRPr="0064560B">
        <w:rPr>
          <w:rFonts w:ascii="Times New Roman" w:hAnsi="Times New Roman"/>
        </w:rPr>
        <w:t>is</w:t>
      </w:r>
      <w:r w:rsidR="00D94275" w:rsidRPr="0064560B">
        <w:rPr>
          <w:rFonts w:ascii="Times New Roman" w:hAnsi="Times New Roman"/>
        </w:rPr>
        <w:t xml:space="preserve"> obtained as the marginal cost for supplying an additional megawatt of demand. </w:t>
      </w:r>
      <w:r w:rsidRPr="0064560B">
        <w:rPr>
          <w:rFonts w:ascii="Times New Roman" w:hAnsi="Times New Roman"/>
        </w:rPr>
        <w:t>The difficulty appears</w:t>
      </w:r>
      <w:r w:rsidR="00D94275" w:rsidRPr="0064560B">
        <w:rPr>
          <w:rFonts w:ascii="Times New Roman" w:hAnsi="Times New Roman"/>
        </w:rPr>
        <w:t xml:space="preserve"> when integer variables a</w:t>
      </w:r>
      <w:r w:rsidRPr="0064560B">
        <w:rPr>
          <w:rFonts w:ascii="Times New Roman" w:hAnsi="Times New Roman"/>
        </w:rPr>
        <w:t>re included in the optimization. T</w:t>
      </w:r>
      <w:r w:rsidR="00D94275" w:rsidRPr="0064560B">
        <w:rPr>
          <w:rFonts w:ascii="Times New Roman" w:hAnsi="Times New Roman"/>
        </w:rPr>
        <w:t xml:space="preserve">he problem becomes non-convex, </w:t>
      </w:r>
      <w:r w:rsidRPr="0064560B">
        <w:rPr>
          <w:rFonts w:ascii="Times New Roman" w:hAnsi="Times New Roman"/>
        </w:rPr>
        <w:t>hence</w:t>
      </w:r>
      <w:r w:rsidR="00D94275" w:rsidRPr="0064560B">
        <w:rPr>
          <w:rFonts w:ascii="Times New Roman" w:hAnsi="Times New Roman"/>
        </w:rPr>
        <w:t xml:space="preserve"> non-derivable, </w:t>
      </w:r>
      <w:r w:rsidRPr="0064560B">
        <w:rPr>
          <w:rFonts w:ascii="Times New Roman" w:hAnsi="Times New Roman"/>
        </w:rPr>
        <w:t>so</w:t>
      </w:r>
      <w:r w:rsidR="00D94275" w:rsidRPr="0064560B">
        <w:rPr>
          <w:rFonts w:ascii="Times New Roman" w:hAnsi="Times New Roman"/>
        </w:rPr>
        <w:t xml:space="preserve"> the marginal cost is ill-defined. This is the case when start-up and shut-down variables are considered explicitly, </w:t>
      </w:r>
      <w:r w:rsidRPr="0064560B">
        <w:rPr>
          <w:rFonts w:ascii="Times New Roman" w:hAnsi="Times New Roman"/>
        </w:rPr>
        <w:t>as</w:t>
      </w:r>
      <w:r w:rsidR="00D94275" w:rsidRPr="0064560B">
        <w:rPr>
          <w:rFonts w:ascii="Times New Roman" w:hAnsi="Times New Roman"/>
        </w:rPr>
        <w:t xml:space="preserve"> both of them are discrete decisions which can be either one or zero, but not any intermediate value. </w:t>
      </w:r>
      <w:r w:rsidRPr="0064560B">
        <w:rPr>
          <w:rFonts w:ascii="Times New Roman" w:hAnsi="Times New Roman"/>
        </w:rPr>
        <w:t>We</w:t>
      </w:r>
      <w:r w:rsidR="00D94275" w:rsidRPr="0064560B">
        <w:rPr>
          <w:rFonts w:ascii="Times New Roman" w:hAnsi="Times New Roman"/>
        </w:rPr>
        <w:t xml:space="preserve"> describe the problems that arise in this context, as well as some solutions adopted in practice or proposed in the literature,</w:t>
      </w:r>
      <w:r w:rsidR="00AE687E" w:rsidRPr="0064560B">
        <w:rPr>
          <w:rFonts w:ascii="Times New Roman" w:hAnsi="Times New Roman"/>
        </w:rPr>
        <w:t xml:space="preserve"> </w:t>
      </w:r>
      <w:r w:rsidR="00905114" w:rsidRPr="0064560B">
        <w:rPr>
          <w:rFonts w:ascii="Times New Roman" w:hAnsi="Times New Roman"/>
        </w:rPr>
        <w:fldChar w:fldCharType="begin"/>
      </w:r>
      <w:r w:rsidR="003000F0" w:rsidRPr="0064560B">
        <w:rPr>
          <w:rFonts w:ascii="Times New Roman" w:hAnsi="Times New Roman"/>
        </w:rPr>
        <w:instrText xml:space="preserve"> ADDIN ZOTERO_ITEM CSL_CITATION {"citationID":"2g7cdrdk3m","properties":{"formattedCitation":"{\\rtf (O\\uc0\\u8217{}Neill et al., 2005)}","plainCitation":"(O’Neill et al., 2005)"},"citationItems":[{"id":136,"uris":["http://zotero.org/users/local/HK6lW3fP/items/TWEMBK3J"],"uri":["http://zotero.org/users/local/HK6lW3fP/items/TWEMBK3J"],"itemData":{"id":136,"type":"article-journal","title":"Efficient market-clearing prices in markets with nonconvexities","container-title":"European Journal of Operational Research","page":"269-285","volume":"164","issue":"1","source":"ScienceDirect","abstract":"This paper addresses the existence of market clearing prices and the economic interpretation of strong duality for integer programs in the economic analysis of markets with nonconvexities (indivisibilities). Electric power markets in which nonconvexities arise from the operating characteristics of generators motivate our analysis; however, the results presented here are general and can be applied to other markets in which nonconvexities are important. We show that the optimal solution to a linear program that solves the mixed integer program has dual variables that: (1) have the traditional economic interpretation as prices; (2) explicitly price integral activities; and (3) clear the market in the presence of nonconvexities. We then show how this methodology can be used to interpret the solutions to nonconvex problems such as the problem discussed by Scarf [Journal of Economic Perspectives 8(4) (1994) 111].","ISSN":"0377-2217","journalAbbreviation":"European Journal of Operational Research","author":[{"family":"O'Neill","given":"Richard P."},{"family":"Sotkiewicz","given":"Paul M."},{"family":"Hobbs","given":"Benjamin F."},{"family":"Rothkopf","given":"Michael H."},{"family":"Stewart Jr.","given":"William R."}],"issued":{"date-parts":[["2005",7,1]]},"accessed":{"date-parts":[["2015",1,19]],"season":"21:55:35"}}}],"schema":"https://github.com/citation-style-language/schema/raw/master/csl-citation.json"} </w:instrText>
      </w:r>
      <w:r w:rsidR="00905114" w:rsidRPr="0064560B">
        <w:rPr>
          <w:rFonts w:ascii="Times New Roman" w:hAnsi="Times New Roman"/>
        </w:rPr>
        <w:fldChar w:fldCharType="separate"/>
      </w:r>
      <w:r w:rsidR="003000F0" w:rsidRPr="0064560B">
        <w:rPr>
          <w:rFonts w:ascii="Times New Roman" w:hAnsi="Times New Roman"/>
          <w:szCs w:val="24"/>
        </w:rPr>
        <w:t>(O’Neill et al., 2005)</w:t>
      </w:r>
      <w:r w:rsidR="00905114" w:rsidRPr="0064560B">
        <w:rPr>
          <w:rFonts w:ascii="Times New Roman" w:hAnsi="Times New Roman"/>
        </w:rPr>
        <w:fldChar w:fldCharType="end"/>
      </w:r>
      <w:r w:rsidR="00D94275" w:rsidRPr="0064560B">
        <w:rPr>
          <w:rFonts w:ascii="Times New Roman" w:hAnsi="Times New Roman"/>
        </w:rPr>
        <w:t xml:space="preserve">, </w:t>
      </w:r>
      <w:r w:rsidR="00905114" w:rsidRPr="0064560B">
        <w:rPr>
          <w:rFonts w:ascii="Times New Roman" w:hAnsi="Times New Roman"/>
        </w:rPr>
        <w:fldChar w:fldCharType="begin"/>
      </w:r>
      <w:r w:rsidR="003000F0" w:rsidRPr="0064560B">
        <w:rPr>
          <w:rFonts w:ascii="Times New Roman" w:hAnsi="Times New Roman"/>
        </w:rPr>
        <w:instrText xml:space="preserve"> ADDIN ZOTERO_ITEM CSL_CITATION {"citationID":"yDOFNdaE","properties":{"formattedCitation":"(Hogan and Ring, 2003)","plainCitation":"(Hogan and Ring, 2003)"},"citationItems":[{"id":138,"uris":["http://zotero.org/users/local/HK6lW3fP/items/3GXHF5S5"],"uri":["http://zotero.org/users/local/HK6lW3fP/items/3GXHF5S5"],"itemData":{"id":138,"type":"article-journal","title":"On minimum-uplift pricing for electricity markets","container-title":"Working Paper, Harvard Electricity Policy Group","source":"Google Scholar","author":[{"family":"Hogan","given":"William W."},{"family":"Ring","given":"Brendan J."}],"issued":{"date-parts":[["2003"]]}}}],"schema":"https://github.com/citation-style-language/schema/raw/master/csl-citation.json"} </w:instrText>
      </w:r>
      <w:r w:rsidR="00905114" w:rsidRPr="0064560B">
        <w:rPr>
          <w:rFonts w:ascii="Times New Roman" w:hAnsi="Times New Roman"/>
        </w:rPr>
        <w:fldChar w:fldCharType="separate"/>
      </w:r>
      <w:r w:rsidR="003000F0" w:rsidRPr="0064560B">
        <w:rPr>
          <w:rFonts w:ascii="Times New Roman" w:hAnsi="Times New Roman"/>
        </w:rPr>
        <w:t>(Hogan and Ring, 2003)</w:t>
      </w:r>
      <w:r w:rsidR="00905114" w:rsidRPr="0064560B">
        <w:rPr>
          <w:rFonts w:ascii="Times New Roman" w:hAnsi="Times New Roman"/>
        </w:rPr>
        <w:fldChar w:fldCharType="end"/>
      </w:r>
      <w:r w:rsidR="00D94275" w:rsidRPr="0064560B">
        <w:rPr>
          <w:rFonts w:ascii="Times New Roman" w:hAnsi="Times New Roman"/>
        </w:rPr>
        <w:t xml:space="preserve">. The main conclusion is that there is no </w:t>
      </w:r>
      <w:r w:rsidR="00BA5439" w:rsidRPr="0064560B">
        <w:rPr>
          <w:rFonts w:ascii="Times New Roman" w:hAnsi="Times New Roman"/>
        </w:rPr>
        <w:t xml:space="preserve">linear </w:t>
      </w:r>
      <w:r w:rsidR="00D94275" w:rsidRPr="0064560B">
        <w:rPr>
          <w:rFonts w:ascii="Times New Roman" w:hAnsi="Times New Roman"/>
        </w:rPr>
        <w:t xml:space="preserve">price that efficiently clears the market and if we allow some flexibility to cope with this problem, then almost any price can be a reasonable solution to the short-term equilibrium.       </w:t>
      </w:r>
    </w:p>
    <w:p w:rsidR="00D94275" w:rsidRPr="0064560B" w:rsidRDefault="00D94275" w:rsidP="00D94275">
      <w:pPr>
        <w:pStyle w:val="Abstract"/>
        <w:rPr>
          <w:rFonts w:ascii="Times New Roman" w:hAnsi="Times New Roman"/>
        </w:rPr>
      </w:pPr>
      <w:r w:rsidRPr="0064560B">
        <w:rPr>
          <w:rFonts w:ascii="Times New Roman" w:hAnsi="Times New Roman"/>
        </w:rPr>
        <w:t>The rest of the paper adopts another point of view and focuses on the price in its role as long-term signal for investment in new generation capacity</w:t>
      </w:r>
      <w:r w:rsidR="00B60682" w:rsidRPr="0064560B">
        <w:rPr>
          <w:rFonts w:ascii="Times New Roman" w:hAnsi="Times New Roman"/>
        </w:rPr>
        <w:t xml:space="preserve">, pursuing the strategy developed in </w:t>
      </w:r>
      <w:r w:rsidR="00905114" w:rsidRPr="0064560B">
        <w:rPr>
          <w:rFonts w:ascii="Times New Roman" w:hAnsi="Times New Roman"/>
        </w:rPr>
        <w:fldChar w:fldCharType="begin"/>
      </w:r>
      <w:r w:rsidR="00B60682" w:rsidRPr="0064560B">
        <w:rPr>
          <w:rFonts w:ascii="Times New Roman" w:hAnsi="Times New Roman"/>
        </w:rPr>
        <w:instrText xml:space="preserve"> ADDIN ZOTERO_ITEM CSL_CITATION {"citationID":"nufu6c57p","properties":{"formattedCitation":"(Vazquez, 2003)","plainCitation":"(Vazquez, 2003)"},"citationItems":[{"id":169,"uris":["http://zotero.org/users/local/HK6lW3fP/items/MWRUBT2S"],"uri":["http://zotero.org/users/local/HK6lW3fP/items/MWRUBT2S"],"itemData":{"id":169,"type":"article-journal","title":"Modelos de casación de ofertas en mercados eléctricos","container-title":"Tesis Doctoral. Universidad Pontificia Comillas, Madrid","source":"Google Scholar","author":[{"family":"Vazquez","given":"Carlos"}],"issued":{"date-parts":[["2003"]]}}}],"schema":"https://github.com/citation-style-language/schema/raw/master/csl-citation.json"} </w:instrText>
      </w:r>
      <w:r w:rsidR="00905114" w:rsidRPr="0064560B">
        <w:rPr>
          <w:rFonts w:ascii="Times New Roman" w:hAnsi="Times New Roman"/>
        </w:rPr>
        <w:fldChar w:fldCharType="separate"/>
      </w:r>
      <w:r w:rsidR="00B60682" w:rsidRPr="0064560B">
        <w:rPr>
          <w:rFonts w:ascii="Times New Roman" w:hAnsi="Times New Roman"/>
        </w:rPr>
        <w:t>(Vazquez, 2003)</w:t>
      </w:r>
      <w:r w:rsidR="00905114" w:rsidRPr="0064560B">
        <w:rPr>
          <w:rFonts w:ascii="Times New Roman" w:hAnsi="Times New Roman"/>
        </w:rPr>
        <w:fldChar w:fldCharType="end"/>
      </w:r>
      <w:r w:rsidRPr="0064560B">
        <w:rPr>
          <w:rFonts w:ascii="Times New Roman" w:hAnsi="Times New Roman"/>
        </w:rPr>
        <w:t>. The different pricing alternatives that are feasible under the short-</w:t>
      </w:r>
      <w:r w:rsidR="00F8253F" w:rsidRPr="0064560B">
        <w:rPr>
          <w:rFonts w:ascii="Times New Roman" w:hAnsi="Times New Roman"/>
        </w:rPr>
        <w:t xml:space="preserve">term criteria of section </w:t>
      </w:r>
      <w:r w:rsidR="00905114" w:rsidRPr="0064560B">
        <w:rPr>
          <w:rFonts w:ascii="Times New Roman" w:hAnsi="Times New Roman"/>
        </w:rPr>
        <w:fldChar w:fldCharType="begin"/>
      </w:r>
      <w:r w:rsidR="00F8253F" w:rsidRPr="0064560B">
        <w:rPr>
          <w:rFonts w:ascii="Times New Roman" w:hAnsi="Times New Roman"/>
        </w:rPr>
        <w:instrText xml:space="preserve"> REF _Ref409458878 \r \h </w:instrText>
      </w:r>
      <w:r w:rsidR="0064560B">
        <w:rPr>
          <w:rFonts w:ascii="Times New Roman" w:hAnsi="Times New Roman"/>
        </w:rPr>
        <w:instrText xml:space="preserve"> \* MERGEFORMAT </w:instrText>
      </w:r>
      <w:r w:rsidR="00905114" w:rsidRPr="0064560B">
        <w:rPr>
          <w:rFonts w:ascii="Times New Roman" w:hAnsi="Times New Roman"/>
        </w:rPr>
      </w:r>
      <w:r w:rsidR="00905114" w:rsidRPr="0064560B">
        <w:rPr>
          <w:rFonts w:ascii="Times New Roman" w:hAnsi="Times New Roman"/>
        </w:rPr>
        <w:fldChar w:fldCharType="separate"/>
      </w:r>
      <w:r w:rsidR="00F8253F" w:rsidRPr="0064560B">
        <w:rPr>
          <w:rFonts w:ascii="Times New Roman" w:hAnsi="Times New Roman"/>
        </w:rPr>
        <w:t>3</w:t>
      </w:r>
      <w:r w:rsidR="00905114" w:rsidRPr="0064560B">
        <w:rPr>
          <w:rFonts w:ascii="Times New Roman" w:hAnsi="Times New Roman"/>
        </w:rPr>
        <w:fldChar w:fldCharType="end"/>
      </w:r>
      <w:r w:rsidRPr="0064560B">
        <w:rPr>
          <w:rFonts w:ascii="Times New Roman" w:hAnsi="Times New Roman"/>
        </w:rPr>
        <w:t xml:space="preserve"> provide, all of them, the same income to the marginal generator; they only differ from each other in the remuneration that infra-marginal units receive. This is the operational profit that should pay for the investment costs. Therefore, </w:t>
      </w:r>
      <w:r w:rsidR="00F8253F" w:rsidRPr="0064560B">
        <w:rPr>
          <w:rFonts w:ascii="Times New Roman" w:hAnsi="Times New Roman"/>
        </w:rPr>
        <w:t>the question that the paper</w:t>
      </w:r>
      <w:r w:rsidRPr="0064560B">
        <w:rPr>
          <w:rFonts w:ascii="Times New Roman" w:hAnsi="Times New Roman"/>
        </w:rPr>
        <w:t xml:space="preserve"> </w:t>
      </w:r>
      <w:r w:rsidR="00F8253F" w:rsidRPr="0064560B">
        <w:rPr>
          <w:rFonts w:ascii="Times New Roman" w:hAnsi="Times New Roman"/>
        </w:rPr>
        <w:t>answers</w:t>
      </w:r>
      <w:r w:rsidRPr="0064560B">
        <w:rPr>
          <w:rFonts w:ascii="Times New Roman" w:hAnsi="Times New Roman"/>
        </w:rPr>
        <w:t xml:space="preserve"> is which of the many possible pricing schemes provides incentives to the producers to build the optimal (cheapest) generation mix. We will </w:t>
      </w:r>
      <w:r w:rsidR="00F8253F" w:rsidRPr="0064560B">
        <w:rPr>
          <w:rFonts w:ascii="Times New Roman" w:hAnsi="Times New Roman"/>
        </w:rPr>
        <w:t>compare</w:t>
      </w:r>
      <w:r w:rsidRPr="0064560B">
        <w:rPr>
          <w:rFonts w:ascii="Times New Roman" w:hAnsi="Times New Roman"/>
        </w:rPr>
        <w:t xml:space="preserve"> the ideal (convex) case to the non-convex one, and will show that, when considering long-term signals, it is possible to derive a single optimal pricing rule, which is more efficient that any alternative design</w:t>
      </w:r>
      <w:r w:rsidR="00A37E71" w:rsidRPr="0064560B">
        <w:rPr>
          <w:rFonts w:ascii="Times New Roman" w:hAnsi="Times New Roman"/>
        </w:rPr>
        <w:t>,</w:t>
      </w:r>
      <w:r w:rsidR="00925027" w:rsidRPr="0064560B">
        <w:rPr>
          <w:rFonts w:ascii="Times New Roman" w:hAnsi="Times New Roman"/>
        </w:rPr>
        <w:t xml:space="preserve"> under the </w:t>
      </w:r>
      <w:r w:rsidR="00A37E71" w:rsidRPr="0064560B">
        <w:rPr>
          <w:rFonts w:ascii="Times New Roman" w:hAnsi="Times New Roman"/>
        </w:rPr>
        <w:t>frame</w:t>
      </w:r>
      <w:r w:rsidR="00925027" w:rsidRPr="0064560B">
        <w:rPr>
          <w:rFonts w:ascii="Times New Roman" w:hAnsi="Times New Roman"/>
        </w:rPr>
        <w:t xml:space="preserve"> considered</w:t>
      </w:r>
      <w:r w:rsidRPr="0064560B">
        <w:rPr>
          <w:rFonts w:ascii="Times New Roman" w:hAnsi="Times New Roman"/>
        </w:rPr>
        <w:t>.</w:t>
      </w:r>
    </w:p>
    <w:p w:rsidR="00AA7A28" w:rsidRPr="0064560B" w:rsidRDefault="00AA7A28" w:rsidP="00D94275">
      <w:pPr>
        <w:pStyle w:val="Abstract"/>
        <w:rPr>
          <w:rFonts w:ascii="Times New Roman" w:hAnsi="Times New Roman"/>
        </w:rPr>
      </w:pPr>
      <w:r w:rsidRPr="0064560B">
        <w:rPr>
          <w:rFonts w:ascii="Times New Roman" w:hAnsi="Times New Roman"/>
        </w:rPr>
        <w:t xml:space="preserve">To that end, we continue by placing combinatorial auctions into context. One may observe several design strategies for day-ahead auctions, each of them representing solutions to the problem of an ill-defined marginal cost. Section </w:t>
      </w:r>
      <w:r w:rsidR="00905114" w:rsidRPr="0064560B">
        <w:rPr>
          <w:rFonts w:ascii="Times New Roman" w:hAnsi="Times New Roman"/>
        </w:rPr>
        <w:fldChar w:fldCharType="begin"/>
      </w:r>
      <w:r w:rsidRPr="0064560B">
        <w:rPr>
          <w:rFonts w:ascii="Times New Roman" w:hAnsi="Times New Roman"/>
        </w:rPr>
        <w:instrText xml:space="preserve"> REF _Ref409458878 \r \h </w:instrText>
      </w:r>
      <w:r w:rsidR="0064560B">
        <w:rPr>
          <w:rFonts w:ascii="Times New Roman" w:hAnsi="Times New Roman"/>
        </w:rPr>
        <w:instrText xml:space="preserve"> \* MERGEFORMAT </w:instrText>
      </w:r>
      <w:r w:rsidR="00905114" w:rsidRPr="0064560B">
        <w:rPr>
          <w:rFonts w:ascii="Times New Roman" w:hAnsi="Times New Roman"/>
        </w:rPr>
      </w:r>
      <w:r w:rsidR="00905114" w:rsidRPr="0064560B">
        <w:rPr>
          <w:rFonts w:ascii="Times New Roman" w:hAnsi="Times New Roman"/>
        </w:rPr>
        <w:fldChar w:fldCharType="separate"/>
      </w:r>
      <w:r w:rsidRPr="0064560B">
        <w:rPr>
          <w:rFonts w:ascii="Times New Roman" w:hAnsi="Times New Roman"/>
        </w:rPr>
        <w:t>3</w:t>
      </w:r>
      <w:r w:rsidR="00905114" w:rsidRPr="0064560B">
        <w:rPr>
          <w:rFonts w:ascii="Times New Roman" w:hAnsi="Times New Roman"/>
        </w:rPr>
        <w:fldChar w:fldCharType="end"/>
      </w:r>
      <w:r w:rsidRPr="0064560B">
        <w:rPr>
          <w:rFonts w:ascii="Times New Roman" w:hAnsi="Times New Roman"/>
        </w:rPr>
        <w:t xml:space="preserve"> analyzes the short-term problem, showing that many different prices could be defined if only the condition that they support the short-term equilibrium were considered. Section </w:t>
      </w:r>
      <w:r w:rsidR="00905114" w:rsidRPr="0064560B">
        <w:rPr>
          <w:rFonts w:ascii="Times New Roman" w:hAnsi="Times New Roman"/>
        </w:rPr>
        <w:fldChar w:fldCharType="begin"/>
      </w:r>
      <w:r w:rsidR="00F31EC7" w:rsidRPr="0064560B">
        <w:rPr>
          <w:rFonts w:ascii="Times New Roman" w:hAnsi="Times New Roman"/>
        </w:rPr>
        <w:instrText xml:space="preserve"> REF _Ref409459662 \r \h </w:instrText>
      </w:r>
      <w:r w:rsidR="0064560B">
        <w:rPr>
          <w:rFonts w:ascii="Times New Roman" w:hAnsi="Times New Roman"/>
        </w:rPr>
        <w:instrText xml:space="preserve"> \* MERGEFORMAT </w:instrText>
      </w:r>
      <w:r w:rsidR="00905114" w:rsidRPr="0064560B">
        <w:rPr>
          <w:rFonts w:ascii="Times New Roman" w:hAnsi="Times New Roman"/>
        </w:rPr>
      </w:r>
      <w:r w:rsidR="00905114" w:rsidRPr="0064560B">
        <w:rPr>
          <w:rFonts w:ascii="Times New Roman" w:hAnsi="Times New Roman"/>
        </w:rPr>
        <w:fldChar w:fldCharType="separate"/>
      </w:r>
      <w:r w:rsidR="00F31EC7" w:rsidRPr="0064560B">
        <w:rPr>
          <w:rFonts w:ascii="Times New Roman" w:hAnsi="Times New Roman"/>
        </w:rPr>
        <w:t>4</w:t>
      </w:r>
      <w:r w:rsidR="00905114" w:rsidRPr="0064560B">
        <w:rPr>
          <w:rFonts w:ascii="Times New Roman" w:hAnsi="Times New Roman"/>
        </w:rPr>
        <w:fldChar w:fldCharType="end"/>
      </w:r>
      <w:r w:rsidR="00F31EC7" w:rsidRPr="0064560B">
        <w:rPr>
          <w:rFonts w:ascii="Times New Roman" w:hAnsi="Times New Roman"/>
        </w:rPr>
        <w:t xml:space="preserve"> develops our proposal to include long-term considerations in the definition of the auction pricing rule. Section </w:t>
      </w:r>
      <w:r w:rsidR="00905114" w:rsidRPr="0064560B">
        <w:rPr>
          <w:rFonts w:ascii="Times New Roman" w:hAnsi="Times New Roman"/>
        </w:rPr>
        <w:fldChar w:fldCharType="begin"/>
      </w:r>
      <w:r w:rsidR="00F31EC7" w:rsidRPr="0064560B">
        <w:rPr>
          <w:rFonts w:ascii="Times New Roman" w:hAnsi="Times New Roman"/>
        </w:rPr>
        <w:instrText xml:space="preserve"> REF _Ref409459705 \r \h </w:instrText>
      </w:r>
      <w:r w:rsidR="0064560B">
        <w:rPr>
          <w:rFonts w:ascii="Times New Roman" w:hAnsi="Times New Roman"/>
        </w:rPr>
        <w:instrText xml:space="preserve"> \* MERGEFORMAT </w:instrText>
      </w:r>
      <w:r w:rsidR="00905114" w:rsidRPr="0064560B">
        <w:rPr>
          <w:rFonts w:ascii="Times New Roman" w:hAnsi="Times New Roman"/>
        </w:rPr>
      </w:r>
      <w:r w:rsidR="00905114" w:rsidRPr="0064560B">
        <w:rPr>
          <w:rFonts w:ascii="Times New Roman" w:hAnsi="Times New Roman"/>
        </w:rPr>
        <w:fldChar w:fldCharType="separate"/>
      </w:r>
      <w:r w:rsidR="00F31EC7" w:rsidRPr="0064560B">
        <w:rPr>
          <w:rFonts w:ascii="Times New Roman" w:hAnsi="Times New Roman"/>
        </w:rPr>
        <w:t>5</w:t>
      </w:r>
      <w:r w:rsidR="00905114" w:rsidRPr="0064560B">
        <w:rPr>
          <w:rFonts w:ascii="Times New Roman" w:hAnsi="Times New Roman"/>
        </w:rPr>
        <w:fldChar w:fldCharType="end"/>
      </w:r>
      <w:r w:rsidR="00F31EC7" w:rsidRPr="0064560B">
        <w:rPr>
          <w:rFonts w:ascii="Times New Roman" w:hAnsi="Times New Roman"/>
        </w:rPr>
        <w:t xml:space="preserve"> shows the importance of our proposal in a numerical example, and section </w:t>
      </w:r>
      <w:r w:rsidR="00905114" w:rsidRPr="0064560B">
        <w:rPr>
          <w:rFonts w:ascii="Times New Roman" w:hAnsi="Times New Roman"/>
        </w:rPr>
        <w:fldChar w:fldCharType="begin"/>
      </w:r>
      <w:r w:rsidR="005A3852" w:rsidRPr="0064560B">
        <w:rPr>
          <w:rFonts w:ascii="Times New Roman" w:hAnsi="Times New Roman"/>
        </w:rPr>
        <w:instrText xml:space="preserve"> REF _Ref409511708 \r \h </w:instrText>
      </w:r>
      <w:r w:rsidR="0064560B">
        <w:rPr>
          <w:rFonts w:ascii="Times New Roman" w:hAnsi="Times New Roman"/>
        </w:rPr>
        <w:instrText xml:space="preserve"> \* MERGEFORMAT </w:instrText>
      </w:r>
      <w:r w:rsidR="00905114" w:rsidRPr="0064560B">
        <w:rPr>
          <w:rFonts w:ascii="Times New Roman" w:hAnsi="Times New Roman"/>
        </w:rPr>
      </w:r>
      <w:r w:rsidR="00905114" w:rsidRPr="0064560B">
        <w:rPr>
          <w:rFonts w:ascii="Times New Roman" w:hAnsi="Times New Roman"/>
        </w:rPr>
        <w:fldChar w:fldCharType="separate"/>
      </w:r>
      <w:r w:rsidR="005A3852" w:rsidRPr="0064560B">
        <w:rPr>
          <w:rFonts w:ascii="Times New Roman" w:hAnsi="Times New Roman"/>
        </w:rPr>
        <w:t>6</w:t>
      </w:r>
      <w:r w:rsidR="00905114" w:rsidRPr="0064560B">
        <w:rPr>
          <w:rFonts w:ascii="Times New Roman" w:hAnsi="Times New Roman"/>
        </w:rPr>
        <w:fldChar w:fldCharType="end"/>
      </w:r>
      <w:r w:rsidR="005A3852" w:rsidRPr="0064560B">
        <w:rPr>
          <w:rFonts w:ascii="Times New Roman" w:hAnsi="Times New Roman"/>
        </w:rPr>
        <w:t xml:space="preserve"> </w:t>
      </w:r>
      <w:r w:rsidR="00F31EC7" w:rsidRPr="0064560B">
        <w:rPr>
          <w:rFonts w:ascii="Times New Roman" w:hAnsi="Times New Roman"/>
        </w:rPr>
        <w:t>collects some concluding remarks.</w:t>
      </w:r>
      <w:r w:rsidRPr="0064560B">
        <w:rPr>
          <w:rFonts w:ascii="Times New Roman" w:hAnsi="Times New Roman"/>
        </w:rPr>
        <w:t xml:space="preserve"> </w:t>
      </w:r>
    </w:p>
    <w:p w:rsidR="00505CC1" w:rsidRPr="0064560B" w:rsidRDefault="00505CC1" w:rsidP="00055536">
      <w:pPr>
        <w:pStyle w:val="Heading1"/>
        <w:rPr>
          <w:rFonts w:cs="Times New Roman"/>
        </w:rPr>
      </w:pPr>
      <w:r w:rsidRPr="0064560B">
        <w:rPr>
          <w:rFonts w:cs="Times New Roman"/>
        </w:rPr>
        <w:t>Elements of electricity auction design</w:t>
      </w:r>
    </w:p>
    <w:p w:rsidR="002246A6" w:rsidRPr="0064560B" w:rsidRDefault="00D01AF6" w:rsidP="00D01AF6">
      <w:pPr>
        <w:outlineLvl w:val="1"/>
        <w:rPr>
          <w:rFonts w:ascii="Times New Roman" w:hAnsi="Times New Roman" w:cs="Times New Roman"/>
        </w:rPr>
      </w:pPr>
      <w:r w:rsidRPr="0064560B">
        <w:rPr>
          <w:rFonts w:ascii="Times New Roman" w:hAnsi="Times New Roman" w:cs="Times New Roman"/>
        </w:rPr>
        <w:t xml:space="preserve">One of the elements that have captured substantial amounts of interest by regulators during the process of liberalization of the power industry that has taken place in the last thirty years is the design of the spot market. The most common solution is organized around a day-ahead auction, where producers place bids to sell the energy demanded in the system, the auction mechanism selects the cheapest ones, and a generation dispatch arises. The characteristics of this auction are, however, far from being standard and go beyond the theoretical results obtained by auction theory, see for instance </w:t>
      </w:r>
      <w:r w:rsidR="00905114" w:rsidRPr="0064560B">
        <w:rPr>
          <w:rFonts w:ascii="Times New Roman" w:hAnsi="Times New Roman" w:cs="Times New Roman"/>
        </w:rPr>
        <w:fldChar w:fldCharType="begin"/>
      </w:r>
      <w:r w:rsidR="003000F0" w:rsidRPr="0064560B">
        <w:rPr>
          <w:rFonts w:ascii="Times New Roman" w:hAnsi="Times New Roman" w:cs="Times New Roman"/>
        </w:rPr>
        <w:instrText xml:space="preserve"> ADDIN ZOTERO_ITEM CSL_CITATION {"citationID":"2h0j6cc7s2","properties":{"formattedCitation":"(Milgrom, 2004)","plainCitation":"(Milgrom, 2004)"},"citationItems":[{"id":132,"uris":["http://zotero.org/users/local/HK6lW3fP/items/4JT6GVBA"],"uri":["http://zotero.org/users/local/HK6lW3fP/items/4JT6GVBA"],"itemData":{"id":132,"type":"book","title":"Putting Auction Theory to Work","collection-title":"Cambridge University Press","abstract":"This book provides a comprehensive introduction to modern auction theory and its important new applications.","author":[{"family":"Milgrom","given":"Paul"}],"issued":{"date-parts":[["2004"]]}}}],"schema":"https://github.com/citation-style-language/schema/raw/master/csl-citation.json"} </w:instrText>
      </w:r>
      <w:r w:rsidR="00905114" w:rsidRPr="0064560B">
        <w:rPr>
          <w:rFonts w:ascii="Times New Roman" w:hAnsi="Times New Roman" w:cs="Times New Roman"/>
        </w:rPr>
        <w:fldChar w:fldCharType="separate"/>
      </w:r>
      <w:r w:rsidR="003000F0" w:rsidRPr="0064560B">
        <w:rPr>
          <w:rFonts w:ascii="Times New Roman" w:hAnsi="Times New Roman" w:cs="Times New Roman"/>
        </w:rPr>
        <w:t>(Milgrom, 2004)</w:t>
      </w:r>
      <w:r w:rsidR="00905114" w:rsidRPr="0064560B">
        <w:rPr>
          <w:rFonts w:ascii="Times New Roman" w:hAnsi="Times New Roman" w:cs="Times New Roman"/>
        </w:rPr>
        <w:fldChar w:fldCharType="end"/>
      </w:r>
      <w:r w:rsidRPr="0064560B">
        <w:rPr>
          <w:rFonts w:ascii="Times New Roman" w:hAnsi="Times New Roman" w:cs="Times New Roman"/>
        </w:rPr>
        <w:t xml:space="preserve">. </w:t>
      </w:r>
      <w:r w:rsidR="002B70F5" w:rsidRPr="0064560B">
        <w:rPr>
          <w:rFonts w:ascii="Times New Roman" w:hAnsi="Times New Roman" w:cs="Times New Roman"/>
        </w:rPr>
        <w:t>Day-ahead electricity auctions can be described as multi-unit (many different megawatts are purchased in each hour in each auction) and multi-product (the energy corresponding to the demand of several different hours are purchased at the same time in each auction, all of them different from the rest, but all of them inter-related).</w:t>
      </w:r>
    </w:p>
    <w:p w:rsidR="00F26B17" w:rsidRPr="0064560B" w:rsidRDefault="00F26B17" w:rsidP="00F26B17">
      <w:pPr>
        <w:outlineLvl w:val="1"/>
        <w:rPr>
          <w:rFonts w:ascii="Times New Roman" w:hAnsi="Times New Roman" w:cs="Times New Roman"/>
        </w:rPr>
      </w:pPr>
      <w:r w:rsidRPr="0064560B">
        <w:rPr>
          <w:rFonts w:ascii="Times New Roman" w:hAnsi="Times New Roman" w:cs="Times New Roman"/>
        </w:rPr>
        <w:t xml:space="preserve">A first alternative for implementing these day-ahead auctions </w:t>
      </w:r>
      <w:r w:rsidR="0034606E" w:rsidRPr="0064560B">
        <w:rPr>
          <w:rFonts w:ascii="Times New Roman" w:hAnsi="Times New Roman" w:cs="Times New Roman"/>
        </w:rPr>
        <w:t>is</w:t>
      </w:r>
      <w:r w:rsidRPr="0064560B">
        <w:rPr>
          <w:rFonts w:ascii="Times New Roman" w:hAnsi="Times New Roman" w:cs="Times New Roman"/>
        </w:rPr>
        <w:t xml:space="preserve"> to design spot markets as simple auctions, ignoring the multi-product feature, so power producers would send bids specifying the price required for selling each possible quantity. In this context, there would be one simple auction to allocate the electricity produced at each hour, and all these auctions would be independent from each other. </w:t>
      </w:r>
      <w:r w:rsidR="0034606E" w:rsidRPr="0064560B">
        <w:rPr>
          <w:rFonts w:ascii="Times New Roman" w:hAnsi="Times New Roman" w:cs="Times New Roman"/>
        </w:rPr>
        <w:t>But</w:t>
      </w:r>
      <w:r w:rsidRPr="0064560B">
        <w:rPr>
          <w:rFonts w:ascii="Times New Roman" w:hAnsi="Times New Roman" w:cs="Times New Roman"/>
        </w:rPr>
        <w:t xml:space="preserve"> a simple auction only allows for the specification </w:t>
      </w:r>
      <w:r w:rsidRPr="0064560B">
        <w:rPr>
          <w:rFonts w:ascii="Times New Roman" w:hAnsi="Times New Roman" w:cs="Times New Roman"/>
        </w:rPr>
        <w:lastRenderedPageBreak/>
        <w:t xml:space="preserve">of a cost proportional to the units output and a maximum output constraint, </w:t>
      </w:r>
      <w:r w:rsidR="0034606E" w:rsidRPr="0064560B">
        <w:rPr>
          <w:rFonts w:ascii="Times New Roman" w:hAnsi="Times New Roman" w:cs="Times New Roman"/>
        </w:rPr>
        <w:t xml:space="preserve">and </w:t>
      </w:r>
      <w:r w:rsidRPr="0064560B">
        <w:rPr>
          <w:rFonts w:ascii="Times New Roman" w:hAnsi="Times New Roman" w:cs="Times New Roman"/>
        </w:rPr>
        <w:t xml:space="preserve">the real conditions of generators in a unit commitment problem include several technical constraints (ramping limits, minimum output...) and non-linear costs (start-ups, shut-downs...), which make the cost structure more complex than the bids allowed in a simple auction. </w:t>
      </w:r>
      <w:r w:rsidR="0034606E" w:rsidRPr="0064560B">
        <w:rPr>
          <w:rFonts w:ascii="Times New Roman" w:hAnsi="Times New Roman" w:cs="Times New Roman"/>
        </w:rPr>
        <w:t>Besides, a</w:t>
      </w:r>
      <w:r w:rsidRPr="0064560B">
        <w:rPr>
          <w:rFonts w:ascii="Times New Roman" w:hAnsi="Times New Roman" w:cs="Times New Roman"/>
        </w:rPr>
        <w:t xml:space="preserve"> number of these technical conditions have the effect of interlinking the different time periods, making the results of the auction in one certain hour depend on the results of the rest of them. Having a simple-auction market design results in the need for market players to internalize into their bids and offers the part of the costs that cannot be specified in the auction bids. For instance, they might place a bid for the quantity corresponding to their minimum output with a very low price, so that this quantity is always accepted in the simple auction and therefore always dispatched. </w:t>
      </w:r>
    </w:p>
    <w:p w:rsidR="00F26B17" w:rsidRPr="0064560B" w:rsidRDefault="00F26B17" w:rsidP="00F26B17">
      <w:pPr>
        <w:outlineLvl w:val="1"/>
        <w:rPr>
          <w:rFonts w:ascii="Times New Roman" w:hAnsi="Times New Roman" w:cs="Times New Roman"/>
        </w:rPr>
      </w:pPr>
      <w:r w:rsidRPr="0064560B">
        <w:rPr>
          <w:rFonts w:ascii="Times New Roman" w:hAnsi="Times New Roman" w:cs="Times New Roman"/>
        </w:rPr>
        <w:t xml:space="preserve">Bidding this way is quite a difficult task. For instance, in order to internalize minimum output constraints, producers must know when their plant will be online. This depends on the auction results, so it is subject to uncertainty when producers send their bids. Thus, the design of the bids requires not only the use of the technical data of the plants, but in addition the estimation of the auction results. If such estimations are not accurate enough, the bids will not be correct and the auction dispatch will not be satisfactory for power producers –e.g. the final unit commitment for some certain generator might not fulfill the ramping constraint and thus be technically infeasible. </w:t>
      </w:r>
      <w:r w:rsidR="0034606E" w:rsidRPr="0064560B">
        <w:rPr>
          <w:rFonts w:ascii="Times New Roman" w:hAnsi="Times New Roman" w:cs="Times New Roman"/>
        </w:rPr>
        <w:t>Hence</w:t>
      </w:r>
      <w:r w:rsidRPr="0064560B">
        <w:rPr>
          <w:rFonts w:ascii="Times New Roman" w:hAnsi="Times New Roman" w:cs="Times New Roman"/>
        </w:rPr>
        <w:t>, when a simple auction is implemented, there is a risk factor directly associated with the market clearing mechanism design, which translates into an additional production cost</w:t>
      </w:r>
      <w:r w:rsidRPr="0064560B">
        <w:rPr>
          <w:rStyle w:val="FootnoteReference"/>
          <w:rFonts w:ascii="Times New Roman" w:hAnsi="Times New Roman" w:cs="Times New Roman"/>
        </w:rPr>
        <w:footnoteReference w:id="3"/>
      </w:r>
      <w:r w:rsidRPr="0064560B">
        <w:rPr>
          <w:rFonts w:ascii="Times New Roman" w:hAnsi="Times New Roman" w:cs="Times New Roman"/>
        </w:rPr>
        <w:t xml:space="preserve">.  </w:t>
      </w:r>
    </w:p>
    <w:p w:rsidR="00F26B17" w:rsidRPr="0064560B" w:rsidRDefault="00F26B17" w:rsidP="00F26B17">
      <w:pPr>
        <w:rPr>
          <w:rFonts w:ascii="Times New Roman" w:hAnsi="Times New Roman" w:cs="Times New Roman"/>
        </w:rPr>
      </w:pPr>
      <w:r w:rsidRPr="0064560B">
        <w:rPr>
          <w:rFonts w:ascii="Times New Roman" w:hAnsi="Times New Roman" w:cs="Times New Roman"/>
        </w:rPr>
        <w:t>An answer to this problem is to allow for the creation of a number of additional markets, before and after the day-ahead auction, where generators can re-negotiate their positions and adjust their schedules, correcting the possible internalization errors (see, for instance,</w:t>
      </w:r>
      <w:r w:rsidR="00F04DFE"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3000F0" w:rsidRPr="0064560B">
        <w:rPr>
          <w:rFonts w:ascii="Times New Roman" w:hAnsi="Times New Roman" w:cs="Times New Roman"/>
        </w:rPr>
        <w:instrText xml:space="preserve"> ADDIN ZOTERO_ITEM CSL_CITATION {"citationID":"e4bYrvxn","properties":{"formattedCitation":"(Wilson, 2002)","plainCitation":"(Wilson, 2002)"},"citationItems":[{"id":140,"uris":["http://zotero.org/users/local/HK6lW3fP/items/VVE296NX"],"uri":["http://zotero.org/users/local/HK6lW3fP/items/VVE296NX"],"itemData":{"id":140,"type":"article-journal","title":"Architecture of Power Markets","container-title":"Econometrica","page":"1299-1340","volume":"70","issue":"4","source":"Wiley Online Library","abstract":"Liberalization of infrastructure industries presents classic economic issues about how organization and procedure affect market performance. These issues are examined in wholesale power markets. The perspective from game theory complements standard economic theory to examine effects on efficiency and incentives.","ISSN":"1468-0262","language":"en","author":[{"family":"Wilson","given":"Robert"}],"issued":{"date-parts":[["2002"]]},"accessed":{"date-parts":[["2015",1,19]],"season":"22:03:51"}}}],"schema":"https://github.com/citation-style-language/schema/raw/master/csl-citation.json"} </w:instrText>
      </w:r>
      <w:r w:rsidR="00905114" w:rsidRPr="0064560B">
        <w:rPr>
          <w:rFonts w:ascii="Times New Roman" w:hAnsi="Times New Roman" w:cs="Times New Roman"/>
        </w:rPr>
        <w:fldChar w:fldCharType="separate"/>
      </w:r>
      <w:r w:rsidR="003000F0" w:rsidRPr="0064560B">
        <w:rPr>
          <w:rFonts w:ascii="Times New Roman" w:hAnsi="Times New Roman" w:cs="Times New Roman"/>
        </w:rPr>
        <w:t>(Wilson, 2002)</w:t>
      </w:r>
      <w:r w:rsidR="00905114" w:rsidRPr="0064560B">
        <w:rPr>
          <w:rFonts w:ascii="Times New Roman" w:hAnsi="Times New Roman" w:cs="Times New Roman"/>
        </w:rPr>
        <w:fldChar w:fldCharType="end"/>
      </w:r>
      <w:r w:rsidRPr="0064560B">
        <w:rPr>
          <w:rFonts w:ascii="Times New Roman" w:hAnsi="Times New Roman" w:cs="Times New Roman"/>
        </w:rPr>
        <w:t xml:space="preserve">. If arbitrage among the different markets works efficiently, the set of consecutive markets is equivalent to a single market with no internalization problems. This is the </w:t>
      </w:r>
      <w:r w:rsidR="00F04DFE" w:rsidRPr="0064560B">
        <w:rPr>
          <w:rFonts w:ascii="Times New Roman" w:hAnsi="Times New Roman" w:cs="Times New Roman"/>
        </w:rPr>
        <w:t xml:space="preserve">predominant </w:t>
      </w:r>
      <w:r w:rsidRPr="0064560B">
        <w:rPr>
          <w:rFonts w:ascii="Times New Roman" w:hAnsi="Times New Roman" w:cs="Times New Roman"/>
        </w:rPr>
        <w:t xml:space="preserve">scheme in Europe. Unfortunately, for adjustments that take place in time horizons shorter than the day-ahead market this arbitrage might be limited, so the consecutive markets solution allows for a mitigation of the bidding risk induced by the simple auction, but only partially.      </w:t>
      </w:r>
    </w:p>
    <w:p w:rsidR="00F26B17" w:rsidRPr="0064560B" w:rsidRDefault="00F26B17" w:rsidP="00F26B17">
      <w:pPr>
        <w:rPr>
          <w:rFonts w:ascii="Times New Roman" w:hAnsi="Times New Roman" w:cs="Times New Roman"/>
        </w:rPr>
      </w:pPr>
      <w:r w:rsidRPr="0064560B">
        <w:rPr>
          <w:rFonts w:ascii="Times New Roman" w:hAnsi="Times New Roman" w:cs="Times New Roman"/>
        </w:rPr>
        <w:t xml:space="preserve">An alternative solution is to facilitate the internalization process by means of an iterative auction. </w:t>
      </w:r>
      <w:r w:rsidR="00905114" w:rsidRPr="0064560B">
        <w:rPr>
          <w:rFonts w:ascii="Times New Roman" w:hAnsi="Times New Roman" w:cs="Times New Roman"/>
        </w:rPr>
        <w:fldChar w:fldCharType="begin"/>
      </w:r>
      <w:r w:rsidR="003000F0" w:rsidRPr="0064560B">
        <w:rPr>
          <w:rFonts w:ascii="Times New Roman" w:hAnsi="Times New Roman" w:cs="Times New Roman"/>
        </w:rPr>
        <w:instrText xml:space="preserve"> ADDIN ZOTERO_ITEM CSL_CITATION {"citationID":"J2uBG4K6","properties":{"formattedCitation":"(Wilson, 1997)","plainCitation":"(Wilson, 1997)"},"citationItems":[{"id":142,"uris":["http://zotero.org/users/local/HK6lW3fP/items/UR5CVAUF"],"uri":["http://zotero.org/users/local/HK6lW3fP/items/UR5CVAUF"],"itemData":{"id":142,"type":"article-journal","title":"Activity Rules for the California PX Electricity Auction","container-title":"3rd Annual Research Conference on Electricity Industry Restructuring, University of California, Berkeley, CA (March 1998)","author":[{"family":"Wilson","given":"Robert B."}],"issued":{"date-parts":[["1997"]]}}}],"schema":"https://github.com/citation-style-language/schema/raw/master/csl-citation.json"} </w:instrText>
      </w:r>
      <w:r w:rsidR="00905114" w:rsidRPr="0064560B">
        <w:rPr>
          <w:rFonts w:ascii="Times New Roman" w:hAnsi="Times New Roman" w:cs="Times New Roman"/>
        </w:rPr>
        <w:fldChar w:fldCharType="separate"/>
      </w:r>
      <w:r w:rsidR="003000F0" w:rsidRPr="0064560B">
        <w:rPr>
          <w:rFonts w:ascii="Times New Roman" w:hAnsi="Times New Roman" w:cs="Times New Roman"/>
        </w:rPr>
        <w:t>(Wilson, 1997)</w:t>
      </w:r>
      <w:r w:rsidR="00905114" w:rsidRPr="0064560B">
        <w:rPr>
          <w:rFonts w:ascii="Times New Roman" w:hAnsi="Times New Roman" w:cs="Times New Roman"/>
        </w:rPr>
        <w:fldChar w:fldCharType="end"/>
      </w:r>
      <w:r w:rsidR="003000F0" w:rsidRPr="0064560B">
        <w:rPr>
          <w:rFonts w:ascii="Times New Roman" w:hAnsi="Times New Roman" w:cs="Times New Roman"/>
        </w:rPr>
        <w:t xml:space="preserve"> i</w:t>
      </w:r>
      <w:r w:rsidRPr="0064560B">
        <w:rPr>
          <w:rFonts w:ascii="Times New Roman" w:hAnsi="Times New Roman" w:cs="Times New Roman"/>
        </w:rPr>
        <w:t xml:space="preserve">terative mechanisms tackle the internalization problem by means of a sequence of iterations where market players reveal their preferences over the auctioned products. Such information is received by the rest of competitors and used to improve their estimations on the market clearing results. Hence, the objective is designing an auction that facilitates the internalization of the generators’ characteristics, rather than reducing the need for such internalization. The process may be visualized as a sequence of simple auctions: after each iteration, market participants analyze the tentative market clearing corresponding to each iteration, and modify their bids accordingly. The process stops when no participant is willing </w:t>
      </w:r>
      <w:r w:rsidRPr="0064560B">
        <w:rPr>
          <w:rFonts w:ascii="Times New Roman" w:hAnsi="Times New Roman" w:cs="Times New Roman"/>
        </w:rPr>
        <w:lastRenderedPageBreak/>
        <w:t>to change her bids and the final prices and quantities are calc</w:t>
      </w:r>
      <w:r w:rsidR="008827F4" w:rsidRPr="0064560B">
        <w:rPr>
          <w:rFonts w:ascii="Times New Roman" w:hAnsi="Times New Roman" w:cs="Times New Roman"/>
        </w:rPr>
        <w:t>ulated using the last iteration</w:t>
      </w:r>
      <w:r w:rsidRPr="0064560B">
        <w:rPr>
          <w:rFonts w:ascii="Times New Roman" w:hAnsi="Times New Roman" w:cs="Times New Roman"/>
        </w:rPr>
        <w:t xml:space="preserve">. Nonetheless, the process tends to be very time consuming, and almost impossible to implement for the day-ahead auctions, at least without automated bidding, so its use in the electricity market has been limited to certain long-term auctions. </w:t>
      </w:r>
    </w:p>
    <w:p w:rsidR="002B70F5" w:rsidRPr="0064560B" w:rsidRDefault="00F26B17" w:rsidP="003864FD">
      <w:pPr>
        <w:outlineLvl w:val="1"/>
        <w:rPr>
          <w:rFonts w:ascii="Times New Roman" w:hAnsi="Times New Roman" w:cs="Times New Roman"/>
        </w:rPr>
      </w:pPr>
      <w:r w:rsidRPr="0064560B">
        <w:rPr>
          <w:rFonts w:ascii="Times New Roman" w:hAnsi="Times New Roman" w:cs="Times New Roman"/>
        </w:rPr>
        <w:t>A third solution is the complex auction, where players are allowed to place bids that specify additional conditions to the price-quantity pairs of the simple auctions</w:t>
      </w:r>
      <w:r w:rsidRPr="0064560B">
        <w:rPr>
          <w:rStyle w:val="FootnoteReference"/>
          <w:rFonts w:ascii="Times New Roman" w:hAnsi="Times New Roman" w:cs="Times New Roman"/>
        </w:rPr>
        <w:footnoteReference w:id="4"/>
      </w:r>
      <w:r w:rsidRPr="0064560B">
        <w:rPr>
          <w:rFonts w:ascii="Times New Roman" w:hAnsi="Times New Roman" w:cs="Times New Roman"/>
        </w:rPr>
        <w:t>. The corresponding market clearing, thus, must be found by solving some optimization problem. The pure complex auction is essentially a traditional unit commitment model, which is applied to clearing power marke</w:t>
      </w:r>
      <w:r w:rsidR="008827F4" w:rsidRPr="0064560B">
        <w:rPr>
          <w:rFonts w:ascii="Times New Roman" w:hAnsi="Times New Roman" w:cs="Times New Roman"/>
        </w:rPr>
        <w:t xml:space="preserve">ts, </w:t>
      </w:r>
      <w:r w:rsidR="00905114" w:rsidRPr="0064560B">
        <w:rPr>
          <w:rFonts w:ascii="Times New Roman" w:hAnsi="Times New Roman" w:cs="Times New Roman"/>
        </w:rPr>
        <w:fldChar w:fldCharType="begin"/>
      </w:r>
      <w:r w:rsidR="008827F4" w:rsidRPr="0064560B">
        <w:rPr>
          <w:rFonts w:ascii="Times New Roman" w:hAnsi="Times New Roman" w:cs="Times New Roman"/>
        </w:rPr>
        <w:instrText xml:space="preserve"> ADDIN ZOTERO_ITEM CSL_CITATION {"citationID":"aooh59co2","properties":{"formattedCitation":"(Hobbs, 2001)","plainCitation":"(Hobbs, 2001)"},"citationItems":[{"id":146,"uris":["http://zotero.org/users/local/HK6lW3fP/items/ZS8R7UKQ"],"uri":["http://zotero.org/users/local/HK6lW3fP/items/ZS8R7UKQ"],"itemData":{"id":146,"type":"book","title":"The Next Generation of Electric Power Unit Commitment Models","publisher":"Springer Science &amp; Business Media","number-of-pages":"334","source":"Google Books","abstract":"Over the years, the electric power industry has been using optimization methods to help them solve the unit commitment problem. The result has been savings of tens and perhaps hundreds of millions of dollars in fuel costs. Things are changing, however. Optimization technology is improving, and the industry is undergoing radical restructuring. Consequently, the role of commitment models is changing, and the value of the improved solutions that better algorithms might yield is increasing. The dual purpose of this book is to explore the technology and needs of the next generation of computer models for aiding unit commitment decisions. Because of the unit commitment problem's size and complexity and because of the large economic benefits that could result from its improved solution, considerable attention has been devoted to algorithm development in the book. More systematic procedures based on a variety of widely researched algorithms have been proposed and tested. These techniques have included dynamic programming, branch-and-bound mixed integer programming (MIP), linear and network programming approaches, and Benders decomposition methods, among others. Recently, metaheuristic methods have been tested, such as genetic programming and simulated annealing, along with expert systems and neural networks. Because electric markets are changing rapidly, how UC models are solved and what purposes they serve need reconsideration. Hence, the book brings together people who understand the problem and people who know what improvements in algorithms are really possible. The two-fold result in The Next Generation of Electric Power Unit Commitment Models is an assessment of industry needs and new formulations and computational approaches that promise to make unit commitment models more responsive to those needs.","ISBN":"9780792373346","language":"en","author":[{"family":"Hobbs","given":"B. F."}],"issued":{"date-parts":[["2001",4,30]]}}}],"schema":"https://github.com/citation-style-language/schema/raw/master/csl-citation.json"} </w:instrText>
      </w:r>
      <w:r w:rsidR="00905114" w:rsidRPr="0064560B">
        <w:rPr>
          <w:rFonts w:ascii="Times New Roman" w:hAnsi="Times New Roman" w:cs="Times New Roman"/>
        </w:rPr>
        <w:fldChar w:fldCharType="separate"/>
      </w:r>
      <w:r w:rsidR="008827F4" w:rsidRPr="0064560B">
        <w:rPr>
          <w:rFonts w:ascii="Times New Roman" w:hAnsi="Times New Roman" w:cs="Times New Roman"/>
        </w:rPr>
        <w:t>(Hobbs, 2001)</w:t>
      </w:r>
      <w:r w:rsidR="00905114" w:rsidRPr="0064560B">
        <w:rPr>
          <w:rFonts w:ascii="Times New Roman" w:hAnsi="Times New Roman" w:cs="Times New Roman"/>
        </w:rPr>
        <w:fldChar w:fldCharType="end"/>
      </w:r>
      <w:r w:rsidRPr="0064560B">
        <w:rPr>
          <w:rFonts w:ascii="Times New Roman" w:hAnsi="Times New Roman" w:cs="Times New Roman"/>
        </w:rPr>
        <w:t xml:space="preserve">. This is the predominant approach in the US nowadays. The immediate advantage of these mechanisms, as of the iterative ones, is that they capture the inter-relation of the different hours and eliminates the need for internalization. On the negative side, their complexity makes their results difficult to explain and this may raise some credibility problems. More importantly, pure </w:t>
      </w:r>
      <w:r w:rsidR="000554FB" w:rsidRPr="0064560B">
        <w:rPr>
          <w:rFonts w:ascii="Times New Roman" w:hAnsi="Times New Roman" w:cs="Times New Roman"/>
        </w:rPr>
        <w:t>combinatorial</w:t>
      </w:r>
      <w:r w:rsidRPr="0064560B">
        <w:rPr>
          <w:rFonts w:ascii="Times New Roman" w:hAnsi="Times New Roman" w:cs="Times New Roman"/>
        </w:rPr>
        <w:t xml:space="preserve"> auctions are typically based on mixed-integer optimization, which are non-convex problems and hence have difficulties to determine the market price. </w:t>
      </w:r>
    </w:p>
    <w:p w:rsidR="00F26B17" w:rsidRPr="0064560B" w:rsidRDefault="002B70F5" w:rsidP="003864FD">
      <w:pPr>
        <w:outlineLvl w:val="1"/>
        <w:rPr>
          <w:rFonts w:ascii="Times New Roman" w:hAnsi="Times New Roman" w:cs="Times New Roman"/>
        </w:rPr>
      </w:pPr>
      <w:r w:rsidRPr="0064560B">
        <w:rPr>
          <w:rFonts w:ascii="Times New Roman" w:hAnsi="Times New Roman" w:cs="Times New Roman"/>
        </w:rPr>
        <w:t xml:space="preserve">We will study the design of combinatorial auctions for electricity day-ahead markets. </w:t>
      </w:r>
      <w:r w:rsidR="00A515FD" w:rsidRPr="0064560B">
        <w:rPr>
          <w:rFonts w:ascii="Times New Roman" w:hAnsi="Times New Roman" w:cs="Times New Roman"/>
        </w:rPr>
        <w:t xml:space="preserve">In that view, the rest of the paper will deal with the challenges associated with the integer non-convexities. </w:t>
      </w:r>
      <w:r w:rsidRPr="0064560B">
        <w:rPr>
          <w:rFonts w:ascii="Times New Roman" w:hAnsi="Times New Roman" w:cs="Times New Roman"/>
        </w:rPr>
        <w:t xml:space="preserve">  </w:t>
      </w:r>
    </w:p>
    <w:p w:rsidR="005D0DF7" w:rsidRPr="0064560B" w:rsidRDefault="00E9248D" w:rsidP="00055536">
      <w:pPr>
        <w:pStyle w:val="Heading1"/>
        <w:rPr>
          <w:rFonts w:cs="Times New Roman"/>
        </w:rPr>
      </w:pPr>
      <w:bookmarkStart w:id="7" w:name="_Ref409458878"/>
      <w:r w:rsidRPr="0064560B">
        <w:rPr>
          <w:rFonts w:cs="Times New Roman"/>
        </w:rPr>
        <w:t>Optimal s</w:t>
      </w:r>
      <w:r w:rsidR="00AA7A28" w:rsidRPr="0064560B">
        <w:rPr>
          <w:rFonts w:cs="Times New Roman"/>
        </w:rPr>
        <w:t>hort-term</w:t>
      </w:r>
      <w:r w:rsidRPr="0064560B">
        <w:rPr>
          <w:rFonts w:cs="Times New Roman"/>
        </w:rPr>
        <w:t xml:space="preserve"> signals</w:t>
      </w:r>
    </w:p>
    <w:p w:rsidR="0071124E" w:rsidRPr="0064560B" w:rsidRDefault="0071124E" w:rsidP="0071124E">
      <w:pPr>
        <w:rPr>
          <w:rFonts w:ascii="Times New Roman" w:hAnsi="Times New Roman" w:cs="Times New Roman"/>
        </w:rPr>
      </w:pPr>
      <w:r w:rsidRPr="0064560B">
        <w:rPr>
          <w:rFonts w:ascii="Times New Roman" w:hAnsi="Times New Roman" w:cs="Times New Roman"/>
        </w:rPr>
        <w:t xml:space="preserve">In this section, we analyze the problem of defining a pricing rule in combinatorial power auctions from a short-term point of view. To that end, we begin by describing the ideal situation, where no integer variables exist. Then we tackle the problem with integer decisions and show that there is a wide range of possible candidates to represent the short-term marginal cost. </w:t>
      </w:r>
    </w:p>
    <w:p w:rsidR="00E9248D" w:rsidRPr="0064560B" w:rsidRDefault="00E9248D" w:rsidP="00E9248D">
      <w:pPr>
        <w:pStyle w:val="Heading2"/>
        <w:rPr>
          <w:rFonts w:ascii="Times New Roman" w:hAnsi="Times New Roman" w:cs="Times New Roman"/>
        </w:rPr>
      </w:pPr>
      <w:bookmarkStart w:id="8" w:name="_Ref409504434"/>
      <w:r w:rsidRPr="0064560B">
        <w:rPr>
          <w:rFonts w:ascii="Times New Roman" w:hAnsi="Times New Roman" w:cs="Times New Roman"/>
        </w:rPr>
        <w:t>Ideal conditions</w:t>
      </w:r>
      <w:bookmarkEnd w:id="8"/>
    </w:p>
    <w:p w:rsidR="00E9248D" w:rsidRPr="0064560B" w:rsidRDefault="00E9248D" w:rsidP="00E9248D">
      <w:pPr>
        <w:rPr>
          <w:rFonts w:ascii="Times New Roman" w:hAnsi="Times New Roman" w:cs="Times New Roman"/>
        </w:rPr>
      </w:pPr>
      <w:r w:rsidRPr="0064560B">
        <w:rPr>
          <w:rFonts w:ascii="Times New Roman" w:hAnsi="Times New Roman" w:cs="Times New Roman"/>
        </w:rPr>
        <w:t>This section is aimed at describing, in a relatively simple setting, the fundamental reasoning that we will</w:t>
      </w:r>
      <w:r w:rsidR="00D06C84" w:rsidRPr="0064560B">
        <w:rPr>
          <w:rFonts w:ascii="Times New Roman" w:hAnsi="Times New Roman" w:cs="Times New Roman"/>
        </w:rPr>
        <w:t xml:space="preserve"> use</w:t>
      </w:r>
      <w:r w:rsidRPr="0064560B">
        <w:rPr>
          <w:rFonts w:ascii="Times New Roman" w:hAnsi="Times New Roman" w:cs="Times New Roman"/>
        </w:rPr>
        <w:t xml:space="preserve"> in the non-convex case. In particular, this section summarizes the main ideas developed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ADDIN EN.CITE &lt;EndNote&gt;&lt;Cite&gt;&lt;Author&gt;Schweppe&lt;/Author&gt;&lt;Year&gt;1988&lt;/Year&gt;&lt;RecNum&gt;27&lt;/RecNum&gt;&lt;DisplayText&gt;(Schweppe et al., 1988)&lt;/DisplayText&gt;&lt;record&gt;&lt;rec-number&gt;27&lt;/rec-number&gt;&lt;foreign-keys&gt;&lt;key app="EN" db-id="fprx5rrpxwvt0ke0sxo5wfzb2rwawp0vp0xp"&gt;27&lt;/key&gt;&lt;/foreign-keys&gt;&lt;ref-type name="Journal Article"&gt;17&lt;/ref-type&gt;&lt;contributors&gt;&lt;authors&gt;&lt;author&gt;F. C. Schweppe&lt;/author&gt;&lt;author&gt;M. C. Caramanis&lt;/author&gt;&lt;author&gt;R. E. Tabors&lt;/author&gt;&lt;author&gt;R. E. Bohn&lt;/author&gt;&lt;/authors&gt;&lt;/contributors&gt;&lt;titles&gt;&lt;title&gt;Spot pricing of electricity&lt;/title&gt;&lt;secondary-title&gt;Kluwer Academic Publishers&lt;/secondary-title&gt;&lt;/titles&gt;&lt;periodical&gt;&lt;full-title&gt;Kluwer Academic Publishers&lt;/full-title&gt;&lt;/periodical&gt;&lt;dates&gt;&lt;year&gt;1988&lt;/year&gt;&lt;/dates&gt;&lt;urls&gt;&lt;/urls&gt;&lt;/record&gt;&lt;/Cite&gt;&lt;/EndNote&gt;</w:instrText>
      </w:r>
      <w:r w:rsidR="00905114" w:rsidRPr="0064560B">
        <w:rPr>
          <w:rFonts w:ascii="Times New Roman" w:hAnsi="Times New Roman" w:cs="Times New Roman"/>
        </w:rPr>
        <w:fldChar w:fldCharType="separate"/>
      </w:r>
      <w:r w:rsidRPr="0064560B">
        <w:rPr>
          <w:rFonts w:ascii="Times New Roman" w:hAnsi="Times New Roman" w:cs="Times New Roman"/>
          <w:noProof/>
        </w:rPr>
        <w:t>(</w:t>
      </w:r>
      <w:hyperlink w:anchor="_ENREF_11" w:tooltip="Schweppe, 1988 #27" w:history="1">
        <w:r w:rsidRPr="0064560B">
          <w:rPr>
            <w:rFonts w:ascii="Times New Roman" w:hAnsi="Times New Roman" w:cs="Times New Roman"/>
            <w:noProof/>
          </w:rPr>
          <w:t>Schweppe et al., 1988</w:t>
        </w:r>
      </w:hyperlink>
      <w:r w:rsidRPr="0064560B">
        <w:rPr>
          <w:rFonts w:ascii="Times New Roman" w:hAnsi="Times New Roman" w:cs="Times New Roman"/>
          <w:noProof/>
        </w:rPr>
        <w:t>)</w:t>
      </w:r>
      <w:r w:rsidR="00905114" w:rsidRPr="0064560B">
        <w:rPr>
          <w:rFonts w:ascii="Times New Roman" w:hAnsi="Times New Roman" w:cs="Times New Roman"/>
        </w:rPr>
        <w:fldChar w:fldCharType="end"/>
      </w:r>
      <w:r w:rsidRPr="0064560B">
        <w:rPr>
          <w:rFonts w:ascii="Times New Roman" w:hAnsi="Times New Roman" w:cs="Times New Roman"/>
        </w:rPr>
        <w:t xml:space="preserve">. In our context, the problem can be thought of as the definition of optimal prices for complex electricity auctions. </w:t>
      </w:r>
      <w:r w:rsidR="009B143C" w:rsidRPr="0064560B">
        <w:rPr>
          <w:rFonts w:ascii="Times New Roman" w:hAnsi="Times New Roman" w:cs="Times New Roman"/>
        </w:rPr>
        <w:t>To that end</w:t>
      </w:r>
      <w:r w:rsidRPr="0064560B">
        <w:rPr>
          <w:rFonts w:ascii="Times New Roman" w:hAnsi="Times New Roman" w:cs="Times New Roman"/>
        </w:rPr>
        <w:t xml:space="preserve">, we assume that both the producers’ cost functions and the clearing algorithm fulfill the properties required to obtain a convex problem.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The basic scheme of the reasoning used in this paper is based on considering the cost-minimization problem as the reference to define an efficient market behavior; i.e. we use the centralized optimization of the system, under perfect information, to define the efficient unit commitment. On the other hand, we analyze the decision-making process of market players under perfect competition. The efficient market behavior is the one that obtains the same results as the centralized model, and the optimal price is the one that incentivizes market players to obtain such results.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Consider that the centralized power system operation can be described by the following program: </w:t>
      </w:r>
    </w:p>
    <w:p w:rsidR="00E9248D" w:rsidRPr="0064560B" w:rsidRDefault="00D80DBD" w:rsidP="009B143C">
      <w:pPr>
        <w:pStyle w:val="ecuacion"/>
        <w:rPr>
          <w:rFonts w:ascii="Times New Roman" w:hAnsi="Times New Roman"/>
        </w:rPr>
      </w:pPr>
      <m:oMath>
        <m:m>
          <m:mPr>
            <m:mcs>
              <m:mc>
                <m:mcPr>
                  <m:count m:val="3"/>
                  <m:mcJc m:val="left"/>
                </m:mcPr>
              </m:mc>
            </m:mcs>
            <m:ctrlPr>
              <w:rPr>
                <w:rFonts w:ascii="Cambria Math" w:hAnsi="Cambria Math"/>
              </w:rPr>
            </m:ctrlPr>
          </m:mPr>
          <m:m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fName>
                <m:e/>
              </m:func>
            </m:e>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i</m:t>
                  </m:r>
                </m:sub>
                <m:sup/>
                <m:e>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e>
              </m:nary>
            </m:e>
            <m:e/>
          </m:mr>
          <m:mr>
            <m:e>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e>
            <m:e>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max</m:t>
                  </m:r>
                </m:sup>
              </m:sSubSup>
            </m:e>
          </m:mr>
          <m:mr>
            <m:e/>
            <m:e>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e>
              </m:nary>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t</m:t>
                  </m:r>
                </m:sub>
                <m:sup/>
              </m:sSubSup>
            </m:e>
            <m:e>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demand</m:t>
                  </m:r>
                </m:sup>
              </m:sSubSup>
            </m:e>
          </m:mr>
        </m:m>
      </m:oMath>
      <w:r w:rsidR="009B143C" w:rsidRPr="0064560B">
        <w:rPr>
          <w:rFonts w:ascii="Times New Roman" w:hAnsi="Times New Roman"/>
        </w:rPr>
        <w:t xml:space="preserve"> </w:t>
      </w:r>
      <w:r w:rsidR="009B143C" w:rsidRPr="0064560B">
        <w:rPr>
          <w:rFonts w:ascii="Times New Roman" w:hAnsi="Times New Roman"/>
        </w:rPr>
        <w:tab/>
        <w:t>(</w:t>
      </w:r>
      <w:bookmarkStart w:id="9" w:name="eq1"/>
      <w:r w:rsidR="00905114" w:rsidRPr="0064560B">
        <w:rPr>
          <w:rFonts w:ascii="Times New Roman" w:hAnsi="Times New Roman"/>
        </w:rPr>
        <w:fldChar w:fldCharType="begin"/>
      </w:r>
      <w:r w:rsidR="009B143C" w:rsidRPr="0064560B">
        <w:rPr>
          <w:rFonts w:ascii="Times New Roman" w:hAnsi="Times New Roman"/>
        </w:rPr>
        <w:instrText xml:space="preserve"> SEQ step  \r 1 \* MERGEFORMAT </w:instrText>
      </w:r>
      <w:r w:rsidR="00905114" w:rsidRPr="0064560B">
        <w:rPr>
          <w:rFonts w:ascii="Times New Roman" w:hAnsi="Times New Roman"/>
        </w:rPr>
        <w:fldChar w:fldCharType="separate"/>
      </w:r>
      <w:r w:rsidR="009B143C" w:rsidRPr="0064560B">
        <w:rPr>
          <w:rFonts w:ascii="Times New Roman" w:hAnsi="Times New Roman"/>
          <w:noProof/>
        </w:rPr>
        <w:t>1</w:t>
      </w:r>
      <w:r w:rsidR="00905114" w:rsidRPr="0064560B">
        <w:rPr>
          <w:rFonts w:ascii="Times New Roman" w:hAnsi="Times New Roman"/>
          <w:noProof/>
        </w:rPr>
        <w:fldChar w:fldCharType="end"/>
      </w:r>
      <w:bookmarkEnd w:id="9"/>
      <w:r w:rsidR="009B143C" w:rsidRPr="0064560B">
        <w:rPr>
          <w:rFonts w:ascii="Times New Roman" w:hAnsi="Times New Roman"/>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lastRenderedPageBreak/>
        <w:t xml:space="preserve">where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t,i</m:t>
            </m:r>
          </m:sub>
          <m:sup/>
        </m:sSubSup>
      </m:oMath>
      <w:r w:rsidRPr="0064560B">
        <w:rPr>
          <w:rFonts w:ascii="Times New Roman" w:hAnsi="Times New Roman" w:cs="Times New Roman"/>
        </w:rPr>
        <w:t xml:space="preserve"> is the variable cost of the plant </w:t>
      </w:r>
      <m:oMath>
        <m:r>
          <w:rPr>
            <w:rFonts w:ascii="Cambria Math" w:hAnsi="Cambria Math" w:cs="Times New Roman"/>
          </w:rPr>
          <m:t>i</m:t>
        </m:r>
      </m:oMath>
      <w:r w:rsidRPr="0064560B">
        <w:rPr>
          <w:rFonts w:ascii="Times New Roman" w:hAnsi="Times New Roman" w:cs="Times New Roman"/>
        </w:rPr>
        <w:t xml:space="preserve"> at time </w:t>
      </w:r>
      <m:oMath>
        <m:r>
          <w:rPr>
            <w:rFonts w:ascii="Cambria Math" w:hAnsi="Cambria Math" w:cs="Times New Roman"/>
          </w:rPr>
          <m:t>t</m:t>
        </m:r>
      </m:oMath>
      <w:r w:rsidRPr="0064560B">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t,i</m:t>
            </m:r>
          </m:sub>
          <m:sup/>
        </m:sSubSup>
      </m:oMath>
      <w:r w:rsidRPr="0064560B">
        <w:rPr>
          <w:rFonts w:ascii="Times New Roman" w:hAnsi="Times New Roman" w:cs="Times New Roman"/>
        </w:rPr>
        <w:t xml:space="preserve"> is its production at the same period,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i</m:t>
            </m:r>
          </m:sub>
          <m:sup>
            <m:r>
              <w:rPr>
                <w:rFonts w:ascii="Cambria Math" w:hAnsi="Cambria Math" w:cs="Times New Roman"/>
              </w:rPr>
              <m:t>min</m:t>
            </m:r>
          </m:sup>
        </m:sSubSup>
      </m:oMath>
      <w:r w:rsidRPr="0064560B">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i</m:t>
            </m:r>
          </m:sub>
          <m:sup>
            <m:r>
              <w:rPr>
                <w:rFonts w:ascii="Cambria Math" w:hAnsi="Cambria Math" w:cs="Times New Roman"/>
              </w:rPr>
              <m:t>max</m:t>
            </m:r>
          </m:sup>
        </m:sSubSup>
      </m:oMath>
      <w:r w:rsidRPr="0064560B">
        <w:rPr>
          <w:rFonts w:ascii="Times New Roman" w:hAnsi="Times New Roman" w:cs="Times New Roman"/>
        </w:rPr>
        <w:t xml:space="preserve"> are its production limits and </w:t>
      </w:r>
      <m:oMath>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sSubSup>
      </m:oMath>
      <w:r w:rsidRPr="0064560B">
        <w:rPr>
          <w:rFonts w:ascii="Times New Roman" w:hAnsi="Times New Roman" w:cs="Times New Roman"/>
        </w:rPr>
        <w:t xml:space="preserve"> is the system demand at time </w:t>
      </w:r>
      <m:oMath>
        <m:r>
          <w:rPr>
            <w:rFonts w:ascii="Cambria Math" w:hAnsi="Cambria Math" w:cs="Times New Roman"/>
          </w:rPr>
          <m:t>t</m:t>
        </m:r>
      </m:oMath>
      <w:r w:rsidRPr="0064560B">
        <w:rPr>
          <w:rFonts w:ascii="Times New Roman" w:hAnsi="Times New Roman" w:cs="Times New Roman"/>
        </w:rPr>
        <w:t xml:space="preserve">. Thus, the optimality conditions for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t,i</m:t>
            </m:r>
          </m:sub>
          <m:sup/>
        </m:sSubSup>
      </m:oMath>
      <w:r w:rsidRPr="0064560B">
        <w:rPr>
          <w:rFonts w:ascii="Times New Roman" w:hAnsi="Times New Roman" w:cs="Times New Roman"/>
        </w:rPr>
        <w:t xml:space="preserve"> can be written as</w:t>
      </w:r>
    </w:p>
    <w:p w:rsidR="00E9248D" w:rsidRPr="0064560B" w:rsidRDefault="00D80DBD" w:rsidP="009B143C">
      <w:pPr>
        <w:pStyle w:val="ecuacion"/>
        <w:rPr>
          <w:rFonts w:ascii="Times New Roman" w:hAnsi="Times New Roman"/>
        </w:rPr>
      </w:pPr>
      <m:oMath>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demand</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max</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min</m:t>
                </m:r>
              </m:sup>
            </m:sSubSup>
          </m:e>
        </m:d>
      </m:oMath>
      <w:r w:rsidR="009B143C" w:rsidRPr="0064560B">
        <w:rPr>
          <w:rFonts w:ascii="Times New Roman" w:hAnsi="Times New Roman"/>
        </w:rPr>
        <w:tab/>
      </w:r>
      <w:r w:rsidR="009B143C" w:rsidRPr="0064560B">
        <w:rPr>
          <w:rFonts w:ascii="Times New Roman" w:hAnsi="Times New Roman"/>
          <w:lang w:eastAsia="es-ES"/>
        </w:rPr>
        <w:t>(</w:t>
      </w:r>
      <w:bookmarkStart w:id="10" w:name="eq2"/>
      <w:r w:rsidR="00905114" w:rsidRPr="0064560B">
        <w:rPr>
          <w:rFonts w:ascii="Times New Roman" w:hAnsi="Times New Roman"/>
        </w:rPr>
        <w:fldChar w:fldCharType="begin"/>
      </w:r>
      <w:r w:rsidR="009B143C"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9B143C" w:rsidRPr="0064560B">
        <w:rPr>
          <w:rFonts w:ascii="Times New Roman" w:hAnsi="Times New Roman"/>
          <w:noProof/>
        </w:rPr>
        <w:t>2</w:t>
      </w:r>
      <w:r w:rsidR="00905114" w:rsidRPr="0064560B">
        <w:rPr>
          <w:rFonts w:ascii="Times New Roman" w:hAnsi="Times New Roman"/>
          <w:noProof/>
        </w:rPr>
        <w:fldChar w:fldCharType="end"/>
      </w:r>
      <w:bookmarkEnd w:id="10"/>
      <w:r w:rsidR="009B143C" w:rsidRPr="0064560B">
        <w:rPr>
          <w:rFonts w:ascii="Times New Roman" w:hAnsi="Times New Roman"/>
          <w:noProof/>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t>On the other hand, under a market environment, power producers decide on their output by maximizing the profits associated with their electricity sales at the market price. Thus, the corresponding profit-maximization problem can be represented by</w:t>
      </w:r>
    </w:p>
    <w:p w:rsidR="00E9248D" w:rsidRPr="0064560B" w:rsidRDefault="00D80DBD" w:rsidP="009B143C">
      <w:pPr>
        <w:pStyle w:val="ecuacion"/>
        <w:rPr>
          <w:rFonts w:ascii="Times New Roman" w:hAnsi="Times New Roman"/>
        </w:rPr>
      </w:pPr>
      <m:oMath>
        <m:m>
          <m:mPr>
            <m:mcs>
              <m:mc>
                <m:mcPr>
                  <m:count m:val="3"/>
                  <m:mcJc m:val="center"/>
                </m:mcPr>
              </m:mc>
            </m:mcs>
            <m:ctrlPr>
              <w:rPr>
                <w:rFonts w:ascii="Cambria Math" w:hAnsi="Cambria Math"/>
              </w:rPr>
            </m:ctrlPr>
          </m:mPr>
          <m:m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fName>
                <m:e/>
              </m:func>
            </m:e>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i</m:t>
                  </m:r>
                </m:sub>
                <m:sup/>
                <m:e>
                  <m:d>
                    <m:dPr>
                      <m:ctrlPr>
                        <w:rPr>
                          <w:rFonts w:ascii="Cambria Math" w:hAnsi="Cambria Math"/>
                        </w:rPr>
                      </m:ctrlPr>
                    </m:dPr>
                    <m:e>
                      <m:sSubSup>
                        <m:sSubSupPr>
                          <m:ctrlPr>
                            <w:rPr>
                              <w:rFonts w:ascii="Cambria Math" w:hAnsi="Cambria Math"/>
                            </w:rPr>
                          </m:ctrlPr>
                        </m:sSubSupPr>
                        <m:e>
                          <m:sSubSup>
                            <m:sSubSupPr>
                              <m:ctrlPr>
                                <w:rPr>
                                  <w:rFonts w:ascii="Cambria Math" w:hAnsi="Cambria Math"/>
                                </w:rPr>
                              </m:ctrlPr>
                            </m:sSubSupPr>
                            <m:e>
                              <m:r>
                                <w:rPr>
                                  <w:rFonts w:ascii="Cambria Math" w:hAnsi="Cambria Math"/>
                                </w:rPr>
                                <m:t>π</m:t>
                              </m:r>
                            </m:e>
                            <m:sub>
                              <m:r>
                                <w:rPr>
                                  <w:rFonts w:ascii="Cambria Math" w:hAnsi="Cambria Math"/>
                                </w:rPr>
                                <m:t>t</m:t>
                              </m:r>
                            </m:sub>
                            <m:sup/>
                          </m:sSubSup>
                          <m:r>
                            <m:rPr>
                              <m:sty m:val="p"/>
                            </m:rPr>
                            <w:rPr>
                              <w:rFonts w:ascii="Cambria Math" w:hAnsi="Cambria Math"/>
                            </w:rPr>
                            <m:t>-</m:t>
                          </m:r>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e>
                  </m:d>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e>
              </m:nary>
            </m:e>
            <m:e/>
          </m:mr>
          <m:m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e>
            <m:e>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max</m:t>
                  </m:r>
                </m:sup>
              </m:sSubSup>
            </m:e>
          </m:mr>
        </m:m>
      </m:oMath>
      <w:r w:rsidR="00E9248D" w:rsidRPr="0064560B">
        <w:rPr>
          <w:rFonts w:ascii="Times New Roman" w:hAnsi="Times New Roman"/>
        </w:rPr>
        <w:tab/>
      </w:r>
      <w:r w:rsidR="00B37C38" w:rsidRPr="0064560B">
        <w:rPr>
          <w:rFonts w:ascii="Times New Roman" w:hAnsi="Times New Roman"/>
          <w:lang w:eastAsia="es-ES"/>
        </w:rPr>
        <w:t>(</w:t>
      </w:r>
      <w:bookmarkStart w:id="11" w:name="eq3"/>
      <w:r w:rsidR="00905114" w:rsidRPr="0064560B">
        <w:rPr>
          <w:rFonts w:ascii="Times New Roman" w:hAnsi="Times New Roman"/>
        </w:rPr>
        <w:fldChar w:fldCharType="begin"/>
      </w:r>
      <w:r w:rsidR="00B37C38"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B37C38" w:rsidRPr="0064560B">
        <w:rPr>
          <w:rFonts w:ascii="Times New Roman" w:hAnsi="Times New Roman"/>
          <w:noProof/>
        </w:rPr>
        <w:t>3</w:t>
      </w:r>
      <w:r w:rsidR="00905114" w:rsidRPr="0064560B">
        <w:rPr>
          <w:rFonts w:ascii="Times New Roman" w:hAnsi="Times New Roman"/>
          <w:noProof/>
        </w:rPr>
        <w:fldChar w:fldCharType="end"/>
      </w:r>
      <w:bookmarkEnd w:id="11"/>
      <w:r w:rsidR="00B37C38" w:rsidRPr="0064560B">
        <w:rPr>
          <w:rFonts w:ascii="Times New Roman" w:hAnsi="Times New Roman"/>
          <w:noProof/>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π</m:t>
            </m:r>
          </m:e>
          <m:sub>
            <m:r>
              <w:rPr>
                <w:rFonts w:ascii="Cambria Math" w:hAnsi="Cambria Math" w:cs="Times New Roman"/>
              </w:rPr>
              <m:t>t</m:t>
            </m:r>
          </m:sub>
          <m:sup/>
        </m:sSubSup>
      </m:oMath>
      <w:r w:rsidRPr="0064560B">
        <w:rPr>
          <w:rFonts w:ascii="Times New Roman" w:hAnsi="Times New Roman" w:cs="Times New Roman"/>
        </w:rPr>
        <w:t xml:space="preserve"> is the market price at time </w:t>
      </w:r>
      <m:oMath>
        <m:r>
          <w:rPr>
            <w:rFonts w:ascii="Cambria Math" w:hAnsi="Cambria Math" w:cs="Times New Roman"/>
          </w:rPr>
          <m:t>t</m:t>
        </m:r>
      </m:oMath>
      <w:r w:rsidRPr="0064560B">
        <w:rPr>
          <w:rFonts w:ascii="Times New Roman" w:hAnsi="Times New Roman" w:cs="Times New Roman"/>
        </w:rPr>
        <w:t xml:space="preserve">. In this case, the optimality conditions of the problem for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t,i</m:t>
            </m:r>
          </m:sub>
          <m:sup/>
        </m:sSubSup>
      </m:oMath>
      <w:r w:rsidRPr="0064560B">
        <w:rPr>
          <w:rFonts w:ascii="Times New Roman" w:hAnsi="Times New Roman" w:cs="Times New Roman"/>
        </w:rPr>
        <w:t xml:space="preserve"> can be written as</w:t>
      </w:r>
    </w:p>
    <w:p w:rsidR="00E9248D" w:rsidRPr="0064560B" w:rsidRDefault="00D80DBD" w:rsidP="009B143C">
      <w:pPr>
        <w:pStyle w:val="ecuacion"/>
        <w:rPr>
          <w:rFonts w:ascii="Times New Roman" w:hAnsi="Times New Roman"/>
        </w:rPr>
      </w:pPr>
      <m:oMath>
        <m:sSubSup>
          <m:sSubSupPr>
            <m:ctrlPr>
              <w:rPr>
                <w:rFonts w:ascii="Cambria Math" w:hAnsi="Cambria Math"/>
              </w:rPr>
            </m:ctrlPr>
          </m:sSubSupPr>
          <m:e>
            <m:r>
              <w:rPr>
                <w:rFonts w:ascii="Cambria Math" w:hAnsi="Cambria Math"/>
              </w:rPr>
              <m:t>π</m:t>
            </m:r>
          </m:e>
          <m:sub>
            <m:r>
              <w:rPr>
                <w:rFonts w:ascii="Cambria Math" w:hAnsi="Cambria Math"/>
              </w:rPr>
              <m:t>t</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max</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min</m:t>
                </m:r>
              </m:sup>
            </m:sSubSup>
          </m:e>
        </m:d>
      </m:oMath>
      <w:r w:rsidR="00E9248D" w:rsidRPr="0064560B">
        <w:rPr>
          <w:rFonts w:ascii="Times New Roman" w:hAnsi="Times New Roman"/>
        </w:rPr>
        <w:tab/>
      </w:r>
      <w:r w:rsidR="00CA0EF3" w:rsidRPr="0064560B">
        <w:rPr>
          <w:rFonts w:ascii="Times New Roman" w:hAnsi="Times New Roman"/>
          <w:lang w:eastAsia="es-ES"/>
        </w:rPr>
        <w:t>(</w:t>
      </w:r>
      <w:bookmarkStart w:id="12" w:name="eq4"/>
      <w:r w:rsidR="00905114" w:rsidRPr="0064560B">
        <w:rPr>
          <w:rFonts w:ascii="Times New Roman" w:hAnsi="Times New Roman"/>
        </w:rPr>
        <w:fldChar w:fldCharType="begin"/>
      </w:r>
      <w:r w:rsidR="00CA0EF3"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CA0EF3" w:rsidRPr="0064560B">
        <w:rPr>
          <w:rFonts w:ascii="Times New Roman" w:hAnsi="Times New Roman"/>
          <w:noProof/>
        </w:rPr>
        <w:t>4</w:t>
      </w:r>
      <w:r w:rsidR="00905114" w:rsidRPr="0064560B">
        <w:rPr>
          <w:rFonts w:ascii="Times New Roman" w:hAnsi="Times New Roman"/>
          <w:noProof/>
        </w:rPr>
        <w:fldChar w:fldCharType="end"/>
      </w:r>
      <w:bookmarkEnd w:id="12"/>
      <w:r w:rsidR="00CA0EF3" w:rsidRPr="0064560B">
        <w:rPr>
          <w:rFonts w:ascii="Times New Roman" w:hAnsi="Times New Roman"/>
          <w:noProof/>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Comparing </w:t>
      </w:r>
      <w:r w:rsidR="008D3357" w:rsidRPr="0064560B">
        <w:rPr>
          <w:rFonts w:ascii="Times New Roman" w:hAnsi="Times New Roman" w:cs="Times New Roman"/>
        </w:rPr>
        <w:t>(</w:t>
      </w:r>
      <w:r w:rsidR="00905114" w:rsidRPr="0064560B">
        <w:rPr>
          <w:rFonts w:ascii="Times New Roman" w:hAnsi="Times New Roman" w:cs="Times New Roman"/>
        </w:rPr>
        <w:fldChar w:fldCharType="begin"/>
      </w:r>
      <w:r w:rsidR="008D3357" w:rsidRPr="0064560B">
        <w:rPr>
          <w:rFonts w:ascii="Times New Roman" w:hAnsi="Times New Roman" w:cs="Times New Roman"/>
        </w:rPr>
        <w:instrText xml:space="preserve"> REF  eq4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8D3357" w:rsidRPr="0064560B">
        <w:rPr>
          <w:rFonts w:ascii="Times New Roman" w:hAnsi="Times New Roman" w:cs="Times New Roman"/>
          <w:noProof/>
        </w:rPr>
        <w:t>4</w:t>
      </w:r>
      <w:r w:rsidR="00905114" w:rsidRPr="0064560B">
        <w:rPr>
          <w:rFonts w:ascii="Times New Roman" w:hAnsi="Times New Roman" w:cs="Times New Roman"/>
        </w:rPr>
        <w:fldChar w:fldCharType="end"/>
      </w:r>
      <w:r w:rsidR="008D3357" w:rsidRPr="0064560B">
        <w:rPr>
          <w:rFonts w:ascii="Times New Roman" w:hAnsi="Times New Roman" w:cs="Times New Roman"/>
        </w:rPr>
        <w:t>)</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eq4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end"/>
      </w:r>
      <w:r w:rsidRPr="0064560B">
        <w:rPr>
          <w:rFonts w:ascii="Times New Roman" w:hAnsi="Times New Roman" w:cs="Times New Roman"/>
        </w:rPr>
        <w:t xml:space="preserve"> to the optimality of the centralized problem, defined by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eq2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8D3357" w:rsidRPr="0064560B">
        <w:rPr>
          <w:rFonts w:ascii="Times New Roman" w:hAnsi="Times New Roman" w:cs="Times New Roman"/>
          <w:noProof/>
        </w:rPr>
        <w:t>2</w:t>
      </w:r>
      <w:r w:rsidR="00905114" w:rsidRPr="0064560B">
        <w:rPr>
          <w:rFonts w:ascii="Times New Roman" w:hAnsi="Times New Roman" w:cs="Times New Roman"/>
        </w:rPr>
        <w:fldChar w:fldCharType="end"/>
      </w:r>
      <w:r w:rsidRPr="0064560B">
        <w:rPr>
          <w:rFonts w:ascii="Times New Roman" w:hAnsi="Times New Roman" w:cs="Times New Roman"/>
        </w:rPr>
        <w:t>), the solutions of both problems are the same when the price is identified with the shadow price of the balance constraint:</w:t>
      </w:r>
    </w:p>
    <w:p w:rsidR="00E9248D" w:rsidRPr="0064560B" w:rsidRDefault="00D80DBD" w:rsidP="009B143C">
      <w:pPr>
        <w:pStyle w:val="ecuacion"/>
        <w:rPr>
          <w:rFonts w:ascii="Times New Roman" w:hAnsi="Times New Roman"/>
        </w:rPr>
      </w:pPr>
      <m:oMath>
        <m:sSubSup>
          <m:sSubSupPr>
            <m:ctrlPr>
              <w:rPr>
                <w:rFonts w:ascii="Cambria Math" w:hAnsi="Cambria Math"/>
              </w:rPr>
            </m:ctrlPr>
          </m:sSubSupPr>
          <m:e>
            <m:r>
              <w:rPr>
                <w:rFonts w:ascii="Cambria Math" w:hAnsi="Cambria Math"/>
              </w:rPr>
              <m:t>π</m:t>
            </m:r>
          </m:e>
          <m:sub>
            <m:r>
              <w:rPr>
                <w:rFonts w:ascii="Cambria Math" w:hAnsi="Cambria Math"/>
              </w:rPr>
              <m:t>t</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demand</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max</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rPr>
                  <m:t>,</m:t>
                </m:r>
                <m:r>
                  <w:rPr>
                    <w:rFonts w:ascii="Cambria Math" w:hAnsi="Cambria Math"/>
                  </w:rPr>
                  <m:t>i</m:t>
                </m:r>
              </m:sub>
              <m:sup>
                <m:r>
                  <w:rPr>
                    <w:rFonts w:ascii="Cambria Math" w:hAnsi="Cambria Math"/>
                  </w:rPr>
                  <m:t>min</m:t>
                </m:r>
              </m:sup>
            </m:sSubSup>
          </m:e>
        </m:d>
      </m:oMath>
      <w:r w:rsidR="00E9248D" w:rsidRPr="0064560B">
        <w:rPr>
          <w:rFonts w:ascii="Times New Roman" w:hAnsi="Times New Roman"/>
        </w:rPr>
        <w:tab/>
      </w:r>
      <w:r w:rsidR="00CA0EF3" w:rsidRPr="0064560B">
        <w:rPr>
          <w:rFonts w:ascii="Times New Roman" w:hAnsi="Times New Roman"/>
          <w:lang w:eastAsia="es-ES"/>
        </w:rPr>
        <w:t>(</w:t>
      </w:r>
      <w:bookmarkStart w:id="13" w:name="eq5"/>
      <w:r w:rsidR="00905114" w:rsidRPr="0064560B">
        <w:rPr>
          <w:rFonts w:ascii="Times New Roman" w:hAnsi="Times New Roman"/>
        </w:rPr>
        <w:fldChar w:fldCharType="begin"/>
      </w:r>
      <w:r w:rsidR="00CA0EF3"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CA0EF3" w:rsidRPr="0064560B">
        <w:rPr>
          <w:rFonts w:ascii="Times New Roman" w:hAnsi="Times New Roman"/>
          <w:noProof/>
        </w:rPr>
        <w:t>5</w:t>
      </w:r>
      <w:r w:rsidR="00905114" w:rsidRPr="0064560B">
        <w:rPr>
          <w:rFonts w:ascii="Times New Roman" w:hAnsi="Times New Roman"/>
          <w:noProof/>
        </w:rPr>
        <w:fldChar w:fldCharType="end"/>
      </w:r>
      <w:bookmarkEnd w:id="13"/>
      <w:r w:rsidR="00CA0EF3" w:rsidRPr="0064560B">
        <w:rPr>
          <w:rFonts w:ascii="Times New Roman" w:hAnsi="Times New Roman"/>
          <w:noProof/>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Therefore, when system prices are defined as </w:t>
      </w:r>
      <m:oMath>
        <m:sSubSup>
          <m:sSubSupPr>
            <m:ctrlPr>
              <w:rPr>
                <w:rFonts w:ascii="Cambria Math" w:hAnsi="Cambria Math" w:cs="Times New Roman"/>
                <w:i/>
              </w:rPr>
            </m:ctrlPr>
          </m:sSubSupPr>
          <m:e>
            <m:r>
              <w:rPr>
                <w:rFonts w:ascii="Cambria Math" w:hAnsi="Cambria Math" w:cs="Times New Roman"/>
              </w:rPr>
              <m:t>π</m:t>
            </m:r>
          </m:e>
          <m:sub>
            <m:r>
              <w:rPr>
                <w:rFonts w:ascii="Cambria Math" w:hAnsi="Cambria Math" w:cs="Times New Roman"/>
              </w:rPr>
              <m:t>t</m:t>
            </m:r>
          </m:sub>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t</m:t>
            </m:r>
          </m:sub>
          <m:sup>
            <m:r>
              <w:rPr>
                <w:rFonts w:ascii="Cambria Math" w:hAnsi="Cambria Math" w:cs="Times New Roman"/>
              </w:rPr>
              <m:t>demand</m:t>
            </m:r>
          </m:sup>
        </m:sSubSup>
      </m:oMath>
      <w:r w:rsidRPr="0064560B">
        <w:rPr>
          <w:rFonts w:ascii="Times New Roman" w:hAnsi="Times New Roman" w:cs="Times New Roman"/>
        </w:rPr>
        <w:t xml:space="preserve">; i.e., the price is the shadow price of the balance equation in each hour, the producers’ output decisions obtained from the individual problems are the same than the ones resulting from a centralized dispatch. In other words, with this price definition, all agents perceive the output decisions that are efficient from the global point of view to be also their optimal responses to the market price. The efficient solution is also a market equilibrium, fulfilling the equilibrium condition: once the solution is achieved, no player has an incentive to deviate from the optimal dispatch. </w:t>
      </w:r>
    </w:p>
    <w:p w:rsidR="00E9248D" w:rsidRPr="0064560B" w:rsidRDefault="00E9248D" w:rsidP="00CA0EF3">
      <w:pPr>
        <w:pStyle w:val="Heading2"/>
        <w:rPr>
          <w:rFonts w:ascii="Times New Roman" w:hAnsi="Times New Roman" w:cs="Times New Roman"/>
        </w:rPr>
      </w:pPr>
      <w:r w:rsidRPr="0064560B">
        <w:rPr>
          <w:rFonts w:ascii="Times New Roman" w:hAnsi="Times New Roman" w:cs="Times New Roman"/>
        </w:rPr>
        <w:t>Price signals under integer non-convexities</w:t>
      </w:r>
    </w:p>
    <w:p w:rsidR="00E9248D" w:rsidRPr="0064560B" w:rsidRDefault="00E9248D" w:rsidP="00E9248D">
      <w:pPr>
        <w:rPr>
          <w:rFonts w:ascii="Times New Roman" w:hAnsi="Times New Roman" w:cs="Times New Roman"/>
        </w:rPr>
      </w:pPr>
      <w:r w:rsidRPr="0064560B">
        <w:rPr>
          <w:rFonts w:ascii="Times New Roman" w:hAnsi="Times New Roman" w:cs="Times New Roman"/>
        </w:rPr>
        <w:t>The main idea behind the reasoning described in the previous section is to identify the market price with the short-term marginal cost, i. e. the cost of producing an additional megawatt. However, when integer non-convexities are taken into account, the definition of such cost is considerably difficult. The following integer program represents the analogue to problem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eq1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Pr="0064560B">
        <w:rPr>
          <w:rFonts w:ascii="Times New Roman" w:hAnsi="Times New Roman" w:cs="Times New Roman"/>
          <w:noProof/>
        </w:rPr>
        <w:t>1</w:t>
      </w:r>
      <w:r w:rsidR="00905114" w:rsidRPr="0064560B">
        <w:rPr>
          <w:rFonts w:ascii="Times New Roman" w:hAnsi="Times New Roman" w:cs="Times New Roman"/>
        </w:rPr>
        <w:fldChar w:fldCharType="end"/>
      </w:r>
      <w:r w:rsidRPr="0064560B">
        <w:rPr>
          <w:rFonts w:ascii="Times New Roman" w:hAnsi="Times New Roman" w:cs="Times New Roman"/>
        </w:rPr>
        <w:t xml:space="preserve">) when integer decisions are considered: </w:t>
      </w:r>
    </w:p>
    <w:p w:rsidR="00067951" w:rsidRPr="0064560B" w:rsidRDefault="00D80DBD" w:rsidP="009A3D0A">
      <w:pPr>
        <w:pStyle w:val="ecuacion"/>
        <w:rPr>
          <w:rFonts w:ascii="Times New Roman" w:hAnsi="Times New Roman"/>
        </w:rPr>
      </w:pPr>
      <m:oMath>
        <m:m>
          <m:mPr>
            <m:mcs>
              <m:mc>
                <m:mcPr>
                  <m:count m:val="1"/>
                  <m:mcJc m:val="right"/>
                </m:mcPr>
              </m:mc>
              <m:mc>
                <m:mcPr>
                  <m:count m:val="2"/>
                  <m:mcJc m:val="left"/>
                </m:mcPr>
              </m:mc>
            </m:mcs>
            <m:ctrlPr>
              <w:rPr>
                <w:rFonts w:ascii="Cambria Math" w:eastAsiaTheme="minorEastAsia" w:hAnsi="Cambria Math"/>
                <w:szCs w:val="22"/>
                <w:lang w:eastAsia="en-GB"/>
              </w:rPr>
            </m:ctrlPr>
          </m:mPr>
          <m:mr>
            <m:e>
              <m:limLow>
                <m:limLowPr>
                  <m:ctrlPr>
                    <w:rPr>
                      <w:rFonts w:ascii="Cambria Math" w:hAnsi="Cambria Math"/>
                    </w:rPr>
                  </m:ctrlPr>
                </m:limLowPr>
                <m:e>
                  <m:r>
                    <m:rPr>
                      <m:sty m:val="p"/>
                    </m:rPr>
                    <w:rPr>
                      <w:rFonts w:ascii="Cambria Math" w:hAnsi="Cambria Math"/>
                    </w:rPr>
                    <m:t>min</m:t>
                  </m:r>
                </m:e>
                <m:lim>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lim>
              </m:limLow>
            </m:e>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i</m:t>
                  </m:r>
                </m:sub>
                <m:sup/>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cb</m:t>
                          </m:r>
                        </m:e>
                        <m:sub>
                          <m:r>
                            <w:rPr>
                              <w:rFonts w:ascii="Cambria Math" w:hAnsi="Cambria Math"/>
                            </w:rPr>
                            <m:t>i</m:t>
                          </m:r>
                        </m:sub>
                        <m:sup/>
                      </m:sSubSup>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ca</m:t>
                              </m:r>
                            </m:e>
                            <m:sub>
                              <m:r>
                                <w:rPr>
                                  <w:rFonts w:ascii="Cambria Math" w:hAnsi="Cambria Math"/>
                                </w:rPr>
                                <m:t>i</m:t>
                              </m:r>
                            </m:sub>
                            <m:sup/>
                          </m:sSubSup>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e>
                  </m:d>
                </m:e>
              </m:nary>
            </m:e>
            <m:e/>
          </m:mr>
          <m:m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mr>
          <m:mr>
            <m:e/>
            <m:e>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e>
              </m:nary>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t</m:t>
                  </m:r>
                </m:sub>
                <m:sup/>
              </m:sSubSup>
              <m:r>
                <m:rPr>
                  <m:sty m:val="p"/>
                </m:rPr>
                <w:rPr>
                  <w:rFonts w:ascii="Cambria Math" w:hAnsi="Cambria Math"/>
                </w:rPr>
                <m:t xml:space="preserve"> </m:t>
              </m:r>
            </m:e>
            <m:e>
              <m:ctrlPr>
                <w:rPr>
                  <w:rFonts w:ascii="Cambria Math" w:eastAsia="Cambria Math" w:hAnsi="Cambria Math"/>
                  <w:lang w:eastAsia="en-GB"/>
                </w:rPr>
              </m:ctrlPr>
            </m:e>
          </m:mr>
          <m:mr>
            <m:e>
              <m:ctrlPr>
                <w:rPr>
                  <w:rFonts w:ascii="Cambria Math" w:eastAsia="Cambria Math" w:hAnsi="Cambria Math"/>
                  <w:lang w:eastAsia="en-GB"/>
                </w:rPr>
              </m:ctrlP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-1,</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ctrlPr>
                <w:rPr>
                  <w:rFonts w:ascii="Cambria Math" w:eastAsia="Cambria Math" w:hAnsi="Cambria Math"/>
                  <w:lang w:eastAsia="en-GB"/>
                </w:rPr>
              </m:ctrlPr>
            </m:e>
            <m:e>
              <m:ctrlPr>
                <w:rPr>
                  <w:rFonts w:ascii="Cambria Math" w:eastAsia="Cambria Math" w:hAnsi="Cambria Math"/>
                  <w:lang w:eastAsia="en-GB"/>
                </w:rPr>
              </m:ctrlPr>
            </m:e>
          </m:mr>
          <m:mr>
            <m:e>
              <m:ctrlPr>
                <w:rPr>
                  <w:rFonts w:ascii="Cambria Math" w:eastAsia="Cambria Math" w:hAnsi="Cambria Math"/>
                  <w:lang w:eastAsia="en-GB"/>
                </w:rPr>
              </m:ctrlP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ctrlPr>
                <w:rPr>
                  <w:rFonts w:ascii="Cambria Math" w:eastAsia="Cambria Math" w:hAnsi="Cambria Math"/>
                  <w:lang w:eastAsia="en-GB"/>
                </w:rPr>
              </m:ctrlPr>
            </m:e>
            <m:e/>
          </m:mr>
        </m:m>
      </m:oMath>
      <w:r w:rsidR="00067951" w:rsidRPr="0064560B">
        <w:rPr>
          <w:rFonts w:ascii="Times New Roman" w:hAnsi="Times New Roman"/>
          <w:szCs w:val="22"/>
          <w:lang w:eastAsia="en-GB"/>
        </w:rPr>
        <w:tab/>
      </w:r>
      <w:r w:rsidR="00067951" w:rsidRPr="0064560B">
        <w:rPr>
          <w:rFonts w:ascii="Times New Roman" w:hAnsi="Times New Roman"/>
          <w:lang w:eastAsia="es-ES"/>
        </w:rPr>
        <w:t>(</w:t>
      </w:r>
      <w:bookmarkStart w:id="14" w:name="eq6"/>
      <w:r w:rsidR="00905114" w:rsidRPr="0064560B">
        <w:rPr>
          <w:rFonts w:ascii="Times New Roman" w:hAnsi="Times New Roman"/>
        </w:rPr>
        <w:fldChar w:fldCharType="begin"/>
      </w:r>
      <w:r w:rsidR="00067951"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067951" w:rsidRPr="0064560B">
        <w:rPr>
          <w:rFonts w:ascii="Times New Roman" w:hAnsi="Times New Roman"/>
          <w:noProof/>
        </w:rPr>
        <w:t>6</w:t>
      </w:r>
      <w:r w:rsidR="00905114" w:rsidRPr="0064560B">
        <w:rPr>
          <w:rFonts w:ascii="Times New Roman" w:hAnsi="Times New Roman"/>
          <w:noProof/>
        </w:rPr>
        <w:fldChar w:fldCharType="end"/>
      </w:r>
      <w:bookmarkEnd w:id="14"/>
      <w:r w:rsidR="00067951" w:rsidRPr="0064560B">
        <w:rPr>
          <w:rFonts w:ascii="Times New Roman" w:hAnsi="Times New Roman"/>
          <w:noProof/>
        </w:rPr>
        <w:t>)</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where the new variables </w:t>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t,i</m:t>
            </m:r>
          </m:sub>
          <m:sup/>
        </m:sSubSup>
      </m:oMath>
      <w:r w:rsidRPr="0064560B">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t,i</m:t>
            </m:r>
          </m:sub>
          <m:sup/>
        </m:sSubSup>
      </m:oMath>
      <w:r w:rsidRPr="0064560B">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t,i</m:t>
            </m:r>
          </m:sub>
          <m:sup/>
        </m:sSubSup>
      </m:oMath>
      <w:r w:rsidRPr="0064560B">
        <w:rPr>
          <w:rFonts w:ascii="Times New Roman" w:hAnsi="Times New Roman" w:cs="Times New Roman"/>
        </w:rPr>
        <w:t xml:space="preserve"> represent commitment, start-up and shut-down decisions, respectively, of unit </w:t>
      </w:r>
      <m:oMath>
        <m:r>
          <w:rPr>
            <w:rFonts w:ascii="Cambria Math" w:hAnsi="Cambria Math" w:cs="Times New Roman"/>
          </w:rPr>
          <m:t>i</m:t>
        </m:r>
      </m:oMath>
      <w:r w:rsidRPr="0064560B">
        <w:rPr>
          <w:rFonts w:ascii="Times New Roman" w:hAnsi="Times New Roman" w:cs="Times New Roman"/>
        </w:rPr>
        <w:t xml:space="preserve"> at time </w:t>
      </w:r>
      <m:oMath>
        <m:r>
          <w:rPr>
            <w:rFonts w:ascii="Cambria Math" w:hAnsi="Cambria Math" w:cs="Times New Roman"/>
          </w:rPr>
          <m:t>t</m:t>
        </m:r>
      </m:oMath>
      <w:r w:rsidRPr="0064560B">
        <w:rPr>
          <w:rFonts w:ascii="Times New Roman" w:hAnsi="Times New Roman" w:cs="Times New Roman"/>
        </w:rPr>
        <w:t xml:space="preserve">. Parameters </w:t>
      </w:r>
      <m:oMath>
        <m:sSubSup>
          <m:sSubSupPr>
            <m:ctrlPr>
              <w:rPr>
                <w:rFonts w:ascii="Cambria Math" w:hAnsi="Cambria Math" w:cs="Times New Roman"/>
                <w:i/>
              </w:rPr>
            </m:ctrlPr>
          </m:sSubSupPr>
          <m:e>
            <m:r>
              <w:rPr>
                <w:rFonts w:ascii="Cambria Math" w:hAnsi="Cambria Math" w:cs="Times New Roman"/>
              </w:rPr>
              <m:t>cb</m:t>
            </m:r>
          </m:e>
          <m:sub>
            <m:r>
              <w:rPr>
                <w:rFonts w:ascii="Cambria Math" w:hAnsi="Cambria Math" w:cs="Times New Roman"/>
              </w:rPr>
              <m:t>i</m:t>
            </m:r>
          </m:sub>
          <m:sup/>
        </m:sSubSup>
      </m:oMath>
      <w:r w:rsidRPr="0064560B">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ca</m:t>
            </m:r>
          </m:e>
          <m:sub>
            <m:r>
              <w:rPr>
                <w:rFonts w:ascii="Cambria Math" w:hAnsi="Cambria Math" w:cs="Times New Roman"/>
              </w:rPr>
              <m:t>i</m:t>
            </m:r>
          </m:sub>
          <m:sup/>
        </m:sSubSup>
      </m:oMath>
      <w:r w:rsidRPr="0064560B">
        <w:rPr>
          <w:rFonts w:ascii="Times New Roman" w:hAnsi="Times New Roman" w:cs="Times New Roman"/>
        </w:rPr>
        <w:t xml:space="preserve"> are the no-load and start-up costs of unit </w:t>
      </w:r>
      <m:oMath>
        <m:r>
          <w:rPr>
            <w:rFonts w:ascii="Cambria Math" w:hAnsi="Cambria Math" w:cs="Times New Roman"/>
          </w:rPr>
          <m:t>i</m:t>
        </m:r>
      </m:oMath>
      <w:r w:rsidRPr="0064560B">
        <w:rPr>
          <w:rFonts w:ascii="Times New Roman" w:hAnsi="Times New Roman" w:cs="Times New Roman"/>
        </w:rPr>
        <w:t>, respectively (we assume shut-down cost is zero). The third constraint represents a continuity constraint: if the power plant is on-line at time</w:t>
      </w:r>
      <m:oMath>
        <m:r>
          <w:rPr>
            <w:rFonts w:ascii="Cambria Math" w:hAnsi="Cambria Math" w:cs="Times New Roman"/>
          </w:rPr>
          <m:t xml:space="preserve"> t</m:t>
        </m:r>
      </m:oMath>
      <w:r w:rsidRPr="0064560B">
        <w:rPr>
          <w:rFonts w:ascii="Times New Roman" w:hAnsi="Times New Roman" w:cs="Times New Roman"/>
        </w:rPr>
        <w:t xml:space="preserve">, then it was either on-line at time </w:t>
      </w:r>
      <m:oMath>
        <m:r>
          <w:rPr>
            <w:rFonts w:ascii="Cambria Math" w:hAnsi="Cambria Math" w:cs="Times New Roman"/>
          </w:rPr>
          <m:t>t-1</m:t>
        </m:r>
      </m:oMath>
      <w:r w:rsidRPr="0064560B">
        <w:rPr>
          <w:rFonts w:ascii="Times New Roman" w:hAnsi="Times New Roman" w:cs="Times New Roman"/>
        </w:rPr>
        <w:t xml:space="preserve"> or it is started up at time </w:t>
      </w:r>
      <m:oMath>
        <m:r>
          <w:rPr>
            <w:rFonts w:ascii="Cambria Math" w:hAnsi="Cambria Math" w:cs="Times New Roman"/>
          </w:rPr>
          <m:t>t</m:t>
        </m:r>
      </m:oMath>
      <w:r w:rsidRPr="0064560B">
        <w:rPr>
          <w:rFonts w:ascii="Times New Roman" w:hAnsi="Times New Roman" w:cs="Times New Roman"/>
        </w:rPr>
        <w:t xml:space="preserve">. Conversely, if it is not on-line, then it was either off-line at time </w:t>
      </w:r>
      <m:oMath>
        <m:r>
          <w:rPr>
            <w:rFonts w:ascii="Cambria Math" w:hAnsi="Cambria Math" w:cs="Times New Roman"/>
          </w:rPr>
          <m:t>t-1</m:t>
        </m:r>
      </m:oMath>
      <w:r w:rsidRPr="0064560B">
        <w:rPr>
          <w:rFonts w:ascii="Times New Roman" w:hAnsi="Times New Roman" w:cs="Times New Roman"/>
        </w:rPr>
        <w:t xml:space="preserve"> or it is shut down at time </w:t>
      </w:r>
      <m:oMath>
        <m:r>
          <w:rPr>
            <w:rFonts w:ascii="Cambria Math" w:hAnsi="Cambria Math" w:cs="Times New Roman"/>
          </w:rPr>
          <m:t>t</m:t>
        </m:r>
      </m:oMath>
      <w:r w:rsidRPr="0064560B">
        <w:rPr>
          <w:rFonts w:ascii="Times New Roman" w:hAnsi="Times New Roman" w:cs="Times New Roman"/>
        </w:rPr>
        <w:t xml:space="preserve">.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Since this is a mixed-integer optimization, first-order optimality conditions cannot be defined as in the previous subsection, as they are only meaningful for linear problems. The optimization </w:t>
      </w:r>
      <w:r w:rsidRPr="0064560B">
        <w:rPr>
          <w:rFonts w:ascii="Times New Roman" w:hAnsi="Times New Roman" w:cs="Times New Roman"/>
        </w:rPr>
        <w:lastRenderedPageBreak/>
        <w:t xml:space="preserve">algorithms perform different kind of searching techniques, which go beyond the pure marginal analysis, to reach the best solution. Therefore, before we formalize the solution of this problem and compare it with the solution of the market players’ problems, let us start with a simple example to identify the most relevant issues in the discussion. </w:t>
      </w:r>
    </w:p>
    <w:p w:rsidR="00E9248D" w:rsidRPr="0064560B" w:rsidRDefault="00E9248D" w:rsidP="00E9248D">
      <w:pPr>
        <w:rPr>
          <w:rFonts w:ascii="Times New Roman" w:hAnsi="Times New Roman" w:cs="Times New Roman"/>
          <w:b/>
          <w:i/>
        </w:rPr>
      </w:pPr>
      <w:r w:rsidRPr="0064560B">
        <w:rPr>
          <w:rFonts w:ascii="Times New Roman" w:hAnsi="Times New Roman" w:cs="Times New Roman"/>
          <w:b/>
          <w:i/>
        </w:rPr>
        <w:t>Illustrative example</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We will assume a single-hour problem, where demand is </w:t>
      </w:r>
      <m:oMath>
        <m:r>
          <w:rPr>
            <w:rFonts w:ascii="Cambria Math" w:hAnsi="Cambria Math" w:cs="Times New Roman"/>
          </w:rPr>
          <m:t>d</m:t>
        </m:r>
      </m:oMath>
      <w:r w:rsidRPr="0064560B">
        <w:rPr>
          <w:rFonts w:ascii="Times New Roman" w:hAnsi="Times New Roman" w:cs="Times New Roman"/>
        </w:rPr>
        <w:t xml:space="preserve"> and there are three generators </w:t>
      </w:r>
      <m:oMath>
        <m:r>
          <w:rPr>
            <w:rFonts w:ascii="Cambria Math" w:hAnsi="Cambria Math" w:cs="Times New Roman"/>
          </w:rPr>
          <m:t>i=</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oMath>
      <w:r w:rsidRPr="0064560B">
        <w:rPr>
          <w:rFonts w:ascii="Times New Roman" w:hAnsi="Times New Roman" w:cs="Times New Roman"/>
        </w:rPr>
        <w:t xml:space="preserve">, with maximum output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i</m:t>
            </m:r>
          </m:sub>
          <m:sup>
            <m:r>
              <w:rPr>
                <w:rFonts w:ascii="Cambria Math" w:hAnsi="Cambria Math" w:cs="Times New Roman"/>
              </w:rPr>
              <m:t>max</m:t>
            </m:r>
          </m:sup>
        </m:sSubSup>
      </m:oMath>
      <w:r w:rsidRPr="0064560B">
        <w:rPr>
          <w:rFonts w:ascii="Times New Roman" w:hAnsi="Times New Roman" w:cs="Times New Roman"/>
        </w:rPr>
        <w:t xml:space="preserve">and a cost function that only involves a start-up cost </w:t>
      </w:r>
      <m:oMath>
        <m:sSub>
          <m:sSubPr>
            <m:ctrlPr>
              <w:rPr>
                <w:rFonts w:ascii="Cambria Math" w:hAnsi="Cambria Math" w:cs="Times New Roman"/>
                <w:i/>
              </w:rPr>
            </m:ctrlPr>
          </m:sSubPr>
          <m:e>
            <m:r>
              <w:rPr>
                <w:rFonts w:ascii="Cambria Math" w:hAnsi="Cambria Math" w:cs="Times New Roman"/>
              </w:rPr>
              <m:t>ca</m:t>
            </m:r>
          </m:e>
          <m:sub>
            <m:r>
              <w:rPr>
                <w:rFonts w:ascii="Cambria Math" w:hAnsi="Cambria Math" w:cs="Times New Roman"/>
              </w:rPr>
              <m:t>i</m:t>
            </m:r>
          </m:sub>
        </m:sSub>
      </m:oMath>
      <w:r w:rsidRPr="0064560B">
        <w:rPr>
          <w:rFonts w:ascii="Times New Roman" w:hAnsi="Times New Roman" w:cs="Times New Roman"/>
        </w:rPr>
        <w:t xml:space="preserve"> and a variable cost </w:t>
      </w:r>
      <m:oMath>
        <m:sSub>
          <m:sSubPr>
            <m:ctrlPr>
              <w:rPr>
                <w:rFonts w:ascii="Cambria Math" w:hAnsi="Cambria Math" w:cs="Times New Roman"/>
                <w:i/>
              </w:rPr>
            </m:ctrlPr>
          </m:sSubPr>
          <m:e>
            <m:r>
              <w:rPr>
                <w:rFonts w:ascii="Cambria Math" w:hAnsi="Cambria Math" w:cs="Times New Roman"/>
              </w:rPr>
              <m:t>cv</m:t>
            </m:r>
          </m:e>
          <m:sub>
            <m:r>
              <w:rPr>
                <w:rFonts w:ascii="Cambria Math" w:hAnsi="Cambria Math" w:cs="Times New Roman"/>
              </w:rPr>
              <m:t>i</m:t>
            </m:r>
          </m:sub>
        </m:sSub>
      </m:oMath>
      <w:r w:rsidRPr="0064560B">
        <w:rPr>
          <w:rFonts w:ascii="Times New Roman" w:hAnsi="Times New Roman" w:cs="Times New Roman"/>
        </w:rPr>
        <w:t xml:space="preserve"> for each of the generators, being </w:t>
      </w:r>
      <m:oMath>
        <m:sSub>
          <m:sSubPr>
            <m:ctrlPr>
              <w:rPr>
                <w:rFonts w:ascii="Cambria Math" w:hAnsi="Cambria Math" w:cs="Times New Roman"/>
                <w:i/>
              </w:rPr>
            </m:ctrlPr>
          </m:sSubPr>
          <m:e>
            <m:r>
              <w:rPr>
                <w:rFonts w:ascii="Cambria Math" w:hAnsi="Cambria Math" w:cs="Times New Roman"/>
              </w:rPr>
              <m:t>ca</m:t>
            </m:r>
          </m:e>
          <m:sub>
            <m:r>
              <w:rPr>
                <w:rFonts w:ascii="Cambria Math" w:hAnsi="Cambria Math" w:cs="Times New Roman"/>
              </w:rPr>
              <m:t>i</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ca</m:t>
            </m:r>
          </m:e>
          <m:sub>
            <m:r>
              <w:rPr>
                <w:rFonts w:ascii="Cambria Math" w:hAnsi="Cambria Math" w:cs="Times New Roman"/>
              </w:rPr>
              <m:t>i+1</m:t>
            </m:r>
          </m:sub>
        </m:sSub>
      </m:oMath>
      <w:r w:rsidRPr="0064560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cv</m:t>
            </m:r>
          </m:e>
          <m:sub>
            <m:r>
              <w:rPr>
                <w:rFonts w:ascii="Cambria Math" w:hAnsi="Cambria Math" w:cs="Times New Roman"/>
              </w:rPr>
              <m:t>i</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cv</m:t>
            </m:r>
          </m:e>
          <m:sub>
            <m:r>
              <w:rPr>
                <w:rFonts w:ascii="Cambria Math" w:hAnsi="Cambria Math" w:cs="Times New Roman"/>
              </w:rPr>
              <m:t>i+1</m:t>
            </m:r>
          </m:sub>
        </m:sSub>
      </m:oMath>
      <w:r w:rsidRPr="0064560B">
        <w:rPr>
          <w:rFonts w:ascii="Times New Roman" w:hAnsi="Times New Roman" w:cs="Times New Roman"/>
        </w:rPr>
        <w:t>. This is a very simple example, but it keeps the essential feature of including discrete variables, which are the source of non-convexities. The optimization of the centralized problem is rather easy in this case: if demand is smaller than the capacity of the cheapest generator, then only this one should produce; if demand is higher than the maximum output of the cheapest generator, but smaller than the aggregate capacity of the first and second generators, then the first one should produce at its maximum and the rest of the demand should be provided by the second unit; if demand is larger than the capacity of the first two generators, then both of them should operate at their maximum and the rest of the demand should be produced by the third generator. It results in the curve</w:t>
      </w:r>
      <w:r w:rsidR="00A46710" w:rsidRPr="0064560B">
        <w:rPr>
          <w:rFonts w:ascii="Times New Roman" w:hAnsi="Times New Roman" w:cs="Times New Roman"/>
        </w:rPr>
        <w:t xml:space="preserve">, represented in </w:t>
      </w:r>
      <w:r w:rsidR="00905114" w:rsidRPr="0064560B">
        <w:rPr>
          <w:rFonts w:ascii="Times New Roman" w:hAnsi="Times New Roman" w:cs="Times New Roman"/>
        </w:rPr>
        <w:fldChar w:fldCharType="begin"/>
      </w:r>
      <w:r w:rsidR="00A46710" w:rsidRPr="0064560B">
        <w:rPr>
          <w:rFonts w:ascii="Times New Roman" w:hAnsi="Times New Roman" w:cs="Times New Roman"/>
        </w:rPr>
        <w:instrText xml:space="preserve"> REF _Ref409504386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A46710" w:rsidRPr="0064560B">
        <w:rPr>
          <w:rFonts w:ascii="Times New Roman" w:hAnsi="Times New Roman" w:cs="Times New Roman"/>
        </w:rPr>
        <w:t xml:space="preserve">Figure </w:t>
      </w:r>
      <w:r w:rsidR="00A46710" w:rsidRPr="0064560B">
        <w:rPr>
          <w:rFonts w:ascii="Times New Roman" w:hAnsi="Times New Roman" w:cs="Times New Roman"/>
          <w:noProof/>
        </w:rPr>
        <w:t>1</w:t>
      </w:r>
      <w:r w:rsidR="00905114" w:rsidRPr="0064560B">
        <w:rPr>
          <w:rFonts w:ascii="Times New Roman" w:hAnsi="Times New Roman" w:cs="Times New Roman"/>
        </w:rPr>
        <w:fldChar w:fldCharType="end"/>
      </w:r>
      <w:r w:rsidRPr="0064560B">
        <w:rPr>
          <w:rFonts w:ascii="Times New Roman" w:hAnsi="Times New Roman" w:cs="Times New Roman"/>
        </w:rPr>
        <w:t xml:space="preserve"> of total production cost as generation increases. The optimal solution is the point where generation is equal to demand. </w:t>
      </w:r>
    </w:p>
    <w:p w:rsidR="00E9248D" w:rsidRPr="0064560B" w:rsidRDefault="00E9248D" w:rsidP="00A46710">
      <w:pPr>
        <w:pStyle w:val="Figura"/>
      </w:pPr>
      <w:r w:rsidRPr="0064560B">
        <w:rPr>
          <w:noProof/>
        </w:rPr>
        <w:drawing>
          <wp:inline distT="0" distB="0" distL="0" distR="0" wp14:anchorId="7CB278A3" wp14:editId="65CAFDEC">
            <wp:extent cx="2229339" cy="1721274"/>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2229339" cy="1721274"/>
                    </a:xfrm>
                    <a:prstGeom prst="rect">
                      <a:avLst/>
                    </a:prstGeom>
                    <a:noFill/>
                    <a:ln w="9525">
                      <a:noFill/>
                      <a:miter lim="800000"/>
                      <a:headEnd/>
                      <a:tailEnd/>
                    </a:ln>
                  </pic:spPr>
                </pic:pic>
              </a:graphicData>
            </a:graphic>
          </wp:inline>
        </w:drawing>
      </w:r>
    </w:p>
    <w:p w:rsidR="00A46710" w:rsidRPr="0064560B" w:rsidRDefault="00A46710" w:rsidP="00A46710">
      <w:pPr>
        <w:pStyle w:val="Caption"/>
        <w:rPr>
          <w:rFonts w:ascii="Times New Roman" w:hAnsi="Times New Roman"/>
        </w:rPr>
      </w:pPr>
      <w:bookmarkStart w:id="15" w:name="_Ref409504386"/>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5D33B1" w:rsidRPr="0064560B">
        <w:rPr>
          <w:rFonts w:ascii="Times New Roman" w:hAnsi="Times New Roman"/>
          <w:noProof/>
        </w:rPr>
        <w:t>1</w:t>
      </w:r>
      <w:r w:rsidR="00905114" w:rsidRPr="0064560B">
        <w:rPr>
          <w:rFonts w:ascii="Times New Roman" w:hAnsi="Times New Roman"/>
        </w:rPr>
        <w:fldChar w:fldCharType="end"/>
      </w:r>
      <w:bookmarkEnd w:id="15"/>
      <w:r w:rsidRPr="0064560B">
        <w:rPr>
          <w:rFonts w:ascii="Times New Roman" w:hAnsi="Times New Roman"/>
        </w:rPr>
        <w:t xml:space="preserve">. Production costs as a function of electricity produced. </w:t>
      </w:r>
    </w:p>
    <w:p w:rsidR="00E9248D" w:rsidRPr="0064560B" w:rsidRDefault="00E9248D" w:rsidP="00E9248D">
      <w:pPr>
        <w:rPr>
          <w:rFonts w:ascii="Times New Roman" w:hAnsi="Times New Roman" w:cs="Times New Roman"/>
        </w:rPr>
      </w:pPr>
      <w:r w:rsidRPr="0064560B">
        <w:rPr>
          <w:rFonts w:ascii="Times New Roman" w:hAnsi="Times New Roman" w:cs="Times New Roman"/>
        </w:rPr>
        <w:t>In a perfect market context, each generator decides its output maximizing income from market sales minus operating cost. If the prices were calculated from the direct application of the results of the convex case described in section</w:t>
      </w:r>
      <w:r w:rsidR="005D674D" w:rsidRPr="0064560B">
        <w:rPr>
          <w:rFonts w:ascii="Times New Roman" w:hAnsi="Times New Roman" w:cs="Times New Roman"/>
        </w:rPr>
        <w:t xml:space="preserve"> </w:t>
      </w:r>
      <w:r w:rsidR="00C318AF" w:rsidRPr="0064560B">
        <w:rPr>
          <w:rFonts w:ascii="Times New Roman" w:hAnsi="Times New Roman" w:cs="Times New Roman"/>
        </w:rPr>
        <w:fldChar w:fldCharType="begin"/>
      </w:r>
      <w:r w:rsidR="00C318AF" w:rsidRPr="0064560B">
        <w:rPr>
          <w:rFonts w:ascii="Times New Roman" w:hAnsi="Times New Roman" w:cs="Times New Roman"/>
        </w:rPr>
        <w:instrText xml:space="preserve"> REF _Ref409504434 \r \h  \* MERGEFORMAT </w:instrText>
      </w:r>
      <w:r w:rsidR="00C318AF" w:rsidRPr="0064560B">
        <w:rPr>
          <w:rFonts w:ascii="Times New Roman" w:hAnsi="Times New Roman" w:cs="Times New Roman"/>
        </w:rPr>
      </w:r>
      <w:r w:rsidR="00C318AF" w:rsidRPr="0064560B">
        <w:rPr>
          <w:rFonts w:ascii="Times New Roman" w:hAnsi="Times New Roman" w:cs="Times New Roman"/>
        </w:rPr>
        <w:fldChar w:fldCharType="separate"/>
      </w:r>
      <w:r w:rsidR="005D674D" w:rsidRPr="0064560B">
        <w:rPr>
          <w:rFonts w:ascii="Times New Roman" w:hAnsi="Times New Roman" w:cs="Times New Roman"/>
        </w:rPr>
        <w:t>3.1</w:t>
      </w:r>
      <w:r w:rsidR="00C318AF" w:rsidRPr="0064560B">
        <w:rPr>
          <w:rFonts w:ascii="Times New Roman" w:hAnsi="Times New Roman" w:cs="Times New Roman"/>
        </w:rPr>
        <w:fldChar w:fldCharType="end"/>
      </w:r>
      <w:r w:rsidRPr="0064560B">
        <w:rPr>
          <w:rFonts w:ascii="Times New Roman" w:hAnsi="Times New Roman" w:cs="Times New Roman"/>
        </w:rPr>
        <w:t>, then the price would be equal to the pure marginal cost</w:t>
      </w:r>
      <w:r w:rsidR="005D674D" w:rsidRPr="0064560B">
        <w:rPr>
          <w:rFonts w:ascii="Times New Roman" w:hAnsi="Times New Roman" w:cs="Times New Roman"/>
        </w:rPr>
        <w:t>:</w:t>
      </w:r>
      <w:r w:rsidRPr="0064560B">
        <w:rPr>
          <w:rFonts w:ascii="Times New Roman" w:hAnsi="Times New Roman" w:cs="Times New Roman"/>
        </w:rPr>
        <w:t xml:space="preserve"> in this example, to the variable cost of unit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The decision process of market players for this price is represented in </w:t>
      </w:r>
      <w:r w:rsidR="00905114" w:rsidRPr="0064560B">
        <w:rPr>
          <w:rFonts w:ascii="Times New Roman" w:hAnsi="Times New Roman" w:cs="Times New Roman"/>
          <w:i/>
          <w:highlight w:val="yellow"/>
        </w:rPr>
        <w:fldChar w:fldCharType="begin"/>
      </w:r>
      <w:r w:rsidR="00FD6376" w:rsidRPr="0064560B">
        <w:rPr>
          <w:rFonts w:ascii="Times New Roman" w:hAnsi="Times New Roman" w:cs="Times New Roman"/>
        </w:rPr>
        <w:instrText xml:space="preserve"> REF _Ref409504616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FD6376" w:rsidRPr="0064560B">
        <w:rPr>
          <w:rFonts w:ascii="Times New Roman" w:hAnsi="Times New Roman" w:cs="Times New Roman"/>
        </w:rPr>
        <w:t xml:space="preserve">Figure </w:t>
      </w:r>
      <w:r w:rsidR="00FD6376" w:rsidRPr="0064560B">
        <w:rPr>
          <w:rFonts w:ascii="Times New Roman" w:hAnsi="Times New Roman" w:cs="Times New Roman"/>
          <w:noProof/>
        </w:rPr>
        <w:t>2</w:t>
      </w:r>
      <w:r w:rsidR="00905114" w:rsidRPr="0064560B">
        <w:rPr>
          <w:rFonts w:ascii="Times New Roman" w:hAnsi="Times New Roman" w:cs="Times New Roman"/>
          <w:i/>
          <w:highlight w:val="yellow"/>
        </w:rPr>
        <w:fldChar w:fldCharType="end"/>
      </w:r>
      <w:r w:rsidRPr="0064560B">
        <w:rPr>
          <w:rFonts w:ascii="Times New Roman" w:hAnsi="Times New Roman" w:cs="Times New Roman"/>
        </w:rPr>
        <w:t xml:space="preserve">, where solid lines show their operating costs and the dotted ones represent their market income. </w:t>
      </w:r>
    </w:p>
    <w:p w:rsidR="00E9248D" w:rsidRPr="0064560B" w:rsidRDefault="00E9248D" w:rsidP="005D674D">
      <w:pPr>
        <w:pStyle w:val="Figura"/>
        <w:rPr>
          <w:noProof/>
          <w:lang w:eastAsia="es-ES"/>
        </w:rPr>
      </w:pPr>
      <w:r w:rsidRPr="0064560B">
        <w:rPr>
          <w:noProof/>
          <w:lang w:eastAsia="es-ES"/>
        </w:rPr>
        <w:lastRenderedPageBreak/>
        <w:t xml:space="preserve"> </w:t>
      </w:r>
      <w:r w:rsidRPr="0064560B">
        <w:rPr>
          <w:noProof/>
        </w:rPr>
        <w:drawing>
          <wp:inline distT="0" distB="0" distL="0" distR="0" wp14:anchorId="377C388D" wp14:editId="33924FB1">
            <wp:extent cx="3226507" cy="26930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3226507" cy="2693063"/>
                    </a:xfrm>
                    <a:prstGeom prst="rect">
                      <a:avLst/>
                    </a:prstGeom>
                    <a:noFill/>
                    <a:ln w="9525">
                      <a:noFill/>
                      <a:miter lim="800000"/>
                      <a:headEnd/>
                      <a:tailEnd/>
                    </a:ln>
                  </pic:spPr>
                </pic:pic>
              </a:graphicData>
            </a:graphic>
          </wp:inline>
        </w:drawing>
      </w:r>
    </w:p>
    <w:p w:rsidR="00E9248D" w:rsidRPr="0064560B" w:rsidRDefault="005D674D" w:rsidP="005D674D">
      <w:pPr>
        <w:pStyle w:val="Caption"/>
        <w:rPr>
          <w:rFonts w:ascii="Times New Roman" w:hAnsi="Times New Roman"/>
        </w:rPr>
      </w:pPr>
      <w:bookmarkStart w:id="16" w:name="_Ref409504616"/>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5D33B1" w:rsidRPr="0064560B">
        <w:rPr>
          <w:rFonts w:ascii="Times New Roman" w:hAnsi="Times New Roman"/>
          <w:noProof/>
        </w:rPr>
        <w:t>2</w:t>
      </w:r>
      <w:r w:rsidR="00905114" w:rsidRPr="0064560B">
        <w:rPr>
          <w:rFonts w:ascii="Times New Roman" w:hAnsi="Times New Roman"/>
        </w:rPr>
        <w:fldChar w:fldCharType="end"/>
      </w:r>
      <w:bookmarkEnd w:id="16"/>
      <w:r w:rsidRPr="0064560B">
        <w:rPr>
          <w:rFonts w:ascii="Times New Roman" w:hAnsi="Times New Roman"/>
        </w:rPr>
        <w:t xml:space="preserve">. Representation of producers’ decision-making process.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For generator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oMath>
      <w:r w:rsidRPr="0064560B">
        <w:rPr>
          <w:rFonts w:ascii="Times New Roman" w:hAnsi="Times New Roman" w:cs="Times New Roman"/>
        </w:rPr>
        <w:t xml:space="preserve">, operating margin is maximized when producing at its full capacity, since the price is higher than its marginal cost, and the higher the production the higher the net income. For generators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oMath>
      <w:r w:rsidRPr="0064560B">
        <w:rPr>
          <w:rFonts w:ascii="Times New Roman" w:hAnsi="Times New Roman" w:cs="Times New Roman"/>
        </w:rPr>
        <w:t xml:space="preserve">, on the contrary, the best decision is not to produce at all, since the price is not enough to compensate for their full operating costs. Total generation under this price is lower than demand, and different from the centralized solution. Therefore, we can conclude that this price does not support the global optimum to be a competitive equilibrium.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The same result could have been obtained by noticing that the net profits associated with any plant can be written as </w:t>
      </w:r>
      <m:oMath>
        <m:r>
          <w:rPr>
            <w:rFonts w:ascii="Cambria Math" w:hAnsi="Cambria Math" w:cs="Times New Roman"/>
          </w:rPr>
          <m:t>R=πg-C</m:t>
        </m:r>
      </m:oMath>
      <w:r w:rsidRPr="0064560B">
        <w:rPr>
          <w:rFonts w:ascii="Times New Roman" w:hAnsi="Times New Roman" w:cs="Times New Roman"/>
        </w:rPr>
        <w:t xml:space="preserve">, where </w:t>
      </w:r>
      <m:oMath>
        <m:r>
          <w:rPr>
            <w:rFonts w:ascii="Cambria Math" w:hAnsi="Cambria Math" w:cs="Times New Roman"/>
          </w:rPr>
          <m:t>C</m:t>
        </m:r>
      </m:oMath>
      <w:r w:rsidRPr="0064560B">
        <w:rPr>
          <w:rFonts w:ascii="Times New Roman" w:hAnsi="Times New Roman" w:cs="Times New Roman"/>
        </w:rPr>
        <w:t xml:space="preserve"> represents the production costs, </w:t>
      </w:r>
      <m:oMath>
        <m:r>
          <w:rPr>
            <w:rFonts w:ascii="Cambria Math" w:hAnsi="Cambria Math" w:cs="Times New Roman"/>
          </w:rPr>
          <m:t>g</m:t>
        </m:r>
      </m:oMath>
      <w:r w:rsidRPr="0064560B">
        <w:rPr>
          <w:rFonts w:ascii="Times New Roman" w:hAnsi="Times New Roman" w:cs="Times New Roman"/>
        </w:rPr>
        <w:t xml:space="preserve"> is the plant output and </w:t>
      </w:r>
      <m:oMath>
        <m:r>
          <w:rPr>
            <w:rFonts w:ascii="Cambria Math" w:hAnsi="Cambria Math" w:cs="Times New Roman"/>
          </w:rPr>
          <m:t>π</m:t>
        </m:r>
      </m:oMath>
      <w:r w:rsidRPr="0064560B">
        <w:rPr>
          <w:rFonts w:ascii="Times New Roman" w:hAnsi="Times New Roman" w:cs="Times New Roman"/>
        </w:rPr>
        <w:t xml:space="preserve"> is the market price. Thus, the net profits can be recast as </w:t>
      </w:r>
      <m:oMath>
        <m:r>
          <w:rPr>
            <w:rFonts w:ascii="Cambria Math" w:hAnsi="Cambria Math" w:cs="Times New Roman"/>
          </w:rPr>
          <m:t>C=-R+πg</m:t>
        </m:r>
      </m:oMath>
      <w:r w:rsidRPr="0064560B">
        <w:rPr>
          <w:rFonts w:ascii="Times New Roman" w:hAnsi="Times New Roman" w:cs="Times New Roman"/>
        </w:rPr>
        <w:t xml:space="preserve">, so they constitute a set of straight lines with slope </w:t>
      </w:r>
      <m:oMath>
        <m:r>
          <w:rPr>
            <w:rFonts w:ascii="Cambria Math" w:hAnsi="Cambria Math" w:cs="Times New Roman"/>
          </w:rPr>
          <m:t>π</m:t>
        </m:r>
      </m:oMath>
      <w:r w:rsidRPr="0064560B">
        <w:rPr>
          <w:rFonts w:ascii="Times New Roman" w:hAnsi="Times New Roman" w:cs="Times New Roman"/>
        </w:rPr>
        <w:t xml:space="preserve"> and intercept </w:t>
      </w:r>
      <m:oMath>
        <m:r>
          <w:rPr>
            <w:rFonts w:ascii="Cambria Math" w:hAnsi="Cambria Math" w:cs="Times New Roman"/>
          </w:rPr>
          <m:t>-R</m:t>
        </m:r>
      </m:oMath>
      <w:r w:rsidRPr="0064560B">
        <w:rPr>
          <w:rFonts w:ascii="Times New Roman" w:hAnsi="Times New Roman" w:cs="Times New Roman"/>
        </w:rPr>
        <w:t xml:space="preserve">. The individual decision of any certain market player, given the market price, is to choose the straight line with a slope equal to the market price and with the lowest possible intercept (i.e., maximum possible operating profit), taking into account that only the lines with at least one point in common with the cost curve are feasible. Therefore, a straight line with slope equal to the market price and tangent to the cost curve represents the optimal response of the system generation portfolio to a certain price. The optimal production is given by the intersection of both curves. In </w:t>
      </w:r>
      <w:r w:rsidR="00905114" w:rsidRPr="0064560B">
        <w:rPr>
          <w:rFonts w:ascii="Times New Roman" w:hAnsi="Times New Roman" w:cs="Times New Roman"/>
        </w:rPr>
        <w:fldChar w:fldCharType="begin"/>
      </w:r>
      <w:r w:rsidR="00CE257F" w:rsidRPr="0064560B">
        <w:rPr>
          <w:rFonts w:ascii="Times New Roman" w:hAnsi="Times New Roman" w:cs="Times New Roman"/>
        </w:rPr>
        <w:instrText xml:space="preserve"> REF _Ref409505652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CE257F" w:rsidRPr="0064560B">
        <w:rPr>
          <w:rFonts w:ascii="Times New Roman" w:hAnsi="Times New Roman" w:cs="Times New Roman"/>
        </w:rPr>
        <w:t xml:space="preserve">Figure </w:t>
      </w:r>
      <w:r w:rsidR="00CE257F" w:rsidRPr="0064560B">
        <w:rPr>
          <w:rFonts w:ascii="Times New Roman" w:hAnsi="Times New Roman" w:cs="Times New Roman"/>
          <w:noProof/>
        </w:rPr>
        <w:t>3</w:t>
      </w:r>
      <w:r w:rsidR="00905114" w:rsidRPr="0064560B">
        <w:rPr>
          <w:rFonts w:ascii="Times New Roman" w:hAnsi="Times New Roman" w:cs="Times New Roman"/>
        </w:rPr>
        <w:fldChar w:fldCharType="end"/>
      </w:r>
      <w:r w:rsidR="00CE257F" w:rsidRPr="0064560B">
        <w:rPr>
          <w:rFonts w:ascii="Times New Roman" w:hAnsi="Times New Roman" w:cs="Times New Roman"/>
        </w:rPr>
        <w:t xml:space="preserve"> </w:t>
      </w:r>
      <w:r w:rsidRPr="0064560B">
        <w:rPr>
          <w:rFonts w:ascii="Times New Roman" w:hAnsi="Times New Roman" w:cs="Times New Roman"/>
        </w:rPr>
        <w:t>this reasoning is applied to the previous market price</w:t>
      </w:r>
      <w:r w:rsidR="00CE257F" w:rsidRPr="0064560B">
        <w:rPr>
          <w:rFonts w:ascii="Times New Roman" w:hAnsi="Times New Roman" w:cs="Times New Roman"/>
        </w:rPr>
        <w:t>, the pure marginal cost</w:t>
      </w:r>
      <w:r w:rsidRPr="0064560B">
        <w:rPr>
          <w:rFonts w:ascii="Times New Roman" w:hAnsi="Times New Roman" w:cs="Times New Roman"/>
        </w:rPr>
        <w:t xml:space="preserve">, with the dotted line being the lowest line tangent to the cost curve and with the same slope than the variable costs of </w:t>
      </w:r>
      <w:proofErr w:type="gramStart"/>
      <w:r w:rsidRPr="0064560B">
        <w:rPr>
          <w:rFonts w:ascii="Times New Roman" w:hAnsi="Times New Roman" w:cs="Times New Roman"/>
        </w:rPr>
        <w:t xml:space="preserve">generator </w:t>
      </w:r>
      <w:proofErr w:type="gramEnd"/>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and it yields the same results as in </w:t>
      </w:r>
      <w:r w:rsidR="00905114" w:rsidRPr="0064560B">
        <w:rPr>
          <w:rFonts w:ascii="Times New Roman" w:hAnsi="Times New Roman" w:cs="Times New Roman"/>
          <w:i/>
          <w:highlight w:val="yellow"/>
        </w:rPr>
        <w:fldChar w:fldCharType="begin"/>
      </w:r>
      <w:r w:rsidR="00CE257F" w:rsidRPr="0064560B">
        <w:rPr>
          <w:rFonts w:ascii="Times New Roman" w:hAnsi="Times New Roman" w:cs="Times New Roman"/>
        </w:rPr>
        <w:instrText xml:space="preserve"> REF _Ref409504616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CE257F" w:rsidRPr="0064560B">
        <w:rPr>
          <w:rFonts w:ascii="Times New Roman" w:hAnsi="Times New Roman" w:cs="Times New Roman"/>
        </w:rPr>
        <w:t xml:space="preserve">Figure </w:t>
      </w:r>
      <w:r w:rsidR="00CE257F" w:rsidRPr="0064560B">
        <w:rPr>
          <w:rFonts w:ascii="Times New Roman" w:hAnsi="Times New Roman" w:cs="Times New Roman"/>
          <w:noProof/>
        </w:rPr>
        <w:t>2</w:t>
      </w:r>
      <w:r w:rsidR="00905114" w:rsidRPr="0064560B">
        <w:rPr>
          <w:rFonts w:ascii="Times New Roman" w:hAnsi="Times New Roman" w:cs="Times New Roman"/>
          <w:i/>
          <w:highlight w:val="yellow"/>
        </w:rPr>
        <w:fldChar w:fldCharType="end"/>
      </w:r>
      <w:r w:rsidRPr="0064560B">
        <w:rPr>
          <w:rFonts w:ascii="Times New Roman" w:hAnsi="Times New Roman" w:cs="Times New Roman"/>
        </w:rPr>
        <w:t xml:space="preserve">. </w:t>
      </w:r>
    </w:p>
    <w:p w:rsidR="00E9248D" w:rsidRPr="0064560B" w:rsidRDefault="00E9248D" w:rsidP="00CE257F">
      <w:pPr>
        <w:pStyle w:val="Figura"/>
        <w:rPr>
          <w:noProof/>
          <w:lang w:eastAsia="es-ES"/>
        </w:rPr>
      </w:pPr>
      <w:r w:rsidRPr="0064560B">
        <w:rPr>
          <w:noProof/>
        </w:rPr>
        <w:drawing>
          <wp:inline distT="0" distB="0" distL="0" distR="0" wp14:anchorId="0F08044F" wp14:editId="4199F75B">
            <wp:extent cx="2229339" cy="1861008"/>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2229339" cy="1861008"/>
                    </a:xfrm>
                    <a:prstGeom prst="rect">
                      <a:avLst/>
                    </a:prstGeom>
                    <a:noFill/>
                    <a:ln w="9525">
                      <a:noFill/>
                      <a:miter lim="800000"/>
                      <a:headEnd/>
                      <a:tailEnd/>
                    </a:ln>
                  </pic:spPr>
                </pic:pic>
              </a:graphicData>
            </a:graphic>
          </wp:inline>
        </w:drawing>
      </w:r>
    </w:p>
    <w:p w:rsidR="00CE257F" w:rsidRPr="0064560B" w:rsidRDefault="00CE257F" w:rsidP="00CE257F">
      <w:pPr>
        <w:pStyle w:val="Caption"/>
        <w:rPr>
          <w:rFonts w:ascii="Times New Roman" w:hAnsi="Times New Roman"/>
          <w:lang w:eastAsia="es-ES"/>
        </w:rPr>
      </w:pPr>
      <w:bookmarkStart w:id="17" w:name="_Ref409505652"/>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5D33B1" w:rsidRPr="0064560B">
        <w:rPr>
          <w:rFonts w:ascii="Times New Roman" w:hAnsi="Times New Roman"/>
          <w:noProof/>
        </w:rPr>
        <w:t>3</w:t>
      </w:r>
      <w:r w:rsidR="00905114" w:rsidRPr="0064560B">
        <w:rPr>
          <w:rFonts w:ascii="Times New Roman" w:hAnsi="Times New Roman"/>
        </w:rPr>
        <w:fldChar w:fldCharType="end"/>
      </w:r>
      <w:bookmarkEnd w:id="17"/>
      <w:r w:rsidRPr="0064560B">
        <w:rPr>
          <w:rFonts w:ascii="Times New Roman" w:hAnsi="Times New Roman"/>
        </w:rPr>
        <w:t xml:space="preserve">. Results analyzing net profits.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Again, generator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which is the marginal plant in the optimal solution, does not recover its start-up costs, and as a consequence its optimal response to this price is to stop producing. The </w:t>
      </w:r>
      <w:r w:rsidRPr="0064560B">
        <w:rPr>
          <w:rFonts w:ascii="Times New Roman" w:hAnsi="Times New Roman" w:cs="Times New Roman"/>
        </w:rPr>
        <w:lastRenderedPageBreak/>
        <w:t xml:space="preserve">equilibrium implied by such price is different from the optimal dispatch. Since the price is calculated as the pure marginal cost, any cost that is related to the discrete decisions is not incorporated into the prices, so the marginal unit does not recover its full operating costs, and therefore it is not willing to produce. This price does not attract enough generation to fulfill demand.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An alternative candidate for the market price is the average cost of the marginal plant, which should ensure that the price pays for all of the operating costs of this generator, so it will come on line. This is represented in </w:t>
      </w:r>
      <w:r w:rsidR="00905114" w:rsidRPr="0064560B">
        <w:rPr>
          <w:rFonts w:ascii="Times New Roman" w:hAnsi="Times New Roman" w:cs="Times New Roman"/>
          <w:i/>
          <w:highlight w:val="yellow"/>
        </w:rPr>
        <w:fldChar w:fldCharType="begin"/>
      </w:r>
      <w:r w:rsidR="003541CC" w:rsidRPr="0064560B">
        <w:rPr>
          <w:rFonts w:ascii="Times New Roman" w:hAnsi="Times New Roman" w:cs="Times New Roman"/>
        </w:rPr>
        <w:instrText xml:space="preserve"> REF _Ref409505751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3541CC" w:rsidRPr="0064560B">
        <w:rPr>
          <w:rFonts w:ascii="Times New Roman" w:hAnsi="Times New Roman" w:cs="Times New Roman"/>
        </w:rPr>
        <w:t xml:space="preserve">Figure </w:t>
      </w:r>
      <w:r w:rsidR="003541CC" w:rsidRPr="0064560B">
        <w:rPr>
          <w:rFonts w:ascii="Times New Roman" w:hAnsi="Times New Roman" w:cs="Times New Roman"/>
          <w:noProof/>
        </w:rPr>
        <w:t>4</w:t>
      </w:r>
      <w:r w:rsidR="00905114" w:rsidRPr="0064560B">
        <w:rPr>
          <w:rFonts w:ascii="Times New Roman" w:hAnsi="Times New Roman" w:cs="Times New Roman"/>
          <w:i/>
          <w:highlight w:val="yellow"/>
        </w:rPr>
        <w:fldChar w:fldCharType="end"/>
      </w:r>
      <w:r w:rsidRPr="0064560B">
        <w:rPr>
          <w:rFonts w:ascii="Times New Roman" w:hAnsi="Times New Roman" w:cs="Times New Roman"/>
        </w:rPr>
        <w:t>.</w:t>
      </w:r>
    </w:p>
    <w:p w:rsidR="00E9248D" w:rsidRPr="0064560B" w:rsidRDefault="00E9248D" w:rsidP="003541CC">
      <w:pPr>
        <w:pStyle w:val="Figura"/>
        <w:rPr>
          <w:noProof/>
          <w:lang w:val="es-ES" w:eastAsia="es-ES"/>
        </w:rPr>
      </w:pPr>
      <w:r w:rsidRPr="0064560B">
        <w:rPr>
          <w:noProof/>
        </w:rPr>
        <w:drawing>
          <wp:inline distT="0" distB="0" distL="0" distR="0" wp14:anchorId="4AB341CA" wp14:editId="59EFB327">
            <wp:extent cx="2229339" cy="1861008"/>
            <wp:effectExtent l="19050" t="0" r="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229339" cy="1861008"/>
                    </a:xfrm>
                    <a:prstGeom prst="rect">
                      <a:avLst/>
                    </a:prstGeom>
                    <a:noFill/>
                    <a:ln w="9525">
                      <a:noFill/>
                      <a:miter lim="800000"/>
                      <a:headEnd/>
                      <a:tailEnd/>
                    </a:ln>
                  </pic:spPr>
                </pic:pic>
              </a:graphicData>
            </a:graphic>
          </wp:inline>
        </w:drawing>
      </w:r>
    </w:p>
    <w:p w:rsidR="003541CC" w:rsidRPr="0064560B" w:rsidRDefault="003541CC" w:rsidP="003541CC">
      <w:pPr>
        <w:pStyle w:val="Caption"/>
        <w:rPr>
          <w:rFonts w:ascii="Times New Roman" w:hAnsi="Times New Roman"/>
        </w:rPr>
      </w:pPr>
      <w:bookmarkStart w:id="18" w:name="_Ref409505751"/>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5D33B1" w:rsidRPr="0064560B">
        <w:rPr>
          <w:rFonts w:ascii="Times New Roman" w:hAnsi="Times New Roman"/>
          <w:noProof/>
        </w:rPr>
        <w:t>4</w:t>
      </w:r>
      <w:r w:rsidR="00905114" w:rsidRPr="0064560B">
        <w:rPr>
          <w:rFonts w:ascii="Times New Roman" w:hAnsi="Times New Roman"/>
        </w:rPr>
        <w:fldChar w:fldCharType="end"/>
      </w:r>
      <w:bookmarkEnd w:id="18"/>
      <w:r w:rsidRPr="0064560B">
        <w:rPr>
          <w:rFonts w:ascii="Times New Roman" w:hAnsi="Times New Roman"/>
        </w:rPr>
        <w:t xml:space="preserve">. </w:t>
      </w:r>
      <w:r w:rsidR="00360E6B" w:rsidRPr="0064560B">
        <w:rPr>
          <w:rFonts w:ascii="Times New Roman" w:hAnsi="Times New Roman"/>
        </w:rPr>
        <w:t xml:space="preserve">Definition of price as the average cost.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This price is in fact enough to make generator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willing to produce. However,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does not maximize its profits by operating at the partial level determined by the global optimization, but rather by producing at its full capacity. Furthermore, the price is high enough to make plant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oMath>
      <w:r w:rsidRPr="0064560B">
        <w:rPr>
          <w:rFonts w:ascii="Times New Roman" w:hAnsi="Times New Roman" w:cs="Times New Roman"/>
        </w:rPr>
        <w:t xml:space="preserve"> willing to produce at its maximum too. Then, the total generation induced by this price is much larger than demand. The equilibrium implied by these prices is not the optimal dispatch either. </w:t>
      </w:r>
    </w:p>
    <w:p w:rsidR="00E9248D" w:rsidRPr="0064560B" w:rsidRDefault="00E9248D" w:rsidP="00E9248D">
      <w:pPr>
        <w:rPr>
          <w:rFonts w:ascii="Times New Roman" w:hAnsi="Times New Roman" w:cs="Times New Roman"/>
        </w:rPr>
      </w:pPr>
      <w:r w:rsidRPr="0064560B">
        <w:rPr>
          <w:rFonts w:ascii="Times New Roman" w:hAnsi="Times New Roman" w:cs="Times New Roman"/>
        </w:rPr>
        <w:t>A possible compromise solution is represented in</w:t>
      </w:r>
      <w:r w:rsidR="005D33B1"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5D33B1" w:rsidRPr="0064560B">
        <w:rPr>
          <w:rFonts w:ascii="Times New Roman" w:hAnsi="Times New Roman" w:cs="Times New Roman"/>
        </w:rPr>
        <w:instrText xml:space="preserve"> REF _Ref409505870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5D33B1" w:rsidRPr="0064560B">
        <w:rPr>
          <w:rFonts w:ascii="Times New Roman" w:hAnsi="Times New Roman" w:cs="Times New Roman"/>
        </w:rPr>
        <w:t xml:space="preserve">Figure </w:t>
      </w:r>
      <w:r w:rsidR="005D33B1" w:rsidRPr="0064560B">
        <w:rPr>
          <w:rFonts w:ascii="Times New Roman" w:hAnsi="Times New Roman" w:cs="Times New Roman"/>
          <w:noProof/>
        </w:rPr>
        <w:t>5</w:t>
      </w:r>
      <w:r w:rsidR="00905114" w:rsidRPr="0064560B">
        <w:rPr>
          <w:rFonts w:ascii="Times New Roman" w:hAnsi="Times New Roman" w:cs="Times New Roman"/>
        </w:rPr>
        <w:fldChar w:fldCharType="end"/>
      </w:r>
      <w:r w:rsidRPr="0064560B">
        <w:rPr>
          <w:rFonts w:ascii="Times New Roman" w:hAnsi="Times New Roman" w:cs="Times New Roman"/>
        </w:rPr>
        <w:t xml:space="preserve">. In this case, the market price is defined as the average cost at its maximum output of the marginal plant. </w:t>
      </w:r>
    </w:p>
    <w:p w:rsidR="00E9248D" w:rsidRPr="0064560B" w:rsidRDefault="00E9248D" w:rsidP="005D33B1">
      <w:pPr>
        <w:pStyle w:val="Figura"/>
        <w:rPr>
          <w:noProof/>
          <w:lang w:val="es-ES" w:eastAsia="es-ES"/>
        </w:rPr>
      </w:pPr>
      <w:r w:rsidRPr="0064560B">
        <w:rPr>
          <w:noProof/>
        </w:rPr>
        <w:drawing>
          <wp:inline distT="0" distB="0" distL="0" distR="0" wp14:anchorId="5BB8D807" wp14:editId="5D445DDB">
            <wp:extent cx="2229339" cy="1861008"/>
            <wp:effectExtent l="19050" t="0" r="0" b="0"/>
            <wp:docPr id="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2229339" cy="1861008"/>
                    </a:xfrm>
                    <a:prstGeom prst="rect">
                      <a:avLst/>
                    </a:prstGeom>
                    <a:noFill/>
                    <a:ln w="9525">
                      <a:noFill/>
                      <a:miter lim="800000"/>
                      <a:headEnd/>
                      <a:tailEnd/>
                    </a:ln>
                  </pic:spPr>
                </pic:pic>
              </a:graphicData>
            </a:graphic>
          </wp:inline>
        </w:drawing>
      </w:r>
    </w:p>
    <w:p w:rsidR="005D33B1" w:rsidRPr="0064560B" w:rsidRDefault="005D33B1" w:rsidP="005D33B1">
      <w:pPr>
        <w:pStyle w:val="Caption"/>
        <w:rPr>
          <w:rFonts w:ascii="Times New Roman" w:hAnsi="Times New Roman"/>
        </w:rPr>
      </w:pPr>
      <w:bookmarkStart w:id="19" w:name="_Ref409505870"/>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Pr="0064560B">
        <w:rPr>
          <w:rFonts w:ascii="Times New Roman" w:hAnsi="Times New Roman"/>
          <w:noProof/>
        </w:rPr>
        <w:t>5</w:t>
      </w:r>
      <w:r w:rsidR="00905114" w:rsidRPr="0064560B">
        <w:rPr>
          <w:rFonts w:ascii="Times New Roman" w:hAnsi="Times New Roman"/>
        </w:rPr>
        <w:fldChar w:fldCharType="end"/>
      </w:r>
      <w:bookmarkEnd w:id="19"/>
      <w:r w:rsidRPr="0064560B">
        <w:rPr>
          <w:rFonts w:ascii="Times New Roman" w:hAnsi="Times New Roman"/>
        </w:rPr>
        <w:t>. A compromise solution: price as the average cost at maximum output.</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Under this solution, all the units that were not dispatched in the optimal solution are not willing to produce, and no infra-marginal unit has incentives to stop producing. This means that, for all units except the marginal one, this price supports the global optimum as an equilibrium. However, the optimal response of the marginal plant is either to stop producing or to produce at its maximum output. Any generation level different than its maximum production would reduce the income of unit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making it lower than its operating costs, and thus leading the plant to stop producing. The price described in </w:t>
      </w:r>
      <w:r w:rsidR="00905114" w:rsidRPr="0064560B">
        <w:rPr>
          <w:rFonts w:ascii="Times New Roman" w:hAnsi="Times New Roman" w:cs="Times New Roman"/>
          <w:i/>
          <w:highlight w:val="yellow"/>
        </w:rPr>
        <w:fldChar w:fldCharType="begin"/>
      </w:r>
      <w:r w:rsidR="005D33B1" w:rsidRPr="0064560B">
        <w:rPr>
          <w:rFonts w:ascii="Times New Roman" w:hAnsi="Times New Roman" w:cs="Times New Roman"/>
        </w:rPr>
        <w:instrText xml:space="preserve"> REF _Ref409505870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5D33B1" w:rsidRPr="0064560B">
        <w:rPr>
          <w:rFonts w:ascii="Times New Roman" w:hAnsi="Times New Roman" w:cs="Times New Roman"/>
        </w:rPr>
        <w:t xml:space="preserve">Figure </w:t>
      </w:r>
      <w:r w:rsidR="005D33B1" w:rsidRPr="0064560B">
        <w:rPr>
          <w:rFonts w:ascii="Times New Roman" w:hAnsi="Times New Roman" w:cs="Times New Roman"/>
          <w:noProof/>
        </w:rPr>
        <w:t>5</w:t>
      </w:r>
      <w:r w:rsidR="00905114" w:rsidRPr="0064560B">
        <w:rPr>
          <w:rFonts w:ascii="Times New Roman" w:hAnsi="Times New Roman" w:cs="Times New Roman"/>
          <w:i/>
          <w:highlight w:val="yellow"/>
        </w:rPr>
        <w:fldChar w:fldCharType="end"/>
      </w:r>
      <w:r w:rsidRPr="0064560B">
        <w:rPr>
          <w:rFonts w:ascii="Times New Roman" w:hAnsi="Times New Roman" w:cs="Times New Roman"/>
        </w:rPr>
        <w:t xml:space="preserve"> does not create incentives for generator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oMath>
      <w:r w:rsidRPr="0064560B">
        <w:rPr>
          <w:rFonts w:ascii="Times New Roman" w:hAnsi="Times New Roman" w:cs="Times New Roman"/>
        </w:rPr>
        <w:t xml:space="preserve"> to produce at the level required to fulfill demand as in the optimal dispatch.</w:t>
      </w:r>
    </w:p>
    <w:p w:rsidR="00E9248D" w:rsidRPr="0064560B" w:rsidRDefault="00E9248D" w:rsidP="00E9248D">
      <w:pPr>
        <w:rPr>
          <w:rFonts w:ascii="Times New Roman" w:hAnsi="Times New Roman" w:cs="Times New Roman"/>
        </w:rPr>
      </w:pPr>
      <w:r w:rsidRPr="0064560B">
        <w:rPr>
          <w:rFonts w:ascii="Times New Roman" w:hAnsi="Times New Roman" w:cs="Times New Roman"/>
        </w:rPr>
        <w:lastRenderedPageBreak/>
        <w:t>This example illustrates that often there is no price that supports the short-term competitive equilibrium in the market. If the system operates under perfect competition (i.e</w:t>
      </w:r>
      <w:r w:rsidR="00C10686" w:rsidRPr="0064560B">
        <w:rPr>
          <w:rFonts w:ascii="Times New Roman" w:hAnsi="Times New Roman" w:cs="Times New Roman"/>
        </w:rPr>
        <w:t>.</w:t>
      </w:r>
      <w:r w:rsidRPr="0064560B">
        <w:rPr>
          <w:rFonts w:ascii="Times New Roman" w:hAnsi="Times New Roman" w:cs="Times New Roman"/>
        </w:rPr>
        <w:t xml:space="preserve"> each generator decides his production in order to maximize his own profits, considering that the price does not change upon his actions), then the equilibrium price should provide incentives to ensure that total production is equal to demand. In other words, the competitive equilibrium price should provide incentives for all the generators that have been dispatched in the centralized model to keep up with their production, and to all of the generators that have not been dispatched in the centralized model not to enter the market. However, in the example presented above any price slightly higher than the one described in </w:t>
      </w:r>
      <w:r w:rsidR="00905114" w:rsidRPr="0064560B">
        <w:rPr>
          <w:rFonts w:ascii="Times New Roman" w:hAnsi="Times New Roman" w:cs="Times New Roman"/>
          <w:i/>
          <w:highlight w:val="yellow"/>
        </w:rPr>
        <w:fldChar w:fldCharType="begin"/>
      </w:r>
      <w:r w:rsidR="005D33B1" w:rsidRPr="0064560B">
        <w:rPr>
          <w:rFonts w:ascii="Times New Roman" w:hAnsi="Times New Roman" w:cs="Times New Roman"/>
        </w:rPr>
        <w:instrText xml:space="preserve"> REF _Ref409505870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5D33B1" w:rsidRPr="0064560B">
        <w:rPr>
          <w:rFonts w:ascii="Times New Roman" w:hAnsi="Times New Roman" w:cs="Times New Roman"/>
        </w:rPr>
        <w:t xml:space="preserve">Figure </w:t>
      </w:r>
      <w:r w:rsidR="005D33B1" w:rsidRPr="0064560B">
        <w:rPr>
          <w:rFonts w:ascii="Times New Roman" w:hAnsi="Times New Roman" w:cs="Times New Roman"/>
          <w:noProof/>
        </w:rPr>
        <w:t>5</w:t>
      </w:r>
      <w:r w:rsidR="00905114" w:rsidRPr="0064560B">
        <w:rPr>
          <w:rFonts w:ascii="Times New Roman" w:hAnsi="Times New Roman" w:cs="Times New Roman"/>
          <w:i/>
          <w:highlight w:val="yellow"/>
        </w:rPr>
        <w:fldChar w:fldCharType="end"/>
      </w:r>
      <w:r w:rsidRPr="0064560B">
        <w:rPr>
          <w:rFonts w:ascii="Times New Roman" w:hAnsi="Times New Roman" w:cs="Times New Roman"/>
        </w:rPr>
        <w:t xml:space="preserve"> would lead market players to produce more than demand; any price slightly lower than this one would lead market players to generate less than demand; and the actual price in </w:t>
      </w:r>
      <w:r w:rsidR="00905114" w:rsidRPr="0064560B">
        <w:rPr>
          <w:rFonts w:ascii="Times New Roman" w:hAnsi="Times New Roman" w:cs="Times New Roman"/>
          <w:i/>
          <w:highlight w:val="yellow"/>
        </w:rPr>
        <w:fldChar w:fldCharType="begin"/>
      </w:r>
      <w:r w:rsidR="005D33B1" w:rsidRPr="0064560B">
        <w:rPr>
          <w:rFonts w:ascii="Times New Roman" w:hAnsi="Times New Roman" w:cs="Times New Roman"/>
        </w:rPr>
        <w:instrText xml:space="preserve"> REF _Ref409505870 \h </w:instrText>
      </w:r>
      <w:r w:rsidR="0064560B">
        <w:rPr>
          <w:rFonts w:ascii="Times New Roman" w:hAnsi="Times New Roman" w:cs="Times New Roman"/>
          <w:i/>
          <w:highlight w:val="yellow"/>
        </w:rPr>
        <w:instrText xml:space="preserve"> \* MERGEFORMAT </w:instrText>
      </w:r>
      <w:r w:rsidR="00905114" w:rsidRPr="0064560B">
        <w:rPr>
          <w:rFonts w:ascii="Times New Roman" w:hAnsi="Times New Roman" w:cs="Times New Roman"/>
          <w:i/>
          <w:highlight w:val="yellow"/>
        </w:rPr>
      </w:r>
      <w:r w:rsidR="00905114" w:rsidRPr="0064560B">
        <w:rPr>
          <w:rFonts w:ascii="Times New Roman" w:hAnsi="Times New Roman" w:cs="Times New Roman"/>
          <w:i/>
          <w:highlight w:val="yellow"/>
        </w:rPr>
        <w:fldChar w:fldCharType="separate"/>
      </w:r>
      <w:r w:rsidR="005D33B1" w:rsidRPr="0064560B">
        <w:rPr>
          <w:rFonts w:ascii="Times New Roman" w:hAnsi="Times New Roman" w:cs="Times New Roman"/>
        </w:rPr>
        <w:t xml:space="preserve">Figure </w:t>
      </w:r>
      <w:r w:rsidR="005D33B1" w:rsidRPr="0064560B">
        <w:rPr>
          <w:rFonts w:ascii="Times New Roman" w:hAnsi="Times New Roman" w:cs="Times New Roman"/>
          <w:noProof/>
        </w:rPr>
        <w:t>5</w:t>
      </w:r>
      <w:r w:rsidR="00905114" w:rsidRPr="0064560B">
        <w:rPr>
          <w:rFonts w:ascii="Times New Roman" w:hAnsi="Times New Roman" w:cs="Times New Roman"/>
          <w:i/>
          <w:highlight w:val="yellow"/>
        </w:rPr>
        <w:fldChar w:fldCharType="end"/>
      </w:r>
      <w:r w:rsidRPr="0064560B">
        <w:rPr>
          <w:rFonts w:ascii="Times New Roman" w:hAnsi="Times New Roman" w:cs="Times New Roman"/>
        </w:rPr>
        <w:t xml:space="preserve"> would lead either to more or less generation than required, but not the exact quantity demanded. There is no price that supports the short-term competitive equilibrium.</w:t>
      </w:r>
    </w:p>
    <w:p w:rsidR="00E9248D" w:rsidRPr="0064560B" w:rsidRDefault="00941F73" w:rsidP="00E9248D">
      <w:pPr>
        <w:rPr>
          <w:rFonts w:ascii="Times New Roman" w:hAnsi="Times New Roman" w:cs="Times New Roman"/>
          <w:b/>
          <w:i/>
        </w:rPr>
      </w:pPr>
      <w:r w:rsidRPr="0064560B">
        <w:rPr>
          <w:rFonts w:ascii="Times New Roman" w:hAnsi="Times New Roman" w:cs="Times New Roman"/>
          <w:b/>
          <w:i/>
        </w:rPr>
        <w:t>General characterization: the duality gap</w:t>
      </w:r>
    </w:p>
    <w:p w:rsidR="00E9248D" w:rsidRPr="0064560B" w:rsidRDefault="00E9248D" w:rsidP="00E9248D">
      <w:pPr>
        <w:rPr>
          <w:rFonts w:ascii="Times New Roman" w:hAnsi="Times New Roman" w:cs="Times New Roman"/>
        </w:rPr>
      </w:pPr>
      <w:r w:rsidRPr="0064560B">
        <w:rPr>
          <w:rFonts w:ascii="Times New Roman" w:hAnsi="Times New Roman" w:cs="Times New Roman"/>
        </w:rPr>
        <w:t>The lack of short-term equilibrium is not restricted to this example</w:t>
      </w:r>
      <w:r w:rsidR="008C258E" w:rsidRPr="0064560B">
        <w:rPr>
          <w:rFonts w:ascii="Times New Roman" w:hAnsi="Times New Roman" w:cs="Times New Roman"/>
        </w:rPr>
        <w:t>,</w:t>
      </w:r>
      <w:r w:rsidRPr="0064560B">
        <w:rPr>
          <w:rFonts w:ascii="Times New Roman" w:hAnsi="Times New Roman" w:cs="Times New Roman"/>
        </w:rPr>
        <w:t xml:space="preserve"> it is rather a general result of the non-convexities of the cost functions. The following optimization describes the decision process of each of the producers, where they decide their production once the market price is known. It is the analogue to problem</w:t>
      </w:r>
      <w:r w:rsidR="008D3357"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8D3357" w:rsidRPr="0064560B">
        <w:rPr>
          <w:rFonts w:ascii="Times New Roman" w:hAnsi="Times New Roman" w:cs="Times New Roman"/>
        </w:rPr>
        <w:instrText xml:space="preserve"> REF  eq3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8D3357" w:rsidRPr="0064560B">
        <w:rPr>
          <w:rFonts w:ascii="Times New Roman" w:hAnsi="Times New Roman" w:cs="Times New Roman"/>
          <w:noProof/>
        </w:rPr>
        <w:t>3</w:t>
      </w:r>
      <w:r w:rsidR="00905114" w:rsidRPr="0064560B">
        <w:rPr>
          <w:rFonts w:ascii="Times New Roman" w:hAnsi="Times New Roman" w:cs="Times New Roman"/>
        </w:rPr>
        <w:fldChar w:fldCharType="end"/>
      </w:r>
      <w:r w:rsidR="008D3357" w:rsidRPr="0064560B">
        <w:rPr>
          <w:rFonts w:ascii="Times New Roman" w:hAnsi="Times New Roman" w:cs="Times New Roman"/>
        </w:rPr>
        <w:t>)</w:t>
      </w:r>
      <w:r w:rsidRPr="0064560B">
        <w:rPr>
          <w:rFonts w:ascii="Times New Roman" w:hAnsi="Times New Roman" w:cs="Times New Roman"/>
        </w:rPr>
        <w:t xml:space="preserve"> when discrete variables are included.</w:t>
      </w:r>
    </w:p>
    <w:p w:rsidR="00836F93" w:rsidRPr="0064560B" w:rsidRDefault="00D80DBD" w:rsidP="00836F93">
      <w:pPr>
        <w:pStyle w:val="ecuacion"/>
        <w:rPr>
          <w:rFonts w:ascii="Times New Roman" w:hAnsi="Times New Roman"/>
        </w:rPr>
      </w:pPr>
      <m:oMath>
        <m:m>
          <m:mPr>
            <m:mcs>
              <m:mc>
                <m:mcPr>
                  <m:count m:val="1"/>
                  <m:mcJc m:val="right"/>
                </m:mcPr>
              </m:mc>
              <m:mc>
                <m:mcPr>
                  <m:count m:val="2"/>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max</m:t>
                  </m:r>
                </m:e>
                <m:lim>
                  <m:r>
                    <w:rPr>
                      <w:rFonts w:ascii="Cambria Math" w:hAnsi="Cambria Math"/>
                    </w:rPr>
                    <m:t>g</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lim>
              </m:limLow>
            </m:e>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i</m:t>
                  </m:r>
                </m:sub>
                <m:sup/>
                <m:e>
                  <m:d>
                    <m:dPr>
                      <m:ctrlPr>
                        <w:rPr>
                          <w:rFonts w:ascii="Cambria Math" w:hAnsi="Cambria Math"/>
                        </w:rPr>
                      </m:ctrlPr>
                    </m:dPr>
                    <m:e>
                      <m:sSubSup>
                        <m:sSubSupPr>
                          <m:ctrlPr>
                            <w:rPr>
                              <w:rFonts w:ascii="Cambria Math" w:hAnsi="Cambria Math"/>
                            </w:rPr>
                          </m:ctrlPr>
                        </m:sSubSupPr>
                        <m:e>
                          <m:r>
                            <w:rPr>
                              <w:rFonts w:ascii="Cambria Math" w:hAnsi="Cambria Math"/>
                            </w:rPr>
                            <m:t>π</m:t>
                          </m:r>
                        </m:e>
                        <m:sub>
                          <m:r>
                            <w:rPr>
                              <w:rFonts w:ascii="Cambria Math" w:hAnsi="Cambria Math"/>
                            </w:rPr>
                            <m:t>t</m:t>
                          </m:r>
                        </m:sub>
                        <m:sup/>
                      </m:sSubSup>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cb</m:t>
                          </m:r>
                        </m:e>
                        <m:sub>
                          <m:r>
                            <w:rPr>
                              <w:rFonts w:ascii="Cambria Math" w:hAnsi="Cambria Math"/>
                            </w:rPr>
                            <m:t>i</m:t>
                          </m:r>
                        </m:sub>
                        <m:sup/>
                      </m:sSubSup>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ca</m:t>
                              </m:r>
                            </m:e>
                            <m:sub>
                              <m:r>
                                <w:rPr>
                                  <w:rFonts w:ascii="Cambria Math" w:hAnsi="Cambria Math"/>
                                </w:rPr>
                                <m:t>i</m:t>
                              </m:r>
                            </m:sub>
                            <m:sup/>
                          </m:sSubSup>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e>
                  </m:d>
                </m:e>
              </m:nary>
            </m:e>
            <m:e/>
          </m:mr>
          <m:mr>
            <m:e>
              <m:r>
                <w:rPr>
                  <w:rFonts w:ascii="Cambria Math" w:hAnsi="Cambria Math"/>
                </w:rPr>
                <m:t>s.t.</m:t>
              </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mr>
          <m: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-1,</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e>
            <m:e>
              <m:ctrlPr>
                <w:rPr>
                  <w:rFonts w:ascii="Cambria Math" w:eastAsia="Cambria Math" w:hAnsi="Cambria Math"/>
                  <w:i/>
                </w:rPr>
              </m:ctrlPr>
            </m:e>
          </m:mr>
          <m:mr>
            <m:e>
              <m:ctrlPr>
                <w:rPr>
                  <w:rFonts w:ascii="Cambria Math" w:eastAsia="Cambria Math" w:hAnsi="Cambria Math"/>
                  <w:i/>
                </w:rPr>
              </m:ctrlP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ctrlPr>
                <w:rPr>
                  <w:rFonts w:ascii="Cambria Math" w:eastAsia="Cambria Math" w:hAnsi="Cambria Math"/>
                  <w:i/>
                </w:rPr>
              </m:ctrlPr>
            </m:e>
            <m:e/>
          </m:mr>
        </m:m>
      </m:oMath>
      <w:r w:rsidR="008D3357" w:rsidRPr="0064560B">
        <w:rPr>
          <w:rFonts w:ascii="Times New Roman" w:hAnsi="Times New Roman"/>
        </w:rPr>
        <w:tab/>
      </w:r>
      <w:r w:rsidR="008D3357" w:rsidRPr="0064560B">
        <w:rPr>
          <w:rFonts w:ascii="Times New Roman" w:hAnsi="Times New Roman"/>
          <w:lang w:eastAsia="es-ES"/>
        </w:rPr>
        <w:t>(</w:t>
      </w:r>
      <w:bookmarkStart w:id="20" w:name="eq7"/>
      <w:r w:rsidR="00905114" w:rsidRPr="0064560B">
        <w:rPr>
          <w:rFonts w:ascii="Times New Roman" w:hAnsi="Times New Roman"/>
        </w:rPr>
        <w:fldChar w:fldCharType="begin"/>
      </w:r>
      <w:r w:rsidR="008D3357"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0C5BAD" w:rsidRPr="0064560B">
        <w:rPr>
          <w:rFonts w:ascii="Times New Roman" w:hAnsi="Times New Roman"/>
          <w:noProof/>
        </w:rPr>
        <w:t>7</w:t>
      </w:r>
      <w:r w:rsidR="00905114" w:rsidRPr="0064560B">
        <w:rPr>
          <w:rFonts w:ascii="Times New Roman" w:hAnsi="Times New Roman"/>
          <w:noProof/>
        </w:rPr>
        <w:fldChar w:fldCharType="end"/>
      </w:r>
      <w:bookmarkEnd w:id="20"/>
      <w:r w:rsidR="008D3357" w:rsidRPr="0064560B">
        <w:rPr>
          <w:rFonts w:ascii="Times New Roman" w:hAnsi="Times New Roman"/>
          <w:noProof/>
        </w:rPr>
        <w:t>)</w:t>
      </w:r>
    </w:p>
    <w:p w:rsidR="000C385B" w:rsidRPr="0064560B" w:rsidRDefault="00E9248D" w:rsidP="00E9248D">
      <w:pPr>
        <w:rPr>
          <w:rFonts w:ascii="Times New Roman" w:hAnsi="Times New Roman" w:cs="Times New Roman"/>
        </w:rPr>
      </w:pPr>
      <w:r w:rsidRPr="0064560B">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π</m:t>
            </m:r>
          </m:e>
          <m:sub>
            <m:r>
              <w:rPr>
                <w:rFonts w:ascii="Cambria Math" w:hAnsi="Cambria Math" w:cs="Times New Roman"/>
              </w:rPr>
              <m:t>t</m:t>
            </m:r>
          </m:sub>
          <m:sup/>
        </m:sSubSup>
      </m:oMath>
      <w:r w:rsidRPr="0064560B">
        <w:rPr>
          <w:rFonts w:ascii="Times New Roman" w:hAnsi="Times New Roman" w:cs="Times New Roman"/>
        </w:rPr>
        <w:t xml:space="preserve"> is the market price at time </w:t>
      </w:r>
      <m:oMath>
        <m:r>
          <w:rPr>
            <w:rFonts w:ascii="Cambria Math" w:hAnsi="Cambria Math" w:cs="Times New Roman"/>
          </w:rPr>
          <m:t>t</m:t>
        </m:r>
      </m:oMath>
      <w:r w:rsidRPr="0064560B">
        <w:rPr>
          <w:rFonts w:ascii="Times New Roman" w:hAnsi="Times New Roman" w:cs="Times New Roman"/>
        </w:rPr>
        <w:t>. Compared to the centralized optimization described in problem</w:t>
      </w:r>
      <w:r w:rsidR="000C5BAD"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0C5BAD" w:rsidRPr="0064560B">
        <w:rPr>
          <w:rFonts w:ascii="Times New Roman" w:hAnsi="Times New Roman" w:cs="Times New Roman"/>
        </w:rPr>
        <w:instrText xml:space="preserve"> REF  eq6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0C5BAD" w:rsidRPr="0064560B">
        <w:rPr>
          <w:rFonts w:ascii="Times New Roman" w:hAnsi="Times New Roman" w:cs="Times New Roman"/>
          <w:noProof/>
        </w:rPr>
        <w:t>6</w:t>
      </w:r>
      <w:r w:rsidR="00905114" w:rsidRPr="0064560B">
        <w:rPr>
          <w:rFonts w:ascii="Times New Roman" w:hAnsi="Times New Roman" w:cs="Times New Roman"/>
        </w:rPr>
        <w:fldChar w:fldCharType="end"/>
      </w:r>
      <w:r w:rsidR="000C5BAD" w:rsidRPr="0064560B">
        <w:rPr>
          <w:rFonts w:ascii="Times New Roman" w:hAnsi="Times New Roman" w:cs="Times New Roman"/>
        </w:rPr>
        <w:t>)</w:t>
      </w:r>
      <w:r w:rsidRPr="0064560B">
        <w:rPr>
          <w:rFonts w:ascii="Times New Roman" w:hAnsi="Times New Roman" w:cs="Times New Roman"/>
        </w:rPr>
        <w:t xml:space="preserve">, the generation-demand balance equation </w:t>
      </w:r>
      <m:oMath>
        <m:nary>
          <m:naryPr>
            <m:chr m:val="∑"/>
            <m:limLoc m:val="undOvr"/>
            <m:supHide m:val="1"/>
            <m:ctrlPr>
              <w:rPr>
                <w:rFonts w:ascii="Cambria Math" w:hAnsi="Cambria Math" w:cs="Times New Roman"/>
                <w:i/>
              </w:rPr>
            </m:ctrlPr>
          </m:naryPr>
          <m:sub>
            <m:r>
              <w:rPr>
                <w:rFonts w:ascii="Cambria Math" w:hAnsi="Cambria Math" w:cs="Times New Roman"/>
              </w:rPr>
              <m:t>i</m:t>
            </m:r>
          </m:sub>
          <m:sup/>
          <m:e>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t,i</m:t>
                </m:r>
              </m:sub>
              <m:sup/>
            </m:sSubSup>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sSubSup>
      </m:oMath>
      <w:r w:rsidRPr="0064560B">
        <w:rPr>
          <w:rFonts w:ascii="Times New Roman" w:hAnsi="Times New Roman" w:cs="Times New Roman"/>
        </w:rPr>
        <w:t xml:space="preserve"> has disappeared in problem </w:t>
      </w:r>
      <w:r w:rsidR="000C5BAD" w:rsidRPr="0064560B">
        <w:rPr>
          <w:rFonts w:ascii="Times New Roman" w:hAnsi="Times New Roman" w:cs="Times New Roman"/>
        </w:rPr>
        <w:t>(</w:t>
      </w:r>
      <w:r w:rsidR="00905114" w:rsidRPr="0064560B">
        <w:rPr>
          <w:rFonts w:ascii="Times New Roman" w:hAnsi="Times New Roman" w:cs="Times New Roman"/>
        </w:rPr>
        <w:fldChar w:fldCharType="begin"/>
      </w:r>
      <w:r w:rsidR="000C5BAD" w:rsidRPr="0064560B">
        <w:rPr>
          <w:rFonts w:ascii="Times New Roman" w:hAnsi="Times New Roman" w:cs="Times New Roman"/>
        </w:rPr>
        <w:instrText xml:space="preserve"> REF  eq7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0C5BAD" w:rsidRPr="0064560B">
        <w:rPr>
          <w:rFonts w:ascii="Times New Roman" w:hAnsi="Times New Roman" w:cs="Times New Roman"/>
          <w:noProof/>
        </w:rPr>
        <w:t>7</w:t>
      </w:r>
      <w:r w:rsidR="00905114" w:rsidRPr="0064560B">
        <w:rPr>
          <w:rFonts w:ascii="Times New Roman" w:hAnsi="Times New Roman" w:cs="Times New Roman"/>
        </w:rPr>
        <w:fldChar w:fldCharType="end"/>
      </w:r>
      <w:r w:rsidR="000C5BAD" w:rsidRPr="0064560B">
        <w:rPr>
          <w:rFonts w:ascii="Times New Roman" w:hAnsi="Times New Roman" w:cs="Times New Roman"/>
        </w:rPr>
        <w:t>)</w:t>
      </w:r>
      <w:r w:rsidRPr="0064560B">
        <w:rPr>
          <w:rFonts w:ascii="Times New Roman" w:hAnsi="Times New Roman" w:cs="Times New Roman"/>
        </w:rPr>
        <w:t xml:space="preserve"> and, instead, a price element </w:t>
      </w:r>
      <m:oMath>
        <m:nary>
          <m:naryPr>
            <m:chr m:val="∑"/>
            <m:limLoc m:val="undOvr"/>
            <m:supHide m:val="1"/>
            <m:ctrlPr>
              <w:rPr>
                <w:rFonts w:ascii="Cambria Math" w:hAnsi="Cambria Math" w:cs="Times New Roman"/>
                <w:i/>
              </w:rPr>
            </m:ctrlPr>
          </m:naryPr>
          <m:sub>
            <m:r>
              <w:rPr>
                <w:rFonts w:ascii="Cambria Math" w:hAnsi="Cambria Math" w:cs="Times New Roman"/>
              </w:rPr>
              <m:t>t,i</m:t>
            </m:r>
          </m:sub>
          <m:sup/>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π</m:t>
                    </m:r>
                  </m:e>
                  <m:sub>
                    <m:r>
                      <w:rPr>
                        <w:rFonts w:ascii="Cambria Math" w:hAnsi="Cambria Math" w:cs="Times New Roman"/>
                      </w:rPr>
                      <m:t>t</m:t>
                    </m:r>
                  </m:sub>
                  <m:sup/>
                </m:sSubSup>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t,i</m:t>
                    </m:r>
                  </m:sub>
                  <m:sup/>
                </m:sSubSup>
              </m:e>
            </m:d>
          </m:e>
        </m:nary>
      </m:oMath>
      <w:r w:rsidRPr="0064560B">
        <w:rPr>
          <w:rFonts w:ascii="Times New Roman" w:hAnsi="Times New Roman" w:cs="Times New Roman"/>
        </w:rPr>
        <w:t xml:space="preserve"> has been included in the objective function.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In fact, one could describe the market as a process where a central problem (the day-ahead auction) sets the price and each producer resolves his own subproblem to determine his production. In other words, this is a way of solving problem </w:t>
      </w:r>
      <w:r w:rsidR="000C5BAD" w:rsidRPr="0064560B">
        <w:rPr>
          <w:rFonts w:ascii="Times New Roman" w:hAnsi="Times New Roman" w:cs="Times New Roman"/>
        </w:rPr>
        <w:t>(</w:t>
      </w:r>
      <w:r w:rsidR="00905114" w:rsidRPr="0064560B">
        <w:rPr>
          <w:rFonts w:ascii="Times New Roman" w:hAnsi="Times New Roman" w:cs="Times New Roman"/>
        </w:rPr>
        <w:fldChar w:fldCharType="begin"/>
      </w:r>
      <w:r w:rsidR="000C5BAD" w:rsidRPr="0064560B">
        <w:rPr>
          <w:rFonts w:ascii="Times New Roman" w:hAnsi="Times New Roman" w:cs="Times New Roman"/>
        </w:rPr>
        <w:instrText xml:space="preserve"> REF  eq6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0C5BAD" w:rsidRPr="0064560B">
        <w:rPr>
          <w:rFonts w:ascii="Times New Roman" w:hAnsi="Times New Roman" w:cs="Times New Roman"/>
          <w:noProof/>
        </w:rPr>
        <w:t>6</w:t>
      </w:r>
      <w:r w:rsidR="00905114" w:rsidRPr="0064560B">
        <w:rPr>
          <w:rFonts w:ascii="Times New Roman" w:hAnsi="Times New Roman" w:cs="Times New Roman"/>
        </w:rPr>
        <w:fldChar w:fldCharType="end"/>
      </w:r>
      <w:r w:rsidR="000C5BAD" w:rsidRPr="0064560B">
        <w:rPr>
          <w:rFonts w:ascii="Times New Roman" w:hAnsi="Times New Roman" w:cs="Times New Roman"/>
        </w:rPr>
        <w:t>)</w:t>
      </w:r>
      <w:r w:rsidRPr="0064560B">
        <w:rPr>
          <w:rFonts w:ascii="Times New Roman" w:hAnsi="Times New Roman" w:cs="Times New Roman"/>
        </w:rPr>
        <w:t xml:space="preserve"> through a decomposition technique, allowing for a distributed optimization (each generator decides his own production) and leaving price as a control variable that creates economic signals to ensure that the generation-demand balance is maintained. This kind of decomposition, where a certain constraint is replaced by a price signal, is known as Lagrangian relaxation</w:t>
      </w:r>
      <w:r w:rsidR="00AA6C40" w:rsidRPr="0064560B">
        <w:rPr>
          <w:rFonts w:ascii="Times New Roman" w:hAnsi="Times New Roman" w:cs="Times New Roman"/>
        </w:rPr>
        <w:t>,</w:t>
      </w:r>
      <w:r w:rsidRPr="0064560B">
        <w:rPr>
          <w:rFonts w:ascii="Times New Roman" w:hAnsi="Times New Roman" w:cs="Times New Roman"/>
        </w:rPr>
        <w:t xml:space="preserve"> s</w:t>
      </w:r>
      <w:r w:rsidR="00AA6C40" w:rsidRPr="0064560B">
        <w:rPr>
          <w:rFonts w:ascii="Times New Roman" w:hAnsi="Times New Roman" w:cs="Times New Roman"/>
        </w:rPr>
        <w:t>ee</w:t>
      </w:r>
      <w:r w:rsidRPr="0064560B">
        <w:rPr>
          <w:rFonts w:ascii="Times New Roman" w:hAnsi="Times New Roman" w:cs="Times New Roman"/>
        </w:rPr>
        <w:t xml:space="preserve"> for instance </w:t>
      </w:r>
      <w:r w:rsidR="00905114" w:rsidRPr="0064560B">
        <w:rPr>
          <w:rFonts w:ascii="Times New Roman" w:hAnsi="Times New Roman" w:cs="Times New Roman"/>
        </w:rPr>
        <w:fldChar w:fldCharType="begin"/>
      </w:r>
      <w:r w:rsidR="00AA6C40" w:rsidRPr="0064560B">
        <w:rPr>
          <w:rFonts w:ascii="Times New Roman" w:hAnsi="Times New Roman" w:cs="Times New Roman"/>
        </w:rPr>
        <w:instrText xml:space="preserve"> ADDIN ZOTERO_ITEM CSL_CITATION {"citationID":"2qjkdf21u7","properties":{"formattedCitation":"(Minoux and Vajda, 1986)","plainCitation":"(Minoux and Vajda, 1986)"},"citationItems":[{"id":148,"uris":["http://zotero.org/users/local/HK6lW3fP/items/VX663G46"],"uri":["http://zotero.org/users/local/HK6lW3fP/items/VX663G46"],"itemData":{"id":148,"type":"book","title":"Mathematical programming: theory and algorithms","publisher":"Wiley New York","source":"Google Scholar","shortTitle":"Mathematical programming","author":[{"family":"Minoux","given":"Michel"},{"family":"Vajda","given":"Steven"}],"issued":{"date-parts":[["1986"]]}}}],"schema":"https://github.com/citation-style-language/schema/raw/master/csl-citation.json"} </w:instrText>
      </w:r>
      <w:r w:rsidR="00905114" w:rsidRPr="0064560B">
        <w:rPr>
          <w:rFonts w:ascii="Times New Roman" w:hAnsi="Times New Roman" w:cs="Times New Roman"/>
        </w:rPr>
        <w:fldChar w:fldCharType="separate"/>
      </w:r>
      <w:r w:rsidR="00AA6C40" w:rsidRPr="0064560B">
        <w:rPr>
          <w:rFonts w:ascii="Times New Roman" w:hAnsi="Times New Roman" w:cs="Times New Roman"/>
        </w:rPr>
        <w:t>(Minoux and Vajda, 1986)</w:t>
      </w:r>
      <w:r w:rsidR="00905114" w:rsidRPr="0064560B">
        <w:rPr>
          <w:rFonts w:ascii="Times New Roman" w:hAnsi="Times New Roman" w:cs="Times New Roman"/>
        </w:rPr>
        <w:fldChar w:fldCharType="end"/>
      </w:r>
    </w:p>
    <w:p w:rsidR="00E9248D" w:rsidRPr="0064560B" w:rsidRDefault="00E9248D" w:rsidP="00E9248D">
      <w:pPr>
        <w:rPr>
          <w:rFonts w:ascii="Times New Roman" w:hAnsi="Times New Roman" w:cs="Times New Roman"/>
        </w:rPr>
      </w:pPr>
      <w:r w:rsidRPr="0064560B">
        <w:rPr>
          <w:rFonts w:ascii="Times New Roman" w:hAnsi="Times New Roman" w:cs="Times New Roman"/>
        </w:rPr>
        <w:t>A common phenomenon when applying Lagrangian relaxation to non-convex problems is the existence of a duality gap. This is a difference between the solution of the primal</w:t>
      </w:r>
      <w:r w:rsidR="00980861" w:rsidRPr="0064560B">
        <w:rPr>
          <w:rFonts w:ascii="Times New Roman" w:hAnsi="Times New Roman" w:cs="Times New Roman"/>
        </w:rPr>
        <w:t xml:space="preserve"> problem (</w:t>
      </w:r>
      <w:r w:rsidRPr="0064560B">
        <w:rPr>
          <w:rFonts w:ascii="Times New Roman" w:hAnsi="Times New Roman" w:cs="Times New Roman"/>
        </w:rPr>
        <w:t>in our case, the centralized optimization</w:t>
      </w:r>
      <w:r w:rsidR="00980861" w:rsidRPr="0064560B">
        <w:rPr>
          <w:rFonts w:ascii="Times New Roman" w:hAnsi="Times New Roman" w:cs="Times New Roman"/>
        </w:rPr>
        <w:t>)</w:t>
      </w:r>
      <w:r w:rsidRPr="0064560B">
        <w:rPr>
          <w:rFonts w:ascii="Times New Roman" w:hAnsi="Times New Roman" w:cs="Times New Roman"/>
        </w:rPr>
        <w:t xml:space="preserve"> and dual </w:t>
      </w:r>
      <w:r w:rsidR="00980861" w:rsidRPr="0064560B">
        <w:rPr>
          <w:rFonts w:ascii="Times New Roman" w:hAnsi="Times New Roman" w:cs="Times New Roman"/>
        </w:rPr>
        <w:t>problem (</w:t>
      </w:r>
      <w:r w:rsidRPr="0064560B">
        <w:rPr>
          <w:rFonts w:ascii="Times New Roman" w:hAnsi="Times New Roman" w:cs="Times New Roman"/>
        </w:rPr>
        <w:t>in our case, the market</w:t>
      </w:r>
      <w:r w:rsidR="00980861" w:rsidRPr="0064560B">
        <w:rPr>
          <w:rFonts w:ascii="Times New Roman" w:hAnsi="Times New Roman" w:cs="Times New Roman"/>
        </w:rPr>
        <w:t>)</w:t>
      </w:r>
      <w:r w:rsidRPr="0064560B">
        <w:rPr>
          <w:rFonts w:ascii="Times New Roman" w:hAnsi="Times New Roman" w:cs="Times New Roman"/>
        </w:rPr>
        <w:t xml:space="preserve">, which is zero when the problem is convex but not in the presence of non-convexities. More precisely, in the areas where the problem is not convex, the solution of the dual problem change discretely with small changes in the price signal, making it impossible to satisfy the relaxed equation. As a result, the solution of the primal problem, which satisfy exactly all of the constraints, differs from the solution of the dual problem. </w:t>
      </w:r>
    </w:p>
    <w:p w:rsidR="00E9248D" w:rsidRPr="0064560B" w:rsidRDefault="00E9248D" w:rsidP="00E9248D">
      <w:pPr>
        <w:rPr>
          <w:rFonts w:ascii="Times New Roman" w:hAnsi="Times New Roman" w:cs="Times New Roman"/>
        </w:rPr>
      </w:pPr>
      <w:r w:rsidRPr="0064560B">
        <w:rPr>
          <w:rFonts w:ascii="Times New Roman" w:hAnsi="Times New Roman" w:cs="Times New Roman"/>
        </w:rPr>
        <w:t xml:space="preserve">This is the case with the day-ahead electricity market. There is no price that creates incentives for the generators to produce the same amounts that they were dispatched in the centralized model: in the market, all of them will produce either their full capacity or zero. Thus, the solution of the market is different than the global optimum. In the presence of non-convexities, there is no price that satisfies the conditions to be a short term competitive equilibrium. </w:t>
      </w:r>
    </w:p>
    <w:p w:rsidR="00E9248D" w:rsidRPr="0064560B" w:rsidRDefault="00E9248D" w:rsidP="000C385B">
      <w:pPr>
        <w:pStyle w:val="Heading2"/>
        <w:rPr>
          <w:rFonts w:ascii="Times New Roman" w:hAnsi="Times New Roman" w:cs="Times New Roman"/>
        </w:rPr>
      </w:pPr>
      <w:r w:rsidRPr="0064560B">
        <w:rPr>
          <w:rFonts w:ascii="Times New Roman" w:hAnsi="Times New Roman" w:cs="Times New Roman"/>
        </w:rPr>
        <w:lastRenderedPageBreak/>
        <w:t>Pric</w:t>
      </w:r>
      <w:r w:rsidR="005941E2" w:rsidRPr="0064560B">
        <w:rPr>
          <w:rFonts w:ascii="Times New Roman" w:hAnsi="Times New Roman" w:cs="Times New Roman"/>
        </w:rPr>
        <w:t>ing</w:t>
      </w:r>
      <w:r w:rsidRPr="0064560B">
        <w:rPr>
          <w:rFonts w:ascii="Times New Roman" w:hAnsi="Times New Roman" w:cs="Times New Roman"/>
        </w:rPr>
        <w:t xml:space="preserve"> under integer non-convexities</w:t>
      </w:r>
      <w:r w:rsidR="005941E2" w:rsidRPr="0064560B">
        <w:rPr>
          <w:rFonts w:ascii="Times New Roman" w:hAnsi="Times New Roman" w:cs="Times New Roman"/>
        </w:rPr>
        <w:t>: the need for side payments</w:t>
      </w:r>
    </w:p>
    <w:p w:rsidR="000B6A85" w:rsidRPr="0064560B" w:rsidRDefault="000B6A85" w:rsidP="000B6A85">
      <w:pPr>
        <w:rPr>
          <w:rFonts w:ascii="Times New Roman" w:hAnsi="Times New Roman" w:cs="Times New Roman"/>
        </w:rPr>
      </w:pPr>
      <w:r w:rsidRPr="0064560B">
        <w:rPr>
          <w:rFonts w:ascii="Times New Roman" w:hAnsi="Times New Roman" w:cs="Times New Roman"/>
        </w:rPr>
        <w:t xml:space="preserve">The previous analysis shows that no linear price constitutes a signal for the optimal system operation. In that view, there is a need to add some specific mechanism to cope with the problem. </w:t>
      </w:r>
    </w:p>
    <w:p w:rsidR="000B6A85" w:rsidRPr="0064560B" w:rsidRDefault="0056612A" w:rsidP="004333C7">
      <w:pPr>
        <w:rPr>
          <w:rFonts w:ascii="Times New Roman" w:hAnsi="Times New Roman" w:cs="Times New Roman"/>
        </w:rPr>
      </w:pPr>
      <w:r w:rsidRPr="0064560B">
        <w:rPr>
          <w:rFonts w:ascii="Times New Roman" w:hAnsi="Times New Roman" w:cs="Times New Roman"/>
        </w:rPr>
        <w:t>The most used approach is to add a side payment to the clearing price (following the original proposal of the UK, this term is often referred to as uplift). For instance,</w:t>
      </w:r>
      <w:r w:rsidR="000B6A85" w:rsidRPr="0064560B">
        <w:rPr>
          <w:rFonts w:ascii="Times New Roman" w:hAnsi="Times New Roman" w:cs="Times New Roman"/>
        </w:rPr>
        <w:t xml:space="preserve"> all previous proposals would require an additional payment aimed at compensating for each unit’s incentives to deviate from the optimal dispatch. </w:t>
      </w:r>
      <w:r w:rsidR="00A9175F" w:rsidRPr="0064560B">
        <w:rPr>
          <w:rFonts w:ascii="Times New Roman" w:hAnsi="Times New Roman" w:cs="Times New Roman"/>
        </w:rPr>
        <w:t>T</w:t>
      </w:r>
      <w:r w:rsidR="000B6A85" w:rsidRPr="0064560B">
        <w:rPr>
          <w:rFonts w:ascii="Times New Roman" w:hAnsi="Times New Roman" w:cs="Times New Roman"/>
        </w:rPr>
        <w:t>he first case of the example</w:t>
      </w:r>
      <w:r w:rsidR="00222929" w:rsidRPr="0064560B">
        <w:rPr>
          <w:rFonts w:ascii="Times New Roman" w:hAnsi="Times New Roman" w:cs="Times New Roman"/>
        </w:rPr>
        <w:t xml:space="preserve"> (see </w:t>
      </w:r>
      <w:r w:rsidR="00905114" w:rsidRPr="0064560B">
        <w:rPr>
          <w:rFonts w:ascii="Times New Roman" w:hAnsi="Times New Roman" w:cs="Times New Roman"/>
        </w:rPr>
        <w:fldChar w:fldCharType="begin"/>
      </w:r>
      <w:r w:rsidR="00222929" w:rsidRPr="0064560B">
        <w:rPr>
          <w:rFonts w:ascii="Times New Roman" w:hAnsi="Times New Roman" w:cs="Times New Roman"/>
        </w:rPr>
        <w:instrText xml:space="preserve"> REF _Ref409504616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222929" w:rsidRPr="0064560B">
        <w:rPr>
          <w:rFonts w:ascii="Times New Roman" w:hAnsi="Times New Roman" w:cs="Times New Roman"/>
        </w:rPr>
        <w:t xml:space="preserve">Figure </w:t>
      </w:r>
      <w:r w:rsidR="00222929" w:rsidRPr="0064560B">
        <w:rPr>
          <w:rFonts w:ascii="Times New Roman" w:hAnsi="Times New Roman" w:cs="Times New Roman"/>
          <w:noProof/>
        </w:rPr>
        <w:t>2</w:t>
      </w:r>
      <w:r w:rsidR="00905114" w:rsidRPr="0064560B">
        <w:rPr>
          <w:rFonts w:ascii="Times New Roman" w:hAnsi="Times New Roman" w:cs="Times New Roman"/>
        </w:rPr>
        <w:fldChar w:fldCharType="end"/>
      </w:r>
      <w:r w:rsidR="00222929" w:rsidRPr="0064560B">
        <w:rPr>
          <w:rFonts w:ascii="Times New Roman" w:hAnsi="Times New Roman" w:cs="Times New Roman"/>
        </w:rPr>
        <w:t>)</w:t>
      </w:r>
      <w:r w:rsidR="000B6A85" w:rsidRPr="0064560B">
        <w:rPr>
          <w:rFonts w:ascii="Times New Roman" w:hAnsi="Times New Roman" w:cs="Times New Roman"/>
        </w:rPr>
        <w:t>, where the price is set to the variable cost of the marginal plant, requires defining an extra payment to all infra-marginal units that are not recovering their operation costs. The second case</w:t>
      </w:r>
      <w:r w:rsidR="00222929" w:rsidRPr="0064560B">
        <w:rPr>
          <w:rFonts w:ascii="Times New Roman" w:hAnsi="Times New Roman" w:cs="Times New Roman"/>
        </w:rPr>
        <w:t xml:space="preserve"> (see </w:t>
      </w:r>
      <w:r w:rsidR="00905114" w:rsidRPr="0064560B">
        <w:rPr>
          <w:rFonts w:ascii="Times New Roman" w:hAnsi="Times New Roman" w:cs="Times New Roman"/>
        </w:rPr>
        <w:fldChar w:fldCharType="begin"/>
      </w:r>
      <w:r w:rsidR="00222929" w:rsidRPr="0064560B">
        <w:rPr>
          <w:rFonts w:ascii="Times New Roman" w:hAnsi="Times New Roman" w:cs="Times New Roman"/>
        </w:rPr>
        <w:instrText xml:space="preserve"> REF _Ref409505751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222929" w:rsidRPr="0064560B">
        <w:rPr>
          <w:rFonts w:ascii="Times New Roman" w:hAnsi="Times New Roman" w:cs="Times New Roman"/>
        </w:rPr>
        <w:t xml:space="preserve">Figure </w:t>
      </w:r>
      <w:r w:rsidR="00222929" w:rsidRPr="0064560B">
        <w:rPr>
          <w:rFonts w:ascii="Times New Roman" w:hAnsi="Times New Roman" w:cs="Times New Roman"/>
          <w:noProof/>
        </w:rPr>
        <w:t>4</w:t>
      </w:r>
      <w:r w:rsidR="00905114" w:rsidRPr="0064560B">
        <w:rPr>
          <w:rFonts w:ascii="Times New Roman" w:hAnsi="Times New Roman" w:cs="Times New Roman"/>
        </w:rPr>
        <w:fldChar w:fldCharType="end"/>
      </w:r>
      <w:r w:rsidR="00222929" w:rsidRPr="0064560B">
        <w:rPr>
          <w:rFonts w:ascii="Times New Roman" w:hAnsi="Times New Roman" w:cs="Times New Roman"/>
        </w:rPr>
        <w:t>)</w:t>
      </w:r>
      <w:r w:rsidR="000B6A85" w:rsidRPr="0064560B">
        <w:rPr>
          <w:rFonts w:ascii="Times New Roman" w:hAnsi="Times New Roman" w:cs="Times New Roman"/>
        </w:rPr>
        <w:t xml:space="preserve">, where the price is equal to the average cost of the marginal plant, requires a negative side payment to the marginal plant, and to all units above the margin with incentives to start producing. Finally, the third case </w:t>
      </w:r>
      <w:r w:rsidR="00222929" w:rsidRPr="0064560B">
        <w:rPr>
          <w:rFonts w:ascii="Times New Roman" w:hAnsi="Times New Roman" w:cs="Times New Roman"/>
        </w:rPr>
        <w:t xml:space="preserve">(see </w:t>
      </w:r>
      <w:r w:rsidR="00905114" w:rsidRPr="0064560B">
        <w:rPr>
          <w:rFonts w:ascii="Times New Roman" w:hAnsi="Times New Roman" w:cs="Times New Roman"/>
        </w:rPr>
        <w:fldChar w:fldCharType="begin"/>
      </w:r>
      <w:r w:rsidR="00222929" w:rsidRPr="0064560B">
        <w:rPr>
          <w:rFonts w:ascii="Times New Roman" w:hAnsi="Times New Roman" w:cs="Times New Roman"/>
        </w:rPr>
        <w:instrText xml:space="preserve"> REF _Ref409505870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222929" w:rsidRPr="0064560B">
        <w:rPr>
          <w:rFonts w:ascii="Times New Roman" w:hAnsi="Times New Roman" w:cs="Times New Roman"/>
        </w:rPr>
        <w:t xml:space="preserve">Figure </w:t>
      </w:r>
      <w:r w:rsidR="00222929" w:rsidRPr="0064560B">
        <w:rPr>
          <w:rFonts w:ascii="Times New Roman" w:hAnsi="Times New Roman" w:cs="Times New Roman"/>
          <w:noProof/>
        </w:rPr>
        <w:t>5</w:t>
      </w:r>
      <w:r w:rsidR="00905114" w:rsidRPr="0064560B">
        <w:rPr>
          <w:rFonts w:ascii="Times New Roman" w:hAnsi="Times New Roman" w:cs="Times New Roman"/>
        </w:rPr>
        <w:fldChar w:fldCharType="end"/>
      </w:r>
      <w:r w:rsidR="00222929" w:rsidRPr="0064560B">
        <w:rPr>
          <w:rFonts w:ascii="Times New Roman" w:hAnsi="Times New Roman" w:cs="Times New Roman"/>
        </w:rPr>
        <w:t xml:space="preserve">) </w:t>
      </w:r>
      <w:r w:rsidR="000B6A85" w:rsidRPr="0064560B">
        <w:rPr>
          <w:rFonts w:ascii="Times New Roman" w:hAnsi="Times New Roman" w:cs="Times New Roman"/>
        </w:rPr>
        <w:t xml:space="preserve">requires an additional payment to the marginal plant. These additional payments are unavoidable, as the existence of integer variables precludes the possibility that some linear price supports the optimal dispatch. </w:t>
      </w:r>
    </w:p>
    <w:p w:rsidR="00E9248D" w:rsidRPr="0064560B" w:rsidRDefault="00E9248D" w:rsidP="00717C7C">
      <w:pPr>
        <w:widowControl w:val="0"/>
        <w:autoSpaceDE w:val="0"/>
        <w:autoSpaceDN w:val="0"/>
        <w:adjustRightInd w:val="0"/>
        <w:rPr>
          <w:rFonts w:ascii="Times New Roman" w:hAnsi="Times New Roman" w:cs="Times New Roman"/>
        </w:rPr>
      </w:pPr>
      <w:r w:rsidRPr="0064560B">
        <w:rPr>
          <w:rFonts w:ascii="Times New Roman" w:hAnsi="Times New Roman" w:cs="Times New Roman"/>
        </w:rPr>
        <w:t>The characterization of the previous side payments has been studied in a number of works.</w:t>
      </w:r>
      <w:r w:rsidR="00717C7C"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717C7C" w:rsidRPr="0064560B">
        <w:rPr>
          <w:rFonts w:ascii="Times New Roman" w:hAnsi="Times New Roman" w:cs="Times New Roman"/>
        </w:rPr>
        <w:instrText xml:space="preserve"> ADDIN ZOTERO_ITEM CSL_CITATION {"citationID":"12je7tmoe5","properties":{"formattedCitation":"{\\rtf (O\\uc0\\u8217{}Neill et al., 2005)}","plainCitation":"(O’Neill et al., 2005)"},"citationItems":[{"id":136,"uris":["http://zotero.org/users/local/HK6lW3fP/items/TWEMBK3J"],"uri":["http://zotero.org/users/local/HK6lW3fP/items/TWEMBK3J"],"itemData":{"id":136,"type":"article-journal","title":"Efficient market-clearing prices in markets with nonconvexities","container-title":"European Journal of Operational Research","page":"269-285","volume":"164","issue":"1","source":"ScienceDirect","abstract":"This paper addresses the existence of market clearing prices and the economic interpretation of strong duality for integer programs in the economic analysis of markets with nonconvexities (indivisibilities). Electric power markets in which nonconvexities arise from the operating characteristics of generators motivate our analysis; however, the results presented here are general and can be applied to other markets in which nonconvexities are important. We show that the optimal solution to a linear program that solves the mixed integer program has dual variables that: (1) have the traditional economic interpretation as prices; (2) explicitly price integral activities; and (3) clear the market in the presence of nonconvexities. We then show how this methodology can be used to interpret the solutions to nonconvex problems such as the problem discussed by Scarf [Journal of Economic Perspectives 8(4) (1994) 111].","ISSN":"0377-2217","journalAbbreviation":"European Journal of Operational Research","author":[{"family":"O'Neill","given":"Richard P."},{"family":"Sotkiewicz","given":"Paul M."},{"family":"Hobbs","given":"Benjamin F."},{"family":"Rothkopf","given":"Michael H."},{"family":"Stewart Jr.","given":"William R."}],"issued":{"date-parts":[["2005",7,1]]},"accessed":{"date-parts":[["2015",1,19]],"season":"21:55:35"}}}],"schema":"https://github.com/citation-style-language/schema/raw/master/csl-citation.json"} </w:instrText>
      </w:r>
      <w:r w:rsidR="00905114" w:rsidRPr="0064560B">
        <w:rPr>
          <w:rFonts w:ascii="Times New Roman" w:hAnsi="Times New Roman" w:cs="Times New Roman"/>
        </w:rPr>
        <w:fldChar w:fldCharType="separate"/>
      </w:r>
      <w:r w:rsidR="00717C7C" w:rsidRPr="0064560B">
        <w:rPr>
          <w:rFonts w:ascii="Times New Roman" w:hAnsi="Times New Roman" w:cs="Times New Roman"/>
          <w:szCs w:val="24"/>
        </w:rPr>
        <w:t>(O’Neill et al., 2005)</w:t>
      </w:r>
      <w:r w:rsidR="00905114" w:rsidRPr="0064560B">
        <w:rPr>
          <w:rFonts w:ascii="Times New Roman" w:hAnsi="Times New Roman" w:cs="Times New Roman"/>
        </w:rPr>
        <w:fldChar w:fldCharType="end"/>
      </w:r>
      <w:r w:rsidR="00717C7C" w:rsidRPr="0064560B">
        <w:rPr>
          <w:rFonts w:ascii="Times New Roman" w:hAnsi="Times New Roman" w:cs="Times New Roman"/>
        </w:rPr>
        <w:t xml:space="preserve"> </w:t>
      </w:r>
      <w:r w:rsidRPr="0064560B">
        <w:rPr>
          <w:rFonts w:ascii="Times New Roman" w:hAnsi="Times New Roman" w:cs="Times New Roman"/>
        </w:rPr>
        <w:t xml:space="preserve">proposes a pricing scheme based on integer duality. The pricing scheme proposed in </w:t>
      </w:r>
      <w:r w:rsidR="00905114" w:rsidRPr="0064560B">
        <w:rPr>
          <w:rFonts w:ascii="Times New Roman" w:hAnsi="Times New Roman" w:cs="Times New Roman"/>
        </w:rPr>
        <w:fldChar w:fldCharType="begin"/>
      </w:r>
      <w:r w:rsidR="00292644" w:rsidRPr="0064560B">
        <w:rPr>
          <w:rFonts w:ascii="Times New Roman" w:hAnsi="Times New Roman" w:cs="Times New Roman"/>
        </w:rPr>
        <w:instrText xml:space="preserve"> ADDIN ZOTERO_ITEM CSL_CITATION {"citationID":"uLs4GIxs","properties":{"formattedCitation":"{\\rtf (O\\uc0\\u8217{}Neill et al., 2005)}","plainCitation":"(O’Neill et al., 2005)"},"citationItems":[{"id":136,"uris":["http://zotero.org/users/local/HK6lW3fP/items/TWEMBK3J"],"uri":["http://zotero.org/users/local/HK6lW3fP/items/TWEMBK3J"],"itemData":{"id":136,"type":"article-journal","title":"Efficient market-clearing prices in markets with nonconvexities","container-title":"European Journal of Operational Research","page":"269-285","volume":"164","issue":"1","source":"ScienceDirect","abstract":"This paper addresses the existence of market clearing prices and the economic interpretation of strong duality for integer programs in the economic analysis of markets with nonconvexities (indivisibilities). Electric power markets in which nonconvexities arise from the operating characteristics of generators motivate our analysis; however, the results presented here are general and can be applied to other markets in which nonconvexities are important. We show that the optimal solution to a linear program that solves the mixed integer program has dual variables that: (1) have the traditional economic interpretation as prices; (2) explicitly price integral activities; and (3) clear the market in the presence of nonconvexities. We then show how this methodology can be used to interpret the solutions to nonconvex problems such as the problem discussed by Scarf [Journal of Economic Perspectives 8(4) (1994) 111].","ISSN":"0377-2217","journalAbbreviation":"European Journal of Operational Research","author":[{"family":"O'Neill","given":"Richard P."},{"family":"Sotkiewicz","given":"Paul M."},{"family":"Hobbs","given":"Benjamin F."},{"family":"Rothkopf","given":"Michael H."},{"family":"Stewart Jr.","given":"William R."}],"issued":{"date-parts":[["2005",7,1]]},"accessed":{"date-parts":[["2015",1,19]],"season":"21:55:35"}}}],"schema":"https://github.com/citation-style-language/schema/raw/master/csl-citation.json"} </w:instrText>
      </w:r>
      <w:r w:rsidR="00905114" w:rsidRPr="0064560B">
        <w:rPr>
          <w:rFonts w:ascii="Times New Roman" w:hAnsi="Times New Roman" w:cs="Times New Roman"/>
        </w:rPr>
        <w:fldChar w:fldCharType="separate"/>
      </w:r>
      <w:r w:rsidR="00717C7C" w:rsidRPr="0064560B">
        <w:rPr>
          <w:rFonts w:ascii="Times New Roman" w:hAnsi="Times New Roman" w:cs="Times New Roman"/>
          <w:szCs w:val="24"/>
        </w:rPr>
        <w:t>(O’Neill et al., 2005)</w:t>
      </w:r>
      <w:r w:rsidR="00905114" w:rsidRPr="0064560B">
        <w:rPr>
          <w:rFonts w:ascii="Times New Roman" w:hAnsi="Times New Roman" w:cs="Times New Roman"/>
        </w:rPr>
        <w:fldChar w:fldCharType="end"/>
      </w:r>
      <w:r w:rsidRPr="0064560B">
        <w:rPr>
          <w:rFonts w:ascii="Times New Roman" w:hAnsi="Times New Roman" w:cs="Times New Roman"/>
        </w:rPr>
        <w:t xml:space="preserve"> consists in setting the market price equal to the variable cost of the marginal plant. However, the income associated with the short-term market is not only the shadow price of the balance equation, which is mainly related to the variable cost of the most expensive plant producing in the optimal dispatch. These prices alone are not enough for all units to recover their operation costs: some of them will not perceive the fixed part of such costs. Actually, these units are the ones partially online in the linear relaxation, and thus the ones that require the additional constraint to achieve an integer solution. Hence, these plants earn an additional payment, the uplift, which compensates for the missing income. On the other hand, </w:t>
      </w:r>
      <w:r w:rsidR="00905114" w:rsidRPr="0064560B">
        <w:rPr>
          <w:rFonts w:ascii="Times New Roman" w:hAnsi="Times New Roman" w:cs="Times New Roman"/>
        </w:rPr>
        <w:fldChar w:fldCharType="begin"/>
      </w:r>
      <w:r w:rsidR="00717C7C" w:rsidRPr="0064560B">
        <w:rPr>
          <w:rFonts w:ascii="Times New Roman" w:hAnsi="Times New Roman" w:cs="Times New Roman"/>
        </w:rPr>
        <w:instrText xml:space="preserve"> ADDIN ZOTERO_ITEM CSL_CITATION {"citationID":"2eqrmch200","properties":{"formattedCitation":"(Hogan and Ring, 2003)","plainCitation":"(Hogan and Ring, 2003)"},"citationItems":[{"id":138,"uris":["http://zotero.org/users/local/HK6lW3fP/items/3GXHF5S5"],"uri":["http://zotero.org/users/local/HK6lW3fP/items/3GXHF5S5"],"itemData":{"id":138,"type":"article-journal","title":"On minimum-uplift pricing for electricity markets","container-title":"Working Paper, Harvard Electricity Policy Group","source":"Google Scholar","author":[{"family":"Hogan","given":"William W."},{"family":"Ring","given":"Brendan J."}],"issued":{"date-parts":[["2003"]]}}}],"schema":"https://github.com/citation-style-language/schema/raw/master/csl-citation.json"} </w:instrText>
      </w:r>
      <w:r w:rsidR="00905114" w:rsidRPr="0064560B">
        <w:rPr>
          <w:rFonts w:ascii="Times New Roman" w:hAnsi="Times New Roman" w:cs="Times New Roman"/>
        </w:rPr>
        <w:fldChar w:fldCharType="separate"/>
      </w:r>
      <w:r w:rsidR="00717C7C" w:rsidRPr="0064560B">
        <w:rPr>
          <w:rFonts w:ascii="Times New Roman" w:hAnsi="Times New Roman" w:cs="Times New Roman"/>
        </w:rPr>
        <w:t>(Hogan and Ring, 2003)</w:t>
      </w:r>
      <w:r w:rsidR="00905114" w:rsidRPr="0064560B">
        <w:rPr>
          <w:rFonts w:ascii="Times New Roman" w:hAnsi="Times New Roman" w:cs="Times New Roman"/>
        </w:rPr>
        <w:fldChar w:fldCharType="end"/>
      </w:r>
      <w:r w:rsidRPr="0064560B">
        <w:rPr>
          <w:rFonts w:ascii="Times New Roman" w:hAnsi="Times New Roman" w:cs="Times New Roman"/>
        </w:rPr>
        <w:t xml:space="preserve"> proposes a solution based on minimizing the uplifts. This pricing scheme corresponds to the third case discussed in the single-period example. Formally, it suggests the use of the convex hull slope to define the market price. In this case, the only plant of the system that requires uplift is the marginal plant. The convex hull can be calculated by the Lagrangian relaxation of the problem. Close to that solution, an alternative is proposed in</w:t>
      </w:r>
      <w:r w:rsidR="00222929"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222929" w:rsidRPr="0064560B">
        <w:rPr>
          <w:rFonts w:ascii="Times New Roman" w:hAnsi="Times New Roman" w:cs="Times New Roman"/>
        </w:rPr>
        <w:instrText xml:space="preserve"> ADDIN ZOTERO_ITEM CSL_CITATION {"citationID":"27q3ivdbvg","properties":{"formattedCitation":"{\\rtf (Bj\\uc0\\u248{}rndal and J\\uc0\\u246{}rnsten, 2008)}","plainCitation":"(Bjørndal and Jörnsten, 2008)"},"citationItems":[{"id":149,"uris":["http://zotero.org/users/local/HK6lW3fP/items/2AUBT59D"],"uri":["http://zotero.org/users/local/HK6lW3fP/items/2AUBT59D"],"itemData":{"id":149,"type":"article-journal","title":"Equilibrium prices supported by dual price functions in markets with non-convexities","container-title":"European Journal of Operational Research","page":"768-789","volume":"190","issue":"3","source":"ScienceDirect","abstract":"The issue of finding market clearing prices in markets with non-convexities has had a renewed interest due to the deregulation of the electricity sector. In the day-ahead electricity market, equilibrium prices are calculated based on bids from generators and consumers. In most of the existing markets, several generation technologies are present, some of which have considerable non-convexities, such as capacity limitations and large start-up costs. In this paper we present equilibrium prices composed of a commodity price and an uplift charge. The prices are based on the generation of a separating valid inequality that supports the optimal resource allocation. In the case when the sub-problem generated as the integer variables are held fixed to their optimal values possess the integrality property, the generated prices are also supported by non-linear price functions that are the basis for integer programming duality.","DOI":"10.1016/j.ejor.2007.06.050","ISSN":"0377-2217","journalAbbreviation":"European Journal of Operational Research","author":[{"family":"Bjørndal","given":"Mette"},{"family":"Jörnsten","given":"Kurt"}],"issued":{"date-parts":[["2008",11,1]]},"accessed":{"date-parts":[["2015",1,20]],"season":"11:42:55"}}}],"schema":"https://github.com/citation-style-language/schema/raw/master/csl-citation.json"} </w:instrText>
      </w:r>
      <w:r w:rsidR="00905114" w:rsidRPr="0064560B">
        <w:rPr>
          <w:rFonts w:ascii="Times New Roman" w:hAnsi="Times New Roman" w:cs="Times New Roman"/>
        </w:rPr>
        <w:fldChar w:fldCharType="separate"/>
      </w:r>
      <w:r w:rsidR="00222929" w:rsidRPr="0064560B">
        <w:rPr>
          <w:rFonts w:ascii="Times New Roman" w:hAnsi="Times New Roman" w:cs="Times New Roman"/>
          <w:szCs w:val="24"/>
        </w:rPr>
        <w:t>(Bjørndal and Jörnsten, 2008)</w:t>
      </w:r>
      <w:r w:rsidR="00905114" w:rsidRPr="0064560B">
        <w:rPr>
          <w:rFonts w:ascii="Times New Roman" w:hAnsi="Times New Roman" w:cs="Times New Roman"/>
        </w:rPr>
        <w:fldChar w:fldCharType="end"/>
      </w:r>
      <w:r w:rsidRPr="0064560B">
        <w:rPr>
          <w:rFonts w:ascii="Times New Roman" w:hAnsi="Times New Roman" w:cs="Times New Roman"/>
        </w:rPr>
        <w:t>, where a decomposition based on the Benders Decomposition</w:t>
      </w:r>
      <w:r w:rsidR="00222929"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222929" w:rsidRPr="0064560B">
        <w:rPr>
          <w:rFonts w:ascii="Times New Roman" w:hAnsi="Times New Roman" w:cs="Times New Roman"/>
        </w:rPr>
        <w:instrText xml:space="preserve"> ADDIN ZOTERO_ITEM CSL_CITATION {"citationID":"1co8sv2r4m","properties":{"formattedCitation":"(Benders, 1962)","plainCitation":"(Benders, 1962)"},"citationItems":[{"id":151,"uris":["http://zotero.org/users/local/HK6lW3fP/items/MPZ9HSR2"],"uri":["http://zotero.org/users/local/HK6lW3fP/items/MPZ9HSR2"],"itemData":{"id":151,"type":"article-journal","title":"Partitioning procedures for solving mixed-variables programming problems","container-title":"Numerische Mathematik","page":"238-252","volume":"4","issue":"1","source":"link.springer.com","DOI":"10.1007/BF01386316","ISSN":"0029-599X, 0945-3245","journalAbbreviation":"Numer. Math.","language":"en","author":[{"family":"Benders","given":"J. F."}],"issued":{"date-parts":[["1962",12,1]]},"accessed":{"date-parts":[["2015",1,20]],"season":"11:45:24"}}}],"schema":"https://github.com/citation-style-language/schema/raw/master/csl-citation.json"} </w:instrText>
      </w:r>
      <w:r w:rsidR="00905114" w:rsidRPr="0064560B">
        <w:rPr>
          <w:rFonts w:ascii="Times New Roman" w:hAnsi="Times New Roman" w:cs="Times New Roman"/>
        </w:rPr>
        <w:fldChar w:fldCharType="separate"/>
      </w:r>
      <w:r w:rsidR="00222929" w:rsidRPr="0064560B">
        <w:rPr>
          <w:rFonts w:ascii="Times New Roman" w:hAnsi="Times New Roman" w:cs="Times New Roman"/>
        </w:rPr>
        <w:t>(Benders, 1962)</w:t>
      </w:r>
      <w:r w:rsidR="00905114" w:rsidRPr="0064560B">
        <w:rPr>
          <w:rFonts w:ascii="Times New Roman" w:hAnsi="Times New Roman" w:cs="Times New Roman"/>
        </w:rPr>
        <w:fldChar w:fldCharType="end"/>
      </w:r>
      <w:r w:rsidRPr="0064560B">
        <w:rPr>
          <w:rFonts w:ascii="Times New Roman" w:hAnsi="Times New Roman" w:cs="Times New Roman"/>
        </w:rPr>
        <w:t xml:space="preserve"> is used.  </w:t>
      </w:r>
    </w:p>
    <w:p w:rsidR="00E9248D" w:rsidRPr="0064560B" w:rsidRDefault="004333C7" w:rsidP="00B85BA6">
      <w:pPr>
        <w:rPr>
          <w:rFonts w:ascii="Times New Roman" w:hAnsi="Times New Roman" w:cs="Times New Roman"/>
        </w:rPr>
      </w:pPr>
      <w:r w:rsidRPr="0064560B">
        <w:rPr>
          <w:rFonts w:ascii="Times New Roman" w:hAnsi="Times New Roman" w:cs="Times New Roman"/>
        </w:rPr>
        <w:t>Note, however, that the use of side payments implies a wide range of possible solutions. Actually, we might force income for all producing units to be equal or greater than their cost, and lower or equal to their costs if they are not producing. In the limit, hence, we might set the price to zero and pay all costs through side payments, or the other way around, set a very high price and use negative side payments for non-producing units. The conclusion, from a market design standpoint, is that all prices have a complementary set of side payments that make them equilibrium prices.</w:t>
      </w:r>
      <w:r w:rsidR="00B85BA6" w:rsidRPr="0064560B">
        <w:rPr>
          <w:rFonts w:ascii="Times New Roman" w:hAnsi="Times New Roman" w:cs="Times New Roman"/>
        </w:rPr>
        <w:t xml:space="preserve"> </w:t>
      </w:r>
      <w:r w:rsidR="00E9248D" w:rsidRPr="0064560B">
        <w:rPr>
          <w:rFonts w:ascii="Times New Roman" w:hAnsi="Times New Roman" w:cs="Times New Roman"/>
        </w:rPr>
        <w:t xml:space="preserve">Under the criteria used in this section, it is not possible to choose among them, so that some additional element is required. This is the aim of the next section. </w:t>
      </w:r>
    </w:p>
    <w:p w:rsidR="00AA7A28" w:rsidRPr="0064560B" w:rsidRDefault="00BE1D18" w:rsidP="00AA7A28">
      <w:pPr>
        <w:pStyle w:val="Heading1"/>
        <w:rPr>
          <w:rFonts w:cs="Times New Roman"/>
        </w:rPr>
      </w:pPr>
      <w:bookmarkStart w:id="21" w:name="_Ref409459662"/>
      <w:r w:rsidRPr="0064560B">
        <w:rPr>
          <w:rFonts w:cs="Times New Roman"/>
        </w:rPr>
        <w:t>Optimal l</w:t>
      </w:r>
      <w:r w:rsidR="00AA7A28" w:rsidRPr="0064560B">
        <w:rPr>
          <w:rFonts w:cs="Times New Roman"/>
        </w:rPr>
        <w:t>ong-term</w:t>
      </w:r>
      <w:bookmarkEnd w:id="21"/>
      <w:r w:rsidRPr="0064560B">
        <w:rPr>
          <w:rFonts w:cs="Times New Roman"/>
        </w:rPr>
        <w:t xml:space="preserve"> signals</w:t>
      </w:r>
    </w:p>
    <w:p w:rsidR="00BE1D18" w:rsidRPr="0064560B" w:rsidRDefault="00BE1D18" w:rsidP="00BE1D18">
      <w:pPr>
        <w:rPr>
          <w:rFonts w:ascii="Times New Roman" w:hAnsi="Times New Roman" w:cs="Times New Roman"/>
        </w:rPr>
      </w:pPr>
      <w:r w:rsidRPr="0064560B">
        <w:rPr>
          <w:rFonts w:ascii="Times New Roman" w:hAnsi="Times New Roman" w:cs="Times New Roman"/>
        </w:rPr>
        <w:t>The previous section has analyzed several pricing solutions with regard to their ability to induce market players to choose the optimal dispatch, i. e. to behave optimally in the short run. Nonetheless, as shown in</w:t>
      </w:r>
      <w:r w:rsidR="00292644"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292644" w:rsidRPr="0064560B">
        <w:rPr>
          <w:rFonts w:ascii="Times New Roman" w:hAnsi="Times New Roman" w:cs="Times New Roman"/>
        </w:rPr>
        <w:instrText xml:space="preserve"> ADDIN ZOTERO_ITEM CSL_CITATION {"citationID":"11djru3eap","properties":{"formattedCitation":"(Joskow and Schmalensee, 1988)","plainCitation":"(Joskow and Schmalensee, 1988)"},"citationItems":[{"id":152,"uris":["http://zotero.org/users/local/HK6lW3fP/items/C6CSHJNA"],"uri":["http://zotero.org/users/local/HK6lW3fP/items/C6CSHJNA"],"itemData":{"id":152,"type":"article-journal","title":"Markets for power: an analysis of electrical utility deregulation","container-title":"MIT Press Books","volume":"1","source":"Google Scholar","URL":"http://ideas.repec.org/b/mtp/titles/0262600188.html","shortTitle":"Markets for power","author":[{"family":"Joskow","given":"Paul L."},{"family":"Schmalensee","given":"Richard"}],"issued":{"date-parts":[["1988"]]},"accessed":{"date-parts":[["2015",1,20]],"season":"14:09:57"}}}],"schema":"https://github.com/citation-style-language/schema/raw/master/csl-citation.json"} </w:instrText>
      </w:r>
      <w:r w:rsidR="00905114" w:rsidRPr="0064560B">
        <w:rPr>
          <w:rFonts w:ascii="Times New Roman" w:hAnsi="Times New Roman" w:cs="Times New Roman"/>
        </w:rPr>
        <w:fldChar w:fldCharType="separate"/>
      </w:r>
      <w:r w:rsidR="00292644" w:rsidRPr="0064560B">
        <w:rPr>
          <w:rFonts w:ascii="Times New Roman" w:hAnsi="Times New Roman" w:cs="Times New Roman"/>
        </w:rPr>
        <w:t>(Joskow and Schmalensee, 1988)</w:t>
      </w:r>
      <w:r w:rsidR="00905114" w:rsidRPr="0064560B">
        <w:rPr>
          <w:rFonts w:ascii="Times New Roman" w:hAnsi="Times New Roman" w:cs="Times New Roman"/>
        </w:rPr>
        <w:fldChar w:fldCharType="end"/>
      </w:r>
      <w:r w:rsidR="00292644" w:rsidRPr="0064560B">
        <w:rPr>
          <w:rFonts w:ascii="Times New Roman" w:hAnsi="Times New Roman" w:cs="Times New Roman"/>
        </w:rPr>
        <w:t xml:space="preserve"> or </w:t>
      </w:r>
      <w:r w:rsidR="00905114" w:rsidRPr="0064560B">
        <w:rPr>
          <w:rFonts w:ascii="Times New Roman" w:hAnsi="Times New Roman" w:cs="Times New Roman"/>
        </w:rPr>
        <w:fldChar w:fldCharType="begin"/>
      </w:r>
      <w:r w:rsidR="00292644" w:rsidRPr="0064560B">
        <w:rPr>
          <w:rFonts w:ascii="Times New Roman" w:hAnsi="Times New Roman" w:cs="Times New Roman"/>
        </w:rPr>
        <w:instrText xml:space="preserve"> ADDIN ZOTERO_ITEM CSL_CITATION {"citationID":"2l35q5nmm","properties":{"formattedCitation":"(Caramanis, 1982)","plainCitation":"(Caramanis, 1982)"},"citationItems":[{"id":158,"uris":["http://zotero.org/users/local/HK6lW3fP/items/VIZGKMJ8"],"uri":["http://zotero.org/users/local/HK6lW3fP/items/VIZGKMJ8"],"itemData":{"id":158,"type":"article-journal","title":"Investment decisions and long-term planning under electricity spot pricing","container-title":"Power Apparatus and Systems, IEEE Transactions on","page":"4640–4648","issue":"12","source":"Google Scholar","author":[{"family":"Caramanis","given":"Michael"}],"issued":{"date-parts":[["1982"]]},"accessed":{"date-parts":[["2015",1,20]],"season":"14:11:00"}}}],"schema":"https://github.com/citation-style-language/schema/raw/master/csl-citation.json"} </w:instrText>
      </w:r>
      <w:r w:rsidR="00905114" w:rsidRPr="0064560B">
        <w:rPr>
          <w:rFonts w:ascii="Times New Roman" w:hAnsi="Times New Roman" w:cs="Times New Roman"/>
        </w:rPr>
        <w:fldChar w:fldCharType="separate"/>
      </w:r>
      <w:r w:rsidR="00292644" w:rsidRPr="0064560B">
        <w:rPr>
          <w:rFonts w:ascii="Times New Roman" w:hAnsi="Times New Roman" w:cs="Times New Roman"/>
        </w:rPr>
        <w:t>(Caramanis, 1982)</w:t>
      </w:r>
      <w:r w:rsidR="00905114" w:rsidRPr="0064560B">
        <w:rPr>
          <w:rFonts w:ascii="Times New Roman" w:hAnsi="Times New Roman" w:cs="Times New Roman"/>
        </w:rPr>
        <w:fldChar w:fldCharType="end"/>
      </w:r>
      <w:r w:rsidR="00292644" w:rsidRPr="0064560B">
        <w:rPr>
          <w:rFonts w:ascii="Times New Roman" w:hAnsi="Times New Roman" w:cs="Times New Roman"/>
        </w:rPr>
        <w:t>,</w:t>
      </w:r>
      <w:r w:rsidRPr="0064560B">
        <w:rPr>
          <w:rFonts w:ascii="Times New Roman" w:hAnsi="Times New Roman" w:cs="Times New Roman"/>
        </w:rPr>
        <w:t xml:space="preserve"> among others, market prices should also provide optimal long-term signals, so that they induce producers to build the optimal generation portfolio. In fact, a considerable part of the advantages associated with the use of markets depends on whether the market model can achieve optimal investment decisions. In this section, we will use this additional criterion to analyze pricing mechanisms for </w:t>
      </w:r>
      <w:r w:rsidR="00292644" w:rsidRPr="0064560B">
        <w:rPr>
          <w:rFonts w:ascii="Times New Roman" w:hAnsi="Times New Roman" w:cs="Times New Roman"/>
        </w:rPr>
        <w:t>combinatorial</w:t>
      </w:r>
      <w:r w:rsidRPr="0064560B">
        <w:rPr>
          <w:rFonts w:ascii="Times New Roman" w:hAnsi="Times New Roman" w:cs="Times New Roman"/>
        </w:rPr>
        <w:t xml:space="preserve"> electricity auctions. </w:t>
      </w:r>
    </w:p>
    <w:p w:rsidR="00BE1D18" w:rsidRPr="0064560B" w:rsidRDefault="00BE1D18" w:rsidP="00BE1D18">
      <w:pPr>
        <w:pStyle w:val="Heading2"/>
        <w:tabs>
          <w:tab w:val="num" w:pos="567"/>
        </w:tabs>
        <w:spacing w:before="0" w:after="240" w:line="276" w:lineRule="auto"/>
        <w:ind w:left="567" w:hanging="567"/>
        <w:jc w:val="both"/>
        <w:rPr>
          <w:rFonts w:ascii="Times New Roman" w:hAnsi="Times New Roman" w:cs="Times New Roman"/>
        </w:rPr>
      </w:pPr>
      <w:r w:rsidRPr="0064560B">
        <w:rPr>
          <w:rFonts w:ascii="Times New Roman" w:hAnsi="Times New Roman" w:cs="Times New Roman"/>
        </w:rPr>
        <w:lastRenderedPageBreak/>
        <w:t>Investment problem without integer variables</w:t>
      </w:r>
    </w:p>
    <w:p w:rsidR="00BE1D18" w:rsidRPr="0064560B" w:rsidRDefault="00BE1D18" w:rsidP="00BE1D18">
      <w:pPr>
        <w:rPr>
          <w:rFonts w:ascii="Times New Roman" w:hAnsi="Times New Roman" w:cs="Times New Roman"/>
        </w:rPr>
      </w:pPr>
      <w:r w:rsidRPr="0064560B">
        <w:rPr>
          <w:rFonts w:ascii="Times New Roman" w:hAnsi="Times New Roman" w:cs="Times New Roman"/>
        </w:rPr>
        <w:t>The objective of centralized planning is the minimization of the sum of investment and operation costs. Thus, a new investment is undertaken as long as the fixed cost of the new plant is lower than the operation savings associated with the investment. The problem can be represented by the following program:</w:t>
      </w:r>
    </w:p>
    <w:p w:rsidR="002367ED" w:rsidRPr="0064560B" w:rsidRDefault="00D80DBD" w:rsidP="002367ED">
      <w:pPr>
        <w:pStyle w:val="ecuacion"/>
        <w:rPr>
          <w:rFonts w:ascii="Times New Roman" w:hAnsi="Times New Roman"/>
        </w:rPr>
      </w:pPr>
      <m:oMath>
        <m:m>
          <m:mPr>
            <m:mcs>
              <m:mc>
                <m:mcPr>
                  <m:count m:val="1"/>
                  <m:mcJc m:val="right"/>
                </m:mcPr>
              </m:mc>
              <m:mc>
                <m:mcPr>
                  <m:count m:val="2"/>
                  <m:mcJc m:val="left"/>
                </m:mcPr>
              </m:mc>
            </m:mcs>
            <m:ctrlPr>
              <w:rPr>
                <w:rFonts w:ascii="Cambria Math" w:hAnsi="Cambria Math"/>
                <w:i/>
              </w:rPr>
            </m:ctrlPr>
          </m:mPr>
          <m:mr>
            <m:e>
              <m:r>
                <w:rPr>
                  <w:rFonts w:ascii="Cambria Math" w:hAnsi="Cambria Math"/>
                </w:rPr>
                <m:t>min</m:t>
              </m:r>
            </m:e>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ic</m:t>
                      </m:r>
                    </m:e>
                    <m:sub>
                      <m:r>
                        <w:rPr>
                          <w:rFonts w:ascii="Cambria Math" w:hAnsi="Cambria Math"/>
                        </w:rPr>
                        <m:t>i</m:t>
                      </m:r>
                    </m:sub>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max</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t,i</m:t>
                  </m:r>
                </m:sub>
                <m:sup/>
                <m:e>
                  <m:sSubSup>
                    <m:sSubSupPr>
                      <m:ctrlPr>
                        <w:rPr>
                          <w:rFonts w:ascii="Cambria Math" w:hAnsi="Cambria Math"/>
                          <w:i/>
                        </w:rPr>
                      </m:ctrlPr>
                    </m:sSubSupPr>
                    <m:e>
                      <m:r>
                        <w:rPr>
                          <w:rFonts w:ascii="Cambria Math" w:hAnsi="Cambria Math"/>
                        </w:rPr>
                        <m:t>c</m:t>
                      </m:r>
                    </m:e>
                    <m:sub>
                      <m:r>
                        <w:rPr>
                          <w:rFonts w:ascii="Cambria Math" w:hAnsi="Cambria Math"/>
                        </w:rPr>
                        <m:t>t,i</m:t>
                      </m:r>
                    </m:sub>
                    <m:sup/>
                  </m:sSubSup>
                  <m:sSubSup>
                    <m:sSubSupPr>
                      <m:ctrlPr>
                        <w:rPr>
                          <w:rFonts w:ascii="Cambria Math" w:hAnsi="Cambria Math"/>
                          <w:i/>
                        </w:rPr>
                      </m:ctrlPr>
                    </m:sSubSupPr>
                    <m:e>
                      <m:r>
                        <w:rPr>
                          <w:rFonts w:ascii="Cambria Math" w:hAnsi="Cambria Math"/>
                        </w:rPr>
                        <m:t>g</m:t>
                      </m:r>
                    </m:e>
                    <m:sub>
                      <m:r>
                        <w:rPr>
                          <w:rFonts w:ascii="Cambria Math" w:hAnsi="Cambria Math"/>
                        </w:rPr>
                        <m:t>t,i</m:t>
                      </m:r>
                    </m:sub>
                    <m:sup/>
                  </m:sSubSup>
                </m:e>
              </m:nary>
            </m:e>
            <m:e/>
          </m:mr>
          <m:mr>
            <m:e>
              <m:r>
                <w:rPr>
                  <w:rFonts w:ascii="Cambria Math" w:hAnsi="Cambria Math"/>
                </w:rPr>
                <m:t>s.t.</m:t>
              </m:r>
            </m:e>
            <m:e>
              <m:r>
                <w:rPr>
                  <w:rFonts w:ascii="Cambria Math" w:hAnsi="Cambria Math"/>
                </w:rPr>
                <m:t>0≤</m:t>
              </m:r>
              <m:sSubSup>
                <m:sSubSupPr>
                  <m:ctrlPr>
                    <w:rPr>
                      <w:rFonts w:ascii="Cambria Math" w:hAnsi="Cambria Math"/>
                      <w:i/>
                    </w:rPr>
                  </m:ctrlPr>
                </m:sSubSupPr>
                <m:e>
                  <m:r>
                    <w:rPr>
                      <w:rFonts w:ascii="Cambria Math" w:hAnsi="Cambria Math"/>
                    </w:rPr>
                    <m:t>g</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max</m:t>
                  </m:r>
                </m:sup>
              </m:sSubSup>
            </m:e>
            <m:e>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e>
          </m:mr>
          <m:mr>
            <m:e/>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g</m:t>
                      </m:r>
                    </m:e>
                    <m:sub>
                      <m:r>
                        <w:rPr>
                          <w:rFonts w:ascii="Cambria Math" w:hAnsi="Cambria Math"/>
                        </w:rPr>
                        <m:t>t,i</m:t>
                      </m:r>
                    </m:sub>
                    <m:sup/>
                  </m:sSubSup>
                </m:e>
              </m:nary>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m:t>
                  </m:r>
                </m:sub>
                <m:sup/>
              </m:sSubSup>
            </m:e>
            <m:e>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m:t>
                  </m:r>
                </m:sub>
                <m:sup>
                  <m:r>
                    <w:rPr>
                      <w:rFonts w:ascii="Cambria Math" w:hAnsi="Cambria Math"/>
                    </w:rPr>
                    <m:t>demand</m:t>
                  </m:r>
                </m:sup>
              </m:sSubSup>
            </m:e>
          </m:mr>
        </m:m>
      </m:oMath>
      <w:r w:rsidR="002367ED" w:rsidRPr="0064560B">
        <w:rPr>
          <w:rFonts w:ascii="Times New Roman" w:hAnsi="Times New Roman"/>
        </w:rPr>
        <w:tab/>
      </w:r>
      <w:r w:rsidR="002367ED" w:rsidRPr="0064560B">
        <w:rPr>
          <w:rFonts w:ascii="Times New Roman" w:hAnsi="Times New Roman"/>
          <w:lang w:eastAsia="es-ES"/>
        </w:rPr>
        <w:t>(</w:t>
      </w:r>
      <w:bookmarkStart w:id="22" w:name="eq8"/>
      <w:r w:rsidR="00905114" w:rsidRPr="0064560B">
        <w:rPr>
          <w:rFonts w:ascii="Times New Roman" w:hAnsi="Times New Roman"/>
        </w:rPr>
        <w:fldChar w:fldCharType="begin"/>
      </w:r>
      <w:r w:rsidR="002367ED"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2367ED" w:rsidRPr="0064560B">
        <w:rPr>
          <w:rFonts w:ascii="Times New Roman" w:hAnsi="Times New Roman"/>
          <w:noProof/>
        </w:rPr>
        <w:t>8</w:t>
      </w:r>
      <w:r w:rsidR="00905114" w:rsidRPr="0064560B">
        <w:rPr>
          <w:rFonts w:ascii="Times New Roman" w:hAnsi="Times New Roman"/>
          <w:noProof/>
        </w:rPr>
        <w:fldChar w:fldCharType="end"/>
      </w:r>
      <w:bookmarkEnd w:id="22"/>
      <w:r w:rsidR="002367ED"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The optimality conditions of the problem are</w:t>
      </w:r>
    </w:p>
    <w:p w:rsidR="00BE1D18" w:rsidRPr="0064560B" w:rsidRDefault="00D80DBD" w:rsidP="00217E8E">
      <w:pPr>
        <w:pStyle w:val="ecuacion"/>
        <w:spacing w:after="120"/>
        <w:rPr>
          <w:rFonts w:ascii="Times New Roman" w:hAnsi="Times New Roman"/>
        </w:rPr>
      </w:pPr>
      <m:oMath>
        <m:sSubSup>
          <m:sSubSupPr>
            <m:ctrlPr>
              <w:rPr>
                <w:rFonts w:ascii="Cambria Math" w:hAnsi="Cambria Math"/>
                <w:i/>
              </w:rPr>
            </m:ctrlPr>
          </m:sSubSupPr>
          <m:e>
            <m:r>
              <w:rPr>
                <w:rFonts w:ascii="Cambria Math" w:hAnsi="Cambria Math"/>
              </w:rPr>
              <m:t>ic</m:t>
            </m:r>
          </m:e>
          <m:sub>
            <m:r>
              <w:rPr>
                <w:rFonts w:ascii="Cambria Math" w:hAnsi="Cambria Math"/>
              </w:rPr>
              <m:t>i</m:t>
            </m:r>
          </m:sub>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e>
        </m:nary>
      </m:oMath>
      <w:r w:rsidR="0036730A" w:rsidRPr="0064560B">
        <w:rPr>
          <w:rFonts w:ascii="Times New Roman" w:hAnsi="Times New Roman"/>
        </w:rPr>
        <w:tab/>
      </w:r>
      <w:r w:rsidR="0036730A" w:rsidRPr="0064560B">
        <w:rPr>
          <w:rFonts w:ascii="Times New Roman" w:hAnsi="Times New Roman"/>
          <w:lang w:eastAsia="es-ES"/>
        </w:rPr>
        <w:t>(</w:t>
      </w:r>
      <w:bookmarkStart w:id="23" w:name="eq9"/>
      <w:r w:rsidR="00905114" w:rsidRPr="0064560B">
        <w:rPr>
          <w:rFonts w:ascii="Times New Roman" w:hAnsi="Times New Roman"/>
        </w:rPr>
        <w:fldChar w:fldCharType="begin"/>
      </w:r>
      <w:r w:rsidR="0036730A"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36730A" w:rsidRPr="0064560B">
        <w:rPr>
          <w:rFonts w:ascii="Times New Roman" w:hAnsi="Times New Roman"/>
          <w:noProof/>
        </w:rPr>
        <w:t>9</w:t>
      </w:r>
      <w:r w:rsidR="00905114" w:rsidRPr="0064560B">
        <w:rPr>
          <w:rFonts w:ascii="Times New Roman" w:hAnsi="Times New Roman"/>
          <w:noProof/>
        </w:rPr>
        <w:fldChar w:fldCharType="end"/>
      </w:r>
      <w:bookmarkEnd w:id="23"/>
      <w:r w:rsidR="0036730A" w:rsidRPr="0064560B">
        <w:rPr>
          <w:rFonts w:ascii="Times New Roman" w:hAnsi="Times New Roman"/>
          <w:noProof/>
        </w:rPr>
        <w:t>)</w:t>
      </w:r>
    </w:p>
    <w:p w:rsidR="00BE1D18" w:rsidRPr="0064560B" w:rsidRDefault="00D80DBD" w:rsidP="00217E8E">
      <w:pPr>
        <w:pStyle w:val="ecuacion"/>
        <w:spacing w:before="0"/>
        <w:rPr>
          <w:rFonts w:ascii="Times New Roman" w:hAnsi="Times New Roman"/>
        </w:rPr>
      </w:pPr>
      <m:oMath>
        <m:sSubSup>
          <m:sSubSupPr>
            <m:ctrlPr>
              <w:rPr>
                <w:rFonts w:ascii="Cambria Math" w:hAnsi="Cambria Math"/>
                <w:i/>
              </w:rPr>
            </m:ctrlPr>
          </m:sSubSupPr>
          <m:e>
            <m:r>
              <w:rPr>
                <w:rFonts w:ascii="Cambria Math" w:hAnsi="Cambria Math"/>
              </w:rPr>
              <m:t>λ</m:t>
            </m:r>
          </m:e>
          <m:sub>
            <m:r>
              <w:rPr>
                <w:rFonts w:ascii="Cambria Math" w:hAnsi="Cambria Math"/>
              </w:rPr>
              <m:t>t</m:t>
            </m:r>
          </m:sub>
          <m:sup>
            <m:r>
              <w:rPr>
                <w:rFonts w:ascii="Cambria Math" w:hAnsi="Cambria Math"/>
              </w:rPr>
              <m:t>demand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t,i</m:t>
            </m:r>
          </m:sub>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min</m:t>
                </m:r>
              </m:sup>
            </m:sSubSup>
          </m:e>
        </m:d>
      </m:oMath>
      <w:r w:rsidR="00BE1D18" w:rsidRPr="0064560B">
        <w:rPr>
          <w:rFonts w:ascii="Times New Roman" w:hAnsi="Times New Roman"/>
        </w:rPr>
        <w:tab/>
      </w:r>
      <w:r w:rsidR="0036730A" w:rsidRPr="0064560B">
        <w:rPr>
          <w:rFonts w:ascii="Times New Roman" w:hAnsi="Times New Roman"/>
          <w:lang w:eastAsia="es-ES"/>
        </w:rPr>
        <w:t>(</w:t>
      </w:r>
      <w:bookmarkStart w:id="24" w:name="eq10"/>
      <w:r w:rsidR="00905114" w:rsidRPr="0064560B">
        <w:rPr>
          <w:rFonts w:ascii="Times New Roman" w:hAnsi="Times New Roman"/>
        </w:rPr>
        <w:fldChar w:fldCharType="begin"/>
      </w:r>
      <w:r w:rsidR="0036730A"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36730A" w:rsidRPr="0064560B">
        <w:rPr>
          <w:rFonts w:ascii="Times New Roman" w:hAnsi="Times New Roman"/>
          <w:noProof/>
        </w:rPr>
        <w:t>10</w:t>
      </w:r>
      <w:r w:rsidR="00905114" w:rsidRPr="0064560B">
        <w:rPr>
          <w:rFonts w:ascii="Times New Roman" w:hAnsi="Times New Roman"/>
          <w:noProof/>
        </w:rPr>
        <w:fldChar w:fldCharType="end"/>
      </w:r>
      <w:bookmarkEnd w:id="24"/>
      <w:r w:rsidR="0036730A" w:rsidRPr="0064560B">
        <w:rPr>
          <w:rFonts w:ascii="Times New Roman" w:hAnsi="Times New Roman"/>
          <w:noProof/>
        </w:rPr>
        <w:t>)</w:t>
      </w:r>
    </w:p>
    <w:p w:rsidR="004C735C" w:rsidRPr="0064560B" w:rsidRDefault="00BE1D18" w:rsidP="00BE1D18">
      <w:pPr>
        <w:rPr>
          <w:rFonts w:ascii="Times New Roman" w:hAnsi="Times New Roman" w:cs="Times New Roman"/>
          <w:lang w:val="pt-BR"/>
        </w:rPr>
      </w:pPr>
      <w:r w:rsidRPr="0064560B">
        <w:rPr>
          <w:rFonts w:ascii="Times New Roman" w:hAnsi="Times New Roman" w:cs="Times New Roman"/>
        </w:rPr>
        <w:t xml:space="preserve">On the other hand, under a market environment, the objective is the maximization of firms’ total profits. </w:t>
      </w:r>
      <w:proofErr w:type="spellStart"/>
      <w:r w:rsidR="004C735C" w:rsidRPr="0064560B">
        <w:rPr>
          <w:rFonts w:ascii="Times New Roman" w:hAnsi="Times New Roman" w:cs="Times New Roman"/>
          <w:lang w:val="pt-BR"/>
        </w:rPr>
        <w:t>Hence</w:t>
      </w:r>
      <w:proofErr w:type="spellEnd"/>
      <w:r w:rsidRPr="0064560B">
        <w:rPr>
          <w:rFonts w:ascii="Times New Roman" w:hAnsi="Times New Roman" w:cs="Times New Roman"/>
          <w:lang w:val="pt-BR"/>
        </w:rPr>
        <w:t>,</w:t>
      </w:r>
    </w:p>
    <w:p w:rsidR="00BE1D18" w:rsidRPr="0064560B" w:rsidRDefault="00D80DBD" w:rsidP="00E947AB">
      <w:pPr>
        <w:pStyle w:val="ecuacion"/>
        <w:rPr>
          <w:rFonts w:ascii="Times New Roman" w:hAnsi="Times New Roman"/>
          <w:lang w:val="pt-BR"/>
        </w:rPr>
      </w:pPr>
      <m:oMath>
        <m:m>
          <m:mPr>
            <m:mcs>
              <m:mc>
                <m:mcPr>
                  <m:count m:val="1"/>
                  <m:mcJc m:val="right"/>
                </m:mcPr>
              </m:mc>
              <m:mc>
                <m:mcPr>
                  <m:count m:val="2"/>
                  <m:mcJc m:val="left"/>
                </m:mcPr>
              </m:mc>
            </m:mcs>
            <m:ctrlPr>
              <w:rPr>
                <w:rFonts w:ascii="Cambria Math" w:eastAsiaTheme="minorEastAsia" w:hAnsi="Cambria Math"/>
                <w:szCs w:val="22"/>
                <w:lang w:eastAsia="en-GB"/>
              </w:rPr>
            </m:ctrlPr>
          </m:mPr>
          <m:mr>
            <m:e>
              <m:r>
                <w:rPr>
                  <w:rFonts w:ascii="Cambria Math" w:hAnsi="Cambria Math"/>
                </w:rPr>
                <m:t>max</m:t>
              </m:r>
            </m:e>
            <m:e>
              <m:r>
                <m:rPr>
                  <m:sty m:val="p"/>
                </m:rPr>
                <w:rPr>
                  <w:rFonts w:ascii="Cambria Math" w:hAnsi="Cambria Math"/>
                  <w:lang w:val="pt-BR"/>
                </w:rPr>
                <m:t>-</m:t>
              </m:r>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ic</m:t>
                      </m:r>
                    </m:e>
                    <m:sub>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nary>
              <m:r>
                <m:rPr>
                  <m:sty m:val="p"/>
                </m:rPr>
                <w:rPr>
                  <w:rFonts w:ascii="Cambria Math" w:hAnsi="Cambria Math"/>
                  <w:lang w:val="pt-BR"/>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lang w:val="pt-BR"/>
                    </w:rPr>
                    <m:t>,</m:t>
                  </m:r>
                  <m:r>
                    <w:rPr>
                      <w:rFonts w:ascii="Cambria Math" w:hAnsi="Cambria Math"/>
                    </w:rPr>
                    <m:t>i</m:t>
                  </m:r>
                </m:sub>
                <m:sup/>
                <m:e>
                  <m:d>
                    <m:dPr>
                      <m:ctrlPr>
                        <w:rPr>
                          <w:rFonts w:ascii="Cambria Math" w:hAnsi="Cambria Math"/>
                        </w:rPr>
                      </m:ctrlPr>
                    </m:dPr>
                    <m:e>
                      <m:sSubSup>
                        <m:sSubSupPr>
                          <m:ctrlPr>
                            <w:rPr>
                              <w:rFonts w:ascii="Cambria Math" w:hAnsi="Cambria Math"/>
                            </w:rPr>
                          </m:ctrlPr>
                        </m:sSubSupPr>
                        <m:e>
                          <m:sSubSup>
                            <m:sSubSupPr>
                              <m:ctrlPr>
                                <w:rPr>
                                  <w:rFonts w:ascii="Cambria Math" w:hAnsi="Cambria Math"/>
                                </w:rPr>
                              </m:ctrlPr>
                            </m:sSubSupPr>
                            <m:e>
                              <m:r>
                                <w:rPr>
                                  <w:rFonts w:ascii="Cambria Math" w:hAnsi="Cambria Math"/>
                                </w:rPr>
                                <m:t>π</m:t>
                              </m:r>
                            </m:e>
                            <m:sub>
                              <m:r>
                                <w:rPr>
                                  <w:rFonts w:ascii="Cambria Math" w:hAnsi="Cambria Math"/>
                                </w:rPr>
                                <m:t>t</m:t>
                              </m:r>
                            </m:sub>
                            <m:sup/>
                          </m:sSubSup>
                          <m:r>
                            <m:rPr>
                              <m:sty m:val="p"/>
                            </m:rPr>
                            <w:rPr>
                              <w:rFonts w:ascii="Cambria Math" w:hAnsi="Cambria Math"/>
                              <w:lang w:val="pt-BR"/>
                            </w:rPr>
                            <m:t>-</m:t>
                          </m:r>
                          <m:r>
                            <w:rPr>
                              <w:rFonts w:ascii="Cambria Math" w:hAnsi="Cambria Math"/>
                            </w:rPr>
                            <m:t>c</m:t>
                          </m:r>
                        </m:e>
                        <m:sub>
                          <m:r>
                            <w:rPr>
                              <w:rFonts w:ascii="Cambria Math" w:hAnsi="Cambria Math"/>
                            </w:rPr>
                            <m:t>t</m:t>
                          </m:r>
                          <m:r>
                            <m:rPr>
                              <m:sty m:val="p"/>
                            </m:rPr>
                            <w:rPr>
                              <w:rFonts w:ascii="Cambria Math" w:hAnsi="Cambria Math"/>
                              <w:lang w:val="pt-BR"/>
                            </w:rPr>
                            <m:t>,</m:t>
                          </m:r>
                          <m:r>
                            <w:rPr>
                              <w:rFonts w:ascii="Cambria Math" w:hAnsi="Cambria Math"/>
                            </w:rPr>
                            <m:t>i</m:t>
                          </m:r>
                        </m:sub>
                        <m:sup/>
                      </m:sSubSup>
                    </m:e>
                  </m:d>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lang w:val="pt-BR"/>
                        </w:rPr>
                        <m:t>,</m:t>
                      </m:r>
                      <m:r>
                        <w:rPr>
                          <w:rFonts w:ascii="Cambria Math" w:hAnsi="Cambria Math"/>
                        </w:rPr>
                        <m:t>i</m:t>
                      </m:r>
                    </m:sub>
                    <m:sup/>
                  </m:sSubSup>
                </m:e>
              </m:nary>
            </m:e>
            <m:e/>
          </m:mr>
          <m:mr>
            <m:e>
              <m:r>
                <w:rPr>
                  <w:rFonts w:ascii="Cambria Math" w:hAnsi="Cambria Math"/>
                </w:rPr>
                <m:t>s</m:t>
              </m:r>
              <m:r>
                <m:rPr>
                  <m:sty m:val="p"/>
                </m:rPr>
                <w:rPr>
                  <w:rFonts w:ascii="Cambria Math" w:hAnsi="Cambria Math"/>
                  <w:lang w:val="pt-BR"/>
                </w:rPr>
                <m:t>.</m:t>
              </m:r>
              <m:r>
                <w:rPr>
                  <w:rFonts w:ascii="Cambria Math" w:hAnsi="Cambria Math"/>
                </w:rPr>
                <m:t>t</m:t>
              </m:r>
              <m:r>
                <m:rPr>
                  <m:sty m:val="p"/>
                </m:rPr>
                <w:rPr>
                  <w:rFonts w:ascii="Cambria Math" w:hAnsi="Cambria Math"/>
                  <w:lang w:val="pt-BR"/>
                </w:rPr>
                <m:t>.</m:t>
              </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lang w:val="pt-BR"/>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lang w:val="pt-BR"/>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lang w:val="pt-BR"/>
                    </w:rPr>
                    <m:t>,</m:t>
                  </m:r>
                  <m:r>
                    <w:rPr>
                      <w:rFonts w:ascii="Cambria Math" w:hAnsi="Cambria Math"/>
                    </w:rPr>
                    <m:t>i</m:t>
                  </m:r>
                </m:sub>
                <m:sup/>
              </m:sSubSup>
              <m:r>
                <m:rPr>
                  <m:sty m:val="p"/>
                </m:rPr>
                <w:rPr>
                  <w:rFonts w:ascii="Cambria Math" w:hAnsi="Cambria Math"/>
                  <w:lang w:val="pt-BR"/>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lang w:val="pt-BR"/>
                    </w:rPr>
                    <m:t>,</m:t>
                  </m:r>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r>
                <m:rPr>
                  <m:sty m:val="p"/>
                </m:rPr>
                <w:rPr>
                  <w:rFonts w:ascii="Cambria Math" w:hAnsi="Cambria Math"/>
                  <w:lang w:val="pt-BR"/>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lang w:val="pt-BR"/>
                    </w:rPr>
                    <m:t>,</m:t>
                  </m:r>
                  <m:r>
                    <w:rPr>
                      <w:rFonts w:ascii="Cambria Math" w:hAnsi="Cambria Math"/>
                    </w:rPr>
                    <m:t>i</m:t>
                  </m:r>
                </m:sub>
                <m:sup>
                  <m:r>
                    <w:rPr>
                      <w:rFonts w:ascii="Cambria Math" w:hAnsi="Cambria Math"/>
                    </w:rPr>
                    <m:t>min</m:t>
                  </m:r>
                </m:sup>
              </m:sSubSup>
              <m:r>
                <m:rPr>
                  <m:sty m:val="p"/>
                </m:rPr>
                <w:rPr>
                  <w:rFonts w:ascii="Cambria Math" w:hAnsi="Cambria Math"/>
                  <w:lang w:val="pt-BR"/>
                </w:rPr>
                <m:t>,</m:t>
              </m:r>
              <m:sSubSup>
                <m:sSubSupPr>
                  <m:ctrlPr>
                    <w:rPr>
                      <w:rFonts w:ascii="Cambria Math" w:hAnsi="Cambria Math"/>
                    </w:rPr>
                  </m:ctrlPr>
                </m:sSubSupPr>
                <m:e>
                  <m:r>
                    <w:rPr>
                      <w:rFonts w:ascii="Cambria Math" w:hAnsi="Cambria Math"/>
                    </w:rPr>
                    <m:t>λ</m:t>
                  </m:r>
                </m:e>
                <m:sub>
                  <m:r>
                    <w:rPr>
                      <w:rFonts w:ascii="Cambria Math" w:hAnsi="Cambria Math"/>
                    </w:rPr>
                    <m:t>t</m:t>
                  </m:r>
                  <m:r>
                    <m:rPr>
                      <m:sty m:val="p"/>
                    </m:rPr>
                    <w:rPr>
                      <w:rFonts w:ascii="Cambria Math" w:hAnsi="Cambria Math"/>
                      <w:lang w:val="pt-BR"/>
                    </w:rPr>
                    <m:t>,</m:t>
                  </m:r>
                  <m:r>
                    <w:rPr>
                      <w:rFonts w:ascii="Cambria Math" w:hAnsi="Cambria Math"/>
                    </w:rPr>
                    <m:t>i</m:t>
                  </m:r>
                </m:sub>
                <m:sup>
                  <m:r>
                    <w:rPr>
                      <w:rFonts w:ascii="Cambria Math" w:hAnsi="Cambria Math"/>
                    </w:rPr>
                    <m:t>max</m:t>
                  </m:r>
                </m:sup>
              </m:sSubSup>
            </m:e>
          </m:mr>
        </m:m>
      </m:oMath>
      <w:r w:rsidR="00E947AB" w:rsidRPr="0064560B">
        <w:rPr>
          <w:rFonts w:ascii="Times New Roman" w:hAnsi="Times New Roman"/>
          <w:szCs w:val="22"/>
          <w:lang w:val="pt-BR" w:eastAsia="en-GB"/>
        </w:rPr>
        <w:tab/>
      </w:r>
      <w:r w:rsidR="00E947AB" w:rsidRPr="0064560B">
        <w:rPr>
          <w:rFonts w:ascii="Times New Roman" w:hAnsi="Times New Roman"/>
          <w:lang w:val="pt-BR" w:eastAsia="es-ES"/>
        </w:rPr>
        <w:t>(</w:t>
      </w:r>
      <w:bookmarkStart w:id="25" w:name="eq11"/>
      <w:r w:rsidR="00905114" w:rsidRPr="0064560B">
        <w:rPr>
          <w:rFonts w:ascii="Times New Roman" w:hAnsi="Times New Roman"/>
        </w:rPr>
        <w:fldChar w:fldCharType="begin"/>
      </w:r>
      <w:r w:rsidR="00E947AB" w:rsidRPr="0064560B">
        <w:rPr>
          <w:rFonts w:ascii="Times New Roman" w:hAnsi="Times New Roman"/>
          <w:lang w:val="pt-BR"/>
        </w:rPr>
        <w:instrText xml:space="preserve"> SEQ step \n \* MERGEFORMAT </w:instrText>
      </w:r>
      <w:r w:rsidR="00905114" w:rsidRPr="0064560B">
        <w:rPr>
          <w:rFonts w:ascii="Times New Roman" w:hAnsi="Times New Roman"/>
        </w:rPr>
        <w:fldChar w:fldCharType="separate"/>
      </w:r>
      <w:r w:rsidR="00E947AB" w:rsidRPr="0064560B">
        <w:rPr>
          <w:rFonts w:ascii="Times New Roman" w:hAnsi="Times New Roman"/>
          <w:noProof/>
          <w:lang w:val="pt-BR"/>
        </w:rPr>
        <w:t>11</w:t>
      </w:r>
      <w:r w:rsidR="00905114" w:rsidRPr="0064560B">
        <w:rPr>
          <w:rFonts w:ascii="Times New Roman" w:hAnsi="Times New Roman"/>
          <w:noProof/>
        </w:rPr>
        <w:fldChar w:fldCharType="end"/>
      </w:r>
      <w:bookmarkEnd w:id="25"/>
      <w:r w:rsidR="00E947AB" w:rsidRPr="0064560B">
        <w:rPr>
          <w:rFonts w:ascii="Times New Roman" w:hAnsi="Times New Roman"/>
          <w:noProof/>
          <w:lang w:val="pt-BR"/>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Along the same lines as in the centralized problem, the optimality conditions can be written as</w:t>
      </w:r>
    </w:p>
    <w:p w:rsidR="00BE1D18" w:rsidRPr="0064560B" w:rsidRDefault="00D80DBD" w:rsidP="00E947AB">
      <w:pPr>
        <w:pStyle w:val="ecuacion"/>
        <w:spacing w:after="120"/>
        <w:rPr>
          <w:rFonts w:ascii="Times New Roman" w:hAnsi="Times New Roman"/>
        </w:rPr>
      </w:pPr>
      <m:oMath>
        <m:sSubSup>
          <m:sSubSupPr>
            <m:ctrlPr>
              <w:rPr>
                <w:rFonts w:ascii="Cambria Math" w:hAnsi="Cambria Math"/>
                <w:i/>
              </w:rPr>
            </m:ctrlPr>
          </m:sSubSupPr>
          <m:e>
            <m:r>
              <w:rPr>
                <w:rFonts w:ascii="Cambria Math" w:hAnsi="Cambria Math"/>
              </w:rPr>
              <m:t>ic</m:t>
            </m:r>
          </m:e>
          <m:sub>
            <m:r>
              <w:rPr>
                <w:rFonts w:ascii="Cambria Math" w:hAnsi="Cambria Math"/>
              </w:rPr>
              <m:t>i</m:t>
            </m:r>
          </m:sub>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e>
        </m:nary>
      </m:oMath>
      <w:r w:rsidR="00E947AB" w:rsidRPr="0064560B">
        <w:rPr>
          <w:rFonts w:ascii="Times New Roman" w:hAnsi="Times New Roman"/>
        </w:rPr>
        <w:tab/>
      </w:r>
      <w:r w:rsidR="00E947AB" w:rsidRPr="0064560B">
        <w:rPr>
          <w:rFonts w:ascii="Times New Roman" w:hAnsi="Times New Roman"/>
          <w:lang w:eastAsia="es-ES"/>
        </w:rPr>
        <w:t>(</w:t>
      </w:r>
      <w:bookmarkStart w:id="26" w:name="eq12"/>
      <w:r w:rsidR="00905114" w:rsidRPr="0064560B">
        <w:rPr>
          <w:rFonts w:ascii="Times New Roman" w:hAnsi="Times New Roman"/>
        </w:rPr>
        <w:fldChar w:fldCharType="begin"/>
      </w:r>
      <w:r w:rsidR="00E947AB"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E947AB" w:rsidRPr="0064560B">
        <w:rPr>
          <w:rFonts w:ascii="Times New Roman" w:hAnsi="Times New Roman"/>
          <w:noProof/>
        </w:rPr>
        <w:t>12</w:t>
      </w:r>
      <w:r w:rsidR="00905114" w:rsidRPr="0064560B">
        <w:rPr>
          <w:rFonts w:ascii="Times New Roman" w:hAnsi="Times New Roman"/>
          <w:noProof/>
        </w:rPr>
        <w:fldChar w:fldCharType="end"/>
      </w:r>
      <w:bookmarkEnd w:id="26"/>
      <w:r w:rsidR="00E947AB" w:rsidRPr="0064560B">
        <w:rPr>
          <w:rFonts w:ascii="Times New Roman" w:hAnsi="Times New Roman"/>
          <w:noProof/>
        </w:rPr>
        <w:t>)</w:t>
      </w:r>
    </w:p>
    <w:p w:rsidR="00BE1D18" w:rsidRPr="0064560B" w:rsidRDefault="00D80DBD" w:rsidP="00E947AB">
      <w:pPr>
        <w:pStyle w:val="ecuacion"/>
        <w:spacing w:before="0"/>
        <w:rPr>
          <w:rFonts w:ascii="Times New Roman" w:hAnsi="Times New Roman"/>
        </w:rPr>
      </w:pPr>
      <m:oMath>
        <m:sSubSup>
          <m:sSubSupPr>
            <m:ctrlPr>
              <w:rPr>
                <w:rFonts w:ascii="Cambria Math" w:hAnsi="Cambria Math"/>
                <w:i/>
              </w:rPr>
            </m:ctrlPr>
          </m:sSubSupPr>
          <m:e>
            <m:r>
              <w:rPr>
                <w:rFonts w:ascii="Cambria Math" w:hAnsi="Cambria Math"/>
              </w:rPr>
              <m:t>π</m:t>
            </m:r>
          </m:e>
          <m:sub>
            <m:r>
              <w:rPr>
                <w:rFonts w:ascii="Cambria Math" w:hAnsi="Cambria Math"/>
              </w:rPr>
              <m:t>t</m:t>
            </m:r>
          </m: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t,i</m:t>
            </m:r>
          </m:sub>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min</m:t>
                </m:r>
              </m:sup>
            </m:sSubSup>
          </m:e>
        </m:d>
      </m:oMath>
      <w:r w:rsidR="00E947AB" w:rsidRPr="0064560B">
        <w:rPr>
          <w:rFonts w:ascii="Times New Roman" w:hAnsi="Times New Roman"/>
        </w:rPr>
        <w:tab/>
        <w:t>(</w:t>
      </w:r>
      <w:bookmarkStart w:id="27" w:name="eq13"/>
      <w:r w:rsidR="00905114" w:rsidRPr="0064560B">
        <w:rPr>
          <w:rFonts w:ascii="Times New Roman" w:hAnsi="Times New Roman"/>
        </w:rPr>
        <w:fldChar w:fldCharType="begin"/>
      </w:r>
      <w:r w:rsidR="00E947AB"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E947AB" w:rsidRPr="0064560B">
        <w:rPr>
          <w:rFonts w:ascii="Times New Roman" w:hAnsi="Times New Roman"/>
          <w:noProof/>
        </w:rPr>
        <w:t>13</w:t>
      </w:r>
      <w:r w:rsidR="00905114" w:rsidRPr="0064560B">
        <w:rPr>
          <w:rFonts w:ascii="Times New Roman" w:hAnsi="Times New Roman"/>
          <w:noProof/>
        </w:rPr>
        <w:fldChar w:fldCharType="end"/>
      </w:r>
      <w:bookmarkEnd w:id="27"/>
      <w:r w:rsidR="00E947AB"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That is, the new investment is undertaken as long as the profits associated with the new plant’s production are equal to or greater than the investment cost. When the market price is set to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t</m:t>
            </m:r>
          </m:sub>
          <m:sup>
            <m:r>
              <w:rPr>
                <w:rFonts w:ascii="Cambria Math" w:hAnsi="Cambria Math" w:cs="Times New Roman"/>
              </w:rPr>
              <m:t>demand</m:t>
            </m:r>
          </m:sup>
        </m:sSubSup>
      </m:oMath>
      <w:r w:rsidRPr="0064560B">
        <w:rPr>
          <w:rFonts w:ascii="Times New Roman" w:hAnsi="Times New Roman" w:cs="Times New Roman"/>
        </w:rPr>
        <w:t xml:space="preserve">, the results obtained with both models are the same. Therefore, the generation portfolio obtained under a market environment is optimal. Equivalently, defining market prices as the shadow price of the balance equation gives optimal long-term signals. </w:t>
      </w:r>
    </w:p>
    <w:p w:rsidR="00BE1D18" w:rsidRPr="0064560B" w:rsidRDefault="00BE1D18" w:rsidP="00BE1D18">
      <w:pPr>
        <w:rPr>
          <w:rFonts w:ascii="Times New Roman" w:hAnsi="Times New Roman" w:cs="Times New Roman"/>
        </w:rPr>
      </w:pPr>
      <w:r w:rsidRPr="0064560B">
        <w:rPr>
          <w:rFonts w:ascii="Times New Roman" w:hAnsi="Times New Roman" w:cs="Times New Roman"/>
        </w:rPr>
        <w:t>It is worth to illustrate the problem by means of a simple example, where the possible investments are restricted to three technologies:</w:t>
      </w:r>
    </w:p>
    <w:p w:rsidR="00BE1D18" w:rsidRPr="0064560B" w:rsidRDefault="00BE1D18" w:rsidP="00BE1D18">
      <w:pPr>
        <w:pStyle w:val="Punto"/>
        <w:spacing w:after="240" w:line="276" w:lineRule="auto"/>
        <w:rPr>
          <w:rFonts w:ascii="Times New Roman" w:hAnsi="Times New Roman"/>
        </w:rPr>
      </w:pPr>
      <w:r w:rsidRPr="0064560B">
        <w:rPr>
          <w:rFonts w:ascii="Times New Roman" w:hAnsi="Times New Roman"/>
        </w:rPr>
        <w:t>Tech1 has no investment costs and a high operation cost (these are the typical characteristics of non-served energy)</w:t>
      </w:r>
    </w:p>
    <w:p w:rsidR="00BE1D18" w:rsidRPr="0064560B" w:rsidRDefault="00BE1D18" w:rsidP="00BE1D18">
      <w:pPr>
        <w:pStyle w:val="Punto"/>
        <w:spacing w:after="240" w:line="276" w:lineRule="auto"/>
        <w:rPr>
          <w:rFonts w:ascii="Times New Roman" w:hAnsi="Times New Roman"/>
        </w:rPr>
      </w:pPr>
      <w:r w:rsidRPr="0064560B">
        <w:rPr>
          <w:rFonts w:ascii="Times New Roman" w:hAnsi="Times New Roman"/>
        </w:rPr>
        <w:t>Tech2 has fixed costs defined by IC2, and intermediate operation costs</w:t>
      </w:r>
    </w:p>
    <w:p w:rsidR="00BE1D18" w:rsidRPr="0064560B" w:rsidRDefault="00BE1D18" w:rsidP="00BE1D18">
      <w:pPr>
        <w:pStyle w:val="Punto"/>
        <w:spacing w:after="240" w:line="276" w:lineRule="auto"/>
        <w:rPr>
          <w:rFonts w:ascii="Times New Roman" w:hAnsi="Times New Roman"/>
        </w:rPr>
      </w:pPr>
      <w:r w:rsidRPr="0064560B">
        <w:rPr>
          <w:rFonts w:ascii="Times New Roman" w:hAnsi="Times New Roman"/>
        </w:rPr>
        <w:t>Tech3 has the highest investment cost and the lowest operation cost</w:t>
      </w:r>
    </w:p>
    <w:p w:rsidR="00BE1D18" w:rsidRPr="0064560B" w:rsidRDefault="00905114" w:rsidP="00BE1D18">
      <w:pPr>
        <w:rPr>
          <w:rFonts w:ascii="Times New Roman" w:hAnsi="Times New Roman" w:cs="Times New Roman"/>
        </w:rPr>
      </w:pPr>
      <w:r w:rsidRPr="0064560B">
        <w:rPr>
          <w:rFonts w:ascii="Times New Roman" w:hAnsi="Times New Roman" w:cs="Times New Roman"/>
        </w:rPr>
        <w:fldChar w:fldCharType="begin"/>
      </w:r>
      <w:r w:rsidR="00BE1D18" w:rsidRPr="0064560B">
        <w:rPr>
          <w:rFonts w:ascii="Times New Roman" w:hAnsi="Times New Roman" w:cs="Times New Roman"/>
        </w:rPr>
        <w:instrText xml:space="preserve"> REF _Ref305756413 \h </w:instrText>
      </w:r>
      <w:r w:rsidR="0064560B">
        <w:rPr>
          <w:rFonts w:ascii="Times New Roman" w:hAnsi="Times New Roman" w:cs="Times New Roman"/>
        </w:rPr>
        <w:instrText xml:space="preserve"> \* MERGEFORMAT </w:instrText>
      </w:r>
      <w:r w:rsidRPr="0064560B">
        <w:rPr>
          <w:rFonts w:ascii="Times New Roman" w:hAnsi="Times New Roman" w:cs="Times New Roman"/>
        </w:rPr>
      </w:r>
      <w:r w:rsidRPr="0064560B">
        <w:rPr>
          <w:rFonts w:ascii="Times New Roman" w:hAnsi="Times New Roman" w:cs="Times New Roman"/>
        </w:rPr>
        <w:fldChar w:fldCharType="separate"/>
      </w:r>
      <w:r w:rsidR="00CA67F3" w:rsidRPr="0064560B">
        <w:rPr>
          <w:rFonts w:ascii="Times New Roman" w:hAnsi="Times New Roman" w:cs="Times New Roman"/>
        </w:rPr>
        <w:t xml:space="preserve">Figure </w:t>
      </w:r>
      <w:r w:rsidR="00CA67F3" w:rsidRPr="0064560B">
        <w:rPr>
          <w:rFonts w:ascii="Times New Roman" w:hAnsi="Times New Roman" w:cs="Times New Roman"/>
          <w:noProof/>
        </w:rPr>
        <w:t>6</w:t>
      </w:r>
      <w:r w:rsidRPr="0064560B">
        <w:rPr>
          <w:rFonts w:ascii="Times New Roman" w:hAnsi="Times New Roman" w:cs="Times New Roman"/>
        </w:rPr>
        <w:fldChar w:fldCharType="end"/>
      </w:r>
      <w:r w:rsidR="00BE1D18" w:rsidRPr="0064560B">
        <w:rPr>
          <w:rFonts w:ascii="Times New Roman" w:hAnsi="Times New Roman" w:cs="Times New Roman"/>
        </w:rPr>
        <w:t xml:space="preserve"> shows the efficient solution for the use of available technologies. For instance, if some megawatt will be used for a number of hours higher than H2, the best solution is to build that megawatt of Tech3, whereas within H2 and H1, the best investment is of Tech2.</w:t>
      </w:r>
    </w:p>
    <w:p w:rsidR="00BE1D18" w:rsidRPr="0064560B" w:rsidRDefault="00BE1D18" w:rsidP="00BE1D18">
      <w:pPr>
        <w:pStyle w:val="Figuras"/>
        <w:rPr>
          <w:rFonts w:ascii="Times New Roman" w:hAnsi="Times New Roman"/>
        </w:rPr>
      </w:pPr>
      <w:r w:rsidRPr="0064560B">
        <w:rPr>
          <w:rFonts w:ascii="Times New Roman" w:hAnsi="Times New Roman"/>
          <w:noProof/>
        </w:rPr>
        <w:lastRenderedPageBreak/>
        <w:drawing>
          <wp:inline distT="0" distB="0" distL="0" distR="0" wp14:anchorId="22D1882E" wp14:editId="5B621C95">
            <wp:extent cx="2543175"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r w:rsidRPr="0064560B">
        <w:rPr>
          <w:rFonts w:ascii="Times New Roman" w:hAnsi="Times New Roman"/>
        </w:rPr>
        <w:t xml:space="preserve"> </w:t>
      </w:r>
    </w:p>
    <w:p w:rsidR="00BE1D18" w:rsidRPr="0064560B" w:rsidRDefault="00BE1D18" w:rsidP="00BE1D18">
      <w:pPr>
        <w:pStyle w:val="Caption"/>
        <w:rPr>
          <w:rFonts w:ascii="Times New Roman" w:hAnsi="Times New Roman"/>
        </w:rPr>
      </w:pPr>
      <w:bookmarkStart w:id="28" w:name="_Ref305756413"/>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CA67F3" w:rsidRPr="0064560B">
        <w:rPr>
          <w:rFonts w:ascii="Times New Roman" w:hAnsi="Times New Roman"/>
          <w:noProof/>
        </w:rPr>
        <w:t>6</w:t>
      </w:r>
      <w:r w:rsidR="00905114" w:rsidRPr="0064560B">
        <w:rPr>
          <w:rFonts w:ascii="Times New Roman" w:hAnsi="Times New Roman"/>
        </w:rPr>
        <w:fldChar w:fldCharType="end"/>
      </w:r>
      <w:bookmarkEnd w:id="28"/>
      <w:r w:rsidRPr="0064560B">
        <w:rPr>
          <w:rFonts w:ascii="Times New Roman" w:hAnsi="Times New Roman"/>
        </w:rPr>
        <w:t>. Adapted generation portfolio.</w:t>
      </w:r>
    </w:p>
    <w:p w:rsidR="00BE1D18" w:rsidRPr="0064560B" w:rsidRDefault="00BE1D18" w:rsidP="00BE1D18">
      <w:pPr>
        <w:rPr>
          <w:rFonts w:ascii="Times New Roman" w:hAnsi="Times New Roman" w:cs="Times New Roman"/>
        </w:rPr>
      </w:pPr>
      <w:r w:rsidRPr="0064560B">
        <w:rPr>
          <w:rFonts w:ascii="Times New Roman" w:hAnsi="Times New Roman" w:cs="Times New Roman"/>
        </w:rPr>
        <w:t>Once H1, H2 and H3 are obtained, the optimal investment can be calculated as in</w:t>
      </w:r>
      <w:r w:rsidR="00B27B5C"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B27B5C" w:rsidRPr="0064560B">
        <w:rPr>
          <w:rFonts w:ascii="Times New Roman" w:hAnsi="Times New Roman" w:cs="Times New Roman"/>
        </w:rPr>
        <w:instrText xml:space="preserve"> REF _Ref305756565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B27B5C" w:rsidRPr="0064560B">
        <w:rPr>
          <w:rFonts w:ascii="Times New Roman" w:hAnsi="Times New Roman" w:cs="Times New Roman"/>
        </w:rPr>
        <w:t xml:space="preserve">Figure </w:t>
      </w:r>
      <w:r w:rsidR="00B27B5C" w:rsidRPr="0064560B">
        <w:rPr>
          <w:rFonts w:ascii="Times New Roman" w:hAnsi="Times New Roman" w:cs="Times New Roman"/>
          <w:noProof/>
        </w:rPr>
        <w:t>7</w:t>
      </w:r>
      <w:r w:rsidR="00905114" w:rsidRPr="0064560B">
        <w:rPr>
          <w:rFonts w:ascii="Times New Roman" w:hAnsi="Times New Roman" w:cs="Times New Roman"/>
        </w:rPr>
        <w:fldChar w:fldCharType="end"/>
      </w:r>
      <w:r w:rsidRPr="0064560B">
        <w:rPr>
          <w:rFonts w:ascii="Times New Roman" w:hAnsi="Times New Roman" w:cs="Times New Roman"/>
        </w:rPr>
        <w:t xml:space="preserve">. </w:t>
      </w:r>
    </w:p>
    <w:p w:rsidR="00BE1D18" w:rsidRPr="0064560B" w:rsidRDefault="00BE1D18" w:rsidP="00BE1D18">
      <w:pPr>
        <w:pStyle w:val="Figuras"/>
        <w:rPr>
          <w:rFonts w:ascii="Times New Roman" w:hAnsi="Times New Roman"/>
        </w:rPr>
      </w:pPr>
      <w:r w:rsidRPr="0064560B">
        <w:rPr>
          <w:rFonts w:ascii="Times New Roman" w:hAnsi="Times New Roman"/>
          <w:noProof/>
        </w:rPr>
        <w:drawing>
          <wp:inline distT="0" distB="0" distL="0" distR="0" wp14:anchorId="5DEF7218" wp14:editId="45F8E71F">
            <wp:extent cx="2562225" cy="143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225" cy="1438275"/>
                    </a:xfrm>
                    <a:prstGeom prst="rect">
                      <a:avLst/>
                    </a:prstGeom>
                    <a:noFill/>
                    <a:ln>
                      <a:noFill/>
                    </a:ln>
                  </pic:spPr>
                </pic:pic>
              </a:graphicData>
            </a:graphic>
          </wp:inline>
        </w:drawing>
      </w:r>
    </w:p>
    <w:p w:rsidR="00BE1D18" w:rsidRPr="0064560B" w:rsidRDefault="00BE1D18" w:rsidP="00BE1D18">
      <w:pPr>
        <w:pStyle w:val="Caption"/>
        <w:rPr>
          <w:rFonts w:ascii="Times New Roman" w:hAnsi="Times New Roman"/>
        </w:rPr>
      </w:pPr>
      <w:bookmarkStart w:id="29" w:name="_Ref305756565"/>
      <w:r w:rsidRPr="0064560B">
        <w:rPr>
          <w:rFonts w:ascii="Times New Roman" w:hAnsi="Times New Roman"/>
        </w:rPr>
        <w:t xml:space="preserve">Figure </w:t>
      </w:r>
      <w:r w:rsidR="00905114" w:rsidRPr="0064560B">
        <w:rPr>
          <w:rFonts w:ascii="Times New Roman" w:hAnsi="Times New Roman"/>
        </w:rPr>
        <w:fldChar w:fldCharType="begin"/>
      </w:r>
      <w:r w:rsidRPr="0064560B">
        <w:rPr>
          <w:rFonts w:ascii="Times New Roman" w:hAnsi="Times New Roman"/>
        </w:rPr>
        <w:instrText xml:space="preserve"> SEQ Figure \* ARABIC </w:instrText>
      </w:r>
      <w:r w:rsidR="00905114" w:rsidRPr="0064560B">
        <w:rPr>
          <w:rFonts w:ascii="Times New Roman" w:hAnsi="Times New Roman"/>
        </w:rPr>
        <w:fldChar w:fldCharType="separate"/>
      </w:r>
      <w:r w:rsidR="00B27B5C" w:rsidRPr="0064560B">
        <w:rPr>
          <w:rFonts w:ascii="Times New Roman" w:hAnsi="Times New Roman"/>
          <w:noProof/>
        </w:rPr>
        <w:t>7</w:t>
      </w:r>
      <w:r w:rsidR="00905114" w:rsidRPr="0064560B">
        <w:rPr>
          <w:rFonts w:ascii="Times New Roman" w:hAnsi="Times New Roman"/>
        </w:rPr>
        <w:fldChar w:fldCharType="end"/>
      </w:r>
      <w:bookmarkEnd w:id="29"/>
      <w:r w:rsidRPr="0064560B">
        <w:rPr>
          <w:rFonts w:ascii="Times New Roman" w:hAnsi="Times New Roman"/>
        </w:rPr>
        <w:t>. Investment for the adapted generation portfolio.</w:t>
      </w:r>
    </w:p>
    <w:p w:rsidR="00BE1D18" w:rsidRPr="0064560B" w:rsidRDefault="00BE1D18" w:rsidP="00BE1D18">
      <w:pPr>
        <w:rPr>
          <w:rFonts w:ascii="Times New Roman" w:hAnsi="Times New Roman" w:cs="Times New Roman"/>
        </w:rPr>
      </w:pPr>
      <w:r w:rsidRPr="0064560B">
        <w:rPr>
          <w:rFonts w:ascii="Times New Roman" w:hAnsi="Times New Roman" w:cs="Times New Roman"/>
        </w:rPr>
        <w:t>Let us analyze, as an example, the way in which market prices allow producers recovering their investment costs in Tech3. In the period from H2 to H, Tech3 sets the price, and thus it is equal to Tech3’s variable cost. This price is enough to pay for Tech3’s operation cost, but it does not give any payment to compensate for the investment cost. From H1 to H2, the price is equal to Tech2’s variable cost, and thus Tech3 receives operation profits equal to the difference between Tech2’s variable cost and its own variable cost (represented by the segment A</w:t>
      </w:r>
      <w:r w:rsidR="00F04430" w:rsidRPr="0064560B">
        <w:rPr>
          <w:rFonts w:ascii="Times New Roman" w:hAnsi="Times New Roman" w:cs="Times New Roman"/>
        </w:rPr>
        <w:t xml:space="preserve"> of</w:t>
      </w:r>
      <w:r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_Ref305756413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F04430" w:rsidRPr="0064560B">
        <w:rPr>
          <w:rFonts w:ascii="Times New Roman" w:hAnsi="Times New Roman" w:cs="Times New Roman"/>
        </w:rPr>
        <w:t xml:space="preserve">Figure </w:t>
      </w:r>
      <w:r w:rsidR="00F04430" w:rsidRPr="0064560B">
        <w:rPr>
          <w:rFonts w:ascii="Times New Roman" w:hAnsi="Times New Roman" w:cs="Times New Roman"/>
          <w:noProof/>
        </w:rPr>
        <w:t>6</w:t>
      </w:r>
      <w:r w:rsidR="00905114" w:rsidRPr="0064560B">
        <w:rPr>
          <w:rFonts w:ascii="Times New Roman" w:hAnsi="Times New Roman" w:cs="Times New Roman"/>
        </w:rPr>
        <w:fldChar w:fldCharType="end"/>
      </w:r>
      <w:r w:rsidRPr="0064560B">
        <w:rPr>
          <w:rFonts w:ascii="Times New Roman" w:hAnsi="Times New Roman" w:cs="Times New Roman"/>
        </w:rPr>
        <w:t xml:space="preserve">). In the hours from zero to H1, the segment B of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_Ref305756413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F04430" w:rsidRPr="0064560B">
        <w:rPr>
          <w:rFonts w:ascii="Times New Roman" w:hAnsi="Times New Roman" w:cs="Times New Roman"/>
        </w:rPr>
        <w:t xml:space="preserve">Figure </w:t>
      </w:r>
      <w:r w:rsidR="00F04430" w:rsidRPr="0064560B">
        <w:rPr>
          <w:rFonts w:ascii="Times New Roman" w:hAnsi="Times New Roman" w:cs="Times New Roman"/>
          <w:noProof/>
        </w:rPr>
        <w:t>6</w:t>
      </w:r>
      <w:r w:rsidR="00905114" w:rsidRPr="0064560B">
        <w:rPr>
          <w:rFonts w:ascii="Times New Roman" w:hAnsi="Times New Roman" w:cs="Times New Roman"/>
        </w:rPr>
        <w:fldChar w:fldCharType="end"/>
      </w:r>
      <w:r w:rsidRPr="0064560B">
        <w:rPr>
          <w:rFonts w:ascii="Times New Roman" w:hAnsi="Times New Roman" w:cs="Times New Roman"/>
        </w:rPr>
        <w:t xml:space="preserve"> represents Tech3’s profits. By construction, A + B = IC3.</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It is important to highlight that the central idea behind the previous analysis is the description of the decision-making process to obtain the adapted generation portfolio, or equivalently, the generation portfolio that minimizes the system cost. The question is whether it is possible to design a pricing mechanism that plays the same role when integer variables are considered in the operation problem.  </w:t>
      </w:r>
    </w:p>
    <w:p w:rsidR="00BE1D18" w:rsidRPr="0064560B" w:rsidRDefault="00BE1D18" w:rsidP="00BE1D18">
      <w:pPr>
        <w:pStyle w:val="Heading2"/>
        <w:tabs>
          <w:tab w:val="num" w:pos="567"/>
        </w:tabs>
        <w:spacing w:before="0" w:after="240" w:line="276" w:lineRule="auto"/>
        <w:ind w:left="567" w:hanging="567"/>
        <w:jc w:val="both"/>
        <w:rPr>
          <w:rFonts w:ascii="Times New Roman" w:hAnsi="Times New Roman" w:cs="Times New Roman"/>
        </w:rPr>
      </w:pPr>
      <w:bookmarkStart w:id="30" w:name="_Ref271211154"/>
      <w:r w:rsidRPr="0064560B">
        <w:rPr>
          <w:rFonts w:ascii="Times New Roman" w:hAnsi="Times New Roman" w:cs="Times New Roman"/>
        </w:rPr>
        <w:t>Long-term signals under integer non</w:t>
      </w:r>
      <w:r w:rsidR="00D12A38" w:rsidRPr="0064560B">
        <w:rPr>
          <w:rFonts w:ascii="Times New Roman" w:hAnsi="Times New Roman" w:cs="Times New Roman"/>
        </w:rPr>
        <w:t>-</w:t>
      </w:r>
      <w:r w:rsidRPr="0064560B">
        <w:rPr>
          <w:rFonts w:ascii="Times New Roman" w:hAnsi="Times New Roman" w:cs="Times New Roman"/>
        </w:rPr>
        <w:t>convexities</w:t>
      </w:r>
      <w:bookmarkEnd w:id="30"/>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Under perfect competition, a certain firm decides to build a new power plant as long as the operation revenues that the plant can obtain from selling energy in the spot market are higher than the corresponding investment costs. If a change in the spot market rules results in lower operation profits, this will surely affect future investment decisions. One of the primary features of the pricing scheme analyzed above, in the context of continuous operation, is that spot prices are used to cover investment costs in infra-marginal units. From the example represented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_Ref305756413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7A5AE8" w:rsidRPr="0064560B">
        <w:rPr>
          <w:rFonts w:ascii="Times New Roman" w:hAnsi="Times New Roman" w:cs="Times New Roman"/>
        </w:rPr>
        <w:t xml:space="preserve">Figure </w:t>
      </w:r>
      <w:r w:rsidR="007A5AE8" w:rsidRPr="0064560B">
        <w:rPr>
          <w:rFonts w:ascii="Times New Roman" w:hAnsi="Times New Roman" w:cs="Times New Roman"/>
          <w:noProof/>
        </w:rPr>
        <w:t>6</w:t>
      </w:r>
      <w:r w:rsidR="00905114" w:rsidRPr="0064560B">
        <w:rPr>
          <w:rFonts w:ascii="Times New Roman" w:hAnsi="Times New Roman" w:cs="Times New Roman"/>
        </w:rPr>
        <w:fldChar w:fldCharType="end"/>
      </w:r>
      <w:r w:rsidRPr="0064560B">
        <w:rPr>
          <w:rFonts w:ascii="Times New Roman" w:hAnsi="Times New Roman" w:cs="Times New Roman"/>
        </w:rPr>
        <w:t xml:space="preserve"> and </w:t>
      </w:r>
      <w:r w:rsidR="00905114" w:rsidRPr="0064560B">
        <w:rPr>
          <w:rFonts w:ascii="Times New Roman" w:hAnsi="Times New Roman" w:cs="Times New Roman"/>
        </w:rPr>
        <w:fldChar w:fldCharType="begin"/>
      </w:r>
      <w:r w:rsidR="007A5AE8" w:rsidRPr="0064560B">
        <w:rPr>
          <w:rFonts w:ascii="Times New Roman" w:hAnsi="Times New Roman" w:cs="Times New Roman"/>
        </w:rPr>
        <w:instrText xml:space="preserve"> REF _Ref305756565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7A5AE8" w:rsidRPr="0064560B">
        <w:rPr>
          <w:rFonts w:ascii="Times New Roman" w:hAnsi="Times New Roman" w:cs="Times New Roman"/>
        </w:rPr>
        <w:t xml:space="preserve">Figure </w:t>
      </w:r>
      <w:r w:rsidR="007A5AE8" w:rsidRPr="0064560B">
        <w:rPr>
          <w:rFonts w:ascii="Times New Roman" w:hAnsi="Times New Roman" w:cs="Times New Roman"/>
          <w:noProof/>
        </w:rPr>
        <w:t>7</w:t>
      </w:r>
      <w:r w:rsidR="00905114" w:rsidRPr="0064560B">
        <w:rPr>
          <w:rFonts w:ascii="Times New Roman" w:hAnsi="Times New Roman" w:cs="Times New Roman"/>
        </w:rPr>
        <w:fldChar w:fldCharType="end"/>
      </w:r>
      <w:r w:rsidRPr="0064560B">
        <w:rPr>
          <w:rFonts w:ascii="Times New Roman" w:hAnsi="Times New Roman" w:cs="Times New Roman"/>
        </w:rPr>
        <w:t>, investing in Tech3 is justified as long as more expensive technologies set the spot price during hours H2. Formally, this property is represented by equation of (</w:t>
      </w:r>
      <w:r w:rsidR="00905114" w:rsidRPr="0064560B">
        <w:rPr>
          <w:rFonts w:ascii="Times New Roman" w:hAnsi="Times New Roman" w:cs="Times New Roman"/>
        </w:rPr>
        <w:fldChar w:fldCharType="begin"/>
      </w:r>
      <w:r w:rsidR="007A5AE8" w:rsidRPr="0064560B">
        <w:rPr>
          <w:rFonts w:ascii="Times New Roman" w:hAnsi="Times New Roman" w:cs="Times New Roman"/>
        </w:rPr>
        <w:instrText xml:space="preserve"> REF  eq12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7A5AE8" w:rsidRPr="0064560B">
        <w:rPr>
          <w:rFonts w:ascii="Times New Roman" w:hAnsi="Times New Roman" w:cs="Times New Roman"/>
          <w:noProof/>
        </w:rPr>
        <w:t>12</w:t>
      </w:r>
      <w:r w:rsidR="00905114" w:rsidRPr="0064560B">
        <w:rPr>
          <w:rFonts w:ascii="Times New Roman" w:hAnsi="Times New Roman" w:cs="Times New Roman"/>
        </w:rPr>
        <w:fldChar w:fldCharType="end"/>
      </w:r>
      <w:r w:rsidRPr="0064560B">
        <w:rPr>
          <w:rFonts w:ascii="Times New Roman" w:hAnsi="Times New Roman" w:cs="Times New Roman"/>
        </w:rPr>
        <w:t xml:space="preserve">). </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In this view, spot prices are not only signals for the optimal operation of the system, but also for the optimal investment. To put it another way, when analyzing different pricing schemes </w:t>
      </w:r>
      <w:r w:rsidRPr="0064560B">
        <w:rPr>
          <w:rFonts w:ascii="Times New Roman" w:hAnsi="Times New Roman" w:cs="Times New Roman"/>
        </w:rPr>
        <w:lastRenderedPageBreak/>
        <w:t xml:space="preserve">with regard to operation incentives, the question was whether the price incentivizes supra-marginal units to be willing to enter into the spot market, or conversely, it represents an incentive to shut down plants that should be producing. Hence, it might seem that base-load plants –in the sense of plants producing under any pricing scheme– would not be affected by a change of pricing rules. However, if the long-term problem is taken into account, lower spot prices makes them to earn less operation profits, and thus to deviate from optimal investment decisions. This is the central idea that we will exploit in this section, with the aim of designing a pricing scheme that incentivizes not only the optimal operation, but also the optimal investment.  </w:t>
      </w:r>
    </w:p>
    <w:p w:rsidR="00BE1D18" w:rsidRPr="0064560B" w:rsidRDefault="00BE1D18" w:rsidP="00BE1D18">
      <w:pPr>
        <w:rPr>
          <w:rFonts w:ascii="Times New Roman" w:hAnsi="Times New Roman" w:cs="Times New Roman"/>
        </w:rPr>
      </w:pPr>
      <w:r w:rsidRPr="0064560B">
        <w:rPr>
          <w:rFonts w:ascii="Times New Roman" w:hAnsi="Times New Roman" w:cs="Times New Roman"/>
        </w:rPr>
        <w:t>From the cost minimization point of view, optimal investment decisions are taken to maximize savings associated with an additional megawatt of a certain technology. To gain some intuition on the problem, consider the case of the base-load technology. The idea of the investment problem is that, in a centralized problem, an investment in one megawatt of the base-load technology is undertaken as long as its investment cost is less than the operation savings associated with producing one megawatt with the base-load technology. In a problem without non</w:t>
      </w:r>
      <w:r w:rsidR="0073753B" w:rsidRPr="0064560B">
        <w:rPr>
          <w:rFonts w:ascii="Times New Roman" w:hAnsi="Times New Roman" w:cs="Times New Roman"/>
        </w:rPr>
        <w:t>-</w:t>
      </w:r>
      <w:r w:rsidRPr="0064560B">
        <w:rPr>
          <w:rFonts w:ascii="Times New Roman" w:hAnsi="Times New Roman" w:cs="Times New Roman"/>
        </w:rPr>
        <w:t xml:space="preserve">convexities, this savings can be viewed as the difference between the variable cost of the marginal plant and the base-load technology variable cost. The previous problem, on the other hand, implies the same condition in the investment problem. However, an additional megawatt of base-load technology also represents savings with regard to fixed costs –startups…– of marginal power plants. When the market pays for fixed operation costs in a discriminatory manner, infra-marginal units do not receive signals associated with the savings corresponding to marginal plants’ fixed costs. </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To illustrate the previous idea, it is possible to consider the following simple example, represented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_Ref292737309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73753B" w:rsidRPr="0064560B">
        <w:rPr>
          <w:rFonts w:ascii="Times New Roman" w:hAnsi="Times New Roman" w:cs="Times New Roman"/>
        </w:rPr>
        <w:t xml:space="preserve">Table </w:t>
      </w:r>
      <w:r w:rsidR="0073753B" w:rsidRPr="0064560B">
        <w:rPr>
          <w:rFonts w:ascii="Times New Roman" w:hAnsi="Times New Roman" w:cs="Times New Roman"/>
          <w:noProof/>
        </w:rPr>
        <w:t>1</w:t>
      </w:r>
      <w:r w:rsidR="00905114" w:rsidRPr="0064560B">
        <w:rPr>
          <w:rFonts w:ascii="Times New Roman" w:hAnsi="Times New Roman" w:cs="Times New Roman"/>
        </w:rPr>
        <w:fldChar w:fldCharType="end"/>
      </w:r>
      <w:r w:rsidRPr="0064560B">
        <w:rPr>
          <w:rFonts w:ascii="Times New Roman" w:hAnsi="Times New Roman" w:cs="Times New Roman"/>
        </w:rPr>
        <w:t>. There are two available technologies, just one hour, and one additional megawatt is necessary in the system. Note that both the start-up and the investment costs are normalized to a unit investment, that is, the total cost of divided by the maximum output of the plant.</w:t>
      </w:r>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3157"/>
        <w:gridCol w:w="907"/>
        <w:gridCol w:w="936"/>
      </w:tblGrid>
      <w:tr w:rsidR="00BE1D18" w:rsidRPr="0064560B" w:rsidTr="003524FF">
        <w:trPr>
          <w:jc w:val="center"/>
        </w:trPr>
        <w:tc>
          <w:tcPr>
            <w:tcW w:w="3157" w:type="dxa"/>
            <w:vAlign w:val="center"/>
          </w:tcPr>
          <w:p w:rsidR="00BE1D18" w:rsidRPr="0064560B" w:rsidRDefault="00BE1D18" w:rsidP="003524FF">
            <w:pPr>
              <w:pStyle w:val="Figuras"/>
              <w:spacing w:after="0"/>
              <w:rPr>
                <w:rFonts w:ascii="Times New Roman" w:hAnsi="Times New Roman"/>
              </w:rPr>
            </w:pPr>
          </w:p>
        </w:tc>
        <w:tc>
          <w:tcPr>
            <w:tcW w:w="907" w:type="dxa"/>
            <w:vAlign w:val="center"/>
          </w:tcPr>
          <w:p w:rsidR="00BE1D18" w:rsidRPr="0064560B" w:rsidRDefault="00BE1D18" w:rsidP="003524FF">
            <w:pPr>
              <w:pStyle w:val="Figuras"/>
              <w:spacing w:after="0"/>
              <w:rPr>
                <w:rFonts w:ascii="Times New Roman" w:hAnsi="Times New Roman"/>
                <w:b/>
              </w:rPr>
            </w:pPr>
            <w:r w:rsidRPr="0064560B">
              <w:rPr>
                <w:rFonts w:ascii="Times New Roman" w:hAnsi="Times New Roman"/>
                <w:b/>
              </w:rPr>
              <w:t>Tech1</w:t>
            </w:r>
          </w:p>
        </w:tc>
        <w:tc>
          <w:tcPr>
            <w:tcW w:w="936" w:type="dxa"/>
            <w:vAlign w:val="center"/>
          </w:tcPr>
          <w:p w:rsidR="00BE1D18" w:rsidRPr="0064560B" w:rsidRDefault="00BE1D18" w:rsidP="003524FF">
            <w:pPr>
              <w:pStyle w:val="Figuras"/>
              <w:spacing w:after="0"/>
              <w:rPr>
                <w:rFonts w:ascii="Times New Roman" w:hAnsi="Times New Roman"/>
                <w:b/>
              </w:rPr>
            </w:pPr>
            <w:r w:rsidRPr="0064560B">
              <w:rPr>
                <w:rFonts w:ascii="Times New Roman" w:hAnsi="Times New Roman"/>
                <w:b/>
              </w:rPr>
              <w:t>Tech2</w:t>
            </w:r>
          </w:p>
        </w:tc>
      </w:tr>
      <w:tr w:rsidR="00BE1D18" w:rsidRPr="0064560B" w:rsidTr="003524FF">
        <w:trPr>
          <w:jc w:val="center"/>
        </w:trPr>
        <w:tc>
          <w:tcPr>
            <w:tcW w:w="3157" w:type="dxa"/>
            <w:vAlign w:val="center"/>
          </w:tcPr>
          <w:p w:rsidR="00BE1D18" w:rsidRPr="0064560B" w:rsidRDefault="00BE1D18" w:rsidP="003524FF">
            <w:pPr>
              <w:pStyle w:val="Figuras"/>
              <w:spacing w:after="0"/>
              <w:rPr>
                <w:rFonts w:ascii="Times New Roman" w:hAnsi="Times New Roman"/>
                <w:b/>
              </w:rPr>
            </w:pPr>
            <w:r w:rsidRPr="0064560B">
              <w:rPr>
                <w:rFonts w:ascii="Times New Roman" w:hAnsi="Times New Roman"/>
                <w:b/>
              </w:rPr>
              <w:t>Variable Cost (€/MW)</w:t>
            </w:r>
          </w:p>
        </w:tc>
        <w:tc>
          <w:tcPr>
            <w:tcW w:w="907"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5</w:t>
            </w:r>
          </w:p>
        </w:tc>
        <w:tc>
          <w:tcPr>
            <w:tcW w:w="936"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3</w:t>
            </w:r>
          </w:p>
        </w:tc>
      </w:tr>
      <w:tr w:rsidR="00BE1D18" w:rsidRPr="0064560B" w:rsidTr="003524FF">
        <w:trPr>
          <w:jc w:val="center"/>
        </w:trPr>
        <w:tc>
          <w:tcPr>
            <w:tcW w:w="3157" w:type="dxa"/>
            <w:vAlign w:val="center"/>
          </w:tcPr>
          <w:p w:rsidR="00BE1D18" w:rsidRPr="0064560B" w:rsidRDefault="00BE1D18" w:rsidP="003524FF">
            <w:pPr>
              <w:pStyle w:val="Figuras"/>
              <w:spacing w:after="0"/>
              <w:rPr>
                <w:rFonts w:ascii="Times New Roman" w:hAnsi="Times New Roman"/>
                <w:b/>
              </w:rPr>
            </w:pPr>
            <w:r w:rsidRPr="0064560B">
              <w:rPr>
                <w:rFonts w:ascii="Times New Roman" w:hAnsi="Times New Roman"/>
                <w:b/>
              </w:rPr>
              <w:t>Unit Start-up Cost (€/MW)</w:t>
            </w:r>
          </w:p>
        </w:tc>
        <w:tc>
          <w:tcPr>
            <w:tcW w:w="907"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4</w:t>
            </w:r>
          </w:p>
        </w:tc>
        <w:tc>
          <w:tcPr>
            <w:tcW w:w="936"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2</w:t>
            </w:r>
          </w:p>
        </w:tc>
      </w:tr>
      <w:tr w:rsidR="00BE1D18" w:rsidRPr="0064560B" w:rsidTr="003524FF">
        <w:trPr>
          <w:jc w:val="center"/>
        </w:trPr>
        <w:tc>
          <w:tcPr>
            <w:tcW w:w="3157" w:type="dxa"/>
            <w:vAlign w:val="center"/>
          </w:tcPr>
          <w:p w:rsidR="00BE1D18" w:rsidRPr="0064560B" w:rsidRDefault="00BE1D18" w:rsidP="003524FF">
            <w:pPr>
              <w:pStyle w:val="Figuras"/>
              <w:spacing w:after="0"/>
              <w:rPr>
                <w:rFonts w:ascii="Times New Roman" w:hAnsi="Times New Roman"/>
                <w:b/>
              </w:rPr>
            </w:pPr>
            <w:r w:rsidRPr="0064560B">
              <w:rPr>
                <w:rFonts w:ascii="Times New Roman" w:hAnsi="Times New Roman"/>
                <w:b/>
              </w:rPr>
              <w:t>Unit Investment Cost (€/MW)</w:t>
            </w:r>
          </w:p>
        </w:tc>
        <w:tc>
          <w:tcPr>
            <w:tcW w:w="907"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0</w:t>
            </w:r>
          </w:p>
        </w:tc>
        <w:tc>
          <w:tcPr>
            <w:tcW w:w="936" w:type="dxa"/>
            <w:vAlign w:val="center"/>
          </w:tcPr>
          <w:p w:rsidR="00BE1D18" w:rsidRPr="0064560B" w:rsidRDefault="00BE1D18" w:rsidP="003524FF">
            <w:pPr>
              <w:pStyle w:val="Figuras"/>
              <w:spacing w:after="0"/>
              <w:rPr>
                <w:rFonts w:ascii="Times New Roman" w:hAnsi="Times New Roman"/>
              </w:rPr>
            </w:pPr>
            <w:r w:rsidRPr="0064560B">
              <w:rPr>
                <w:rFonts w:ascii="Times New Roman" w:hAnsi="Times New Roman"/>
              </w:rPr>
              <w:t>2</w:t>
            </w:r>
          </w:p>
        </w:tc>
      </w:tr>
    </w:tbl>
    <w:p w:rsidR="00BE1D18" w:rsidRPr="0064560B" w:rsidRDefault="00BE1D18" w:rsidP="00BE1D18">
      <w:pPr>
        <w:pStyle w:val="Caption"/>
        <w:rPr>
          <w:rFonts w:ascii="Times New Roman" w:hAnsi="Times New Roman"/>
        </w:rPr>
      </w:pPr>
      <w:r w:rsidRPr="0064560B">
        <w:rPr>
          <w:rFonts w:ascii="Times New Roman" w:hAnsi="Times New Roman"/>
        </w:rPr>
        <w:t xml:space="preserve"> </w:t>
      </w:r>
      <w:bookmarkStart w:id="31" w:name="_Ref292737309"/>
      <w:bookmarkStart w:id="32" w:name="_Ref292737301"/>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1</w:t>
      </w:r>
      <w:r w:rsidR="00905114" w:rsidRPr="0064560B">
        <w:rPr>
          <w:rFonts w:ascii="Times New Roman" w:hAnsi="Times New Roman"/>
        </w:rPr>
        <w:fldChar w:fldCharType="end"/>
      </w:r>
      <w:bookmarkEnd w:id="31"/>
      <w:r w:rsidRPr="0064560B">
        <w:rPr>
          <w:rFonts w:ascii="Times New Roman" w:hAnsi="Times New Roman"/>
        </w:rPr>
        <w:t>. Two-technology example.</w:t>
      </w:r>
      <w:bookmarkEnd w:id="32"/>
    </w:p>
    <w:p w:rsidR="00BE1D18" w:rsidRPr="0064560B" w:rsidRDefault="00BE1D18" w:rsidP="00BE1D18">
      <w:pPr>
        <w:rPr>
          <w:rFonts w:ascii="Times New Roman" w:hAnsi="Times New Roman" w:cs="Times New Roman"/>
        </w:rPr>
      </w:pPr>
      <w:r w:rsidRPr="0064560B">
        <w:rPr>
          <w:rFonts w:ascii="Times New Roman" w:hAnsi="Times New Roman" w:cs="Times New Roman"/>
        </w:rPr>
        <w:t>In addition, let us assume that both technologies are required to start up. Whether to invest in Tech1 or Tech2 is decided based on:</w:t>
      </w:r>
    </w:p>
    <w:p w:rsidR="00BE1D18" w:rsidRPr="0064560B" w:rsidRDefault="006F6D10" w:rsidP="003B40A3">
      <w:pPr>
        <w:pStyle w:val="ecuacion"/>
        <w:rPr>
          <w:rFonts w:ascii="Times New Roman" w:hAnsi="Times New Roman"/>
        </w:rPr>
      </w:pPr>
      <m:oMathPara>
        <m:oMath>
          <m:r>
            <w:rPr>
              <w:rFonts w:ascii="Cambria Math" w:hAnsi="Cambria Math"/>
            </w:rPr>
            <m:t>Total</m:t>
          </m:r>
          <m:r>
            <m:rPr>
              <m:sty m:val="p"/>
            </m:rPr>
            <w:rPr>
              <w:rFonts w:ascii="Cambria Math" w:hAnsi="Cambria Math"/>
            </w:rPr>
            <m:t xml:space="preserve"> </m:t>
          </m:r>
          <m:r>
            <w:rPr>
              <w:rFonts w:ascii="Cambria Math" w:hAnsi="Cambria Math"/>
            </w:rPr>
            <m:t>Cost</m:t>
          </m:r>
          <m:r>
            <m:rPr>
              <m:sty m:val="p"/>
            </m:rPr>
            <w:rPr>
              <w:rFonts w:ascii="Cambria Math" w:hAnsi="Cambria Math"/>
            </w:rPr>
            <m:t xml:space="preserve"> </m:t>
          </m:r>
          <m:d>
            <m:dPr>
              <m:ctrlPr>
                <w:rPr>
                  <w:rFonts w:ascii="Cambria Math" w:hAnsi="Cambria Math"/>
                </w:rPr>
              </m:ctrlPr>
            </m:dPr>
            <m:e>
              <m:r>
                <w:rPr>
                  <w:rFonts w:ascii="Cambria Math" w:hAnsi="Cambria Math"/>
                </w:rPr>
                <m:t>Tech</m:t>
              </m:r>
              <m:r>
                <m:rPr>
                  <m:sty m:val="p"/>
                </m:rPr>
                <w:rPr>
                  <w:rFonts w:ascii="Cambria Math" w:hAnsi="Cambria Math"/>
                </w:rPr>
                <m:t>1</m:t>
              </m:r>
            </m:e>
          </m:d>
          <m:r>
            <m:rPr>
              <m:sty m:val="p"/>
            </m:rPr>
            <w:rPr>
              <w:rFonts w:ascii="Cambria Math" w:hAnsi="Cambria Math"/>
            </w:rPr>
            <m:t>=</m:t>
          </m:r>
          <m:sSubSup>
            <m:sSubSupPr>
              <m:ctrlPr>
                <w:rPr>
                  <w:rFonts w:ascii="Cambria Math" w:eastAsiaTheme="minorEastAsia" w:hAnsi="Cambria Math"/>
                  <w:szCs w:val="22"/>
                  <w:lang w:eastAsia="en-GB"/>
                </w:rPr>
              </m:ctrlPr>
            </m:sSubSupPr>
            <m:e>
              <m:r>
                <w:rPr>
                  <w:rFonts w:ascii="Cambria Math" w:hAnsi="Cambria Math"/>
                </w:rPr>
                <m:t>g</m:t>
              </m:r>
            </m:e>
            <m:sub>
              <m:r>
                <w:rPr>
                  <w:rFonts w:ascii="Cambria Math" w:hAnsi="Cambria Math"/>
                </w:rPr>
                <m:t>Tech</m:t>
              </m:r>
              <m:r>
                <m:rPr>
                  <m:sty m:val="p"/>
                </m:rPr>
                <w:rPr>
                  <w:rFonts w:ascii="Cambria Math" w:hAnsi="Cambria Math"/>
                </w:rPr>
                <m:t>1</m:t>
              </m:r>
            </m:sub>
            <m:sup>
              <m:r>
                <w:rPr>
                  <w:rFonts w:ascii="Cambria Math" w:hAnsi="Cambria Math"/>
                </w:rPr>
                <m:t>max</m:t>
              </m:r>
            </m:sup>
          </m:sSubSup>
          <m:d>
            <m:dPr>
              <m:ctrlPr>
                <w:rPr>
                  <w:rFonts w:ascii="Cambria Math" w:eastAsiaTheme="minorEastAsia" w:hAnsi="Cambria Math"/>
                  <w:szCs w:val="22"/>
                  <w:lang w:eastAsia="en-GB"/>
                </w:rPr>
              </m:ctrlPr>
            </m:dPr>
            <m:e>
              <m:r>
                <m:rPr>
                  <m:sty m:val="p"/>
                </m:rPr>
                <w:rPr>
                  <w:rFonts w:ascii="Cambria Math" w:hAnsi="Cambria Math"/>
                </w:rPr>
                <m:t>5+4</m:t>
              </m:r>
            </m:e>
          </m:d>
          <m:r>
            <m:rPr>
              <m:sty m:val="p"/>
            </m:rPr>
            <w:rPr>
              <w:rFonts w:ascii="Cambria Math" w:hAnsi="Cambria Math"/>
            </w:rPr>
            <m:t>&gt;</m:t>
          </m:r>
          <m:r>
            <w:rPr>
              <w:rFonts w:ascii="Cambria Math" w:hAnsi="Cambria Math"/>
            </w:rPr>
            <m:t>Total</m:t>
          </m:r>
          <m:r>
            <m:rPr>
              <m:sty m:val="p"/>
            </m:rPr>
            <w:rPr>
              <w:rFonts w:ascii="Cambria Math" w:hAnsi="Cambria Math"/>
            </w:rPr>
            <m:t xml:space="preserve"> </m:t>
          </m:r>
          <m:r>
            <w:rPr>
              <w:rFonts w:ascii="Cambria Math" w:hAnsi="Cambria Math"/>
            </w:rPr>
            <m:t>Cost</m:t>
          </m:r>
          <m:d>
            <m:dPr>
              <m:ctrlPr>
                <w:rPr>
                  <w:rFonts w:ascii="Cambria Math" w:hAnsi="Cambria Math"/>
                </w:rPr>
              </m:ctrlPr>
            </m:dPr>
            <m:e>
              <m:r>
                <w:rPr>
                  <w:rFonts w:ascii="Cambria Math" w:hAnsi="Cambria Math"/>
                </w:rPr>
                <m:t>Tech</m:t>
              </m:r>
              <m:r>
                <m:rPr>
                  <m:sty m:val="p"/>
                </m:rPr>
                <w:rPr>
                  <w:rFonts w:ascii="Cambria Math" w:hAnsi="Cambria Math"/>
                </w:rPr>
                <m:t>2</m:t>
              </m:r>
            </m:e>
          </m:d>
          <m:r>
            <m:rPr>
              <m:sty m:val="p"/>
            </m:rPr>
            <w:rPr>
              <w:rFonts w:ascii="Cambria Math" w:hAnsi="Cambria Math"/>
            </w:rPr>
            <m:t>=</m:t>
          </m:r>
          <m:sSubSup>
            <m:sSubSupPr>
              <m:ctrlPr>
                <w:rPr>
                  <w:rFonts w:ascii="Cambria Math" w:eastAsiaTheme="minorEastAsia" w:hAnsi="Cambria Math"/>
                  <w:szCs w:val="22"/>
                  <w:lang w:eastAsia="en-GB"/>
                </w:rPr>
              </m:ctrlPr>
            </m:sSubSupPr>
            <m:e>
              <m:r>
                <w:rPr>
                  <w:rFonts w:ascii="Cambria Math" w:hAnsi="Cambria Math"/>
                </w:rPr>
                <m:t>g</m:t>
              </m:r>
            </m:e>
            <m:sub>
              <m:r>
                <w:rPr>
                  <w:rFonts w:ascii="Cambria Math" w:hAnsi="Cambria Math"/>
                </w:rPr>
                <m:t>Tech</m:t>
              </m:r>
              <m:r>
                <m:rPr>
                  <m:sty m:val="p"/>
                </m:rPr>
                <w:rPr>
                  <w:rFonts w:ascii="Cambria Math" w:hAnsi="Cambria Math"/>
                </w:rPr>
                <m:t>2</m:t>
              </m:r>
            </m:sub>
            <m:sup>
              <m:r>
                <w:rPr>
                  <w:rFonts w:ascii="Cambria Math" w:hAnsi="Cambria Math"/>
                </w:rPr>
                <m:t>max</m:t>
              </m:r>
            </m:sup>
          </m:sSubSup>
          <m:d>
            <m:dPr>
              <m:ctrlPr>
                <w:rPr>
                  <w:rFonts w:ascii="Cambria Math" w:eastAsiaTheme="minorEastAsia" w:hAnsi="Cambria Math"/>
                  <w:szCs w:val="22"/>
                  <w:lang w:eastAsia="en-GB"/>
                </w:rPr>
              </m:ctrlPr>
            </m:dPr>
            <m:e>
              <m:r>
                <m:rPr>
                  <m:sty m:val="p"/>
                </m:rPr>
                <w:rPr>
                  <w:rFonts w:ascii="Cambria Math" w:hAnsi="Cambria Math"/>
                </w:rPr>
                <m:t>3+2+2</m:t>
              </m:r>
            </m:e>
          </m:d>
        </m:oMath>
      </m:oMathPara>
    </w:p>
    <w:p w:rsidR="00BE1D18" w:rsidRPr="0064560B" w:rsidRDefault="00BE1D18" w:rsidP="00BE1D18">
      <w:pPr>
        <w:rPr>
          <w:rFonts w:ascii="Times New Roman" w:hAnsi="Times New Roman" w:cs="Times New Roman"/>
        </w:rPr>
      </w:pPr>
      <w:r w:rsidRPr="0064560B">
        <w:rPr>
          <w:rFonts w:ascii="Times New Roman" w:hAnsi="Times New Roman" w:cs="Times New Roman"/>
        </w:rPr>
        <w:t>That is, Tech2 is cheaper than Tech1. However, under a pricing proposal based on a price equal to the variable cost, plus a discriminatory payment, the price signal received is</w:t>
      </w:r>
    </w:p>
    <w:p w:rsidR="00BE1D18" w:rsidRPr="0064560B" w:rsidRDefault="006F6D10" w:rsidP="003B40A3">
      <w:pPr>
        <w:pStyle w:val="ecuacion"/>
        <w:rPr>
          <w:rFonts w:ascii="Times New Roman" w:hAnsi="Times New Roman"/>
        </w:rPr>
      </w:pPr>
      <m:oMathPara>
        <m:oMath>
          <m:r>
            <w:rPr>
              <w:rFonts w:ascii="Cambria Math" w:hAnsi="Cambria Math"/>
            </w:rPr>
            <m:t>Total</m:t>
          </m:r>
          <m:r>
            <m:rPr>
              <m:sty m:val="p"/>
            </m:rPr>
            <w:rPr>
              <w:rFonts w:ascii="Cambria Math" w:hAnsi="Cambria Math"/>
            </w:rPr>
            <m:t xml:space="preserve"> </m:t>
          </m:r>
          <m:r>
            <w:rPr>
              <w:rFonts w:ascii="Cambria Math" w:hAnsi="Cambria Math"/>
            </w:rPr>
            <m:t>Cost</m:t>
          </m:r>
          <m:r>
            <m:rPr>
              <m:sty m:val="p"/>
            </m:rPr>
            <w:rPr>
              <w:rFonts w:ascii="Cambria Math" w:hAnsi="Cambria Math"/>
            </w:rPr>
            <m:t xml:space="preserve"> </m:t>
          </m:r>
          <m:d>
            <m:dPr>
              <m:ctrlPr>
                <w:rPr>
                  <w:rFonts w:ascii="Cambria Math" w:hAnsi="Cambria Math"/>
                </w:rPr>
              </m:ctrlPr>
            </m:dPr>
            <m:e>
              <m:r>
                <w:rPr>
                  <w:rFonts w:ascii="Cambria Math" w:hAnsi="Cambria Math"/>
                </w:rPr>
                <m:t>Tech</m:t>
              </m:r>
              <m:r>
                <m:rPr>
                  <m:sty m:val="p"/>
                </m:rPr>
                <w:rPr>
                  <w:rFonts w:ascii="Cambria Math" w:hAnsi="Cambria Math"/>
                </w:rPr>
                <m:t>2</m:t>
              </m:r>
            </m:e>
          </m:d>
          <m:r>
            <m:rPr>
              <m:sty m:val="p"/>
            </m:rPr>
            <w:rPr>
              <w:rFonts w:ascii="Cambria Math" w:hAnsi="Cambria Math"/>
            </w:rPr>
            <m:t>=</m:t>
          </m:r>
          <m:sSubSup>
            <m:sSubSupPr>
              <m:ctrlPr>
                <w:rPr>
                  <w:rFonts w:ascii="Cambria Math" w:eastAsiaTheme="minorEastAsia" w:hAnsi="Cambria Math"/>
                  <w:szCs w:val="22"/>
                  <w:lang w:eastAsia="en-GB"/>
                </w:rPr>
              </m:ctrlPr>
            </m:sSubSupPr>
            <m:e>
              <m:r>
                <w:rPr>
                  <w:rFonts w:ascii="Cambria Math" w:hAnsi="Cambria Math"/>
                </w:rPr>
                <m:t>g</m:t>
              </m:r>
            </m:e>
            <m:sub>
              <m:r>
                <w:rPr>
                  <w:rFonts w:ascii="Cambria Math" w:hAnsi="Cambria Math"/>
                </w:rPr>
                <m:t>Tech</m:t>
              </m:r>
              <m:r>
                <m:rPr>
                  <m:sty m:val="p"/>
                </m:rPr>
                <w:rPr>
                  <w:rFonts w:ascii="Cambria Math" w:hAnsi="Cambria Math"/>
                </w:rPr>
                <m:t>2</m:t>
              </m:r>
            </m:sub>
            <m:sup>
              <m:r>
                <w:rPr>
                  <w:rFonts w:ascii="Cambria Math" w:hAnsi="Cambria Math"/>
                </w:rPr>
                <m:t>max</m:t>
              </m:r>
            </m:sup>
          </m:sSubSup>
          <m:d>
            <m:dPr>
              <m:ctrlPr>
                <w:rPr>
                  <w:rFonts w:ascii="Cambria Math" w:eastAsiaTheme="minorEastAsia" w:hAnsi="Cambria Math"/>
                  <w:szCs w:val="22"/>
                  <w:lang w:eastAsia="en-GB"/>
                </w:rPr>
              </m:ctrlPr>
            </m:dPr>
            <m:e>
              <m:r>
                <m:rPr>
                  <m:sty m:val="p"/>
                </m:rPr>
                <w:rPr>
                  <w:rFonts w:ascii="Cambria Math" w:hAnsi="Cambria Math"/>
                </w:rPr>
                <m:t>3+2+2</m:t>
              </m:r>
            </m:e>
          </m:d>
          <m:r>
            <m:rPr>
              <m:sty m:val="p"/>
            </m:rPr>
            <w:rPr>
              <w:rFonts w:ascii="Cambria Math" w:hAnsi="Cambria Math"/>
            </w:rPr>
            <m:t>&gt;</m:t>
          </m:r>
          <m:r>
            <w:rPr>
              <w:rFonts w:ascii="Cambria Math" w:hAnsi="Cambria Math"/>
            </w:rPr>
            <m:t>Total</m:t>
          </m:r>
          <m:r>
            <m:rPr>
              <m:sty m:val="p"/>
            </m:rPr>
            <w:rPr>
              <w:rFonts w:ascii="Cambria Math" w:hAnsi="Cambria Math"/>
            </w:rPr>
            <m:t xml:space="preserve"> </m:t>
          </m:r>
          <m:r>
            <w:rPr>
              <w:rFonts w:ascii="Cambria Math" w:hAnsi="Cambria Math"/>
            </w:rPr>
            <m:t>Income</m:t>
          </m:r>
          <m:d>
            <m:dPr>
              <m:ctrlPr>
                <w:rPr>
                  <w:rFonts w:ascii="Cambria Math" w:hAnsi="Cambria Math"/>
                </w:rPr>
              </m:ctrlPr>
            </m:dPr>
            <m:e>
              <m:r>
                <w:rPr>
                  <w:rFonts w:ascii="Cambria Math" w:hAnsi="Cambria Math"/>
                </w:rPr>
                <m:t>Tech</m:t>
              </m:r>
              <m:r>
                <m:rPr>
                  <m:sty m:val="p"/>
                </m:rPr>
                <w:rPr>
                  <w:rFonts w:ascii="Cambria Math" w:hAnsi="Cambria Math"/>
                </w:rPr>
                <m:t>2</m:t>
              </m:r>
            </m:e>
          </m:d>
          <m:r>
            <m:rPr>
              <m:sty m:val="p"/>
            </m:rPr>
            <w:rPr>
              <w:rFonts w:ascii="Cambria Math" w:hAnsi="Cambria Math"/>
            </w:rPr>
            <m:t>=</m:t>
          </m:r>
          <m:sSubSup>
            <m:sSubSupPr>
              <m:ctrlPr>
                <w:rPr>
                  <w:rFonts w:ascii="Cambria Math" w:eastAsiaTheme="minorEastAsia" w:hAnsi="Cambria Math"/>
                  <w:szCs w:val="22"/>
                  <w:lang w:eastAsia="en-GB"/>
                </w:rPr>
              </m:ctrlPr>
            </m:sSubSupPr>
            <m:e>
              <m:r>
                <w:rPr>
                  <w:rFonts w:ascii="Cambria Math" w:hAnsi="Cambria Math"/>
                </w:rPr>
                <m:t>g</m:t>
              </m:r>
            </m:e>
            <m:sub>
              <m:r>
                <w:rPr>
                  <w:rFonts w:ascii="Cambria Math" w:hAnsi="Cambria Math"/>
                </w:rPr>
                <m:t>Tech</m:t>
              </m:r>
              <m:r>
                <m:rPr>
                  <m:sty m:val="p"/>
                </m:rPr>
                <w:rPr>
                  <w:rFonts w:ascii="Cambria Math" w:hAnsi="Cambria Math"/>
                </w:rPr>
                <m:t>2</m:t>
              </m:r>
            </m:sub>
            <m:sup>
              <m:r>
                <w:rPr>
                  <w:rFonts w:ascii="Cambria Math" w:hAnsi="Cambria Math"/>
                </w:rPr>
                <m:t>max</m:t>
              </m:r>
            </m:sup>
          </m:sSubSup>
          <m:r>
            <w:rPr>
              <w:rFonts w:ascii="Cambria Math" w:hAnsi="Cambria Math"/>
            </w:rPr>
            <m:t>VarCost</m:t>
          </m:r>
          <m:r>
            <m:rPr>
              <m:sty m:val="p"/>
            </m:rPr>
            <w:rPr>
              <w:rFonts w:ascii="Cambria Math" w:hAnsi="Cambria Math"/>
            </w:rPr>
            <m:t>(</m:t>
          </m:r>
          <m:r>
            <w:rPr>
              <w:rFonts w:ascii="Cambria Math" w:hAnsi="Cambria Math"/>
            </w:rPr>
            <m:t>Tech</m:t>
          </m:r>
          <m:r>
            <m:rPr>
              <m:sty m:val="p"/>
            </m:rPr>
            <w:rPr>
              <w:rFonts w:ascii="Cambria Math" w:hAnsi="Cambria Math"/>
            </w:rPr>
            <m:t>1)</m:t>
          </m:r>
        </m:oMath>
      </m:oMathPara>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and </w:t>
      </w:r>
      <w:r w:rsidR="00D86BE7" w:rsidRPr="0064560B">
        <w:rPr>
          <w:rFonts w:ascii="Times New Roman" w:hAnsi="Times New Roman" w:cs="Times New Roman"/>
        </w:rPr>
        <w:t>hence</w:t>
      </w:r>
      <w:r w:rsidRPr="0064560B">
        <w:rPr>
          <w:rFonts w:ascii="Times New Roman" w:hAnsi="Times New Roman" w:cs="Times New Roman"/>
        </w:rPr>
        <w:t xml:space="preserve"> the signal sent by the spot market is that the optimal investment is to build one extra megawatt of Tech1. The intuition behind the problem with the previous pricing scheme is that the start-up cost of Tech1 is covered by a side payment, and hence it is not a signal for the investment in Tech2. The central idea of the following reasoning is to show how that signal can be included in the market prices.</w:t>
      </w:r>
    </w:p>
    <w:p w:rsidR="00BE1D18" w:rsidRPr="0064560B" w:rsidRDefault="00BE1D18" w:rsidP="00BE1D18">
      <w:pPr>
        <w:rPr>
          <w:rFonts w:ascii="Times New Roman" w:hAnsi="Times New Roman" w:cs="Times New Roman"/>
        </w:rPr>
      </w:pPr>
      <w:r w:rsidRPr="0064560B">
        <w:rPr>
          <w:rFonts w:ascii="Times New Roman" w:hAnsi="Times New Roman" w:cs="Times New Roman"/>
        </w:rPr>
        <w:t>As pointed out in</w:t>
      </w:r>
      <w:r w:rsidR="00D86BE7"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D86BE7" w:rsidRPr="0064560B">
        <w:rPr>
          <w:rFonts w:ascii="Times New Roman" w:hAnsi="Times New Roman" w:cs="Times New Roman"/>
        </w:rPr>
        <w:instrText xml:space="preserve"> ADDIN ZOTERO_ITEM CSL_CITATION {"citationID":"6e4lrvlih","properties":{"formattedCitation":"(Kahn, 1988)","plainCitation":"(Kahn, 1988)"},"citationItems":[{"id":105,"uris":["http://zotero.org/users/local/HK6lW3fP/items/A69W8T66"],"uri":["http://zotero.org/users/local/HK6lW3fP/items/A69W8T66"],"itemData":{"id":105,"type":"book","title":"The economics of regulation: principles and institutions","publisher":"Mit Press","volume":"1","shortTitle":"The economics of regulation","author":[{"family":"Kahn","given":"Alfred Edward"}],"issued":{"date-parts":[["1988"]]}}}],"schema":"https://github.com/citation-style-language/schema/raw/master/csl-citation.json"} </w:instrText>
      </w:r>
      <w:r w:rsidR="00905114" w:rsidRPr="0064560B">
        <w:rPr>
          <w:rFonts w:ascii="Times New Roman" w:hAnsi="Times New Roman" w:cs="Times New Roman"/>
        </w:rPr>
        <w:fldChar w:fldCharType="separate"/>
      </w:r>
      <w:r w:rsidR="00D86BE7" w:rsidRPr="0064560B">
        <w:rPr>
          <w:rFonts w:ascii="Times New Roman" w:hAnsi="Times New Roman" w:cs="Times New Roman"/>
        </w:rPr>
        <w:t>(Kahn, 1988)</w:t>
      </w:r>
      <w:r w:rsidR="00905114" w:rsidRPr="0064560B">
        <w:rPr>
          <w:rFonts w:ascii="Times New Roman" w:hAnsi="Times New Roman" w:cs="Times New Roman"/>
        </w:rPr>
        <w:fldChar w:fldCharType="end"/>
      </w:r>
      <w:r w:rsidRPr="0064560B">
        <w:rPr>
          <w:rFonts w:ascii="Times New Roman" w:hAnsi="Times New Roman" w:cs="Times New Roman"/>
        </w:rPr>
        <w:t xml:space="preserve">, one of the first steps for marginal cost pricing is to define the unit investment. To put it another way, we are interested in defining the cost of an incremental </w:t>
      </w:r>
      <w:r w:rsidRPr="0064560B">
        <w:rPr>
          <w:rFonts w:ascii="Times New Roman" w:hAnsi="Times New Roman" w:cs="Times New Roman"/>
        </w:rPr>
        <w:lastRenderedPageBreak/>
        <w:t xml:space="preserve">unit of output. The most usual way of doing so is to consider that a unit investment in any technology, say in CCGT, allows producing one extra megawatt, which has a cost defined by the variable cost associated with the technology. Implicitly, this model assumes that short-term fixed costs (startup and shutdown costs, etc.) are the same as the ones corresponding to a large power plant. That is, a unit investment would be able to produce only one megawatt, but for doing so, it would be forced to pay for the same fixed costs as a large power plant. In contrast, we will assume that there are no economies of scale, so that the small power plant representing the incremental block of production will have, in addition to small capacity, small short-term fixed costs. This approach is aimed at representing that the relevant cost of an additional unit is not only the corresponding variable cost, but also the associated part of short-term fixed costs. Therefore, we will model investments using a variable representing the small power plant as a whole, which will be termed </w:t>
      </w:r>
      <w:proofErr w:type="gramStart"/>
      <w:r w:rsidRPr="0064560B">
        <w:rPr>
          <w:rFonts w:ascii="Times New Roman" w:hAnsi="Times New Roman" w:cs="Times New Roman"/>
        </w:rPr>
        <w:t xml:space="preserve">as </w:t>
      </w:r>
      <w:proofErr w:type="gramEnd"/>
      <w:r w:rsidRPr="0064560B">
        <w:rPr>
          <w:rFonts w:ascii="Times New Roman" w:hAnsi="Times New Roman" w:cs="Times New Roman"/>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75pt" o:ole="">
            <v:imagedata r:id="rId17" o:title=""/>
          </v:shape>
          <o:OLEObject Type="Embed" ProgID="Equation.DSMT4" ShapeID="_x0000_i1025" DrawAspect="Content" ObjectID="_1498899841" r:id="rId18"/>
        </w:object>
      </w:r>
      <w:r w:rsidRPr="0064560B">
        <w:rPr>
          <w:rFonts w:ascii="Times New Roman" w:hAnsi="Times New Roman" w:cs="Times New Roman"/>
        </w:rPr>
        <w:t xml:space="preserve">. Furthermore, the absence of economies of scale implies that </w:t>
      </w:r>
      <w:r w:rsidRPr="0064560B">
        <w:rPr>
          <w:rFonts w:ascii="Times New Roman" w:hAnsi="Times New Roman" w:cs="Times New Roman"/>
          <w:position w:val="-10"/>
        </w:rPr>
        <w:object w:dxaOrig="240" w:dyaOrig="320">
          <v:shape id="_x0000_i1026" type="#_x0000_t75" style="width:12pt;height:15.75pt" o:ole="">
            <v:imagedata r:id="rId17" o:title=""/>
          </v:shape>
          <o:OLEObject Type="Embed" ProgID="Equation.DSMT4" ShapeID="_x0000_i1026" DrawAspect="Content" ObjectID="_1498899842" r:id="rId19"/>
        </w:object>
      </w:r>
      <w:r w:rsidRPr="0064560B">
        <w:rPr>
          <w:rFonts w:ascii="Times New Roman" w:hAnsi="Times New Roman" w:cs="Times New Roman"/>
        </w:rPr>
        <w:t xml:space="preserve"> can take any value. In this view, the small power plant will be defined by some standardized </w:t>
      </w:r>
      <w:proofErr w:type="gramStart"/>
      <w:r w:rsidRPr="0064560B">
        <w:rPr>
          <w:rFonts w:ascii="Times New Roman" w:hAnsi="Times New Roman" w:cs="Times New Roman"/>
        </w:rPr>
        <w:t xml:space="preserve">capacity </w:t>
      </w:r>
      <w:proofErr w:type="gramEnd"/>
      <w:r w:rsidRPr="0064560B">
        <w:rPr>
          <w:rFonts w:ascii="Times New Roman" w:hAnsi="Times New Roman" w:cs="Times New Roman"/>
          <w:position w:val="-10"/>
        </w:rPr>
        <w:object w:dxaOrig="680" w:dyaOrig="380">
          <v:shape id="_x0000_i1027" type="#_x0000_t75" style="width:33.75pt;height:18.75pt" o:ole="">
            <v:imagedata r:id="rId20" o:title=""/>
          </v:shape>
          <o:OLEObject Type="Embed" ProgID="Equation.DSMT4" ShapeID="_x0000_i1027" DrawAspect="Content" ObjectID="_1498899843" r:id="rId21"/>
        </w:object>
      </w:r>
      <w:r w:rsidRPr="0064560B">
        <w:rPr>
          <w:rFonts w:ascii="Times New Roman" w:hAnsi="Times New Roman" w:cs="Times New Roman"/>
        </w:rPr>
        <w:t xml:space="preserve">, the corresponding variable cost </w:t>
      </w:r>
      <w:r w:rsidRPr="0064560B">
        <w:rPr>
          <w:rFonts w:ascii="Times New Roman" w:hAnsi="Times New Roman" w:cs="Times New Roman"/>
          <w:position w:val="-14"/>
        </w:rPr>
        <w:object w:dxaOrig="340" w:dyaOrig="300">
          <v:shape id="_x0000_i1028" type="#_x0000_t75" style="width:17.25pt;height:15pt" o:ole="">
            <v:imagedata r:id="rId22" o:title=""/>
          </v:shape>
          <o:OLEObject Type="Embed" ProgID="Equation.DSMT4" ShapeID="_x0000_i1028" DrawAspect="Content" ObjectID="_1498899844" r:id="rId23"/>
        </w:object>
      </w:r>
      <w:r w:rsidRPr="0064560B">
        <w:rPr>
          <w:rFonts w:ascii="Times New Roman" w:hAnsi="Times New Roman" w:cs="Times New Roman"/>
        </w:rPr>
        <w:t xml:space="preserve">, and the unit fixed costs at maximum capacity: the online cost </w:t>
      </w:r>
      <w:r w:rsidRPr="0064560B">
        <w:rPr>
          <w:rFonts w:ascii="Times New Roman" w:hAnsi="Times New Roman" w:cs="Times New Roman"/>
          <w:position w:val="-10"/>
        </w:rPr>
        <w:object w:dxaOrig="540" w:dyaOrig="260">
          <v:shape id="_x0000_i1029" type="#_x0000_t75" style="width:27pt;height:12.75pt" o:ole="">
            <v:imagedata r:id="rId24" o:title=""/>
          </v:shape>
          <o:OLEObject Type="Embed" ProgID="Equation.DSMT4" ShapeID="_x0000_i1029" DrawAspect="Content" ObjectID="_1498899845" r:id="rId25"/>
        </w:object>
      </w:r>
      <w:r w:rsidRPr="0064560B">
        <w:rPr>
          <w:rFonts w:ascii="Times New Roman" w:hAnsi="Times New Roman" w:cs="Times New Roman"/>
        </w:rPr>
        <w:t xml:space="preserve">, and the startup cost </w:t>
      </w:r>
      <w:r w:rsidRPr="0064560B">
        <w:rPr>
          <w:rFonts w:ascii="Times New Roman" w:hAnsi="Times New Roman" w:cs="Times New Roman"/>
          <w:position w:val="-10"/>
        </w:rPr>
        <w:object w:dxaOrig="520" w:dyaOrig="260">
          <v:shape id="_x0000_i1030" type="#_x0000_t75" style="width:26.25pt;height:12.75pt" o:ole="">
            <v:imagedata r:id="rId26" o:title=""/>
          </v:shape>
          <o:OLEObject Type="Embed" ProgID="Equation.DSMT4" ShapeID="_x0000_i1030" DrawAspect="Content" ObjectID="_1498899846" r:id="rId27"/>
        </w:object>
      </w:r>
      <w:r w:rsidRPr="0064560B">
        <w:rPr>
          <w:rFonts w:ascii="Times New Roman" w:hAnsi="Times New Roman" w:cs="Times New Roman"/>
        </w:rPr>
        <w:t>. The logic for that definition is that, although in the short term startup costs and the like are fixed costs, when deciding on investments, power producers can decide on the size of the plants, and thus on the relative value of the fixed costs. In this view, considering no economies of scale is equivalent to consider that the power plant can be made of any size. This will be discussed below.</w:t>
      </w:r>
    </w:p>
    <w:p w:rsidR="00BE1D18" w:rsidRPr="0064560B" w:rsidRDefault="00BE1D18" w:rsidP="00BE1D18">
      <w:pPr>
        <w:rPr>
          <w:rFonts w:ascii="Times New Roman" w:hAnsi="Times New Roman" w:cs="Times New Roman"/>
        </w:rPr>
      </w:pPr>
      <w:r w:rsidRPr="0064560B">
        <w:rPr>
          <w:rFonts w:ascii="Times New Roman" w:hAnsi="Times New Roman" w:cs="Times New Roman"/>
        </w:rPr>
        <w:t>With th</w:t>
      </w:r>
      <w:r w:rsidR="00DA48DD" w:rsidRPr="0064560B">
        <w:rPr>
          <w:rFonts w:ascii="Times New Roman" w:hAnsi="Times New Roman" w:cs="Times New Roman"/>
        </w:rPr>
        <w:t>at</w:t>
      </w:r>
      <w:r w:rsidRPr="0064560B">
        <w:rPr>
          <w:rFonts w:ascii="Times New Roman" w:hAnsi="Times New Roman" w:cs="Times New Roman"/>
        </w:rPr>
        <w:t xml:space="preserve"> in mind, </w:t>
      </w:r>
      <w:r w:rsidR="00463E9D" w:rsidRPr="0064560B">
        <w:rPr>
          <w:rFonts w:ascii="Times New Roman" w:hAnsi="Times New Roman" w:cs="Times New Roman"/>
        </w:rPr>
        <w:t xml:space="preserve">we can </w:t>
      </w:r>
      <w:r w:rsidR="004D34A7" w:rsidRPr="0064560B">
        <w:rPr>
          <w:rFonts w:ascii="Times New Roman" w:hAnsi="Times New Roman" w:cs="Times New Roman"/>
        </w:rPr>
        <w:t>write the analogue to investment problem (</w:t>
      </w:r>
      <w:r w:rsidR="00905114" w:rsidRPr="0064560B">
        <w:rPr>
          <w:rFonts w:ascii="Times New Roman" w:hAnsi="Times New Roman" w:cs="Times New Roman"/>
        </w:rPr>
        <w:fldChar w:fldCharType="begin"/>
      </w:r>
      <w:r w:rsidR="004D34A7" w:rsidRPr="0064560B">
        <w:rPr>
          <w:rFonts w:ascii="Times New Roman" w:hAnsi="Times New Roman" w:cs="Times New Roman"/>
        </w:rPr>
        <w:instrText xml:space="preserve"> REF  eq8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4D34A7" w:rsidRPr="0064560B">
        <w:rPr>
          <w:rFonts w:ascii="Times New Roman" w:hAnsi="Times New Roman" w:cs="Times New Roman"/>
          <w:noProof/>
        </w:rPr>
        <w:t>8</w:t>
      </w:r>
      <w:r w:rsidR="00905114" w:rsidRPr="0064560B">
        <w:rPr>
          <w:rFonts w:ascii="Times New Roman" w:hAnsi="Times New Roman" w:cs="Times New Roman"/>
        </w:rPr>
        <w:fldChar w:fldCharType="end"/>
      </w:r>
      <w:r w:rsidR="004D34A7" w:rsidRPr="0064560B">
        <w:rPr>
          <w:rFonts w:ascii="Times New Roman" w:hAnsi="Times New Roman" w:cs="Times New Roman"/>
        </w:rPr>
        <w:t>) using the following model</w:t>
      </w:r>
      <w:r w:rsidRPr="0064560B">
        <w:rPr>
          <w:rFonts w:ascii="Times New Roman" w:hAnsi="Times New Roman" w:cs="Times New Roman"/>
        </w:rPr>
        <w:t>:</w:t>
      </w:r>
    </w:p>
    <w:p w:rsidR="004D34A7" w:rsidRPr="0064560B" w:rsidRDefault="00D80DBD" w:rsidP="004D34A7">
      <w:pPr>
        <w:pStyle w:val="ecuacion"/>
        <w:rPr>
          <w:rFonts w:ascii="Times New Roman" w:hAnsi="Times New Roman"/>
        </w:rPr>
      </w:pPr>
      <m:oMath>
        <m:m>
          <m:mPr>
            <m:mcs>
              <m:mc>
                <m:mcPr>
                  <m:count m:val="1"/>
                  <m:mcJc m:val="right"/>
                </m:mcPr>
              </m:mc>
              <m:mc>
                <m:mcPr>
                  <m:count m:val="2"/>
                  <m:mcJc m:val="left"/>
                </m:mcPr>
              </m:mc>
            </m:mcs>
            <m:ctrlPr>
              <w:rPr>
                <w:rFonts w:ascii="Cambria Math" w:eastAsiaTheme="minorEastAsia" w:hAnsi="Cambria Math"/>
                <w:szCs w:val="22"/>
                <w:lang w:eastAsia="en-GB"/>
              </w:rPr>
            </m:ctrlPr>
          </m:mPr>
          <m:mr>
            <m:e>
              <m:r>
                <w:rPr>
                  <w:rFonts w:ascii="Cambria Math" w:hAnsi="Cambria Math"/>
                </w:rPr>
                <m:t>max</m:t>
              </m:r>
            </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ic</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sSubSup>
                  <m:r>
                    <m:rPr>
                      <m:sty m:val="p"/>
                    </m:rPr>
                    <w:rPr>
                      <w:rFonts w:ascii="Cambria Math" w:hAnsi="Cambria Math"/>
                    </w:rPr>
                    <m:t>+</m:t>
                  </m:r>
                </m:e>
              </m:nary>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i</m:t>
                  </m:r>
                </m:sub>
                <m:sup/>
                <m:e>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t</m:t>
                          </m:r>
                        </m:sub>
                      </m:sSub>
                    </m:e>
                  </m:d>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cs</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Sub>
            </m:e>
            <m:e/>
          </m:mr>
          <m:m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x</m:t>
                  </m:r>
                </m:e>
                <m:sub>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min</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sSubSup>
                <m:sSubSupPr>
                  <m:ctrlPr>
                    <w:rPr>
                      <w:rFonts w:ascii="Cambria Math" w:hAnsi="Cambria Math"/>
                    </w:rPr>
                  </m:ctrlPr>
                </m:sSubSupPr>
                <m:e>
                  <m:r>
                    <w:rPr>
                      <w:rFonts w:ascii="Cambria Math" w:hAnsi="Cambria Math"/>
                    </w:rPr>
                    <m:t>x</m:t>
                  </m:r>
                </m:e>
                <m:sub>
                  <m:r>
                    <w:rPr>
                      <w:rFonts w:ascii="Cambria Math" w:hAnsi="Cambria Math"/>
                    </w:rPr>
                    <m:t>i</m:t>
                  </m:r>
                </m:sub>
                <m:sup/>
              </m:sSubSup>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max</m:t>
                  </m:r>
                </m:sup>
              </m:sSubSup>
            </m:e>
            <m:e/>
          </m:mr>
          <m: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-1,</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e>
            <m:e>
              <m:ctrlPr>
                <w:rPr>
                  <w:rFonts w:ascii="Cambria Math" w:eastAsia="Cambria Math" w:hAnsi="Cambria Math"/>
                  <w:lang w:eastAsia="en-GB"/>
                </w:rPr>
              </m:ctrlPr>
            </m:e>
          </m:mr>
          <m:mr>
            <m:e>
              <m:ctrlPr>
                <w:rPr>
                  <w:rFonts w:ascii="Cambria Math" w:eastAsia="Cambria Math" w:hAnsi="Cambria Math"/>
                  <w:lang w:eastAsia="en-GB"/>
                </w:rPr>
              </m:ctrlP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ctrlPr>
                <w:rPr>
                  <w:rFonts w:ascii="Cambria Math" w:eastAsia="Cambria Math" w:hAnsi="Cambria Math"/>
                  <w:lang w:eastAsia="en-GB"/>
                </w:rPr>
              </m:ctrlPr>
            </m:e>
            <m:e/>
          </m:mr>
        </m:m>
      </m:oMath>
      <w:r w:rsidR="004D34A7" w:rsidRPr="0064560B">
        <w:rPr>
          <w:rFonts w:ascii="Times New Roman" w:hAnsi="Times New Roman"/>
          <w:szCs w:val="22"/>
          <w:lang w:eastAsia="en-GB"/>
        </w:rPr>
        <w:tab/>
      </w:r>
      <w:r w:rsidR="004D34A7" w:rsidRPr="0064560B">
        <w:rPr>
          <w:rFonts w:ascii="Times New Roman" w:hAnsi="Times New Roman"/>
        </w:rPr>
        <w:t>(</w:t>
      </w:r>
      <w:bookmarkStart w:id="33" w:name="eq14"/>
      <w:r w:rsidR="00905114" w:rsidRPr="0064560B">
        <w:rPr>
          <w:rFonts w:ascii="Times New Roman" w:hAnsi="Times New Roman"/>
        </w:rPr>
        <w:fldChar w:fldCharType="begin"/>
      </w:r>
      <w:r w:rsidR="004D34A7"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4D34A7" w:rsidRPr="0064560B">
        <w:rPr>
          <w:rFonts w:ascii="Times New Roman" w:hAnsi="Times New Roman"/>
          <w:noProof/>
        </w:rPr>
        <w:t>14</w:t>
      </w:r>
      <w:r w:rsidR="00905114" w:rsidRPr="0064560B">
        <w:rPr>
          <w:rFonts w:ascii="Times New Roman" w:hAnsi="Times New Roman"/>
          <w:noProof/>
        </w:rPr>
        <w:fldChar w:fldCharType="end"/>
      </w:r>
      <w:bookmarkEnd w:id="33"/>
      <w:r w:rsidR="004D34A7"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In addition, the problem can be reformulated as</w:t>
      </w:r>
    </w:p>
    <w:p w:rsidR="004D34A7" w:rsidRPr="0064560B" w:rsidRDefault="00D80DBD" w:rsidP="004D34A7">
      <w:pPr>
        <w:pStyle w:val="ecuacion"/>
        <w:rPr>
          <w:rFonts w:ascii="Times New Roman" w:hAnsi="Times New Roman"/>
        </w:rPr>
      </w:pPr>
      <m:oMath>
        <m:m>
          <m:mPr>
            <m:mcs>
              <m:mc>
                <m:mcPr>
                  <m:count m:val="1"/>
                  <m:mcJc m:val="right"/>
                </m:mcPr>
              </m:mc>
              <m:mc>
                <m:mcPr>
                  <m:count m:val="2"/>
                  <m:mcJc m:val="left"/>
                </m:mcPr>
              </m:mc>
            </m:mcs>
            <m:ctrlPr>
              <w:rPr>
                <w:rFonts w:ascii="Cambria Math" w:eastAsiaTheme="minorEastAsia" w:hAnsi="Cambria Math"/>
                <w:szCs w:val="22"/>
                <w:lang w:eastAsia="en-GB"/>
              </w:rPr>
            </m:ctrlPr>
          </m:mPr>
          <m:mr>
            <m:e>
              <m:r>
                <w:rPr>
                  <w:rFonts w:ascii="Cambria Math" w:hAnsi="Cambria Math"/>
                </w:rPr>
                <m:t>max</m:t>
              </m:r>
            </m:e>
            <m:e>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ic</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sSubSup>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t,i</m:t>
                  </m:r>
                </m:sub>
                <m:sup/>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i,t</m:t>
                          </m:r>
                        </m:sub>
                      </m:sSub>
                    </m:e>
                  </m:d>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co</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t,i</m:t>
                  </m:r>
                </m:sub>
              </m:sSub>
            </m:e>
            <m:e/>
          </m:mr>
          <m:m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t,i</m:t>
                  </m:r>
                </m:sub>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t,i</m:t>
                  </m:r>
                </m:sub>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max</m:t>
                  </m:r>
                </m:sup>
              </m:sSubSup>
            </m:e>
            <m:e/>
          </m:mr>
          <m:mr>
            <m:e/>
            <m:e>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t</m:t>
                  </m:r>
                  <m:r>
                    <m:rPr>
                      <m:sty m:val="p"/>
                    </m:rPr>
                    <w:rPr>
                      <w:rFonts w:ascii="Cambria Math" w:hAnsi="Cambria Math"/>
                    </w:rPr>
                    <m:t>-1,</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t</m:t>
                  </m:r>
                  <m:r>
                    <m:rPr>
                      <m:sty m:val="p"/>
                    </m:rPr>
                    <w:rPr>
                      <w:rFonts w:ascii="Cambria Math" w:hAnsi="Cambria Math"/>
                    </w:rPr>
                    <m:t>,</m:t>
                  </m:r>
                  <m:r>
                    <w:rPr>
                      <w:rFonts w:ascii="Cambria Math" w:hAnsi="Cambria Math"/>
                    </w:rPr>
                    <m:t>i</m:t>
                  </m:r>
                </m:sub>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i</m:t>
                  </m:r>
                </m:sub>
                <m:sup/>
              </m:sSubSup>
            </m:e>
            <m:e>
              <m:ctrlPr>
                <w:rPr>
                  <w:rFonts w:ascii="Cambria Math" w:eastAsia="Cambria Math" w:hAnsi="Cambria Math"/>
                  <w:lang w:eastAsia="en-GB"/>
                </w:rPr>
              </m:ctrlPr>
            </m:e>
          </m:mr>
          <m:mr>
            <m:e>
              <m:ctrlPr>
                <w:rPr>
                  <w:rFonts w:ascii="Cambria Math" w:eastAsia="Cambria Math" w:hAnsi="Cambria Math"/>
                  <w:lang w:eastAsia="en-GB"/>
                </w:rPr>
              </m:ctrlPr>
            </m:e>
            <m:e>
              <m:sSubSup>
                <m:sSubSupPr>
                  <m:ctrlPr>
                    <w:rPr>
                      <w:rFonts w:ascii="Cambria Math" w:hAnsi="Cambria Math"/>
                      <w:i/>
                    </w:rPr>
                  </m:ctrlPr>
                </m:sSubSupPr>
                <m:e>
                  <m:r>
                    <w:rPr>
                      <w:rFonts w:ascii="Cambria Math" w:hAnsi="Cambria Math"/>
                    </w:rPr>
                    <m:t>u</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t,i</m:t>
                  </m:r>
                </m:sub>
                <m:sup/>
              </m:sSubSup>
              <m:r>
                <w:rPr>
                  <w:rFonts w:ascii="Cambria Math" w:hAnsi="Cambria Math"/>
                </w:rPr>
                <m:t>∈</m:t>
              </m:r>
              <m:d>
                <m:dPr>
                  <m:begChr m:val="{"/>
                  <m:endChr m:val="}"/>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sSubSup>
                </m:e>
              </m:d>
              <m:ctrlPr>
                <w:rPr>
                  <w:rFonts w:ascii="Cambria Math" w:eastAsia="Cambria Math" w:hAnsi="Cambria Math"/>
                  <w:lang w:eastAsia="en-GB"/>
                </w:rPr>
              </m:ctrlPr>
            </m:e>
            <m:e/>
          </m:mr>
        </m:m>
      </m:oMath>
      <w:r w:rsidR="004D34A7" w:rsidRPr="0064560B">
        <w:rPr>
          <w:rFonts w:ascii="Times New Roman" w:hAnsi="Times New Roman"/>
          <w:szCs w:val="22"/>
          <w:lang w:eastAsia="en-GB"/>
        </w:rPr>
        <w:tab/>
      </w:r>
      <w:r w:rsidR="004D34A7" w:rsidRPr="0064560B">
        <w:rPr>
          <w:rFonts w:ascii="Times New Roman" w:hAnsi="Times New Roman"/>
        </w:rPr>
        <w:t>(</w:t>
      </w:r>
      <w:bookmarkStart w:id="34" w:name="eq15"/>
      <w:r w:rsidR="00905114" w:rsidRPr="0064560B">
        <w:rPr>
          <w:rFonts w:ascii="Times New Roman" w:hAnsi="Times New Roman"/>
        </w:rPr>
        <w:fldChar w:fldCharType="begin"/>
      </w:r>
      <w:r w:rsidR="004D34A7"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567178" w:rsidRPr="0064560B">
        <w:rPr>
          <w:rFonts w:ascii="Times New Roman" w:hAnsi="Times New Roman"/>
          <w:noProof/>
        </w:rPr>
        <w:t>15</w:t>
      </w:r>
      <w:r w:rsidR="00905114" w:rsidRPr="0064560B">
        <w:rPr>
          <w:rFonts w:ascii="Times New Roman" w:hAnsi="Times New Roman"/>
          <w:noProof/>
        </w:rPr>
        <w:fldChar w:fldCharType="end"/>
      </w:r>
      <w:bookmarkEnd w:id="34"/>
      <w:r w:rsidR="004D34A7"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64560B">
        <w:rPr>
          <w:rFonts w:ascii="Times New Roman" w:hAnsi="Times New Roman" w:cs="Times New Roman"/>
        </w:rPr>
        <w:t xml:space="preserve"> can take any value. In principle, the problem is still a nonconvex one, so the definition of a linear pricing scheme is still impossible. However, it is possible to exploit the fact that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64560B">
        <w:rPr>
          <w:rFonts w:ascii="Times New Roman" w:hAnsi="Times New Roman" w:cs="Times New Roman"/>
        </w:rPr>
        <w:t xml:space="preserve"> is a continuous variable. As power producers can build infinitely small plants of any technology, i. 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64560B">
        <w:rPr>
          <w:rFonts w:ascii="Times New Roman" w:hAnsi="Times New Roman" w:cs="Times New Roman"/>
        </w:rPr>
        <w:t xml:space="preserve"> can be as small as required, any cost related to the duality gap can be eliminated without cost, by substituting one unit by several smaller units. For instance, consider that a certain marginal plant is producing at its maximum capacity in one hour of the time scope, below its maximum output in another hour, and not producing the rest of the hours. It is always possible to substitute it by two smaller plants of the same technology, with added capacity equal to the large one, so that one of them is producing in the first hour and both of them are producing in the second hour. </w:t>
      </w:r>
      <w:r w:rsidR="001E5FA2" w:rsidRPr="0064560B">
        <w:rPr>
          <w:rFonts w:ascii="Times New Roman" w:hAnsi="Times New Roman" w:cs="Times New Roman"/>
        </w:rPr>
        <w:t xml:space="preserve">Though </w:t>
      </w:r>
      <w:r w:rsidRPr="0064560B">
        <w:rPr>
          <w:rFonts w:ascii="Times New Roman" w:hAnsi="Times New Roman" w:cs="Times New Roman"/>
        </w:rPr>
        <w:t>there are no economies of scale</w:t>
      </w:r>
      <w:r w:rsidR="001E5FA2" w:rsidRPr="0064560B">
        <w:rPr>
          <w:rFonts w:ascii="Times New Roman" w:hAnsi="Times New Roman" w:cs="Times New Roman"/>
        </w:rPr>
        <w:t xml:space="preserve"> and</w:t>
      </w:r>
      <w:r w:rsidRPr="0064560B">
        <w:rPr>
          <w:rFonts w:ascii="Times New Roman" w:hAnsi="Times New Roman" w:cs="Times New Roman"/>
        </w:rPr>
        <w:t xml:space="preserve"> the substitution is costless</w:t>
      </w:r>
      <w:r w:rsidR="001E5FA2" w:rsidRPr="0064560B">
        <w:rPr>
          <w:rFonts w:ascii="Times New Roman" w:hAnsi="Times New Roman" w:cs="Times New Roman"/>
        </w:rPr>
        <w:t xml:space="preserve">, </w:t>
      </w:r>
      <w:r w:rsidRPr="0064560B">
        <w:rPr>
          <w:rFonts w:ascii="Times New Roman" w:hAnsi="Times New Roman" w:cs="Times New Roman"/>
        </w:rPr>
        <w:t xml:space="preserve">it allows eliminating the duality gap. </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The idea behind the following reasoning is that such problem is equivalent to a linear problem. In fact, the duality gap will be way from zero when the startup and online variables are below their limits in the linear relaxation of the problem. However, this will only happen when the amount of plants in the problem, or equivalently, the subscript </w:t>
      </w:r>
      <w:r w:rsidRPr="0064560B">
        <w:rPr>
          <w:rFonts w:ascii="Times New Roman" w:hAnsi="Times New Roman" w:cs="Times New Roman"/>
          <w:position w:val="-6"/>
        </w:rPr>
        <w:object w:dxaOrig="139" w:dyaOrig="240">
          <v:shape id="_x0000_i1031" type="#_x0000_t75" style="width:6.75pt;height:12pt" o:ole="">
            <v:imagedata r:id="rId28" o:title=""/>
          </v:shape>
          <o:OLEObject Type="Embed" ProgID="Equation.DSMT4" ShapeID="_x0000_i1031" DrawAspect="Content" ObjectID="_1498899847" r:id="rId29"/>
        </w:object>
      </w:r>
      <w:r w:rsidRPr="0064560B">
        <w:rPr>
          <w:rFonts w:ascii="Times New Roman" w:hAnsi="Times New Roman" w:cs="Times New Roman"/>
        </w:rPr>
        <w:t xml:space="preserve"> is fixed at some relatively low </w:t>
      </w:r>
      <w:r w:rsidRPr="0064560B">
        <w:rPr>
          <w:rFonts w:ascii="Times New Roman" w:hAnsi="Times New Roman" w:cs="Times New Roman"/>
        </w:rPr>
        <w:lastRenderedPageBreak/>
        <w:t>value. But, from the investment standpoint, this is not necessary because power producers can undertake, in principle, any profitable investment. Therefore, if the number of possible plants is high enough (higher than the highest demand in the scope of the problem), the optimal solution will only contain variables at their integer limits. This is the definition of the integrality property, so the solution of the linear relaxation is the same as the integer solution. The property that we have exploited above is that it is possible to consider an ideal generation portfolio made up of many small power plants. And that is possible as long as there are no economies of scale. The linear relaxation of the problem is:</w:t>
      </w:r>
    </w:p>
    <w:p w:rsidR="00890A31" w:rsidRPr="0064560B" w:rsidRDefault="00D80DBD" w:rsidP="00890A31">
      <w:pPr>
        <w:pStyle w:val="ecuacion"/>
        <w:rPr>
          <w:rFonts w:ascii="Times New Roman" w:hAnsi="Times New Roman"/>
        </w:rPr>
      </w:pPr>
      <m:oMath>
        <m:m>
          <m:mPr>
            <m:mcs>
              <m:mc>
                <m:mcPr>
                  <m:count m:val="1"/>
                  <m:mcJc m:val="right"/>
                </m:mcPr>
              </m:mc>
              <m:mc>
                <m:mcPr>
                  <m:count m:val="2"/>
                  <m:mcJc m:val="left"/>
                </m:mcPr>
              </m:mc>
            </m:mcs>
            <m:ctrlPr>
              <w:rPr>
                <w:rFonts w:ascii="Cambria Math" w:hAnsi="Cambria Math"/>
                <w:i/>
              </w:rPr>
            </m:ctrlPr>
          </m:mPr>
          <m:mr>
            <m:e>
              <m:r>
                <w:rPr>
                  <w:rFonts w:ascii="Cambria Math" w:hAnsi="Cambria Math"/>
                </w:rPr>
                <m:t>max</m:t>
              </m:r>
            </m:e>
            <m:e>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ic</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sSubSup>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t,i</m:t>
                  </m:r>
                </m:sub>
                <m:sup/>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i,t</m:t>
                          </m:r>
                        </m:sub>
                      </m:sSub>
                    </m:e>
                  </m:d>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co</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t,i</m:t>
                  </m:r>
                </m:sub>
              </m:sSub>
            </m:e>
            <m:e/>
          </m:mr>
          <m:mr>
            <m:e>
              <m:r>
                <w:rPr>
                  <w:rFonts w:ascii="Cambria Math" w:hAnsi="Cambria Math"/>
                </w:rPr>
                <m:t>s.t.</m:t>
              </m:r>
            </m:e>
            <m:e>
              <m:sSubSup>
                <m:sSubSupPr>
                  <m:ctrlPr>
                    <w:rPr>
                      <w:rFonts w:ascii="Cambria Math" w:hAnsi="Cambria Math"/>
                      <w:i/>
                    </w:rPr>
                  </m:ctrlPr>
                </m:sSubSupPr>
                <m:e>
                  <m:r>
                    <w:rPr>
                      <w:rFonts w:ascii="Cambria Math" w:hAnsi="Cambria Math"/>
                    </w:rPr>
                    <m:t>u</m:t>
                  </m:r>
                </m:e>
                <m:sub>
                  <m:r>
                    <w:rPr>
                      <w:rFonts w:ascii="Cambria Math" w:hAnsi="Cambria Math"/>
                    </w:rPr>
                    <m:t>t,i</m:t>
                  </m:r>
                </m:sub>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t,i</m:t>
                  </m:r>
                </m:sub>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max</m:t>
                  </m:r>
                </m:sup>
              </m:sSubSup>
            </m:e>
            <m:e>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e>
          </m:mr>
          <m:mr>
            <m:e/>
            <m:e>
              <m:sSubSup>
                <m:sSubSupPr>
                  <m:ctrlPr>
                    <w:rPr>
                      <w:rFonts w:ascii="Cambria Math" w:hAnsi="Cambria Math"/>
                      <w:i/>
                    </w:rPr>
                  </m:ctrlPr>
                </m:sSubSupPr>
                <m:e>
                  <m:r>
                    <w:rPr>
                      <w:rFonts w:ascii="Cambria Math" w:hAnsi="Cambria Math"/>
                    </w:rPr>
                    <m:t>u</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t-1,i</m:t>
                  </m:r>
                </m:sub>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t,i</m:t>
                  </m:r>
                </m:sub>
                <m:sup/>
              </m:sSubSup>
            </m:e>
            <m:e>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m:t>
                  </m:r>
                </m:sub>
                <m:sup>
                  <m:r>
                    <w:rPr>
                      <w:rFonts w:ascii="Cambria Math" w:hAnsi="Cambria Math"/>
                    </w:rPr>
                    <m:t>online</m:t>
                  </m:r>
                </m:sup>
              </m:sSubSup>
              <m:ctrlPr>
                <w:rPr>
                  <w:rFonts w:ascii="Cambria Math" w:eastAsia="Cambria Math" w:hAnsi="Cambria Math"/>
                  <w:i/>
                </w:rPr>
              </m:ctrlPr>
            </m:e>
          </m:mr>
          <m:mr>
            <m:e>
              <m:ctrlPr>
                <w:rPr>
                  <w:rFonts w:ascii="Cambria Math" w:eastAsia="Cambria Math" w:hAnsi="Cambria Math"/>
                  <w:i/>
                </w:rPr>
              </m:ctrlPr>
            </m:e>
            <m:e>
              <m:r>
                <w:rPr>
                  <w:rFonts w:ascii="Cambria Math" w:hAnsi="Cambria Math"/>
                </w:rPr>
                <m:t>0≤</m:t>
              </m:r>
              <m:sSubSup>
                <m:sSubSupPr>
                  <m:ctrlPr>
                    <w:rPr>
                      <w:rFonts w:ascii="Cambria Math" w:hAnsi="Cambria Math"/>
                      <w:i/>
                    </w:rPr>
                  </m:ctrlPr>
                </m:sSubSupPr>
                <m:e>
                  <m:r>
                    <w:rPr>
                      <w:rFonts w:ascii="Cambria Math" w:hAnsi="Cambria Math"/>
                    </w:rPr>
                    <m:t>u</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t,i</m:t>
                  </m:r>
                </m:sub>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sSubSup>
              <m:ctrlPr>
                <w:rPr>
                  <w:rFonts w:ascii="Cambria Math" w:eastAsia="Cambria Math" w:hAnsi="Cambria Math"/>
                  <w:i/>
                </w:rPr>
              </m:ctrlPr>
            </m:e>
            <m:e>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v</m:t>
                  </m:r>
                </m:sup>
              </m:sSubSup>
            </m:e>
          </m:mr>
        </m:m>
      </m:oMath>
      <w:r w:rsidR="00890A31" w:rsidRPr="0064560B">
        <w:rPr>
          <w:rFonts w:ascii="Times New Roman" w:hAnsi="Times New Roman"/>
        </w:rPr>
        <w:tab/>
        <w:t>(</w:t>
      </w:r>
      <w:bookmarkStart w:id="35" w:name="eq16"/>
      <w:r w:rsidR="00905114" w:rsidRPr="0064560B">
        <w:rPr>
          <w:rFonts w:ascii="Times New Roman" w:hAnsi="Times New Roman"/>
        </w:rPr>
        <w:fldChar w:fldCharType="begin"/>
      </w:r>
      <w:r w:rsidR="00890A31"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890A31" w:rsidRPr="0064560B">
        <w:rPr>
          <w:rFonts w:ascii="Times New Roman" w:hAnsi="Times New Roman"/>
          <w:noProof/>
        </w:rPr>
        <w:t>16</w:t>
      </w:r>
      <w:r w:rsidR="00905114" w:rsidRPr="0064560B">
        <w:rPr>
          <w:rFonts w:ascii="Times New Roman" w:hAnsi="Times New Roman"/>
          <w:noProof/>
        </w:rPr>
        <w:fldChar w:fldCharType="end"/>
      </w:r>
      <w:bookmarkEnd w:id="35"/>
      <w:r w:rsidR="00890A31"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and the optimality conditions of this problem, with respect to investment decisions, is</w:t>
      </w:r>
    </w:p>
    <w:p w:rsidR="00BE1D18" w:rsidRPr="0064560B" w:rsidRDefault="00D80DBD" w:rsidP="00890A31">
      <w:pPr>
        <w:pStyle w:val="ecuacion"/>
        <w:rPr>
          <w:rFonts w:ascii="Times New Roman" w:hAnsi="Times New Roman"/>
        </w:rPr>
      </w:pPr>
      <m:oMath>
        <m:sSub>
          <m:sSubPr>
            <m:ctrlPr>
              <w:rPr>
                <w:rFonts w:ascii="Cambria Math" w:hAnsi="Cambria Math"/>
              </w:rPr>
            </m:ctrlPr>
          </m:sSubPr>
          <m:e>
            <m:r>
              <w:rPr>
                <w:rFonts w:ascii="Cambria Math" w:hAnsi="Cambria Math"/>
              </w:rPr>
              <m:t>ic</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sub>
          <m:sup/>
          <m:e>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u</m:t>
                </m:r>
              </m:sup>
            </m:sSubSup>
          </m:e>
        </m:nary>
      </m:oMath>
      <w:r w:rsidR="00890A31" w:rsidRPr="0064560B">
        <w:rPr>
          <w:rFonts w:ascii="Times New Roman" w:hAnsi="Times New Roman"/>
        </w:rPr>
        <w:tab/>
        <w:t>(</w:t>
      </w:r>
      <w:bookmarkStart w:id="36" w:name="eq17"/>
      <w:r w:rsidR="00905114" w:rsidRPr="0064560B">
        <w:rPr>
          <w:rFonts w:ascii="Times New Roman" w:hAnsi="Times New Roman"/>
        </w:rPr>
        <w:fldChar w:fldCharType="begin"/>
      </w:r>
      <w:r w:rsidR="00890A31"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890A31" w:rsidRPr="0064560B">
        <w:rPr>
          <w:rFonts w:ascii="Times New Roman" w:hAnsi="Times New Roman"/>
          <w:noProof/>
        </w:rPr>
        <w:t>17</w:t>
      </w:r>
      <w:r w:rsidR="00905114" w:rsidRPr="0064560B">
        <w:rPr>
          <w:rFonts w:ascii="Times New Roman" w:hAnsi="Times New Roman"/>
          <w:noProof/>
        </w:rPr>
        <w:fldChar w:fldCharType="end"/>
      </w:r>
      <w:bookmarkEnd w:id="36"/>
      <w:r w:rsidR="00890A31"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where the Lagrange multiplier is defined by</w:t>
      </w:r>
    </w:p>
    <w:p w:rsidR="00BE1D18" w:rsidRPr="0064560B" w:rsidRDefault="00D80DBD" w:rsidP="00BE1D18">
      <w:pPr>
        <w:pStyle w:val="ecuacion"/>
        <w:rPr>
          <w:rFonts w:ascii="Times New Roman" w:hAnsi="Times New Roman"/>
        </w:rPr>
      </w:pPr>
      <m:oMath>
        <m:sSub>
          <m:sSubPr>
            <m:ctrlPr>
              <w:rPr>
                <w:rFonts w:ascii="Cambria Math" w:hAnsi="Cambria Math"/>
                <w:i/>
              </w:rPr>
            </m:ctrlPr>
          </m:sSubPr>
          <m:e>
            <m:r>
              <w:rPr>
                <w:rFonts w:ascii="Cambria Math" w:hAnsi="Cambria Math"/>
              </w:rPr>
              <m:t>co</m:t>
            </m:r>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min</m:t>
                </m:r>
              </m:sup>
            </m:sSubSup>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max</m:t>
                </m:r>
              </m:sup>
            </m:sSubSup>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max</m:t>
                </m:r>
              </m:sup>
            </m:sSubSup>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t+1</m:t>
                </m:r>
              </m:sub>
              <m:sup>
                <m:r>
                  <w:rPr>
                    <w:rFonts w:ascii="Cambria Math" w:hAnsi="Cambria Math"/>
                  </w:rPr>
                  <m:t>online</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m:t>
                </m:r>
              </m:sub>
              <m:sup>
                <m:r>
                  <w:rPr>
                    <w:rFonts w:ascii="Cambria Math" w:hAnsi="Cambria Math"/>
                  </w:rPr>
                  <m:t>online</m:t>
                </m:r>
              </m:sup>
            </m:sSubSup>
          </m:e>
        </m:d>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t,i</m:t>
            </m:r>
          </m:sub>
          <m:sup>
            <m:r>
              <w:rPr>
                <w:rFonts w:ascii="Cambria Math" w:hAnsi="Cambria Math"/>
              </w:rPr>
              <m:t>u</m:t>
            </m:r>
          </m:sup>
        </m:sSubSup>
        <m:r>
          <w:rPr>
            <w:rFonts w:ascii="Cambria Math" w:hAnsi="Cambria Math"/>
          </w:rPr>
          <m:t>=0</m:t>
        </m:r>
      </m:oMath>
      <w:r w:rsidR="00890A31" w:rsidRPr="0064560B">
        <w:rPr>
          <w:rFonts w:ascii="Times New Roman" w:hAnsi="Times New Roman"/>
        </w:rPr>
        <w:tab/>
        <w:t>(</w:t>
      </w:r>
      <w:bookmarkStart w:id="37" w:name="eq18"/>
      <w:r w:rsidR="00905114" w:rsidRPr="0064560B">
        <w:rPr>
          <w:rFonts w:ascii="Times New Roman" w:hAnsi="Times New Roman"/>
        </w:rPr>
        <w:fldChar w:fldCharType="begin"/>
      </w:r>
      <w:r w:rsidR="00890A31" w:rsidRPr="0064560B">
        <w:rPr>
          <w:rFonts w:ascii="Times New Roman" w:hAnsi="Times New Roman"/>
        </w:rPr>
        <w:instrText xml:space="preserve"> SEQ step \n \* MERGEFORMAT </w:instrText>
      </w:r>
      <w:r w:rsidR="00905114" w:rsidRPr="0064560B">
        <w:rPr>
          <w:rFonts w:ascii="Times New Roman" w:hAnsi="Times New Roman"/>
        </w:rPr>
        <w:fldChar w:fldCharType="separate"/>
      </w:r>
      <w:r w:rsidR="00890A31" w:rsidRPr="0064560B">
        <w:rPr>
          <w:rFonts w:ascii="Times New Roman" w:hAnsi="Times New Roman"/>
          <w:noProof/>
        </w:rPr>
        <w:t>18</w:t>
      </w:r>
      <w:r w:rsidR="00905114" w:rsidRPr="0064560B">
        <w:rPr>
          <w:rFonts w:ascii="Times New Roman" w:hAnsi="Times New Roman"/>
          <w:noProof/>
        </w:rPr>
        <w:fldChar w:fldCharType="end"/>
      </w:r>
      <w:bookmarkEnd w:id="37"/>
      <w:r w:rsidR="00890A31" w:rsidRPr="0064560B">
        <w:rPr>
          <w:rFonts w:ascii="Times New Roman" w:hAnsi="Times New Roman"/>
          <w:noProof/>
        </w:rPr>
        <w:t>)</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The investment signal in this problem takes into account fixed operation costs. Note also that, following the same reasoning (modeling investments in small power plants), the inclusion of additional technical constraints, such as ramps or reserve constraints, does not change the previous results. </w:t>
      </w:r>
    </w:p>
    <w:p w:rsidR="00BE1D18" w:rsidRPr="0064560B" w:rsidRDefault="00BE1D18" w:rsidP="00BE1D18">
      <w:pPr>
        <w:pStyle w:val="Heading2"/>
        <w:tabs>
          <w:tab w:val="num" w:pos="567"/>
        </w:tabs>
        <w:spacing w:before="0" w:after="240" w:line="276" w:lineRule="auto"/>
        <w:ind w:left="567" w:hanging="567"/>
        <w:jc w:val="both"/>
        <w:rPr>
          <w:rFonts w:ascii="Times New Roman" w:hAnsi="Times New Roman" w:cs="Times New Roman"/>
        </w:rPr>
      </w:pPr>
      <w:r w:rsidRPr="0064560B">
        <w:rPr>
          <w:rFonts w:ascii="Times New Roman" w:hAnsi="Times New Roman" w:cs="Times New Roman"/>
        </w:rPr>
        <w:t>Analyzing the “small plants” assumption</w:t>
      </w:r>
    </w:p>
    <w:p w:rsidR="00BE1D18" w:rsidRPr="0064560B" w:rsidRDefault="00BE1D18" w:rsidP="00BE1D18">
      <w:pPr>
        <w:rPr>
          <w:rFonts w:ascii="Times New Roman" w:hAnsi="Times New Roman" w:cs="Times New Roman"/>
        </w:rPr>
      </w:pPr>
      <w:r w:rsidRPr="0064560B">
        <w:rPr>
          <w:rFonts w:ascii="Times New Roman" w:hAnsi="Times New Roman" w:cs="Times New Roman"/>
        </w:rPr>
        <w:t xml:space="preserve">In practice, economies of scale often exist. For instance, a CCGT cannot be found in the market with a maximum output of 10 MW. This minimum-size requirement would prevent the investment variable </w:t>
      </w:r>
      <w:r w:rsidRPr="0064560B">
        <w:rPr>
          <w:rFonts w:ascii="Times New Roman" w:hAnsi="Times New Roman" w:cs="Times New Roman"/>
          <w:position w:val="-10"/>
        </w:rPr>
        <w:object w:dxaOrig="240" w:dyaOrig="320">
          <v:shape id="_x0000_i1032" type="#_x0000_t75" style="width:12pt;height:15.75pt" o:ole="">
            <v:imagedata r:id="rId17" o:title=""/>
          </v:shape>
          <o:OLEObject Type="Embed" ProgID="Equation.DSMT4" ShapeID="_x0000_i1032" DrawAspect="Content" ObjectID="_1498899848" r:id="rId30"/>
        </w:object>
      </w:r>
      <w:r w:rsidRPr="0064560B">
        <w:rPr>
          <w:rFonts w:ascii="Times New Roman" w:hAnsi="Times New Roman" w:cs="Times New Roman"/>
        </w:rPr>
        <w:t xml:space="preserve"> to take any value, but it will be an integer variable. Consequently, there would be non</w:t>
      </w:r>
      <w:r w:rsidR="00CB6854" w:rsidRPr="0064560B">
        <w:rPr>
          <w:rFonts w:ascii="Times New Roman" w:hAnsi="Times New Roman" w:cs="Times New Roman"/>
        </w:rPr>
        <w:t>-</w:t>
      </w:r>
      <w:r w:rsidRPr="0064560B">
        <w:rPr>
          <w:rFonts w:ascii="Times New Roman" w:hAnsi="Times New Roman" w:cs="Times New Roman"/>
        </w:rPr>
        <w:t>convexities associated with the investment variable. That problem was pointed out in</w:t>
      </w:r>
      <w:r w:rsidR="00CB6854" w:rsidRPr="0064560B">
        <w:rPr>
          <w:rFonts w:ascii="Times New Roman" w:hAnsi="Times New Roman" w:cs="Times New Roman"/>
        </w:rPr>
        <w:t xml:space="preserve"> </w:t>
      </w:r>
      <w:r w:rsidR="00905114" w:rsidRPr="0064560B">
        <w:rPr>
          <w:rFonts w:ascii="Times New Roman" w:hAnsi="Times New Roman" w:cs="Times New Roman"/>
        </w:rPr>
        <w:fldChar w:fldCharType="begin"/>
      </w:r>
      <w:r w:rsidR="00CB6854" w:rsidRPr="0064560B">
        <w:rPr>
          <w:rFonts w:ascii="Times New Roman" w:hAnsi="Times New Roman" w:cs="Times New Roman"/>
        </w:rPr>
        <w:instrText xml:space="preserve"> ADDIN ZOTERO_ITEM CSL_CITATION {"citationID":"143u7bfo4a","properties":{"formattedCitation":"(Scarf, 1994)","plainCitation":"(Scarf, 1994)"},"citationItems":[{"id":166,"uris":["http://zotero.org/users/local/HK6lW3fP/items/94KJR746"],"uri":["http://zotero.org/users/local/HK6lW3fP/items/94KJR746"],"itemData":{"id":166,"type":"article-journal","title":"The allocation of resources in the presence of indivisibilities","container-title":"The Journal of Economic Perspectives","page":"111–128","source":"Google Scholar","author":[{"family":"Scarf","given":"Herbert E."}],"issued":{"date-parts":[["1994"]]},"accessed":{"date-parts":[["2015",1,20]],"season":"14:57:16"}}}],"schema":"https://github.com/citation-style-language/schema/raw/master/csl-citation.json"} </w:instrText>
      </w:r>
      <w:r w:rsidR="00905114" w:rsidRPr="0064560B">
        <w:rPr>
          <w:rFonts w:ascii="Times New Roman" w:hAnsi="Times New Roman" w:cs="Times New Roman"/>
        </w:rPr>
        <w:fldChar w:fldCharType="separate"/>
      </w:r>
      <w:r w:rsidR="00CB6854" w:rsidRPr="0064560B">
        <w:rPr>
          <w:rFonts w:ascii="Times New Roman" w:hAnsi="Times New Roman" w:cs="Times New Roman"/>
        </w:rPr>
        <w:t>(Scarf, 1994)</w:t>
      </w:r>
      <w:r w:rsidR="00905114" w:rsidRPr="0064560B">
        <w:rPr>
          <w:rFonts w:ascii="Times New Roman" w:hAnsi="Times New Roman" w:cs="Times New Roman"/>
        </w:rPr>
        <w:fldChar w:fldCharType="end"/>
      </w:r>
      <w:r w:rsidRPr="0064560B">
        <w:rPr>
          <w:rFonts w:ascii="Times New Roman" w:hAnsi="Times New Roman" w:cs="Times New Roman"/>
          <w:lang w:eastAsia="es-ES"/>
        </w:rPr>
        <w:t>, where it was shown, using a simple example, that some technologies, in spite of having more expensive average costs, led to lower total costs in the system. The idea behind the example is that, when the size of the smallest plant available in the system is relatively large with respect to the system demand, the duality gap (the cost associated with the minimum-size requirement) could be significant and it is worth to invest in plants that are more expensive, in order to minimize it. The example points out that, if the duality gap is significant in a certain industry, linear prices may be misleading signals. When the number of required plants is low and the demand is inelastic, the size effect represents the savings related to reducing the duality gap. Linear prices cannot capture this effect, as they do not represent the duality gap, and thus give incomplete signals.</w:t>
      </w:r>
    </w:p>
    <w:p w:rsidR="00BE1D18" w:rsidRPr="0064560B" w:rsidRDefault="00BE1D18" w:rsidP="00BE1D18">
      <w:pPr>
        <w:rPr>
          <w:rFonts w:ascii="Times New Roman" w:hAnsi="Times New Roman" w:cs="Times New Roman"/>
          <w:lang w:eastAsia="es-ES"/>
        </w:rPr>
      </w:pPr>
      <w:r w:rsidRPr="0064560B">
        <w:rPr>
          <w:rFonts w:ascii="Times New Roman" w:hAnsi="Times New Roman" w:cs="Times New Roman"/>
          <w:lang w:eastAsia="es-ES"/>
        </w:rPr>
        <w:t>Nonetheless, if the required number of plants is high enough, or equivalently, if the minimum size of the plants is small enough, the duality gap will be low. Moreover, in practice the system demand is subject to great uncertainty, especially with horizons as the ones required to deciding on investments. When the demand uncertainty is higher than the minimum size of the power plants, the economies of scale cannot be certainly defined, and they tend to disappear. Both features, which are associated with developed power systems, allow disregarding such economies of scale. When there are significant economies of scale (as it could be the case in a small power system), it is not clear whether competition is practicable. A small number of plants, together with large economies of scale, would suggest the possibility of a natural monopoly. In that case, the industry will likely benefit from organizing production under a centralized planning, and hence the problem of defining the pricing scheme will be irrelevant.</w:t>
      </w:r>
    </w:p>
    <w:p w:rsidR="00BE1D18" w:rsidRPr="0064560B" w:rsidRDefault="00BE1D18" w:rsidP="00BE1D18">
      <w:pPr>
        <w:rPr>
          <w:rFonts w:ascii="Times New Roman" w:hAnsi="Times New Roman" w:cs="Times New Roman"/>
        </w:rPr>
      </w:pPr>
      <w:r w:rsidRPr="0064560B">
        <w:rPr>
          <w:rFonts w:ascii="Times New Roman" w:hAnsi="Times New Roman" w:cs="Times New Roman"/>
        </w:rPr>
        <w:lastRenderedPageBreak/>
        <w:t xml:space="preserve">The previous problem, however, does not take into account the duality gap. In this regard, any pricing scheme providing signals according to this model will not represent the cost associated with the duality gap. To put it another way, any investment that is profitable to lower the duality gap, but that it is not without considering the integrality of the problem, will not be undertaken. </w:t>
      </w:r>
    </w:p>
    <w:p w:rsidR="00AA7A28" w:rsidRPr="0064560B" w:rsidRDefault="00AA7A28" w:rsidP="00AA7A28">
      <w:pPr>
        <w:pStyle w:val="Heading1"/>
        <w:rPr>
          <w:rFonts w:cs="Times New Roman"/>
        </w:rPr>
      </w:pPr>
      <w:bookmarkStart w:id="38" w:name="_Ref409459705"/>
      <w:r w:rsidRPr="0064560B">
        <w:rPr>
          <w:rFonts w:cs="Times New Roman"/>
        </w:rPr>
        <w:t>Numerical example</w:t>
      </w:r>
      <w:bookmarkEnd w:id="38"/>
    </w:p>
    <w:p w:rsidR="00E45A3C" w:rsidRPr="0064560B" w:rsidRDefault="00E45A3C" w:rsidP="00E45A3C">
      <w:pPr>
        <w:rPr>
          <w:rFonts w:ascii="Times New Roman" w:hAnsi="Times New Roman" w:cs="Times New Roman"/>
          <w:lang w:eastAsia="es-ES"/>
        </w:rPr>
      </w:pPr>
      <w:r w:rsidRPr="0064560B">
        <w:rPr>
          <w:rFonts w:ascii="Times New Roman" w:hAnsi="Times New Roman" w:cs="Times New Roman"/>
          <w:lang w:eastAsia="es-ES"/>
        </w:rPr>
        <w:t>This example is aimed at illustrating the long-term effects of different pricing schemes, using the same reasoning as the previous section. The main idea behind the methodology is to analyze the revenues associated with the investments under two pricing schemes, so that the long-term signals given by each pricing mechanism determines the generation portfolio. To do so, we will use the static planning criteria described above, so that each plant will modify its capacity until operation profits are equal to investment costs. The example considers a time scope of seven hours. In this regard, the fundamental mechanism for producers to balance investment costs and operation profits are rather inflexible in this simplified example with only seven periods. Thus, some input data of the example –e. g. variable costs– are defined to avoid numerical problems.</w:t>
      </w:r>
    </w:p>
    <w:p w:rsidR="00E45A3C" w:rsidRPr="0064560B" w:rsidRDefault="00E45A3C" w:rsidP="00E45A3C">
      <w:pPr>
        <w:rPr>
          <w:rFonts w:ascii="Times New Roman" w:hAnsi="Times New Roman" w:cs="Times New Roman"/>
          <w:lang w:eastAsia="es-ES"/>
        </w:rPr>
      </w:pPr>
      <w:r w:rsidRPr="0064560B">
        <w:rPr>
          <w:rFonts w:ascii="Times New Roman" w:hAnsi="Times New Roman" w:cs="Times New Roman"/>
          <w:lang w:eastAsia="es-ES"/>
        </w:rPr>
        <w:t xml:space="preserve">With regard to the system demand definition, in addition to each hour demand, it is imposed that the total capacity of the system must exceed a certain value, in order to represent the economic impact of peak periods, which have not been explicitly modeled. </w:t>
      </w:r>
    </w:p>
    <w:tbl>
      <w:tblPr>
        <w:tblStyle w:val="TableGrid"/>
        <w:tblW w:w="0" w:type="auto"/>
        <w:jc w:val="center"/>
        <w:tblLook w:val="01E0" w:firstRow="1" w:lastRow="1" w:firstColumn="1" w:lastColumn="1" w:noHBand="0" w:noVBand="0"/>
      </w:tblPr>
      <w:tblGrid>
        <w:gridCol w:w="1729"/>
        <w:gridCol w:w="624"/>
        <w:gridCol w:w="624"/>
        <w:gridCol w:w="624"/>
        <w:gridCol w:w="624"/>
        <w:gridCol w:w="624"/>
        <w:gridCol w:w="624"/>
        <w:gridCol w:w="624"/>
        <w:gridCol w:w="1730"/>
      </w:tblGrid>
      <w:tr w:rsidR="00E45A3C" w:rsidRPr="0064560B" w:rsidTr="003524FF">
        <w:trPr>
          <w:jc w:val="center"/>
        </w:trPr>
        <w:tc>
          <w:tcPr>
            <w:tcW w:w="1729"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h1</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h2</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h3</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h4</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h5</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h6</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h7</w:t>
            </w:r>
          </w:p>
        </w:tc>
        <w:tc>
          <w:tcPr>
            <w:tcW w:w="1730"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Total capacity</w:t>
            </w:r>
          </w:p>
        </w:tc>
      </w:tr>
      <w:tr w:rsidR="00E45A3C" w:rsidRPr="0064560B" w:rsidTr="003524FF">
        <w:trPr>
          <w:jc w:val="center"/>
        </w:trPr>
        <w:tc>
          <w:tcPr>
            <w:tcW w:w="1729"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Demand (MW)</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300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400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515</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850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600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220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120</w:t>
            </w:r>
          </w:p>
        </w:tc>
        <w:tc>
          <w:tcPr>
            <w:tcW w:w="1730"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1000</w:t>
            </w:r>
          </w:p>
        </w:tc>
      </w:tr>
    </w:tbl>
    <w:p w:rsidR="00E45A3C" w:rsidRPr="0064560B" w:rsidRDefault="00E45A3C" w:rsidP="00E45A3C">
      <w:pPr>
        <w:pStyle w:val="Caption"/>
        <w:rPr>
          <w:rFonts w:ascii="Times New Roman" w:hAnsi="Times New Roman"/>
          <w:lang w:eastAsia="es-ES"/>
        </w:rPr>
      </w:pPr>
      <w:r w:rsidRPr="0064560B">
        <w:rPr>
          <w:rFonts w:ascii="Times New Roman" w:hAnsi="Times New Roman"/>
          <w:lang w:eastAsia="es-ES"/>
        </w:rPr>
        <w:t xml:space="preserve"> </w:t>
      </w:r>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2</w:t>
      </w:r>
      <w:r w:rsidR="00905114" w:rsidRPr="0064560B">
        <w:rPr>
          <w:rFonts w:ascii="Times New Roman" w:hAnsi="Times New Roman"/>
        </w:rPr>
        <w:fldChar w:fldCharType="end"/>
      </w:r>
      <w:r w:rsidRPr="0064560B">
        <w:rPr>
          <w:rFonts w:ascii="Times New Roman" w:hAnsi="Times New Roman"/>
        </w:rPr>
        <w:t>. Demand data.</w:t>
      </w:r>
    </w:p>
    <w:tbl>
      <w:tblPr>
        <w:tblStyle w:val="TableGrid"/>
        <w:tblW w:w="0" w:type="auto"/>
        <w:jc w:val="center"/>
        <w:tblLook w:val="01E0" w:firstRow="1" w:lastRow="1" w:firstColumn="1" w:lastColumn="1" w:noHBand="0" w:noVBand="0"/>
      </w:tblPr>
      <w:tblGrid>
        <w:gridCol w:w="535"/>
        <w:gridCol w:w="1276"/>
        <w:gridCol w:w="1276"/>
        <w:gridCol w:w="1276"/>
        <w:gridCol w:w="1276"/>
        <w:gridCol w:w="1276"/>
      </w:tblGrid>
      <w:tr w:rsidR="00E45A3C" w:rsidRPr="0064560B" w:rsidTr="003524FF">
        <w:trPr>
          <w:jc w:val="center"/>
        </w:trPr>
        <w:tc>
          <w:tcPr>
            <w:tcW w:w="535"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Variable cost (€/MWh)</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Online cost (€/h)</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Start-up cost (€)</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Investment cost (€/MWh)</w:t>
            </w:r>
          </w:p>
        </w:tc>
        <w:tc>
          <w:tcPr>
            <w:tcW w:w="1276"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Capacity (MW)</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g1</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33.33</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42.5</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3.5083</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100</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g2</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16.67</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50</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1.7667</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100</w:t>
            </w:r>
          </w:p>
        </w:tc>
      </w:tr>
      <w:tr w:rsidR="00E45A3C" w:rsidRPr="0064560B" w:rsidTr="003524FF">
        <w:trPr>
          <w:jc w:val="center"/>
        </w:trPr>
        <w:tc>
          <w:tcPr>
            <w:tcW w:w="535"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3.73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12</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89.33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1276"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100</w:t>
            </w:r>
          </w:p>
        </w:tc>
      </w:tr>
    </w:tbl>
    <w:p w:rsidR="00E45A3C" w:rsidRPr="0064560B" w:rsidRDefault="00E45A3C" w:rsidP="00E45A3C">
      <w:pPr>
        <w:pStyle w:val="Caption"/>
        <w:rPr>
          <w:rFonts w:ascii="Times New Roman" w:hAnsi="Times New Roman"/>
        </w:rPr>
      </w:pPr>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3</w:t>
      </w:r>
      <w:r w:rsidR="00905114" w:rsidRPr="0064560B">
        <w:rPr>
          <w:rFonts w:ascii="Times New Roman" w:hAnsi="Times New Roman"/>
        </w:rPr>
        <w:fldChar w:fldCharType="end"/>
      </w:r>
      <w:r w:rsidRPr="0064560B">
        <w:rPr>
          <w:rFonts w:ascii="Times New Roman" w:hAnsi="Times New Roman"/>
        </w:rPr>
        <w:t>. Generation data.</w:t>
      </w:r>
    </w:p>
    <w:p w:rsidR="00E45A3C" w:rsidRPr="0064560B" w:rsidRDefault="00E45A3C" w:rsidP="00E45A3C">
      <w:pPr>
        <w:pStyle w:val="Heading2"/>
        <w:tabs>
          <w:tab w:val="num" w:pos="567"/>
        </w:tabs>
        <w:spacing w:before="0" w:after="240" w:line="276" w:lineRule="auto"/>
        <w:ind w:left="567" w:hanging="567"/>
        <w:jc w:val="both"/>
        <w:rPr>
          <w:rFonts w:ascii="Times New Roman" w:hAnsi="Times New Roman" w:cs="Times New Roman"/>
        </w:rPr>
      </w:pPr>
      <w:r w:rsidRPr="0064560B">
        <w:rPr>
          <w:rFonts w:ascii="Times New Roman" w:hAnsi="Times New Roman" w:cs="Times New Roman"/>
        </w:rPr>
        <w:t>Prices obtained from the linear relaxation</w:t>
      </w:r>
    </w:p>
    <w:p w:rsidR="00E45A3C" w:rsidRPr="0064560B" w:rsidRDefault="00E45A3C" w:rsidP="00E45A3C">
      <w:pPr>
        <w:rPr>
          <w:rFonts w:ascii="Times New Roman" w:hAnsi="Times New Roman" w:cs="Times New Roman"/>
        </w:rPr>
      </w:pPr>
      <w:r w:rsidRPr="0064560B">
        <w:rPr>
          <w:rFonts w:ascii="Times New Roman" w:hAnsi="Times New Roman" w:cs="Times New Roman"/>
        </w:rPr>
        <w:t>Firstly, we will analyze the results corresponding to defining the spot price equal to the linear relaxation</w:t>
      </w:r>
      <w:r w:rsidR="0052515C" w:rsidRPr="0064560B">
        <w:rPr>
          <w:rFonts w:ascii="Times New Roman" w:hAnsi="Times New Roman" w:cs="Times New Roman"/>
        </w:rPr>
        <w:t xml:space="preserve"> (note that this pricing rule is related to some examples in the US</w:t>
      </w:r>
      <w:r w:rsidR="0052515C" w:rsidRPr="0064560B">
        <w:rPr>
          <w:rStyle w:val="FootnoteReference"/>
          <w:rFonts w:ascii="Times New Roman" w:hAnsi="Times New Roman" w:cs="Times New Roman"/>
        </w:rPr>
        <w:footnoteReference w:id="5"/>
      </w:r>
      <w:r w:rsidR="0052515C" w:rsidRPr="0064560B">
        <w:rPr>
          <w:rFonts w:ascii="Times New Roman" w:hAnsi="Times New Roman" w:cs="Times New Roman"/>
        </w:rPr>
        <w:t>)</w:t>
      </w:r>
      <w:r w:rsidRPr="0064560B">
        <w:rPr>
          <w:rFonts w:ascii="Times New Roman" w:hAnsi="Times New Roman" w:cs="Times New Roman"/>
        </w:rPr>
        <w:t xml:space="preserve">, as proposed in section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_Ref271211154 \r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Pr="0064560B">
        <w:rPr>
          <w:rFonts w:ascii="Times New Roman" w:hAnsi="Times New Roman" w:cs="Times New Roman"/>
        </w:rPr>
        <w:t>3.2</w:t>
      </w:r>
      <w:r w:rsidR="00905114" w:rsidRPr="0064560B">
        <w:rPr>
          <w:rFonts w:ascii="Times New Roman" w:hAnsi="Times New Roman" w:cs="Times New Roman"/>
        </w:rPr>
        <w:fldChar w:fldCharType="end"/>
      </w:r>
      <w:r w:rsidRPr="0064560B">
        <w:rPr>
          <w:rFonts w:ascii="Times New Roman" w:hAnsi="Times New Roman" w:cs="Times New Roman"/>
        </w:rPr>
        <w:t xml:space="preserve">. These results are represented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_Ref271211813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Pr="0064560B">
        <w:rPr>
          <w:rFonts w:ascii="Times New Roman" w:hAnsi="Times New Roman" w:cs="Times New Roman"/>
        </w:rPr>
        <w:t xml:space="preserve">Table </w:t>
      </w:r>
      <w:r w:rsidRPr="0064560B">
        <w:rPr>
          <w:rFonts w:ascii="Times New Roman" w:hAnsi="Times New Roman" w:cs="Times New Roman"/>
          <w:noProof/>
        </w:rPr>
        <w:t>4</w:t>
      </w:r>
      <w:r w:rsidR="00905114" w:rsidRPr="0064560B">
        <w:rPr>
          <w:rFonts w:ascii="Times New Roman" w:hAnsi="Times New Roman" w:cs="Times New Roman"/>
        </w:rPr>
        <w:fldChar w:fldCharType="end"/>
      </w:r>
      <w:r w:rsidRPr="0064560B">
        <w:rPr>
          <w:rFonts w:ascii="Times New Roman" w:hAnsi="Times New Roman" w:cs="Times New Roman"/>
        </w:rPr>
        <w:t xml:space="preserve"> and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_Ref271211816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Pr="0064560B">
        <w:rPr>
          <w:rFonts w:ascii="Times New Roman" w:hAnsi="Times New Roman" w:cs="Times New Roman"/>
        </w:rPr>
        <w:t xml:space="preserve">Table </w:t>
      </w:r>
      <w:r w:rsidRPr="0064560B">
        <w:rPr>
          <w:rFonts w:ascii="Times New Roman" w:hAnsi="Times New Roman" w:cs="Times New Roman"/>
          <w:noProof/>
        </w:rPr>
        <w:t>5</w:t>
      </w:r>
      <w:r w:rsidR="00905114" w:rsidRPr="0064560B">
        <w:rPr>
          <w:rFonts w:ascii="Times New Roman" w:hAnsi="Times New Roman" w:cs="Times New Roman"/>
        </w:rPr>
        <w:fldChar w:fldCharType="end"/>
      </w:r>
      <w:r w:rsidRPr="0064560B">
        <w:rPr>
          <w:rFonts w:ascii="Times New Roman" w:hAnsi="Times New Roman" w:cs="Times New Roman"/>
        </w:rPr>
        <w:t>.</w:t>
      </w:r>
    </w:p>
    <w:tbl>
      <w:tblPr>
        <w:tblStyle w:val="TableGrid"/>
        <w:tblW w:w="0" w:type="auto"/>
        <w:jc w:val="center"/>
        <w:tblLook w:val="01E0" w:firstRow="1" w:lastRow="1" w:firstColumn="1" w:lastColumn="1" w:noHBand="0" w:noVBand="0"/>
      </w:tblPr>
      <w:tblGrid>
        <w:gridCol w:w="535"/>
        <w:gridCol w:w="1276"/>
        <w:gridCol w:w="1276"/>
        <w:gridCol w:w="1276"/>
        <w:gridCol w:w="1276"/>
        <w:gridCol w:w="1276"/>
      </w:tblGrid>
      <w:tr w:rsidR="00E45A3C" w:rsidRPr="0064560B" w:rsidTr="003524FF">
        <w:trPr>
          <w:jc w:val="center"/>
        </w:trPr>
        <w:tc>
          <w:tcPr>
            <w:tcW w:w="535"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Capacity</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Operation cost</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Investment cost</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Income</w:t>
            </w:r>
          </w:p>
        </w:tc>
        <w:tc>
          <w:tcPr>
            <w:tcW w:w="1276"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Net profits</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g1</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4665</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877</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5542</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g2</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330</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3815</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583</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4398</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r w:rsidR="00E45A3C" w:rsidRPr="0064560B" w:rsidTr="003524FF">
        <w:trPr>
          <w:jc w:val="center"/>
        </w:trPr>
        <w:tc>
          <w:tcPr>
            <w:tcW w:w="535"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420</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1559</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1559</w:t>
            </w:r>
          </w:p>
        </w:tc>
        <w:tc>
          <w:tcPr>
            <w:tcW w:w="1276"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bl>
    <w:p w:rsidR="00E45A3C" w:rsidRPr="0064560B" w:rsidRDefault="00E45A3C" w:rsidP="00E45A3C">
      <w:pPr>
        <w:pStyle w:val="Caption"/>
        <w:rPr>
          <w:rFonts w:ascii="Times New Roman" w:hAnsi="Times New Roman"/>
        </w:rPr>
      </w:pPr>
      <w:bookmarkStart w:id="39" w:name="_Ref271211813"/>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4</w:t>
      </w:r>
      <w:r w:rsidR="00905114" w:rsidRPr="0064560B">
        <w:rPr>
          <w:rFonts w:ascii="Times New Roman" w:hAnsi="Times New Roman"/>
        </w:rPr>
        <w:fldChar w:fldCharType="end"/>
      </w:r>
      <w:bookmarkEnd w:id="39"/>
      <w:r w:rsidRPr="0064560B">
        <w:rPr>
          <w:rFonts w:ascii="Times New Roman" w:hAnsi="Times New Roman"/>
        </w:rPr>
        <w:t>. Generation portfolio adapted to the pricing scheme proposed in this paper</w:t>
      </w:r>
    </w:p>
    <w:tbl>
      <w:tblPr>
        <w:tblStyle w:val="TableGrid"/>
        <w:tblW w:w="0" w:type="auto"/>
        <w:jc w:val="center"/>
        <w:tblLook w:val="01E0" w:firstRow="1" w:lastRow="1" w:firstColumn="1" w:lastColumn="1" w:noHBand="0" w:noVBand="0"/>
      </w:tblPr>
      <w:tblGrid>
        <w:gridCol w:w="1729"/>
        <w:gridCol w:w="624"/>
        <w:gridCol w:w="624"/>
        <w:gridCol w:w="624"/>
        <w:gridCol w:w="624"/>
        <w:gridCol w:w="624"/>
        <w:gridCol w:w="624"/>
        <w:gridCol w:w="624"/>
        <w:gridCol w:w="656"/>
      </w:tblGrid>
      <w:tr w:rsidR="00E45A3C" w:rsidRPr="0064560B" w:rsidTr="003524FF">
        <w:trPr>
          <w:jc w:val="center"/>
        </w:trPr>
        <w:tc>
          <w:tcPr>
            <w:tcW w:w="1729" w:type="dxa"/>
            <w:tcBorders>
              <w:top w:val="single" w:sz="12"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h1</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h2</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h4</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h5</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h6</w:t>
            </w:r>
          </w:p>
        </w:tc>
        <w:tc>
          <w:tcPr>
            <w:tcW w:w="624" w:type="dxa"/>
            <w:tcBorders>
              <w:top w:val="single" w:sz="12"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h7</w:t>
            </w:r>
          </w:p>
        </w:tc>
        <w:tc>
          <w:tcPr>
            <w:tcW w:w="656"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SP</w:t>
            </w:r>
          </w:p>
        </w:tc>
      </w:tr>
      <w:tr w:rsidR="00E45A3C" w:rsidRPr="0064560B" w:rsidTr="003524FF">
        <w:trPr>
          <w:jc w:val="center"/>
        </w:trPr>
        <w:tc>
          <w:tcPr>
            <w:tcW w:w="1729"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g1</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220</w:t>
            </w:r>
          </w:p>
        </w:tc>
        <w:tc>
          <w:tcPr>
            <w:tcW w:w="624"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120</w:t>
            </w:r>
          </w:p>
        </w:tc>
        <w:tc>
          <w:tcPr>
            <w:tcW w:w="656" w:type="dxa"/>
            <w:tcBorders>
              <w:top w:val="single" w:sz="12" w:space="0" w:color="auto"/>
              <w:left w:val="single" w:sz="12"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53</w:t>
            </w:r>
          </w:p>
        </w:tc>
      </w:tr>
      <w:tr w:rsidR="00E45A3C" w:rsidRPr="0064560B" w:rsidTr="003524FF">
        <w:trPr>
          <w:jc w:val="center"/>
        </w:trPr>
        <w:tc>
          <w:tcPr>
            <w:tcW w:w="1729"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lastRenderedPageBreak/>
              <w:t>g2</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50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150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265</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330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330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56" w:type="dxa"/>
            <w:tcBorders>
              <w:top w:val="single" w:sz="4" w:space="0" w:color="auto"/>
              <w:left w:val="single" w:sz="12"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88</w:t>
            </w:r>
          </w:p>
        </w:tc>
      </w:tr>
      <w:tr w:rsidR="00E45A3C" w:rsidRPr="0064560B" w:rsidTr="003524FF">
        <w:trPr>
          <w:jc w:val="center"/>
        </w:trPr>
        <w:tc>
          <w:tcPr>
            <w:tcW w:w="1729"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g3</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270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56" w:type="dxa"/>
            <w:tcBorders>
              <w:top w:val="single" w:sz="4"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r>
      <w:tr w:rsidR="00E45A3C" w:rsidRPr="0064560B" w:rsidTr="003524FF">
        <w:trPr>
          <w:jc w:val="center"/>
        </w:trPr>
        <w:tc>
          <w:tcPr>
            <w:tcW w:w="1729" w:type="dxa"/>
            <w:tcBorders>
              <w:top w:val="single" w:sz="12"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Price</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3.2</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3.2</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3.2</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4.75</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3.85</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2.83</w:t>
            </w:r>
          </w:p>
        </w:tc>
        <w:tc>
          <w:tcPr>
            <w:tcW w:w="624" w:type="dxa"/>
            <w:tcBorders>
              <w:top w:val="single" w:sz="12"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2.83</w:t>
            </w:r>
          </w:p>
        </w:tc>
        <w:tc>
          <w:tcPr>
            <w:tcW w:w="656"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r>
      <w:tr w:rsidR="00E45A3C" w:rsidRPr="0064560B" w:rsidTr="003524FF">
        <w:trPr>
          <w:jc w:val="center"/>
        </w:trPr>
        <w:tc>
          <w:tcPr>
            <w:tcW w:w="6753" w:type="dxa"/>
            <w:gridSpan w:val="9"/>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Total generation cost: 10038 €</w:t>
            </w:r>
          </w:p>
        </w:tc>
      </w:tr>
    </w:tbl>
    <w:p w:rsidR="00E45A3C" w:rsidRPr="0064560B" w:rsidRDefault="00E45A3C" w:rsidP="00E45A3C">
      <w:pPr>
        <w:pStyle w:val="Caption"/>
        <w:rPr>
          <w:rFonts w:ascii="Times New Roman" w:hAnsi="Times New Roman"/>
        </w:rPr>
      </w:pPr>
      <w:bookmarkStart w:id="40" w:name="_Ref271211816"/>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5</w:t>
      </w:r>
      <w:r w:rsidR="00905114" w:rsidRPr="0064560B">
        <w:rPr>
          <w:rFonts w:ascii="Times New Roman" w:hAnsi="Times New Roman"/>
        </w:rPr>
        <w:fldChar w:fldCharType="end"/>
      </w:r>
      <w:bookmarkEnd w:id="40"/>
      <w:r w:rsidRPr="0064560B">
        <w:rPr>
          <w:rFonts w:ascii="Times New Roman" w:hAnsi="Times New Roman"/>
        </w:rPr>
        <w:t>. Production and prices corresponding to the pricing scheme in this paper.</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Under this pricing scheme, spot prices in all periods include the impact of online costs. For instance, the price set by g2 in h1, h2 and h3 is not only its variable cost, but also its online cost divided by its capacity. </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On the other hand, with regard to the part of revenues that is not associated to spot prices, g1 receives a side payment equal to part of its online costs associated with production in h6 and h7, which is proportional to the capacity that is online but not producing in these hours. Thus, the unit earns a side payment equal to 0.33x(250-220) in h6, and 0.33x(250-220) in h7. Analogously, g2 earns a compensation for part of its online costs equal to 0.17x(330-50) in h1, to 0.17x(330-150) in h2 and to 0.17x(330-265) in h3. Finally, g3 earns a side payment compensating for not only its online costs, but also for its start-up costs. Thus, g3 earns 0.12x(420-20) corresponding to online costs in h5, and 0.12x(420-270) plus 0.89x(420-270) in h4, the first term representing online costs and the second start-up costs. </w:t>
      </w:r>
    </w:p>
    <w:p w:rsidR="00E45A3C" w:rsidRPr="0064560B" w:rsidRDefault="00E45A3C" w:rsidP="00E45A3C">
      <w:pPr>
        <w:pStyle w:val="Heading2"/>
        <w:tabs>
          <w:tab w:val="num" w:pos="567"/>
        </w:tabs>
        <w:spacing w:before="0" w:after="240" w:line="276" w:lineRule="auto"/>
        <w:ind w:left="567" w:hanging="567"/>
        <w:jc w:val="both"/>
        <w:rPr>
          <w:rFonts w:ascii="Times New Roman" w:hAnsi="Times New Roman" w:cs="Times New Roman"/>
        </w:rPr>
      </w:pPr>
      <w:r w:rsidRPr="0064560B">
        <w:rPr>
          <w:rFonts w:ascii="Times New Roman" w:hAnsi="Times New Roman" w:cs="Times New Roman"/>
        </w:rPr>
        <w:t>Prices equal to variable cost of marginal plant</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Firstly, we analyze the generation portfolio resulting from the pricing scheme proposed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ADDIN EN.CITE &lt;EndNote&gt;&lt;Cite&gt;&lt;Author&gt;O&amp;apos;Neill&lt;/Author&gt;&lt;Year&gt;2003&lt;/Year&gt;&lt;RecNum&gt;503&lt;/RecNum&gt;&lt;DisplayText&gt;(O&amp;apos;Neill et al., 2003)&lt;/DisplayText&gt;&lt;record&gt;&lt;rec-number&gt;503&lt;/rec-number&gt;&lt;foreign-keys&gt;&lt;key app="EN" db-id="fprx5rrpxwvt0ke0sxo5wfzb2rwawp0vp0xp"&gt;503&lt;/key&gt;&lt;/foreign-keys&gt;&lt;ref-type name="Journal Article"&gt;17&lt;/ref-type&gt;&lt;contributors&gt;&lt;authors&gt;&lt;author&gt;Richard P. O&amp;apos;Neill&lt;/author&gt;&lt;author&gt;Paul M. Sotkiewicz&lt;/author&gt;&lt;author&gt;Benjamin F. Hobbs&lt;/author&gt;&lt;author&gt;Michael H. Rothkopf&lt;/author&gt;&lt;author&gt;William R. Stewart&lt;/author&gt;&lt;/authors&gt;&lt;/contributors&gt;&lt;titles&gt;&lt;title&gt;Efficient market-clearing prices in markets with nonconvexities&lt;/title&gt;&lt;secondary-title&gt;European Journal of Operational Research&lt;/secondary-title&gt;&lt;/titles&gt;&lt;periodical&gt;&lt;full-title&gt;European Journal Of Operational Research&lt;/full-title&gt;&lt;/periodical&gt;&lt;pages&gt;269-285&lt;/pages&gt;&lt;volume&gt;164&lt;/volume&gt;&lt;number&gt;1&lt;/number&gt;&lt;dates&gt;&lt;year&gt;2003&lt;/year&gt;&lt;/dates&gt;&lt;urls&gt;&lt;/urls&gt;&lt;/record&gt;&lt;/Cite&gt;&lt;/EndNote&gt;</w:instrText>
      </w:r>
      <w:r w:rsidR="00905114" w:rsidRPr="0064560B">
        <w:rPr>
          <w:rFonts w:ascii="Times New Roman" w:hAnsi="Times New Roman" w:cs="Times New Roman"/>
        </w:rPr>
        <w:fldChar w:fldCharType="separate"/>
      </w:r>
      <w:r w:rsidRPr="0064560B">
        <w:rPr>
          <w:rFonts w:ascii="Times New Roman" w:hAnsi="Times New Roman" w:cs="Times New Roman"/>
          <w:noProof/>
        </w:rPr>
        <w:t>(</w:t>
      </w:r>
      <w:hyperlink w:anchor="_ENREF_8" w:tooltip="O'Neill, 2003 #503" w:history="1">
        <w:r w:rsidRPr="0064560B">
          <w:rPr>
            <w:rFonts w:ascii="Times New Roman" w:hAnsi="Times New Roman" w:cs="Times New Roman"/>
            <w:noProof/>
          </w:rPr>
          <w:t>O'Neill et al., 2003</w:t>
        </w:r>
      </w:hyperlink>
      <w:r w:rsidRPr="0064560B">
        <w:rPr>
          <w:rFonts w:ascii="Times New Roman" w:hAnsi="Times New Roman" w:cs="Times New Roman"/>
          <w:noProof/>
        </w:rPr>
        <w:t>)</w:t>
      </w:r>
      <w:r w:rsidR="00905114" w:rsidRPr="0064560B">
        <w:rPr>
          <w:rFonts w:ascii="Times New Roman" w:hAnsi="Times New Roman" w:cs="Times New Roman"/>
        </w:rPr>
        <w:fldChar w:fldCharType="end"/>
      </w:r>
      <w:r w:rsidRPr="0064560B">
        <w:rPr>
          <w:rFonts w:ascii="Times New Roman" w:hAnsi="Times New Roman" w:cs="Times New Roman"/>
        </w:rPr>
        <w:t xml:space="preserve">, where spot price is the variable cost of the marginal unit in each period. The mechanism also defines side payments to the power plants that do not cover their operation costs. The corresponding results are represented in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_Ref271212698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Pr="0064560B">
        <w:rPr>
          <w:rFonts w:ascii="Times New Roman" w:hAnsi="Times New Roman" w:cs="Times New Roman"/>
        </w:rPr>
        <w:t xml:space="preserve">Table </w:t>
      </w:r>
      <w:r w:rsidRPr="0064560B">
        <w:rPr>
          <w:rFonts w:ascii="Times New Roman" w:hAnsi="Times New Roman" w:cs="Times New Roman"/>
          <w:noProof/>
        </w:rPr>
        <w:t>6</w:t>
      </w:r>
      <w:r w:rsidR="00905114" w:rsidRPr="0064560B">
        <w:rPr>
          <w:rFonts w:ascii="Times New Roman" w:hAnsi="Times New Roman" w:cs="Times New Roman"/>
        </w:rPr>
        <w:fldChar w:fldCharType="end"/>
      </w:r>
      <w:r w:rsidRPr="0064560B">
        <w:rPr>
          <w:rFonts w:ascii="Times New Roman" w:hAnsi="Times New Roman" w:cs="Times New Roman"/>
        </w:rPr>
        <w:t xml:space="preserve"> and </w:t>
      </w:r>
      <w:r w:rsidR="00905114" w:rsidRPr="0064560B">
        <w:rPr>
          <w:rFonts w:ascii="Times New Roman" w:hAnsi="Times New Roman" w:cs="Times New Roman"/>
        </w:rPr>
        <w:fldChar w:fldCharType="begin"/>
      </w:r>
      <w:r w:rsidRPr="0064560B">
        <w:rPr>
          <w:rFonts w:ascii="Times New Roman" w:hAnsi="Times New Roman" w:cs="Times New Roman"/>
        </w:rPr>
        <w:instrText xml:space="preserve"> REF _Ref271212700 \h </w:instrText>
      </w:r>
      <w:r w:rsidR="0064560B">
        <w:rPr>
          <w:rFonts w:ascii="Times New Roman" w:hAnsi="Times New Roman" w:cs="Times New Roman"/>
        </w:rPr>
        <w:instrText xml:space="preserve"> \* MERGEFORMAT </w:instrText>
      </w:r>
      <w:r w:rsidR="00905114" w:rsidRPr="0064560B">
        <w:rPr>
          <w:rFonts w:ascii="Times New Roman" w:hAnsi="Times New Roman" w:cs="Times New Roman"/>
        </w:rPr>
      </w:r>
      <w:r w:rsidR="00905114" w:rsidRPr="0064560B">
        <w:rPr>
          <w:rFonts w:ascii="Times New Roman" w:hAnsi="Times New Roman" w:cs="Times New Roman"/>
        </w:rPr>
        <w:fldChar w:fldCharType="separate"/>
      </w:r>
      <w:r w:rsidR="002E7DDB" w:rsidRPr="0064560B">
        <w:rPr>
          <w:rFonts w:ascii="Times New Roman" w:hAnsi="Times New Roman" w:cs="Times New Roman"/>
        </w:rPr>
        <w:t xml:space="preserve">Table </w:t>
      </w:r>
      <w:r w:rsidR="002E7DDB" w:rsidRPr="0064560B">
        <w:rPr>
          <w:rFonts w:ascii="Times New Roman" w:hAnsi="Times New Roman" w:cs="Times New Roman"/>
          <w:noProof/>
        </w:rPr>
        <w:t>7</w:t>
      </w:r>
      <w:r w:rsidR="00905114" w:rsidRPr="0064560B">
        <w:rPr>
          <w:rFonts w:ascii="Times New Roman" w:hAnsi="Times New Roman" w:cs="Times New Roman"/>
        </w:rPr>
        <w:fldChar w:fldCharType="end"/>
      </w:r>
      <w:r w:rsidRPr="0064560B">
        <w:rPr>
          <w:rFonts w:ascii="Times New Roman" w:hAnsi="Times New Roman" w:cs="Times New Roman"/>
        </w:rPr>
        <w:t>.</w:t>
      </w:r>
    </w:p>
    <w:tbl>
      <w:tblPr>
        <w:tblStyle w:val="TableGrid"/>
        <w:tblW w:w="0" w:type="auto"/>
        <w:jc w:val="center"/>
        <w:tblLook w:val="01E0" w:firstRow="1" w:lastRow="1" w:firstColumn="1" w:lastColumn="1" w:noHBand="0" w:noVBand="0"/>
      </w:tblPr>
      <w:tblGrid>
        <w:gridCol w:w="535"/>
        <w:gridCol w:w="1276"/>
        <w:gridCol w:w="1276"/>
        <w:gridCol w:w="1276"/>
        <w:gridCol w:w="1276"/>
        <w:gridCol w:w="1276"/>
      </w:tblGrid>
      <w:tr w:rsidR="00E45A3C" w:rsidRPr="0064560B" w:rsidTr="003524FF">
        <w:trPr>
          <w:jc w:val="center"/>
        </w:trPr>
        <w:tc>
          <w:tcPr>
            <w:tcW w:w="535"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Capacity</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Operation cost</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Investment cost</w:t>
            </w:r>
          </w:p>
        </w:tc>
        <w:tc>
          <w:tcPr>
            <w:tcW w:w="1276"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Income</w:t>
            </w:r>
          </w:p>
        </w:tc>
        <w:tc>
          <w:tcPr>
            <w:tcW w:w="1276"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Net profits</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g1</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3852</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702</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4553</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r w:rsidR="00E45A3C" w:rsidRPr="0064560B" w:rsidTr="003524FF">
        <w:trPr>
          <w:jc w:val="center"/>
        </w:trPr>
        <w:tc>
          <w:tcPr>
            <w:tcW w:w="535"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g2</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190</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2925</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336</w:t>
            </w:r>
          </w:p>
        </w:tc>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3261</w:t>
            </w:r>
          </w:p>
        </w:tc>
        <w:tc>
          <w:tcPr>
            <w:tcW w:w="1276"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r w:rsidR="00E45A3C" w:rsidRPr="0064560B" w:rsidTr="003524FF">
        <w:trPr>
          <w:jc w:val="center"/>
        </w:trPr>
        <w:tc>
          <w:tcPr>
            <w:tcW w:w="535"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610</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3843</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1276"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3843</w:t>
            </w:r>
          </w:p>
        </w:tc>
        <w:tc>
          <w:tcPr>
            <w:tcW w:w="1276"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r>
    </w:tbl>
    <w:p w:rsidR="00E45A3C" w:rsidRPr="0064560B" w:rsidRDefault="00E45A3C" w:rsidP="00E45A3C">
      <w:pPr>
        <w:pStyle w:val="Caption"/>
        <w:rPr>
          <w:rFonts w:ascii="Times New Roman" w:hAnsi="Times New Roman"/>
        </w:rPr>
      </w:pPr>
      <w:bookmarkStart w:id="41" w:name="_Ref271212698"/>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6</w:t>
      </w:r>
      <w:r w:rsidR="00905114" w:rsidRPr="0064560B">
        <w:rPr>
          <w:rFonts w:ascii="Times New Roman" w:hAnsi="Times New Roman"/>
        </w:rPr>
        <w:fldChar w:fldCharType="end"/>
      </w:r>
      <w:bookmarkEnd w:id="41"/>
      <w:r w:rsidRPr="0064560B">
        <w:rPr>
          <w:rFonts w:ascii="Times New Roman" w:hAnsi="Times New Roman"/>
        </w:rPr>
        <w:t>. Generation portfolio adapted to the pricing scheme proposed in</w:t>
      </w:r>
      <w:r w:rsidR="002E7DDB" w:rsidRPr="0064560B">
        <w:rPr>
          <w:rFonts w:ascii="Times New Roman" w:hAnsi="Times New Roman"/>
        </w:rPr>
        <w:t xml:space="preserve"> </w:t>
      </w:r>
      <w:r w:rsidR="00905114" w:rsidRPr="0064560B">
        <w:rPr>
          <w:rFonts w:ascii="Times New Roman" w:hAnsi="Times New Roman"/>
        </w:rPr>
        <w:fldChar w:fldCharType="begin"/>
      </w:r>
      <w:r w:rsidR="002E7DDB" w:rsidRPr="0064560B">
        <w:rPr>
          <w:rFonts w:ascii="Times New Roman" w:hAnsi="Times New Roman"/>
        </w:rPr>
        <w:instrText xml:space="preserve"> ADDIN ZOTERO_ITEM CSL_CITATION {"citationID":"afakkl6m8","properties":{"formattedCitation":"{\\rtf (O\\uc0\\u8217{}Neill et al., 2005)}","plainCitation":"(O’Neill et al., 2005)"},"citationItems":[{"id":136,"uris":["http://zotero.org/users/local/HK6lW3fP/items/TWEMBK3J"],"uri":["http://zotero.org/users/local/HK6lW3fP/items/TWEMBK3J"],"itemData":{"id":136,"type":"article-journal","title":"Efficient market-clearing prices in markets with nonconvexities","container-title":"European Journal of Operational Research","page":"269-285","volume":"164","issue":"1","source":"ScienceDirect","abstract":"This paper addresses the existence of market clearing prices and the economic interpretation of strong duality for integer programs in the economic analysis of markets with nonconvexities (indivisibilities). Electric power markets in which nonconvexities arise from the operating characteristics of generators motivate our analysis; however, the results presented here are general and can be applied to other markets in which nonconvexities are important. We show that the optimal solution to a linear program that solves the mixed integer program has dual variables that: (1) have the traditional economic interpretation as prices; (2) explicitly price integral activities; and (3) clear the market in the presence of nonconvexities. We then show how this methodology can be used to interpret the solutions to nonconvex problems such as the problem discussed by Scarf [Journal of Economic Perspectives 8(4) (1994) 111].","ISSN":"0377-2217","journalAbbreviation":"European Journal of Operational Research","author":[{"family":"O'Neill","given":"Richard P."},{"family":"Sotkiewicz","given":"Paul M."},{"family":"Hobbs","given":"Benjamin F."},{"family":"Rothkopf","given":"Michael H."},{"family":"Stewart Jr.","given":"William R."}],"issued":{"date-parts":[["2005",7,1]]},"accessed":{"date-parts":[["2015",1,19]],"season":"21:55:35"}}}],"schema":"https://github.com/citation-style-language/schema/raw/master/csl-citation.json"} </w:instrText>
      </w:r>
      <w:r w:rsidR="00905114" w:rsidRPr="0064560B">
        <w:rPr>
          <w:rFonts w:ascii="Times New Roman" w:hAnsi="Times New Roman"/>
        </w:rPr>
        <w:fldChar w:fldCharType="separate"/>
      </w:r>
      <w:r w:rsidR="002E7DDB" w:rsidRPr="0064560B">
        <w:rPr>
          <w:rFonts w:ascii="Times New Roman" w:hAnsi="Times New Roman"/>
          <w:szCs w:val="24"/>
        </w:rPr>
        <w:t>(O’Neill et al., 2005)</w:t>
      </w:r>
      <w:r w:rsidR="00905114" w:rsidRPr="0064560B">
        <w:rPr>
          <w:rFonts w:ascii="Times New Roman" w:hAnsi="Times New Roman"/>
        </w:rPr>
        <w:fldChar w:fldCharType="end"/>
      </w:r>
      <w:r w:rsidRPr="0064560B">
        <w:rPr>
          <w:rFonts w:ascii="Times New Roman" w:hAnsi="Times New Roman"/>
        </w:rPr>
        <w:t>.</w:t>
      </w:r>
    </w:p>
    <w:tbl>
      <w:tblPr>
        <w:tblStyle w:val="TableGrid"/>
        <w:tblW w:w="0" w:type="auto"/>
        <w:jc w:val="center"/>
        <w:tblLook w:val="01E0" w:firstRow="1" w:lastRow="1" w:firstColumn="1" w:lastColumn="1" w:noHBand="0" w:noVBand="0"/>
      </w:tblPr>
      <w:tblGrid>
        <w:gridCol w:w="1729"/>
        <w:gridCol w:w="624"/>
        <w:gridCol w:w="624"/>
        <w:gridCol w:w="624"/>
        <w:gridCol w:w="624"/>
        <w:gridCol w:w="624"/>
        <w:gridCol w:w="624"/>
        <w:gridCol w:w="624"/>
        <w:gridCol w:w="656"/>
      </w:tblGrid>
      <w:tr w:rsidR="00E45A3C" w:rsidRPr="0064560B" w:rsidTr="003524FF">
        <w:trPr>
          <w:jc w:val="center"/>
        </w:trPr>
        <w:tc>
          <w:tcPr>
            <w:tcW w:w="1729" w:type="dxa"/>
            <w:tcBorders>
              <w:top w:val="single" w:sz="12"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h1</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h2</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h4</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h5</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h6</w:t>
            </w:r>
          </w:p>
        </w:tc>
        <w:tc>
          <w:tcPr>
            <w:tcW w:w="624" w:type="dxa"/>
            <w:tcBorders>
              <w:top w:val="single" w:sz="12"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h7</w:t>
            </w:r>
          </w:p>
        </w:tc>
        <w:tc>
          <w:tcPr>
            <w:tcW w:w="656"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SP</w:t>
            </w:r>
          </w:p>
        </w:tc>
      </w:tr>
      <w:tr w:rsidR="00E45A3C" w:rsidRPr="0064560B" w:rsidTr="003524FF">
        <w:trPr>
          <w:jc w:val="center"/>
        </w:trPr>
        <w:tc>
          <w:tcPr>
            <w:tcW w:w="1729"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g1</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200</w:t>
            </w:r>
          </w:p>
        </w:tc>
        <w:tc>
          <w:tcPr>
            <w:tcW w:w="624"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120</w:t>
            </w:r>
          </w:p>
        </w:tc>
        <w:tc>
          <w:tcPr>
            <w:tcW w:w="656" w:type="dxa"/>
            <w:tcBorders>
              <w:top w:val="single" w:sz="12" w:space="0" w:color="auto"/>
              <w:left w:val="single" w:sz="12"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67</w:t>
            </w:r>
          </w:p>
        </w:tc>
      </w:tr>
      <w:tr w:rsidR="00E45A3C" w:rsidRPr="0064560B" w:rsidTr="003524FF">
        <w:trPr>
          <w:jc w:val="center"/>
        </w:trPr>
        <w:tc>
          <w:tcPr>
            <w:tcW w:w="1729"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g2</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190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190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190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190</w:t>
            </w:r>
          </w:p>
        </w:tc>
        <w:tc>
          <w:tcPr>
            <w:tcW w:w="62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20</w:t>
            </w:r>
          </w:p>
        </w:tc>
        <w:tc>
          <w:tcPr>
            <w:tcW w:w="624"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56" w:type="dxa"/>
            <w:tcBorders>
              <w:top w:val="single" w:sz="4" w:space="0" w:color="auto"/>
              <w:left w:val="single" w:sz="12" w:space="0" w:color="auto"/>
              <w:bottom w:val="single" w:sz="4"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63</w:t>
            </w:r>
          </w:p>
        </w:tc>
      </w:tr>
      <w:tr w:rsidR="00E45A3C" w:rsidRPr="0064560B" w:rsidTr="003524FF">
        <w:trPr>
          <w:jc w:val="center"/>
        </w:trPr>
        <w:tc>
          <w:tcPr>
            <w:tcW w:w="1729"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g3</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125</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460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210</w:t>
            </w:r>
          </w:p>
        </w:tc>
        <w:tc>
          <w:tcPr>
            <w:tcW w:w="624"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24"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0</w:t>
            </w:r>
          </w:p>
        </w:tc>
        <w:tc>
          <w:tcPr>
            <w:tcW w:w="656" w:type="dxa"/>
            <w:tcBorders>
              <w:top w:val="single" w:sz="4"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838</w:t>
            </w:r>
          </w:p>
        </w:tc>
      </w:tr>
      <w:tr w:rsidR="00E45A3C" w:rsidRPr="0064560B" w:rsidTr="003524FF">
        <w:trPr>
          <w:jc w:val="center"/>
        </w:trPr>
        <w:tc>
          <w:tcPr>
            <w:tcW w:w="1729" w:type="dxa"/>
            <w:tcBorders>
              <w:top w:val="single" w:sz="12" w:space="0" w:color="auto"/>
              <w:left w:val="single" w:sz="12"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b/>
              </w:rPr>
            </w:pPr>
            <w:r w:rsidRPr="0064560B">
              <w:rPr>
                <w:rFonts w:ascii="Times New Roman" w:hAnsi="Times New Roman"/>
                <w:b/>
              </w:rPr>
              <w:t>Price</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3.73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3.73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3.73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3.73</w:t>
            </w:r>
          </w:p>
        </w:tc>
        <w:tc>
          <w:tcPr>
            <w:tcW w:w="624" w:type="dxa"/>
            <w:tcBorders>
              <w:top w:val="single" w:sz="12" w:space="0" w:color="auto"/>
              <w:left w:val="single" w:sz="4" w:space="0" w:color="auto"/>
              <w:bottom w:val="single" w:sz="12" w:space="0" w:color="auto"/>
              <w:right w:val="single" w:sz="4"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3</w:t>
            </w:r>
          </w:p>
        </w:tc>
        <w:tc>
          <w:tcPr>
            <w:tcW w:w="624" w:type="dxa"/>
            <w:tcBorders>
              <w:top w:val="single" w:sz="12" w:space="0" w:color="auto"/>
              <w:left w:val="single" w:sz="4"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2.5</w:t>
            </w:r>
          </w:p>
        </w:tc>
        <w:tc>
          <w:tcPr>
            <w:tcW w:w="656"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p>
        </w:tc>
      </w:tr>
      <w:tr w:rsidR="00E45A3C" w:rsidRPr="0064560B" w:rsidTr="003524FF">
        <w:trPr>
          <w:jc w:val="center"/>
        </w:trPr>
        <w:tc>
          <w:tcPr>
            <w:tcW w:w="6753" w:type="dxa"/>
            <w:gridSpan w:val="9"/>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E45A3C" w:rsidRPr="0064560B" w:rsidRDefault="00E45A3C" w:rsidP="003524FF">
            <w:pPr>
              <w:pStyle w:val="Tabla"/>
              <w:rPr>
                <w:rFonts w:ascii="Times New Roman" w:hAnsi="Times New Roman"/>
              </w:rPr>
            </w:pPr>
            <w:r w:rsidRPr="0064560B">
              <w:rPr>
                <w:rFonts w:ascii="Times New Roman" w:hAnsi="Times New Roman"/>
              </w:rPr>
              <w:t>Total generation cost: 10620 €</w:t>
            </w:r>
          </w:p>
        </w:tc>
      </w:tr>
    </w:tbl>
    <w:p w:rsidR="00E45A3C" w:rsidRPr="0064560B" w:rsidRDefault="00E45A3C" w:rsidP="00E45A3C">
      <w:pPr>
        <w:pStyle w:val="Caption"/>
        <w:rPr>
          <w:rFonts w:ascii="Times New Roman" w:hAnsi="Times New Roman"/>
        </w:rPr>
      </w:pPr>
      <w:bookmarkStart w:id="42" w:name="_Ref271212700"/>
      <w:r w:rsidRPr="0064560B">
        <w:rPr>
          <w:rFonts w:ascii="Times New Roman" w:hAnsi="Times New Roman"/>
        </w:rPr>
        <w:t xml:space="preserve">Table </w:t>
      </w:r>
      <w:r w:rsidR="00905114" w:rsidRPr="0064560B">
        <w:rPr>
          <w:rFonts w:ascii="Times New Roman" w:hAnsi="Times New Roman"/>
        </w:rPr>
        <w:fldChar w:fldCharType="begin"/>
      </w:r>
      <w:r w:rsidRPr="0064560B">
        <w:rPr>
          <w:rFonts w:ascii="Times New Roman" w:hAnsi="Times New Roman"/>
        </w:rPr>
        <w:instrText xml:space="preserve"> SEQ Table \* ARABIC </w:instrText>
      </w:r>
      <w:r w:rsidR="00905114" w:rsidRPr="0064560B">
        <w:rPr>
          <w:rFonts w:ascii="Times New Roman" w:hAnsi="Times New Roman"/>
        </w:rPr>
        <w:fldChar w:fldCharType="separate"/>
      </w:r>
      <w:r w:rsidRPr="0064560B">
        <w:rPr>
          <w:rFonts w:ascii="Times New Roman" w:hAnsi="Times New Roman"/>
          <w:noProof/>
        </w:rPr>
        <w:t>7</w:t>
      </w:r>
      <w:r w:rsidR="00905114" w:rsidRPr="0064560B">
        <w:rPr>
          <w:rFonts w:ascii="Times New Roman" w:hAnsi="Times New Roman"/>
        </w:rPr>
        <w:fldChar w:fldCharType="end"/>
      </w:r>
      <w:bookmarkEnd w:id="42"/>
      <w:r w:rsidRPr="0064560B">
        <w:rPr>
          <w:rFonts w:ascii="Times New Roman" w:hAnsi="Times New Roman"/>
        </w:rPr>
        <w:t xml:space="preserve">. Production and prices corresponding to the pricing scheme in </w:t>
      </w:r>
      <w:r w:rsidR="00905114" w:rsidRPr="0064560B">
        <w:rPr>
          <w:rFonts w:ascii="Times New Roman" w:hAnsi="Times New Roman"/>
        </w:rPr>
        <w:fldChar w:fldCharType="begin"/>
      </w:r>
      <w:r w:rsidRPr="0064560B">
        <w:rPr>
          <w:rFonts w:ascii="Times New Roman" w:hAnsi="Times New Roman"/>
        </w:rPr>
        <w:instrText xml:space="preserve"> ADDIN EN.CITE &lt;EndNote&gt;&lt;Cite&gt;&lt;Author&gt;O&amp;apos;Neill&lt;/Author&gt;&lt;Year&gt;2003&lt;/Year&gt;&lt;RecNum&gt;503&lt;/RecNum&gt;&lt;DisplayText&gt;(O&amp;apos;Neill et al., 2003)&lt;/DisplayText&gt;&lt;record&gt;&lt;rec-number&gt;503&lt;/rec-number&gt;&lt;foreign-keys&gt;&lt;key app="EN" db-id="fprx5rrpxwvt0ke0sxo5wfzb2rwawp0vp0xp"&gt;503&lt;/key&gt;&lt;/foreign-keys&gt;&lt;ref-type name="Journal Article"&gt;17&lt;/ref-type&gt;&lt;contributors&gt;&lt;authors&gt;&lt;author&gt;Richard P. O&amp;apos;Neill&lt;/author&gt;&lt;author&gt;Paul M. Sotkiewicz&lt;/author&gt;&lt;author&gt;Benjamin F. Hobbs&lt;/author&gt;&lt;author&gt;Michael H. Rothkopf&lt;/author&gt;&lt;author&gt;William R. Stewart&lt;/author&gt;&lt;/authors&gt;&lt;/contributors&gt;&lt;titles&gt;&lt;title&gt;Efficient market-clearing prices in markets with nonconvexities&lt;/title&gt;&lt;secondary-title&gt;European Journal of Operational Research&lt;/secondary-title&gt;&lt;/titles&gt;&lt;periodical&gt;&lt;full-title&gt;European Journal Of Operational Research&lt;/full-title&gt;&lt;/periodical&gt;&lt;pages&gt;269-285&lt;/pages&gt;&lt;volume&gt;164&lt;/volume&gt;&lt;number&gt;1&lt;/number&gt;&lt;dates&gt;&lt;year&gt;2003&lt;/year&gt;&lt;/dates&gt;&lt;urls&gt;&lt;/urls&gt;&lt;/record&gt;&lt;/Cite&gt;&lt;/EndNote&gt;</w:instrText>
      </w:r>
      <w:r w:rsidR="00905114" w:rsidRPr="0064560B">
        <w:rPr>
          <w:rFonts w:ascii="Times New Roman" w:hAnsi="Times New Roman"/>
        </w:rPr>
        <w:fldChar w:fldCharType="separate"/>
      </w:r>
      <w:r w:rsidRPr="0064560B">
        <w:rPr>
          <w:rFonts w:ascii="Times New Roman" w:hAnsi="Times New Roman"/>
          <w:noProof/>
        </w:rPr>
        <w:t>(</w:t>
      </w:r>
      <w:hyperlink w:anchor="_ENREF_8" w:tooltip="O'Neill, 2003 #503" w:history="1">
        <w:r w:rsidRPr="0064560B">
          <w:rPr>
            <w:rFonts w:ascii="Times New Roman" w:hAnsi="Times New Roman"/>
            <w:noProof/>
          </w:rPr>
          <w:t>O'Neill et al., 2003</w:t>
        </w:r>
      </w:hyperlink>
      <w:r w:rsidRPr="0064560B">
        <w:rPr>
          <w:rFonts w:ascii="Times New Roman" w:hAnsi="Times New Roman"/>
          <w:noProof/>
        </w:rPr>
        <w:t>)</w:t>
      </w:r>
      <w:r w:rsidR="00905114" w:rsidRPr="0064560B">
        <w:rPr>
          <w:rFonts w:ascii="Times New Roman" w:hAnsi="Times New Roman"/>
        </w:rPr>
        <w:fldChar w:fldCharType="end"/>
      </w:r>
      <w:r w:rsidRPr="0064560B">
        <w:rPr>
          <w:rFonts w:ascii="Times New Roman" w:hAnsi="Times New Roman"/>
        </w:rPr>
        <w:t>.</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In this case, the price set by g3 in h4 is lower than the one obtained in the previous case, as it does not include any part of the fixed operation costs. This makes the income of g2 lower and thus the investment associated with g2 decreases. Consequently, g3 sets the price in two additional hours, h2 and h3, with respect to the linear price. </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Spot prices set by g2, the ones corresponding to h1 and h6, do not include either fixed operation costs. Hence, the income corresponding to g1 is lower than in the previous case and the installed capacity of this technology decreases. In turn, this effect makes g1 to stop setting the price in h6. </w:t>
      </w:r>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Compared to the linear price case, it can be observed that the operation costs are higher in this case, and that the increase of operation costs is higher than the savings in investment costs. Therefore, some investments that could result in operation savings greater than their investment </w:t>
      </w:r>
      <w:r w:rsidRPr="0064560B">
        <w:rPr>
          <w:rFonts w:ascii="Times New Roman" w:hAnsi="Times New Roman" w:cs="Times New Roman"/>
        </w:rPr>
        <w:lastRenderedPageBreak/>
        <w:t xml:space="preserve">costs have not been undertaken. This implies that spot prices are too low to provide with enough long term incentives for the investment problem. When producers are deciding on the amount of new investments, they do not perceive –in terms of expected operation profits– the savings in fixed operation costs that would result from the new investments. Hence, producers build less base-load units than the ones required for an optimal generation portfolio. Such under-investment is compensated for with peaking plants. </w:t>
      </w:r>
    </w:p>
    <w:p w:rsidR="00E45A3C" w:rsidRPr="0064560B" w:rsidRDefault="00E45A3C" w:rsidP="00E45A3C">
      <w:pPr>
        <w:pStyle w:val="Heading1"/>
        <w:tabs>
          <w:tab w:val="left" w:pos="567"/>
          <w:tab w:val="num" w:pos="7344"/>
        </w:tabs>
        <w:spacing w:after="240" w:line="276" w:lineRule="auto"/>
        <w:ind w:left="397" w:hanging="397"/>
        <w:contextualSpacing w:val="0"/>
        <w:jc w:val="both"/>
        <w:rPr>
          <w:rFonts w:cs="Times New Roman"/>
        </w:rPr>
      </w:pPr>
      <w:bookmarkStart w:id="43" w:name="_Ref409511708"/>
      <w:r w:rsidRPr="0064560B">
        <w:rPr>
          <w:rFonts w:cs="Times New Roman"/>
        </w:rPr>
        <w:t>Concluding remarks</w:t>
      </w:r>
      <w:bookmarkEnd w:id="43"/>
    </w:p>
    <w:p w:rsidR="00E45A3C" w:rsidRPr="0064560B" w:rsidRDefault="00E45A3C" w:rsidP="00E45A3C">
      <w:pPr>
        <w:rPr>
          <w:rFonts w:ascii="Times New Roman" w:hAnsi="Times New Roman" w:cs="Times New Roman"/>
        </w:rPr>
      </w:pPr>
      <w:r w:rsidRPr="0064560B">
        <w:rPr>
          <w:rFonts w:ascii="Times New Roman" w:hAnsi="Times New Roman" w:cs="Times New Roman"/>
        </w:rPr>
        <w:t xml:space="preserve">We have shown that there is no unique definition for prices in a power auction with integer decisions that support a short-term competitive equilibrium. </w:t>
      </w:r>
      <w:r w:rsidR="00F97BBD" w:rsidRPr="0064560B">
        <w:rPr>
          <w:rFonts w:ascii="Times New Roman" w:hAnsi="Times New Roman" w:cs="Times New Roman"/>
        </w:rPr>
        <w:t>There are no linear prices that send the optimal short-term signals alone, without a side payment, due to duality gap, and o</w:t>
      </w:r>
      <w:r w:rsidRPr="0064560B">
        <w:rPr>
          <w:rFonts w:ascii="Times New Roman" w:hAnsi="Times New Roman" w:cs="Times New Roman"/>
        </w:rPr>
        <w:t xml:space="preserve">ne can find a wide range of combinations of marginal prices and side payments that represent optimal short-term signals. We have also shown that, when one considers long-term competitive equilibrium requirements, the range of possible solutions is significantly restricted. </w:t>
      </w:r>
      <w:r w:rsidR="007E091A" w:rsidRPr="0064560B">
        <w:rPr>
          <w:rFonts w:ascii="Times New Roman" w:hAnsi="Times New Roman" w:cs="Times New Roman"/>
        </w:rPr>
        <w:t xml:space="preserve">To show that, we consider a situation where plants are small compared to size of the system </w:t>
      </w:r>
      <w:r w:rsidR="009E51DE" w:rsidRPr="0064560B">
        <w:rPr>
          <w:rFonts w:ascii="Times New Roman" w:hAnsi="Times New Roman" w:cs="Times New Roman"/>
        </w:rPr>
        <w:t>and to the magnitude of the uncertainty affecting long-term decisions</w:t>
      </w:r>
      <w:r w:rsidR="007E091A" w:rsidRPr="0064560B">
        <w:rPr>
          <w:rFonts w:ascii="Times New Roman" w:hAnsi="Times New Roman" w:cs="Times New Roman"/>
        </w:rPr>
        <w:t>. Under those hypotheses, i</w:t>
      </w:r>
      <w:r w:rsidRPr="0064560B">
        <w:rPr>
          <w:rFonts w:ascii="Times New Roman" w:hAnsi="Times New Roman" w:cs="Times New Roman"/>
        </w:rPr>
        <w:t xml:space="preserve">f we consider explicitly that the infra-marginal rents that base-load generators receive have an influence on their investment decisions, and look for the prices that induce generation equipment to be optimal, we find that the prices defined by </w:t>
      </w:r>
      <w:r w:rsidR="00E17CB6" w:rsidRPr="0064560B">
        <w:rPr>
          <w:rFonts w:ascii="Times New Roman" w:hAnsi="Times New Roman" w:cs="Times New Roman"/>
        </w:rPr>
        <w:t>a very specific</w:t>
      </w:r>
      <w:r w:rsidRPr="0064560B">
        <w:rPr>
          <w:rFonts w:ascii="Times New Roman" w:hAnsi="Times New Roman" w:cs="Times New Roman"/>
        </w:rPr>
        <w:t xml:space="preserve"> linear relaxation of the long-term problem turn</w:t>
      </w:r>
      <w:r w:rsidR="00E17CB6" w:rsidRPr="0064560B">
        <w:rPr>
          <w:rFonts w:ascii="Times New Roman" w:hAnsi="Times New Roman" w:cs="Times New Roman"/>
        </w:rPr>
        <w:t>s</w:t>
      </w:r>
      <w:r w:rsidRPr="0064560B">
        <w:rPr>
          <w:rFonts w:ascii="Times New Roman" w:hAnsi="Times New Roman" w:cs="Times New Roman"/>
        </w:rPr>
        <w:t xml:space="preserve"> out to be a single solution. </w:t>
      </w:r>
    </w:p>
    <w:p w:rsidR="00E45A3C" w:rsidRPr="0064560B" w:rsidRDefault="00E45A3C" w:rsidP="00E45A3C">
      <w:pPr>
        <w:rPr>
          <w:rFonts w:ascii="Times New Roman" w:hAnsi="Times New Roman" w:cs="Times New Roman"/>
        </w:rPr>
      </w:pPr>
      <w:r w:rsidRPr="0064560B">
        <w:rPr>
          <w:rFonts w:ascii="Times New Roman" w:hAnsi="Times New Roman" w:cs="Times New Roman"/>
        </w:rPr>
        <w:t>From the market design point of view, the results obtained in this paper allow pointing at a direct problem of day-ahead auction design.</w:t>
      </w:r>
      <w:r w:rsidR="00FF6116" w:rsidRPr="0064560B">
        <w:rPr>
          <w:rFonts w:ascii="Times New Roman" w:hAnsi="Times New Roman" w:cs="Times New Roman"/>
        </w:rPr>
        <w:t xml:space="preserve"> </w:t>
      </w:r>
      <w:r w:rsidR="00E14BDD" w:rsidRPr="0064560B">
        <w:rPr>
          <w:rFonts w:ascii="Times New Roman" w:hAnsi="Times New Roman" w:cs="Times New Roman"/>
        </w:rPr>
        <w:t xml:space="preserve">The </w:t>
      </w:r>
      <w:r w:rsidR="00DF5CF6" w:rsidRPr="0064560B">
        <w:rPr>
          <w:rFonts w:ascii="Times New Roman" w:hAnsi="Times New Roman" w:cs="Times New Roman"/>
        </w:rPr>
        <w:t>increasing</w:t>
      </w:r>
      <w:r w:rsidR="00E14BDD" w:rsidRPr="0064560B">
        <w:rPr>
          <w:rFonts w:ascii="Times New Roman" w:hAnsi="Times New Roman" w:cs="Times New Roman"/>
        </w:rPr>
        <w:t xml:space="preserve"> need </w:t>
      </w:r>
      <w:r w:rsidR="004829A7" w:rsidRPr="0064560B">
        <w:rPr>
          <w:rFonts w:ascii="Times New Roman" w:hAnsi="Times New Roman" w:cs="Times New Roman"/>
        </w:rPr>
        <w:t>of</w:t>
      </w:r>
      <w:r w:rsidR="00E14BDD" w:rsidRPr="0064560B">
        <w:rPr>
          <w:rFonts w:ascii="Times New Roman" w:hAnsi="Times New Roman" w:cs="Times New Roman"/>
        </w:rPr>
        <w:t xml:space="preserve"> backup generation complicates significantly the operation of power systems. In particular, the amount of start-ups that are needed under </w:t>
      </w:r>
      <w:r w:rsidR="00300BF1" w:rsidRPr="0064560B">
        <w:rPr>
          <w:rFonts w:ascii="Times New Roman" w:hAnsi="Times New Roman" w:cs="Times New Roman"/>
        </w:rPr>
        <w:t>considerable amount of renewable</w:t>
      </w:r>
      <w:r w:rsidR="00E14BDD" w:rsidRPr="0064560B">
        <w:rPr>
          <w:rFonts w:ascii="Times New Roman" w:hAnsi="Times New Roman" w:cs="Times New Roman"/>
        </w:rPr>
        <w:t xml:space="preserve"> </w:t>
      </w:r>
      <w:r w:rsidR="00300BF1" w:rsidRPr="0064560B">
        <w:rPr>
          <w:rFonts w:ascii="Times New Roman" w:hAnsi="Times New Roman" w:cs="Times New Roman"/>
        </w:rPr>
        <w:t>generation (typically non-dispatchable technologies)</w:t>
      </w:r>
      <w:r w:rsidR="00E14BDD" w:rsidRPr="0064560B">
        <w:rPr>
          <w:rFonts w:ascii="Times New Roman" w:hAnsi="Times New Roman" w:cs="Times New Roman"/>
        </w:rPr>
        <w:t xml:space="preserve"> puts the representation of those integer decisions at center stage. </w:t>
      </w:r>
    </w:p>
    <w:p w:rsidR="009D4F5D" w:rsidRPr="0064560B" w:rsidRDefault="009D4F5D" w:rsidP="00E45A3C">
      <w:pPr>
        <w:rPr>
          <w:rFonts w:ascii="Times New Roman" w:hAnsi="Times New Roman" w:cs="Times New Roman"/>
        </w:rPr>
      </w:pPr>
      <w:r w:rsidRPr="0064560B">
        <w:rPr>
          <w:rFonts w:ascii="Times New Roman" w:hAnsi="Times New Roman" w:cs="Times New Roman"/>
        </w:rPr>
        <w:t xml:space="preserve">Moreover, we have shown the importance of the pricing methodology to choose the production technology portfolio. In a situation where technology choice is one of the most important challenges of power system planning, short-term prices may be an extremely useful mechanism to coordinate long-term decisions. But that requires that those short-term prices include relevant cost signals.  </w:t>
      </w:r>
    </w:p>
    <w:p w:rsidR="00AE687E" w:rsidRPr="0064560B" w:rsidRDefault="00AE687E" w:rsidP="00AE687E">
      <w:pPr>
        <w:pStyle w:val="Heading1"/>
        <w:rPr>
          <w:rFonts w:cs="Times New Roman"/>
        </w:rPr>
      </w:pPr>
      <w:r w:rsidRPr="0064560B">
        <w:rPr>
          <w:rFonts w:cs="Times New Roman"/>
        </w:rPr>
        <w:t>References</w:t>
      </w:r>
    </w:p>
    <w:bookmarkEnd w:id="0"/>
    <w:bookmarkEnd w:id="1"/>
    <w:bookmarkEnd w:id="2"/>
    <w:bookmarkEnd w:id="3"/>
    <w:bookmarkEnd w:id="4"/>
    <w:bookmarkEnd w:id="5"/>
    <w:bookmarkEnd w:id="7"/>
    <w:p w:rsidR="00B60682" w:rsidRPr="0064560B" w:rsidRDefault="00905114" w:rsidP="00B60682">
      <w:pPr>
        <w:pStyle w:val="Bibliography"/>
        <w:rPr>
          <w:rFonts w:ascii="Times New Roman" w:hAnsi="Times New Roman" w:cs="Times New Roman"/>
        </w:rPr>
      </w:pPr>
      <w:r w:rsidRPr="0064560B">
        <w:rPr>
          <w:rFonts w:ascii="Times New Roman" w:hAnsi="Times New Roman" w:cs="Times New Roman"/>
        </w:rPr>
        <w:fldChar w:fldCharType="begin"/>
      </w:r>
      <w:r w:rsidR="00292644" w:rsidRPr="0064560B">
        <w:rPr>
          <w:rFonts w:ascii="Times New Roman" w:hAnsi="Times New Roman" w:cs="Times New Roman"/>
        </w:rPr>
        <w:instrText xml:space="preserve"> ADDIN ZOTERO_BIBL {"custom":[]} CSL_BIBLIOGRAPHY </w:instrText>
      </w:r>
      <w:r w:rsidRPr="0064560B">
        <w:rPr>
          <w:rFonts w:ascii="Times New Roman" w:hAnsi="Times New Roman" w:cs="Times New Roman"/>
        </w:rPr>
        <w:fldChar w:fldCharType="separate"/>
      </w:r>
      <w:r w:rsidR="00B60682" w:rsidRPr="0064560B">
        <w:rPr>
          <w:rFonts w:ascii="Times New Roman" w:hAnsi="Times New Roman" w:cs="Times New Roman"/>
        </w:rPr>
        <w:t>Benders, J.F., 1962. Partitioning procedures for solving mixed-variables programming problems. Numer. Math. 4, 238–252. doi:10.1007/BF01386316</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Bjørndal, M., Jörnsten, K., 2008. Equilibrium prices supported by dual price functions in markets with non-convexities. European Journal of Operational Research 190, 768–789. doi:10.1016/j.ejor.2007.06.050</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Caramanis, M., 1982. Investment decisions and long-term planning under electricity spot pricing. Power Apparatus and Systems, IEEE Transactions on 4640–4648.</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Hobbs, B.F., 2001. The Next Generation of Electric Power Unit Commitment Models. Springer Science &amp; Business Media.</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Hogan, W.W., Ring, B.J., 2003. On minimum-uplift pricing for electricity markets. Working Paper, Harvard Electricity Policy Group.</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Joskow, P.L., Schmalensee, R., 1988. Markets for power: an analysis of electrical utility deregulation. MIT Press Books 1.</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Kahn, A.E., 1988. The economics of regulation: principles and institutions. Mit Press.</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Milgrom, P., 2004. Putting Auction Theory to Work, Cambridge University Press.</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Minoux, M., Vajda, S., 1986. Mathematical programming: theory and algorithms. Wiley New York.</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lastRenderedPageBreak/>
        <w:t>O’Neill, R.P., Sotkiewicz, P.M., Hobbs, B.F., Rothkopf, M.H., Stewart Jr., W.R., 2005. Efficient market-clearing prices in markets with nonconvexities. European Journal of Operational Research 164, 269–285.</w:t>
      </w:r>
    </w:p>
    <w:p w:rsidR="00B60682" w:rsidRPr="0064560B" w:rsidRDefault="00B60682" w:rsidP="00B60682">
      <w:pPr>
        <w:pStyle w:val="Bibliography"/>
        <w:rPr>
          <w:rFonts w:ascii="Times New Roman" w:hAnsi="Times New Roman" w:cs="Times New Roman"/>
          <w:lang w:val="es-ES_tradnl"/>
        </w:rPr>
      </w:pPr>
      <w:r w:rsidRPr="0064560B">
        <w:rPr>
          <w:rFonts w:ascii="Times New Roman" w:hAnsi="Times New Roman" w:cs="Times New Roman"/>
        </w:rPr>
        <w:t xml:space="preserve">Scarf, H.E., 1994. The allocation of resources in the presence of indivisibilities. </w:t>
      </w:r>
      <w:r w:rsidRPr="0064560B">
        <w:rPr>
          <w:rFonts w:ascii="Times New Roman" w:hAnsi="Times New Roman" w:cs="Times New Roman"/>
          <w:lang w:val="es-ES_tradnl"/>
        </w:rPr>
        <w:t>The Journal of Economic Perspectives 111–128.</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lang w:val="es-ES_tradnl"/>
        </w:rPr>
        <w:t xml:space="preserve">Vazquez, C., 2003. Modelos de casación de ofertas en mercados eléctricos. </w:t>
      </w:r>
      <w:r w:rsidRPr="0064560B">
        <w:rPr>
          <w:rFonts w:ascii="Times New Roman" w:hAnsi="Times New Roman" w:cs="Times New Roman"/>
        </w:rPr>
        <w:t>Tesis Doctoral. Universidad Pontificia Comillas, Madrid.</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Vickrey, W., 1961. Counterspeculation, Auctions, and Competitive Sealed Tenders. The Journal of Finance 16, 8–37. doi:10.1111/j.1540-6261.1961.tb02789.x</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Wilson, R., 2002. Architecture of Power Markets. Econometrica 70, 1299–1340.</w:t>
      </w:r>
    </w:p>
    <w:p w:rsidR="00B60682" w:rsidRPr="0064560B" w:rsidRDefault="00B60682" w:rsidP="00B60682">
      <w:pPr>
        <w:pStyle w:val="Bibliography"/>
        <w:rPr>
          <w:rFonts w:ascii="Times New Roman" w:hAnsi="Times New Roman" w:cs="Times New Roman"/>
        </w:rPr>
      </w:pPr>
      <w:r w:rsidRPr="0064560B">
        <w:rPr>
          <w:rFonts w:ascii="Times New Roman" w:hAnsi="Times New Roman" w:cs="Times New Roman"/>
        </w:rPr>
        <w:t>Wilson, R.B., 1997. Activity Rules for the California PX Electricity Auction. 3rd Annual Research Conference on Electricity Industry Restructuring, University of California, Berkeley, CA (March 1998).</w:t>
      </w:r>
    </w:p>
    <w:p w:rsidR="00FA708C" w:rsidRPr="0064560B" w:rsidRDefault="00905114" w:rsidP="00083C69">
      <w:pPr>
        <w:pStyle w:val="References"/>
        <w:rPr>
          <w:rFonts w:ascii="Times New Roman" w:hAnsi="Times New Roman"/>
        </w:rPr>
      </w:pPr>
      <w:r w:rsidRPr="0064560B">
        <w:rPr>
          <w:rFonts w:ascii="Times New Roman" w:hAnsi="Times New Roman"/>
        </w:rPr>
        <w:fldChar w:fldCharType="end"/>
      </w:r>
    </w:p>
    <w:sectPr w:rsidR="00FA708C" w:rsidRPr="0064560B" w:rsidSect="00623388">
      <w:footerReference w:type="default" r:id="rId31"/>
      <w:footnotePr>
        <w:numRestart w:val="eachSect"/>
      </w:footnotePr>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DBD" w:rsidRDefault="00D80DBD" w:rsidP="00EF513B">
      <w:r>
        <w:separator/>
      </w:r>
    </w:p>
  </w:endnote>
  <w:endnote w:type="continuationSeparator" w:id="0">
    <w:p w:rsidR="00D80DBD" w:rsidRDefault="00D80DBD" w:rsidP="00EF513B">
      <w:r>
        <w:continuationSeparator/>
      </w:r>
    </w:p>
  </w:endnote>
  <w:endnote w:type="continuationNotice" w:id="1">
    <w:p w:rsidR="00D80DBD" w:rsidRDefault="00D80D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B9F1A0D0-F07E-4B2A-A382-A8CBB5D4492C}"/>
    <w:embedBold r:id="rId2" w:fontKey="{BD4BFE15-6495-49D2-A672-FF0244DA950C}"/>
    <w:embedItalic r:id="rId3" w:fontKey="{34D7C041-F505-4A67-948A-0250E7D5904A}"/>
    <w:embedBoldItalic r:id="rId4" w:fontKey="{406C833A-85D4-4075-BC35-882166E04B62}"/>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5" w:subsetted="1" w:fontKey="{1CC1616A-C95D-49E3-8B69-BAE8B3D6A22F}"/>
  </w:font>
  <w:font w:name="Tw Cen MT">
    <w:panose1 w:val="020B0602020104020603"/>
    <w:charset w:val="00"/>
    <w:family w:val="swiss"/>
    <w:pitch w:val="variable"/>
    <w:sig w:usb0="00000007" w:usb1="00000000" w:usb2="00000000" w:usb3="00000000" w:csb0="00000003" w:csb1="00000000"/>
    <w:embedRegular r:id="rId6" w:fontKey="{34EFCC02-794D-40AF-8AFD-47899E3CEDF9}"/>
    <w:embedBold r:id="rId7" w:fontKey="{FA57B33A-0DFD-43D2-BEE6-FC09263773C3}"/>
    <w:embedItalic r:id="rId8" w:fontKey="{1CD1A468-2BC0-4B11-B755-75E7E8968C8B}"/>
    <w:embedBoldItalic r:id="rId9" w:fontKey="{6E055CE6-0E6A-4FDB-97D5-05BF3D297BE1}"/>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clid">
    <w:altName w:val="Bell MT"/>
    <w:charset w:val="00"/>
    <w:family w:val="roman"/>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10" w:subsetted="1" w:fontKey="{D811C762-4FD7-468B-B467-A6FF91592FB6}"/>
    <w:embedItalic r:id="rId11" w:subsetted="1" w:fontKey="{31AAC4E7-6761-48F1-809E-D62B3FF0C0C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388" w:rsidRDefault="00623388" w:rsidP="00A371D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399027"/>
      <w:docPartObj>
        <w:docPartGallery w:val="Page Numbers (Bottom of Page)"/>
        <w:docPartUnique/>
      </w:docPartObj>
    </w:sdtPr>
    <w:sdtEndPr>
      <w:rPr>
        <w:noProof/>
      </w:rPr>
    </w:sdtEndPr>
    <w:sdtContent>
      <w:p w:rsidR="00623388" w:rsidRDefault="00623388">
        <w:pPr>
          <w:pStyle w:val="Footer"/>
          <w:jc w:val="center"/>
        </w:pPr>
        <w:r>
          <w:fldChar w:fldCharType="begin"/>
        </w:r>
        <w:r>
          <w:instrText xml:space="preserve"> PAGE   \* MERGEFORMAT </w:instrText>
        </w:r>
        <w:r>
          <w:fldChar w:fldCharType="separate"/>
        </w:r>
        <w:r w:rsidR="00EE1415">
          <w:rPr>
            <w:noProof/>
          </w:rPr>
          <w:t>20</w:t>
        </w:r>
        <w:r>
          <w:rPr>
            <w:noProof/>
          </w:rPr>
          <w:fldChar w:fldCharType="end"/>
        </w:r>
      </w:p>
    </w:sdtContent>
  </w:sdt>
  <w:p w:rsidR="00623388" w:rsidRDefault="00623388" w:rsidP="00A371D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DBD" w:rsidRDefault="00D80DBD" w:rsidP="00EF513B">
      <w:r>
        <w:separator/>
      </w:r>
    </w:p>
  </w:footnote>
  <w:footnote w:type="continuationSeparator" w:id="0">
    <w:p w:rsidR="00D80DBD" w:rsidRDefault="00D80DBD" w:rsidP="00EF513B">
      <w:r>
        <w:continuationSeparator/>
      </w:r>
    </w:p>
  </w:footnote>
  <w:footnote w:type="continuationNotice" w:id="1">
    <w:p w:rsidR="00D80DBD" w:rsidRDefault="00D80DBD"/>
  </w:footnote>
  <w:footnote w:id="2">
    <w:p w:rsidR="00623388" w:rsidRPr="004A5031" w:rsidRDefault="00623388">
      <w:pPr>
        <w:pStyle w:val="FootnoteText"/>
      </w:pPr>
      <w:r>
        <w:rPr>
          <w:rStyle w:val="FootnoteReference"/>
        </w:rPr>
        <w:footnoteRef/>
      </w:r>
      <w:r>
        <w:t xml:space="preserve"> It is the case for instance of the PJM in the United States. Note that it is not the case of the Brazilian system where there is not a short term market as such.  </w:t>
      </w:r>
    </w:p>
  </w:footnote>
  <w:footnote w:id="3">
    <w:p w:rsidR="00623388" w:rsidRDefault="00623388" w:rsidP="000629C2">
      <w:pPr>
        <w:pStyle w:val="Footnote"/>
      </w:pPr>
      <w:r>
        <w:rPr>
          <w:rStyle w:val="FootnoteReference"/>
        </w:rPr>
        <w:footnoteRef/>
      </w:r>
      <w:r>
        <w:t xml:space="preserve"> </w:t>
      </w:r>
      <w:r w:rsidRPr="009E5EA1">
        <w:t>Note that the problem is similar to the one described in</w:t>
      </w:r>
      <w:r>
        <w:t xml:space="preserve"> </w:t>
      </w:r>
      <w:r>
        <w:fldChar w:fldCharType="begin"/>
      </w:r>
      <w:r>
        <w:instrText xml:space="preserve"> ADDIN ZOTERO_ITEM CSL_CITATION {"citationID":"t6n9i898l","properties":{"formattedCitation":"(Vickrey, 1961)","plainCitation":"(Vickrey, 1961)"},"citationItems":[{"id":143,"uris":["http://zotero.org/users/local/HK6lW3fP/items/C5HM9BKR"],"uri":["http://zotero.org/users/local/HK6lW3fP/items/C5HM9BKR"],"itemData":{"id":143,"type":"article-journal","title":"Counterspeculation, Auctions, and Competitive Sealed Tenders","container-title":"The Journal of Finance","page":"8-37","volume":"16","issue":"1","source":"Wiley Online Library","DOI":"10.1111/j.1540-6261.1961.tb02789.x","ISSN":"1540-6261","language":"en","author":[{"family":"Vickrey","given":"William"}],"issued":{"date-parts":[["1961"]]},"accessed":{"date-parts":[["2015",1,19]],"season":"22:12:57"}}}],"schema":"https://github.com/citation-style-language/schema/raw/master/csl-citation.json"} </w:instrText>
      </w:r>
      <w:r>
        <w:fldChar w:fldCharType="separate"/>
      </w:r>
      <w:r w:rsidRPr="008827F4">
        <w:t>(Vickrey, 1961)</w:t>
      </w:r>
      <w:r>
        <w:fldChar w:fldCharType="end"/>
      </w:r>
      <w:r>
        <w:t xml:space="preserve">. In the </w:t>
      </w:r>
      <w:r>
        <w:fldChar w:fldCharType="begin"/>
      </w:r>
      <w:r>
        <w:instrText xml:space="preserve"> ADDIN ZOTERO_ITEM CSL_CITATION {"citationID":"L8JNPqJe","properties":{"formattedCitation":"(Vickrey, 1961)","plainCitation":"(Vickrey, 1961)"},"citationItems":[{"id":143,"uris":["http://zotero.org/users/local/HK6lW3fP/items/C5HM9BKR"],"uri":["http://zotero.org/users/local/HK6lW3fP/items/C5HM9BKR"],"itemData":{"id":143,"type":"article-journal","title":"Counterspeculation, Auctions, and Competitive Sealed Tenders","container-title":"The Journal of Finance","page":"8-37","volume":"16","issue":"1","source":"Wiley Online Library","DOI":"10.1111/j.1540-6261.1961.tb02789.x","ISSN":"1540-6261","language":"en","author":[{"family":"Vickrey","given":"William"}],"issued":{"date-parts":[["1961"]]},"accessed":{"date-parts":[["2015",1,19]],"season":"22:12:57"}}}],"schema":"https://github.com/citation-style-language/schema/raw/master/csl-citation.json"} </w:instrText>
      </w:r>
      <w:r>
        <w:fldChar w:fldCharType="separate"/>
      </w:r>
      <w:r w:rsidRPr="008827F4">
        <w:t>(Vickrey, 1961)</w:t>
      </w:r>
      <w:r>
        <w:fldChar w:fldCharType="end"/>
      </w:r>
      <w:r>
        <w:t xml:space="preserve"> context, the English and the Dutch auctions are equivalent under perfect information, but the English one is superior since it allows for truthful bidding and therefore avoids the need for internalization. In the day-ahead electricity market, the simple and complex auctions yield the same results when the information is perfect, but the complex one is superior since it does not need any information about the rest of the competitors to get to the optimal result. However, while in the </w:t>
      </w:r>
      <w:r>
        <w:fldChar w:fldCharType="begin"/>
      </w:r>
      <w:r>
        <w:instrText xml:space="preserve"> ADDIN ZOTERO_ITEM CSL_CITATION {"citationID":"fznwmKAK","properties":{"formattedCitation":"(Vickrey, 1961)","plainCitation":"(Vickrey, 1961)"},"citationItems":[{"id":143,"uris":["http://zotero.org/users/local/HK6lW3fP/items/C5HM9BKR"],"uri":["http://zotero.org/users/local/HK6lW3fP/items/C5HM9BKR"],"itemData":{"id":143,"type":"article-journal","title":"Counterspeculation, Auctions, and Competitive Sealed Tenders","container-title":"The Journal of Finance","page":"8-37","volume":"16","issue":"1","source":"Wiley Online Library","DOI":"10.1111/j.1540-6261.1961.tb02789.x","ISSN":"1540-6261","language":"en","author":[{"family":"Vickrey","given":"William"}],"issued":{"date-parts":[["1961"]]},"accessed":{"date-parts":[["2015",1,19]],"season":"22:12:57"}}}],"schema":"https://github.com/citation-style-language/schema/raw/master/csl-citation.json"} </w:instrText>
      </w:r>
      <w:r>
        <w:fldChar w:fldCharType="separate"/>
      </w:r>
      <w:r w:rsidRPr="008827F4">
        <w:t>(Vickrey, 1961)</w:t>
      </w:r>
      <w:r>
        <w:fldChar w:fldCharType="end"/>
      </w:r>
      <w:r>
        <w:t xml:space="preserve"> case the information is needed to optimize the strategic behavior of players, which might be questioned especially in a multi-unit context, in the electricity market the information is required to incorporate the cost conditions of the bidders, which would had also happened under perfect competition.   </w:t>
      </w:r>
      <w:r w:rsidRPr="009E5EA1">
        <w:t xml:space="preserve"> </w:t>
      </w:r>
    </w:p>
  </w:footnote>
  <w:footnote w:id="4">
    <w:p w:rsidR="00623388" w:rsidRDefault="00623388" w:rsidP="000629C2">
      <w:pPr>
        <w:pStyle w:val="Footnote"/>
      </w:pPr>
      <w:r>
        <w:rPr>
          <w:rStyle w:val="FootnoteReference"/>
        </w:rPr>
        <w:footnoteRef/>
      </w:r>
      <w:r>
        <w:t xml:space="preserve"> The block bids adopted in </w:t>
      </w:r>
      <w:proofErr w:type="spellStart"/>
      <w:r>
        <w:t>NordPool</w:t>
      </w:r>
      <w:proofErr w:type="spellEnd"/>
      <w:r>
        <w:t xml:space="preserve"> and EEX or the minimum-income conditions of the Spanish pool are examples of these rules.</w:t>
      </w:r>
    </w:p>
  </w:footnote>
  <w:footnote w:id="5">
    <w:p w:rsidR="00623388" w:rsidRPr="00DB66F2" w:rsidRDefault="00623388" w:rsidP="0052515C">
      <w:pPr>
        <w:ind w:left="142" w:hanging="142"/>
        <w:rPr>
          <w:lang w:val="en-GB"/>
        </w:rPr>
      </w:pPr>
      <w:r>
        <w:rPr>
          <w:rStyle w:val="FootnoteReference"/>
        </w:rPr>
        <w:footnoteRef/>
      </w:r>
      <w:r>
        <w:t xml:space="preserve"> </w:t>
      </w:r>
      <w:r w:rsidRPr="00DB66F2">
        <w:rPr>
          <w:rStyle w:val="PageNumber"/>
        </w:rPr>
        <w:t>“Real-time prices are set by the ideal dispatch pass, in which inflexible (i.e., they must operate at</w:t>
      </w:r>
      <w:r>
        <w:rPr>
          <w:rStyle w:val="PageNumber"/>
        </w:rPr>
        <w:t xml:space="preserve"> </w:t>
      </w:r>
      <w:r w:rsidRPr="00DB66F2">
        <w:rPr>
          <w:rStyle w:val="PageNumber"/>
        </w:rPr>
        <w:t>zero or their maximum output) gas turbines are dispatched economically over their entire operating range,</w:t>
      </w:r>
      <w:r>
        <w:rPr>
          <w:rStyle w:val="PageNumber"/>
        </w:rPr>
        <w:t xml:space="preserve"> </w:t>
      </w:r>
      <w:r w:rsidRPr="00DB66F2">
        <w:rPr>
          <w:rStyle w:val="PageNumber"/>
        </w:rPr>
        <w:t>even if they are not actually capable of running at anything other than zero or their maximum output.”</w:t>
      </w:r>
      <w:r>
        <w:rPr>
          <w:rStyle w:val="PageNumber"/>
        </w:rPr>
        <w:t xml:space="preserve"> </w:t>
      </w:r>
      <w:r w:rsidRPr="00DB66F2">
        <w:rPr>
          <w:rStyle w:val="PageNumber"/>
        </w:rPr>
        <w:t>Federal Energy Regulatory Commission Order, FERC Docket No. ER05-1123-000, July 19, 2005.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388" w:rsidRDefault="00623388">
    <w:pPr>
      <w:pStyle w:val="Header"/>
      <w:jc w:val="center"/>
    </w:pPr>
  </w:p>
  <w:p w:rsidR="00623388" w:rsidRDefault="006233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F3C9E9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63C1B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BCAF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B4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D2862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04EC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57645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7814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5D26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C64E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93829"/>
    <w:multiLevelType w:val="hybridMultilevel"/>
    <w:tmpl w:val="942E579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0A4F32BE"/>
    <w:multiLevelType w:val="singleLevel"/>
    <w:tmpl w:val="1DAEF608"/>
    <w:lvl w:ilvl="0">
      <w:start w:val="1"/>
      <w:numFmt w:val="none"/>
      <w:pStyle w:val="Lemma"/>
      <w:lvlText w:val=""/>
      <w:legacy w:legacy="1" w:legacySpace="0" w:legacyIndent="0"/>
      <w:lvlJc w:val="left"/>
      <w:pPr>
        <w:ind w:left="0" w:firstLine="0"/>
      </w:pPr>
    </w:lvl>
  </w:abstractNum>
  <w:abstractNum w:abstractNumId="12" w15:restartNumberingAfterBreak="0">
    <w:nsid w:val="0C2058C9"/>
    <w:multiLevelType w:val="multilevel"/>
    <w:tmpl w:val="E4DA40CE"/>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0FDD4C60"/>
    <w:multiLevelType w:val="hybridMultilevel"/>
    <w:tmpl w:val="6408E67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27E93"/>
    <w:multiLevelType w:val="hybridMultilevel"/>
    <w:tmpl w:val="57CA7624"/>
    <w:lvl w:ilvl="0" w:tplc="A1805DD0">
      <w:start w:val="1"/>
      <w:numFmt w:val="bullet"/>
      <w:pStyle w:val="Punto"/>
      <w:lvlText w:val=""/>
      <w:lvlJc w:val="left"/>
      <w:pPr>
        <w:tabs>
          <w:tab w:val="num" w:pos="567"/>
        </w:tabs>
        <w:ind w:left="567" w:hanging="567"/>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19B22D8"/>
    <w:multiLevelType w:val="hybridMultilevel"/>
    <w:tmpl w:val="C5D88FA4"/>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C80982"/>
    <w:multiLevelType w:val="hybridMultilevel"/>
    <w:tmpl w:val="A65E0FA8"/>
    <w:lvl w:ilvl="0" w:tplc="DB1423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407D59"/>
    <w:multiLevelType w:val="multilevel"/>
    <w:tmpl w:val="DB60A74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16975847"/>
    <w:multiLevelType w:val="multilevel"/>
    <w:tmpl w:val="284A1EC0"/>
    <w:lvl w:ilvl="0">
      <w:start w:val="1"/>
      <w:numFmt w:val="decimal"/>
      <w:lvlText w:val="%1."/>
      <w:lvlJc w:val="left"/>
      <w:pPr>
        <w:tabs>
          <w:tab w:val="num" w:pos="7344"/>
        </w:tabs>
        <w:ind w:left="7344" w:hanging="39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16B26127"/>
    <w:multiLevelType w:val="hybridMultilevel"/>
    <w:tmpl w:val="C22EECE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AD6E4C"/>
    <w:multiLevelType w:val="multilevel"/>
    <w:tmpl w:val="414C5328"/>
    <w:lvl w:ilvl="0">
      <w:start w:val="1"/>
      <w:numFmt w:val="bullet"/>
      <w:lvlText w:val=""/>
      <w:lvlJc w:val="left"/>
      <w:pPr>
        <w:tabs>
          <w:tab w:val="num" w:pos="567"/>
        </w:tabs>
        <w:ind w:left="567" w:hanging="34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FD40BDE"/>
    <w:multiLevelType w:val="hybridMultilevel"/>
    <w:tmpl w:val="FEEA20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1F488D"/>
    <w:multiLevelType w:val="multilevel"/>
    <w:tmpl w:val="A7282F2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4DCF54B1"/>
    <w:multiLevelType w:val="multilevel"/>
    <w:tmpl w:val="C0ECC668"/>
    <w:lvl w:ilvl="0">
      <w:start w:val="1"/>
      <w:numFmt w:val="bullet"/>
      <w:lvlText w:val=""/>
      <w:lvlJc w:val="left"/>
      <w:pPr>
        <w:tabs>
          <w:tab w:val="num" w:pos="567"/>
        </w:tabs>
        <w:ind w:left="567" w:hanging="34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3F3A78"/>
    <w:multiLevelType w:val="multilevel"/>
    <w:tmpl w:val="824643E0"/>
    <w:lvl w:ilvl="0">
      <w:start w:val="1"/>
      <w:numFmt w:val="bullet"/>
      <w:lvlText w:val=""/>
      <w:lvlJc w:val="left"/>
      <w:pPr>
        <w:tabs>
          <w:tab w:val="num" w:pos="567"/>
        </w:tabs>
        <w:ind w:left="567" w:hanging="34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CE5D9A"/>
    <w:multiLevelType w:val="hybridMultilevel"/>
    <w:tmpl w:val="DFA67E98"/>
    <w:lvl w:ilvl="0" w:tplc="233E5C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C335A5D"/>
    <w:multiLevelType w:val="multilevel"/>
    <w:tmpl w:val="6506EFFA"/>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250503E"/>
    <w:multiLevelType w:val="hybridMultilevel"/>
    <w:tmpl w:val="362E1444"/>
    <w:lvl w:ilvl="0" w:tplc="DF240C36">
      <w:start w:val="1"/>
      <w:numFmt w:val="bullet"/>
      <w:pStyle w:val="ListParagraph"/>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28" w15:restartNumberingAfterBreak="0">
    <w:nsid w:val="7023482A"/>
    <w:multiLevelType w:val="hybridMultilevel"/>
    <w:tmpl w:val="D4A66D04"/>
    <w:lvl w:ilvl="0" w:tplc="90661F18">
      <w:start w:val="1"/>
      <w:numFmt w:val="bullet"/>
      <w:pStyle w:val="enumera"/>
      <w:lvlText w:val=""/>
      <w:lvlJc w:val="left"/>
      <w:pPr>
        <w:tabs>
          <w:tab w:val="num" w:pos="1128"/>
        </w:tabs>
        <w:ind w:left="1128" w:hanging="360"/>
      </w:pPr>
      <w:rPr>
        <w:rFonts w:ascii="Symbol" w:hAnsi="Symbol" w:hint="default"/>
      </w:rPr>
    </w:lvl>
    <w:lvl w:ilvl="1" w:tplc="0C0A0003" w:tentative="1">
      <w:start w:val="1"/>
      <w:numFmt w:val="bullet"/>
      <w:lvlText w:val="o"/>
      <w:lvlJc w:val="left"/>
      <w:pPr>
        <w:tabs>
          <w:tab w:val="num" w:pos="1848"/>
        </w:tabs>
        <w:ind w:left="1848" w:hanging="360"/>
      </w:pPr>
      <w:rPr>
        <w:rFonts w:ascii="Courier New" w:hAnsi="Courier New" w:cs="Courier New" w:hint="default"/>
      </w:rPr>
    </w:lvl>
    <w:lvl w:ilvl="2" w:tplc="0C0A0005" w:tentative="1">
      <w:start w:val="1"/>
      <w:numFmt w:val="bullet"/>
      <w:lvlText w:val=""/>
      <w:lvlJc w:val="left"/>
      <w:pPr>
        <w:tabs>
          <w:tab w:val="num" w:pos="2568"/>
        </w:tabs>
        <w:ind w:left="2568" w:hanging="360"/>
      </w:pPr>
      <w:rPr>
        <w:rFonts w:ascii="Wingdings" w:hAnsi="Wingdings" w:hint="default"/>
      </w:rPr>
    </w:lvl>
    <w:lvl w:ilvl="3" w:tplc="0C0A0001" w:tentative="1">
      <w:start w:val="1"/>
      <w:numFmt w:val="bullet"/>
      <w:lvlText w:val=""/>
      <w:lvlJc w:val="left"/>
      <w:pPr>
        <w:tabs>
          <w:tab w:val="num" w:pos="3288"/>
        </w:tabs>
        <w:ind w:left="3288" w:hanging="360"/>
      </w:pPr>
      <w:rPr>
        <w:rFonts w:ascii="Symbol" w:hAnsi="Symbol" w:hint="default"/>
      </w:rPr>
    </w:lvl>
    <w:lvl w:ilvl="4" w:tplc="0C0A0003" w:tentative="1">
      <w:start w:val="1"/>
      <w:numFmt w:val="bullet"/>
      <w:lvlText w:val="o"/>
      <w:lvlJc w:val="left"/>
      <w:pPr>
        <w:tabs>
          <w:tab w:val="num" w:pos="4008"/>
        </w:tabs>
        <w:ind w:left="4008" w:hanging="360"/>
      </w:pPr>
      <w:rPr>
        <w:rFonts w:ascii="Courier New" w:hAnsi="Courier New" w:cs="Courier New" w:hint="default"/>
      </w:rPr>
    </w:lvl>
    <w:lvl w:ilvl="5" w:tplc="0C0A0005" w:tentative="1">
      <w:start w:val="1"/>
      <w:numFmt w:val="bullet"/>
      <w:lvlText w:val=""/>
      <w:lvlJc w:val="left"/>
      <w:pPr>
        <w:tabs>
          <w:tab w:val="num" w:pos="4728"/>
        </w:tabs>
        <w:ind w:left="4728" w:hanging="360"/>
      </w:pPr>
      <w:rPr>
        <w:rFonts w:ascii="Wingdings" w:hAnsi="Wingdings" w:hint="default"/>
      </w:rPr>
    </w:lvl>
    <w:lvl w:ilvl="6" w:tplc="0C0A0001" w:tentative="1">
      <w:start w:val="1"/>
      <w:numFmt w:val="bullet"/>
      <w:lvlText w:val=""/>
      <w:lvlJc w:val="left"/>
      <w:pPr>
        <w:tabs>
          <w:tab w:val="num" w:pos="5448"/>
        </w:tabs>
        <w:ind w:left="5448" w:hanging="360"/>
      </w:pPr>
      <w:rPr>
        <w:rFonts w:ascii="Symbol" w:hAnsi="Symbol" w:hint="default"/>
      </w:rPr>
    </w:lvl>
    <w:lvl w:ilvl="7" w:tplc="0C0A0003" w:tentative="1">
      <w:start w:val="1"/>
      <w:numFmt w:val="bullet"/>
      <w:lvlText w:val="o"/>
      <w:lvlJc w:val="left"/>
      <w:pPr>
        <w:tabs>
          <w:tab w:val="num" w:pos="6168"/>
        </w:tabs>
        <w:ind w:left="6168" w:hanging="360"/>
      </w:pPr>
      <w:rPr>
        <w:rFonts w:ascii="Courier New" w:hAnsi="Courier New" w:cs="Courier New" w:hint="default"/>
      </w:rPr>
    </w:lvl>
    <w:lvl w:ilvl="8" w:tplc="0C0A0005" w:tentative="1">
      <w:start w:val="1"/>
      <w:numFmt w:val="bullet"/>
      <w:lvlText w:val=""/>
      <w:lvlJc w:val="left"/>
      <w:pPr>
        <w:tabs>
          <w:tab w:val="num" w:pos="6888"/>
        </w:tabs>
        <w:ind w:left="6888" w:hanging="360"/>
      </w:pPr>
      <w:rPr>
        <w:rFonts w:ascii="Wingdings" w:hAnsi="Wingdings" w:hint="default"/>
      </w:rPr>
    </w:lvl>
  </w:abstractNum>
  <w:abstractNum w:abstractNumId="29" w15:restartNumberingAfterBreak="0">
    <w:nsid w:val="76654E43"/>
    <w:multiLevelType w:val="hybridMultilevel"/>
    <w:tmpl w:val="334E8B42"/>
    <w:lvl w:ilvl="0" w:tplc="7C460040">
      <w:numFmt w:val="bullet"/>
      <w:lvlText w:val="-"/>
      <w:lvlJc w:val="left"/>
      <w:pPr>
        <w:tabs>
          <w:tab w:val="num" w:pos="720"/>
        </w:tabs>
        <w:ind w:left="720" w:hanging="360"/>
      </w:pPr>
      <w:rPr>
        <w:rFonts w:ascii="Times New Roman" w:eastAsia="Times New Roman" w:hAnsi="Times New Roman" w:cs="Times New Roman" w:hint="default"/>
      </w:rPr>
    </w:lvl>
    <w:lvl w:ilvl="1" w:tplc="E988B5FE" w:tentative="1">
      <w:start w:val="1"/>
      <w:numFmt w:val="bullet"/>
      <w:lvlText w:val="o"/>
      <w:lvlJc w:val="left"/>
      <w:pPr>
        <w:tabs>
          <w:tab w:val="num" w:pos="1440"/>
        </w:tabs>
        <w:ind w:left="1440" w:hanging="360"/>
      </w:pPr>
      <w:rPr>
        <w:rFonts w:ascii="Courier New" w:hAnsi="Courier New" w:cs="Courier New" w:hint="default"/>
      </w:rPr>
    </w:lvl>
    <w:lvl w:ilvl="2" w:tplc="8156523E" w:tentative="1">
      <w:start w:val="1"/>
      <w:numFmt w:val="bullet"/>
      <w:lvlText w:val=""/>
      <w:lvlJc w:val="left"/>
      <w:pPr>
        <w:tabs>
          <w:tab w:val="num" w:pos="2160"/>
        </w:tabs>
        <w:ind w:left="2160" w:hanging="360"/>
      </w:pPr>
      <w:rPr>
        <w:rFonts w:ascii="Wingdings" w:hAnsi="Wingdings" w:hint="default"/>
      </w:rPr>
    </w:lvl>
    <w:lvl w:ilvl="3" w:tplc="AD04134E" w:tentative="1">
      <w:start w:val="1"/>
      <w:numFmt w:val="bullet"/>
      <w:lvlText w:val=""/>
      <w:lvlJc w:val="left"/>
      <w:pPr>
        <w:tabs>
          <w:tab w:val="num" w:pos="2880"/>
        </w:tabs>
        <w:ind w:left="2880" w:hanging="360"/>
      </w:pPr>
      <w:rPr>
        <w:rFonts w:ascii="Symbol" w:hAnsi="Symbol" w:hint="default"/>
      </w:rPr>
    </w:lvl>
    <w:lvl w:ilvl="4" w:tplc="1C2E6A98" w:tentative="1">
      <w:start w:val="1"/>
      <w:numFmt w:val="bullet"/>
      <w:lvlText w:val="o"/>
      <w:lvlJc w:val="left"/>
      <w:pPr>
        <w:tabs>
          <w:tab w:val="num" w:pos="3600"/>
        </w:tabs>
        <w:ind w:left="3600" w:hanging="360"/>
      </w:pPr>
      <w:rPr>
        <w:rFonts w:ascii="Courier New" w:hAnsi="Courier New" w:cs="Courier New" w:hint="default"/>
      </w:rPr>
    </w:lvl>
    <w:lvl w:ilvl="5" w:tplc="DF4AD7CC" w:tentative="1">
      <w:start w:val="1"/>
      <w:numFmt w:val="bullet"/>
      <w:lvlText w:val=""/>
      <w:lvlJc w:val="left"/>
      <w:pPr>
        <w:tabs>
          <w:tab w:val="num" w:pos="4320"/>
        </w:tabs>
        <w:ind w:left="4320" w:hanging="360"/>
      </w:pPr>
      <w:rPr>
        <w:rFonts w:ascii="Wingdings" w:hAnsi="Wingdings" w:hint="default"/>
      </w:rPr>
    </w:lvl>
    <w:lvl w:ilvl="6" w:tplc="2AA67942" w:tentative="1">
      <w:start w:val="1"/>
      <w:numFmt w:val="bullet"/>
      <w:lvlText w:val=""/>
      <w:lvlJc w:val="left"/>
      <w:pPr>
        <w:tabs>
          <w:tab w:val="num" w:pos="5040"/>
        </w:tabs>
        <w:ind w:left="5040" w:hanging="360"/>
      </w:pPr>
      <w:rPr>
        <w:rFonts w:ascii="Symbol" w:hAnsi="Symbol" w:hint="default"/>
      </w:rPr>
    </w:lvl>
    <w:lvl w:ilvl="7" w:tplc="3EDE2562" w:tentative="1">
      <w:start w:val="1"/>
      <w:numFmt w:val="bullet"/>
      <w:lvlText w:val="o"/>
      <w:lvlJc w:val="left"/>
      <w:pPr>
        <w:tabs>
          <w:tab w:val="num" w:pos="5760"/>
        </w:tabs>
        <w:ind w:left="5760" w:hanging="360"/>
      </w:pPr>
      <w:rPr>
        <w:rFonts w:ascii="Courier New" w:hAnsi="Courier New" w:cs="Courier New" w:hint="default"/>
      </w:rPr>
    </w:lvl>
    <w:lvl w:ilvl="8" w:tplc="69EA9198"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6"/>
  </w:num>
  <w:num w:numId="3">
    <w:abstractNumId w:val="25"/>
  </w:num>
  <w:num w:numId="4">
    <w:abstractNumId w:val="26"/>
  </w:num>
  <w:num w:numId="5">
    <w:abstractNumId w:val="27"/>
  </w:num>
  <w:num w:numId="6">
    <w:abstractNumId w:val="19"/>
  </w:num>
  <w:num w:numId="7">
    <w:abstractNumId w:val="14"/>
  </w:num>
  <w:num w:numId="8">
    <w:abstractNumId w:val="3"/>
  </w:num>
  <w:num w:numId="9">
    <w:abstractNumId w:val="11"/>
  </w:num>
  <w:num w:numId="10">
    <w:abstractNumId w:val="15"/>
  </w:num>
  <w:num w:numId="11">
    <w:abstractNumId w:val="29"/>
  </w:num>
  <w:num w:numId="12">
    <w:abstractNumId w:val="13"/>
  </w:num>
  <w:num w:numId="13">
    <w:abstractNumId w:val="21"/>
  </w:num>
  <w:num w:numId="14">
    <w:abstractNumId w:val="8"/>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0"/>
  </w:num>
  <w:num w:numId="24">
    <w:abstractNumId w:val="23"/>
  </w:num>
  <w:num w:numId="25">
    <w:abstractNumId w:val="24"/>
  </w:num>
  <w:num w:numId="26">
    <w:abstractNumId w:val="22"/>
  </w:num>
  <w:num w:numId="27">
    <w:abstractNumId w:val="12"/>
  </w:num>
  <w:num w:numId="28">
    <w:abstractNumId w:val="17"/>
  </w:num>
  <w:num w:numId="29">
    <w:abstractNumId w:val="18"/>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GB"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s-ES_tradnl" w:vendorID="64" w:dllVersion="131078" w:nlCheck="1" w:checkStyle="1"/>
  <w:activeWritingStyle w:appName="MSWord" w:lang="de-DE" w:vendorID="64" w:dllVersion="131078" w:nlCheck="1" w:checkStyle="1"/>
  <w:activeWritingStyle w:appName="MSWord" w:lang="pt-B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J Financial Economics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prx5rrpxwvt0ke0sxo5wfzb2rwawp0vp0xp&quot;&gt;PrimeraLibreria Copy&lt;record-ids&gt;&lt;item&gt;119&lt;/item&gt;&lt;item&gt;492&lt;/item&gt;&lt;item&gt;622&lt;/item&gt;&lt;item&gt;623&lt;/item&gt;&lt;item&gt;624&lt;/item&gt;&lt;item&gt;625&lt;/item&gt;&lt;item&gt;626&lt;/item&gt;&lt;item&gt;627&lt;/item&gt;&lt;item&gt;628&lt;/item&gt;&lt;item&gt;629&lt;/item&gt;&lt;item&gt;630&lt;/item&gt;&lt;item&gt;632&lt;/item&gt;&lt;item&gt;641&lt;/item&gt;&lt;/record-ids&gt;&lt;/item&gt;&lt;/Libraries&gt;"/>
  </w:docVars>
  <w:rsids>
    <w:rsidRoot w:val="004E6B0B"/>
    <w:rsid w:val="0000021F"/>
    <w:rsid w:val="00000ABD"/>
    <w:rsid w:val="00000B77"/>
    <w:rsid w:val="0000199D"/>
    <w:rsid w:val="000024F1"/>
    <w:rsid w:val="000036F1"/>
    <w:rsid w:val="00003AD3"/>
    <w:rsid w:val="0000522E"/>
    <w:rsid w:val="000061D5"/>
    <w:rsid w:val="0000694F"/>
    <w:rsid w:val="00007662"/>
    <w:rsid w:val="00007AAB"/>
    <w:rsid w:val="00010753"/>
    <w:rsid w:val="000112E2"/>
    <w:rsid w:val="00011CF5"/>
    <w:rsid w:val="0001239E"/>
    <w:rsid w:val="000138E2"/>
    <w:rsid w:val="00014130"/>
    <w:rsid w:val="000146B4"/>
    <w:rsid w:val="00014AD0"/>
    <w:rsid w:val="00015119"/>
    <w:rsid w:val="000164E1"/>
    <w:rsid w:val="00016C81"/>
    <w:rsid w:val="000177F9"/>
    <w:rsid w:val="0002012A"/>
    <w:rsid w:val="000204BB"/>
    <w:rsid w:val="000211A4"/>
    <w:rsid w:val="000223BD"/>
    <w:rsid w:val="00023DA9"/>
    <w:rsid w:val="00027E2F"/>
    <w:rsid w:val="00031EF2"/>
    <w:rsid w:val="000332F5"/>
    <w:rsid w:val="00035074"/>
    <w:rsid w:val="0004025F"/>
    <w:rsid w:val="00040797"/>
    <w:rsid w:val="00041232"/>
    <w:rsid w:val="00041E52"/>
    <w:rsid w:val="00042F2E"/>
    <w:rsid w:val="0004304D"/>
    <w:rsid w:val="00046C10"/>
    <w:rsid w:val="00046CCA"/>
    <w:rsid w:val="000472C3"/>
    <w:rsid w:val="00047762"/>
    <w:rsid w:val="000479C2"/>
    <w:rsid w:val="00050D70"/>
    <w:rsid w:val="00051864"/>
    <w:rsid w:val="00051942"/>
    <w:rsid w:val="0005270E"/>
    <w:rsid w:val="00052E5E"/>
    <w:rsid w:val="000538FF"/>
    <w:rsid w:val="00053A84"/>
    <w:rsid w:val="00053D6D"/>
    <w:rsid w:val="000547B0"/>
    <w:rsid w:val="0005549D"/>
    <w:rsid w:val="000554FB"/>
    <w:rsid w:val="00055536"/>
    <w:rsid w:val="00057187"/>
    <w:rsid w:val="00060B70"/>
    <w:rsid w:val="000612C6"/>
    <w:rsid w:val="00062057"/>
    <w:rsid w:val="00062220"/>
    <w:rsid w:val="000629C2"/>
    <w:rsid w:val="000657F8"/>
    <w:rsid w:val="00065AD5"/>
    <w:rsid w:val="000667D0"/>
    <w:rsid w:val="000675C5"/>
    <w:rsid w:val="00067951"/>
    <w:rsid w:val="0007170B"/>
    <w:rsid w:val="0007309E"/>
    <w:rsid w:val="000730FB"/>
    <w:rsid w:val="00076D71"/>
    <w:rsid w:val="0007768C"/>
    <w:rsid w:val="000810E5"/>
    <w:rsid w:val="0008140F"/>
    <w:rsid w:val="00082878"/>
    <w:rsid w:val="00083C69"/>
    <w:rsid w:val="000863D7"/>
    <w:rsid w:val="00086562"/>
    <w:rsid w:val="00086BDD"/>
    <w:rsid w:val="00087B46"/>
    <w:rsid w:val="000910DB"/>
    <w:rsid w:val="00096018"/>
    <w:rsid w:val="00096318"/>
    <w:rsid w:val="00096697"/>
    <w:rsid w:val="00096E65"/>
    <w:rsid w:val="000A18AD"/>
    <w:rsid w:val="000A24C3"/>
    <w:rsid w:val="000A386A"/>
    <w:rsid w:val="000A3904"/>
    <w:rsid w:val="000A57C7"/>
    <w:rsid w:val="000A7625"/>
    <w:rsid w:val="000B0491"/>
    <w:rsid w:val="000B2E0D"/>
    <w:rsid w:val="000B32AA"/>
    <w:rsid w:val="000B4A74"/>
    <w:rsid w:val="000B4C97"/>
    <w:rsid w:val="000B4E57"/>
    <w:rsid w:val="000B659F"/>
    <w:rsid w:val="000B6A85"/>
    <w:rsid w:val="000B75FD"/>
    <w:rsid w:val="000C11AB"/>
    <w:rsid w:val="000C19A0"/>
    <w:rsid w:val="000C204A"/>
    <w:rsid w:val="000C385B"/>
    <w:rsid w:val="000C38C7"/>
    <w:rsid w:val="000C41B5"/>
    <w:rsid w:val="000C4FC6"/>
    <w:rsid w:val="000C54AA"/>
    <w:rsid w:val="000C57AE"/>
    <w:rsid w:val="000C5BAD"/>
    <w:rsid w:val="000C753A"/>
    <w:rsid w:val="000C7A9B"/>
    <w:rsid w:val="000D075B"/>
    <w:rsid w:val="000D1AC6"/>
    <w:rsid w:val="000D2E31"/>
    <w:rsid w:val="000D5632"/>
    <w:rsid w:val="000D7DDA"/>
    <w:rsid w:val="000E2117"/>
    <w:rsid w:val="000E278A"/>
    <w:rsid w:val="000E2B08"/>
    <w:rsid w:val="000E2BDE"/>
    <w:rsid w:val="000E49A2"/>
    <w:rsid w:val="000E4AD6"/>
    <w:rsid w:val="000E6E5A"/>
    <w:rsid w:val="000E7932"/>
    <w:rsid w:val="000E7E42"/>
    <w:rsid w:val="000E7FEE"/>
    <w:rsid w:val="000F076A"/>
    <w:rsid w:val="000F088A"/>
    <w:rsid w:val="000F284C"/>
    <w:rsid w:val="000F336B"/>
    <w:rsid w:val="000F3EC7"/>
    <w:rsid w:val="000F4749"/>
    <w:rsid w:val="000F772C"/>
    <w:rsid w:val="00100682"/>
    <w:rsid w:val="001023C6"/>
    <w:rsid w:val="001028F4"/>
    <w:rsid w:val="00105F9E"/>
    <w:rsid w:val="00106430"/>
    <w:rsid w:val="00106A46"/>
    <w:rsid w:val="00107190"/>
    <w:rsid w:val="0010725E"/>
    <w:rsid w:val="00110260"/>
    <w:rsid w:val="00110805"/>
    <w:rsid w:val="00111649"/>
    <w:rsid w:val="001124DA"/>
    <w:rsid w:val="00113023"/>
    <w:rsid w:val="0011469C"/>
    <w:rsid w:val="00114852"/>
    <w:rsid w:val="00114E7D"/>
    <w:rsid w:val="00114F9C"/>
    <w:rsid w:val="00114FBD"/>
    <w:rsid w:val="00116D2B"/>
    <w:rsid w:val="001229A7"/>
    <w:rsid w:val="00123314"/>
    <w:rsid w:val="00123825"/>
    <w:rsid w:val="00124428"/>
    <w:rsid w:val="00124B94"/>
    <w:rsid w:val="00127A70"/>
    <w:rsid w:val="00127E6E"/>
    <w:rsid w:val="00130E42"/>
    <w:rsid w:val="00131749"/>
    <w:rsid w:val="00132B8F"/>
    <w:rsid w:val="0013304A"/>
    <w:rsid w:val="00134E3D"/>
    <w:rsid w:val="00135A07"/>
    <w:rsid w:val="00135E79"/>
    <w:rsid w:val="001362B4"/>
    <w:rsid w:val="0013770F"/>
    <w:rsid w:val="00137F09"/>
    <w:rsid w:val="00137F0B"/>
    <w:rsid w:val="001403F8"/>
    <w:rsid w:val="00140591"/>
    <w:rsid w:val="00141D33"/>
    <w:rsid w:val="00142402"/>
    <w:rsid w:val="00142B7C"/>
    <w:rsid w:val="001475C4"/>
    <w:rsid w:val="00147A8C"/>
    <w:rsid w:val="00150485"/>
    <w:rsid w:val="0015074D"/>
    <w:rsid w:val="00151017"/>
    <w:rsid w:val="001526D3"/>
    <w:rsid w:val="00152EFA"/>
    <w:rsid w:val="0015761D"/>
    <w:rsid w:val="00157871"/>
    <w:rsid w:val="00157DDE"/>
    <w:rsid w:val="0016111B"/>
    <w:rsid w:val="001613B9"/>
    <w:rsid w:val="0016297E"/>
    <w:rsid w:val="00162E70"/>
    <w:rsid w:val="00162EE7"/>
    <w:rsid w:val="001642D7"/>
    <w:rsid w:val="001643F6"/>
    <w:rsid w:val="0016553B"/>
    <w:rsid w:val="00165693"/>
    <w:rsid w:val="00165876"/>
    <w:rsid w:val="00167811"/>
    <w:rsid w:val="0017027C"/>
    <w:rsid w:val="00173A06"/>
    <w:rsid w:val="00174AB0"/>
    <w:rsid w:val="0017533D"/>
    <w:rsid w:val="00176295"/>
    <w:rsid w:val="001765B3"/>
    <w:rsid w:val="0018040A"/>
    <w:rsid w:val="001807EA"/>
    <w:rsid w:val="00181F58"/>
    <w:rsid w:val="0018465E"/>
    <w:rsid w:val="001846CE"/>
    <w:rsid w:val="00184FD4"/>
    <w:rsid w:val="0018745C"/>
    <w:rsid w:val="001901A0"/>
    <w:rsid w:val="00191DCB"/>
    <w:rsid w:val="00192F40"/>
    <w:rsid w:val="00193B92"/>
    <w:rsid w:val="00194544"/>
    <w:rsid w:val="00196738"/>
    <w:rsid w:val="0019705B"/>
    <w:rsid w:val="00197A42"/>
    <w:rsid w:val="001A02D7"/>
    <w:rsid w:val="001A3222"/>
    <w:rsid w:val="001A5ECD"/>
    <w:rsid w:val="001A5EE9"/>
    <w:rsid w:val="001A71A7"/>
    <w:rsid w:val="001A7AA2"/>
    <w:rsid w:val="001A7C26"/>
    <w:rsid w:val="001B0855"/>
    <w:rsid w:val="001B17BE"/>
    <w:rsid w:val="001B2984"/>
    <w:rsid w:val="001B3230"/>
    <w:rsid w:val="001B5334"/>
    <w:rsid w:val="001B545C"/>
    <w:rsid w:val="001B625C"/>
    <w:rsid w:val="001B735B"/>
    <w:rsid w:val="001C0917"/>
    <w:rsid w:val="001C13E0"/>
    <w:rsid w:val="001C15F1"/>
    <w:rsid w:val="001C1673"/>
    <w:rsid w:val="001C22CD"/>
    <w:rsid w:val="001C3E32"/>
    <w:rsid w:val="001C5392"/>
    <w:rsid w:val="001C716B"/>
    <w:rsid w:val="001D2B9E"/>
    <w:rsid w:val="001D4B20"/>
    <w:rsid w:val="001D527C"/>
    <w:rsid w:val="001D5875"/>
    <w:rsid w:val="001D596B"/>
    <w:rsid w:val="001D5A98"/>
    <w:rsid w:val="001D772C"/>
    <w:rsid w:val="001E3B31"/>
    <w:rsid w:val="001E5F7C"/>
    <w:rsid w:val="001E5FA2"/>
    <w:rsid w:val="001E734C"/>
    <w:rsid w:val="001F20D5"/>
    <w:rsid w:val="001F31CB"/>
    <w:rsid w:val="001F32AC"/>
    <w:rsid w:val="001F6E0F"/>
    <w:rsid w:val="001F6F72"/>
    <w:rsid w:val="00201909"/>
    <w:rsid w:val="002021DB"/>
    <w:rsid w:val="00202EC4"/>
    <w:rsid w:val="002047A4"/>
    <w:rsid w:val="00204B22"/>
    <w:rsid w:val="00204DD1"/>
    <w:rsid w:val="00205846"/>
    <w:rsid w:val="00207262"/>
    <w:rsid w:val="00207B2A"/>
    <w:rsid w:val="00212023"/>
    <w:rsid w:val="002127E2"/>
    <w:rsid w:val="00212998"/>
    <w:rsid w:val="002136B5"/>
    <w:rsid w:val="00214903"/>
    <w:rsid w:val="00214E4D"/>
    <w:rsid w:val="00215E02"/>
    <w:rsid w:val="00216C08"/>
    <w:rsid w:val="0021701F"/>
    <w:rsid w:val="00217161"/>
    <w:rsid w:val="00217902"/>
    <w:rsid w:val="00217B35"/>
    <w:rsid w:val="00217E8E"/>
    <w:rsid w:val="002200CE"/>
    <w:rsid w:val="00220897"/>
    <w:rsid w:val="0022153B"/>
    <w:rsid w:val="00221559"/>
    <w:rsid w:val="00221D09"/>
    <w:rsid w:val="002221E6"/>
    <w:rsid w:val="00222625"/>
    <w:rsid w:val="00222929"/>
    <w:rsid w:val="002246A6"/>
    <w:rsid w:val="00224855"/>
    <w:rsid w:val="00225550"/>
    <w:rsid w:val="00225E56"/>
    <w:rsid w:val="00226F71"/>
    <w:rsid w:val="00227B28"/>
    <w:rsid w:val="00230B66"/>
    <w:rsid w:val="00230F35"/>
    <w:rsid w:val="00231366"/>
    <w:rsid w:val="002326AC"/>
    <w:rsid w:val="002367ED"/>
    <w:rsid w:val="0023720E"/>
    <w:rsid w:val="002375F3"/>
    <w:rsid w:val="00241AAA"/>
    <w:rsid w:val="00242BC6"/>
    <w:rsid w:val="00243085"/>
    <w:rsid w:val="0024405B"/>
    <w:rsid w:val="002456D8"/>
    <w:rsid w:val="00247804"/>
    <w:rsid w:val="002511CB"/>
    <w:rsid w:val="00253099"/>
    <w:rsid w:val="00253309"/>
    <w:rsid w:val="002533A8"/>
    <w:rsid w:val="00253444"/>
    <w:rsid w:val="00253E54"/>
    <w:rsid w:val="00254E09"/>
    <w:rsid w:val="0026029B"/>
    <w:rsid w:val="002602D9"/>
    <w:rsid w:val="00260B3E"/>
    <w:rsid w:val="002622BB"/>
    <w:rsid w:val="002635D6"/>
    <w:rsid w:val="00263972"/>
    <w:rsid w:val="002652A0"/>
    <w:rsid w:val="00265434"/>
    <w:rsid w:val="00267365"/>
    <w:rsid w:val="002703EA"/>
    <w:rsid w:val="00270AA1"/>
    <w:rsid w:val="00270E03"/>
    <w:rsid w:val="00271BDE"/>
    <w:rsid w:val="00272094"/>
    <w:rsid w:val="00273850"/>
    <w:rsid w:val="00273BEF"/>
    <w:rsid w:val="00274B85"/>
    <w:rsid w:val="0027585B"/>
    <w:rsid w:val="00275A52"/>
    <w:rsid w:val="00276550"/>
    <w:rsid w:val="00276951"/>
    <w:rsid w:val="0028061B"/>
    <w:rsid w:val="00281A9C"/>
    <w:rsid w:val="00282195"/>
    <w:rsid w:val="00283919"/>
    <w:rsid w:val="00283A0C"/>
    <w:rsid w:val="00284531"/>
    <w:rsid w:val="00285A32"/>
    <w:rsid w:val="00285B80"/>
    <w:rsid w:val="00286833"/>
    <w:rsid w:val="00286AD3"/>
    <w:rsid w:val="00286C15"/>
    <w:rsid w:val="00286DA5"/>
    <w:rsid w:val="00286EF9"/>
    <w:rsid w:val="0028759C"/>
    <w:rsid w:val="002908FF"/>
    <w:rsid w:val="00291A71"/>
    <w:rsid w:val="00292644"/>
    <w:rsid w:val="00295C41"/>
    <w:rsid w:val="00296012"/>
    <w:rsid w:val="00296760"/>
    <w:rsid w:val="00297E1A"/>
    <w:rsid w:val="002A0081"/>
    <w:rsid w:val="002A098A"/>
    <w:rsid w:val="002A22D7"/>
    <w:rsid w:val="002A6255"/>
    <w:rsid w:val="002A64DA"/>
    <w:rsid w:val="002A7B42"/>
    <w:rsid w:val="002A7DF2"/>
    <w:rsid w:val="002B0F2B"/>
    <w:rsid w:val="002B0F9D"/>
    <w:rsid w:val="002B16CB"/>
    <w:rsid w:val="002B212A"/>
    <w:rsid w:val="002B2823"/>
    <w:rsid w:val="002B2FFE"/>
    <w:rsid w:val="002B40A3"/>
    <w:rsid w:val="002B416E"/>
    <w:rsid w:val="002B4B0B"/>
    <w:rsid w:val="002B5153"/>
    <w:rsid w:val="002B62DC"/>
    <w:rsid w:val="002B70F5"/>
    <w:rsid w:val="002B7193"/>
    <w:rsid w:val="002C0C87"/>
    <w:rsid w:val="002C1BC2"/>
    <w:rsid w:val="002C2239"/>
    <w:rsid w:val="002C232E"/>
    <w:rsid w:val="002C26FF"/>
    <w:rsid w:val="002C611A"/>
    <w:rsid w:val="002C61F5"/>
    <w:rsid w:val="002C63AF"/>
    <w:rsid w:val="002C6420"/>
    <w:rsid w:val="002C6D6A"/>
    <w:rsid w:val="002C6FB8"/>
    <w:rsid w:val="002C754D"/>
    <w:rsid w:val="002C79C6"/>
    <w:rsid w:val="002D00F5"/>
    <w:rsid w:val="002D27A3"/>
    <w:rsid w:val="002D33AE"/>
    <w:rsid w:val="002D40CB"/>
    <w:rsid w:val="002D4ADC"/>
    <w:rsid w:val="002D5716"/>
    <w:rsid w:val="002D6122"/>
    <w:rsid w:val="002D782C"/>
    <w:rsid w:val="002E0D66"/>
    <w:rsid w:val="002E19C1"/>
    <w:rsid w:val="002E238F"/>
    <w:rsid w:val="002E301E"/>
    <w:rsid w:val="002E3BA6"/>
    <w:rsid w:val="002E4701"/>
    <w:rsid w:val="002E4D31"/>
    <w:rsid w:val="002E6D16"/>
    <w:rsid w:val="002E7024"/>
    <w:rsid w:val="002E7DDB"/>
    <w:rsid w:val="002F24CC"/>
    <w:rsid w:val="002F2569"/>
    <w:rsid w:val="002F420F"/>
    <w:rsid w:val="002F4D68"/>
    <w:rsid w:val="002F5F0E"/>
    <w:rsid w:val="002F765D"/>
    <w:rsid w:val="002F777C"/>
    <w:rsid w:val="003000F0"/>
    <w:rsid w:val="00300BF1"/>
    <w:rsid w:val="00301814"/>
    <w:rsid w:val="00301B5E"/>
    <w:rsid w:val="00301B61"/>
    <w:rsid w:val="00301BAC"/>
    <w:rsid w:val="00301C46"/>
    <w:rsid w:val="00303FAD"/>
    <w:rsid w:val="00304F93"/>
    <w:rsid w:val="003113F6"/>
    <w:rsid w:val="00311C9A"/>
    <w:rsid w:val="003139D6"/>
    <w:rsid w:val="00314582"/>
    <w:rsid w:val="00315AF4"/>
    <w:rsid w:val="00316142"/>
    <w:rsid w:val="0031639E"/>
    <w:rsid w:val="00321DA7"/>
    <w:rsid w:val="00321F80"/>
    <w:rsid w:val="00321FF2"/>
    <w:rsid w:val="00322759"/>
    <w:rsid w:val="00323087"/>
    <w:rsid w:val="00324031"/>
    <w:rsid w:val="0032629C"/>
    <w:rsid w:val="00326E16"/>
    <w:rsid w:val="003308AC"/>
    <w:rsid w:val="003331C2"/>
    <w:rsid w:val="00333745"/>
    <w:rsid w:val="0033472E"/>
    <w:rsid w:val="00336039"/>
    <w:rsid w:val="00336108"/>
    <w:rsid w:val="003370E4"/>
    <w:rsid w:val="0033712C"/>
    <w:rsid w:val="00343491"/>
    <w:rsid w:val="003446F0"/>
    <w:rsid w:val="00345817"/>
    <w:rsid w:val="00345DBD"/>
    <w:rsid w:val="0034606E"/>
    <w:rsid w:val="0034611A"/>
    <w:rsid w:val="00347631"/>
    <w:rsid w:val="003515F6"/>
    <w:rsid w:val="003524FF"/>
    <w:rsid w:val="00352BF7"/>
    <w:rsid w:val="00352E01"/>
    <w:rsid w:val="003535FC"/>
    <w:rsid w:val="003539DF"/>
    <w:rsid w:val="003539E7"/>
    <w:rsid w:val="003541CC"/>
    <w:rsid w:val="00354FED"/>
    <w:rsid w:val="00355130"/>
    <w:rsid w:val="00356724"/>
    <w:rsid w:val="00357BFC"/>
    <w:rsid w:val="00357CE7"/>
    <w:rsid w:val="00360323"/>
    <w:rsid w:val="00360AAA"/>
    <w:rsid w:val="00360E6B"/>
    <w:rsid w:val="003617D9"/>
    <w:rsid w:val="003624D0"/>
    <w:rsid w:val="003627EE"/>
    <w:rsid w:val="00362EFA"/>
    <w:rsid w:val="00363246"/>
    <w:rsid w:val="00363558"/>
    <w:rsid w:val="003645A0"/>
    <w:rsid w:val="00365404"/>
    <w:rsid w:val="00366DCD"/>
    <w:rsid w:val="0036730A"/>
    <w:rsid w:val="00367F97"/>
    <w:rsid w:val="00370798"/>
    <w:rsid w:val="0037168A"/>
    <w:rsid w:val="00371BB4"/>
    <w:rsid w:val="00371E30"/>
    <w:rsid w:val="00372E45"/>
    <w:rsid w:val="003748D8"/>
    <w:rsid w:val="0038308A"/>
    <w:rsid w:val="00383120"/>
    <w:rsid w:val="00383EDF"/>
    <w:rsid w:val="003864FD"/>
    <w:rsid w:val="00386BE3"/>
    <w:rsid w:val="003905A2"/>
    <w:rsid w:val="00390C68"/>
    <w:rsid w:val="003913BF"/>
    <w:rsid w:val="003915BE"/>
    <w:rsid w:val="003924E5"/>
    <w:rsid w:val="00393187"/>
    <w:rsid w:val="00393DB4"/>
    <w:rsid w:val="00393DCB"/>
    <w:rsid w:val="003942A1"/>
    <w:rsid w:val="00394583"/>
    <w:rsid w:val="00395408"/>
    <w:rsid w:val="0039576F"/>
    <w:rsid w:val="00395F4F"/>
    <w:rsid w:val="003A1FD4"/>
    <w:rsid w:val="003A308E"/>
    <w:rsid w:val="003A37D2"/>
    <w:rsid w:val="003A47FC"/>
    <w:rsid w:val="003A4E6E"/>
    <w:rsid w:val="003A5935"/>
    <w:rsid w:val="003A5D2D"/>
    <w:rsid w:val="003A727A"/>
    <w:rsid w:val="003A78B3"/>
    <w:rsid w:val="003B01E2"/>
    <w:rsid w:val="003B0D82"/>
    <w:rsid w:val="003B3899"/>
    <w:rsid w:val="003B40A3"/>
    <w:rsid w:val="003B495D"/>
    <w:rsid w:val="003B4AA8"/>
    <w:rsid w:val="003B6E9E"/>
    <w:rsid w:val="003B7547"/>
    <w:rsid w:val="003C0467"/>
    <w:rsid w:val="003C1656"/>
    <w:rsid w:val="003C3A99"/>
    <w:rsid w:val="003C3B9E"/>
    <w:rsid w:val="003C3E48"/>
    <w:rsid w:val="003C54CF"/>
    <w:rsid w:val="003C5EEB"/>
    <w:rsid w:val="003C71D5"/>
    <w:rsid w:val="003C72B5"/>
    <w:rsid w:val="003D3D98"/>
    <w:rsid w:val="003D49AB"/>
    <w:rsid w:val="003D51E2"/>
    <w:rsid w:val="003D578A"/>
    <w:rsid w:val="003D5B96"/>
    <w:rsid w:val="003D73A1"/>
    <w:rsid w:val="003D78F8"/>
    <w:rsid w:val="003E0F50"/>
    <w:rsid w:val="003E2927"/>
    <w:rsid w:val="003E3046"/>
    <w:rsid w:val="003E31C6"/>
    <w:rsid w:val="003E37CF"/>
    <w:rsid w:val="003E49D9"/>
    <w:rsid w:val="003E50A2"/>
    <w:rsid w:val="003E560F"/>
    <w:rsid w:val="003E6395"/>
    <w:rsid w:val="003E7EFE"/>
    <w:rsid w:val="003F07A7"/>
    <w:rsid w:val="003F17B1"/>
    <w:rsid w:val="003F2467"/>
    <w:rsid w:val="003F2FC8"/>
    <w:rsid w:val="003F3B1D"/>
    <w:rsid w:val="003F41B3"/>
    <w:rsid w:val="003F4344"/>
    <w:rsid w:val="003F54CF"/>
    <w:rsid w:val="003F5B45"/>
    <w:rsid w:val="003F6037"/>
    <w:rsid w:val="003F74C3"/>
    <w:rsid w:val="00400853"/>
    <w:rsid w:val="00402396"/>
    <w:rsid w:val="00404019"/>
    <w:rsid w:val="0040532A"/>
    <w:rsid w:val="004059EC"/>
    <w:rsid w:val="0040659F"/>
    <w:rsid w:val="00406C75"/>
    <w:rsid w:val="004071C3"/>
    <w:rsid w:val="00410B46"/>
    <w:rsid w:val="00411340"/>
    <w:rsid w:val="00412319"/>
    <w:rsid w:val="00413B0B"/>
    <w:rsid w:val="00414160"/>
    <w:rsid w:val="00414DBE"/>
    <w:rsid w:val="00415158"/>
    <w:rsid w:val="00415779"/>
    <w:rsid w:val="00416584"/>
    <w:rsid w:val="00416D03"/>
    <w:rsid w:val="00416D72"/>
    <w:rsid w:val="00417BE4"/>
    <w:rsid w:val="00421E35"/>
    <w:rsid w:val="0042222B"/>
    <w:rsid w:val="00422EA7"/>
    <w:rsid w:val="004235A1"/>
    <w:rsid w:val="004243F3"/>
    <w:rsid w:val="00426194"/>
    <w:rsid w:val="004301A2"/>
    <w:rsid w:val="004312DA"/>
    <w:rsid w:val="004333C7"/>
    <w:rsid w:val="00434938"/>
    <w:rsid w:val="0043579E"/>
    <w:rsid w:val="004368A1"/>
    <w:rsid w:val="00440BFE"/>
    <w:rsid w:val="00441564"/>
    <w:rsid w:val="00442129"/>
    <w:rsid w:val="00445D14"/>
    <w:rsid w:val="00445D40"/>
    <w:rsid w:val="00451EE4"/>
    <w:rsid w:val="004543F7"/>
    <w:rsid w:val="00456AB2"/>
    <w:rsid w:val="00456E63"/>
    <w:rsid w:val="004579AD"/>
    <w:rsid w:val="004606D3"/>
    <w:rsid w:val="00460732"/>
    <w:rsid w:val="00460B24"/>
    <w:rsid w:val="00460F79"/>
    <w:rsid w:val="00461C98"/>
    <w:rsid w:val="0046301E"/>
    <w:rsid w:val="00463305"/>
    <w:rsid w:val="00463E9D"/>
    <w:rsid w:val="004644FD"/>
    <w:rsid w:val="00464C62"/>
    <w:rsid w:val="00465784"/>
    <w:rsid w:val="004667C1"/>
    <w:rsid w:val="00470AD2"/>
    <w:rsid w:val="00470B2F"/>
    <w:rsid w:val="00470E8B"/>
    <w:rsid w:val="00474849"/>
    <w:rsid w:val="00475078"/>
    <w:rsid w:val="00475EED"/>
    <w:rsid w:val="0047631F"/>
    <w:rsid w:val="00476F84"/>
    <w:rsid w:val="0047709E"/>
    <w:rsid w:val="004773F3"/>
    <w:rsid w:val="00477729"/>
    <w:rsid w:val="00481999"/>
    <w:rsid w:val="004829A7"/>
    <w:rsid w:val="00483497"/>
    <w:rsid w:val="00483FBF"/>
    <w:rsid w:val="00484361"/>
    <w:rsid w:val="0048493F"/>
    <w:rsid w:val="00485E26"/>
    <w:rsid w:val="004864ED"/>
    <w:rsid w:val="004868FC"/>
    <w:rsid w:val="00486B72"/>
    <w:rsid w:val="00486D04"/>
    <w:rsid w:val="00487503"/>
    <w:rsid w:val="004878DD"/>
    <w:rsid w:val="00490A6B"/>
    <w:rsid w:val="00492DB8"/>
    <w:rsid w:val="004953F1"/>
    <w:rsid w:val="0049594C"/>
    <w:rsid w:val="00495E56"/>
    <w:rsid w:val="00497C45"/>
    <w:rsid w:val="004A058A"/>
    <w:rsid w:val="004A3556"/>
    <w:rsid w:val="004A5031"/>
    <w:rsid w:val="004A5E53"/>
    <w:rsid w:val="004A63E7"/>
    <w:rsid w:val="004A74B7"/>
    <w:rsid w:val="004A7538"/>
    <w:rsid w:val="004A7540"/>
    <w:rsid w:val="004A7EE8"/>
    <w:rsid w:val="004B0B4F"/>
    <w:rsid w:val="004B22DF"/>
    <w:rsid w:val="004B277E"/>
    <w:rsid w:val="004B2C61"/>
    <w:rsid w:val="004B3579"/>
    <w:rsid w:val="004B43FC"/>
    <w:rsid w:val="004B4C47"/>
    <w:rsid w:val="004B5049"/>
    <w:rsid w:val="004B5392"/>
    <w:rsid w:val="004B78C9"/>
    <w:rsid w:val="004C0124"/>
    <w:rsid w:val="004C0DC2"/>
    <w:rsid w:val="004C415A"/>
    <w:rsid w:val="004C5172"/>
    <w:rsid w:val="004C52D8"/>
    <w:rsid w:val="004C6CCB"/>
    <w:rsid w:val="004C6F4F"/>
    <w:rsid w:val="004C735C"/>
    <w:rsid w:val="004C74A6"/>
    <w:rsid w:val="004C7D61"/>
    <w:rsid w:val="004D03C3"/>
    <w:rsid w:val="004D0E1A"/>
    <w:rsid w:val="004D1130"/>
    <w:rsid w:val="004D17F8"/>
    <w:rsid w:val="004D34A7"/>
    <w:rsid w:val="004D379B"/>
    <w:rsid w:val="004D3C43"/>
    <w:rsid w:val="004D4ACA"/>
    <w:rsid w:val="004D4F08"/>
    <w:rsid w:val="004D5D7F"/>
    <w:rsid w:val="004D6D55"/>
    <w:rsid w:val="004D7221"/>
    <w:rsid w:val="004D77A4"/>
    <w:rsid w:val="004D7E9E"/>
    <w:rsid w:val="004E1E54"/>
    <w:rsid w:val="004E5FD0"/>
    <w:rsid w:val="004E6B0B"/>
    <w:rsid w:val="004E71F5"/>
    <w:rsid w:val="004E7804"/>
    <w:rsid w:val="004F09BD"/>
    <w:rsid w:val="004F0FD6"/>
    <w:rsid w:val="004F151D"/>
    <w:rsid w:val="004F1A1E"/>
    <w:rsid w:val="004F1C2B"/>
    <w:rsid w:val="004F2716"/>
    <w:rsid w:val="004F38BF"/>
    <w:rsid w:val="004F448D"/>
    <w:rsid w:val="004F4810"/>
    <w:rsid w:val="004F4986"/>
    <w:rsid w:val="004F599C"/>
    <w:rsid w:val="004F6ED3"/>
    <w:rsid w:val="00500ED0"/>
    <w:rsid w:val="005010AA"/>
    <w:rsid w:val="00501366"/>
    <w:rsid w:val="00501EE1"/>
    <w:rsid w:val="00503277"/>
    <w:rsid w:val="00503FFB"/>
    <w:rsid w:val="005048E4"/>
    <w:rsid w:val="0050526B"/>
    <w:rsid w:val="00505CC1"/>
    <w:rsid w:val="00505DC4"/>
    <w:rsid w:val="0050793E"/>
    <w:rsid w:val="00511C84"/>
    <w:rsid w:val="00512672"/>
    <w:rsid w:val="00512D37"/>
    <w:rsid w:val="00516B24"/>
    <w:rsid w:val="0051732F"/>
    <w:rsid w:val="00520926"/>
    <w:rsid w:val="00520F90"/>
    <w:rsid w:val="00521395"/>
    <w:rsid w:val="005224B5"/>
    <w:rsid w:val="00523AFD"/>
    <w:rsid w:val="00524344"/>
    <w:rsid w:val="00524E2C"/>
    <w:rsid w:val="0052515C"/>
    <w:rsid w:val="00525C12"/>
    <w:rsid w:val="00526348"/>
    <w:rsid w:val="00526F35"/>
    <w:rsid w:val="0052711C"/>
    <w:rsid w:val="00527821"/>
    <w:rsid w:val="0053082B"/>
    <w:rsid w:val="00532C06"/>
    <w:rsid w:val="005331DA"/>
    <w:rsid w:val="005351BC"/>
    <w:rsid w:val="00536BC1"/>
    <w:rsid w:val="00537CDF"/>
    <w:rsid w:val="00537F5F"/>
    <w:rsid w:val="00541193"/>
    <w:rsid w:val="0054170B"/>
    <w:rsid w:val="005432F2"/>
    <w:rsid w:val="00544679"/>
    <w:rsid w:val="005455C2"/>
    <w:rsid w:val="005456ED"/>
    <w:rsid w:val="00546113"/>
    <w:rsid w:val="005463AC"/>
    <w:rsid w:val="0054706C"/>
    <w:rsid w:val="0055626B"/>
    <w:rsid w:val="005563E9"/>
    <w:rsid w:val="005565D4"/>
    <w:rsid w:val="005601BA"/>
    <w:rsid w:val="005623D6"/>
    <w:rsid w:val="00562B74"/>
    <w:rsid w:val="005653F0"/>
    <w:rsid w:val="00565926"/>
    <w:rsid w:val="0056612A"/>
    <w:rsid w:val="0056673B"/>
    <w:rsid w:val="00566A4C"/>
    <w:rsid w:val="00566C88"/>
    <w:rsid w:val="005670D2"/>
    <w:rsid w:val="00567178"/>
    <w:rsid w:val="005702A1"/>
    <w:rsid w:val="00570472"/>
    <w:rsid w:val="00571670"/>
    <w:rsid w:val="00572816"/>
    <w:rsid w:val="00572817"/>
    <w:rsid w:val="005731C4"/>
    <w:rsid w:val="0057352D"/>
    <w:rsid w:val="0057360F"/>
    <w:rsid w:val="005736A8"/>
    <w:rsid w:val="005743B5"/>
    <w:rsid w:val="00575362"/>
    <w:rsid w:val="0057589F"/>
    <w:rsid w:val="0057611F"/>
    <w:rsid w:val="00576D5F"/>
    <w:rsid w:val="00577E20"/>
    <w:rsid w:val="00581067"/>
    <w:rsid w:val="00582FA9"/>
    <w:rsid w:val="005848A6"/>
    <w:rsid w:val="005856AF"/>
    <w:rsid w:val="00586EAE"/>
    <w:rsid w:val="00587132"/>
    <w:rsid w:val="00590B2F"/>
    <w:rsid w:val="00592C03"/>
    <w:rsid w:val="005941E2"/>
    <w:rsid w:val="005978CF"/>
    <w:rsid w:val="005A1030"/>
    <w:rsid w:val="005A144A"/>
    <w:rsid w:val="005A3672"/>
    <w:rsid w:val="005A3852"/>
    <w:rsid w:val="005A3D54"/>
    <w:rsid w:val="005A491B"/>
    <w:rsid w:val="005A4EE2"/>
    <w:rsid w:val="005A7669"/>
    <w:rsid w:val="005B04F8"/>
    <w:rsid w:val="005B1513"/>
    <w:rsid w:val="005B17C4"/>
    <w:rsid w:val="005B292C"/>
    <w:rsid w:val="005B2B82"/>
    <w:rsid w:val="005B354E"/>
    <w:rsid w:val="005B5705"/>
    <w:rsid w:val="005B6387"/>
    <w:rsid w:val="005B6AAF"/>
    <w:rsid w:val="005B6CEC"/>
    <w:rsid w:val="005C02C3"/>
    <w:rsid w:val="005C10F0"/>
    <w:rsid w:val="005C1948"/>
    <w:rsid w:val="005C3012"/>
    <w:rsid w:val="005C4BCE"/>
    <w:rsid w:val="005C5644"/>
    <w:rsid w:val="005C68CA"/>
    <w:rsid w:val="005C6ADF"/>
    <w:rsid w:val="005C6AE1"/>
    <w:rsid w:val="005C7389"/>
    <w:rsid w:val="005C762D"/>
    <w:rsid w:val="005C7BB4"/>
    <w:rsid w:val="005D0268"/>
    <w:rsid w:val="005D0DF7"/>
    <w:rsid w:val="005D1360"/>
    <w:rsid w:val="005D318A"/>
    <w:rsid w:val="005D33B1"/>
    <w:rsid w:val="005D5307"/>
    <w:rsid w:val="005D674D"/>
    <w:rsid w:val="005E0C71"/>
    <w:rsid w:val="005E151D"/>
    <w:rsid w:val="005E2976"/>
    <w:rsid w:val="005E346C"/>
    <w:rsid w:val="005E4442"/>
    <w:rsid w:val="005E56AE"/>
    <w:rsid w:val="005E5850"/>
    <w:rsid w:val="005E623C"/>
    <w:rsid w:val="005E64C5"/>
    <w:rsid w:val="005E6D0D"/>
    <w:rsid w:val="005E748E"/>
    <w:rsid w:val="005E7648"/>
    <w:rsid w:val="005F1C80"/>
    <w:rsid w:val="005F26F3"/>
    <w:rsid w:val="005F57C7"/>
    <w:rsid w:val="005F6358"/>
    <w:rsid w:val="00600CEB"/>
    <w:rsid w:val="00600E16"/>
    <w:rsid w:val="006028C9"/>
    <w:rsid w:val="00603A87"/>
    <w:rsid w:val="0060485D"/>
    <w:rsid w:val="00604A2C"/>
    <w:rsid w:val="00604F9B"/>
    <w:rsid w:val="00606EA5"/>
    <w:rsid w:val="00607939"/>
    <w:rsid w:val="0061066D"/>
    <w:rsid w:val="00610C4F"/>
    <w:rsid w:val="00611F59"/>
    <w:rsid w:val="00612E9D"/>
    <w:rsid w:val="0061385E"/>
    <w:rsid w:val="00614674"/>
    <w:rsid w:val="00615199"/>
    <w:rsid w:val="00615B90"/>
    <w:rsid w:val="00616127"/>
    <w:rsid w:val="00616E5B"/>
    <w:rsid w:val="00617282"/>
    <w:rsid w:val="006232C6"/>
    <w:rsid w:val="00623388"/>
    <w:rsid w:val="00623F1C"/>
    <w:rsid w:val="00624282"/>
    <w:rsid w:val="00624448"/>
    <w:rsid w:val="006268F7"/>
    <w:rsid w:val="00626F86"/>
    <w:rsid w:val="006274FB"/>
    <w:rsid w:val="006278F0"/>
    <w:rsid w:val="00631817"/>
    <w:rsid w:val="00632094"/>
    <w:rsid w:val="006324C9"/>
    <w:rsid w:val="00632702"/>
    <w:rsid w:val="006334B2"/>
    <w:rsid w:val="006334F4"/>
    <w:rsid w:val="006350AA"/>
    <w:rsid w:val="00635403"/>
    <w:rsid w:val="0063601A"/>
    <w:rsid w:val="00636EAD"/>
    <w:rsid w:val="00636FA5"/>
    <w:rsid w:val="00637215"/>
    <w:rsid w:val="00637A30"/>
    <w:rsid w:val="00637ADE"/>
    <w:rsid w:val="0064109E"/>
    <w:rsid w:val="00643795"/>
    <w:rsid w:val="006443A2"/>
    <w:rsid w:val="0064560B"/>
    <w:rsid w:val="00650711"/>
    <w:rsid w:val="00651A7D"/>
    <w:rsid w:val="00652A74"/>
    <w:rsid w:val="00652DB1"/>
    <w:rsid w:val="00653359"/>
    <w:rsid w:val="00656325"/>
    <w:rsid w:val="006614D5"/>
    <w:rsid w:val="00664898"/>
    <w:rsid w:val="00666C24"/>
    <w:rsid w:val="00667CF9"/>
    <w:rsid w:val="00670730"/>
    <w:rsid w:val="006724B9"/>
    <w:rsid w:val="00673871"/>
    <w:rsid w:val="00673D0C"/>
    <w:rsid w:val="006740D0"/>
    <w:rsid w:val="00674F90"/>
    <w:rsid w:val="00675632"/>
    <w:rsid w:val="00677CE0"/>
    <w:rsid w:val="00677EB0"/>
    <w:rsid w:val="00681F86"/>
    <w:rsid w:val="00682F52"/>
    <w:rsid w:val="0068339F"/>
    <w:rsid w:val="0068440B"/>
    <w:rsid w:val="00684D9E"/>
    <w:rsid w:val="0068616C"/>
    <w:rsid w:val="006903AF"/>
    <w:rsid w:val="006911B6"/>
    <w:rsid w:val="0069162F"/>
    <w:rsid w:val="006935D9"/>
    <w:rsid w:val="0069483B"/>
    <w:rsid w:val="00697093"/>
    <w:rsid w:val="006A19F3"/>
    <w:rsid w:val="006A1F0C"/>
    <w:rsid w:val="006A284C"/>
    <w:rsid w:val="006A38FC"/>
    <w:rsid w:val="006A4505"/>
    <w:rsid w:val="006A475A"/>
    <w:rsid w:val="006A5AB1"/>
    <w:rsid w:val="006A7FAD"/>
    <w:rsid w:val="006B014C"/>
    <w:rsid w:val="006B13F7"/>
    <w:rsid w:val="006B2D19"/>
    <w:rsid w:val="006B45CD"/>
    <w:rsid w:val="006B5101"/>
    <w:rsid w:val="006B5B36"/>
    <w:rsid w:val="006B67F6"/>
    <w:rsid w:val="006B6C05"/>
    <w:rsid w:val="006B733F"/>
    <w:rsid w:val="006B746D"/>
    <w:rsid w:val="006B75D0"/>
    <w:rsid w:val="006C1441"/>
    <w:rsid w:val="006C22D7"/>
    <w:rsid w:val="006C3948"/>
    <w:rsid w:val="006C5690"/>
    <w:rsid w:val="006C5F82"/>
    <w:rsid w:val="006C603C"/>
    <w:rsid w:val="006C7884"/>
    <w:rsid w:val="006D0033"/>
    <w:rsid w:val="006D0178"/>
    <w:rsid w:val="006D1CEB"/>
    <w:rsid w:val="006D213F"/>
    <w:rsid w:val="006D30A7"/>
    <w:rsid w:val="006D369A"/>
    <w:rsid w:val="006D3F1E"/>
    <w:rsid w:val="006D4021"/>
    <w:rsid w:val="006D424E"/>
    <w:rsid w:val="006D553F"/>
    <w:rsid w:val="006D58C5"/>
    <w:rsid w:val="006D6FA2"/>
    <w:rsid w:val="006D735B"/>
    <w:rsid w:val="006D74FC"/>
    <w:rsid w:val="006E074C"/>
    <w:rsid w:val="006E09A7"/>
    <w:rsid w:val="006E0F32"/>
    <w:rsid w:val="006E242F"/>
    <w:rsid w:val="006E2981"/>
    <w:rsid w:val="006E3A6B"/>
    <w:rsid w:val="006E3C0C"/>
    <w:rsid w:val="006E457F"/>
    <w:rsid w:val="006E46CE"/>
    <w:rsid w:val="006E49B8"/>
    <w:rsid w:val="006E56B0"/>
    <w:rsid w:val="006E58C0"/>
    <w:rsid w:val="006E669C"/>
    <w:rsid w:val="006E74EF"/>
    <w:rsid w:val="006E7FB7"/>
    <w:rsid w:val="006F0EBE"/>
    <w:rsid w:val="006F1453"/>
    <w:rsid w:val="006F16C8"/>
    <w:rsid w:val="006F31DD"/>
    <w:rsid w:val="006F4350"/>
    <w:rsid w:val="006F5C08"/>
    <w:rsid w:val="006F6D10"/>
    <w:rsid w:val="006F714B"/>
    <w:rsid w:val="007000CF"/>
    <w:rsid w:val="007013C3"/>
    <w:rsid w:val="007025B6"/>
    <w:rsid w:val="00702BC0"/>
    <w:rsid w:val="00704324"/>
    <w:rsid w:val="007049C7"/>
    <w:rsid w:val="0071003E"/>
    <w:rsid w:val="00710624"/>
    <w:rsid w:val="0071082B"/>
    <w:rsid w:val="0071124E"/>
    <w:rsid w:val="00713129"/>
    <w:rsid w:val="007131ED"/>
    <w:rsid w:val="00713BC0"/>
    <w:rsid w:val="00715339"/>
    <w:rsid w:val="00715AF8"/>
    <w:rsid w:val="0071602D"/>
    <w:rsid w:val="00717592"/>
    <w:rsid w:val="00717C7C"/>
    <w:rsid w:val="00721507"/>
    <w:rsid w:val="007215B8"/>
    <w:rsid w:val="0072187B"/>
    <w:rsid w:val="00721896"/>
    <w:rsid w:val="0072210D"/>
    <w:rsid w:val="00724A2A"/>
    <w:rsid w:val="00724A49"/>
    <w:rsid w:val="0072518D"/>
    <w:rsid w:val="00725AD3"/>
    <w:rsid w:val="007272B6"/>
    <w:rsid w:val="00730C35"/>
    <w:rsid w:val="007314E4"/>
    <w:rsid w:val="007354BC"/>
    <w:rsid w:val="0073567E"/>
    <w:rsid w:val="0073587B"/>
    <w:rsid w:val="0073753B"/>
    <w:rsid w:val="00741898"/>
    <w:rsid w:val="00742A04"/>
    <w:rsid w:val="00744EDA"/>
    <w:rsid w:val="00744F7B"/>
    <w:rsid w:val="00746931"/>
    <w:rsid w:val="00746F33"/>
    <w:rsid w:val="007470D1"/>
    <w:rsid w:val="007476DA"/>
    <w:rsid w:val="007515D1"/>
    <w:rsid w:val="00752335"/>
    <w:rsid w:val="007526DA"/>
    <w:rsid w:val="00753235"/>
    <w:rsid w:val="007533B4"/>
    <w:rsid w:val="007555A5"/>
    <w:rsid w:val="0075645F"/>
    <w:rsid w:val="00756DBA"/>
    <w:rsid w:val="0075719C"/>
    <w:rsid w:val="00760491"/>
    <w:rsid w:val="00760B73"/>
    <w:rsid w:val="00761331"/>
    <w:rsid w:val="007616DB"/>
    <w:rsid w:val="00762703"/>
    <w:rsid w:val="00762934"/>
    <w:rsid w:val="00765D77"/>
    <w:rsid w:val="00766522"/>
    <w:rsid w:val="007673F9"/>
    <w:rsid w:val="0077058C"/>
    <w:rsid w:val="007705C1"/>
    <w:rsid w:val="00771727"/>
    <w:rsid w:val="007719BD"/>
    <w:rsid w:val="007733DE"/>
    <w:rsid w:val="00773D01"/>
    <w:rsid w:val="00774A72"/>
    <w:rsid w:val="0077589C"/>
    <w:rsid w:val="00775950"/>
    <w:rsid w:val="00775CA9"/>
    <w:rsid w:val="0077708A"/>
    <w:rsid w:val="00777643"/>
    <w:rsid w:val="00780C34"/>
    <w:rsid w:val="00781840"/>
    <w:rsid w:val="00783A87"/>
    <w:rsid w:val="007840F0"/>
    <w:rsid w:val="00784F9A"/>
    <w:rsid w:val="007855FC"/>
    <w:rsid w:val="00786294"/>
    <w:rsid w:val="007866D3"/>
    <w:rsid w:val="00787D02"/>
    <w:rsid w:val="0079015E"/>
    <w:rsid w:val="00790782"/>
    <w:rsid w:val="0079095C"/>
    <w:rsid w:val="00791219"/>
    <w:rsid w:val="00792426"/>
    <w:rsid w:val="00792A38"/>
    <w:rsid w:val="00792B86"/>
    <w:rsid w:val="00793984"/>
    <w:rsid w:val="00794FC8"/>
    <w:rsid w:val="00795626"/>
    <w:rsid w:val="00796F45"/>
    <w:rsid w:val="00797705"/>
    <w:rsid w:val="00797F53"/>
    <w:rsid w:val="007A2405"/>
    <w:rsid w:val="007A374E"/>
    <w:rsid w:val="007A37BD"/>
    <w:rsid w:val="007A3C4F"/>
    <w:rsid w:val="007A3F3D"/>
    <w:rsid w:val="007A418E"/>
    <w:rsid w:val="007A5AE8"/>
    <w:rsid w:val="007A7878"/>
    <w:rsid w:val="007B00FE"/>
    <w:rsid w:val="007B02EE"/>
    <w:rsid w:val="007B02EF"/>
    <w:rsid w:val="007B065B"/>
    <w:rsid w:val="007B1272"/>
    <w:rsid w:val="007B4A9B"/>
    <w:rsid w:val="007B7668"/>
    <w:rsid w:val="007C3D8A"/>
    <w:rsid w:val="007C4386"/>
    <w:rsid w:val="007C5350"/>
    <w:rsid w:val="007C5940"/>
    <w:rsid w:val="007C5C5B"/>
    <w:rsid w:val="007C6421"/>
    <w:rsid w:val="007C7072"/>
    <w:rsid w:val="007C7584"/>
    <w:rsid w:val="007D3432"/>
    <w:rsid w:val="007D4059"/>
    <w:rsid w:val="007D5BC6"/>
    <w:rsid w:val="007D5DBA"/>
    <w:rsid w:val="007D5FA1"/>
    <w:rsid w:val="007D6C13"/>
    <w:rsid w:val="007D7C4C"/>
    <w:rsid w:val="007E02E7"/>
    <w:rsid w:val="007E091A"/>
    <w:rsid w:val="007E4E79"/>
    <w:rsid w:val="007E5B97"/>
    <w:rsid w:val="007E64B5"/>
    <w:rsid w:val="007E6A36"/>
    <w:rsid w:val="007E6B43"/>
    <w:rsid w:val="007E7255"/>
    <w:rsid w:val="007E7705"/>
    <w:rsid w:val="007E7DB4"/>
    <w:rsid w:val="007F04CE"/>
    <w:rsid w:val="007F1062"/>
    <w:rsid w:val="007F163B"/>
    <w:rsid w:val="007F1E2E"/>
    <w:rsid w:val="007F1EFF"/>
    <w:rsid w:val="007F6443"/>
    <w:rsid w:val="007F6C1C"/>
    <w:rsid w:val="007F78B4"/>
    <w:rsid w:val="007F7B78"/>
    <w:rsid w:val="007F7F08"/>
    <w:rsid w:val="008002AB"/>
    <w:rsid w:val="0080107F"/>
    <w:rsid w:val="00801E30"/>
    <w:rsid w:val="008023F4"/>
    <w:rsid w:val="00802C8E"/>
    <w:rsid w:val="00803FED"/>
    <w:rsid w:val="00804CB7"/>
    <w:rsid w:val="00805216"/>
    <w:rsid w:val="008056F1"/>
    <w:rsid w:val="00806326"/>
    <w:rsid w:val="008066E4"/>
    <w:rsid w:val="00806851"/>
    <w:rsid w:val="00806A50"/>
    <w:rsid w:val="008109E2"/>
    <w:rsid w:val="00811F47"/>
    <w:rsid w:val="00813164"/>
    <w:rsid w:val="00813EAF"/>
    <w:rsid w:val="00814629"/>
    <w:rsid w:val="00815C34"/>
    <w:rsid w:val="00816451"/>
    <w:rsid w:val="00821865"/>
    <w:rsid w:val="00821CCA"/>
    <w:rsid w:val="00821F78"/>
    <w:rsid w:val="008221EB"/>
    <w:rsid w:val="00822B6A"/>
    <w:rsid w:val="00822EBD"/>
    <w:rsid w:val="00823845"/>
    <w:rsid w:val="008239B4"/>
    <w:rsid w:val="00823C12"/>
    <w:rsid w:val="00823CAB"/>
    <w:rsid w:val="00824EA6"/>
    <w:rsid w:val="0082666A"/>
    <w:rsid w:val="008275F7"/>
    <w:rsid w:val="0083179C"/>
    <w:rsid w:val="008343AE"/>
    <w:rsid w:val="00834942"/>
    <w:rsid w:val="00835FA6"/>
    <w:rsid w:val="00836DE5"/>
    <w:rsid w:val="00836E92"/>
    <w:rsid w:val="00836F93"/>
    <w:rsid w:val="00837A53"/>
    <w:rsid w:val="00837FE2"/>
    <w:rsid w:val="008406DA"/>
    <w:rsid w:val="00840EF3"/>
    <w:rsid w:val="00841E6D"/>
    <w:rsid w:val="0084469C"/>
    <w:rsid w:val="00845166"/>
    <w:rsid w:val="008458AE"/>
    <w:rsid w:val="00847CFC"/>
    <w:rsid w:val="00847F5A"/>
    <w:rsid w:val="00850C85"/>
    <w:rsid w:val="008515DD"/>
    <w:rsid w:val="00851D03"/>
    <w:rsid w:val="0085259C"/>
    <w:rsid w:val="0085409E"/>
    <w:rsid w:val="00854796"/>
    <w:rsid w:val="00854AAC"/>
    <w:rsid w:val="00854CBD"/>
    <w:rsid w:val="0085547F"/>
    <w:rsid w:val="008564F1"/>
    <w:rsid w:val="00857708"/>
    <w:rsid w:val="00857DF8"/>
    <w:rsid w:val="00861088"/>
    <w:rsid w:val="008627B8"/>
    <w:rsid w:val="00863B38"/>
    <w:rsid w:val="00864F34"/>
    <w:rsid w:val="00865461"/>
    <w:rsid w:val="00865B57"/>
    <w:rsid w:val="008664CB"/>
    <w:rsid w:val="008674E1"/>
    <w:rsid w:val="00870115"/>
    <w:rsid w:val="00870C5C"/>
    <w:rsid w:val="00870D2E"/>
    <w:rsid w:val="00870F83"/>
    <w:rsid w:val="0087106F"/>
    <w:rsid w:val="0087300C"/>
    <w:rsid w:val="00873B83"/>
    <w:rsid w:val="0087413A"/>
    <w:rsid w:val="00875529"/>
    <w:rsid w:val="00876187"/>
    <w:rsid w:val="008767B6"/>
    <w:rsid w:val="00876DDE"/>
    <w:rsid w:val="00876F6A"/>
    <w:rsid w:val="008770E6"/>
    <w:rsid w:val="00877BC6"/>
    <w:rsid w:val="008802D7"/>
    <w:rsid w:val="00880CB5"/>
    <w:rsid w:val="00881C9E"/>
    <w:rsid w:val="00881DC9"/>
    <w:rsid w:val="008827F4"/>
    <w:rsid w:val="00883219"/>
    <w:rsid w:val="00884000"/>
    <w:rsid w:val="008868D3"/>
    <w:rsid w:val="0088696C"/>
    <w:rsid w:val="00890A31"/>
    <w:rsid w:val="0089108C"/>
    <w:rsid w:val="008914B2"/>
    <w:rsid w:val="00891EA9"/>
    <w:rsid w:val="00893205"/>
    <w:rsid w:val="00894225"/>
    <w:rsid w:val="00894C3D"/>
    <w:rsid w:val="00895B71"/>
    <w:rsid w:val="008A08E9"/>
    <w:rsid w:val="008A0E7F"/>
    <w:rsid w:val="008A19A2"/>
    <w:rsid w:val="008A1BED"/>
    <w:rsid w:val="008A3144"/>
    <w:rsid w:val="008A3E0A"/>
    <w:rsid w:val="008A609F"/>
    <w:rsid w:val="008A6C58"/>
    <w:rsid w:val="008A7CF0"/>
    <w:rsid w:val="008B0926"/>
    <w:rsid w:val="008B0DE0"/>
    <w:rsid w:val="008B120B"/>
    <w:rsid w:val="008B1B25"/>
    <w:rsid w:val="008B3C93"/>
    <w:rsid w:val="008B462E"/>
    <w:rsid w:val="008B5B5C"/>
    <w:rsid w:val="008B63BD"/>
    <w:rsid w:val="008B6F8E"/>
    <w:rsid w:val="008C0122"/>
    <w:rsid w:val="008C0324"/>
    <w:rsid w:val="008C258E"/>
    <w:rsid w:val="008C2B06"/>
    <w:rsid w:val="008C42C8"/>
    <w:rsid w:val="008C6F39"/>
    <w:rsid w:val="008C7160"/>
    <w:rsid w:val="008D0960"/>
    <w:rsid w:val="008D115A"/>
    <w:rsid w:val="008D28FA"/>
    <w:rsid w:val="008D3357"/>
    <w:rsid w:val="008D3A9D"/>
    <w:rsid w:val="008D4553"/>
    <w:rsid w:val="008D4740"/>
    <w:rsid w:val="008D5191"/>
    <w:rsid w:val="008D7EB2"/>
    <w:rsid w:val="008E00E1"/>
    <w:rsid w:val="008E05D5"/>
    <w:rsid w:val="008E143B"/>
    <w:rsid w:val="008E2C6B"/>
    <w:rsid w:val="008E2E23"/>
    <w:rsid w:val="008E318C"/>
    <w:rsid w:val="008E54C4"/>
    <w:rsid w:val="008E66FF"/>
    <w:rsid w:val="008E7026"/>
    <w:rsid w:val="008F04C4"/>
    <w:rsid w:val="008F0EE3"/>
    <w:rsid w:val="008F1ED4"/>
    <w:rsid w:val="008F318E"/>
    <w:rsid w:val="009035B4"/>
    <w:rsid w:val="0090458E"/>
    <w:rsid w:val="00905114"/>
    <w:rsid w:val="00907064"/>
    <w:rsid w:val="00910146"/>
    <w:rsid w:val="009105B1"/>
    <w:rsid w:val="00911F5C"/>
    <w:rsid w:val="00912856"/>
    <w:rsid w:val="009128EC"/>
    <w:rsid w:val="00912A58"/>
    <w:rsid w:val="00913C0B"/>
    <w:rsid w:val="009146BD"/>
    <w:rsid w:val="00914C64"/>
    <w:rsid w:val="00915DBA"/>
    <w:rsid w:val="009171A1"/>
    <w:rsid w:val="00920400"/>
    <w:rsid w:val="009205E3"/>
    <w:rsid w:val="009210B7"/>
    <w:rsid w:val="0092119B"/>
    <w:rsid w:val="009212CF"/>
    <w:rsid w:val="00921542"/>
    <w:rsid w:val="00921CD0"/>
    <w:rsid w:val="009220CC"/>
    <w:rsid w:val="009225E7"/>
    <w:rsid w:val="00922D75"/>
    <w:rsid w:val="009245C1"/>
    <w:rsid w:val="00925027"/>
    <w:rsid w:val="00926002"/>
    <w:rsid w:val="00926F5F"/>
    <w:rsid w:val="00927AB9"/>
    <w:rsid w:val="00927DC7"/>
    <w:rsid w:val="00930CCB"/>
    <w:rsid w:val="009316AE"/>
    <w:rsid w:val="0093264E"/>
    <w:rsid w:val="00932CD5"/>
    <w:rsid w:val="0093341E"/>
    <w:rsid w:val="009340AC"/>
    <w:rsid w:val="00934A26"/>
    <w:rsid w:val="00934E47"/>
    <w:rsid w:val="00935B7C"/>
    <w:rsid w:val="00935C03"/>
    <w:rsid w:val="00935E12"/>
    <w:rsid w:val="0093648A"/>
    <w:rsid w:val="00937051"/>
    <w:rsid w:val="009417AB"/>
    <w:rsid w:val="00941F73"/>
    <w:rsid w:val="009426FE"/>
    <w:rsid w:val="0094530F"/>
    <w:rsid w:val="00945DAB"/>
    <w:rsid w:val="00945E3E"/>
    <w:rsid w:val="00946341"/>
    <w:rsid w:val="00946ADA"/>
    <w:rsid w:val="00947046"/>
    <w:rsid w:val="0095166A"/>
    <w:rsid w:val="009525A6"/>
    <w:rsid w:val="009528D1"/>
    <w:rsid w:val="009532F3"/>
    <w:rsid w:val="009555AD"/>
    <w:rsid w:val="00955F94"/>
    <w:rsid w:val="00957536"/>
    <w:rsid w:val="009576DB"/>
    <w:rsid w:val="00957C09"/>
    <w:rsid w:val="009602B0"/>
    <w:rsid w:val="009617F0"/>
    <w:rsid w:val="0096191D"/>
    <w:rsid w:val="00962B5A"/>
    <w:rsid w:val="00964667"/>
    <w:rsid w:val="009648F8"/>
    <w:rsid w:val="00965CA8"/>
    <w:rsid w:val="00967110"/>
    <w:rsid w:val="009676EE"/>
    <w:rsid w:val="0097145F"/>
    <w:rsid w:val="00971866"/>
    <w:rsid w:val="00972738"/>
    <w:rsid w:val="00972E5F"/>
    <w:rsid w:val="00973B9E"/>
    <w:rsid w:val="00974BD2"/>
    <w:rsid w:val="0097557E"/>
    <w:rsid w:val="00975B20"/>
    <w:rsid w:val="009762DA"/>
    <w:rsid w:val="00980861"/>
    <w:rsid w:val="009815CE"/>
    <w:rsid w:val="00982271"/>
    <w:rsid w:val="00982DD5"/>
    <w:rsid w:val="00984491"/>
    <w:rsid w:val="00984C66"/>
    <w:rsid w:val="00986B70"/>
    <w:rsid w:val="0098774F"/>
    <w:rsid w:val="00987920"/>
    <w:rsid w:val="00987BC0"/>
    <w:rsid w:val="00990906"/>
    <w:rsid w:val="00991E31"/>
    <w:rsid w:val="00993841"/>
    <w:rsid w:val="009957A9"/>
    <w:rsid w:val="009958C9"/>
    <w:rsid w:val="00997078"/>
    <w:rsid w:val="00997620"/>
    <w:rsid w:val="009A289E"/>
    <w:rsid w:val="009A2E05"/>
    <w:rsid w:val="009A3D0A"/>
    <w:rsid w:val="009A4635"/>
    <w:rsid w:val="009A51DA"/>
    <w:rsid w:val="009A70BB"/>
    <w:rsid w:val="009B0CFE"/>
    <w:rsid w:val="009B0DEF"/>
    <w:rsid w:val="009B1328"/>
    <w:rsid w:val="009B143C"/>
    <w:rsid w:val="009B2597"/>
    <w:rsid w:val="009B27B4"/>
    <w:rsid w:val="009B2E1B"/>
    <w:rsid w:val="009B31F3"/>
    <w:rsid w:val="009B3C68"/>
    <w:rsid w:val="009B5721"/>
    <w:rsid w:val="009B5EF3"/>
    <w:rsid w:val="009C01AA"/>
    <w:rsid w:val="009C200D"/>
    <w:rsid w:val="009C2529"/>
    <w:rsid w:val="009C2689"/>
    <w:rsid w:val="009C2BEC"/>
    <w:rsid w:val="009C4975"/>
    <w:rsid w:val="009C5400"/>
    <w:rsid w:val="009D0B0C"/>
    <w:rsid w:val="009D13D3"/>
    <w:rsid w:val="009D14D0"/>
    <w:rsid w:val="009D2A22"/>
    <w:rsid w:val="009D306E"/>
    <w:rsid w:val="009D3907"/>
    <w:rsid w:val="009D427C"/>
    <w:rsid w:val="009D4656"/>
    <w:rsid w:val="009D4CBC"/>
    <w:rsid w:val="009D4F5D"/>
    <w:rsid w:val="009D614C"/>
    <w:rsid w:val="009D61FC"/>
    <w:rsid w:val="009D65D2"/>
    <w:rsid w:val="009D7AE1"/>
    <w:rsid w:val="009E00C7"/>
    <w:rsid w:val="009E0DE5"/>
    <w:rsid w:val="009E2557"/>
    <w:rsid w:val="009E2FF8"/>
    <w:rsid w:val="009E313F"/>
    <w:rsid w:val="009E492C"/>
    <w:rsid w:val="009E4E1A"/>
    <w:rsid w:val="009E50BF"/>
    <w:rsid w:val="009E51DE"/>
    <w:rsid w:val="009E5578"/>
    <w:rsid w:val="009E62FE"/>
    <w:rsid w:val="009E720E"/>
    <w:rsid w:val="009E7771"/>
    <w:rsid w:val="009F028A"/>
    <w:rsid w:val="009F0FA7"/>
    <w:rsid w:val="009F2230"/>
    <w:rsid w:val="009F2255"/>
    <w:rsid w:val="009F2EA9"/>
    <w:rsid w:val="009F397D"/>
    <w:rsid w:val="009F4621"/>
    <w:rsid w:val="009F7464"/>
    <w:rsid w:val="00A017AE"/>
    <w:rsid w:val="00A01F67"/>
    <w:rsid w:val="00A02492"/>
    <w:rsid w:val="00A02E1A"/>
    <w:rsid w:val="00A03949"/>
    <w:rsid w:val="00A03EAB"/>
    <w:rsid w:val="00A04BAF"/>
    <w:rsid w:val="00A04F4E"/>
    <w:rsid w:val="00A05074"/>
    <w:rsid w:val="00A06DB9"/>
    <w:rsid w:val="00A0710F"/>
    <w:rsid w:val="00A07170"/>
    <w:rsid w:val="00A11483"/>
    <w:rsid w:val="00A11BA7"/>
    <w:rsid w:val="00A11C89"/>
    <w:rsid w:val="00A11DBF"/>
    <w:rsid w:val="00A13032"/>
    <w:rsid w:val="00A130F2"/>
    <w:rsid w:val="00A13BD0"/>
    <w:rsid w:val="00A141F8"/>
    <w:rsid w:val="00A1431E"/>
    <w:rsid w:val="00A143E5"/>
    <w:rsid w:val="00A17A31"/>
    <w:rsid w:val="00A17F63"/>
    <w:rsid w:val="00A22CCE"/>
    <w:rsid w:val="00A2320C"/>
    <w:rsid w:val="00A233B4"/>
    <w:rsid w:val="00A23880"/>
    <w:rsid w:val="00A2463E"/>
    <w:rsid w:val="00A25DC9"/>
    <w:rsid w:val="00A26BA4"/>
    <w:rsid w:val="00A302AC"/>
    <w:rsid w:val="00A303B6"/>
    <w:rsid w:val="00A30D45"/>
    <w:rsid w:val="00A30DD6"/>
    <w:rsid w:val="00A323EA"/>
    <w:rsid w:val="00A326FA"/>
    <w:rsid w:val="00A355B9"/>
    <w:rsid w:val="00A356FD"/>
    <w:rsid w:val="00A366E7"/>
    <w:rsid w:val="00A371DA"/>
    <w:rsid w:val="00A37E71"/>
    <w:rsid w:val="00A41353"/>
    <w:rsid w:val="00A41604"/>
    <w:rsid w:val="00A434C7"/>
    <w:rsid w:val="00A436C7"/>
    <w:rsid w:val="00A43935"/>
    <w:rsid w:val="00A46457"/>
    <w:rsid w:val="00A46710"/>
    <w:rsid w:val="00A46779"/>
    <w:rsid w:val="00A46E16"/>
    <w:rsid w:val="00A47B6E"/>
    <w:rsid w:val="00A50CE9"/>
    <w:rsid w:val="00A511A8"/>
    <w:rsid w:val="00A515FD"/>
    <w:rsid w:val="00A516C0"/>
    <w:rsid w:val="00A517FA"/>
    <w:rsid w:val="00A5188E"/>
    <w:rsid w:val="00A524CB"/>
    <w:rsid w:val="00A52D6A"/>
    <w:rsid w:val="00A53C3B"/>
    <w:rsid w:val="00A55376"/>
    <w:rsid w:val="00A56A5B"/>
    <w:rsid w:val="00A62143"/>
    <w:rsid w:val="00A623B1"/>
    <w:rsid w:val="00A6472B"/>
    <w:rsid w:val="00A65D6F"/>
    <w:rsid w:val="00A719CE"/>
    <w:rsid w:val="00A71DB9"/>
    <w:rsid w:val="00A71F5A"/>
    <w:rsid w:val="00A726EE"/>
    <w:rsid w:val="00A728AA"/>
    <w:rsid w:val="00A73E93"/>
    <w:rsid w:val="00A73F35"/>
    <w:rsid w:val="00A758A8"/>
    <w:rsid w:val="00A77373"/>
    <w:rsid w:val="00A77E5C"/>
    <w:rsid w:val="00A80493"/>
    <w:rsid w:val="00A813B4"/>
    <w:rsid w:val="00A81461"/>
    <w:rsid w:val="00A83C03"/>
    <w:rsid w:val="00A846CD"/>
    <w:rsid w:val="00A851B9"/>
    <w:rsid w:val="00A8554E"/>
    <w:rsid w:val="00A85A49"/>
    <w:rsid w:val="00A87AA8"/>
    <w:rsid w:val="00A9109A"/>
    <w:rsid w:val="00A9175F"/>
    <w:rsid w:val="00A918C7"/>
    <w:rsid w:val="00A9296D"/>
    <w:rsid w:val="00A92B41"/>
    <w:rsid w:val="00A95F25"/>
    <w:rsid w:val="00A97A99"/>
    <w:rsid w:val="00AA1A5B"/>
    <w:rsid w:val="00AA1BAE"/>
    <w:rsid w:val="00AA28A8"/>
    <w:rsid w:val="00AA3478"/>
    <w:rsid w:val="00AA3F92"/>
    <w:rsid w:val="00AA5601"/>
    <w:rsid w:val="00AA5C71"/>
    <w:rsid w:val="00AA6C40"/>
    <w:rsid w:val="00AA77D5"/>
    <w:rsid w:val="00AA7867"/>
    <w:rsid w:val="00AA7A28"/>
    <w:rsid w:val="00AA7CA4"/>
    <w:rsid w:val="00AB26E7"/>
    <w:rsid w:val="00AB38E2"/>
    <w:rsid w:val="00AB6CFA"/>
    <w:rsid w:val="00AB738A"/>
    <w:rsid w:val="00AB7F87"/>
    <w:rsid w:val="00AC1E5F"/>
    <w:rsid w:val="00AC2690"/>
    <w:rsid w:val="00AC2EFA"/>
    <w:rsid w:val="00AC460F"/>
    <w:rsid w:val="00AC46C8"/>
    <w:rsid w:val="00AC4967"/>
    <w:rsid w:val="00AC52E4"/>
    <w:rsid w:val="00AC5CB0"/>
    <w:rsid w:val="00AC5CC9"/>
    <w:rsid w:val="00AC70CD"/>
    <w:rsid w:val="00AD00D6"/>
    <w:rsid w:val="00AD027D"/>
    <w:rsid w:val="00AD0667"/>
    <w:rsid w:val="00AD06EA"/>
    <w:rsid w:val="00AD142B"/>
    <w:rsid w:val="00AD278F"/>
    <w:rsid w:val="00AD29CE"/>
    <w:rsid w:val="00AD4D26"/>
    <w:rsid w:val="00AD4E62"/>
    <w:rsid w:val="00AE0ABE"/>
    <w:rsid w:val="00AE0C47"/>
    <w:rsid w:val="00AE20D8"/>
    <w:rsid w:val="00AE3859"/>
    <w:rsid w:val="00AE40C4"/>
    <w:rsid w:val="00AE53B4"/>
    <w:rsid w:val="00AE5906"/>
    <w:rsid w:val="00AE5FFF"/>
    <w:rsid w:val="00AE687E"/>
    <w:rsid w:val="00AE69D4"/>
    <w:rsid w:val="00AE7C4C"/>
    <w:rsid w:val="00AE7D7F"/>
    <w:rsid w:val="00AF0114"/>
    <w:rsid w:val="00AF15CF"/>
    <w:rsid w:val="00AF2912"/>
    <w:rsid w:val="00AF62C6"/>
    <w:rsid w:val="00AF70A5"/>
    <w:rsid w:val="00AF7256"/>
    <w:rsid w:val="00B007F6"/>
    <w:rsid w:val="00B00A9B"/>
    <w:rsid w:val="00B02587"/>
    <w:rsid w:val="00B038D0"/>
    <w:rsid w:val="00B03CDF"/>
    <w:rsid w:val="00B0406A"/>
    <w:rsid w:val="00B05712"/>
    <w:rsid w:val="00B103D7"/>
    <w:rsid w:val="00B10488"/>
    <w:rsid w:val="00B11303"/>
    <w:rsid w:val="00B1163D"/>
    <w:rsid w:val="00B118B7"/>
    <w:rsid w:val="00B123FE"/>
    <w:rsid w:val="00B126CB"/>
    <w:rsid w:val="00B130B2"/>
    <w:rsid w:val="00B1573B"/>
    <w:rsid w:val="00B16184"/>
    <w:rsid w:val="00B1753A"/>
    <w:rsid w:val="00B20EC6"/>
    <w:rsid w:val="00B21353"/>
    <w:rsid w:val="00B22833"/>
    <w:rsid w:val="00B24DBF"/>
    <w:rsid w:val="00B24EAD"/>
    <w:rsid w:val="00B2520B"/>
    <w:rsid w:val="00B25221"/>
    <w:rsid w:val="00B27B5C"/>
    <w:rsid w:val="00B30E2C"/>
    <w:rsid w:val="00B314EA"/>
    <w:rsid w:val="00B319D4"/>
    <w:rsid w:val="00B31BC0"/>
    <w:rsid w:val="00B32019"/>
    <w:rsid w:val="00B32741"/>
    <w:rsid w:val="00B33886"/>
    <w:rsid w:val="00B350CC"/>
    <w:rsid w:val="00B35DB3"/>
    <w:rsid w:val="00B3787D"/>
    <w:rsid w:val="00B37C38"/>
    <w:rsid w:val="00B37F78"/>
    <w:rsid w:val="00B44305"/>
    <w:rsid w:val="00B45C80"/>
    <w:rsid w:val="00B46161"/>
    <w:rsid w:val="00B50328"/>
    <w:rsid w:val="00B522B6"/>
    <w:rsid w:val="00B540DF"/>
    <w:rsid w:val="00B541FE"/>
    <w:rsid w:val="00B60682"/>
    <w:rsid w:val="00B60C31"/>
    <w:rsid w:val="00B61F57"/>
    <w:rsid w:val="00B62BF5"/>
    <w:rsid w:val="00B6304B"/>
    <w:rsid w:val="00B65286"/>
    <w:rsid w:val="00B66721"/>
    <w:rsid w:val="00B67EB3"/>
    <w:rsid w:val="00B7170C"/>
    <w:rsid w:val="00B71D6E"/>
    <w:rsid w:val="00B71EDC"/>
    <w:rsid w:val="00B72934"/>
    <w:rsid w:val="00B736ED"/>
    <w:rsid w:val="00B743FB"/>
    <w:rsid w:val="00B744E8"/>
    <w:rsid w:val="00B75708"/>
    <w:rsid w:val="00B75ECF"/>
    <w:rsid w:val="00B75EDC"/>
    <w:rsid w:val="00B77745"/>
    <w:rsid w:val="00B77875"/>
    <w:rsid w:val="00B8017C"/>
    <w:rsid w:val="00B80974"/>
    <w:rsid w:val="00B80CC1"/>
    <w:rsid w:val="00B81143"/>
    <w:rsid w:val="00B8159D"/>
    <w:rsid w:val="00B82158"/>
    <w:rsid w:val="00B8385C"/>
    <w:rsid w:val="00B839AB"/>
    <w:rsid w:val="00B85BA6"/>
    <w:rsid w:val="00B85CD6"/>
    <w:rsid w:val="00B8616B"/>
    <w:rsid w:val="00B8621E"/>
    <w:rsid w:val="00B862F0"/>
    <w:rsid w:val="00B90A48"/>
    <w:rsid w:val="00B92D89"/>
    <w:rsid w:val="00B935B2"/>
    <w:rsid w:val="00B940BA"/>
    <w:rsid w:val="00B940E6"/>
    <w:rsid w:val="00B95ED9"/>
    <w:rsid w:val="00B96C4A"/>
    <w:rsid w:val="00B9749E"/>
    <w:rsid w:val="00BA1ADB"/>
    <w:rsid w:val="00BA2E22"/>
    <w:rsid w:val="00BA5439"/>
    <w:rsid w:val="00BA7096"/>
    <w:rsid w:val="00BA74D1"/>
    <w:rsid w:val="00BA7840"/>
    <w:rsid w:val="00BA7B33"/>
    <w:rsid w:val="00BA7FAA"/>
    <w:rsid w:val="00BB0812"/>
    <w:rsid w:val="00BB16EC"/>
    <w:rsid w:val="00BB2944"/>
    <w:rsid w:val="00BB3A3A"/>
    <w:rsid w:val="00BB4265"/>
    <w:rsid w:val="00BB57B9"/>
    <w:rsid w:val="00BB5ACA"/>
    <w:rsid w:val="00BB62A1"/>
    <w:rsid w:val="00BB6B15"/>
    <w:rsid w:val="00BC145D"/>
    <w:rsid w:val="00BC4A66"/>
    <w:rsid w:val="00BC58D3"/>
    <w:rsid w:val="00BC5CAB"/>
    <w:rsid w:val="00BC6182"/>
    <w:rsid w:val="00BC65E3"/>
    <w:rsid w:val="00BC797D"/>
    <w:rsid w:val="00BC7DD9"/>
    <w:rsid w:val="00BD2A78"/>
    <w:rsid w:val="00BD2BE6"/>
    <w:rsid w:val="00BD372E"/>
    <w:rsid w:val="00BD57DB"/>
    <w:rsid w:val="00BD5ECC"/>
    <w:rsid w:val="00BD68A6"/>
    <w:rsid w:val="00BD7EEB"/>
    <w:rsid w:val="00BD7F2A"/>
    <w:rsid w:val="00BE0B75"/>
    <w:rsid w:val="00BE1D18"/>
    <w:rsid w:val="00BE2BDD"/>
    <w:rsid w:val="00BE363F"/>
    <w:rsid w:val="00BE5697"/>
    <w:rsid w:val="00BE6418"/>
    <w:rsid w:val="00BE79D9"/>
    <w:rsid w:val="00BE7E1F"/>
    <w:rsid w:val="00BF0576"/>
    <w:rsid w:val="00BF0D46"/>
    <w:rsid w:val="00BF357D"/>
    <w:rsid w:val="00BF38BC"/>
    <w:rsid w:val="00BF4356"/>
    <w:rsid w:val="00BF4FA5"/>
    <w:rsid w:val="00BF5FCA"/>
    <w:rsid w:val="00BF6A54"/>
    <w:rsid w:val="00C01517"/>
    <w:rsid w:val="00C01FD4"/>
    <w:rsid w:val="00C0216D"/>
    <w:rsid w:val="00C03020"/>
    <w:rsid w:val="00C03AC5"/>
    <w:rsid w:val="00C04374"/>
    <w:rsid w:val="00C0439A"/>
    <w:rsid w:val="00C052F5"/>
    <w:rsid w:val="00C0667E"/>
    <w:rsid w:val="00C07824"/>
    <w:rsid w:val="00C10686"/>
    <w:rsid w:val="00C10EEE"/>
    <w:rsid w:val="00C11687"/>
    <w:rsid w:val="00C11C1B"/>
    <w:rsid w:val="00C11DB9"/>
    <w:rsid w:val="00C144B5"/>
    <w:rsid w:val="00C14BFA"/>
    <w:rsid w:val="00C15CB7"/>
    <w:rsid w:val="00C1767F"/>
    <w:rsid w:val="00C21202"/>
    <w:rsid w:val="00C21B71"/>
    <w:rsid w:val="00C23070"/>
    <w:rsid w:val="00C23291"/>
    <w:rsid w:val="00C24029"/>
    <w:rsid w:val="00C253D4"/>
    <w:rsid w:val="00C25EE9"/>
    <w:rsid w:val="00C270D2"/>
    <w:rsid w:val="00C2795F"/>
    <w:rsid w:val="00C2798F"/>
    <w:rsid w:val="00C314FB"/>
    <w:rsid w:val="00C316D4"/>
    <w:rsid w:val="00C318AF"/>
    <w:rsid w:val="00C32ADD"/>
    <w:rsid w:val="00C34DE1"/>
    <w:rsid w:val="00C3595A"/>
    <w:rsid w:val="00C359AB"/>
    <w:rsid w:val="00C3600E"/>
    <w:rsid w:val="00C361B6"/>
    <w:rsid w:val="00C3632C"/>
    <w:rsid w:val="00C36F57"/>
    <w:rsid w:val="00C37AA8"/>
    <w:rsid w:val="00C419A6"/>
    <w:rsid w:val="00C41C43"/>
    <w:rsid w:val="00C43372"/>
    <w:rsid w:val="00C45284"/>
    <w:rsid w:val="00C45AE0"/>
    <w:rsid w:val="00C4608B"/>
    <w:rsid w:val="00C46927"/>
    <w:rsid w:val="00C478BC"/>
    <w:rsid w:val="00C50C94"/>
    <w:rsid w:val="00C51122"/>
    <w:rsid w:val="00C519D6"/>
    <w:rsid w:val="00C54392"/>
    <w:rsid w:val="00C54BD0"/>
    <w:rsid w:val="00C55634"/>
    <w:rsid w:val="00C55B71"/>
    <w:rsid w:val="00C566DC"/>
    <w:rsid w:val="00C568C8"/>
    <w:rsid w:val="00C568D5"/>
    <w:rsid w:val="00C60AB1"/>
    <w:rsid w:val="00C64E56"/>
    <w:rsid w:val="00C65509"/>
    <w:rsid w:val="00C66BDD"/>
    <w:rsid w:val="00C70155"/>
    <w:rsid w:val="00C71B00"/>
    <w:rsid w:val="00C73FDD"/>
    <w:rsid w:val="00C75E81"/>
    <w:rsid w:val="00C75F31"/>
    <w:rsid w:val="00C762FD"/>
    <w:rsid w:val="00C768DA"/>
    <w:rsid w:val="00C77022"/>
    <w:rsid w:val="00C77F47"/>
    <w:rsid w:val="00C84A9C"/>
    <w:rsid w:val="00C84D0F"/>
    <w:rsid w:val="00C858A8"/>
    <w:rsid w:val="00C85974"/>
    <w:rsid w:val="00C85CEC"/>
    <w:rsid w:val="00C87005"/>
    <w:rsid w:val="00C9145A"/>
    <w:rsid w:val="00C9201F"/>
    <w:rsid w:val="00C92137"/>
    <w:rsid w:val="00C926AE"/>
    <w:rsid w:val="00C94545"/>
    <w:rsid w:val="00C94624"/>
    <w:rsid w:val="00C95078"/>
    <w:rsid w:val="00C96C2E"/>
    <w:rsid w:val="00C96CDA"/>
    <w:rsid w:val="00CA0659"/>
    <w:rsid w:val="00CA0800"/>
    <w:rsid w:val="00CA0EF3"/>
    <w:rsid w:val="00CA1B49"/>
    <w:rsid w:val="00CA1DC4"/>
    <w:rsid w:val="00CA22B4"/>
    <w:rsid w:val="00CA5787"/>
    <w:rsid w:val="00CA67F3"/>
    <w:rsid w:val="00CB102D"/>
    <w:rsid w:val="00CB1691"/>
    <w:rsid w:val="00CB180B"/>
    <w:rsid w:val="00CB1A87"/>
    <w:rsid w:val="00CB20F2"/>
    <w:rsid w:val="00CB21BB"/>
    <w:rsid w:val="00CB23C7"/>
    <w:rsid w:val="00CB25A0"/>
    <w:rsid w:val="00CB29A0"/>
    <w:rsid w:val="00CB327F"/>
    <w:rsid w:val="00CB32A7"/>
    <w:rsid w:val="00CB369F"/>
    <w:rsid w:val="00CB37B7"/>
    <w:rsid w:val="00CB6500"/>
    <w:rsid w:val="00CB65FB"/>
    <w:rsid w:val="00CB6854"/>
    <w:rsid w:val="00CB6C1D"/>
    <w:rsid w:val="00CB71CD"/>
    <w:rsid w:val="00CC2F12"/>
    <w:rsid w:val="00CC3A41"/>
    <w:rsid w:val="00CC3CB1"/>
    <w:rsid w:val="00CC4458"/>
    <w:rsid w:val="00CC446B"/>
    <w:rsid w:val="00CC5151"/>
    <w:rsid w:val="00CC518D"/>
    <w:rsid w:val="00CC6B9A"/>
    <w:rsid w:val="00CD0466"/>
    <w:rsid w:val="00CD2BA6"/>
    <w:rsid w:val="00CD3CDA"/>
    <w:rsid w:val="00CD49A8"/>
    <w:rsid w:val="00CD52E4"/>
    <w:rsid w:val="00CD55C2"/>
    <w:rsid w:val="00CD6178"/>
    <w:rsid w:val="00CD6296"/>
    <w:rsid w:val="00CD6A84"/>
    <w:rsid w:val="00CD6E35"/>
    <w:rsid w:val="00CD7E09"/>
    <w:rsid w:val="00CE066E"/>
    <w:rsid w:val="00CE1321"/>
    <w:rsid w:val="00CE132E"/>
    <w:rsid w:val="00CE15C1"/>
    <w:rsid w:val="00CE257F"/>
    <w:rsid w:val="00CE2B20"/>
    <w:rsid w:val="00CE62B6"/>
    <w:rsid w:val="00CE7435"/>
    <w:rsid w:val="00CE7655"/>
    <w:rsid w:val="00CE79FB"/>
    <w:rsid w:val="00CF0552"/>
    <w:rsid w:val="00CF129F"/>
    <w:rsid w:val="00CF21AE"/>
    <w:rsid w:val="00CF3CD3"/>
    <w:rsid w:val="00CF42D1"/>
    <w:rsid w:val="00CF4F81"/>
    <w:rsid w:val="00CF6459"/>
    <w:rsid w:val="00CF6DFB"/>
    <w:rsid w:val="00D0136F"/>
    <w:rsid w:val="00D01547"/>
    <w:rsid w:val="00D01AF6"/>
    <w:rsid w:val="00D05E2D"/>
    <w:rsid w:val="00D06066"/>
    <w:rsid w:val="00D0695E"/>
    <w:rsid w:val="00D06BB8"/>
    <w:rsid w:val="00D06C84"/>
    <w:rsid w:val="00D102C1"/>
    <w:rsid w:val="00D102D9"/>
    <w:rsid w:val="00D11D0D"/>
    <w:rsid w:val="00D12A38"/>
    <w:rsid w:val="00D13E5C"/>
    <w:rsid w:val="00D14CD8"/>
    <w:rsid w:val="00D15461"/>
    <w:rsid w:val="00D166C9"/>
    <w:rsid w:val="00D17B14"/>
    <w:rsid w:val="00D20706"/>
    <w:rsid w:val="00D217A7"/>
    <w:rsid w:val="00D223F9"/>
    <w:rsid w:val="00D22F20"/>
    <w:rsid w:val="00D268F9"/>
    <w:rsid w:val="00D26EB4"/>
    <w:rsid w:val="00D30F23"/>
    <w:rsid w:val="00D326D8"/>
    <w:rsid w:val="00D32B1B"/>
    <w:rsid w:val="00D33355"/>
    <w:rsid w:val="00D3357D"/>
    <w:rsid w:val="00D341CA"/>
    <w:rsid w:val="00D35F4E"/>
    <w:rsid w:val="00D36C73"/>
    <w:rsid w:val="00D37A67"/>
    <w:rsid w:val="00D40069"/>
    <w:rsid w:val="00D404D3"/>
    <w:rsid w:val="00D41646"/>
    <w:rsid w:val="00D4221A"/>
    <w:rsid w:val="00D43297"/>
    <w:rsid w:val="00D43374"/>
    <w:rsid w:val="00D43D4C"/>
    <w:rsid w:val="00D45637"/>
    <w:rsid w:val="00D4662D"/>
    <w:rsid w:val="00D46897"/>
    <w:rsid w:val="00D47E6F"/>
    <w:rsid w:val="00D5341F"/>
    <w:rsid w:val="00D53852"/>
    <w:rsid w:val="00D54680"/>
    <w:rsid w:val="00D55C23"/>
    <w:rsid w:val="00D55F22"/>
    <w:rsid w:val="00D5694A"/>
    <w:rsid w:val="00D56D4B"/>
    <w:rsid w:val="00D601EC"/>
    <w:rsid w:val="00D61E01"/>
    <w:rsid w:val="00D6245A"/>
    <w:rsid w:val="00D62560"/>
    <w:rsid w:val="00D6271A"/>
    <w:rsid w:val="00D62D9D"/>
    <w:rsid w:val="00D63318"/>
    <w:rsid w:val="00D636B4"/>
    <w:rsid w:val="00D63DFF"/>
    <w:rsid w:val="00D6428A"/>
    <w:rsid w:val="00D6457D"/>
    <w:rsid w:val="00D64764"/>
    <w:rsid w:val="00D66167"/>
    <w:rsid w:val="00D67065"/>
    <w:rsid w:val="00D677F2"/>
    <w:rsid w:val="00D67DEC"/>
    <w:rsid w:val="00D67E57"/>
    <w:rsid w:val="00D7049B"/>
    <w:rsid w:val="00D728EA"/>
    <w:rsid w:val="00D733FB"/>
    <w:rsid w:val="00D759D5"/>
    <w:rsid w:val="00D75ECE"/>
    <w:rsid w:val="00D774F7"/>
    <w:rsid w:val="00D779C3"/>
    <w:rsid w:val="00D806D2"/>
    <w:rsid w:val="00D807C3"/>
    <w:rsid w:val="00D80DBD"/>
    <w:rsid w:val="00D82613"/>
    <w:rsid w:val="00D84461"/>
    <w:rsid w:val="00D84587"/>
    <w:rsid w:val="00D86BE7"/>
    <w:rsid w:val="00D874E5"/>
    <w:rsid w:val="00D90A1B"/>
    <w:rsid w:val="00D90A27"/>
    <w:rsid w:val="00D91A59"/>
    <w:rsid w:val="00D921D9"/>
    <w:rsid w:val="00D939DA"/>
    <w:rsid w:val="00D94275"/>
    <w:rsid w:val="00D94497"/>
    <w:rsid w:val="00D945E7"/>
    <w:rsid w:val="00D947DA"/>
    <w:rsid w:val="00D95B08"/>
    <w:rsid w:val="00D9732D"/>
    <w:rsid w:val="00D977C6"/>
    <w:rsid w:val="00DA0027"/>
    <w:rsid w:val="00DA2626"/>
    <w:rsid w:val="00DA3CA5"/>
    <w:rsid w:val="00DA48DD"/>
    <w:rsid w:val="00DA6FBF"/>
    <w:rsid w:val="00DA7712"/>
    <w:rsid w:val="00DA7A08"/>
    <w:rsid w:val="00DB0440"/>
    <w:rsid w:val="00DB206A"/>
    <w:rsid w:val="00DB2F7A"/>
    <w:rsid w:val="00DB392C"/>
    <w:rsid w:val="00DB3B5C"/>
    <w:rsid w:val="00DB4675"/>
    <w:rsid w:val="00DB5202"/>
    <w:rsid w:val="00DB53D2"/>
    <w:rsid w:val="00DB5F97"/>
    <w:rsid w:val="00DB7F29"/>
    <w:rsid w:val="00DC04F8"/>
    <w:rsid w:val="00DC136B"/>
    <w:rsid w:val="00DC2F00"/>
    <w:rsid w:val="00DC3026"/>
    <w:rsid w:val="00DC30F5"/>
    <w:rsid w:val="00DC3353"/>
    <w:rsid w:val="00DC58D7"/>
    <w:rsid w:val="00DC6381"/>
    <w:rsid w:val="00DC6E9D"/>
    <w:rsid w:val="00DC7479"/>
    <w:rsid w:val="00DD0897"/>
    <w:rsid w:val="00DD1323"/>
    <w:rsid w:val="00DD362B"/>
    <w:rsid w:val="00DD3694"/>
    <w:rsid w:val="00DD458B"/>
    <w:rsid w:val="00DD7446"/>
    <w:rsid w:val="00DD7FB3"/>
    <w:rsid w:val="00DE023D"/>
    <w:rsid w:val="00DE1FB4"/>
    <w:rsid w:val="00DE305F"/>
    <w:rsid w:val="00DE7D81"/>
    <w:rsid w:val="00DF0BB4"/>
    <w:rsid w:val="00DF13F9"/>
    <w:rsid w:val="00DF1470"/>
    <w:rsid w:val="00DF16B8"/>
    <w:rsid w:val="00DF1738"/>
    <w:rsid w:val="00DF3449"/>
    <w:rsid w:val="00DF4C29"/>
    <w:rsid w:val="00DF50AC"/>
    <w:rsid w:val="00DF52A3"/>
    <w:rsid w:val="00DF58C0"/>
    <w:rsid w:val="00DF5B3B"/>
    <w:rsid w:val="00DF5CF6"/>
    <w:rsid w:val="00DF7F08"/>
    <w:rsid w:val="00E03201"/>
    <w:rsid w:val="00E03DBF"/>
    <w:rsid w:val="00E04639"/>
    <w:rsid w:val="00E04AE9"/>
    <w:rsid w:val="00E05060"/>
    <w:rsid w:val="00E05BE2"/>
    <w:rsid w:val="00E05C20"/>
    <w:rsid w:val="00E066E2"/>
    <w:rsid w:val="00E069C2"/>
    <w:rsid w:val="00E06EEB"/>
    <w:rsid w:val="00E104A9"/>
    <w:rsid w:val="00E11959"/>
    <w:rsid w:val="00E12B88"/>
    <w:rsid w:val="00E12FCC"/>
    <w:rsid w:val="00E13312"/>
    <w:rsid w:val="00E13449"/>
    <w:rsid w:val="00E13A85"/>
    <w:rsid w:val="00E13B24"/>
    <w:rsid w:val="00E13F18"/>
    <w:rsid w:val="00E14AEC"/>
    <w:rsid w:val="00E14BDD"/>
    <w:rsid w:val="00E1551B"/>
    <w:rsid w:val="00E168E1"/>
    <w:rsid w:val="00E175A2"/>
    <w:rsid w:val="00E17CB6"/>
    <w:rsid w:val="00E21498"/>
    <w:rsid w:val="00E2290B"/>
    <w:rsid w:val="00E241CC"/>
    <w:rsid w:val="00E24893"/>
    <w:rsid w:val="00E253AF"/>
    <w:rsid w:val="00E25C3F"/>
    <w:rsid w:val="00E26B15"/>
    <w:rsid w:val="00E273D6"/>
    <w:rsid w:val="00E305C9"/>
    <w:rsid w:val="00E32AE1"/>
    <w:rsid w:val="00E3345B"/>
    <w:rsid w:val="00E33C80"/>
    <w:rsid w:val="00E347A2"/>
    <w:rsid w:val="00E34AF5"/>
    <w:rsid w:val="00E34B09"/>
    <w:rsid w:val="00E353E8"/>
    <w:rsid w:val="00E369E9"/>
    <w:rsid w:val="00E412BF"/>
    <w:rsid w:val="00E416B2"/>
    <w:rsid w:val="00E418F9"/>
    <w:rsid w:val="00E42956"/>
    <w:rsid w:val="00E430AD"/>
    <w:rsid w:val="00E43BED"/>
    <w:rsid w:val="00E44BE6"/>
    <w:rsid w:val="00E4505B"/>
    <w:rsid w:val="00E4539F"/>
    <w:rsid w:val="00E45A3C"/>
    <w:rsid w:val="00E460CF"/>
    <w:rsid w:val="00E46D95"/>
    <w:rsid w:val="00E50082"/>
    <w:rsid w:val="00E5148F"/>
    <w:rsid w:val="00E54439"/>
    <w:rsid w:val="00E55573"/>
    <w:rsid w:val="00E5595D"/>
    <w:rsid w:val="00E56A48"/>
    <w:rsid w:val="00E57378"/>
    <w:rsid w:val="00E60AF3"/>
    <w:rsid w:val="00E60FA6"/>
    <w:rsid w:val="00E62A9F"/>
    <w:rsid w:val="00E63B3E"/>
    <w:rsid w:val="00E646E2"/>
    <w:rsid w:val="00E64791"/>
    <w:rsid w:val="00E64E02"/>
    <w:rsid w:val="00E65477"/>
    <w:rsid w:val="00E65BC2"/>
    <w:rsid w:val="00E715CA"/>
    <w:rsid w:val="00E72EC7"/>
    <w:rsid w:val="00E746A0"/>
    <w:rsid w:val="00E75CCC"/>
    <w:rsid w:val="00E75D92"/>
    <w:rsid w:val="00E77041"/>
    <w:rsid w:val="00E772D3"/>
    <w:rsid w:val="00E8185A"/>
    <w:rsid w:val="00E81AAE"/>
    <w:rsid w:val="00E8363C"/>
    <w:rsid w:val="00E857C9"/>
    <w:rsid w:val="00E90540"/>
    <w:rsid w:val="00E9248D"/>
    <w:rsid w:val="00E92D9A"/>
    <w:rsid w:val="00E947AB"/>
    <w:rsid w:val="00E96310"/>
    <w:rsid w:val="00E96396"/>
    <w:rsid w:val="00E96728"/>
    <w:rsid w:val="00E977CD"/>
    <w:rsid w:val="00EA18BD"/>
    <w:rsid w:val="00EA19A1"/>
    <w:rsid w:val="00EA2A4D"/>
    <w:rsid w:val="00EA4FAD"/>
    <w:rsid w:val="00EA5A3F"/>
    <w:rsid w:val="00EA6922"/>
    <w:rsid w:val="00EA6BE1"/>
    <w:rsid w:val="00EA7B6D"/>
    <w:rsid w:val="00EA7BF4"/>
    <w:rsid w:val="00EB0C72"/>
    <w:rsid w:val="00EB0E95"/>
    <w:rsid w:val="00EB35C0"/>
    <w:rsid w:val="00EB53A3"/>
    <w:rsid w:val="00EB590A"/>
    <w:rsid w:val="00EB5C03"/>
    <w:rsid w:val="00EB5C75"/>
    <w:rsid w:val="00EB5FFB"/>
    <w:rsid w:val="00EB7B5E"/>
    <w:rsid w:val="00EB7B72"/>
    <w:rsid w:val="00EC03CF"/>
    <w:rsid w:val="00EC08FE"/>
    <w:rsid w:val="00EC0D87"/>
    <w:rsid w:val="00EC2F73"/>
    <w:rsid w:val="00EC44B6"/>
    <w:rsid w:val="00EC458D"/>
    <w:rsid w:val="00EC60A4"/>
    <w:rsid w:val="00EC654B"/>
    <w:rsid w:val="00EC70C5"/>
    <w:rsid w:val="00EC723B"/>
    <w:rsid w:val="00EC793D"/>
    <w:rsid w:val="00ED1207"/>
    <w:rsid w:val="00ED131C"/>
    <w:rsid w:val="00ED4238"/>
    <w:rsid w:val="00ED4D98"/>
    <w:rsid w:val="00ED5E49"/>
    <w:rsid w:val="00ED613F"/>
    <w:rsid w:val="00ED6C69"/>
    <w:rsid w:val="00ED7D9F"/>
    <w:rsid w:val="00EE0134"/>
    <w:rsid w:val="00EE0F6B"/>
    <w:rsid w:val="00EE1415"/>
    <w:rsid w:val="00EE1B75"/>
    <w:rsid w:val="00EE20C1"/>
    <w:rsid w:val="00EE2E7E"/>
    <w:rsid w:val="00EE3B71"/>
    <w:rsid w:val="00EE3F60"/>
    <w:rsid w:val="00EE4804"/>
    <w:rsid w:val="00EE7439"/>
    <w:rsid w:val="00EF2F04"/>
    <w:rsid w:val="00EF3479"/>
    <w:rsid w:val="00EF513B"/>
    <w:rsid w:val="00EF6573"/>
    <w:rsid w:val="00EF69B5"/>
    <w:rsid w:val="00F003E8"/>
    <w:rsid w:val="00F007B6"/>
    <w:rsid w:val="00F0133E"/>
    <w:rsid w:val="00F01785"/>
    <w:rsid w:val="00F0227C"/>
    <w:rsid w:val="00F029FB"/>
    <w:rsid w:val="00F04430"/>
    <w:rsid w:val="00F04DFE"/>
    <w:rsid w:val="00F065D7"/>
    <w:rsid w:val="00F07452"/>
    <w:rsid w:val="00F079D9"/>
    <w:rsid w:val="00F07E6A"/>
    <w:rsid w:val="00F07EE5"/>
    <w:rsid w:val="00F101E2"/>
    <w:rsid w:val="00F105E0"/>
    <w:rsid w:val="00F16859"/>
    <w:rsid w:val="00F170BB"/>
    <w:rsid w:val="00F17FCC"/>
    <w:rsid w:val="00F2001C"/>
    <w:rsid w:val="00F20454"/>
    <w:rsid w:val="00F216C4"/>
    <w:rsid w:val="00F21A23"/>
    <w:rsid w:val="00F22052"/>
    <w:rsid w:val="00F22B0A"/>
    <w:rsid w:val="00F242EA"/>
    <w:rsid w:val="00F24D78"/>
    <w:rsid w:val="00F25160"/>
    <w:rsid w:val="00F26B17"/>
    <w:rsid w:val="00F27CBE"/>
    <w:rsid w:val="00F27F4F"/>
    <w:rsid w:val="00F309EA"/>
    <w:rsid w:val="00F30B2B"/>
    <w:rsid w:val="00F31EC7"/>
    <w:rsid w:val="00F325D5"/>
    <w:rsid w:val="00F33084"/>
    <w:rsid w:val="00F33B07"/>
    <w:rsid w:val="00F3484B"/>
    <w:rsid w:val="00F34FA7"/>
    <w:rsid w:val="00F36863"/>
    <w:rsid w:val="00F36A90"/>
    <w:rsid w:val="00F37896"/>
    <w:rsid w:val="00F379B5"/>
    <w:rsid w:val="00F37C5E"/>
    <w:rsid w:val="00F409E8"/>
    <w:rsid w:val="00F4447A"/>
    <w:rsid w:val="00F448C8"/>
    <w:rsid w:val="00F44FEC"/>
    <w:rsid w:val="00F4514F"/>
    <w:rsid w:val="00F4598E"/>
    <w:rsid w:val="00F4788D"/>
    <w:rsid w:val="00F52CAF"/>
    <w:rsid w:val="00F52D12"/>
    <w:rsid w:val="00F535B7"/>
    <w:rsid w:val="00F53BD9"/>
    <w:rsid w:val="00F54579"/>
    <w:rsid w:val="00F56B32"/>
    <w:rsid w:val="00F57652"/>
    <w:rsid w:val="00F5775B"/>
    <w:rsid w:val="00F57801"/>
    <w:rsid w:val="00F60353"/>
    <w:rsid w:val="00F632BD"/>
    <w:rsid w:val="00F65470"/>
    <w:rsid w:val="00F66971"/>
    <w:rsid w:val="00F67332"/>
    <w:rsid w:val="00F6744C"/>
    <w:rsid w:val="00F70BDD"/>
    <w:rsid w:val="00F70EFC"/>
    <w:rsid w:val="00F7186B"/>
    <w:rsid w:val="00F71BD4"/>
    <w:rsid w:val="00F720C8"/>
    <w:rsid w:val="00F756AA"/>
    <w:rsid w:val="00F7723E"/>
    <w:rsid w:val="00F806BC"/>
    <w:rsid w:val="00F81046"/>
    <w:rsid w:val="00F8253F"/>
    <w:rsid w:val="00F83101"/>
    <w:rsid w:val="00F835B7"/>
    <w:rsid w:val="00F83FA6"/>
    <w:rsid w:val="00F84F58"/>
    <w:rsid w:val="00F8507F"/>
    <w:rsid w:val="00F853EE"/>
    <w:rsid w:val="00F859CA"/>
    <w:rsid w:val="00F8687C"/>
    <w:rsid w:val="00F87470"/>
    <w:rsid w:val="00F90765"/>
    <w:rsid w:val="00F908F8"/>
    <w:rsid w:val="00F929FC"/>
    <w:rsid w:val="00F92CC0"/>
    <w:rsid w:val="00F93B2F"/>
    <w:rsid w:val="00F94DC8"/>
    <w:rsid w:val="00F95DF1"/>
    <w:rsid w:val="00F9615D"/>
    <w:rsid w:val="00F96CFB"/>
    <w:rsid w:val="00F9756F"/>
    <w:rsid w:val="00F97BBD"/>
    <w:rsid w:val="00FA094A"/>
    <w:rsid w:val="00FA1FC6"/>
    <w:rsid w:val="00FA296C"/>
    <w:rsid w:val="00FA3AE3"/>
    <w:rsid w:val="00FA52A4"/>
    <w:rsid w:val="00FA57F7"/>
    <w:rsid w:val="00FA5F87"/>
    <w:rsid w:val="00FA6428"/>
    <w:rsid w:val="00FA708C"/>
    <w:rsid w:val="00FA7664"/>
    <w:rsid w:val="00FB11D1"/>
    <w:rsid w:val="00FB14B0"/>
    <w:rsid w:val="00FB3138"/>
    <w:rsid w:val="00FB3B17"/>
    <w:rsid w:val="00FB54DC"/>
    <w:rsid w:val="00FB58B2"/>
    <w:rsid w:val="00FB73C2"/>
    <w:rsid w:val="00FB7C4A"/>
    <w:rsid w:val="00FC1028"/>
    <w:rsid w:val="00FC145D"/>
    <w:rsid w:val="00FC1996"/>
    <w:rsid w:val="00FC1F55"/>
    <w:rsid w:val="00FC2FC0"/>
    <w:rsid w:val="00FC3B93"/>
    <w:rsid w:val="00FC3D0E"/>
    <w:rsid w:val="00FC4115"/>
    <w:rsid w:val="00FC4955"/>
    <w:rsid w:val="00FC6844"/>
    <w:rsid w:val="00FD205C"/>
    <w:rsid w:val="00FD2125"/>
    <w:rsid w:val="00FD2312"/>
    <w:rsid w:val="00FD327B"/>
    <w:rsid w:val="00FD447D"/>
    <w:rsid w:val="00FD4DB6"/>
    <w:rsid w:val="00FD50FD"/>
    <w:rsid w:val="00FD6376"/>
    <w:rsid w:val="00FD70A1"/>
    <w:rsid w:val="00FD71A3"/>
    <w:rsid w:val="00FD731B"/>
    <w:rsid w:val="00FE02D6"/>
    <w:rsid w:val="00FE0FDE"/>
    <w:rsid w:val="00FE139E"/>
    <w:rsid w:val="00FE1AAE"/>
    <w:rsid w:val="00FE1E44"/>
    <w:rsid w:val="00FE268F"/>
    <w:rsid w:val="00FE3884"/>
    <w:rsid w:val="00FE46F4"/>
    <w:rsid w:val="00FE590C"/>
    <w:rsid w:val="00FE73C0"/>
    <w:rsid w:val="00FF00B5"/>
    <w:rsid w:val="00FF0F65"/>
    <w:rsid w:val="00FF19C6"/>
    <w:rsid w:val="00FF1A02"/>
    <w:rsid w:val="00FF3D6C"/>
    <w:rsid w:val="00FF4077"/>
    <w:rsid w:val="00FF4209"/>
    <w:rsid w:val="00FF6116"/>
    <w:rsid w:val="00FF67E3"/>
    <w:rsid w:val="00FF6C06"/>
    <w:rsid w:val="00FF6FD2"/>
    <w:rsid w:val="00FF7DB4"/>
  </w:rsids>
  <m:mathPr>
    <m:mathFont m:val="Cambria Math"/>
    <m:brkBin m:val="before"/>
    <m:brkBinSub m:val="--"/>
    <m:smallFrac/>
    <m:dispDef/>
    <m:lMargin m:val="0"/>
    <m:rMargin m:val="0"/>
    <m:defJc m:val="left"/>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E2812E-D1DF-4092-A294-9664E780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FE2"/>
    <w:pPr>
      <w:spacing w:after="0" w:line="240" w:lineRule="auto"/>
      <w:ind w:firstLine="144"/>
      <w:jc w:val="both"/>
    </w:pPr>
    <w:rPr>
      <w:rFonts w:ascii="Tw Cen MT" w:hAnsi="Tw Cen MT"/>
      <w:sz w:val="24"/>
      <w:lang w:val="en-US"/>
    </w:rPr>
  </w:style>
  <w:style w:type="paragraph" w:styleId="Heading1">
    <w:name w:val="heading 1"/>
    <w:basedOn w:val="Normal"/>
    <w:next w:val="Normal"/>
    <w:link w:val="Heading1Char"/>
    <w:qFormat/>
    <w:rsid w:val="009A2E05"/>
    <w:pPr>
      <w:keepNext/>
      <w:numPr>
        <w:numId w:val="4"/>
      </w:numPr>
      <w:spacing w:before="120"/>
      <w:contextualSpacing/>
      <w:jc w:val="left"/>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nhideWhenUsed/>
    <w:qFormat/>
    <w:rsid w:val="00837FE2"/>
    <w:pPr>
      <w:keepNext/>
      <w:numPr>
        <w:ilvl w:val="1"/>
        <w:numId w:val="4"/>
      </w:numPr>
      <w:spacing w:before="120"/>
      <w:jc w:val="left"/>
      <w:outlineLvl w:val="1"/>
    </w:pPr>
    <w:rPr>
      <w:rFonts w:eastAsiaTheme="majorEastAsia" w:cstheme="majorBidi"/>
      <w:b/>
      <w:bCs/>
      <w:szCs w:val="26"/>
    </w:rPr>
  </w:style>
  <w:style w:type="paragraph" w:styleId="Heading3">
    <w:name w:val="heading 3"/>
    <w:basedOn w:val="Normal"/>
    <w:next w:val="Normal"/>
    <w:link w:val="Heading3Char"/>
    <w:unhideWhenUsed/>
    <w:qFormat/>
    <w:rsid w:val="00D06066"/>
    <w:pPr>
      <w:keepNext/>
      <w:numPr>
        <w:ilvl w:val="2"/>
        <w:numId w:val="4"/>
      </w:numPr>
      <w:spacing w:before="120" w:after="120" w:line="271"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0A3904"/>
    <w:pPr>
      <w:numPr>
        <w:ilvl w:val="3"/>
        <w:numId w:val="4"/>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A3904"/>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A3904"/>
    <w:pPr>
      <w:numPr>
        <w:ilvl w:val="5"/>
        <w:numId w:val="4"/>
      </w:numPr>
      <w:tabs>
        <w:tab w:val="num" w:pos="360"/>
      </w:tabs>
      <w:spacing w:line="271" w:lineRule="auto"/>
      <w:ind w:left="0" w:firstLine="0"/>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A3904"/>
    <w:pPr>
      <w:numPr>
        <w:ilvl w:val="6"/>
        <w:numId w:val="4"/>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A3904"/>
    <w:pPr>
      <w:numPr>
        <w:ilvl w:val="7"/>
        <w:numId w:val="4"/>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A3904"/>
    <w:pPr>
      <w:numPr>
        <w:ilvl w:val="8"/>
        <w:numId w:val="4"/>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2E05"/>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rsid w:val="00837FE2"/>
    <w:rPr>
      <w:rFonts w:ascii="Tw Cen MT" w:eastAsiaTheme="majorEastAsia" w:hAnsi="Tw Cen MT" w:cstheme="majorBidi"/>
      <w:b/>
      <w:bCs/>
      <w:sz w:val="24"/>
      <w:szCs w:val="26"/>
      <w:lang w:val="en-US"/>
    </w:rPr>
  </w:style>
  <w:style w:type="character" w:customStyle="1" w:styleId="Heading3Char">
    <w:name w:val="Heading 3 Char"/>
    <w:basedOn w:val="DefaultParagraphFont"/>
    <w:link w:val="Heading3"/>
    <w:uiPriority w:val="9"/>
    <w:rsid w:val="00D06066"/>
    <w:rPr>
      <w:rFonts w:eastAsiaTheme="majorEastAsia" w:cstheme="majorBidi"/>
      <w:b/>
      <w:bCs/>
      <w:lang w:val="en-US"/>
    </w:rPr>
  </w:style>
  <w:style w:type="character" w:customStyle="1" w:styleId="Heading4Char">
    <w:name w:val="Heading 4 Char"/>
    <w:basedOn w:val="DefaultParagraphFont"/>
    <w:link w:val="Heading4"/>
    <w:uiPriority w:val="9"/>
    <w:semiHidden/>
    <w:rsid w:val="000A39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A39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A39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A39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A39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A3904"/>
    <w:rPr>
      <w:rFonts w:asciiTheme="majorHAnsi" w:eastAsiaTheme="majorEastAsia" w:hAnsiTheme="majorHAnsi" w:cstheme="majorBidi"/>
      <w:i/>
      <w:iCs/>
      <w:spacing w:val="5"/>
      <w:sz w:val="20"/>
      <w:szCs w:val="20"/>
    </w:rPr>
  </w:style>
  <w:style w:type="paragraph" w:styleId="ListParagraph">
    <w:name w:val="List Paragraph"/>
    <w:basedOn w:val="Normal"/>
    <w:uiPriority w:val="34"/>
    <w:qFormat/>
    <w:rsid w:val="00E4539F"/>
    <w:pPr>
      <w:numPr>
        <w:numId w:val="5"/>
      </w:numPr>
      <w:ind w:left="851" w:right="805" w:hanging="284"/>
      <w:contextualSpacing/>
    </w:pPr>
  </w:style>
  <w:style w:type="character" w:styleId="Strong">
    <w:name w:val="Strong"/>
    <w:uiPriority w:val="22"/>
    <w:qFormat/>
    <w:rsid w:val="000A3904"/>
    <w:rPr>
      <w:b/>
      <w:bCs/>
    </w:rPr>
  </w:style>
  <w:style w:type="paragraph" w:styleId="Title">
    <w:name w:val="Title"/>
    <w:basedOn w:val="Normal"/>
    <w:next w:val="Normal"/>
    <w:link w:val="TitleChar"/>
    <w:uiPriority w:val="10"/>
    <w:qFormat/>
    <w:rsid w:val="000A3904"/>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A39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A3904"/>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0A3904"/>
    <w:rPr>
      <w:rFonts w:asciiTheme="majorHAnsi" w:eastAsiaTheme="majorEastAsia" w:hAnsiTheme="majorHAnsi" w:cstheme="majorBidi"/>
      <w:i/>
      <w:iCs/>
      <w:spacing w:val="13"/>
      <w:sz w:val="24"/>
      <w:szCs w:val="24"/>
    </w:rPr>
  </w:style>
  <w:style w:type="character" w:styleId="Emphasis">
    <w:name w:val="Emphasis"/>
    <w:uiPriority w:val="20"/>
    <w:qFormat/>
    <w:rsid w:val="000A3904"/>
    <w:rPr>
      <w:b/>
      <w:bCs/>
      <w:i/>
      <w:iCs/>
      <w:spacing w:val="10"/>
      <w:bdr w:val="none" w:sz="0" w:space="0" w:color="auto"/>
      <w:shd w:val="clear" w:color="auto" w:fill="auto"/>
    </w:rPr>
  </w:style>
  <w:style w:type="paragraph" w:styleId="NoSpacing">
    <w:name w:val="No Spacing"/>
    <w:basedOn w:val="Normal"/>
    <w:uiPriority w:val="1"/>
    <w:qFormat/>
    <w:rsid w:val="000A3904"/>
  </w:style>
  <w:style w:type="paragraph" w:styleId="Quote">
    <w:name w:val="Quote"/>
    <w:basedOn w:val="Normal"/>
    <w:next w:val="Normal"/>
    <w:link w:val="QuoteChar"/>
    <w:uiPriority w:val="29"/>
    <w:qFormat/>
    <w:rsid w:val="000A3904"/>
    <w:pPr>
      <w:spacing w:before="200"/>
      <w:ind w:left="360" w:right="360"/>
    </w:pPr>
    <w:rPr>
      <w:i/>
      <w:iCs/>
    </w:rPr>
  </w:style>
  <w:style w:type="character" w:customStyle="1" w:styleId="QuoteChar">
    <w:name w:val="Quote Char"/>
    <w:basedOn w:val="DefaultParagraphFont"/>
    <w:link w:val="Quote"/>
    <w:uiPriority w:val="29"/>
    <w:rsid w:val="000A3904"/>
    <w:rPr>
      <w:i/>
      <w:iCs/>
    </w:rPr>
  </w:style>
  <w:style w:type="paragraph" w:styleId="IntenseQuote">
    <w:name w:val="Intense Quote"/>
    <w:basedOn w:val="Normal"/>
    <w:next w:val="Normal"/>
    <w:link w:val="IntenseQuoteChar"/>
    <w:uiPriority w:val="30"/>
    <w:qFormat/>
    <w:rsid w:val="000A3904"/>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A3904"/>
    <w:rPr>
      <w:b/>
      <w:bCs/>
      <w:i/>
      <w:iCs/>
    </w:rPr>
  </w:style>
  <w:style w:type="character" w:styleId="SubtleEmphasis">
    <w:name w:val="Subtle Emphasis"/>
    <w:uiPriority w:val="19"/>
    <w:qFormat/>
    <w:rsid w:val="000A3904"/>
    <w:rPr>
      <w:i/>
      <w:iCs/>
    </w:rPr>
  </w:style>
  <w:style w:type="character" w:styleId="IntenseEmphasis">
    <w:name w:val="Intense Emphasis"/>
    <w:uiPriority w:val="21"/>
    <w:qFormat/>
    <w:rsid w:val="000A3904"/>
    <w:rPr>
      <w:b/>
      <w:bCs/>
    </w:rPr>
  </w:style>
  <w:style w:type="character" w:styleId="SubtleReference">
    <w:name w:val="Subtle Reference"/>
    <w:uiPriority w:val="31"/>
    <w:qFormat/>
    <w:rsid w:val="000A3904"/>
    <w:rPr>
      <w:smallCaps/>
    </w:rPr>
  </w:style>
  <w:style w:type="character" w:styleId="IntenseReference">
    <w:name w:val="Intense Reference"/>
    <w:uiPriority w:val="32"/>
    <w:qFormat/>
    <w:rsid w:val="000A3904"/>
    <w:rPr>
      <w:smallCaps/>
      <w:spacing w:val="5"/>
      <w:u w:val="single"/>
    </w:rPr>
  </w:style>
  <w:style w:type="character" w:styleId="BookTitle">
    <w:name w:val="Book Title"/>
    <w:uiPriority w:val="33"/>
    <w:qFormat/>
    <w:rsid w:val="000A3904"/>
    <w:rPr>
      <w:i/>
      <w:iCs/>
      <w:smallCaps/>
      <w:spacing w:val="5"/>
    </w:rPr>
  </w:style>
  <w:style w:type="paragraph" w:styleId="TOCHeading">
    <w:name w:val="TOC Heading"/>
    <w:basedOn w:val="Heading1"/>
    <w:next w:val="Normal"/>
    <w:uiPriority w:val="39"/>
    <w:semiHidden/>
    <w:unhideWhenUsed/>
    <w:qFormat/>
    <w:rsid w:val="000A3904"/>
    <w:pPr>
      <w:outlineLvl w:val="9"/>
    </w:pPr>
    <w:rPr>
      <w:lang w:bidi="en-US"/>
    </w:rPr>
  </w:style>
  <w:style w:type="paragraph" w:styleId="Caption">
    <w:name w:val="caption"/>
    <w:basedOn w:val="Normal"/>
    <w:next w:val="Normal"/>
    <w:link w:val="CaptionChar"/>
    <w:qFormat/>
    <w:rsid w:val="00572817"/>
    <w:pPr>
      <w:overflowPunct w:val="0"/>
      <w:autoSpaceDE w:val="0"/>
      <w:autoSpaceDN w:val="0"/>
      <w:adjustRightInd w:val="0"/>
      <w:spacing w:after="120"/>
      <w:jc w:val="center"/>
      <w:textAlignment w:val="baseline"/>
    </w:pPr>
    <w:rPr>
      <w:rFonts w:eastAsia="Times New Roman" w:cs="Times New Roman"/>
      <w:bCs/>
      <w:sz w:val="20"/>
      <w:szCs w:val="20"/>
      <w:lang w:eastAsia="en-US"/>
    </w:rPr>
  </w:style>
  <w:style w:type="character" w:customStyle="1" w:styleId="CaptionChar">
    <w:name w:val="Caption Char"/>
    <w:basedOn w:val="DefaultParagraphFont"/>
    <w:link w:val="Caption"/>
    <w:rsid w:val="00572817"/>
    <w:rPr>
      <w:rFonts w:eastAsia="Times New Roman" w:cs="Times New Roman"/>
      <w:bCs/>
      <w:sz w:val="20"/>
      <w:szCs w:val="20"/>
      <w:lang w:val="en-US" w:eastAsia="en-US"/>
    </w:rPr>
  </w:style>
  <w:style w:type="paragraph" w:customStyle="1" w:styleId="Punto">
    <w:name w:val="Punto"/>
    <w:basedOn w:val="Normal"/>
    <w:link w:val="PuntoCar"/>
    <w:rsid w:val="007272B6"/>
    <w:pPr>
      <w:numPr>
        <w:numId w:val="7"/>
      </w:numPr>
      <w:tabs>
        <w:tab w:val="clear" w:pos="567"/>
        <w:tab w:val="num" w:pos="851"/>
      </w:tabs>
      <w:spacing w:before="120" w:line="360" w:lineRule="auto"/>
      <w:ind w:left="851" w:right="701" w:hanging="284"/>
    </w:pPr>
    <w:rPr>
      <w:rFonts w:eastAsia="Times New Roman" w:cs="Times New Roman"/>
      <w:lang w:eastAsia="es-ES"/>
    </w:rPr>
  </w:style>
  <w:style w:type="character" w:customStyle="1" w:styleId="PuntoCar">
    <w:name w:val="Punto Car"/>
    <w:basedOn w:val="DefaultParagraphFont"/>
    <w:link w:val="Punto"/>
    <w:rsid w:val="007272B6"/>
    <w:rPr>
      <w:rFonts w:eastAsia="Times New Roman" w:cs="Times New Roman"/>
      <w:lang w:val="en-US" w:eastAsia="es-ES"/>
    </w:rPr>
  </w:style>
  <w:style w:type="paragraph" w:customStyle="1" w:styleId="ecuacion">
    <w:name w:val="ecuacion"/>
    <w:basedOn w:val="Normal"/>
    <w:next w:val="Normal"/>
    <w:rsid w:val="00837FE2"/>
    <w:pPr>
      <w:tabs>
        <w:tab w:val="center" w:pos="7290"/>
      </w:tabs>
      <w:overflowPunct w:val="0"/>
      <w:autoSpaceDE w:val="0"/>
      <w:autoSpaceDN w:val="0"/>
      <w:adjustRightInd w:val="0"/>
      <w:spacing w:before="60" w:after="60"/>
      <w:ind w:left="187"/>
      <w:jc w:val="left"/>
      <w:textAlignment w:val="baseline"/>
    </w:pPr>
    <w:rPr>
      <w:rFonts w:eastAsia="Times New Roman" w:cs="Times New Roman"/>
      <w:szCs w:val="20"/>
      <w:lang w:eastAsia="en-US"/>
    </w:rPr>
  </w:style>
  <w:style w:type="paragraph" w:styleId="FootnoteText">
    <w:name w:val="footnote text"/>
    <w:basedOn w:val="Normal"/>
    <w:link w:val="FootnoteTextChar"/>
    <w:semiHidden/>
    <w:rsid w:val="00F26B17"/>
    <w:pPr>
      <w:overflowPunct w:val="0"/>
      <w:autoSpaceDE w:val="0"/>
      <w:autoSpaceDN w:val="0"/>
      <w:adjustRightInd w:val="0"/>
      <w:spacing w:after="240" w:line="276" w:lineRule="auto"/>
      <w:textAlignment w:val="baseline"/>
    </w:pPr>
    <w:rPr>
      <w:rFonts w:asciiTheme="minorHAnsi" w:eastAsia="Times New Roman" w:hAnsiTheme="minorHAnsi" w:cs="Times New Roman"/>
      <w:sz w:val="20"/>
      <w:szCs w:val="20"/>
      <w:lang w:eastAsia="en-US"/>
    </w:rPr>
  </w:style>
  <w:style w:type="character" w:customStyle="1" w:styleId="FootnoteTextChar">
    <w:name w:val="Footnote Text Char"/>
    <w:basedOn w:val="DefaultParagraphFont"/>
    <w:link w:val="FootnoteText"/>
    <w:semiHidden/>
    <w:rsid w:val="00F26B17"/>
    <w:rPr>
      <w:rFonts w:eastAsia="Times New Roman" w:cs="Times New Roman"/>
      <w:sz w:val="20"/>
      <w:szCs w:val="20"/>
      <w:lang w:val="en-US" w:eastAsia="en-US"/>
    </w:rPr>
  </w:style>
  <w:style w:type="character" w:styleId="FootnoteReference">
    <w:name w:val="footnote reference"/>
    <w:basedOn w:val="DefaultParagraphFont"/>
    <w:semiHidden/>
    <w:rsid w:val="00F26B17"/>
    <w:rPr>
      <w:vertAlign w:val="superscript"/>
    </w:rPr>
  </w:style>
  <w:style w:type="paragraph" w:styleId="BodyText">
    <w:name w:val="Body Text"/>
    <w:basedOn w:val="Normal"/>
    <w:link w:val="BodyTextChar"/>
    <w:rsid w:val="00E9248D"/>
    <w:pPr>
      <w:overflowPunct w:val="0"/>
      <w:autoSpaceDE w:val="0"/>
      <w:autoSpaceDN w:val="0"/>
      <w:adjustRightInd w:val="0"/>
      <w:spacing w:before="100" w:after="240"/>
      <w:textAlignment w:val="baseline"/>
    </w:pPr>
    <w:rPr>
      <w:rFonts w:asciiTheme="minorHAnsi" w:eastAsia="Times New Roman" w:hAnsiTheme="minorHAnsi" w:cs="Times New Roman"/>
      <w:sz w:val="20"/>
      <w:szCs w:val="20"/>
      <w:lang w:eastAsia="en-US"/>
    </w:rPr>
  </w:style>
  <w:style w:type="character" w:customStyle="1" w:styleId="BodyTextChar">
    <w:name w:val="Body Text Char"/>
    <w:basedOn w:val="DefaultParagraphFont"/>
    <w:link w:val="BodyText"/>
    <w:rsid w:val="00E9248D"/>
    <w:rPr>
      <w:rFonts w:eastAsia="Times New Roman" w:cs="Times New Roman"/>
      <w:sz w:val="20"/>
      <w:szCs w:val="20"/>
      <w:lang w:val="en-US" w:eastAsia="en-US"/>
    </w:rPr>
  </w:style>
  <w:style w:type="paragraph" w:styleId="BalloonText">
    <w:name w:val="Balloon Text"/>
    <w:basedOn w:val="Normal"/>
    <w:link w:val="BalloonTextChar"/>
    <w:semiHidden/>
    <w:unhideWhenUsed/>
    <w:rsid w:val="00EF513B"/>
    <w:rPr>
      <w:rFonts w:ascii="Tahoma" w:hAnsi="Tahoma" w:cs="Tahoma"/>
      <w:sz w:val="16"/>
      <w:szCs w:val="16"/>
    </w:rPr>
  </w:style>
  <w:style w:type="character" w:customStyle="1" w:styleId="BalloonTextChar">
    <w:name w:val="Balloon Text Char"/>
    <w:basedOn w:val="DefaultParagraphFont"/>
    <w:link w:val="BalloonText"/>
    <w:uiPriority w:val="99"/>
    <w:semiHidden/>
    <w:rsid w:val="00EF513B"/>
    <w:rPr>
      <w:rFonts w:ascii="Tahoma" w:hAnsi="Tahoma" w:cs="Tahoma"/>
      <w:sz w:val="16"/>
      <w:szCs w:val="16"/>
    </w:rPr>
  </w:style>
  <w:style w:type="character" w:styleId="PlaceholderText">
    <w:name w:val="Placeholder Text"/>
    <w:basedOn w:val="DefaultParagraphFont"/>
    <w:uiPriority w:val="99"/>
    <w:semiHidden/>
    <w:rsid w:val="000D2E31"/>
    <w:rPr>
      <w:color w:val="808080"/>
    </w:rPr>
  </w:style>
  <w:style w:type="paragraph" w:customStyle="1" w:styleId="Titulillo">
    <w:name w:val="Titulillo"/>
    <w:basedOn w:val="Normal"/>
    <w:rsid w:val="00474849"/>
    <w:pPr>
      <w:keepNext/>
      <w:suppressAutoHyphens/>
      <w:overflowPunct w:val="0"/>
      <w:autoSpaceDE w:val="0"/>
      <w:autoSpaceDN w:val="0"/>
      <w:adjustRightInd w:val="0"/>
      <w:spacing w:after="120" w:line="204" w:lineRule="auto"/>
      <w:textAlignment w:val="baseline"/>
    </w:pPr>
    <w:rPr>
      <w:rFonts w:ascii="Euclid" w:eastAsia="Times New Roman" w:hAnsi="Euclid" w:cs="Times New Roman"/>
      <w:b/>
      <w:szCs w:val="24"/>
      <w:lang w:eastAsia="en-US"/>
    </w:rPr>
  </w:style>
  <w:style w:type="character" w:styleId="Hyperlink">
    <w:name w:val="Hyperlink"/>
    <w:basedOn w:val="DefaultParagraphFont"/>
    <w:unhideWhenUsed/>
    <w:rsid w:val="00027E2F"/>
    <w:rPr>
      <w:color w:val="0000FF" w:themeColor="hyperlink"/>
      <w:u w:val="single"/>
    </w:rPr>
  </w:style>
  <w:style w:type="paragraph" w:customStyle="1" w:styleId="References">
    <w:name w:val="References"/>
    <w:basedOn w:val="Normal"/>
    <w:rsid w:val="00083C69"/>
    <w:pPr>
      <w:overflowPunct w:val="0"/>
      <w:autoSpaceDE w:val="0"/>
      <w:autoSpaceDN w:val="0"/>
      <w:adjustRightInd w:val="0"/>
      <w:spacing w:after="120" w:line="252" w:lineRule="auto"/>
      <w:ind w:left="562" w:hanging="562"/>
      <w:jc w:val="left"/>
      <w:textAlignment w:val="baseline"/>
    </w:pPr>
    <w:rPr>
      <w:rFonts w:eastAsia="Times New Roman" w:cs="Times New Roman"/>
      <w:lang w:eastAsia="en-US"/>
    </w:rPr>
  </w:style>
  <w:style w:type="paragraph" w:customStyle="1" w:styleId="Footnote">
    <w:name w:val="Footnote"/>
    <w:basedOn w:val="FootnoteText"/>
    <w:qFormat/>
    <w:rsid w:val="00623388"/>
    <w:pPr>
      <w:ind w:left="126" w:hanging="126"/>
    </w:pPr>
    <w:rPr>
      <w:rFonts w:ascii="Times New Roman" w:hAnsi="Times New Roman"/>
    </w:rPr>
  </w:style>
  <w:style w:type="paragraph" w:customStyle="1" w:styleId="Abstract">
    <w:name w:val="Abstract"/>
    <w:basedOn w:val="Normal"/>
    <w:rsid w:val="00BE5697"/>
    <w:pPr>
      <w:overflowPunct w:val="0"/>
      <w:autoSpaceDE w:val="0"/>
      <w:autoSpaceDN w:val="0"/>
      <w:adjustRightInd w:val="0"/>
      <w:textAlignment w:val="baseline"/>
    </w:pPr>
    <w:rPr>
      <w:rFonts w:eastAsia="Times New Roman" w:cs="Times New Roman"/>
      <w:lang w:eastAsia="en-US"/>
    </w:rPr>
  </w:style>
  <w:style w:type="paragraph" w:customStyle="1" w:styleId="Autores">
    <w:name w:val="Autores"/>
    <w:basedOn w:val="Normal"/>
    <w:next w:val="Normal"/>
    <w:rsid w:val="00AC5CB0"/>
    <w:pPr>
      <w:overflowPunct w:val="0"/>
      <w:autoSpaceDE w:val="0"/>
      <w:autoSpaceDN w:val="0"/>
      <w:adjustRightInd w:val="0"/>
      <w:spacing w:after="120"/>
      <w:jc w:val="left"/>
      <w:textAlignment w:val="baseline"/>
    </w:pPr>
    <w:rPr>
      <w:rFonts w:eastAsia="Times New Roman" w:cs="Times New Roman"/>
      <w:szCs w:val="24"/>
      <w:lang w:val="es-ES" w:eastAsia="en-US"/>
    </w:rPr>
  </w:style>
  <w:style w:type="paragraph" w:customStyle="1" w:styleId="Figura">
    <w:name w:val="Figura"/>
    <w:basedOn w:val="Normal"/>
    <w:next w:val="Normal"/>
    <w:qFormat/>
    <w:rsid w:val="002E7DDB"/>
    <w:pPr>
      <w:keepNext/>
      <w:overflowPunct w:val="0"/>
      <w:autoSpaceDE w:val="0"/>
      <w:autoSpaceDN w:val="0"/>
      <w:adjustRightInd w:val="0"/>
      <w:spacing w:after="120"/>
      <w:jc w:val="center"/>
      <w:textAlignment w:val="baseline"/>
    </w:pPr>
    <w:rPr>
      <w:rFonts w:ascii="Times New Roman" w:eastAsia="Times New Roman" w:hAnsi="Times New Roman" w:cs="Times New Roman"/>
      <w:szCs w:val="20"/>
      <w:lang w:eastAsia="en-US"/>
    </w:rPr>
  </w:style>
  <w:style w:type="paragraph" w:customStyle="1" w:styleId="Lemma">
    <w:name w:val="Lemma"/>
    <w:basedOn w:val="Heading3"/>
    <w:rsid w:val="00283A0C"/>
    <w:pPr>
      <w:numPr>
        <w:ilvl w:val="0"/>
        <w:numId w:val="9"/>
      </w:numPr>
      <w:spacing w:before="0" w:after="240" w:line="240" w:lineRule="auto"/>
      <w:jc w:val="right"/>
      <w:outlineLvl w:val="9"/>
    </w:pPr>
    <w:rPr>
      <w:rFonts w:eastAsia="Times New Roman" w:cs="Times New Roman"/>
      <w:b w:val="0"/>
      <w:bCs w:val="0"/>
      <w:i/>
      <w:sz w:val="20"/>
      <w:szCs w:val="20"/>
      <w:lang w:eastAsia="en-US"/>
    </w:rPr>
  </w:style>
  <w:style w:type="paragraph" w:styleId="BodyText2">
    <w:name w:val="Body Text 2"/>
    <w:basedOn w:val="Normal"/>
    <w:link w:val="BodyText2Char"/>
    <w:rsid w:val="00E9248D"/>
    <w:pPr>
      <w:overflowPunct w:val="0"/>
      <w:autoSpaceDE w:val="0"/>
      <w:autoSpaceDN w:val="0"/>
      <w:adjustRightInd w:val="0"/>
      <w:spacing w:after="240"/>
      <w:ind w:left="709" w:hanging="709"/>
      <w:textAlignment w:val="baseline"/>
    </w:pPr>
    <w:rPr>
      <w:rFonts w:asciiTheme="minorHAnsi" w:eastAsia="Times New Roman" w:hAnsiTheme="minorHAnsi" w:cs="Times New Roman"/>
      <w:sz w:val="20"/>
      <w:szCs w:val="20"/>
      <w:lang w:eastAsia="en-US"/>
    </w:rPr>
  </w:style>
  <w:style w:type="character" w:customStyle="1" w:styleId="BodyText2Char">
    <w:name w:val="Body Text 2 Char"/>
    <w:basedOn w:val="DefaultParagraphFont"/>
    <w:link w:val="BodyText2"/>
    <w:rsid w:val="00E9248D"/>
    <w:rPr>
      <w:rFonts w:eastAsia="Times New Roman" w:cs="Times New Roman"/>
      <w:sz w:val="20"/>
      <w:szCs w:val="20"/>
      <w:lang w:val="en-US" w:eastAsia="en-US"/>
    </w:rPr>
  </w:style>
  <w:style w:type="character" w:customStyle="1" w:styleId="longtext1">
    <w:name w:val="long_text1"/>
    <w:basedOn w:val="DefaultParagraphFont"/>
    <w:rsid w:val="0013770F"/>
    <w:rPr>
      <w:rFonts w:ascii="Calibri" w:hAnsi="Calibri"/>
      <w:sz w:val="22"/>
      <w:szCs w:val="18"/>
    </w:rPr>
  </w:style>
  <w:style w:type="paragraph" w:styleId="Header">
    <w:name w:val="header"/>
    <w:basedOn w:val="Normal"/>
    <w:link w:val="HeaderChar"/>
    <w:unhideWhenUsed/>
    <w:rsid w:val="009C2BEC"/>
    <w:pPr>
      <w:tabs>
        <w:tab w:val="center" w:pos="4252"/>
        <w:tab w:val="right" w:pos="8504"/>
      </w:tabs>
    </w:pPr>
  </w:style>
  <w:style w:type="character" w:customStyle="1" w:styleId="HeaderChar">
    <w:name w:val="Header Char"/>
    <w:basedOn w:val="DefaultParagraphFont"/>
    <w:link w:val="Header"/>
    <w:uiPriority w:val="99"/>
    <w:rsid w:val="009C2BEC"/>
  </w:style>
  <w:style w:type="paragraph" w:styleId="Footer">
    <w:name w:val="footer"/>
    <w:basedOn w:val="Normal"/>
    <w:link w:val="FooterChar"/>
    <w:unhideWhenUsed/>
    <w:rsid w:val="009C2BEC"/>
    <w:pPr>
      <w:tabs>
        <w:tab w:val="center" w:pos="4252"/>
        <w:tab w:val="right" w:pos="8504"/>
      </w:tabs>
    </w:pPr>
  </w:style>
  <w:style w:type="character" w:customStyle="1" w:styleId="FooterChar">
    <w:name w:val="Footer Char"/>
    <w:basedOn w:val="DefaultParagraphFont"/>
    <w:link w:val="Footer"/>
    <w:uiPriority w:val="99"/>
    <w:rsid w:val="009C2BEC"/>
  </w:style>
  <w:style w:type="character" w:styleId="CommentReference">
    <w:name w:val="annotation reference"/>
    <w:basedOn w:val="DefaultParagraphFont"/>
    <w:semiHidden/>
    <w:unhideWhenUsed/>
    <w:rsid w:val="00C01FD4"/>
    <w:rPr>
      <w:sz w:val="16"/>
      <w:szCs w:val="16"/>
    </w:rPr>
  </w:style>
  <w:style w:type="paragraph" w:styleId="CommentText">
    <w:name w:val="annotation text"/>
    <w:basedOn w:val="Normal"/>
    <w:link w:val="CommentTextChar"/>
    <w:semiHidden/>
    <w:unhideWhenUsed/>
    <w:rsid w:val="00C01FD4"/>
    <w:rPr>
      <w:sz w:val="20"/>
      <w:szCs w:val="20"/>
    </w:rPr>
  </w:style>
  <w:style w:type="character" w:customStyle="1" w:styleId="CommentTextChar">
    <w:name w:val="Comment Text Char"/>
    <w:basedOn w:val="DefaultParagraphFont"/>
    <w:link w:val="CommentText"/>
    <w:uiPriority w:val="99"/>
    <w:semiHidden/>
    <w:rsid w:val="00C01FD4"/>
    <w:rPr>
      <w:sz w:val="20"/>
      <w:szCs w:val="20"/>
    </w:rPr>
  </w:style>
  <w:style w:type="paragraph" w:styleId="CommentSubject">
    <w:name w:val="annotation subject"/>
    <w:basedOn w:val="CommentText"/>
    <w:next w:val="CommentText"/>
    <w:link w:val="CommentSubjectChar"/>
    <w:semiHidden/>
    <w:unhideWhenUsed/>
    <w:rsid w:val="00C01FD4"/>
    <w:rPr>
      <w:b/>
      <w:bCs/>
    </w:rPr>
  </w:style>
  <w:style w:type="character" w:customStyle="1" w:styleId="CommentSubjectChar">
    <w:name w:val="Comment Subject Char"/>
    <w:basedOn w:val="CommentTextChar"/>
    <w:link w:val="CommentSubject"/>
    <w:uiPriority w:val="99"/>
    <w:semiHidden/>
    <w:rsid w:val="00C01FD4"/>
    <w:rPr>
      <w:b/>
      <w:bCs/>
      <w:sz w:val="20"/>
      <w:szCs w:val="20"/>
    </w:rPr>
  </w:style>
  <w:style w:type="paragraph" w:customStyle="1" w:styleId="HedgingLittle">
    <w:name w:val="HedgingLittle"/>
    <w:basedOn w:val="Normal"/>
    <w:rsid w:val="00F83FA6"/>
    <w:pPr>
      <w:keepNext/>
      <w:suppressAutoHyphens/>
      <w:overflowPunct w:val="0"/>
      <w:autoSpaceDE w:val="0"/>
      <w:autoSpaceDN w:val="0"/>
      <w:adjustRightInd w:val="0"/>
      <w:spacing w:after="120" w:line="204" w:lineRule="auto"/>
      <w:textAlignment w:val="baseline"/>
    </w:pPr>
    <w:rPr>
      <w:rFonts w:eastAsia="Times New Roman" w:cs="Times New Roman"/>
      <w:b/>
      <w:szCs w:val="24"/>
      <w:lang w:eastAsia="en-US"/>
    </w:rPr>
  </w:style>
  <w:style w:type="paragraph" w:styleId="Bibliography">
    <w:name w:val="Bibliography"/>
    <w:basedOn w:val="Normal"/>
    <w:next w:val="Normal"/>
    <w:uiPriority w:val="37"/>
    <w:unhideWhenUsed/>
    <w:rsid w:val="00760491"/>
    <w:pPr>
      <w:ind w:left="720" w:hanging="720"/>
    </w:pPr>
  </w:style>
  <w:style w:type="character" w:styleId="PageNumber">
    <w:name w:val="page number"/>
    <w:basedOn w:val="DefaultParagraphFont"/>
    <w:rsid w:val="00E9248D"/>
  </w:style>
  <w:style w:type="paragraph" w:customStyle="1" w:styleId="Source">
    <w:name w:val="Source"/>
    <w:basedOn w:val="Normal"/>
    <w:qFormat/>
    <w:rsid w:val="00934E47"/>
    <w:pPr>
      <w:widowControl w:val="0"/>
      <w:spacing w:after="120"/>
      <w:contextualSpacing/>
      <w:jc w:val="right"/>
    </w:pPr>
    <w:rPr>
      <w:rFonts w:ascii="Tahoma" w:eastAsia="Times New Roman" w:hAnsi="Tahoma" w:cs="Tahoma"/>
      <w:i/>
      <w:iCs/>
      <w:sz w:val="16"/>
      <w:szCs w:val="20"/>
      <w:u w:color="009187"/>
      <w:lang w:val="en-GB" w:eastAsia="fr-FR"/>
    </w:rPr>
  </w:style>
  <w:style w:type="paragraph" w:styleId="NormalWeb">
    <w:name w:val="Normal (Web)"/>
    <w:basedOn w:val="Normal"/>
    <w:uiPriority w:val="99"/>
    <w:semiHidden/>
    <w:unhideWhenUsed/>
    <w:rsid w:val="005A4EE2"/>
    <w:pPr>
      <w:spacing w:before="100" w:beforeAutospacing="1" w:after="100" w:afterAutospacing="1"/>
      <w:jc w:val="left"/>
    </w:pPr>
    <w:rPr>
      <w:rFonts w:ascii="Times New Roman" w:hAnsi="Times New Roman" w:cs="Times New Roman"/>
      <w:szCs w:val="24"/>
      <w:lang w:val="en-GB"/>
    </w:rPr>
  </w:style>
  <w:style w:type="paragraph" w:customStyle="1" w:styleId="TtuloPaper">
    <w:name w:val="TítuloPaper"/>
    <w:basedOn w:val="Normal"/>
    <w:next w:val="Normal"/>
    <w:rsid w:val="00E9248D"/>
    <w:pPr>
      <w:overflowPunct w:val="0"/>
      <w:autoSpaceDE w:val="0"/>
      <w:autoSpaceDN w:val="0"/>
      <w:adjustRightInd w:val="0"/>
      <w:spacing w:after="720"/>
      <w:ind w:left="403" w:right="403"/>
      <w:jc w:val="center"/>
      <w:textAlignment w:val="baseline"/>
    </w:pPr>
    <w:rPr>
      <w:rFonts w:asciiTheme="minorHAnsi" w:eastAsia="Times New Roman" w:hAnsiTheme="minorHAnsi" w:cs="Times New Roman"/>
      <w:bCs/>
      <w:sz w:val="40"/>
      <w:szCs w:val="44"/>
      <w:lang w:eastAsia="en-US"/>
    </w:rPr>
  </w:style>
  <w:style w:type="paragraph" w:customStyle="1" w:styleId="Epgrafe2">
    <w:name w:val="Epígrafe2"/>
    <w:basedOn w:val="Caption"/>
    <w:next w:val="Normal"/>
    <w:rsid w:val="00E9248D"/>
  </w:style>
  <w:style w:type="character" w:customStyle="1" w:styleId="MTEquationSection">
    <w:name w:val="MTEquationSection"/>
    <w:basedOn w:val="DefaultParagraphFont"/>
    <w:rsid w:val="00E9248D"/>
    <w:rPr>
      <w:vanish/>
      <w:color w:val="FF0000"/>
    </w:rPr>
  </w:style>
  <w:style w:type="paragraph" w:customStyle="1" w:styleId="Ecuacin">
    <w:name w:val="Ecuación"/>
    <w:basedOn w:val="Normal"/>
    <w:next w:val="Normal"/>
    <w:rsid w:val="00E9248D"/>
    <w:pPr>
      <w:tabs>
        <w:tab w:val="center" w:pos="4253"/>
        <w:tab w:val="right" w:pos="8505"/>
      </w:tabs>
      <w:spacing w:before="100" w:after="100" w:line="480" w:lineRule="auto"/>
    </w:pPr>
    <w:rPr>
      <w:rFonts w:asciiTheme="minorHAnsi" w:eastAsia="Times New Roman" w:hAnsiTheme="minorHAnsi" w:cs="Times New Roman"/>
      <w:sz w:val="22"/>
      <w:szCs w:val="24"/>
      <w:lang w:val="es-ES" w:eastAsia="es-ES"/>
    </w:rPr>
  </w:style>
  <w:style w:type="paragraph" w:customStyle="1" w:styleId="enumera">
    <w:name w:val="enumera"/>
    <w:basedOn w:val="Normal"/>
    <w:rsid w:val="00E9248D"/>
    <w:pPr>
      <w:numPr>
        <w:numId w:val="30"/>
      </w:numPr>
      <w:tabs>
        <w:tab w:val="clear" w:pos="1128"/>
      </w:tabs>
      <w:spacing w:before="240" w:line="480" w:lineRule="auto"/>
      <w:ind w:left="284" w:hanging="284"/>
    </w:pPr>
    <w:rPr>
      <w:rFonts w:asciiTheme="minorHAnsi" w:eastAsia="Times New Roman" w:hAnsiTheme="minorHAnsi" w:cs="Times New Roman"/>
      <w:sz w:val="22"/>
      <w:szCs w:val="24"/>
      <w:lang w:eastAsia="es-ES"/>
    </w:rPr>
  </w:style>
  <w:style w:type="character" w:customStyle="1" w:styleId="EndnoteTextChar">
    <w:name w:val="Endnote Text Char"/>
    <w:basedOn w:val="DefaultParagraphFont"/>
    <w:link w:val="EndnoteText"/>
    <w:semiHidden/>
    <w:rsid w:val="00E9248D"/>
    <w:rPr>
      <w:rFonts w:eastAsia="Times New Roman" w:cs="Times New Roman"/>
      <w:sz w:val="20"/>
      <w:szCs w:val="20"/>
      <w:lang w:val="en-US" w:eastAsia="en-US"/>
    </w:rPr>
  </w:style>
  <w:style w:type="paragraph" w:styleId="EndnoteText">
    <w:name w:val="endnote text"/>
    <w:basedOn w:val="Normal"/>
    <w:link w:val="EndnoteTextChar"/>
    <w:semiHidden/>
    <w:rsid w:val="00E9248D"/>
    <w:pPr>
      <w:overflowPunct w:val="0"/>
      <w:autoSpaceDE w:val="0"/>
      <w:autoSpaceDN w:val="0"/>
      <w:adjustRightInd w:val="0"/>
      <w:spacing w:after="240"/>
      <w:jc w:val="center"/>
      <w:textAlignment w:val="baseline"/>
    </w:pPr>
    <w:rPr>
      <w:rFonts w:asciiTheme="minorHAnsi" w:eastAsia="Times New Roman" w:hAnsiTheme="minorHAnsi" w:cs="Times New Roman"/>
      <w:sz w:val="20"/>
      <w:szCs w:val="20"/>
      <w:lang w:eastAsia="en-US"/>
    </w:rPr>
  </w:style>
  <w:style w:type="paragraph" w:customStyle="1" w:styleId="Figuras">
    <w:name w:val="Figuras"/>
    <w:basedOn w:val="Normal"/>
    <w:next w:val="Normal"/>
    <w:rsid w:val="00E9248D"/>
    <w:pPr>
      <w:overflowPunct w:val="0"/>
      <w:autoSpaceDE w:val="0"/>
      <w:autoSpaceDN w:val="0"/>
      <w:adjustRightInd w:val="0"/>
      <w:spacing w:after="240" w:line="276" w:lineRule="auto"/>
      <w:jc w:val="center"/>
      <w:textAlignment w:val="baseline"/>
    </w:pPr>
    <w:rPr>
      <w:rFonts w:asciiTheme="minorHAnsi" w:eastAsia="Times New Roman" w:hAnsiTheme="minorHAnsi" w:cs="Times New Roman"/>
      <w:sz w:val="22"/>
      <w:szCs w:val="20"/>
      <w:lang w:eastAsia="en-US"/>
    </w:rPr>
  </w:style>
  <w:style w:type="table" w:styleId="TableGrid">
    <w:name w:val="Table Grid"/>
    <w:basedOn w:val="TableNormal"/>
    <w:rsid w:val="00E9248D"/>
    <w:pPr>
      <w:overflowPunct w:val="0"/>
      <w:autoSpaceDE w:val="0"/>
      <w:autoSpaceDN w:val="0"/>
      <w:adjustRightInd w:val="0"/>
      <w:spacing w:after="240" w:line="264" w:lineRule="auto"/>
      <w:jc w:val="both"/>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
    <w:name w:val="Tabla"/>
    <w:basedOn w:val="Normal"/>
    <w:rsid w:val="00E9248D"/>
    <w:pPr>
      <w:overflowPunct w:val="0"/>
      <w:autoSpaceDE w:val="0"/>
      <w:autoSpaceDN w:val="0"/>
      <w:adjustRightInd w:val="0"/>
      <w:spacing w:line="276" w:lineRule="auto"/>
      <w:jc w:val="center"/>
      <w:textAlignment w:val="baseline"/>
    </w:pPr>
    <w:rPr>
      <w:rFonts w:asciiTheme="minorHAnsi" w:eastAsia="Times New Roman" w:hAnsiTheme="minorHAnsi" w:cs="Times New Roman"/>
      <w:sz w:val="22"/>
      <w:szCs w:val="20"/>
      <w:lang w:eastAsia="es-ES"/>
    </w:rPr>
  </w:style>
  <w:style w:type="paragraph" w:styleId="Revision">
    <w:name w:val="Revision"/>
    <w:hidden/>
    <w:uiPriority w:val="99"/>
    <w:semiHidden/>
    <w:rsid w:val="0038308A"/>
    <w:pPr>
      <w:spacing w:after="0" w:line="240" w:lineRule="auto"/>
    </w:pPr>
    <w:rPr>
      <w:rFonts w:ascii="Tw Cen MT" w:hAnsi="Tw Cen MT"/>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7916">
      <w:bodyDiv w:val="1"/>
      <w:marLeft w:val="0"/>
      <w:marRight w:val="0"/>
      <w:marTop w:val="0"/>
      <w:marBottom w:val="0"/>
      <w:divBdr>
        <w:top w:val="none" w:sz="0" w:space="0" w:color="auto"/>
        <w:left w:val="none" w:sz="0" w:space="0" w:color="auto"/>
        <w:bottom w:val="none" w:sz="0" w:space="0" w:color="auto"/>
        <w:right w:val="none" w:sz="0" w:space="0" w:color="auto"/>
      </w:divBdr>
    </w:div>
    <w:div w:id="639923116">
      <w:bodyDiv w:val="1"/>
      <w:marLeft w:val="0"/>
      <w:marRight w:val="0"/>
      <w:marTop w:val="0"/>
      <w:marBottom w:val="0"/>
      <w:divBdr>
        <w:top w:val="none" w:sz="0" w:space="0" w:color="auto"/>
        <w:left w:val="none" w:sz="0" w:space="0" w:color="auto"/>
        <w:bottom w:val="none" w:sz="0" w:space="0" w:color="auto"/>
        <w:right w:val="none" w:sz="0" w:space="0" w:color="auto"/>
      </w:divBdr>
      <w:divsChild>
        <w:div w:id="1143621037">
          <w:marLeft w:val="0"/>
          <w:marRight w:val="0"/>
          <w:marTop w:val="0"/>
          <w:marBottom w:val="0"/>
          <w:divBdr>
            <w:top w:val="none" w:sz="0" w:space="0" w:color="auto"/>
            <w:left w:val="none" w:sz="0" w:space="0" w:color="auto"/>
            <w:bottom w:val="none" w:sz="0" w:space="0" w:color="auto"/>
            <w:right w:val="none" w:sz="0" w:space="0" w:color="auto"/>
          </w:divBdr>
        </w:div>
        <w:div w:id="249042642">
          <w:marLeft w:val="0"/>
          <w:marRight w:val="0"/>
          <w:marTop w:val="0"/>
          <w:marBottom w:val="0"/>
          <w:divBdr>
            <w:top w:val="none" w:sz="0" w:space="0" w:color="auto"/>
            <w:left w:val="none" w:sz="0" w:space="0" w:color="auto"/>
            <w:bottom w:val="none" w:sz="0" w:space="0" w:color="auto"/>
            <w:right w:val="none" w:sz="0" w:space="0" w:color="auto"/>
          </w:divBdr>
        </w:div>
        <w:div w:id="1953324457">
          <w:marLeft w:val="0"/>
          <w:marRight w:val="0"/>
          <w:marTop w:val="0"/>
          <w:marBottom w:val="0"/>
          <w:divBdr>
            <w:top w:val="none" w:sz="0" w:space="0" w:color="auto"/>
            <w:left w:val="none" w:sz="0" w:space="0" w:color="auto"/>
            <w:bottom w:val="none" w:sz="0" w:space="0" w:color="auto"/>
            <w:right w:val="none" w:sz="0" w:space="0" w:color="auto"/>
          </w:divBdr>
        </w:div>
        <w:div w:id="1023677329">
          <w:marLeft w:val="0"/>
          <w:marRight w:val="0"/>
          <w:marTop w:val="0"/>
          <w:marBottom w:val="0"/>
          <w:divBdr>
            <w:top w:val="none" w:sz="0" w:space="0" w:color="auto"/>
            <w:left w:val="none" w:sz="0" w:space="0" w:color="auto"/>
            <w:bottom w:val="none" w:sz="0" w:space="0" w:color="auto"/>
            <w:right w:val="none" w:sz="0" w:space="0" w:color="auto"/>
          </w:divBdr>
        </w:div>
      </w:divsChild>
    </w:div>
    <w:div w:id="19065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1.bin"/><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wmf"/><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4.bin"/><Relationship Id="rId28" Type="http://schemas.openxmlformats.org/officeDocument/2006/relationships/image" Target="media/image13.wmf"/><Relationship Id="rId10" Type="http://schemas.openxmlformats.org/officeDocument/2006/relationships/image" Target="media/image1.emf"/><Relationship Id="rId19" Type="http://schemas.openxmlformats.org/officeDocument/2006/relationships/oleObject" Target="embeddings/oleObject2.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oleObject" Target="embeddings/oleObject8.bin"/><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FB1C1-6222-497C-863D-A5830E0B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13373</Words>
  <Characters>76231</Characters>
  <Application>Microsoft Office Word</Application>
  <DocSecurity>0</DocSecurity>
  <Lines>635</Lines>
  <Paragraphs>178</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EUI</Company>
  <LinksUpToDate>false</LinksUpToDate>
  <CharactersWithSpaces>89426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Miguel Vazquez</cp:lastModifiedBy>
  <cp:revision>7</cp:revision>
  <cp:lastPrinted>2012-01-30T14:57:00Z</cp:lastPrinted>
  <dcterms:created xsi:type="dcterms:W3CDTF">2015-07-20T12:36:00Z</dcterms:created>
  <dcterms:modified xsi:type="dcterms:W3CDTF">2015-07-20T15:18:00Z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id="aotuI0pa"/&gt;&lt;style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value="false"/&gt;&lt;pref name="noteType" value="0"/&gt;&lt;/prefs&gt;&lt;/data&gt;</vt:lpwstr>
  </property>
</Properties>
</file>