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5B7" w:rsidRPr="00600897" w:rsidRDefault="00E265B7" w:rsidP="00600897">
      <w:pPr>
        <w:pStyle w:val="Title"/>
      </w:pPr>
      <w:bookmarkStart w:id="0" w:name="_GoBack"/>
      <w:bookmarkEnd w:id="0"/>
      <w:r w:rsidRPr="00600897">
        <w:t>AN INPUT-OUTPUT LINEAR PROGRAMMING MODEL TO ASSESS BRAZILIAN GREENHOUSE GAS EMISSIONS</w:t>
      </w:r>
      <w:r w:rsidR="00BB6B4A">
        <w:rPr>
          <w:rStyle w:val="FootnoteReference"/>
        </w:rPr>
        <w:footnoteReference w:id="1"/>
      </w:r>
    </w:p>
    <w:p w:rsidR="00E265B7" w:rsidRDefault="00E265B7" w:rsidP="002A1A89"/>
    <w:p w:rsidR="001B08B4" w:rsidRPr="001B08B4" w:rsidRDefault="001B08B4" w:rsidP="001B08B4">
      <w:pPr>
        <w:jc w:val="right"/>
        <w:rPr>
          <w:lang w:val="pt-BR"/>
        </w:rPr>
      </w:pPr>
      <w:r w:rsidRPr="001B08B4">
        <w:rPr>
          <w:lang w:val="pt-BR"/>
        </w:rPr>
        <w:t xml:space="preserve">Luiz </w:t>
      </w:r>
      <w:r>
        <w:rPr>
          <w:lang w:val="pt-BR"/>
        </w:rPr>
        <w:t>C</w:t>
      </w:r>
      <w:r w:rsidRPr="001B08B4">
        <w:rPr>
          <w:lang w:val="pt-BR"/>
        </w:rPr>
        <w:t xml:space="preserve">arlos de </w:t>
      </w:r>
      <w:r>
        <w:rPr>
          <w:lang w:val="pt-BR"/>
        </w:rPr>
        <w:t>S</w:t>
      </w:r>
      <w:r w:rsidRPr="001B08B4">
        <w:rPr>
          <w:lang w:val="pt-BR"/>
        </w:rPr>
        <w:t xml:space="preserve">antana </w:t>
      </w:r>
      <w:r>
        <w:rPr>
          <w:lang w:val="pt-BR"/>
        </w:rPr>
        <w:t>R</w:t>
      </w:r>
      <w:r w:rsidRPr="001B08B4">
        <w:rPr>
          <w:lang w:val="pt-BR"/>
        </w:rPr>
        <w:t>ibeiro</w:t>
      </w:r>
      <w:r>
        <w:rPr>
          <w:rStyle w:val="FootnoteReference"/>
          <w:lang w:val="pt-BR"/>
        </w:rPr>
        <w:footnoteReference w:id="2"/>
      </w:r>
    </w:p>
    <w:p w:rsidR="001B08B4" w:rsidRDefault="001B08B4" w:rsidP="001B08B4">
      <w:pPr>
        <w:jc w:val="right"/>
        <w:rPr>
          <w:lang w:val="pt-BR"/>
        </w:rPr>
      </w:pPr>
      <w:r>
        <w:rPr>
          <w:lang w:val="pt-BR"/>
        </w:rPr>
        <w:t>Kênia Barreiro de Souza</w:t>
      </w:r>
      <w:r w:rsidR="00F5357B">
        <w:rPr>
          <w:rStyle w:val="FootnoteReference"/>
          <w:lang w:val="pt-BR"/>
        </w:rPr>
        <w:footnoteReference w:id="3"/>
      </w:r>
    </w:p>
    <w:p w:rsidR="001B08B4" w:rsidRDefault="001B08B4" w:rsidP="001B08B4">
      <w:pPr>
        <w:jc w:val="right"/>
        <w:rPr>
          <w:lang w:val="pt-BR"/>
        </w:rPr>
      </w:pPr>
      <w:r>
        <w:rPr>
          <w:lang w:val="pt-BR"/>
        </w:rPr>
        <w:t>Fernando Salgueiro Perobelli</w:t>
      </w:r>
      <w:r w:rsidR="00F5357B">
        <w:rPr>
          <w:rStyle w:val="FootnoteReference"/>
          <w:lang w:val="pt-BR"/>
        </w:rPr>
        <w:footnoteReference w:id="4"/>
      </w:r>
    </w:p>
    <w:p w:rsidR="00E265B7" w:rsidRPr="002C69E2" w:rsidRDefault="00BA57AC" w:rsidP="00227A49">
      <w:pPr>
        <w:spacing w:after="120"/>
      </w:pPr>
      <w:r w:rsidRPr="00BA57AC">
        <w:t>ABSTRACT</w:t>
      </w:r>
    </w:p>
    <w:p w:rsidR="00E265B7" w:rsidRPr="00C868C1" w:rsidRDefault="00C868C1" w:rsidP="002A1A89">
      <w:r>
        <w:t>T</w:t>
      </w:r>
      <w:r w:rsidRPr="00600897">
        <w:t xml:space="preserve">his paper </w:t>
      </w:r>
      <w:r>
        <w:t>aims to</w:t>
      </w:r>
      <w:r w:rsidRPr="00600897">
        <w:t xml:space="preserve"> evaluate the Brazilian economic and environmental impacts caused by the </w:t>
      </w:r>
      <w:r w:rsidR="007F75A8">
        <w:t xml:space="preserve">Brazilian </w:t>
      </w:r>
      <w:r w:rsidR="00E709F6">
        <w:t>greenhouse gases (GHG)</w:t>
      </w:r>
      <w:r w:rsidRPr="00600897">
        <w:t xml:space="preserve"> emissions. The idea is make simulations taking into account emissions targets. In other words, if the government, for instance, decide to adopt a climate policy which impose a reduction of 5% of the whole Brazilian GHG emissions, what would will be the economic impact?</w:t>
      </w:r>
      <w:r w:rsidR="00E709F6">
        <w:t xml:space="preserve"> </w:t>
      </w:r>
      <w:r w:rsidR="007F75A8" w:rsidRPr="007F75A8">
        <w:t>In the attempt of answer this question</w:t>
      </w:r>
      <w:r w:rsidR="007F75A8">
        <w:t>,</w:t>
      </w:r>
      <w:r w:rsidR="00660790">
        <w:t xml:space="preserve"> we used</w:t>
      </w:r>
      <w:r w:rsidR="007F75A8">
        <w:t xml:space="preserve"> t</w:t>
      </w:r>
      <w:r w:rsidR="00E709F6">
        <w:t>he Brazilian input-output matrix for 2009</w:t>
      </w:r>
      <w:r w:rsidR="007F75A8">
        <w:t xml:space="preserve"> </w:t>
      </w:r>
      <w:r w:rsidR="00E709F6">
        <w:t xml:space="preserve">and emissions data from the Ministry of Science, Technology and Innovation. The main results indicate that </w:t>
      </w:r>
      <w:r w:rsidR="00E709F6" w:rsidRPr="00600897">
        <w:t xml:space="preserve">for each 1% of GHG emissions' reduction leads a decrease of </w:t>
      </w:r>
      <w:r w:rsidR="00660790">
        <w:t xml:space="preserve">at least </w:t>
      </w:r>
      <w:r w:rsidR="00E709F6" w:rsidRPr="00600897">
        <w:t>0.06% in the total output</w:t>
      </w:r>
      <w:r w:rsidR="00E709F6">
        <w:t xml:space="preserve">. </w:t>
      </w:r>
      <w:r w:rsidR="00E709F6" w:rsidRPr="00272FCE">
        <w:t>Without any restrictions for final demand</w:t>
      </w:r>
      <w:r w:rsidR="00660790">
        <w:t xml:space="preserve"> </w:t>
      </w:r>
      <w:r w:rsidR="00660790" w:rsidRPr="00660790">
        <w:t>downsizing</w:t>
      </w:r>
      <w:r w:rsidR="00E709F6" w:rsidRPr="00272FCE">
        <w:t>, production major decrease (-1.95%) is from the Livestock and fishing production, followed by Other mining and quarrying (-0.13%), Food and beverage, Agrochemicals</w:t>
      </w:r>
      <w:r w:rsidR="007F75A8">
        <w:t>,</w:t>
      </w:r>
      <w:r w:rsidR="00E709F6" w:rsidRPr="00272FCE">
        <w:t xml:space="preserve"> </w:t>
      </w:r>
      <w:r w:rsidR="00E709F6">
        <w:t>A</w:t>
      </w:r>
      <w:r w:rsidR="00E709F6" w:rsidRPr="00272FCE">
        <w:t>griculture, forestry, extractive (-0.11%) and Chemicals (-0.10%).</w:t>
      </w:r>
    </w:p>
    <w:p w:rsidR="00E265B7" w:rsidRPr="00E709F6" w:rsidRDefault="00E265B7" w:rsidP="002A1A89">
      <w:r w:rsidRPr="00E709F6">
        <w:t>Keywords:</w:t>
      </w:r>
      <w:r w:rsidR="00E709F6" w:rsidRPr="00E709F6">
        <w:t xml:space="preserve"> GHG emissions; input-output; linear programming.  </w:t>
      </w:r>
    </w:p>
    <w:p w:rsidR="00E265B7" w:rsidRPr="00E709F6" w:rsidRDefault="00E265B7" w:rsidP="002A1A89"/>
    <w:p w:rsidR="00E265B7" w:rsidRPr="00600897" w:rsidRDefault="00E265B7" w:rsidP="00227A49">
      <w:pPr>
        <w:spacing w:after="120"/>
        <w:rPr>
          <w:lang w:val="pt-BR"/>
        </w:rPr>
      </w:pPr>
      <w:r w:rsidRPr="00600897">
        <w:rPr>
          <w:lang w:val="pt-BR"/>
        </w:rPr>
        <w:t>RESUMO</w:t>
      </w:r>
    </w:p>
    <w:p w:rsidR="00E265B7" w:rsidRPr="00600897" w:rsidRDefault="007F75A8" w:rsidP="002A1A89">
      <w:pPr>
        <w:rPr>
          <w:lang w:val="pt-BR"/>
        </w:rPr>
      </w:pPr>
      <w:r>
        <w:rPr>
          <w:lang w:val="pt-BR"/>
        </w:rPr>
        <w:t xml:space="preserve">Este </w:t>
      </w:r>
      <w:r w:rsidR="00240844">
        <w:rPr>
          <w:lang w:val="pt-BR"/>
        </w:rPr>
        <w:t>artigo</w:t>
      </w:r>
      <w:r>
        <w:rPr>
          <w:lang w:val="pt-BR"/>
        </w:rPr>
        <w:t xml:space="preserve"> objetiva</w:t>
      </w:r>
      <w:r w:rsidR="00E709F6">
        <w:rPr>
          <w:lang w:val="pt-BR"/>
        </w:rPr>
        <w:t xml:space="preserve"> avaliar os impactos econômicos e ambientais causados pela emissão</w:t>
      </w:r>
      <w:r>
        <w:rPr>
          <w:lang w:val="pt-BR"/>
        </w:rPr>
        <w:t xml:space="preserve"> brasileira</w:t>
      </w:r>
      <w:r w:rsidR="00E709F6">
        <w:rPr>
          <w:lang w:val="pt-BR"/>
        </w:rPr>
        <w:t xml:space="preserve"> de gases de efeito estufa (GEE). A ideia é realizar simulações considerando metas de emissões. Em outras palavras, se o governo, por exemplo, decide ad</w:t>
      </w:r>
      <w:r>
        <w:rPr>
          <w:lang w:val="pt-BR"/>
        </w:rPr>
        <w:t>ot</w:t>
      </w:r>
      <w:r w:rsidR="00E709F6">
        <w:rPr>
          <w:lang w:val="pt-BR"/>
        </w:rPr>
        <w:t>ar uma política de mitigação que impõe uma redução de 5% no total de emissões brasileiras de GEE, qual seria o impacto econômico?</w:t>
      </w:r>
      <w:r>
        <w:rPr>
          <w:lang w:val="pt-BR"/>
        </w:rPr>
        <w:t xml:space="preserve"> Na tentativa de responder esta pergunta, a matriz de insumo-prod</w:t>
      </w:r>
      <w:r w:rsidR="00240844">
        <w:rPr>
          <w:lang w:val="pt-BR"/>
        </w:rPr>
        <w:t>u</w:t>
      </w:r>
      <w:r>
        <w:rPr>
          <w:lang w:val="pt-BR"/>
        </w:rPr>
        <w:t xml:space="preserve">to brasileira para o ano de 2009 foi </w:t>
      </w:r>
      <w:r w:rsidR="00BB6B4A">
        <w:rPr>
          <w:lang w:val="pt-BR"/>
        </w:rPr>
        <w:t>usada</w:t>
      </w:r>
      <w:r>
        <w:rPr>
          <w:lang w:val="pt-BR"/>
        </w:rPr>
        <w:t xml:space="preserve"> e </w:t>
      </w:r>
      <w:r w:rsidR="00240844">
        <w:rPr>
          <w:lang w:val="pt-BR"/>
        </w:rPr>
        <w:t>utilizou-se</w:t>
      </w:r>
      <w:r>
        <w:rPr>
          <w:lang w:val="pt-BR"/>
        </w:rPr>
        <w:t xml:space="preserve"> dados de emissões do Ministério da Ciência, Tecnologia e Inovação. Os principais resultados indicam que cada 1% de redução na emissão de GEE implica queda de 0,06% na produção total. Na ausência de restrições para a demanda final, as maiores quedas na produção</w:t>
      </w:r>
      <w:r w:rsidR="009760C4">
        <w:rPr>
          <w:lang w:val="pt-BR"/>
        </w:rPr>
        <w:t xml:space="preserve"> setorial</w:t>
      </w:r>
      <w:r>
        <w:rPr>
          <w:lang w:val="pt-BR"/>
        </w:rPr>
        <w:t xml:space="preserve"> são da Agropecuária e pesca (-1,95%), seguida por Outras atividades extrativas (-0,13%), Alimentos e bebidas, Agroquímicos, Agricultura, sivicultura e exploração florestal (-0,11%) e Químicos (-0,10%). </w:t>
      </w:r>
    </w:p>
    <w:p w:rsidR="00E265B7" w:rsidRPr="00600897" w:rsidRDefault="00E265B7" w:rsidP="002A1A89">
      <w:pPr>
        <w:rPr>
          <w:lang w:val="pt-BR"/>
        </w:rPr>
      </w:pPr>
      <w:r w:rsidRPr="00600897">
        <w:rPr>
          <w:lang w:val="pt-BR"/>
        </w:rPr>
        <w:t>Palavras-chave:</w:t>
      </w:r>
      <w:r w:rsidR="00E709F6">
        <w:rPr>
          <w:lang w:val="pt-BR"/>
        </w:rPr>
        <w:t xml:space="preserve"> Emissões de GEE; insumo-produto; programação linear.</w:t>
      </w:r>
    </w:p>
    <w:p w:rsidR="00E265B7" w:rsidRPr="00600897" w:rsidRDefault="00E265B7" w:rsidP="002A1A89">
      <w:pPr>
        <w:rPr>
          <w:lang w:val="pt-BR"/>
        </w:rPr>
      </w:pPr>
      <w:r w:rsidRPr="00600897">
        <w:rPr>
          <w:lang w:val="pt-BR"/>
        </w:rPr>
        <w:t>Jel-codes</w:t>
      </w:r>
      <w:r w:rsidRPr="00EB6943">
        <w:rPr>
          <w:lang w:val="pt-BR"/>
        </w:rPr>
        <w:t xml:space="preserve">: C61; C67; Q52; Q53.  </w:t>
      </w:r>
    </w:p>
    <w:p w:rsidR="00E265B7" w:rsidRPr="00600897" w:rsidRDefault="00BA7419" w:rsidP="002A1A89">
      <w:pPr>
        <w:rPr>
          <w:lang w:val="pt-BR"/>
        </w:rPr>
      </w:pPr>
      <w:r w:rsidRPr="00BA7419">
        <w:rPr>
          <w:lang w:val="pt-BR"/>
        </w:rPr>
        <w:t>Área 11 - Economia Agrícola e do Meio Ambiente</w:t>
      </w:r>
      <w:r w:rsidR="00E265B7" w:rsidRPr="00600897">
        <w:rPr>
          <w:lang w:val="pt-BR"/>
        </w:rPr>
        <w:br w:type="page"/>
      </w:r>
    </w:p>
    <w:p w:rsidR="00660269" w:rsidRPr="00600897" w:rsidRDefault="005034CC" w:rsidP="00600897">
      <w:pPr>
        <w:pStyle w:val="Title"/>
      </w:pPr>
      <w:r w:rsidRPr="00617912">
        <w:lastRenderedPageBreak/>
        <w:t>AN INPUT-OUTPUT LINEA</w:t>
      </w:r>
      <w:r w:rsidRPr="00600897">
        <w:t xml:space="preserve">R PROGRAMMING MODEL TO ASSESS BRAZILIAN GREENHOUSE </w:t>
      </w:r>
      <w:r w:rsidR="00BB481C" w:rsidRPr="00600897">
        <w:t xml:space="preserve">GAS </w:t>
      </w:r>
      <w:r w:rsidRPr="00600897">
        <w:t>EMISSIONS</w:t>
      </w:r>
    </w:p>
    <w:p w:rsidR="00660269" w:rsidRPr="00600897" w:rsidRDefault="00660269" w:rsidP="002A1A89"/>
    <w:p w:rsidR="00680ABD" w:rsidRPr="00600897" w:rsidRDefault="00E63163" w:rsidP="002A1A89">
      <w:pPr>
        <w:pStyle w:val="Heading1"/>
      </w:pPr>
      <w:r w:rsidRPr="00600897">
        <w:t>Introduction</w:t>
      </w:r>
    </w:p>
    <w:p w:rsidR="00660269" w:rsidRPr="00600897" w:rsidRDefault="006B638F" w:rsidP="002A1A89">
      <w:r w:rsidRPr="00600897">
        <w:t xml:space="preserve">One of the main environmental issue nowadays is regarding to air pollutants. According to </w:t>
      </w:r>
      <w:proofErr w:type="spellStart"/>
      <w:r w:rsidRPr="00600897">
        <w:t>Genty</w:t>
      </w:r>
      <w:proofErr w:type="spellEnd"/>
      <w:r w:rsidRPr="00600897">
        <w:t xml:space="preserve"> et al. (2012) and Moll et al. (2006), there are three main sets of air pollutants, which are Greenhouse Gases (GHG) contributing to global warming, pollutants contributing to acidification (ACID) and Tropospheric Ozone Forming Potential (TOFP). However, </w:t>
      </w:r>
      <w:proofErr w:type="spellStart"/>
      <w:r w:rsidRPr="00600897">
        <w:t>Hristu-Varsakelis</w:t>
      </w:r>
      <w:proofErr w:type="spellEnd"/>
      <w:r w:rsidRPr="00600897">
        <w:t xml:space="preserve"> et al. (2010) demonstrated that impact caused by the last two is smaller at least in magnitude than the GHG. In this regard, the increase of GHG </w:t>
      </w:r>
      <w:r w:rsidR="00007197" w:rsidRPr="00600897">
        <w:t>concentration in</w:t>
      </w:r>
      <w:r w:rsidRPr="00600897">
        <w:t xml:space="preserve"> the atmosphere is the main cause of climate change. </w:t>
      </w:r>
    </w:p>
    <w:p w:rsidR="00007197" w:rsidRPr="00600897" w:rsidRDefault="006B638F" w:rsidP="002A1A89">
      <w:r w:rsidRPr="00600897">
        <w:t xml:space="preserve">Several studies in the literature </w:t>
      </w:r>
      <w:r w:rsidR="0049619E" w:rsidRPr="00600897">
        <w:t>are using</w:t>
      </w:r>
      <w:r w:rsidRPr="00600897">
        <w:t xml:space="preserve"> different kind of techniques to measure the economic and </w:t>
      </w:r>
      <w:r w:rsidR="00D85D94" w:rsidRPr="00600897">
        <w:t>environmental</w:t>
      </w:r>
      <w:r w:rsidRPr="00600897">
        <w:t xml:space="preserve"> impacts caused by the increase of GHG </w:t>
      </w:r>
      <w:r w:rsidR="00D85D94" w:rsidRPr="00600897">
        <w:t>emissions. The most used methods are: input-output</w:t>
      </w:r>
      <w:r w:rsidR="00FB69B0" w:rsidRPr="00600897">
        <w:t xml:space="preserve"> (IO)</w:t>
      </w:r>
      <w:r w:rsidR="00D85D94" w:rsidRPr="00600897">
        <w:t xml:space="preserve"> </w:t>
      </w:r>
      <w:r w:rsidR="007F3DB8" w:rsidRPr="00600897">
        <w:t xml:space="preserve">analysis </w:t>
      </w:r>
      <w:r w:rsidR="00D85D94" w:rsidRPr="00600897">
        <w:t>(</w:t>
      </w:r>
      <w:proofErr w:type="spellStart"/>
      <w:r w:rsidR="007F3DB8" w:rsidRPr="00600897">
        <w:t>Brizga</w:t>
      </w:r>
      <w:proofErr w:type="spellEnd"/>
      <w:r w:rsidR="007F3DB8" w:rsidRPr="00600897">
        <w:t xml:space="preserve"> et al., 2014; </w:t>
      </w:r>
      <w:proofErr w:type="spellStart"/>
      <w:r w:rsidR="00D85D94" w:rsidRPr="00600897">
        <w:t>Freitas</w:t>
      </w:r>
      <w:proofErr w:type="spellEnd"/>
      <w:r w:rsidR="00D85D94" w:rsidRPr="00600897">
        <w:t xml:space="preserve"> et al.,2014; </w:t>
      </w:r>
      <w:proofErr w:type="spellStart"/>
      <w:r w:rsidR="00D85D94" w:rsidRPr="00600897">
        <w:t>Carvalho</w:t>
      </w:r>
      <w:proofErr w:type="spellEnd"/>
      <w:r w:rsidR="00D85D94" w:rsidRPr="00600897">
        <w:t xml:space="preserve"> et al., 2013)</w:t>
      </w:r>
      <w:r w:rsidR="007F3DB8" w:rsidRPr="00600897">
        <w:t>, computable general equilibrium models (</w:t>
      </w:r>
      <w:proofErr w:type="spellStart"/>
      <w:r w:rsidR="007F3DB8" w:rsidRPr="00600897">
        <w:t>Gurgel</w:t>
      </w:r>
      <w:proofErr w:type="spellEnd"/>
      <w:r w:rsidR="007F3DB8" w:rsidRPr="00600897">
        <w:t xml:space="preserve"> and </w:t>
      </w:r>
      <w:proofErr w:type="spellStart"/>
      <w:r w:rsidR="007F3DB8" w:rsidRPr="00600897">
        <w:t>Paltsev</w:t>
      </w:r>
      <w:proofErr w:type="spellEnd"/>
      <w:r w:rsidR="007F3DB8" w:rsidRPr="00600897">
        <w:t xml:space="preserve">, 2014; </w:t>
      </w:r>
      <w:proofErr w:type="spellStart"/>
      <w:r w:rsidR="007F3DB8" w:rsidRPr="00600897">
        <w:t>Magalhães</w:t>
      </w:r>
      <w:proofErr w:type="spellEnd"/>
      <w:r w:rsidR="007F3DB8" w:rsidRPr="00600897">
        <w:t xml:space="preserve"> and </w:t>
      </w:r>
      <w:proofErr w:type="spellStart"/>
      <w:r w:rsidR="007F3DB8" w:rsidRPr="00600897">
        <w:t>Domingues</w:t>
      </w:r>
      <w:proofErr w:type="spellEnd"/>
      <w:r w:rsidR="007F3DB8" w:rsidRPr="00600897">
        <w:t xml:space="preserve">, 2013; </w:t>
      </w:r>
      <w:proofErr w:type="spellStart"/>
      <w:r w:rsidR="007F3DB8" w:rsidRPr="00600897">
        <w:t>Orlov</w:t>
      </w:r>
      <w:proofErr w:type="spellEnd"/>
      <w:r w:rsidR="007F3DB8" w:rsidRPr="00600897">
        <w:t xml:space="preserve"> and </w:t>
      </w:r>
      <w:proofErr w:type="spellStart"/>
      <w:r w:rsidR="007F3DB8" w:rsidRPr="00600897">
        <w:t>Grethe</w:t>
      </w:r>
      <w:proofErr w:type="spellEnd"/>
      <w:r w:rsidR="007F3DB8" w:rsidRPr="00600897">
        <w:t>, 2012) and the integration of linear programming</w:t>
      </w:r>
      <w:r w:rsidR="00FB69B0" w:rsidRPr="00600897">
        <w:t xml:space="preserve"> (LP)</w:t>
      </w:r>
      <w:r w:rsidR="007F3DB8" w:rsidRPr="00600897">
        <w:t xml:space="preserve"> with </w:t>
      </w:r>
      <w:r w:rsidR="00FB69B0" w:rsidRPr="00600897">
        <w:t>IO</w:t>
      </w:r>
      <w:r w:rsidR="007F3DB8" w:rsidRPr="00600897">
        <w:t xml:space="preserve"> (</w:t>
      </w:r>
      <w:proofErr w:type="spellStart"/>
      <w:r w:rsidR="007F3DB8" w:rsidRPr="00600897">
        <w:t>Hristu-Varsakelis</w:t>
      </w:r>
      <w:proofErr w:type="spellEnd"/>
      <w:r w:rsidR="007F3DB8" w:rsidRPr="00600897">
        <w:t xml:space="preserve"> et al., 2010; </w:t>
      </w:r>
      <w:r w:rsidR="00007197" w:rsidRPr="00600897">
        <w:t xml:space="preserve">2012; </w:t>
      </w:r>
      <w:proofErr w:type="spellStart"/>
      <w:r w:rsidR="00007197" w:rsidRPr="00600897">
        <w:t>Cristóbal</w:t>
      </w:r>
      <w:proofErr w:type="spellEnd"/>
      <w:r w:rsidR="00007197" w:rsidRPr="00600897">
        <w:t>, 2010; 2012).</w:t>
      </w:r>
    </w:p>
    <w:p w:rsidR="006B638F" w:rsidRPr="00600897" w:rsidRDefault="00007197" w:rsidP="002A1A89">
      <w:r w:rsidRPr="00600897">
        <w:t xml:space="preserve">According to </w:t>
      </w:r>
      <w:proofErr w:type="spellStart"/>
      <w:r w:rsidRPr="00600897">
        <w:t>Vogstad</w:t>
      </w:r>
      <w:proofErr w:type="spellEnd"/>
      <w:r w:rsidRPr="00600897">
        <w:t xml:space="preserve"> (2009), </w:t>
      </w:r>
      <w:r w:rsidR="00FB69B0" w:rsidRPr="00600897">
        <w:t>IO</w:t>
      </w:r>
      <w:r w:rsidRPr="00600897">
        <w:t xml:space="preserve"> analysis have influenced </w:t>
      </w:r>
      <w:r w:rsidR="00FB69B0" w:rsidRPr="00600897">
        <w:t>LP</w:t>
      </w:r>
      <w:r w:rsidRPr="00600897">
        <w:t xml:space="preserve"> in the beginning. As a matter of fact, </w:t>
      </w:r>
      <w:r w:rsidR="00FB69B0" w:rsidRPr="00600897">
        <w:t>IO</w:t>
      </w:r>
      <w:r w:rsidRPr="00600897">
        <w:t xml:space="preserve"> model </w:t>
      </w:r>
      <w:r w:rsidR="00FB69B0" w:rsidRPr="00600897">
        <w:t xml:space="preserve">can be thought </w:t>
      </w:r>
      <w:r w:rsidRPr="00600897">
        <w:t xml:space="preserve">as a special case </w:t>
      </w:r>
      <w:r w:rsidR="00FB69B0" w:rsidRPr="00600897">
        <w:t>of LP problems in which there is no choice to make once the final output vector has been determined (</w:t>
      </w:r>
      <w:proofErr w:type="spellStart"/>
      <w:r w:rsidR="00FB69B0" w:rsidRPr="00600897">
        <w:t>Dorfman</w:t>
      </w:r>
      <w:proofErr w:type="spellEnd"/>
      <w:r w:rsidR="00FB69B0" w:rsidRPr="00600897">
        <w:t xml:space="preserve"> et al., 1958; Carter, 1970; </w:t>
      </w:r>
      <w:proofErr w:type="spellStart"/>
      <w:r w:rsidR="00FB69B0" w:rsidRPr="00600897">
        <w:t>Beutel</w:t>
      </w:r>
      <w:proofErr w:type="spellEnd"/>
      <w:r w:rsidR="00FB69B0" w:rsidRPr="00600897">
        <w:t xml:space="preserve">, 1983).  </w:t>
      </w:r>
    </w:p>
    <w:p w:rsidR="00283C61" w:rsidRPr="00600897" w:rsidRDefault="0049619E" w:rsidP="002A1A89">
      <w:r w:rsidRPr="00600897">
        <w:t xml:space="preserve">The integration of </w:t>
      </w:r>
      <w:r w:rsidR="00FB69B0" w:rsidRPr="00600897">
        <w:t>IO-LP model</w:t>
      </w:r>
      <w:r w:rsidRPr="00600897">
        <w:t>s</w:t>
      </w:r>
      <w:r w:rsidR="00FB69B0" w:rsidRPr="00600897">
        <w:t xml:space="preserve"> </w:t>
      </w:r>
      <w:r w:rsidRPr="00600897">
        <w:t xml:space="preserve">is a powerful tool </w:t>
      </w:r>
      <w:r w:rsidR="00FB69B0" w:rsidRPr="00600897">
        <w:t>to assess the economic impact of a climate policy</w:t>
      </w:r>
      <w:r w:rsidRPr="00600897">
        <w:t>.</w:t>
      </w:r>
      <w:r w:rsidR="00FB69B0" w:rsidRPr="00600897">
        <w:t xml:space="preserve"> </w:t>
      </w:r>
      <w:proofErr w:type="spellStart"/>
      <w:r w:rsidR="00FB69B0" w:rsidRPr="00600897">
        <w:t>Cristóbal</w:t>
      </w:r>
      <w:proofErr w:type="spellEnd"/>
      <w:r w:rsidR="00FB69B0" w:rsidRPr="00600897">
        <w:t xml:space="preserve"> (p. 225, 2010) argues that: </w:t>
      </w:r>
      <w:r w:rsidR="00283C61" w:rsidRPr="00600897">
        <w:t xml:space="preserve">“A balanced combination of environmental and economic considerations may provide the best basis for identifying the opportunities to reduce pressures on the environment as well as for designing and implementing successful environmental policies”. </w:t>
      </w:r>
    </w:p>
    <w:p w:rsidR="00957DB3" w:rsidRPr="00600897" w:rsidRDefault="0049619E" w:rsidP="002A1A89">
      <w:r w:rsidRPr="00600897">
        <w:t xml:space="preserve">In this context, the objective of this paper is </w:t>
      </w:r>
      <w:r w:rsidR="009365E2" w:rsidRPr="00600897">
        <w:t>evaluate the Brazilian economic and environmental impacts caused by the GHG emissions. The idea is make some simulations taking into account emissions targets. In other words, if the government, for instance, decide to adopt a climate policy which impose a reduction of 5% of the whole Brazilian GHG emissions, what would will be the economic impact?</w:t>
      </w:r>
      <w:r w:rsidR="00957DB3" w:rsidRPr="00600897">
        <w:t xml:space="preserve"> </w:t>
      </w:r>
    </w:p>
    <w:p w:rsidR="00957DB3" w:rsidRPr="00600897" w:rsidRDefault="00957DB3" w:rsidP="002A1A89">
      <w:r w:rsidRPr="00600897">
        <w:t xml:space="preserve">This exercise can provide important insights for the policymakers. It is also relevant to highlight there is no findings of this kind of </w:t>
      </w:r>
      <w:r w:rsidR="00282A35" w:rsidRPr="00600897">
        <w:t xml:space="preserve">study applied to the Brazilian case. Besides, as a developing country, if there is no kind of government control it is expected that Brazilian GHG emission increase in the near future. </w:t>
      </w:r>
    </w:p>
    <w:p w:rsidR="00660269" w:rsidRPr="00600897" w:rsidRDefault="009365E2" w:rsidP="002A1A89">
      <w:r w:rsidRPr="00600897">
        <w:t>The next section describes the method and database. The third section presents an exploratory analysis, followed by the main results and discussion. The last section presents the main findings and policy directions.</w:t>
      </w:r>
    </w:p>
    <w:p w:rsidR="002A1A89" w:rsidRPr="00600897" w:rsidRDefault="002A1A89" w:rsidP="002A1A89"/>
    <w:p w:rsidR="00660269" w:rsidRPr="00600897" w:rsidRDefault="00660269" w:rsidP="002A1A89">
      <w:pPr>
        <w:pStyle w:val="Heading1"/>
      </w:pPr>
      <w:r w:rsidRPr="00600897">
        <w:t>Met</w:t>
      </w:r>
      <w:r w:rsidR="00DB5ADE" w:rsidRPr="00600897">
        <w:t>hod</w:t>
      </w:r>
      <w:r w:rsidR="009E5842" w:rsidRPr="00600897">
        <w:t xml:space="preserve"> and Database</w:t>
      </w:r>
    </w:p>
    <w:p w:rsidR="00617F5D" w:rsidRPr="00600897" w:rsidRDefault="005E4B4F" w:rsidP="002A1A89">
      <w:r w:rsidRPr="00600897">
        <w:t xml:space="preserve">The input-output model represent the whole economy among the relations between industries and the final demand. More specifically, according to Leontief (1941, p.3): "An attempt to </w:t>
      </w:r>
      <w:r w:rsidRPr="00600897">
        <w:lastRenderedPageBreak/>
        <w:t xml:space="preserve">apply the economic theory of general equilibrium - or better, general interdependence - to an empirical study of inter-relations among the different parts of a national economy as revealed through </w:t>
      </w:r>
      <w:proofErr w:type="spellStart"/>
      <w:r w:rsidRPr="00600897">
        <w:t>covariations</w:t>
      </w:r>
      <w:proofErr w:type="spellEnd"/>
      <w:r w:rsidRPr="00600897">
        <w:t xml:space="preserve"> of prices, outputs, investments, and incomes". </w:t>
      </w:r>
    </w:p>
    <w:p w:rsidR="009E5842" w:rsidRPr="00600897" w:rsidRDefault="005E4B4F" w:rsidP="002A1A89">
      <w:r w:rsidRPr="00600897">
        <w:t>In order words, t</w:t>
      </w:r>
      <w:r w:rsidR="009E5842" w:rsidRPr="00600897">
        <w:t xml:space="preserve">he traditional input-output analysis is evaluated as a system of linear equations, where each sector combines a set of inputs from all over the economy to produce a given amount of output.  </w:t>
      </w:r>
    </w:p>
    <w:p w:rsidR="009E5842" w:rsidRPr="00600897" w:rsidRDefault="009E5842" w:rsidP="002A1A89">
      <m:oMathPara>
        <m:oMath>
          <m:r>
            <w:rPr>
              <w:rFonts w:ascii="Cambria Math" w:hAnsi="Cambria Math"/>
            </w:rPr>
            <m:t>X</m:t>
          </m:r>
          <m:r>
            <m:rPr>
              <m:sty m:val="p"/>
            </m:rPr>
            <w:rPr>
              <w:rFonts w:ascii="Cambria Math" w:hAnsi="Cambria Math"/>
            </w:rPr>
            <m:t>=</m:t>
          </m:r>
          <m:r>
            <w:rPr>
              <w:rFonts w:ascii="Cambria Math" w:hAnsi="Cambria Math"/>
            </w:rPr>
            <m:t>Bf</m:t>
          </m:r>
        </m:oMath>
      </m:oMathPara>
    </w:p>
    <w:p w:rsidR="009E5842" w:rsidRPr="00600897" w:rsidRDefault="009E5842" w:rsidP="002A1A89">
      <m:oMathPara>
        <m:oMath>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ij</m:t>
                  </m:r>
                </m:sub>
              </m:sSub>
            </m:num>
            <m:den>
              <m:sSub>
                <m:sSubPr>
                  <m:ctrlPr>
                    <w:rPr>
                      <w:rFonts w:ascii="Cambria Math" w:hAnsi="Cambria Math"/>
                    </w:rPr>
                  </m:ctrlPr>
                </m:sSubPr>
                <m:e>
                  <m:r>
                    <w:rPr>
                      <w:rFonts w:ascii="Cambria Math" w:hAnsi="Cambria Math"/>
                    </w:rPr>
                    <m:t>x</m:t>
                  </m:r>
                </m:e>
                <m:sub>
                  <m:r>
                    <w:rPr>
                      <w:rFonts w:ascii="Cambria Math" w:hAnsi="Cambria Math"/>
                    </w:rPr>
                    <m:t>j</m:t>
                  </m:r>
                </m:sub>
              </m:sSub>
            </m:den>
          </m:f>
        </m:oMath>
      </m:oMathPara>
    </w:p>
    <w:p w:rsidR="009E5842" w:rsidRPr="00600897" w:rsidRDefault="009E5842" w:rsidP="002A1A89">
      <w:pPr>
        <w:rPr>
          <w:rFonts w:eastAsiaTheme="minorEastAsia"/>
        </w:rPr>
      </w:pPr>
      <m:oMathPara>
        <m:oMath>
          <m:r>
            <w:rPr>
              <w:rFonts w:ascii="Cambria Math" w:hAnsi="Cambria Math"/>
            </w:rPr>
            <m:t>B</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A</m:t>
                  </m:r>
                </m:e>
              </m:d>
            </m:e>
            <m:sup>
              <m:r>
                <m:rPr>
                  <m:sty m:val="p"/>
                </m:rPr>
                <w:rPr>
                  <w:rFonts w:ascii="Cambria Math" w:hAnsi="Cambria Math"/>
                </w:rPr>
                <m:t>-1</m:t>
              </m:r>
            </m:sup>
          </m:sSup>
        </m:oMath>
      </m:oMathPara>
    </w:p>
    <w:p w:rsidR="002A1A89" w:rsidRPr="00600897" w:rsidRDefault="002A1A89" w:rsidP="002A1A89"/>
    <w:p w:rsidR="009E5842" w:rsidRPr="00600897" w:rsidRDefault="009E5842" w:rsidP="002A1A89">
      <m:oMath>
        <m:r>
          <w:rPr>
            <w:rFonts w:ascii="Cambria Math" w:hAnsi="Cambria Math"/>
          </w:rPr>
          <m:t>X</m:t>
        </m:r>
      </m:oMath>
      <w:r w:rsidR="00617F5D" w:rsidRPr="00600897">
        <w:t xml:space="preserve"> is a vector which indicates </w:t>
      </w:r>
      <w:r w:rsidRPr="00600897">
        <w:t xml:space="preserve">the total production for each sector </w:t>
      </w:r>
      <m:oMath>
        <m:r>
          <w:rPr>
            <w:rFonts w:ascii="Cambria Math" w:hAnsi="Cambria Math"/>
          </w:rPr>
          <m:t>j</m:t>
        </m:r>
      </m:oMath>
      <w:r w:rsidRPr="00600897">
        <w:t>;</w:t>
      </w:r>
    </w:p>
    <w:p w:rsidR="009E5842" w:rsidRPr="00600897" w:rsidRDefault="009E5842" w:rsidP="002A1A89">
      <w:r w:rsidRPr="00600897">
        <w:rPr>
          <w:position w:val="-14"/>
        </w:rPr>
        <w:object w:dxaOrig="85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19.2pt" o:ole="">
            <v:imagedata r:id="rId8" o:title=""/>
          </v:shape>
          <o:OLEObject Type="Embed" ProgID="Equation.3" ShapeID="_x0000_i1025" DrawAspect="Content" ObjectID="_1498217112" r:id="rId9"/>
        </w:object>
      </w:r>
      <w:r w:rsidRPr="00600897">
        <w:t xml:space="preserve"> is the Technological matrix; </w:t>
      </w:r>
    </w:p>
    <w:p w:rsidR="009E5842" w:rsidRPr="00600897" w:rsidRDefault="00EA2813" w:rsidP="002A1A89">
      <m:oMath>
        <m:sSub>
          <m:sSubPr>
            <m:ctrlPr>
              <w:rPr>
                <w:rFonts w:ascii="Cambria Math" w:hAnsi="Cambria Math"/>
                <w:i/>
              </w:rPr>
            </m:ctrlPr>
          </m:sSubPr>
          <m:e>
            <m:r>
              <w:rPr>
                <w:rFonts w:ascii="Cambria Math" w:hAnsi="Cambria Math"/>
              </w:rPr>
              <m:t>z</m:t>
            </m:r>
          </m:e>
          <m:sub>
            <m:r>
              <w:rPr>
                <w:rFonts w:ascii="Cambria Math" w:hAnsi="Cambria Math"/>
              </w:rPr>
              <m:t>ij</m:t>
            </m:r>
          </m:sub>
        </m:sSub>
      </m:oMath>
      <w:r w:rsidR="009E5842" w:rsidRPr="00600897">
        <w:t xml:space="preserve"> is the intermediate </w:t>
      </w:r>
      <w:r w:rsidR="00617F5D" w:rsidRPr="00600897">
        <w:t>trade</w:t>
      </w:r>
      <w:r w:rsidR="009E5842" w:rsidRPr="00600897">
        <w:t xml:space="preserve"> between sectors </w:t>
      </w:r>
      <m:oMath>
        <m:r>
          <w:rPr>
            <w:rFonts w:ascii="Cambria Math" w:hAnsi="Cambria Math"/>
          </w:rPr>
          <m:t>i</m:t>
        </m:r>
      </m:oMath>
      <w:r w:rsidR="009E5842" w:rsidRPr="00600897">
        <w:t xml:space="preserve"> and </w:t>
      </w:r>
      <m:oMath>
        <m:r>
          <w:rPr>
            <w:rFonts w:ascii="Cambria Math" w:hAnsi="Cambria Math"/>
          </w:rPr>
          <m:t>j</m:t>
        </m:r>
      </m:oMath>
      <w:r w:rsidR="009E5842" w:rsidRPr="00600897">
        <w:t>;</w:t>
      </w:r>
    </w:p>
    <w:p w:rsidR="009E5842" w:rsidRPr="00600897" w:rsidRDefault="009E5842" w:rsidP="002A1A89">
      <m:oMath>
        <m:r>
          <w:rPr>
            <w:rFonts w:ascii="Cambria Math" w:hAnsi="Cambria Math"/>
          </w:rPr>
          <m:t>B</m:t>
        </m:r>
      </m:oMath>
      <w:r w:rsidRPr="00600897">
        <w:t xml:space="preserve"> is the Leontief Inverse matrix;</w:t>
      </w:r>
    </w:p>
    <w:p w:rsidR="002A1A89" w:rsidRPr="00600897" w:rsidRDefault="002A1A89" w:rsidP="002A1A89"/>
    <w:p w:rsidR="009E5842" w:rsidRPr="00600897" w:rsidRDefault="009E5842" w:rsidP="002A1A89">
      <w:r w:rsidRPr="00600897">
        <w:t>The methodology applied here was</w:t>
      </w:r>
      <w:r w:rsidR="00222E2E" w:rsidRPr="00600897">
        <w:t xml:space="preserve"> based on</w:t>
      </w:r>
      <w:r w:rsidRPr="00600897">
        <w:t xml:space="preserve"> three previous papers: </w:t>
      </w:r>
      <w:proofErr w:type="spellStart"/>
      <w:r w:rsidRPr="00600897">
        <w:t>Cristóbal</w:t>
      </w:r>
      <w:proofErr w:type="spellEnd"/>
      <w:r w:rsidRPr="00600897">
        <w:t xml:space="preserve"> (2010), </w:t>
      </w:r>
      <w:proofErr w:type="spellStart"/>
      <w:r w:rsidRPr="00600897">
        <w:t>Hristu-Varsakelis</w:t>
      </w:r>
      <w:proofErr w:type="spellEnd"/>
      <w:r w:rsidRPr="00600897">
        <w:t xml:space="preserve"> </w:t>
      </w:r>
      <w:r w:rsidRPr="00600897">
        <w:rPr>
          <w:i/>
        </w:rPr>
        <w:t>et al.</w:t>
      </w:r>
      <w:r w:rsidRPr="00600897">
        <w:t xml:space="preserve"> (2010) and </w:t>
      </w:r>
      <w:proofErr w:type="spellStart"/>
      <w:r w:rsidRPr="00600897">
        <w:t>Hristy-Varsakelis</w:t>
      </w:r>
      <w:proofErr w:type="spellEnd"/>
      <w:r w:rsidRPr="00600897">
        <w:t xml:space="preserve"> (2012). To include the emissions in an input-output framework, the information about sector</w:t>
      </w:r>
      <w:r w:rsidR="00C868C1">
        <w:t>i</w:t>
      </w:r>
      <w:r w:rsidRPr="00600897">
        <w:t xml:space="preserve">al emissions </w:t>
      </w:r>
      <w:r w:rsidR="001E7E75">
        <w:t>was</w:t>
      </w:r>
      <w:r w:rsidR="001E7E75" w:rsidRPr="00600897">
        <w:t xml:space="preserve"> </w:t>
      </w:r>
      <w:r w:rsidRPr="00600897">
        <w:t>used as a new coefficient, calculated as:</w:t>
      </w:r>
    </w:p>
    <w:p w:rsidR="009E5842" w:rsidRPr="00600897" w:rsidRDefault="00EA2813" w:rsidP="002A1A89">
      <m:oMathPara>
        <m:oMath>
          <m:sSub>
            <m:sSubPr>
              <m:ctrlPr>
                <w:rPr>
                  <w:rFonts w:ascii="Cambria Math" w:hAnsi="Cambria Math"/>
                </w:rPr>
              </m:ctrlPr>
            </m:sSubPr>
            <m:e>
              <m:r>
                <w:rPr>
                  <w:rFonts w:ascii="Cambria Math" w:hAnsi="Cambria Math"/>
                </w:rPr>
                <m:t>E</m:t>
              </m:r>
            </m:e>
            <m:sub>
              <m:r>
                <w:rPr>
                  <w:rFonts w:ascii="Cambria Math" w:hAnsi="Cambria Math"/>
                </w:rPr>
                <m:t>kj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kj</m:t>
                  </m:r>
                </m:sub>
              </m:sSub>
            </m:num>
            <m:den>
              <m:sSub>
                <m:sSubPr>
                  <m:ctrlPr>
                    <w:rPr>
                      <w:rFonts w:ascii="Cambria Math" w:hAnsi="Cambria Math"/>
                    </w:rPr>
                  </m:ctrlPr>
                </m:sSubPr>
                <m:e>
                  <m:r>
                    <w:rPr>
                      <w:rFonts w:ascii="Cambria Math" w:hAnsi="Cambria Math"/>
                    </w:rPr>
                    <m:t>x</m:t>
                  </m:r>
                </m:e>
                <m:sub>
                  <m:r>
                    <w:rPr>
                      <w:rFonts w:ascii="Cambria Math" w:hAnsi="Cambria Math"/>
                    </w:rPr>
                    <m:t>j</m:t>
                  </m:r>
                </m:sub>
              </m:sSub>
            </m:den>
          </m:f>
          <m:r>
            <m:rPr>
              <m:sty m:val="p"/>
            </m:rPr>
            <w:rPr>
              <w:rFonts w:ascii="Cambria Math" w:hAnsi="Cambria Math"/>
            </w:rPr>
            <m:t xml:space="preserve">    ∀</m:t>
          </m:r>
          <m:r>
            <w:rPr>
              <w:rFonts w:ascii="Cambria Math" w:hAnsi="Cambria Math"/>
            </w:rPr>
            <m:t>k</m:t>
          </m:r>
        </m:oMath>
      </m:oMathPara>
    </w:p>
    <w:p w:rsidR="009E5842" w:rsidRPr="00600897" w:rsidRDefault="009E5842" w:rsidP="002A1A89">
      <w:r w:rsidRPr="00600897">
        <w:t xml:space="preserve">Where, </w:t>
      </w:r>
      <m:oMath>
        <m:sSub>
          <m:sSubPr>
            <m:ctrlPr>
              <w:rPr>
                <w:rFonts w:ascii="Cambria Math" w:hAnsi="Cambria Math"/>
                <w:i/>
              </w:rPr>
            </m:ctrlPr>
          </m:sSubPr>
          <m:e>
            <m:r>
              <w:rPr>
                <w:rFonts w:ascii="Cambria Math" w:hAnsi="Cambria Math"/>
              </w:rPr>
              <m:t>e</m:t>
            </m:r>
          </m:e>
          <m:sub>
            <m:r>
              <w:rPr>
                <w:rFonts w:ascii="Cambria Math" w:hAnsi="Cambria Math"/>
              </w:rPr>
              <m:t>kj</m:t>
            </m:r>
          </m:sub>
        </m:sSub>
      </m:oMath>
      <w:r w:rsidRPr="00600897">
        <w:t xml:space="preserve"> is the emission for gas </w:t>
      </w:r>
      <m:oMath>
        <m:r>
          <w:rPr>
            <w:rFonts w:ascii="Cambria Math" w:hAnsi="Cambria Math"/>
          </w:rPr>
          <m:t>k</m:t>
        </m:r>
      </m:oMath>
      <w:r w:rsidRPr="00600897">
        <w:t xml:space="preserve"> in sector </w:t>
      </w:r>
      <m:oMath>
        <m:r>
          <w:rPr>
            <w:rFonts w:ascii="Cambria Math" w:hAnsi="Cambria Math"/>
          </w:rPr>
          <m:t>j</m:t>
        </m:r>
      </m:oMath>
      <w:r w:rsidRPr="00600897">
        <w:t xml:space="preserve"> and </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sidRPr="00600897">
        <w:t xml:space="preserve"> is the emission coefficient for gas </w:t>
      </w:r>
      <m:oMath>
        <m:r>
          <w:rPr>
            <w:rFonts w:ascii="Cambria Math" w:hAnsi="Cambria Math"/>
          </w:rPr>
          <m:t>k</m:t>
        </m:r>
      </m:oMath>
      <w:r w:rsidRPr="00600897">
        <w:t xml:space="preserve">. In this regard, </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sidRPr="00600897">
        <w:t xml:space="preserve"> is the total amount of gas </w:t>
      </w:r>
      <m:oMath>
        <m:r>
          <w:rPr>
            <w:rFonts w:ascii="Cambria Math" w:hAnsi="Cambria Math"/>
          </w:rPr>
          <m:t>k</m:t>
        </m:r>
      </m:oMath>
      <w:r w:rsidRPr="00600897">
        <w:t xml:space="preserve"> generated per unit of output in industry </w:t>
      </w:r>
      <m:oMath>
        <m:r>
          <w:rPr>
            <w:rFonts w:ascii="Cambria Math" w:hAnsi="Cambria Math"/>
          </w:rPr>
          <m:t>k</m:t>
        </m:r>
      </m:oMath>
      <w:r w:rsidR="006D1830" w:rsidRPr="00600897">
        <w:t xml:space="preserve"> or direct effect</w:t>
      </w:r>
      <w:r w:rsidRPr="00600897">
        <w:t xml:space="preserve">, and one can define the total volume of gas </w:t>
      </w:r>
      <m:oMath>
        <m:r>
          <w:rPr>
            <w:rFonts w:ascii="Cambria Math" w:hAnsi="Cambria Math"/>
          </w:rPr>
          <m:t>k</m:t>
        </m:r>
      </m:oMath>
      <w:r w:rsidRPr="00600897">
        <w:t xml:space="preserve"> produced by the whole economy as:</w:t>
      </w:r>
    </w:p>
    <w:p w:rsidR="009E5842" w:rsidRPr="00600897" w:rsidRDefault="00EA2813" w:rsidP="002A1A89">
      <m:oMathPara>
        <m:oMath>
          <m:sSub>
            <m:sSubPr>
              <m:ctrlPr>
                <w:rPr>
                  <w:rFonts w:ascii="Cambria Math" w:hAnsi="Cambria Math"/>
                </w:rPr>
              </m:ctrlPr>
            </m:sSubPr>
            <m:e>
              <m:r>
                <w:rPr>
                  <w:rFonts w:ascii="Cambria Math" w:hAnsi="Cambria Math"/>
                </w:rPr>
                <m:t>E</m:t>
              </m:r>
            </m:e>
            <m:sub>
              <m: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Ê</m:t>
              </m:r>
            </m:e>
            <m:sub>
              <m:r>
                <w:rPr>
                  <w:rFonts w:ascii="Cambria Math" w:hAnsi="Cambria Math"/>
                </w:rPr>
                <m:t>k</m:t>
              </m:r>
            </m:sub>
          </m:sSub>
          <m:r>
            <w:rPr>
              <w:rFonts w:ascii="Cambria Math" w:hAnsi="Cambria Math"/>
            </w:rPr>
            <m:t>Bf</m:t>
          </m:r>
          <m:r>
            <m:rPr>
              <m:sty m:val="p"/>
            </m:rPr>
            <w:rPr>
              <w:rFonts w:ascii="Cambria Math" w:hAnsi="Cambria Math"/>
            </w:rPr>
            <m:t>=</m:t>
          </m:r>
          <m:sSub>
            <m:sSubPr>
              <m:ctrlPr>
                <w:rPr>
                  <w:rFonts w:ascii="Cambria Math" w:hAnsi="Cambria Math"/>
                </w:rPr>
              </m:ctrlPr>
            </m:sSubPr>
            <m:e>
              <m:r>
                <m:rPr>
                  <m:sty m:val="p"/>
                </m:rPr>
                <w:rPr>
                  <w:rFonts w:ascii="Cambria Math" w:hAnsi="Cambria Math"/>
                </w:rPr>
                <m:t>Ê</m:t>
              </m:r>
            </m:e>
            <m:sub>
              <m:r>
                <w:rPr>
                  <w:rFonts w:ascii="Cambria Math" w:hAnsi="Cambria Math"/>
                </w:rPr>
                <m:t>k</m:t>
              </m:r>
              <m:r>
                <w:rPr>
                  <w:rFonts w:ascii="Cambria Math" w:hAnsi="Cambria Math"/>
                </w:rPr>
                <m:t>j</m:t>
              </m:r>
            </m:sub>
          </m:sSub>
          <m:r>
            <w:rPr>
              <w:rFonts w:ascii="Cambria Math" w:hAnsi="Cambria Math"/>
            </w:rPr>
            <m:t>X</m:t>
          </m:r>
          <m:r>
            <m:rPr>
              <m:sty m:val="p"/>
            </m:rPr>
            <w:rPr>
              <w:rFonts w:ascii="Cambria Math" w:hAnsi="Cambria Math"/>
            </w:rPr>
            <m:t xml:space="preserve">   </m:t>
          </m:r>
        </m:oMath>
      </m:oMathPara>
    </w:p>
    <w:p w:rsidR="009E5842" w:rsidRPr="00600897" w:rsidRDefault="009E5842" w:rsidP="002A1A89">
      <w:r w:rsidRPr="00600897">
        <w:rPr>
          <w:rFonts w:eastAsiaTheme="minorEastAsia"/>
        </w:rPr>
        <w:t xml:space="preserve">Where </w:t>
      </w:r>
      <m:oMath>
        <m:sSub>
          <m:sSubPr>
            <m:ctrlPr>
              <w:rPr>
                <w:rFonts w:ascii="Cambria Math" w:hAnsi="Cambria Math"/>
                <w:i/>
              </w:rPr>
            </m:ctrlPr>
          </m:sSubPr>
          <m:e>
            <m:r>
              <w:rPr>
                <w:rFonts w:ascii="Cambria Math" w:hAnsi="Cambria Math"/>
              </w:rPr>
              <m:t>Ê</m:t>
            </m:r>
          </m:e>
          <m:sub>
            <m:r>
              <w:rPr>
                <w:rFonts w:ascii="Cambria Math" w:hAnsi="Cambria Math"/>
              </w:rPr>
              <m:t>kj</m:t>
            </m:r>
          </m:sub>
        </m:sSub>
      </m:oMath>
      <w:r w:rsidRPr="00600897">
        <w:t xml:space="preserve"> is the diagonalized form of </w:t>
      </w:r>
      <m:oMath>
        <m:sSub>
          <m:sSubPr>
            <m:ctrlPr>
              <w:rPr>
                <w:rFonts w:ascii="Cambria Math" w:hAnsi="Cambria Math"/>
                <w:i/>
              </w:rPr>
            </m:ctrlPr>
          </m:sSubPr>
          <m:e>
            <m:r>
              <w:rPr>
                <w:rFonts w:ascii="Cambria Math" w:hAnsi="Cambria Math"/>
              </w:rPr>
              <m:t>E</m:t>
            </m:r>
          </m:e>
          <m:sub>
            <m:r>
              <w:rPr>
                <w:rFonts w:ascii="Cambria Math" w:hAnsi="Cambria Math"/>
              </w:rPr>
              <m:t>kj</m:t>
            </m:r>
          </m:sub>
        </m:sSub>
      </m:oMath>
      <w:r w:rsidRPr="00600897">
        <w:t>.</w:t>
      </w:r>
    </w:p>
    <w:p w:rsidR="006D1830" w:rsidRPr="00600897" w:rsidRDefault="006D1830" w:rsidP="002A1A89">
      <w:r w:rsidRPr="00600897">
        <w:t xml:space="preserve">Furthermore, we can also calculate the simple output multiplier of sector </w:t>
      </w:r>
      <w:r w:rsidRPr="00600897">
        <w:rPr>
          <w:i/>
          <w:iCs/>
        </w:rPr>
        <w:t>j</w:t>
      </w:r>
      <w:r w:rsidRPr="00600897">
        <w:t xml:space="preserve"> </w:t>
      </w:r>
      <w:r w:rsidRPr="00600897">
        <w:rPr>
          <w:i/>
          <w:iCs/>
        </w:rPr>
        <w:t>(</w:t>
      </w:r>
      <w:r w:rsidRPr="00600897">
        <w:rPr>
          <w:i/>
          <w:iCs/>
          <w:position w:val="-10"/>
        </w:rPr>
        <w:object w:dxaOrig="499" w:dyaOrig="360">
          <v:shape id="_x0000_i1026" type="#_x0000_t75" style="width:24.6pt;height:18pt" o:ole="">
            <v:imagedata r:id="rId10" o:title=""/>
          </v:shape>
          <o:OLEObject Type="Embed" ProgID="Equation.3" ShapeID="_x0000_i1026" DrawAspect="Content" ObjectID="_1498217113" r:id="rId11"/>
        </w:object>
      </w:r>
      <w:r w:rsidRPr="00600897">
        <w:rPr>
          <w:i/>
          <w:iCs/>
        </w:rPr>
        <w:t>)</w:t>
      </w:r>
      <w:r w:rsidRPr="00600897">
        <w:rPr>
          <w:iCs/>
        </w:rPr>
        <w:t>.</w:t>
      </w:r>
      <w:r w:rsidRPr="00600897">
        <w:rPr>
          <w:i/>
          <w:iCs/>
        </w:rPr>
        <w:t xml:space="preserve"> </w:t>
      </w:r>
      <w:r w:rsidRPr="00600897">
        <w:rPr>
          <w:iCs/>
        </w:rPr>
        <w:t xml:space="preserve">This multiplier </w:t>
      </w:r>
      <w:r w:rsidRPr="00600897">
        <w:t>can be defined as the total required emissions</w:t>
      </w:r>
      <w:r w:rsidR="00617F5D" w:rsidRPr="00600897">
        <w:t xml:space="preserve"> (total effect)</w:t>
      </w:r>
      <w:r w:rsidRPr="00600897">
        <w:t xml:space="preserve"> from all sectors, to meet the variation in a monetary unit of the total demand of sector </w:t>
      </w:r>
      <w:r w:rsidRPr="00600897">
        <w:rPr>
          <w:i/>
        </w:rPr>
        <w:t>j</w:t>
      </w:r>
      <w:r w:rsidRPr="00600897">
        <w:t xml:space="preserve"> (Miller and Blair, 2009), and can be expressed by:</w:t>
      </w:r>
    </w:p>
    <w:p w:rsidR="006D1830" w:rsidRPr="00600897" w:rsidRDefault="006D1830" w:rsidP="002A1A89">
      <w:r w:rsidRPr="00600897">
        <w:object w:dxaOrig="1760" w:dyaOrig="680">
          <v:shape id="_x0000_i1027" type="#_x0000_t75" style="width:84.6pt;height:33pt" o:ole="">
            <v:imagedata r:id="rId12" o:title=""/>
          </v:shape>
          <o:OLEObject Type="Embed" ProgID="Equation.3" ShapeID="_x0000_i1027" DrawAspect="Content" ObjectID="_1498217114" r:id="rId13"/>
        </w:object>
      </w:r>
    </w:p>
    <w:p w:rsidR="006D1830" w:rsidRPr="00600897" w:rsidRDefault="006D1830" w:rsidP="002A1A89">
      <w:r w:rsidRPr="00600897">
        <w:t>The indirect effect</w:t>
      </w:r>
      <w:r w:rsidR="00617F5D" w:rsidRPr="00600897">
        <w:t xml:space="preserve"> (IE)</w:t>
      </w:r>
      <w:r w:rsidRPr="00600897">
        <w:t xml:space="preserve"> </w:t>
      </w:r>
      <w:r w:rsidR="001E7E75">
        <w:t>was</w:t>
      </w:r>
      <w:r w:rsidR="001E7E75" w:rsidRPr="00600897">
        <w:t xml:space="preserve"> </w:t>
      </w:r>
      <w:r w:rsidRPr="00600897">
        <w:t>calculated as follow:</w:t>
      </w:r>
    </w:p>
    <w:p w:rsidR="006D1830" w:rsidRPr="00600897" w:rsidRDefault="00617F5D" w:rsidP="002A1A89">
      <w:r w:rsidRPr="00600897">
        <w:object w:dxaOrig="1480" w:dyaOrig="380">
          <v:shape id="_x0000_i1028" type="#_x0000_t75" style="width:71.4pt;height:18pt" o:ole="">
            <v:imagedata r:id="rId14" o:title=""/>
          </v:shape>
          <o:OLEObject Type="Embed" ProgID="Equation.3" ShapeID="_x0000_i1028" DrawAspect="Content" ObjectID="_1498217115" r:id="rId15"/>
        </w:object>
      </w:r>
    </w:p>
    <w:p w:rsidR="009E5842" w:rsidRPr="00600897" w:rsidRDefault="007423F3" w:rsidP="002A1A89">
      <w:pPr>
        <w:rPr>
          <w:rFonts w:eastAsiaTheme="minorEastAsia"/>
        </w:rPr>
      </w:pPr>
      <w:r w:rsidRPr="00600897">
        <w:t xml:space="preserve">In this regard, for the purpose of this article was chosen the data of 2009, these being the most recent available both for Brazilian IOM and for the GHG emissions. </w:t>
      </w:r>
      <w:r w:rsidR="009E5842" w:rsidRPr="00600897">
        <w:t>The three main greenhouse gases are Carbon Dioxide (</w:t>
      </w:r>
      <m:oMath>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rPr>
              <m:t>2</m:t>
            </m:r>
          </m:sub>
        </m:sSub>
      </m:oMath>
      <w:r w:rsidR="009E5842" w:rsidRPr="00600897">
        <w:rPr>
          <w:rFonts w:eastAsiaTheme="minorEastAsia"/>
        </w:rPr>
        <w:t>), Nitrous Oxide (</w:t>
      </w:r>
      <m:oMath>
        <m:sSub>
          <m:sSubPr>
            <m:ctrlPr>
              <w:rPr>
                <w:rFonts w:ascii="Cambria Math" w:hAnsi="Cambria Math"/>
                <w:i/>
              </w:rPr>
            </m:ctrlPr>
          </m:sSubPr>
          <m:e>
            <m:r>
              <w:rPr>
                <w:rFonts w:ascii="Cambria Math" w:hAnsi="Cambria Math"/>
              </w:rPr>
              <m:t>N</m:t>
            </m:r>
          </m:e>
          <m:sub>
            <m:r>
              <w:rPr>
                <w:rFonts w:ascii="Cambria Math"/>
              </w:rPr>
              <m:t>2</m:t>
            </m:r>
          </m:sub>
        </m:sSub>
        <m:r>
          <w:rPr>
            <w:rFonts w:ascii="Cambria Math"/>
          </w:rPr>
          <m:t>0</m:t>
        </m:r>
      </m:oMath>
      <w:r w:rsidR="009E5842" w:rsidRPr="00600897">
        <w:rPr>
          <w:rFonts w:eastAsiaTheme="minorEastAsia"/>
        </w:rPr>
        <w:t>), and Methane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rPr>
              <m:t>4</m:t>
            </m:r>
          </m:sub>
        </m:sSub>
      </m:oMath>
      <w:r w:rsidR="009E5842" w:rsidRPr="00600897">
        <w:rPr>
          <w:rFonts w:eastAsiaTheme="minorEastAsia"/>
        </w:rPr>
        <w:t>). They can be combined in a measure of Carbon Equivalent Emissions (CEE) as:</w:t>
      </w:r>
    </w:p>
    <w:p w:rsidR="009E5842" w:rsidRPr="00600897" w:rsidRDefault="00EA2813" w:rsidP="002A1A89">
      <w:pPr>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j</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+310</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r>
            <m:rPr>
              <m:sty m:val="p"/>
            </m:rPr>
            <w:rPr>
              <w:rFonts w:ascii="Cambria Math" w:hAnsi="Cambria Math"/>
            </w:rPr>
            <m:t>0+21</m:t>
          </m:r>
          <m:r>
            <w:rPr>
              <w:rFonts w:ascii="Cambria Math" w:hAnsi="Cambria Math"/>
            </w:rPr>
            <m:t>C</m:t>
          </m:r>
          <m:sSub>
            <m:sSubPr>
              <m:ctrlPr>
                <w:rPr>
                  <w:rFonts w:ascii="Cambria Math" w:hAnsi="Cambria Math"/>
                </w:rPr>
              </m:ctrlPr>
            </m:sSubPr>
            <m:e>
              <m:r>
                <w:rPr>
                  <w:rFonts w:ascii="Cambria Math" w:hAnsi="Cambria Math"/>
                </w:rPr>
                <m:t>H</m:t>
              </m:r>
            </m:e>
            <m:sub>
              <m:r>
                <m:rPr>
                  <m:sty m:val="p"/>
                </m:rPr>
                <w:rPr>
                  <w:rFonts w:ascii="Cambria Math" w:hAnsi="Cambria Math"/>
                </w:rPr>
                <m:t>4</m:t>
              </m:r>
            </m:sub>
          </m:sSub>
        </m:oMath>
      </m:oMathPara>
    </w:p>
    <w:p w:rsidR="009E5842" w:rsidRPr="00600897" w:rsidRDefault="00EA2813" w:rsidP="002A1A89">
      <w:pPr>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j</m:t>
            </m:r>
          </m:sub>
        </m:sSub>
      </m:oMath>
      <w:r w:rsidR="009E5842" w:rsidRPr="00600897">
        <w:t xml:space="preserve"> is the the Global Warming Potential (GWP) in terms of Greenhouse Gases (GHG) for sector </w:t>
      </w:r>
      <m:oMath>
        <m:r>
          <w:rPr>
            <w:rFonts w:ascii="Cambria Math" w:hAnsi="Cambria Math"/>
          </w:rPr>
          <m:t>j</m:t>
        </m:r>
      </m:oMath>
    </w:p>
    <w:p w:rsidR="009E5842" w:rsidRPr="00600897" w:rsidRDefault="009E5842" w:rsidP="002A1A89">
      <w:r w:rsidRPr="00600897">
        <w:t>When talking about GHG emissions, f</w:t>
      </w:r>
      <w:r w:rsidR="0051660C">
        <w:t>rom the perspective of a policy</w:t>
      </w:r>
      <w:r w:rsidRPr="00600897">
        <w:t>maker, there are two conflicting goals to be solved: production maximization and emissions minimization. These problems can be explicit in the following:</w:t>
      </w:r>
    </w:p>
    <w:p w:rsidR="009E5842" w:rsidRPr="00600897" w:rsidRDefault="009E5842" w:rsidP="002A1A89">
      <w:r w:rsidRPr="00600897">
        <w:t>Problem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2"/>
        <w:gridCol w:w="1455"/>
        <w:gridCol w:w="2556"/>
      </w:tblGrid>
      <w:tr w:rsidR="009E5842" w:rsidRPr="00600897" w:rsidTr="002A1A89">
        <w:trPr>
          <w:trHeight w:val="227"/>
          <w:jc w:val="center"/>
        </w:trPr>
        <w:tc>
          <w:tcPr>
            <w:tcW w:w="0" w:type="auto"/>
          </w:tcPr>
          <w:p w:rsidR="009E5842" w:rsidRPr="00600897" w:rsidRDefault="009E5842" w:rsidP="002A1A89"/>
        </w:tc>
        <w:tc>
          <w:tcPr>
            <w:tcW w:w="0" w:type="auto"/>
            <w:vAlign w:val="center"/>
          </w:tcPr>
          <w:p w:rsidR="009E5842" w:rsidRPr="00600897" w:rsidRDefault="00EA2813" w:rsidP="002A1A89">
            <m:oMathPara>
              <m:oMath>
                <m:func>
                  <m:funcPr>
                    <m:ctrlPr>
                      <w:rPr>
                        <w:rFonts w:ascii="Cambria Math" w:hAnsi="Cambria Math"/>
                      </w:rPr>
                    </m:ctrlPr>
                  </m:funcPr>
                  <m:fName>
                    <m:r>
                      <m:rPr>
                        <m:sty m:val="p"/>
                      </m:rPr>
                      <w:rPr>
                        <w:rFonts w:ascii="Cambria Math" w:hAnsi="Cambria Math"/>
                      </w:rPr>
                      <m:t>max</m:t>
                    </m:r>
                  </m:fName>
                  <m:e>
                    <m:r>
                      <w:rPr>
                        <w:rFonts w:ascii="Cambria Math" w:hAnsi="Cambria Math"/>
                      </w:rPr>
                      <m:t>X</m:t>
                    </m:r>
                  </m:e>
                </m:func>
              </m:oMath>
            </m:oMathPara>
          </w:p>
        </w:tc>
        <w:tc>
          <w:tcPr>
            <w:tcW w:w="0" w:type="auto"/>
          </w:tcPr>
          <w:p w:rsidR="009E5842" w:rsidRPr="00600897" w:rsidRDefault="009E5842" w:rsidP="002A1A89"/>
        </w:tc>
      </w:tr>
      <w:tr w:rsidR="009E5842" w:rsidRPr="00600897" w:rsidTr="002A1A89">
        <w:trPr>
          <w:trHeight w:val="170"/>
          <w:jc w:val="center"/>
        </w:trPr>
        <w:tc>
          <w:tcPr>
            <w:tcW w:w="0" w:type="auto"/>
          </w:tcPr>
          <w:p w:rsidR="009E5842" w:rsidRPr="00600897" w:rsidRDefault="009E5842" w:rsidP="002A1A89"/>
        </w:tc>
        <w:tc>
          <w:tcPr>
            <w:tcW w:w="0" w:type="auto"/>
            <w:vAlign w:val="center"/>
          </w:tcPr>
          <w:p w:rsidR="009E5842" w:rsidRPr="00600897" w:rsidRDefault="009E5842" w:rsidP="002A1A89"/>
        </w:tc>
        <w:tc>
          <w:tcPr>
            <w:tcW w:w="0" w:type="auto"/>
          </w:tcPr>
          <w:p w:rsidR="009E5842" w:rsidRPr="00600897" w:rsidRDefault="009E5842" w:rsidP="002A1A89"/>
        </w:tc>
      </w:tr>
      <w:tr w:rsidR="009E5842" w:rsidRPr="00600897" w:rsidTr="002A1A89">
        <w:trPr>
          <w:trHeight w:val="227"/>
          <w:jc w:val="center"/>
        </w:trPr>
        <w:tc>
          <w:tcPr>
            <w:tcW w:w="0" w:type="auto"/>
          </w:tcPr>
          <w:p w:rsidR="009E5842" w:rsidRPr="00600897" w:rsidRDefault="009E5842" w:rsidP="002A1A89">
            <m:oMathPara>
              <m:oMathParaPr>
                <m:jc m:val="center"/>
              </m:oMathParaPr>
              <m:oMath>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oMath>
            </m:oMathPara>
          </w:p>
        </w:tc>
        <w:tc>
          <w:tcPr>
            <w:tcW w:w="0" w:type="auto"/>
            <w:vAlign w:val="center"/>
          </w:tcPr>
          <w:p w:rsidR="009E5842" w:rsidRPr="00600897" w:rsidRDefault="00EA2813" w:rsidP="002A1A89">
            <w:pPr>
              <w:rPr>
                <w:rFonts w:eastAsiaTheme="minorEastAsia"/>
              </w:rPr>
            </w:pPr>
            <m:oMath>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A</m:t>
                  </m:r>
                </m:e>
              </m:d>
              <m:r>
                <w:rPr>
                  <w:rFonts w:ascii="Cambria Math" w:hAnsi="Cambria Math"/>
                </w:rPr>
                <m:t>X</m:t>
              </m:r>
              <m:r>
                <m:rPr>
                  <m:sty m:val="p"/>
                </m:rPr>
                <w:rPr>
                  <w:rFonts w:ascii="Cambria Math" w:hAnsi="Cambria Math"/>
                </w:rPr>
                <m:t>≤</m:t>
              </m:r>
              <m:r>
                <w:rPr>
                  <w:rFonts w:ascii="Cambria Math" w:hAnsi="Cambria Math"/>
                </w:rPr>
                <m:t>f</m:t>
              </m:r>
            </m:oMath>
            <w:r w:rsidR="009E5842" w:rsidRPr="00600897">
              <w:rPr>
                <w:rFonts w:eastAsiaTheme="minorEastAsia"/>
              </w:rPr>
              <w:t xml:space="preserve"> </w:t>
            </w:r>
          </w:p>
        </w:tc>
        <w:tc>
          <w:tcPr>
            <w:tcW w:w="0" w:type="auto"/>
          </w:tcPr>
          <w:p w:rsidR="009E5842" w:rsidRPr="00600897" w:rsidRDefault="009E5842" w:rsidP="002A1A89">
            <w:r w:rsidRPr="00600897">
              <w:t>(economic constraint)</w:t>
            </w:r>
          </w:p>
        </w:tc>
      </w:tr>
      <w:tr w:rsidR="009E5842" w:rsidRPr="00600897" w:rsidTr="002A1A89">
        <w:trPr>
          <w:trHeight w:val="227"/>
          <w:jc w:val="center"/>
        </w:trPr>
        <w:tc>
          <w:tcPr>
            <w:tcW w:w="0" w:type="auto"/>
          </w:tcPr>
          <w:p w:rsidR="009E5842" w:rsidRPr="00600897" w:rsidRDefault="009E5842" w:rsidP="002A1A89"/>
        </w:tc>
        <w:tc>
          <w:tcPr>
            <w:tcW w:w="0" w:type="auto"/>
            <w:vAlign w:val="center"/>
          </w:tcPr>
          <w:p w:rsidR="009E5842" w:rsidRPr="00600897" w:rsidRDefault="00EA2813" w:rsidP="002A1A89">
            <m:oMath>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 xml:space="preserve"> ∀</m:t>
              </m:r>
              <m:r>
                <w:rPr>
                  <w:rFonts w:ascii="Cambria Math" w:hAnsi="Cambria Math"/>
                </w:rPr>
                <m:t>k</m:t>
              </m:r>
            </m:oMath>
            <w:r w:rsidR="009E5842" w:rsidRPr="00600897">
              <w:rPr>
                <w:rFonts w:eastAsiaTheme="minorEastAsia"/>
              </w:rPr>
              <w:t xml:space="preserve"> </w:t>
            </w:r>
          </w:p>
        </w:tc>
        <w:tc>
          <w:tcPr>
            <w:tcW w:w="0" w:type="auto"/>
          </w:tcPr>
          <w:p w:rsidR="009E5842" w:rsidRPr="00600897" w:rsidRDefault="009E5842" w:rsidP="002A1A89">
            <w:r w:rsidRPr="00600897">
              <w:t>(environmental constraint)</w:t>
            </w:r>
          </w:p>
        </w:tc>
      </w:tr>
      <w:tr w:rsidR="009E5842" w:rsidRPr="00600897" w:rsidTr="002A1A89">
        <w:trPr>
          <w:trHeight w:val="227"/>
          <w:jc w:val="center"/>
        </w:trPr>
        <w:tc>
          <w:tcPr>
            <w:tcW w:w="0" w:type="auto"/>
          </w:tcPr>
          <w:p w:rsidR="009E5842" w:rsidRPr="00600897" w:rsidRDefault="009E5842" w:rsidP="002A1A89"/>
        </w:tc>
        <w:tc>
          <w:tcPr>
            <w:tcW w:w="0" w:type="auto"/>
            <w:vAlign w:val="center"/>
          </w:tcPr>
          <w:p w:rsidR="009E5842" w:rsidRPr="00600897" w:rsidRDefault="009E5842" w:rsidP="002A1A89">
            <m:oMath>
              <m:r>
                <w:rPr>
                  <w:rFonts w:ascii="Cambria Math" w:hAnsi="Cambria Math"/>
                </w:rPr>
                <m:t>X</m:t>
              </m:r>
              <m:r>
                <m:rPr>
                  <m:sty m:val="p"/>
                </m:rPr>
                <w:rPr>
                  <w:rFonts w:ascii="Cambria Math" w:hAnsi="Cambria Math"/>
                </w:rPr>
                <m:t>≥0</m:t>
              </m:r>
            </m:oMath>
            <w:r w:rsidRPr="00600897">
              <w:rPr>
                <w:rFonts w:eastAsiaTheme="minorEastAsia"/>
              </w:rPr>
              <w:t xml:space="preserve"> </w:t>
            </w:r>
          </w:p>
        </w:tc>
        <w:tc>
          <w:tcPr>
            <w:tcW w:w="0" w:type="auto"/>
          </w:tcPr>
          <w:p w:rsidR="009E5842" w:rsidRPr="00600897" w:rsidRDefault="009E5842" w:rsidP="002A1A89"/>
        </w:tc>
      </w:tr>
    </w:tbl>
    <w:p w:rsidR="009E5842" w:rsidRPr="00600897" w:rsidRDefault="009E5842" w:rsidP="002A1A89">
      <w:r w:rsidRPr="00600897">
        <w:t>Problem 2:</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2"/>
        <w:gridCol w:w="1455"/>
        <w:gridCol w:w="2556"/>
      </w:tblGrid>
      <w:tr w:rsidR="009E5842" w:rsidRPr="00600897" w:rsidTr="00222E2E">
        <w:trPr>
          <w:jc w:val="center"/>
        </w:trPr>
        <w:tc>
          <w:tcPr>
            <w:tcW w:w="0" w:type="auto"/>
          </w:tcPr>
          <w:p w:rsidR="009E5842" w:rsidRPr="00600897" w:rsidRDefault="009E5842" w:rsidP="002A1A89"/>
        </w:tc>
        <w:tc>
          <w:tcPr>
            <w:tcW w:w="0" w:type="auto"/>
            <w:vAlign w:val="center"/>
          </w:tcPr>
          <w:p w:rsidR="009E5842" w:rsidRPr="00600897" w:rsidRDefault="00EA2813" w:rsidP="002A1A89">
            <m:oMathPara>
              <m:oMath>
                <m:func>
                  <m:funcPr>
                    <m:ctrlPr>
                      <w:rPr>
                        <w:rFonts w:ascii="Cambria Math" w:hAnsi="Cambria Math"/>
                      </w:rPr>
                    </m:ctrlPr>
                  </m:funcPr>
                  <m:fName>
                    <m:r>
                      <m:rPr>
                        <m:sty m:val="p"/>
                      </m:rPr>
                      <w:rPr>
                        <w:rFonts w:ascii="Cambria Math" w:hAnsi="Cambria Math"/>
                      </w:rPr>
                      <m:t>min</m:t>
                    </m:r>
                  </m:fName>
                  <m:e>
                    <m:r>
                      <w:rPr>
                        <w:rFonts w:ascii="Cambria Math" w:hAnsi="Cambria Math"/>
                      </w:rPr>
                      <m:t>eX</m:t>
                    </m:r>
                  </m:e>
                </m:func>
              </m:oMath>
            </m:oMathPara>
          </w:p>
        </w:tc>
        <w:tc>
          <w:tcPr>
            <w:tcW w:w="0" w:type="auto"/>
          </w:tcPr>
          <w:p w:rsidR="009E5842" w:rsidRPr="00600897" w:rsidRDefault="009E5842" w:rsidP="002A1A89"/>
        </w:tc>
      </w:tr>
      <w:tr w:rsidR="009E5842" w:rsidRPr="00600897" w:rsidTr="00222E2E">
        <w:trPr>
          <w:jc w:val="center"/>
        </w:trPr>
        <w:tc>
          <w:tcPr>
            <w:tcW w:w="0" w:type="auto"/>
          </w:tcPr>
          <w:p w:rsidR="009E5842" w:rsidRPr="00600897" w:rsidRDefault="009E5842" w:rsidP="002A1A89"/>
        </w:tc>
        <w:tc>
          <w:tcPr>
            <w:tcW w:w="0" w:type="auto"/>
            <w:vAlign w:val="center"/>
          </w:tcPr>
          <w:p w:rsidR="009E5842" w:rsidRPr="00600897" w:rsidRDefault="009E5842" w:rsidP="002A1A89"/>
        </w:tc>
        <w:tc>
          <w:tcPr>
            <w:tcW w:w="0" w:type="auto"/>
          </w:tcPr>
          <w:p w:rsidR="009E5842" w:rsidRPr="00600897" w:rsidRDefault="009E5842" w:rsidP="002A1A89"/>
        </w:tc>
      </w:tr>
      <w:tr w:rsidR="009E5842" w:rsidRPr="00600897" w:rsidTr="00222E2E">
        <w:trPr>
          <w:jc w:val="center"/>
        </w:trPr>
        <w:tc>
          <w:tcPr>
            <w:tcW w:w="0" w:type="auto"/>
          </w:tcPr>
          <w:p w:rsidR="009E5842" w:rsidRPr="00600897" w:rsidRDefault="009E5842" w:rsidP="002A1A89">
            <m:oMathPara>
              <m:oMathParaPr>
                <m:jc m:val="center"/>
              </m:oMathParaPr>
              <m:oMath>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oMath>
            </m:oMathPara>
          </w:p>
        </w:tc>
        <w:tc>
          <w:tcPr>
            <w:tcW w:w="0" w:type="auto"/>
            <w:vAlign w:val="center"/>
          </w:tcPr>
          <w:p w:rsidR="009E5842" w:rsidRPr="00600897" w:rsidRDefault="00EA2813" w:rsidP="002A1A89">
            <w:pPr>
              <w:rPr>
                <w:rFonts w:eastAsiaTheme="minorEastAsia"/>
              </w:rPr>
            </w:pPr>
            <m:oMath>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A</m:t>
                  </m:r>
                </m:e>
              </m:d>
              <m:r>
                <w:rPr>
                  <w:rFonts w:ascii="Cambria Math" w:hAnsi="Cambria Math"/>
                </w:rPr>
                <m:t>X</m:t>
              </m:r>
              <m:r>
                <m:rPr>
                  <m:sty m:val="p"/>
                </m:rPr>
                <w:rPr>
                  <w:rFonts w:ascii="Cambria Math" w:hAnsi="Cambria Math"/>
                </w:rPr>
                <m:t>≥</m:t>
              </m:r>
              <m:r>
                <w:rPr>
                  <w:rFonts w:ascii="Cambria Math" w:hAnsi="Cambria Math"/>
                </w:rPr>
                <m:t>f</m:t>
              </m:r>
            </m:oMath>
            <w:r w:rsidR="009E5842" w:rsidRPr="00600897">
              <w:rPr>
                <w:rFonts w:eastAsiaTheme="minorEastAsia"/>
              </w:rPr>
              <w:t xml:space="preserve"> </w:t>
            </w:r>
          </w:p>
        </w:tc>
        <w:tc>
          <w:tcPr>
            <w:tcW w:w="0" w:type="auto"/>
          </w:tcPr>
          <w:p w:rsidR="009E5842" w:rsidRPr="00600897" w:rsidRDefault="009E5842" w:rsidP="002A1A89">
            <w:r w:rsidRPr="00600897">
              <w:t>(economic constraint)</w:t>
            </w:r>
          </w:p>
        </w:tc>
      </w:tr>
      <w:tr w:rsidR="009E5842" w:rsidRPr="00600897" w:rsidTr="00222E2E">
        <w:trPr>
          <w:jc w:val="center"/>
        </w:trPr>
        <w:tc>
          <w:tcPr>
            <w:tcW w:w="0" w:type="auto"/>
          </w:tcPr>
          <w:p w:rsidR="009E5842" w:rsidRPr="00600897" w:rsidRDefault="009E5842" w:rsidP="002A1A89"/>
        </w:tc>
        <w:tc>
          <w:tcPr>
            <w:tcW w:w="0" w:type="auto"/>
            <w:vAlign w:val="center"/>
          </w:tcPr>
          <w:p w:rsidR="009E5842" w:rsidRPr="00600897" w:rsidRDefault="00EA2813" w:rsidP="002A1A89">
            <m:oMath>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 xml:space="preserve"> ∀</m:t>
              </m:r>
              <m:r>
                <w:rPr>
                  <w:rFonts w:ascii="Cambria Math" w:hAnsi="Cambria Math"/>
                </w:rPr>
                <m:t>k</m:t>
              </m:r>
            </m:oMath>
            <w:r w:rsidR="009E5842" w:rsidRPr="00600897">
              <w:rPr>
                <w:rFonts w:eastAsiaTheme="minorEastAsia"/>
              </w:rPr>
              <w:t xml:space="preserve"> </w:t>
            </w:r>
          </w:p>
        </w:tc>
        <w:tc>
          <w:tcPr>
            <w:tcW w:w="0" w:type="auto"/>
          </w:tcPr>
          <w:p w:rsidR="009E5842" w:rsidRPr="00600897" w:rsidRDefault="009E5842" w:rsidP="002A1A89">
            <w:r w:rsidRPr="00600897">
              <w:t>(environmental constraint)</w:t>
            </w:r>
          </w:p>
        </w:tc>
      </w:tr>
      <w:tr w:rsidR="009E5842" w:rsidRPr="00600897" w:rsidTr="00222E2E">
        <w:trPr>
          <w:jc w:val="center"/>
        </w:trPr>
        <w:tc>
          <w:tcPr>
            <w:tcW w:w="0" w:type="auto"/>
          </w:tcPr>
          <w:p w:rsidR="009E5842" w:rsidRPr="00600897" w:rsidRDefault="009E5842" w:rsidP="002A1A89"/>
        </w:tc>
        <w:tc>
          <w:tcPr>
            <w:tcW w:w="0" w:type="auto"/>
            <w:vAlign w:val="center"/>
          </w:tcPr>
          <w:p w:rsidR="009E5842" w:rsidRPr="00600897" w:rsidRDefault="009E5842" w:rsidP="002A1A89">
            <m:oMath>
              <m:r>
                <w:rPr>
                  <w:rFonts w:ascii="Cambria Math" w:hAnsi="Cambria Math"/>
                </w:rPr>
                <m:t>X</m:t>
              </m:r>
              <m:r>
                <m:rPr>
                  <m:sty m:val="p"/>
                </m:rPr>
                <w:rPr>
                  <w:rFonts w:ascii="Cambria Math" w:hAnsi="Cambria Math"/>
                </w:rPr>
                <m:t>≥0</m:t>
              </m:r>
            </m:oMath>
            <w:r w:rsidRPr="00600897">
              <w:rPr>
                <w:rFonts w:eastAsiaTheme="minorEastAsia"/>
              </w:rPr>
              <w:t xml:space="preserve"> </w:t>
            </w:r>
          </w:p>
        </w:tc>
        <w:tc>
          <w:tcPr>
            <w:tcW w:w="0" w:type="auto"/>
          </w:tcPr>
          <w:p w:rsidR="009E5842" w:rsidRPr="00600897" w:rsidRDefault="009E5842" w:rsidP="002A1A89"/>
        </w:tc>
      </w:tr>
    </w:tbl>
    <w:p w:rsidR="002A1A89" w:rsidRPr="00600897" w:rsidRDefault="002A1A89" w:rsidP="002A1A89"/>
    <w:p w:rsidR="001D4462" w:rsidRPr="00600897" w:rsidRDefault="00E31476" w:rsidP="002A1A89">
      <m:oMath>
        <m:r>
          <w:rPr>
            <w:rFonts w:ascii="Cambria Math" w:hAnsi="Cambria Math"/>
          </w:rPr>
          <m:t>t</m:t>
        </m:r>
      </m:oMath>
      <w:r w:rsidRPr="00600897">
        <w:t xml:space="preserve"> is the target for emissions. This target can be defined differently for each sector </w:t>
      </w:r>
      <m:oMath>
        <m:r>
          <w:rPr>
            <w:rFonts w:ascii="Cambria Math" w:hAnsi="Cambria Math"/>
          </w:rPr>
          <m:t>k</m:t>
        </m:r>
      </m:oMath>
      <w:r w:rsidRPr="00600897">
        <w:t xml:space="preserve">, or it can be set as a reduction goal  for Brazilian overall emissions (in the last case, the environmental constraint can be reduced to </w:t>
      </w:r>
      <m:oMath>
        <m:nary>
          <m:naryPr>
            <m:chr m:val="∑"/>
            <m:limLoc m:val="undOvr"/>
            <m:supHide m:val="on"/>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X</m:t>
            </m:r>
          </m:e>
        </m:nary>
        <m:r>
          <w:rPr>
            <w:rFonts w:ascii="Cambria Math"/>
          </w:rPr>
          <m:t>≤</m:t>
        </m:r>
        <m:r>
          <w:rPr>
            <w:rFonts w:ascii="Cambria Math" w:hAnsi="Cambria Math"/>
          </w:rPr>
          <m:t>t</m:t>
        </m:r>
      </m:oMath>
      <w:r w:rsidR="00FB74E2" w:rsidRPr="00600897">
        <w:t>)</w:t>
      </w:r>
      <w:r w:rsidRPr="00600897">
        <w:t xml:space="preserve">. </w:t>
      </w:r>
    </w:p>
    <w:p w:rsidR="001D4462" w:rsidRPr="00600897" w:rsidRDefault="00E31476" w:rsidP="002A1A89">
      <w:r w:rsidRPr="00600897">
        <w:t xml:space="preserve">As both problems are complementary (one can reduce emissions only by reducing production, and contrariwise), the solutions are symmetric. Therefore, when solving Problem 1 or Problem 2, </w:t>
      </w:r>
      <w:r w:rsidR="00FB74E2" w:rsidRPr="00600897">
        <w:t xml:space="preserve">the result is absolutely the same, and indicates which sectors are the ones that should reduce their emissions (and consequentially their production) to active a certain emissions reduction goal for the country with the minimal economic cost. </w:t>
      </w:r>
      <w:r w:rsidR="007D67BC" w:rsidRPr="00600897">
        <w:t xml:space="preserve">The problem is solved by changing final demand production for each sector. </w:t>
      </w:r>
    </w:p>
    <w:p w:rsidR="001D4462" w:rsidRPr="00600897" w:rsidRDefault="00FB74E2" w:rsidP="002A1A89">
      <w:r w:rsidRPr="00600897">
        <w:t>As one can expect, sector</w:t>
      </w:r>
      <w:r w:rsidR="00E3432A" w:rsidRPr="00600897">
        <w:t>s</w:t>
      </w:r>
      <w:r w:rsidRPr="00600897">
        <w:t xml:space="preserve"> with the highest emissions coefficient, i.e., generat</w:t>
      </w:r>
      <w:r w:rsidR="00E3432A" w:rsidRPr="00600897">
        <w:t>ing</w:t>
      </w:r>
      <w:r w:rsidRPr="00600897">
        <w:t xml:space="preserve"> more gas emissions per unit of output, are the ones with the smallest </w:t>
      </w:r>
      <w:r w:rsidR="00E3432A" w:rsidRPr="00600897">
        <w:t xml:space="preserve">direct </w:t>
      </w:r>
      <w:r w:rsidRPr="00600897">
        <w:t xml:space="preserve">economic cost </w:t>
      </w:r>
      <w:r w:rsidR="00E3432A" w:rsidRPr="00600897">
        <w:t xml:space="preserve">to active the target, if economic cost is measured by lost in total output. Accordingly, the optimization process indicates highly pollutant sectors as the optimal way of </w:t>
      </w:r>
      <w:proofErr w:type="spellStart"/>
      <w:r w:rsidR="00E3432A" w:rsidRPr="00600897">
        <w:t>activing</w:t>
      </w:r>
      <w:proofErr w:type="spellEnd"/>
      <w:r w:rsidR="00E3432A" w:rsidRPr="00600897">
        <w:t xml:space="preserve"> the target. </w:t>
      </w:r>
      <w:r w:rsidR="00C75D81" w:rsidRPr="00600897">
        <w:t>Furthermore</w:t>
      </w:r>
      <w:r w:rsidR="00E3432A" w:rsidRPr="00600897">
        <w:t xml:space="preserve">, with the </w:t>
      </w:r>
      <w:r w:rsidRPr="00600897">
        <w:t>use of an Input-Output framework,</w:t>
      </w:r>
      <w:r w:rsidR="00E3432A" w:rsidRPr="00600897">
        <w:t xml:space="preserve"> those sectors are related to others, and so, if their activity levels are reduced, this triggers the output in other sectors, causing then to reduce emissions as well. </w:t>
      </w:r>
    </w:p>
    <w:p w:rsidR="00C75D81" w:rsidRPr="00600897" w:rsidRDefault="00E31476" w:rsidP="002A1A89">
      <w:r w:rsidRPr="00600897">
        <w:t xml:space="preserve">When we first solve those models for Brazil a problem arises: the concentration of GHG emissions in </w:t>
      </w:r>
      <w:r w:rsidR="00D444D9" w:rsidRPr="00600897">
        <w:t>livestock and fisheries</w:t>
      </w:r>
      <w:r w:rsidR="00741031">
        <w:t xml:space="preserve"> </w:t>
      </w:r>
      <w:r w:rsidRPr="00600897">
        <w:t xml:space="preserve">leads to results where only this sector basically “pays” for </w:t>
      </w:r>
      <w:r w:rsidRPr="00600897">
        <w:lastRenderedPageBreak/>
        <w:t>the whole reduction in emissions. One of the options found in literature (</w:t>
      </w:r>
      <w:proofErr w:type="spellStart"/>
      <w:r w:rsidR="00C75D81" w:rsidRPr="00600897">
        <w:t>Hristu-Varsakelis</w:t>
      </w:r>
      <w:proofErr w:type="spellEnd"/>
      <w:r w:rsidR="00C75D81" w:rsidRPr="00600897">
        <w:t xml:space="preserve"> </w:t>
      </w:r>
      <w:r w:rsidRPr="00600897">
        <w:rPr>
          <w:i/>
        </w:rPr>
        <w:t>et al</w:t>
      </w:r>
      <w:r w:rsidR="00C75D81" w:rsidRPr="00600897">
        <w:t>., 2010</w:t>
      </w:r>
      <w:r w:rsidR="009A07A0" w:rsidRPr="00600897">
        <w:t xml:space="preserve">), suggests to establish a maximal bound for changes in production. </w:t>
      </w:r>
      <w:r w:rsidRPr="00600897">
        <w:t xml:space="preserve">Formally, we need to have an additional economic constraint, establishing a percentage change bound </w:t>
      </w:r>
      <m:oMath>
        <m:r>
          <w:rPr>
            <w:rFonts w:ascii="Cambria Math" w:hAnsi="Cambria Math"/>
          </w:rPr>
          <m:t>b</m:t>
        </m:r>
      </m:oMath>
      <w:r w:rsidRPr="00600897">
        <w:rPr>
          <w:rFonts w:eastAsiaTheme="minorEastAsia"/>
        </w:rPr>
        <w:t>, for final demand variation in each sector</w:t>
      </w:r>
      <w:r w:rsidRPr="00600897">
        <w:t>:</w:t>
      </w:r>
    </w:p>
    <w:p w:rsidR="007D67BC" w:rsidRPr="00600897" w:rsidRDefault="007D67BC" w:rsidP="002A1A89">
      <w:r w:rsidRPr="00600897">
        <w:t>Problem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2"/>
        <w:gridCol w:w="1455"/>
        <w:gridCol w:w="2556"/>
      </w:tblGrid>
      <w:tr w:rsidR="007D67BC" w:rsidRPr="00600897" w:rsidTr="00674DC1">
        <w:trPr>
          <w:jc w:val="center"/>
        </w:trPr>
        <w:tc>
          <w:tcPr>
            <w:tcW w:w="0" w:type="auto"/>
          </w:tcPr>
          <w:p w:rsidR="007D67BC" w:rsidRPr="00600897" w:rsidRDefault="007D67BC" w:rsidP="002A1A89"/>
        </w:tc>
        <w:tc>
          <w:tcPr>
            <w:tcW w:w="0" w:type="auto"/>
            <w:vAlign w:val="center"/>
          </w:tcPr>
          <w:p w:rsidR="007D67BC" w:rsidRPr="00600897" w:rsidRDefault="00EA2813" w:rsidP="002A1A89">
            <m:oMathPara>
              <m:oMath>
                <m:func>
                  <m:funcPr>
                    <m:ctrlPr>
                      <w:rPr>
                        <w:rFonts w:ascii="Cambria Math" w:hAnsi="Cambria Math"/>
                      </w:rPr>
                    </m:ctrlPr>
                  </m:funcPr>
                  <m:fName>
                    <m:r>
                      <m:rPr>
                        <m:sty m:val="p"/>
                      </m:rPr>
                      <w:rPr>
                        <w:rFonts w:ascii="Cambria Math" w:hAnsi="Cambria Math"/>
                      </w:rPr>
                      <m:t>max</m:t>
                    </m:r>
                  </m:fName>
                  <m:e>
                    <m:r>
                      <w:rPr>
                        <w:rFonts w:ascii="Cambria Math" w:hAnsi="Cambria Math"/>
                      </w:rPr>
                      <m:t>X</m:t>
                    </m:r>
                  </m:e>
                </m:func>
              </m:oMath>
            </m:oMathPara>
          </w:p>
        </w:tc>
        <w:tc>
          <w:tcPr>
            <w:tcW w:w="0" w:type="auto"/>
          </w:tcPr>
          <w:p w:rsidR="007D67BC" w:rsidRPr="00600897" w:rsidRDefault="007D67BC" w:rsidP="002A1A89"/>
        </w:tc>
      </w:tr>
      <w:tr w:rsidR="007D67BC" w:rsidRPr="00600897" w:rsidTr="00674DC1">
        <w:trPr>
          <w:jc w:val="center"/>
        </w:trPr>
        <w:tc>
          <w:tcPr>
            <w:tcW w:w="0" w:type="auto"/>
          </w:tcPr>
          <w:p w:rsidR="007D67BC" w:rsidRPr="00600897" w:rsidRDefault="007D67BC" w:rsidP="002A1A89"/>
        </w:tc>
        <w:tc>
          <w:tcPr>
            <w:tcW w:w="0" w:type="auto"/>
            <w:vAlign w:val="center"/>
          </w:tcPr>
          <w:p w:rsidR="007D67BC" w:rsidRPr="00600897" w:rsidRDefault="007D67BC" w:rsidP="002A1A89"/>
        </w:tc>
        <w:tc>
          <w:tcPr>
            <w:tcW w:w="0" w:type="auto"/>
          </w:tcPr>
          <w:p w:rsidR="007D67BC" w:rsidRPr="00600897" w:rsidRDefault="007D67BC" w:rsidP="002A1A89"/>
        </w:tc>
      </w:tr>
      <w:tr w:rsidR="007D67BC" w:rsidRPr="00600897" w:rsidTr="00674DC1">
        <w:trPr>
          <w:jc w:val="center"/>
        </w:trPr>
        <w:tc>
          <w:tcPr>
            <w:tcW w:w="0" w:type="auto"/>
          </w:tcPr>
          <w:p w:rsidR="007D67BC" w:rsidRPr="00600897" w:rsidRDefault="007D67BC" w:rsidP="002A1A89">
            <m:oMathPara>
              <m:oMathParaPr>
                <m:jc m:val="center"/>
              </m:oMathParaPr>
              <m:oMath>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oMath>
            </m:oMathPara>
          </w:p>
        </w:tc>
        <w:tc>
          <w:tcPr>
            <w:tcW w:w="0" w:type="auto"/>
            <w:vAlign w:val="center"/>
          </w:tcPr>
          <w:p w:rsidR="007D67BC" w:rsidRPr="00600897" w:rsidRDefault="00EA2813" w:rsidP="002A1A89">
            <w:pPr>
              <w:rPr>
                <w:rFonts w:eastAsiaTheme="minorEastAsia"/>
              </w:rPr>
            </w:pPr>
            <m:oMath>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A</m:t>
                  </m:r>
                </m:e>
              </m:d>
              <m:r>
                <w:rPr>
                  <w:rFonts w:ascii="Cambria Math" w:hAnsi="Cambria Math"/>
                </w:rPr>
                <m:t>X</m:t>
              </m:r>
              <m:r>
                <m:rPr>
                  <m:sty m:val="p"/>
                </m:rPr>
                <w:rPr>
                  <w:rFonts w:ascii="Cambria Math" w:hAnsi="Cambria Math"/>
                </w:rPr>
                <m:t>≤</m:t>
              </m:r>
              <m:r>
                <w:rPr>
                  <w:rFonts w:ascii="Cambria Math" w:hAnsi="Cambria Math"/>
                </w:rPr>
                <m:t>f</m:t>
              </m:r>
            </m:oMath>
            <w:r w:rsidR="007D67BC" w:rsidRPr="00600897">
              <w:rPr>
                <w:rFonts w:eastAsiaTheme="minorEastAsia"/>
              </w:rPr>
              <w:t xml:space="preserve"> </w:t>
            </w:r>
          </w:p>
        </w:tc>
        <w:tc>
          <w:tcPr>
            <w:tcW w:w="0" w:type="auto"/>
          </w:tcPr>
          <w:p w:rsidR="007D67BC" w:rsidRPr="00600897" w:rsidRDefault="007D67BC" w:rsidP="002A1A89">
            <w:r w:rsidRPr="00600897">
              <w:t>(economic constraint 1)</w:t>
            </w:r>
          </w:p>
        </w:tc>
      </w:tr>
      <w:tr w:rsidR="007D67BC" w:rsidRPr="00600897" w:rsidTr="00674DC1">
        <w:trPr>
          <w:jc w:val="center"/>
        </w:trPr>
        <w:tc>
          <w:tcPr>
            <w:tcW w:w="0" w:type="auto"/>
          </w:tcPr>
          <w:p w:rsidR="007D67BC" w:rsidRPr="00600897" w:rsidRDefault="007D67BC" w:rsidP="002A1A89"/>
        </w:tc>
        <w:tc>
          <w:tcPr>
            <w:tcW w:w="0" w:type="auto"/>
            <w:vAlign w:val="center"/>
          </w:tcPr>
          <w:p w:rsidR="007D67BC" w:rsidRPr="00600897" w:rsidRDefault="00EA2813" w:rsidP="002A1A89">
            <m:oMath>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 xml:space="preserve"> ∀</m:t>
              </m:r>
              <m:r>
                <w:rPr>
                  <w:rFonts w:ascii="Cambria Math" w:hAnsi="Cambria Math"/>
                </w:rPr>
                <m:t>k</m:t>
              </m:r>
            </m:oMath>
            <w:r w:rsidR="007D67BC" w:rsidRPr="00600897">
              <w:rPr>
                <w:rFonts w:eastAsiaTheme="minorEastAsia"/>
              </w:rPr>
              <w:t xml:space="preserve"> </w:t>
            </w:r>
          </w:p>
        </w:tc>
        <w:tc>
          <w:tcPr>
            <w:tcW w:w="0" w:type="auto"/>
          </w:tcPr>
          <w:p w:rsidR="007D67BC" w:rsidRPr="00600897" w:rsidRDefault="007D67BC" w:rsidP="002A1A89">
            <w:r w:rsidRPr="00600897">
              <w:t>(environmental constraint)</w:t>
            </w:r>
          </w:p>
        </w:tc>
      </w:tr>
      <w:tr w:rsidR="007D67BC" w:rsidRPr="00600897" w:rsidTr="00674DC1">
        <w:trPr>
          <w:jc w:val="center"/>
        </w:trPr>
        <w:tc>
          <w:tcPr>
            <w:tcW w:w="0" w:type="auto"/>
          </w:tcPr>
          <w:p w:rsidR="007D67BC" w:rsidRPr="00600897" w:rsidRDefault="007D67BC" w:rsidP="002A1A89"/>
        </w:tc>
        <w:tc>
          <w:tcPr>
            <w:tcW w:w="0" w:type="auto"/>
            <w:vAlign w:val="center"/>
          </w:tcPr>
          <w:p w:rsidR="007D67BC" w:rsidRPr="00600897" w:rsidRDefault="007D67BC" w:rsidP="002A1A89">
            <m:oMath>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 xml:space="preserve"> ∀</m:t>
              </m:r>
              <m:r>
                <w:rPr>
                  <w:rFonts w:ascii="Cambria Math" w:hAnsi="Cambria Math"/>
                </w:rPr>
                <m:t>i</m:t>
              </m:r>
            </m:oMath>
            <w:r w:rsidRPr="00600897">
              <w:t xml:space="preserve"> </w:t>
            </w:r>
          </w:p>
        </w:tc>
        <w:tc>
          <w:tcPr>
            <w:tcW w:w="0" w:type="auto"/>
          </w:tcPr>
          <w:p w:rsidR="007D67BC" w:rsidRPr="00600897" w:rsidRDefault="007D67BC" w:rsidP="002A1A89">
            <w:r w:rsidRPr="00600897">
              <w:t>(economic constraint 2)</w:t>
            </w:r>
          </w:p>
        </w:tc>
      </w:tr>
      <w:tr w:rsidR="007D67BC" w:rsidRPr="00600897" w:rsidTr="00674DC1">
        <w:trPr>
          <w:jc w:val="center"/>
        </w:trPr>
        <w:tc>
          <w:tcPr>
            <w:tcW w:w="0" w:type="auto"/>
          </w:tcPr>
          <w:p w:rsidR="007D67BC" w:rsidRPr="00600897" w:rsidRDefault="007D67BC" w:rsidP="002A1A89"/>
        </w:tc>
        <w:tc>
          <w:tcPr>
            <w:tcW w:w="0" w:type="auto"/>
            <w:vAlign w:val="center"/>
          </w:tcPr>
          <w:p w:rsidR="007D67BC" w:rsidRPr="00600897" w:rsidRDefault="007D67BC" w:rsidP="002A1A89">
            <m:oMath>
              <m:r>
                <w:rPr>
                  <w:rFonts w:ascii="Cambria Math" w:hAnsi="Cambria Math"/>
                </w:rPr>
                <m:t>X</m:t>
              </m:r>
              <m:r>
                <m:rPr>
                  <m:sty m:val="p"/>
                </m:rPr>
                <w:rPr>
                  <w:rFonts w:ascii="Cambria Math" w:hAnsi="Cambria Math"/>
                </w:rPr>
                <m:t>≥0</m:t>
              </m:r>
            </m:oMath>
            <w:r w:rsidRPr="00600897">
              <w:rPr>
                <w:rFonts w:eastAsiaTheme="minorEastAsia"/>
              </w:rPr>
              <w:t xml:space="preserve"> </w:t>
            </w:r>
          </w:p>
        </w:tc>
        <w:tc>
          <w:tcPr>
            <w:tcW w:w="0" w:type="auto"/>
          </w:tcPr>
          <w:p w:rsidR="007D67BC" w:rsidRPr="00600897" w:rsidRDefault="007D67BC" w:rsidP="002A1A89"/>
        </w:tc>
      </w:tr>
    </w:tbl>
    <w:p w:rsidR="00600897" w:rsidRPr="00600897" w:rsidRDefault="00600897" w:rsidP="002A1A89"/>
    <w:p w:rsidR="007D67BC" w:rsidRPr="00600897" w:rsidRDefault="00E31476" w:rsidP="002A1A89">
      <w:r w:rsidRPr="00600897">
        <w:t>Problem 2:</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2"/>
        <w:gridCol w:w="1455"/>
        <w:gridCol w:w="2556"/>
      </w:tblGrid>
      <w:tr w:rsidR="007D67BC" w:rsidRPr="00600897" w:rsidTr="00674DC1">
        <w:trPr>
          <w:jc w:val="center"/>
        </w:trPr>
        <w:tc>
          <w:tcPr>
            <w:tcW w:w="0" w:type="auto"/>
          </w:tcPr>
          <w:p w:rsidR="007D67BC" w:rsidRPr="00600897" w:rsidRDefault="007D67BC" w:rsidP="002A1A89"/>
        </w:tc>
        <w:tc>
          <w:tcPr>
            <w:tcW w:w="0" w:type="auto"/>
            <w:vAlign w:val="center"/>
          </w:tcPr>
          <w:p w:rsidR="007D67BC" w:rsidRPr="00600897" w:rsidRDefault="00EA2813" w:rsidP="002A1A89">
            <m:oMathPara>
              <m:oMath>
                <m:func>
                  <m:funcPr>
                    <m:ctrlPr>
                      <w:rPr>
                        <w:rFonts w:ascii="Cambria Math" w:hAnsi="Cambria Math"/>
                      </w:rPr>
                    </m:ctrlPr>
                  </m:funcPr>
                  <m:fName>
                    <m:r>
                      <m:rPr>
                        <m:sty m:val="p"/>
                      </m:rPr>
                      <w:rPr>
                        <w:rFonts w:ascii="Cambria Math" w:hAnsi="Cambria Math"/>
                      </w:rPr>
                      <m:t>min</m:t>
                    </m:r>
                  </m:fName>
                  <m:e>
                    <m:r>
                      <w:rPr>
                        <w:rFonts w:ascii="Cambria Math" w:hAnsi="Cambria Math"/>
                      </w:rPr>
                      <m:t>eX</m:t>
                    </m:r>
                  </m:e>
                </m:func>
              </m:oMath>
            </m:oMathPara>
          </w:p>
        </w:tc>
        <w:tc>
          <w:tcPr>
            <w:tcW w:w="0" w:type="auto"/>
          </w:tcPr>
          <w:p w:rsidR="007D67BC" w:rsidRPr="00600897" w:rsidRDefault="007D67BC" w:rsidP="002A1A89"/>
        </w:tc>
      </w:tr>
      <w:tr w:rsidR="007D67BC" w:rsidRPr="00600897" w:rsidTr="00674DC1">
        <w:trPr>
          <w:jc w:val="center"/>
        </w:trPr>
        <w:tc>
          <w:tcPr>
            <w:tcW w:w="0" w:type="auto"/>
          </w:tcPr>
          <w:p w:rsidR="007D67BC" w:rsidRPr="00600897" w:rsidRDefault="007D67BC" w:rsidP="002A1A89"/>
        </w:tc>
        <w:tc>
          <w:tcPr>
            <w:tcW w:w="0" w:type="auto"/>
            <w:vAlign w:val="center"/>
          </w:tcPr>
          <w:p w:rsidR="007D67BC" w:rsidRPr="00600897" w:rsidRDefault="007D67BC" w:rsidP="002A1A89"/>
        </w:tc>
        <w:tc>
          <w:tcPr>
            <w:tcW w:w="0" w:type="auto"/>
          </w:tcPr>
          <w:p w:rsidR="007D67BC" w:rsidRPr="00600897" w:rsidRDefault="007D67BC" w:rsidP="002A1A89"/>
        </w:tc>
      </w:tr>
      <w:tr w:rsidR="007D67BC" w:rsidRPr="00600897" w:rsidTr="00674DC1">
        <w:trPr>
          <w:jc w:val="center"/>
        </w:trPr>
        <w:tc>
          <w:tcPr>
            <w:tcW w:w="0" w:type="auto"/>
          </w:tcPr>
          <w:p w:rsidR="007D67BC" w:rsidRPr="00600897" w:rsidRDefault="007D67BC" w:rsidP="002A1A89">
            <m:oMathPara>
              <m:oMathParaPr>
                <m:jc m:val="center"/>
              </m:oMathParaPr>
              <m:oMath>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oMath>
            </m:oMathPara>
          </w:p>
        </w:tc>
        <w:tc>
          <w:tcPr>
            <w:tcW w:w="0" w:type="auto"/>
            <w:vAlign w:val="center"/>
          </w:tcPr>
          <w:p w:rsidR="007D67BC" w:rsidRPr="00600897" w:rsidRDefault="00EA2813" w:rsidP="002A1A89">
            <w:pPr>
              <w:rPr>
                <w:rFonts w:eastAsiaTheme="minorEastAsia"/>
              </w:rPr>
            </w:pPr>
            <m:oMath>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A</m:t>
                  </m:r>
                </m:e>
              </m:d>
              <m:r>
                <w:rPr>
                  <w:rFonts w:ascii="Cambria Math" w:hAnsi="Cambria Math"/>
                </w:rPr>
                <m:t>X</m:t>
              </m:r>
              <m:r>
                <m:rPr>
                  <m:sty m:val="p"/>
                </m:rPr>
                <w:rPr>
                  <w:rFonts w:ascii="Cambria Math" w:hAnsi="Cambria Math"/>
                </w:rPr>
                <m:t>≥</m:t>
              </m:r>
              <m:r>
                <w:rPr>
                  <w:rFonts w:ascii="Cambria Math" w:hAnsi="Cambria Math"/>
                </w:rPr>
                <m:t>f</m:t>
              </m:r>
            </m:oMath>
            <w:r w:rsidR="007D67BC" w:rsidRPr="00600897">
              <w:rPr>
                <w:rFonts w:eastAsiaTheme="minorEastAsia"/>
              </w:rPr>
              <w:t xml:space="preserve"> </w:t>
            </w:r>
          </w:p>
        </w:tc>
        <w:tc>
          <w:tcPr>
            <w:tcW w:w="0" w:type="auto"/>
          </w:tcPr>
          <w:p w:rsidR="007D67BC" w:rsidRPr="00600897" w:rsidRDefault="007D67BC" w:rsidP="002A1A89">
            <w:r w:rsidRPr="00600897">
              <w:t>(economic constraint 1)</w:t>
            </w:r>
          </w:p>
        </w:tc>
      </w:tr>
      <w:tr w:rsidR="007D67BC" w:rsidRPr="00600897" w:rsidTr="00674DC1">
        <w:trPr>
          <w:jc w:val="center"/>
        </w:trPr>
        <w:tc>
          <w:tcPr>
            <w:tcW w:w="0" w:type="auto"/>
          </w:tcPr>
          <w:p w:rsidR="007D67BC" w:rsidRPr="00600897" w:rsidRDefault="007D67BC" w:rsidP="002A1A89"/>
        </w:tc>
        <w:tc>
          <w:tcPr>
            <w:tcW w:w="0" w:type="auto"/>
            <w:vAlign w:val="center"/>
          </w:tcPr>
          <w:p w:rsidR="007D67BC" w:rsidRPr="00600897" w:rsidRDefault="00EA2813" w:rsidP="002A1A89">
            <m:oMath>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 xml:space="preserve"> ∀</m:t>
              </m:r>
              <m:r>
                <w:rPr>
                  <w:rFonts w:ascii="Cambria Math" w:hAnsi="Cambria Math"/>
                </w:rPr>
                <m:t>k</m:t>
              </m:r>
            </m:oMath>
            <w:r w:rsidR="007D67BC" w:rsidRPr="00600897">
              <w:rPr>
                <w:rFonts w:eastAsiaTheme="minorEastAsia"/>
              </w:rPr>
              <w:t xml:space="preserve"> </w:t>
            </w:r>
          </w:p>
        </w:tc>
        <w:tc>
          <w:tcPr>
            <w:tcW w:w="0" w:type="auto"/>
          </w:tcPr>
          <w:p w:rsidR="007D67BC" w:rsidRPr="00600897" w:rsidRDefault="007D67BC" w:rsidP="002A1A89">
            <w:r w:rsidRPr="00600897">
              <w:t>(environmental constraint)</w:t>
            </w:r>
          </w:p>
        </w:tc>
      </w:tr>
      <w:tr w:rsidR="007D67BC" w:rsidRPr="00600897" w:rsidTr="00674DC1">
        <w:trPr>
          <w:jc w:val="center"/>
        </w:trPr>
        <w:tc>
          <w:tcPr>
            <w:tcW w:w="0" w:type="auto"/>
          </w:tcPr>
          <w:p w:rsidR="007D67BC" w:rsidRPr="00600897" w:rsidRDefault="007D67BC" w:rsidP="002A1A89"/>
        </w:tc>
        <w:tc>
          <w:tcPr>
            <w:tcW w:w="0" w:type="auto"/>
            <w:vAlign w:val="center"/>
          </w:tcPr>
          <w:p w:rsidR="007D67BC" w:rsidRPr="00600897" w:rsidRDefault="007D67BC" w:rsidP="002A1A89">
            <m:oMath>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 xml:space="preserve"> ∀</m:t>
              </m:r>
              <m:r>
                <w:rPr>
                  <w:rFonts w:ascii="Cambria Math" w:hAnsi="Cambria Math"/>
                </w:rPr>
                <m:t>i</m:t>
              </m:r>
            </m:oMath>
            <w:r w:rsidRPr="00600897">
              <w:t xml:space="preserve"> </w:t>
            </w:r>
          </w:p>
        </w:tc>
        <w:tc>
          <w:tcPr>
            <w:tcW w:w="0" w:type="auto"/>
          </w:tcPr>
          <w:p w:rsidR="007D67BC" w:rsidRPr="00600897" w:rsidRDefault="007D67BC" w:rsidP="002A1A89">
            <w:r w:rsidRPr="00600897">
              <w:t>(economic constraint 2)</w:t>
            </w:r>
          </w:p>
        </w:tc>
      </w:tr>
      <w:tr w:rsidR="007D67BC" w:rsidRPr="00600897" w:rsidTr="00674DC1">
        <w:trPr>
          <w:jc w:val="center"/>
        </w:trPr>
        <w:tc>
          <w:tcPr>
            <w:tcW w:w="0" w:type="auto"/>
          </w:tcPr>
          <w:p w:rsidR="007D67BC" w:rsidRPr="00600897" w:rsidRDefault="007D67BC" w:rsidP="002A1A89"/>
        </w:tc>
        <w:tc>
          <w:tcPr>
            <w:tcW w:w="0" w:type="auto"/>
            <w:vAlign w:val="center"/>
          </w:tcPr>
          <w:p w:rsidR="007D67BC" w:rsidRPr="00600897" w:rsidRDefault="007D67BC" w:rsidP="002A1A89">
            <m:oMath>
              <m:r>
                <w:rPr>
                  <w:rFonts w:ascii="Cambria Math" w:hAnsi="Cambria Math"/>
                </w:rPr>
                <m:t>X</m:t>
              </m:r>
              <m:r>
                <m:rPr>
                  <m:sty m:val="p"/>
                </m:rPr>
                <w:rPr>
                  <w:rFonts w:ascii="Cambria Math" w:hAnsi="Cambria Math"/>
                </w:rPr>
                <m:t>≥0</m:t>
              </m:r>
            </m:oMath>
            <w:r w:rsidRPr="00600897">
              <w:rPr>
                <w:rFonts w:eastAsiaTheme="minorEastAsia"/>
              </w:rPr>
              <w:t xml:space="preserve"> </w:t>
            </w:r>
          </w:p>
        </w:tc>
        <w:tc>
          <w:tcPr>
            <w:tcW w:w="0" w:type="auto"/>
          </w:tcPr>
          <w:p w:rsidR="007D67BC" w:rsidRPr="00600897" w:rsidRDefault="007D67BC" w:rsidP="002A1A89"/>
        </w:tc>
      </w:tr>
    </w:tbl>
    <w:p w:rsidR="007D67BC" w:rsidRPr="00600897" w:rsidRDefault="007D67BC" w:rsidP="002A1A89">
      <w:pPr>
        <w:rPr>
          <w:highlight w:val="yellow"/>
        </w:rPr>
      </w:pPr>
    </w:p>
    <w:p w:rsidR="00C75D81" w:rsidRDefault="00ED3F8C" w:rsidP="002A1A89">
      <w:r w:rsidRPr="00600897">
        <w:t xml:space="preserve">For the simulations presented here, the exercise is to reduce 1% of total emissions, and  </w:t>
      </w:r>
      <m:oMath>
        <m:r>
          <w:rPr>
            <w:rFonts w:ascii="Cambria Math" w:hAnsi="Cambria Math"/>
          </w:rPr>
          <m:t>b</m:t>
        </m:r>
      </m:oMath>
      <w:r w:rsidRPr="00600897">
        <w:t xml:space="preserve"> is a parameter that ranges between 1.1 and </w:t>
      </w:r>
      <w:r w:rsidR="002A1A89" w:rsidRPr="00600897">
        <w:t>5.</w:t>
      </w:r>
      <w:r w:rsidR="00D444D9" w:rsidRPr="00600897">
        <w:t>13</w:t>
      </w:r>
      <w:r w:rsidRPr="00600897">
        <w:t>%.</w:t>
      </w:r>
      <w:r w:rsidR="002A1A89" w:rsidRPr="00600897">
        <w:t xml:space="preserve"> It’s worth nothing, that if emissions reduction goal is set as 1% reduction, and we do not allow final demand falls more than exactly 1%, the solution is meaningless, i.e., all sectors needs to be reduce by 1%. By its turn, the upper bound is the percentage change in livestock and fisheries when the second economic restriction is not imposed.</w:t>
      </w:r>
      <w:r w:rsidRPr="00600897">
        <w:t xml:space="preserve"> </w:t>
      </w:r>
    </w:p>
    <w:p w:rsidR="00297A0E" w:rsidRPr="00600897" w:rsidRDefault="00297A0E" w:rsidP="002A1A89"/>
    <w:p w:rsidR="00D25135" w:rsidRPr="00600897" w:rsidRDefault="00600897" w:rsidP="00600897">
      <w:pPr>
        <w:pStyle w:val="Heading2"/>
      </w:pPr>
      <w:r w:rsidRPr="00600897">
        <w:t xml:space="preserve"> </w:t>
      </w:r>
      <w:r w:rsidR="00D25135" w:rsidRPr="00600897">
        <w:t>Database</w:t>
      </w:r>
    </w:p>
    <w:p w:rsidR="00222E2E" w:rsidRPr="00600897" w:rsidRDefault="00222E2E" w:rsidP="002A1A89">
      <w:r w:rsidRPr="00600897">
        <w:t xml:space="preserve">The input-output matrix was estimated based on the Tables of Resources and Uses of Brazilian Institute of Geography and Statistics (IBGE) for the year 2009, according to the procedures described in </w:t>
      </w:r>
      <w:proofErr w:type="spellStart"/>
      <w:r w:rsidRPr="00600897">
        <w:t>Guilhoto</w:t>
      </w:r>
      <w:proofErr w:type="spellEnd"/>
      <w:r w:rsidRPr="00600897">
        <w:t xml:space="preserve"> and </w:t>
      </w:r>
      <w:proofErr w:type="spellStart"/>
      <w:r w:rsidRPr="00600897">
        <w:t>Sesso</w:t>
      </w:r>
      <w:proofErr w:type="spellEnd"/>
      <w:r w:rsidRPr="00600897">
        <w:t xml:space="preserve"> </w:t>
      </w:r>
      <w:proofErr w:type="spellStart"/>
      <w:r w:rsidRPr="00600897">
        <w:t>Filho</w:t>
      </w:r>
      <w:proofErr w:type="spellEnd"/>
      <w:r w:rsidRPr="00600897">
        <w:t xml:space="preserve"> (2005) and hypothesis of "industry-based" technology (Miller and Blair, 2009).</w:t>
      </w:r>
      <w:r w:rsidR="00913093" w:rsidRPr="00600897">
        <w:t xml:space="preserve"> We also use data from the World Input-Output Database (WIOD) to do some exploratory analysis. </w:t>
      </w:r>
    </w:p>
    <w:p w:rsidR="00222E2E" w:rsidRPr="00600897" w:rsidRDefault="00222E2E" w:rsidP="002A1A89">
      <w:r w:rsidRPr="00600897">
        <w:t>To construct the emissions vector, the follow gases were taken into account: carbon dioxide (CO</w:t>
      </w:r>
      <w:r w:rsidRPr="00600897">
        <w:rPr>
          <w:vertAlign w:val="subscript"/>
        </w:rPr>
        <w:t>2</w:t>
      </w:r>
      <w:r w:rsidRPr="00600897">
        <w:t>), methane (CH</w:t>
      </w:r>
      <w:r w:rsidRPr="00600897">
        <w:rPr>
          <w:vertAlign w:val="subscript"/>
        </w:rPr>
        <w:t>4</w:t>
      </w:r>
      <w:r w:rsidRPr="00600897">
        <w:t>) and nitrous oxide (N</w:t>
      </w:r>
      <w:r w:rsidRPr="00600897">
        <w:rPr>
          <w:vertAlign w:val="subscript"/>
        </w:rPr>
        <w:t>2</w:t>
      </w:r>
      <w:r w:rsidRPr="00600897">
        <w:t xml:space="preserve">O) measured in carbon equivalents. </w:t>
      </w:r>
      <w:r w:rsidRPr="00EB6943">
        <w:rPr>
          <w:lang w:val="pt-BR"/>
        </w:rPr>
        <w:t xml:space="preserve">The data was from </w:t>
      </w:r>
      <w:r w:rsidRPr="00EB6943">
        <w:rPr>
          <w:i/>
          <w:lang w:val="pt-BR"/>
        </w:rPr>
        <w:t>Estimativas anuais de emissões de gases do efeito estufa no Brasil</w:t>
      </w:r>
      <w:r w:rsidRPr="00600897">
        <w:rPr>
          <w:rStyle w:val="FootnoteReference"/>
        </w:rPr>
        <w:footnoteReference w:id="5"/>
      </w:r>
      <w:r w:rsidRPr="00EB6943">
        <w:rPr>
          <w:lang w:val="pt-BR"/>
        </w:rPr>
        <w:t xml:space="preserve"> (MCTI, 2013). </w:t>
      </w:r>
      <w:r w:rsidRPr="00600897">
        <w:t>These pollutants together constitute the so-called greenhouse gases or GHG, which contribute directly to global warming.</w:t>
      </w:r>
    </w:p>
    <w:p w:rsidR="00B93025" w:rsidRPr="00600897" w:rsidRDefault="00FD6869" w:rsidP="002A1A89">
      <w:r w:rsidRPr="00600897">
        <w:t xml:space="preserve">The next section presents an exploratory analysis of the GHG emission in 2009, at </w:t>
      </w:r>
      <w:r w:rsidR="00C41186" w:rsidRPr="00600897">
        <w:t>global level, a time-series of B</w:t>
      </w:r>
      <w:r w:rsidRPr="00600897">
        <w:t xml:space="preserve">razilian </w:t>
      </w:r>
      <w:r w:rsidR="00C41186" w:rsidRPr="00600897">
        <w:t xml:space="preserve">GHG </w:t>
      </w:r>
      <w:r w:rsidRPr="00600897">
        <w:t>emissions and the emissions multipliers</w:t>
      </w:r>
      <w:r w:rsidR="00B93025" w:rsidRPr="00600897">
        <w:t xml:space="preserve"> by sector</w:t>
      </w:r>
      <w:r w:rsidRPr="00600897">
        <w:t xml:space="preserve">. </w:t>
      </w:r>
    </w:p>
    <w:p w:rsidR="00660269" w:rsidRPr="00600897" w:rsidRDefault="00E63163" w:rsidP="002A1A89">
      <w:pPr>
        <w:pStyle w:val="Heading1"/>
      </w:pPr>
      <w:r w:rsidRPr="00600897">
        <w:lastRenderedPageBreak/>
        <w:t>Exploratory Analysis of the Emissions</w:t>
      </w:r>
    </w:p>
    <w:p w:rsidR="00EB6943" w:rsidRPr="00600897" w:rsidRDefault="00EB6943" w:rsidP="00EB6943">
      <w:pPr>
        <w:pStyle w:val="Style1"/>
      </w:pPr>
    </w:p>
    <w:p w:rsidR="006E2404" w:rsidRPr="00600897" w:rsidRDefault="006E2404" w:rsidP="002A1A89">
      <w:r w:rsidRPr="00600897">
        <w:t xml:space="preserve">In 2009, </w:t>
      </w:r>
      <w:r w:rsidR="00913093" w:rsidRPr="00600897">
        <w:t xml:space="preserve">according to the WIOD, </w:t>
      </w:r>
      <w:r w:rsidRPr="00600897">
        <w:t>it was emitted to a</w:t>
      </w:r>
      <w:r w:rsidR="003A3EC3" w:rsidRPr="00600897">
        <w:t xml:space="preserve">tmosphere 34,320 millions </w:t>
      </w:r>
      <w:r w:rsidRPr="00600897">
        <w:t>of GHG</w:t>
      </w:r>
      <w:r w:rsidR="003A3EC3" w:rsidRPr="00600897">
        <w:t xml:space="preserve"> (t/CO</w:t>
      </w:r>
      <w:r w:rsidR="003A3EC3" w:rsidRPr="00600897">
        <w:rPr>
          <w:vertAlign w:val="subscript"/>
        </w:rPr>
        <w:t>2</w:t>
      </w:r>
      <w:r w:rsidR="003A3EC3" w:rsidRPr="00600897">
        <w:t xml:space="preserve"> eq</w:t>
      </w:r>
      <w:r w:rsidRPr="00600897">
        <w:t>.</w:t>
      </w:r>
      <w:r w:rsidR="003A3EC3" w:rsidRPr="00600897">
        <w:t>)</w:t>
      </w:r>
      <w:r w:rsidRPr="00600897">
        <w:t xml:space="preserve"> The major contribution of this emissions was </w:t>
      </w:r>
      <w:r w:rsidR="004C2CE7" w:rsidRPr="00600897">
        <w:t xml:space="preserve">made by </w:t>
      </w:r>
      <w:r w:rsidRPr="00600897">
        <w:t xml:space="preserve">China, which responded for 24.02% of </w:t>
      </w:r>
      <w:r w:rsidR="00B93025" w:rsidRPr="00600897">
        <w:t xml:space="preserve">GHG </w:t>
      </w:r>
      <w:r w:rsidRPr="00600897">
        <w:t xml:space="preserve">global emissions, followed by the U.S. (14.98%), India (6.75%) and Russia (5.8%). Brazil, at the same year, was responsible for 2.39%. Restricting our analysis to Brazil, </w:t>
      </w:r>
      <w:r w:rsidR="00EA2813">
        <w:fldChar w:fldCharType="begin"/>
      </w:r>
      <w:r w:rsidR="001E7E75">
        <w:instrText xml:space="preserve"> REF _Ref422308334 \h </w:instrText>
      </w:r>
      <w:r w:rsidR="00EA2813">
        <w:fldChar w:fldCharType="separate"/>
      </w:r>
      <w:r w:rsidR="001E7E75">
        <w:t xml:space="preserve">Figure </w:t>
      </w:r>
      <w:r w:rsidR="00EA2813">
        <w:fldChar w:fldCharType="end"/>
      </w:r>
      <w:r w:rsidR="001E7E75">
        <w:t xml:space="preserve">1 </w:t>
      </w:r>
      <w:r w:rsidRPr="00600897">
        <w:t>shows a time series of GHG emissions and economic performance measured in terms of Gross Value of Production (GVP).</w:t>
      </w:r>
    </w:p>
    <w:p w:rsidR="003F01EC" w:rsidRPr="00600897" w:rsidRDefault="00237974" w:rsidP="002A1A89">
      <w:r w:rsidRPr="00600897">
        <w:t>It is easy to see an upward trend of Brazilian GHG emissions</w:t>
      </w:r>
      <w:r w:rsidR="00C41186" w:rsidRPr="00600897">
        <w:t xml:space="preserve"> until</w:t>
      </w:r>
      <w:r w:rsidRPr="00600897">
        <w:t xml:space="preserve"> 2008, with a slight drop in 2006. The reduction in 2009 may have been caused, among other factors, by the international crisis that conseque</w:t>
      </w:r>
      <w:r w:rsidR="005C499E" w:rsidRPr="00600897">
        <w:t>ntly</w:t>
      </w:r>
      <w:r w:rsidRPr="00600897">
        <w:t xml:space="preserve"> slowed the global economic performance, including Brazil </w:t>
      </w:r>
      <w:r w:rsidR="00C41186" w:rsidRPr="00600897">
        <w:t>as well</w:t>
      </w:r>
      <w:r w:rsidRPr="00600897">
        <w:t>. It is intere</w:t>
      </w:r>
      <w:r w:rsidR="00B93025" w:rsidRPr="00600897">
        <w:t>sting to note that the GHG emissions growth</w:t>
      </w:r>
      <w:r w:rsidRPr="00600897">
        <w:t xml:space="preserve"> in almost all the analyzed period (1995-2009) is not necessarily reflection of increased Brazilian production, which only shows an increasing trend from the early 2000s. Thus, </w:t>
      </w:r>
      <w:r w:rsidR="001E7E75">
        <w:t>Figure 1</w:t>
      </w:r>
      <w:r w:rsidR="00EB6943">
        <w:t xml:space="preserve"> </w:t>
      </w:r>
      <w:r w:rsidRPr="00600897">
        <w:t>only shows a clear correlation between the two curves (</w:t>
      </w:r>
      <w:r w:rsidR="00C41186" w:rsidRPr="00600897">
        <w:t xml:space="preserve">GHG </w:t>
      </w:r>
      <w:r w:rsidRPr="00600897">
        <w:t>emissions and GVP) in 2008 and 2009.</w:t>
      </w:r>
    </w:p>
    <w:p w:rsidR="00DC1711" w:rsidRPr="00600897" w:rsidRDefault="00DC1711" w:rsidP="002A1A89">
      <w:r w:rsidRPr="00600897">
        <w:t>The Brazilian economy has undergone profound structural changes in the 1990s, which explains this production drop in the beginning of the series. Among these changes, we can highlight the trade and financial liberalizati</w:t>
      </w:r>
      <w:r w:rsidR="00CB7421" w:rsidRPr="00600897">
        <w:t xml:space="preserve">on in the early 1990s, prices </w:t>
      </w:r>
      <w:r w:rsidRPr="00600897">
        <w:t>stabilization in 1994, pr</w:t>
      </w:r>
      <w:r w:rsidR="00CB7421" w:rsidRPr="00600897">
        <w:t xml:space="preserve">ivatization of public companies </w:t>
      </w:r>
      <w:r w:rsidRPr="00600897">
        <w:t>and the new macroeconomic policy regime adopted at the end of the decade, mainly due to a currency crisis (</w:t>
      </w:r>
      <w:proofErr w:type="spellStart"/>
      <w:r w:rsidRPr="00600897">
        <w:t>Moreira</w:t>
      </w:r>
      <w:proofErr w:type="spellEnd"/>
      <w:r w:rsidRPr="00600897">
        <w:t xml:space="preserve"> and </w:t>
      </w:r>
      <w:proofErr w:type="spellStart"/>
      <w:r w:rsidRPr="00600897">
        <w:t>Ribeiro</w:t>
      </w:r>
      <w:proofErr w:type="spellEnd"/>
      <w:r w:rsidRPr="00600897">
        <w:t xml:space="preserve">, 2013). </w:t>
      </w:r>
    </w:p>
    <w:p w:rsidR="00F63E2D" w:rsidRPr="00600897" w:rsidRDefault="00F63E2D" w:rsidP="002A1A89">
      <w:r w:rsidRPr="00600897">
        <w:rPr>
          <w:noProof/>
          <w:lang w:val="pt-BR" w:eastAsia="pt-BR"/>
        </w:rPr>
        <w:drawing>
          <wp:inline distT="0" distB="0" distL="0" distR="0">
            <wp:extent cx="5661696" cy="287274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668351" cy="2876117"/>
                    </a:xfrm>
                    <a:prstGeom prst="rect">
                      <a:avLst/>
                    </a:prstGeom>
                    <a:noFill/>
                    <a:ln w="9525">
                      <a:noFill/>
                      <a:miter lim="800000"/>
                      <a:headEnd/>
                      <a:tailEnd/>
                    </a:ln>
                  </pic:spPr>
                </pic:pic>
              </a:graphicData>
            </a:graphic>
          </wp:inline>
        </w:drawing>
      </w:r>
    </w:p>
    <w:p w:rsidR="00F63E2D" w:rsidRPr="00600897" w:rsidRDefault="00EB6943" w:rsidP="00EB6943">
      <w:pPr>
        <w:pStyle w:val="Style1"/>
      </w:pPr>
      <w:bookmarkStart w:id="1" w:name="_Ref422308334"/>
      <w:r>
        <w:t>Figure</w:t>
      </w:r>
      <w:r w:rsidR="00227A49">
        <w:t xml:space="preserve"> </w:t>
      </w:r>
      <w:r w:rsidR="00297A0E">
        <w:t>1</w:t>
      </w:r>
      <w:bookmarkEnd w:id="1"/>
      <w:r>
        <w:t>:</w:t>
      </w:r>
      <w:r w:rsidR="003F01EC" w:rsidRPr="00600897">
        <w:t xml:space="preserve"> Brazilian greenhouse emissions vs</w:t>
      </w:r>
      <w:r w:rsidR="00DB5ADE" w:rsidRPr="00600897">
        <w:t>.</w:t>
      </w:r>
      <w:r w:rsidR="003F01EC" w:rsidRPr="00600897">
        <w:t xml:space="preserve"> gross</w:t>
      </w:r>
      <w:r w:rsidR="00027135" w:rsidRPr="00600897">
        <w:t xml:space="preserve"> value of</w:t>
      </w:r>
      <w:r w:rsidR="003F01EC" w:rsidRPr="00600897">
        <w:t xml:space="preserve"> production</w:t>
      </w:r>
    </w:p>
    <w:p w:rsidR="00012E4B" w:rsidRPr="00297A0E" w:rsidRDefault="00012E4B" w:rsidP="00EB6943">
      <w:pPr>
        <w:pStyle w:val="Style1"/>
        <w:rPr>
          <w:sz w:val="20"/>
        </w:rPr>
      </w:pPr>
      <w:r w:rsidRPr="00297A0E">
        <w:rPr>
          <w:sz w:val="20"/>
        </w:rPr>
        <w:t xml:space="preserve">Source: Own elaboration based on </w:t>
      </w:r>
      <w:proofErr w:type="spellStart"/>
      <w:r w:rsidRPr="00297A0E">
        <w:rPr>
          <w:sz w:val="20"/>
        </w:rPr>
        <w:t>Timmer</w:t>
      </w:r>
      <w:proofErr w:type="spellEnd"/>
      <w:r w:rsidRPr="00297A0E">
        <w:rPr>
          <w:sz w:val="20"/>
        </w:rPr>
        <w:t xml:space="preserve"> (2012).</w:t>
      </w:r>
    </w:p>
    <w:p w:rsidR="00EB6943" w:rsidRPr="00600897" w:rsidRDefault="00EB6943" w:rsidP="00EB6943">
      <w:pPr>
        <w:pStyle w:val="Style1"/>
      </w:pPr>
    </w:p>
    <w:p w:rsidR="00913093" w:rsidRPr="00600897" w:rsidRDefault="00CB7421" w:rsidP="002A1A89">
      <w:r w:rsidRPr="00600897">
        <w:t xml:space="preserve">Another relevant information brought by </w:t>
      </w:r>
      <w:r w:rsidR="00EA2813">
        <w:fldChar w:fldCharType="begin"/>
      </w:r>
      <w:r w:rsidR="001E7E75">
        <w:instrText xml:space="preserve"> REF _Ref422308334 \h </w:instrText>
      </w:r>
      <w:r w:rsidR="00EA2813">
        <w:fldChar w:fldCharType="separate"/>
      </w:r>
      <w:r w:rsidR="001E7E75">
        <w:t xml:space="preserve">Figure </w:t>
      </w:r>
      <w:r w:rsidR="00EA2813">
        <w:fldChar w:fldCharType="end"/>
      </w:r>
      <w:r w:rsidR="001E7E75">
        <w:t xml:space="preserve">1 </w:t>
      </w:r>
      <w:r w:rsidRPr="00600897">
        <w:t>is the contribution of GHG emissions according to the economic sector.</w:t>
      </w:r>
      <w:r w:rsidR="00012F55" w:rsidRPr="00600897">
        <w:t xml:space="preserve"> We note clearly that Agriculture, Hunting, Forestry and Fishing is the main generator of GHG, with 62.5% average contribution in the period, followed by Industries (20.8%) and Services (16.8%). </w:t>
      </w:r>
    </w:p>
    <w:p w:rsidR="00012F55" w:rsidRPr="00600897" w:rsidRDefault="00913093" w:rsidP="002A1A89">
      <w:r w:rsidRPr="00600897">
        <w:t xml:space="preserve">If we take in account the IO Brazilian matrix for the 2009 we have different magnitudes of GHG emissions by sector, but the same structure, i.e.: Agriculture (53.5%), Industries (28.7%) and Services (17.8%). It is important to highlight that the Agriculture´s production </w:t>
      </w:r>
      <w:r w:rsidRPr="00600897">
        <w:lastRenderedPageBreak/>
        <w:t xml:space="preserve">responded per only 5% of the total Brazilian production in the same year. </w:t>
      </w:r>
      <w:r w:rsidR="00012F55" w:rsidRPr="00600897">
        <w:t>The burnt to create pasture for livestock developme</w:t>
      </w:r>
      <w:r w:rsidR="00AA1881" w:rsidRPr="00600897">
        <w:t xml:space="preserve">nt, methane gas emitted by the </w:t>
      </w:r>
      <w:r w:rsidR="00012F55" w:rsidRPr="00600897">
        <w:t xml:space="preserve">cattle´s physiological process and animal waste, are among the factors leading to this industry as the largest source of GHG emissions </w:t>
      </w:r>
      <w:r w:rsidR="009760C4">
        <w:t xml:space="preserve">(Bustamante et al., 2012). </w:t>
      </w:r>
    </w:p>
    <w:p w:rsidR="004C2CE7" w:rsidRPr="00600897" w:rsidRDefault="00504E5C" w:rsidP="002A1A89">
      <w:r w:rsidRPr="00600897">
        <w:t xml:space="preserve">Table 1 shows on a </w:t>
      </w:r>
      <w:r w:rsidR="004C2CE7" w:rsidRPr="00600897">
        <w:t>disaggregate form, from the</w:t>
      </w:r>
      <w:r w:rsidR="006E09C5" w:rsidRPr="00600897">
        <w:t xml:space="preserve"> B</w:t>
      </w:r>
      <w:r w:rsidRPr="00600897">
        <w:t xml:space="preserve">razilian economic sectors in 2009, GHG emissions, GVP and the direct, indirect and total multiplier effects of emissions. The sectors </w:t>
      </w:r>
      <w:r w:rsidR="00AD3CFA" w:rsidRPr="00600897">
        <w:t>Livestock and fishing, Other mining and quarrying, Food and beverage, Cement, Manufacture of steel and derivatives and Transport, storage and mail</w:t>
      </w:r>
      <w:r w:rsidR="004C2CE7" w:rsidRPr="00600897">
        <w:t>, as we can see,</w:t>
      </w:r>
      <w:r w:rsidRPr="00600897">
        <w:t xml:space="preserve"> are more intensives in GHG emissions. </w:t>
      </w:r>
    </w:p>
    <w:p w:rsidR="004C2CE7" w:rsidRPr="00600897" w:rsidRDefault="004C2CE7" w:rsidP="002A1A89">
      <w:r w:rsidRPr="00600897">
        <w:br w:type="page"/>
      </w:r>
    </w:p>
    <w:p w:rsidR="00F63E2D" w:rsidRPr="00600897" w:rsidRDefault="006E5812" w:rsidP="00600897">
      <w:pPr>
        <w:jc w:val="center"/>
      </w:pPr>
      <w:r w:rsidRPr="00600897">
        <w:lastRenderedPageBreak/>
        <w:t>Table 1: GHG emissions, GVP and emissions coefficient - 2009</w:t>
      </w:r>
    </w:p>
    <w:p w:rsidR="004C2CE7" w:rsidRPr="00600897" w:rsidRDefault="004C2CE7" w:rsidP="00600897">
      <w:pPr>
        <w:jc w:val="center"/>
      </w:pPr>
      <w:r w:rsidRPr="00600897">
        <w:rPr>
          <w:noProof/>
          <w:lang w:val="pt-BR" w:eastAsia="pt-BR"/>
        </w:rPr>
        <w:drawing>
          <wp:inline distT="0" distB="0" distL="0" distR="0">
            <wp:extent cx="4617603" cy="7299298"/>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4619721" cy="7302645"/>
                    </a:xfrm>
                    <a:prstGeom prst="rect">
                      <a:avLst/>
                    </a:prstGeom>
                    <a:noFill/>
                    <a:ln w="9525">
                      <a:noFill/>
                      <a:miter lim="800000"/>
                      <a:headEnd/>
                      <a:tailEnd/>
                    </a:ln>
                  </pic:spPr>
                </pic:pic>
              </a:graphicData>
            </a:graphic>
          </wp:inline>
        </w:drawing>
      </w:r>
    </w:p>
    <w:p w:rsidR="003F01EC" w:rsidRPr="00297A0E" w:rsidRDefault="006E5812" w:rsidP="00600897">
      <w:pPr>
        <w:jc w:val="center"/>
        <w:rPr>
          <w:sz w:val="20"/>
        </w:rPr>
      </w:pPr>
      <w:r w:rsidRPr="00297A0E">
        <w:rPr>
          <w:sz w:val="20"/>
        </w:rPr>
        <w:t xml:space="preserve">Source: Own elaboration based on </w:t>
      </w:r>
      <w:r w:rsidR="00AD3CFA" w:rsidRPr="00297A0E">
        <w:rPr>
          <w:sz w:val="20"/>
        </w:rPr>
        <w:t>IO Brazilian matrix - 2009</w:t>
      </w:r>
      <w:r w:rsidR="00012E4B" w:rsidRPr="00297A0E">
        <w:rPr>
          <w:sz w:val="20"/>
        </w:rPr>
        <w:t>.</w:t>
      </w:r>
    </w:p>
    <w:p w:rsidR="004C2CE7" w:rsidRPr="00600897" w:rsidRDefault="004C2CE7" w:rsidP="002A1A89">
      <w:r w:rsidRPr="00600897">
        <w:t>Livestock and fishing, for instance, for each U$ 1,000 variation of their demand, the whole economy needs to produce 4.61 tons/CO2 eq. for meet this demand, which 4.13 is created directly and 0.48 indirectly. The largest indirect effect, 1.01, is from the Food and beverage industry, justified because this industry is a major demanders of agricultural and livestock commodities.</w:t>
      </w:r>
    </w:p>
    <w:p w:rsidR="003F01EC" w:rsidRPr="00600897" w:rsidRDefault="004C2CE7" w:rsidP="002A1A89">
      <w:r w:rsidRPr="00600897">
        <w:lastRenderedPageBreak/>
        <w:t>The emissions are very concentrated in Brazil, once eight (in a total of 56) sectors together accounted for 90.2</w:t>
      </w:r>
      <w:r w:rsidRPr="00600897">
        <w:rPr>
          <w:rFonts w:eastAsia="Times New Roman"/>
          <w:lang w:eastAsia="pt-BR"/>
        </w:rPr>
        <w:t>% of total GHG emissions in 2009. These sectors are:</w:t>
      </w:r>
      <w:r w:rsidRPr="00600897">
        <w:t xml:space="preserve"> Livestock and fishing (50.4%), Transport, storage and mail (17.1%), Manufacture of steel and derivatives (7.1%), Oil refining and coke (4%), Cement (3.5%), Agriculture, forestry, extractive (3.2%), Other mining and quarrying (2.6%) and Oil and natural gas (2.4%).</w:t>
      </w:r>
    </w:p>
    <w:p w:rsidR="004C2CE7" w:rsidRPr="00600897" w:rsidRDefault="004C2CE7" w:rsidP="002A1A89"/>
    <w:p w:rsidR="00660269" w:rsidRPr="00600897" w:rsidRDefault="00660269" w:rsidP="002A1A89">
      <w:pPr>
        <w:pStyle w:val="Heading1"/>
      </w:pPr>
      <w:r w:rsidRPr="00600897">
        <w:t>Resul</w:t>
      </w:r>
      <w:r w:rsidR="00E63163" w:rsidRPr="00600897">
        <w:t>ts and Discussion</w:t>
      </w:r>
    </w:p>
    <w:p w:rsidR="00973865" w:rsidRPr="00600897" w:rsidRDefault="009E5842" w:rsidP="002A1A89">
      <w:r w:rsidRPr="00600897">
        <w:t xml:space="preserve">The first simulation held here is the </w:t>
      </w:r>
      <w:r w:rsidR="001E7E75" w:rsidRPr="00600897">
        <w:t>simplest</w:t>
      </w:r>
      <w:r w:rsidRPr="00600897">
        <w:t xml:space="preserve"> one. </w:t>
      </w:r>
      <w:r w:rsidR="00F00B7F" w:rsidRPr="00600897">
        <w:t>The main ide</w:t>
      </w:r>
      <w:r w:rsidR="00973865" w:rsidRPr="00600897">
        <w:t>a is answer the follow</w:t>
      </w:r>
      <w:r w:rsidR="001E7E75">
        <w:t>ing</w:t>
      </w:r>
      <w:r w:rsidR="00973865" w:rsidRPr="00600897">
        <w:t xml:space="preserve"> question:</w:t>
      </w:r>
      <w:r w:rsidR="00F00B7F" w:rsidRPr="00600897">
        <w:t xml:space="preserve"> </w:t>
      </w:r>
      <w:r w:rsidRPr="00600897">
        <w:t xml:space="preserve">Which is the necessary reduction on </w:t>
      </w:r>
      <w:r w:rsidR="002C32D2" w:rsidRPr="00600897">
        <w:t xml:space="preserve">the </w:t>
      </w:r>
      <w:r w:rsidRPr="00600897">
        <w:t xml:space="preserve">total </w:t>
      </w:r>
      <w:r w:rsidR="00973865" w:rsidRPr="00600897">
        <w:t xml:space="preserve">Brazilian </w:t>
      </w:r>
      <w:r w:rsidRPr="00600897">
        <w:t xml:space="preserve">output to achieve an emission target? In this regard, the </w:t>
      </w:r>
      <w:r w:rsidR="00F00B7F" w:rsidRPr="00600897">
        <w:t>problem</w:t>
      </w:r>
      <w:r w:rsidRPr="00600897">
        <w:t xml:space="preserve"> is to maximize </w:t>
      </w:r>
      <w:r w:rsidR="00973865" w:rsidRPr="00600897">
        <w:t xml:space="preserve">the </w:t>
      </w:r>
      <w:r w:rsidRPr="00600897">
        <w:t xml:space="preserve">Brazilian production subject to an environmental constraint </w:t>
      </w:r>
      <w:r w:rsidR="001E7E75" w:rsidRPr="00600897">
        <w:t>and</w:t>
      </w:r>
      <w:r w:rsidRPr="00600897">
        <w:t xml:space="preserve"> an economic constraint. </w:t>
      </w:r>
    </w:p>
    <w:p w:rsidR="009E5842" w:rsidRPr="00272FCE" w:rsidRDefault="00973865" w:rsidP="002A1A89">
      <w:r w:rsidRPr="00600897">
        <w:t>According to the solution of the model, i</w:t>
      </w:r>
      <w:r w:rsidR="009E5842" w:rsidRPr="00600897">
        <w:t xml:space="preserve">n a general perspective, for each 1% of GHG emissions' reduction leads a decrease of 0.06% in the total output. </w:t>
      </w:r>
      <w:r w:rsidRPr="00600897">
        <w:t>A</w:t>
      </w:r>
      <w:r w:rsidR="009E5842" w:rsidRPr="00600897">
        <w:t xml:space="preserve"> reduction of 5% in the Brazilian GHG emissions means a </w:t>
      </w:r>
      <w:r w:rsidR="009E5842" w:rsidRPr="00272FCE">
        <w:t xml:space="preserve">drop of 0.31% on total output and so on. </w:t>
      </w:r>
    </w:p>
    <w:p w:rsidR="009E5842" w:rsidRPr="00272FCE" w:rsidRDefault="009E5842" w:rsidP="002A1A89">
      <w:r w:rsidRPr="00272FCE">
        <w:t>This proportional behavior between production and emissions can be explained because of the linearity hypothesis</w:t>
      </w:r>
      <w:r w:rsidR="00F856F2" w:rsidRPr="00272FCE">
        <w:t xml:space="preserve"> of the IO model. </w:t>
      </w:r>
      <w:r w:rsidR="00272FCE" w:rsidRPr="00272FCE">
        <w:t xml:space="preserve">Without any restrictions for final demand, production </w:t>
      </w:r>
      <w:r w:rsidRPr="00272FCE">
        <w:t xml:space="preserve">major decrease (-1.95%) is from the Livestock and fishing production, followed by Other mining and quarrying (-0.13%), Food and beverage, Agrochemicals and </w:t>
      </w:r>
      <w:r w:rsidR="00C868C1">
        <w:t>A</w:t>
      </w:r>
      <w:r w:rsidR="00C868C1" w:rsidRPr="00272FCE">
        <w:t>griculture</w:t>
      </w:r>
      <w:r w:rsidRPr="00272FCE">
        <w:t xml:space="preserve">, forestry, extractive (-0.11%) and Chemicals (-0.10%). Most of the </w:t>
      </w:r>
      <w:r w:rsidR="007F3AA9" w:rsidRPr="00272FCE">
        <w:t>sectors, which had a small reduction,</w:t>
      </w:r>
      <w:r w:rsidRPr="00272FCE">
        <w:t xml:space="preserve"> are related to the service segment, which are low emission intensive</w:t>
      </w:r>
      <w:r w:rsidR="00973865" w:rsidRPr="00272FCE">
        <w:t xml:space="preserve"> (see Table 1)</w:t>
      </w:r>
      <w:r w:rsidRPr="00272FCE">
        <w:t>.</w:t>
      </w:r>
    </w:p>
    <w:p w:rsidR="009E5842" w:rsidRPr="00600897" w:rsidRDefault="009E5842" w:rsidP="002A1A89">
      <w:r w:rsidRPr="00600897">
        <w:t xml:space="preserve">On the other hand, the </w:t>
      </w:r>
      <w:r w:rsidR="007F3AA9" w:rsidRPr="00600897">
        <w:t>sectors, which presented the highest output reduction,</w:t>
      </w:r>
      <w:r w:rsidRPr="00600897">
        <w:t xml:space="preserve"> are the same sectors that most produce GHG emission</w:t>
      </w:r>
      <w:r w:rsidR="00973865" w:rsidRPr="00600897">
        <w:t xml:space="preserve"> (see Table 1)</w:t>
      </w:r>
      <w:r w:rsidRPr="00600897">
        <w:t xml:space="preserve">. Livestock and fishing, for instance, was responsible for 50.4% of the total Brazilian GHG emission in 2009, as we could see in the exploratory analysis. </w:t>
      </w:r>
    </w:p>
    <w:p w:rsidR="00617912" w:rsidRDefault="00973865" w:rsidP="00617912">
      <w:r w:rsidRPr="00600897">
        <w:t>The result of this first maximization problem shows that only a reduction on the Livestock and fishing's final demand is enough to achieve the emission target</w:t>
      </w:r>
      <w:r w:rsidR="00617912">
        <w:t xml:space="preserve"> of 1% emissions reduction</w:t>
      </w:r>
      <w:r w:rsidRPr="00600897">
        <w:t xml:space="preserve">. This is an expected result because the linear programming model will constraint first the sector which most emitted. </w:t>
      </w:r>
    </w:p>
    <w:p w:rsidR="00973865" w:rsidRDefault="00973865" w:rsidP="002A1A89">
      <w:r w:rsidRPr="00600897">
        <w:t xml:space="preserve">In our </w:t>
      </w:r>
      <w:r w:rsidR="00617912">
        <w:t xml:space="preserve">first linear programming </w:t>
      </w:r>
      <w:r w:rsidRPr="00600897">
        <w:t>problem, if the final demand of the Livestock and fishing decrease 5.14% means achieve the established target.</w:t>
      </w:r>
      <w:r w:rsidR="00617912">
        <w:t xml:space="preserve"> Nonetheless, from a policy perspective, this is not a feasible result for several reasons</w:t>
      </w:r>
      <w:r w:rsidR="00617912" w:rsidRPr="00600897">
        <w:t>.</w:t>
      </w:r>
      <w:r w:rsidR="00617912">
        <w:t xml:space="preserve"> First, this production is very concentrated in poor households, who relies on Livestock and fishing as main source of income</w:t>
      </w:r>
      <w:r w:rsidR="00240844">
        <w:rPr>
          <w:rStyle w:val="FootnoteReference"/>
        </w:rPr>
        <w:footnoteReference w:id="6"/>
      </w:r>
      <w:r w:rsidR="00617912">
        <w:t xml:space="preserve">. Second, a policy that acts over one sector does not create incentives for other activities to invest in environmentally cleaner ways of production. </w:t>
      </w:r>
    </w:p>
    <w:p w:rsidR="00617912" w:rsidRDefault="00617912" w:rsidP="00617912">
      <w:r>
        <w:t xml:space="preserve">In this sense, the second exercise explores the possibility of additional constrains, restricting not only emissions, but also the maximum allowed variation on sectorial final demand. The main results are summarizes in </w:t>
      </w:r>
      <w:r w:rsidR="007F3AA9">
        <w:t>Figure 3</w:t>
      </w:r>
      <w:r>
        <w:t xml:space="preserve"> witch</w:t>
      </w:r>
      <w:r w:rsidR="007F3AA9">
        <w:t xml:space="preserve"> shows on the horizontal axis the structure of simulation</w:t>
      </w:r>
      <w:r>
        <w:t xml:space="preserve">, i.e., </w:t>
      </w:r>
      <w:r w:rsidR="007F3AA9">
        <w:t xml:space="preserve">the maximum percentage reduction allowed in final demand and on vertical axis we have </w:t>
      </w:r>
      <w:r w:rsidR="00455F45">
        <w:t xml:space="preserve">the impact/reaction, that is </w:t>
      </w:r>
      <w:r w:rsidR="007F3AA9">
        <w:t>the percentage change in final demand and in production</w:t>
      </w:r>
      <w:r w:rsidR="00455F45">
        <w:t xml:space="preserve">. We first observe that the impact/reaction upon final demand is consistently above </w:t>
      </w:r>
      <w:r w:rsidR="00455F45">
        <w:lastRenderedPageBreak/>
        <w:t>the impact/reaction of production. As far as we create degree</w:t>
      </w:r>
      <w:r>
        <w:t>s</w:t>
      </w:r>
      <w:r w:rsidR="00455F45">
        <w:t xml:space="preserve"> of freedom, that is increase the maximum amount of the reduction in final demand</w:t>
      </w:r>
      <w:r w:rsidR="00C868C1">
        <w:t>,</w:t>
      </w:r>
      <w:r w:rsidR="00455F45">
        <w:t xml:space="preserve"> we observe a continuous </w:t>
      </w:r>
      <w:r w:rsidR="0050107C">
        <w:t xml:space="preserve">increase in the impact and a convergence to the same degree of impact. It is interesting to note that the impact </w:t>
      </w:r>
      <w:r>
        <w:t xml:space="preserve">in the economy as a whole decreases, even if in all simulations emissions target reduction is reached at 1% reduction. </w:t>
      </w:r>
    </w:p>
    <w:p w:rsidR="00EB6943" w:rsidRPr="00600897" w:rsidRDefault="00EB6943" w:rsidP="00BA7419">
      <w:pPr>
        <w:jc w:val="center"/>
      </w:pPr>
      <w:r>
        <w:rPr>
          <w:noProof/>
          <w:lang w:val="pt-BR" w:eastAsia="pt-BR"/>
        </w:rPr>
        <w:drawing>
          <wp:inline distT="0" distB="0" distL="0" distR="0">
            <wp:extent cx="5036820" cy="303276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B6943" w:rsidRPr="00600897" w:rsidRDefault="00EB6943" w:rsidP="00EB6943">
      <w:pPr>
        <w:pStyle w:val="Style1"/>
      </w:pPr>
      <w:r>
        <w:t xml:space="preserve">Figure </w:t>
      </w:r>
      <w:r w:rsidR="00EA2813">
        <w:fldChar w:fldCharType="begin"/>
      </w:r>
      <w:r>
        <w:instrText xml:space="preserve"> SEQ Figure \* ARABIC </w:instrText>
      </w:r>
      <w:r w:rsidR="00EA2813">
        <w:fldChar w:fldCharType="separate"/>
      </w:r>
      <w:r>
        <w:rPr>
          <w:noProof/>
        </w:rPr>
        <w:t>3</w:t>
      </w:r>
      <w:r w:rsidR="00EA2813">
        <w:fldChar w:fldCharType="end"/>
      </w:r>
      <w:r>
        <w:t>:</w:t>
      </w:r>
      <w:r w:rsidRPr="00600897">
        <w:t xml:space="preserve"> </w:t>
      </w:r>
      <w:r w:rsidR="00F856F2" w:rsidRPr="00F856F2">
        <w:t>Pe</w:t>
      </w:r>
      <w:r w:rsidR="00F856F2">
        <w:t xml:space="preserve">rcentage change in final demand and </w:t>
      </w:r>
      <w:r w:rsidR="00F856F2" w:rsidRPr="00F856F2">
        <w:t>production</w:t>
      </w:r>
    </w:p>
    <w:p w:rsidR="00973865" w:rsidRPr="002C69E2" w:rsidRDefault="00BA57AC" w:rsidP="00227A49">
      <w:pPr>
        <w:pStyle w:val="Style1"/>
        <w:spacing w:after="200"/>
        <w:rPr>
          <w:sz w:val="20"/>
        </w:rPr>
      </w:pPr>
      <w:r w:rsidRPr="00BA57AC">
        <w:rPr>
          <w:sz w:val="20"/>
        </w:rPr>
        <w:t>Source: Own elaboration</w:t>
      </w:r>
    </w:p>
    <w:p w:rsidR="00617912" w:rsidRDefault="00617912" w:rsidP="00227A49">
      <w:pPr>
        <w:pStyle w:val="Style1"/>
        <w:spacing w:after="200"/>
        <w:jc w:val="both"/>
      </w:pPr>
      <w:r>
        <w:t xml:space="preserve">It is worth noticing when we allow each sector to reduce no more than 1.1% the economic impact actives the maximum of -0.60%. This value can be interpreted as an elasticity between emissions and production reduction when reaches the maximum in terms of economic losses, and several sectors share the responsibility for emissions reduction. Turns out, when we allow final demand to vary no more than 1.80% </w:t>
      </w:r>
      <w:r w:rsidRPr="00303D11">
        <w:t>marginal economic losses grow smaller</w:t>
      </w:r>
      <w:r>
        <w:t xml:space="preserve">, reaching -0,25%. </w:t>
      </w:r>
    </w:p>
    <w:p w:rsidR="00227A49" w:rsidRDefault="0050107C" w:rsidP="00227A49">
      <w:pPr>
        <w:pStyle w:val="Style1"/>
        <w:spacing w:after="200"/>
        <w:jc w:val="both"/>
      </w:pPr>
      <w:r>
        <w:t>Figures 4 present the sectorial results</w:t>
      </w:r>
      <w:r w:rsidR="00FA758D">
        <w:t xml:space="preserve"> for final demand</w:t>
      </w:r>
      <w:r>
        <w:t xml:space="preserve">. We observe that there is a high degree of concentration in terms of the reduction and it is highly sensitive to the amount of reduction allowed in the final demand. The darker colors means a high impact. At Figure </w:t>
      </w:r>
      <w:r w:rsidR="002C69E2">
        <w:t>4</w:t>
      </w:r>
      <w:r w:rsidR="00FA758D">
        <w:t>,</w:t>
      </w:r>
      <w:r>
        <w:t xml:space="preserve"> we observe that the </w:t>
      </w:r>
      <w:r w:rsidR="00FA758D">
        <w:t>black color occurred only in two</w:t>
      </w:r>
      <w:r>
        <w:t xml:space="preserve"> sectors: a) Livestock and fishing and b) Cement. </w:t>
      </w:r>
      <w:r w:rsidR="00FA758D">
        <w:t>One important feature is that this high impact occurred when the maximum variation of final demand is around 5%. We observe that there is impact upon the majority of the sector, but the two sectors mentioned earlier captures the majority of the impact</w:t>
      </w:r>
      <w:r w:rsidR="009E1AFE">
        <w:t>. For all the others simulations, we show how the shared responsibility for greenhouse gases reduction understate the impact for each sector individually.</w:t>
      </w:r>
    </w:p>
    <w:p w:rsidR="00FA758D" w:rsidRDefault="00FA758D" w:rsidP="00227A49">
      <w:pPr>
        <w:pStyle w:val="Style1"/>
        <w:spacing w:after="200"/>
        <w:jc w:val="both"/>
      </w:pPr>
      <w:r>
        <w:t xml:space="preserve">The picture presented on Figure 5 shows the impact upon emissions. We observe that there is </w:t>
      </w:r>
      <w:r w:rsidR="00415244">
        <w:t>a</w:t>
      </w:r>
      <w:r>
        <w:t xml:space="preserve"> heterogeneous structure of emissions. For small variations on final demand (between 1% and 1.5%) we observe that there is a great number of sectors that emits less. On the other hand, there </w:t>
      </w:r>
      <w:r w:rsidR="009E1AFE">
        <w:t xml:space="preserve">are </w:t>
      </w:r>
      <w:r>
        <w:t xml:space="preserve">sectors that are not affected by this kind of restriction. This occurs mainly on service </w:t>
      </w:r>
      <w:r w:rsidR="00415244">
        <w:t>sectors, which</w:t>
      </w:r>
      <w:r>
        <w:t xml:space="preserve"> is expected. If we are thinking about a mitigation policy and we look for the results the message is that, the policy can be focus</w:t>
      </w:r>
      <w:r w:rsidR="00415244">
        <w:t>ed in a small number of sectors and the costs in terms of decrease in final demand is not huge.</w:t>
      </w:r>
    </w:p>
    <w:p w:rsidR="00A8407F" w:rsidRDefault="00272FCE" w:rsidP="00297A0E">
      <w:pPr>
        <w:pStyle w:val="Style1"/>
      </w:pPr>
      <w:r w:rsidRPr="00272FCE">
        <w:rPr>
          <w:noProof/>
          <w:lang w:val="pt-BR" w:eastAsia="pt-BR"/>
        </w:rPr>
        <w:lastRenderedPageBreak/>
        <w:drawing>
          <wp:inline distT="0" distB="0" distL="0" distR="0">
            <wp:extent cx="5508544" cy="6344529"/>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09395" cy="6345509"/>
                    </a:xfrm>
                    <a:prstGeom prst="rect">
                      <a:avLst/>
                    </a:prstGeom>
                    <a:noFill/>
                    <a:ln>
                      <a:noFill/>
                    </a:ln>
                  </pic:spPr>
                </pic:pic>
              </a:graphicData>
            </a:graphic>
          </wp:inline>
        </w:drawing>
      </w:r>
    </w:p>
    <w:p w:rsidR="00297A0E" w:rsidRDefault="00297A0E" w:rsidP="00297A0E">
      <w:pPr>
        <w:pStyle w:val="Style1"/>
        <w:ind w:left="142"/>
        <w:jc w:val="left"/>
      </w:pPr>
      <w:r>
        <w:t xml:space="preserve">Figure </w:t>
      </w:r>
      <w:r w:rsidR="00EA2813">
        <w:fldChar w:fldCharType="begin"/>
      </w:r>
      <w:r w:rsidR="00554575">
        <w:instrText xml:space="preserve"> SEQ Figure \* ARABIC </w:instrText>
      </w:r>
      <w:r w:rsidR="00EA2813">
        <w:fldChar w:fldCharType="separate"/>
      </w:r>
      <w:r>
        <w:rPr>
          <w:noProof/>
        </w:rPr>
        <w:t>4</w:t>
      </w:r>
      <w:r w:rsidR="00EA2813">
        <w:rPr>
          <w:noProof/>
        </w:rPr>
        <w:fldChar w:fldCharType="end"/>
      </w:r>
      <w:r>
        <w:t>:</w:t>
      </w:r>
      <w:r w:rsidRPr="00600897">
        <w:t xml:space="preserve"> </w:t>
      </w:r>
      <w:r w:rsidRPr="00F856F2">
        <w:t>Pe</w:t>
      </w:r>
      <w:r>
        <w:t>rcentage reduction in final demand by sector</w:t>
      </w:r>
    </w:p>
    <w:p w:rsidR="00297A0E" w:rsidRPr="00297A0E" w:rsidRDefault="00297A0E" w:rsidP="00297A0E">
      <w:pPr>
        <w:pStyle w:val="Style1"/>
        <w:ind w:left="142"/>
        <w:jc w:val="left"/>
        <w:rPr>
          <w:sz w:val="16"/>
        </w:rPr>
      </w:pPr>
      <w:r w:rsidRPr="00297A0E">
        <w:rPr>
          <w:sz w:val="20"/>
        </w:rPr>
        <w:t>Source: Own elaboration</w:t>
      </w:r>
    </w:p>
    <w:p w:rsidR="00EA2813" w:rsidRDefault="00272FCE">
      <w:pPr>
        <w:pStyle w:val="Style1"/>
        <w:ind w:left="142"/>
        <w:jc w:val="left"/>
        <w:rPr>
          <w:sz w:val="20"/>
        </w:rPr>
      </w:pPr>
      <w:r w:rsidRPr="00272FCE">
        <w:rPr>
          <w:sz w:val="20"/>
        </w:rPr>
        <w:t>Note: darkest colors implies greater percentage reductions in sectorial final demand</w:t>
      </w:r>
    </w:p>
    <w:p w:rsidR="00297A0E" w:rsidRDefault="00297A0E">
      <w:pPr>
        <w:spacing w:line="276" w:lineRule="auto"/>
        <w:jc w:val="left"/>
      </w:pPr>
      <w:r>
        <w:br w:type="page"/>
      </w:r>
    </w:p>
    <w:p w:rsidR="00FD7429" w:rsidRDefault="00272FCE" w:rsidP="00EB6943">
      <w:pPr>
        <w:pStyle w:val="Style1"/>
      </w:pPr>
      <w:r w:rsidRPr="00272FCE">
        <w:rPr>
          <w:noProof/>
          <w:lang w:val="pt-BR" w:eastAsia="pt-BR"/>
        </w:rPr>
        <w:lastRenderedPageBreak/>
        <w:drawing>
          <wp:inline distT="0" distB="0" distL="0" distR="0">
            <wp:extent cx="5482857" cy="6509505"/>
            <wp:effectExtent l="19050" t="0" r="3543"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4551" cy="6511517"/>
                    </a:xfrm>
                    <a:prstGeom prst="rect">
                      <a:avLst/>
                    </a:prstGeom>
                    <a:noFill/>
                    <a:ln>
                      <a:noFill/>
                    </a:ln>
                  </pic:spPr>
                </pic:pic>
              </a:graphicData>
            </a:graphic>
          </wp:inline>
        </w:drawing>
      </w:r>
    </w:p>
    <w:p w:rsidR="00297A0E" w:rsidRPr="00600897" w:rsidRDefault="00297A0E" w:rsidP="00297A0E">
      <w:pPr>
        <w:pStyle w:val="Style1"/>
        <w:ind w:firstLine="142"/>
        <w:jc w:val="left"/>
      </w:pPr>
      <w:r>
        <w:t xml:space="preserve">Figure </w:t>
      </w:r>
      <w:r w:rsidR="00EA2813">
        <w:fldChar w:fldCharType="begin"/>
      </w:r>
      <w:r w:rsidR="00554575">
        <w:instrText xml:space="preserve"> SEQ Figure \* ARABIC </w:instrText>
      </w:r>
      <w:r w:rsidR="00EA2813">
        <w:fldChar w:fldCharType="separate"/>
      </w:r>
      <w:r>
        <w:rPr>
          <w:noProof/>
        </w:rPr>
        <w:t>5</w:t>
      </w:r>
      <w:r w:rsidR="00EA2813">
        <w:rPr>
          <w:noProof/>
        </w:rPr>
        <w:fldChar w:fldCharType="end"/>
      </w:r>
      <w:r>
        <w:t>:</w:t>
      </w:r>
      <w:r w:rsidRPr="00600897">
        <w:t xml:space="preserve"> </w:t>
      </w:r>
      <w:r w:rsidRPr="00F856F2">
        <w:t>Pe</w:t>
      </w:r>
      <w:r>
        <w:t>rcentage change in emissions by sector</w:t>
      </w:r>
    </w:p>
    <w:p w:rsidR="00297A0E" w:rsidRPr="00297A0E" w:rsidRDefault="00297A0E" w:rsidP="00297A0E">
      <w:pPr>
        <w:pStyle w:val="Style1"/>
        <w:ind w:firstLine="142"/>
        <w:jc w:val="left"/>
        <w:rPr>
          <w:sz w:val="20"/>
        </w:rPr>
      </w:pPr>
      <w:r w:rsidRPr="00297A0E">
        <w:rPr>
          <w:sz w:val="20"/>
        </w:rPr>
        <w:t>Source: Own elaboration</w:t>
      </w:r>
    </w:p>
    <w:p w:rsidR="00EA2813" w:rsidRDefault="00272FCE">
      <w:pPr>
        <w:pStyle w:val="Style1"/>
        <w:ind w:left="142"/>
        <w:jc w:val="left"/>
        <w:rPr>
          <w:sz w:val="20"/>
        </w:rPr>
      </w:pPr>
      <w:r w:rsidRPr="00272FCE">
        <w:rPr>
          <w:sz w:val="20"/>
        </w:rPr>
        <w:t>Note: darkest colors implies greater percentage reductions in sectorial final demand</w:t>
      </w:r>
    </w:p>
    <w:p w:rsidR="00F47714" w:rsidRDefault="00F47714">
      <w:pPr>
        <w:spacing w:line="276" w:lineRule="auto"/>
        <w:jc w:val="left"/>
      </w:pPr>
      <w:r>
        <w:br w:type="page"/>
      </w:r>
    </w:p>
    <w:p w:rsidR="00660269" w:rsidRPr="00600897" w:rsidRDefault="00C868C1" w:rsidP="002A1A89">
      <w:pPr>
        <w:pStyle w:val="Heading1"/>
      </w:pPr>
      <w:r>
        <w:lastRenderedPageBreak/>
        <w:t>Final Remarks</w:t>
      </w:r>
    </w:p>
    <w:p w:rsidR="0064434A" w:rsidRDefault="0064434A" w:rsidP="0064434A">
      <w:r>
        <w:t xml:space="preserve">This article seeks to analyze the economic and environmental impacts of the Brazilian GHG emissions. It </w:t>
      </w:r>
      <w:r w:rsidR="00934136">
        <w:t>was</w:t>
      </w:r>
      <w:r>
        <w:t xml:space="preserve"> considered 55 sectors in Brazil in an input-output linear programming model</w:t>
      </w:r>
      <w:r w:rsidR="00934136">
        <w:t xml:space="preserve"> for 2009</w:t>
      </w:r>
      <w:r>
        <w:t>. The model framework follows similar approaches in the literature. To achieve the goals of the study, we define an optimization problem with economic and environmental constraints.</w:t>
      </w:r>
    </w:p>
    <w:p w:rsidR="0064434A" w:rsidRDefault="0064434A" w:rsidP="0064434A">
      <w:r>
        <w:t xml:space="preserve">This paper finds that 1% of GHG emissions reduction implies a decrease of </w:t>
      </w:r>
      <w:r w:rsidR="00934136">
        <w:t xml:space="preserve">at least </w:t>
      </w:r>
      <w:r>
        <w:t xml:space="preserve">0.06% in the Brazilian total output. Livestock and fishing </w:t>
      </w:r>
      <w:r w:rsidR="00934136">
        <w:t>are</w:t>
      </w:r>
      <w:r>
        <w:t xml:space="preserve"> the major source of GHG emissions in Brazil. This sector alone was responsible for 50.4% of the total GHG emission in 2009. Therefore, if the final demand of Livestock and fishing decrease </w:t>
      </w:r>
      <w:r w:rsidR="00934136">
        <w:t xml:space="preserve">by </w:t>
      </w:r>
      <w:r>
        <w:t xml:space="preserve">5.14% the established target is achieved. </w:t>
      </w:r>
    </w:p>
    <w:p w:rsidR="00934136" w:rsidRDefault="0064434A" w:rsidP="0064434A">
      <w:r>
        <w:t>However, we could see that, in terms of a policy perspective this is not a feasible solution</w:t>
      </w:r>
      <w:r w:rsidR="004D4460">
        <w:t>, mainly because it would not create incentives for other industries to reduce emissions</w:t>
      </w:r>
      <w:r>
        <w:t>.</w:t>
      </w:r>
      <w:r w:rsidR="00934136">
        <w:t xml:space="preserve"> Moreover, to explore more possibilities we simulate other scenarios where other sectors share responsibilities in emissions reduction. </w:t>
      </w:r>
      <w:r w:rsidR="00934136" w:rsidRPr="00934136">
        <w:t>Through</w:t>
      </w:r>
      <w:r w:rsidR="00934136">
        <w:t xml:space="preserve"> these scenarios, it is possible to see the trade-off between emissions and production, where 1% reduction in emissions could cause a drop on total Brazilian production from 0.06% to 0.60%, depending on how much we penalize each sector individually.  </w:t>
      </w:r>
      <w:r>
        <w:t xml:space="preserve"> </w:t>
      </w:r>
    </w:p>
    <w:p w:rsidR="00240844" w:rsidRDefault="0064434A" w:rsidP="0064434A">
      <w:r>
        <w:t xml:space="preserve">There is no consensus about the best mechanism to reduce emissions as part of a climate policy. Among others mechanisms, we can highlight government regulations, taxes, carbon trade, market mechanisms, subsidies, cap and trade and carbon tax. </w:t>
      </w:r>
    </w:p>
    <w:p w:rsidR="0064434A" w:rsidRDefault="004D4460" w:rsidP="0064434A">
      <w:r w:rsidRPr="00240844">
        <w:rPr>
          <w:lang w:val="pt-BR"/>
        </w:rPr>
        <w:t xml:space="preserve">For Brazil, </w:t>
      </w:r>
      <w:r w:rsidR="0064434A" w:rsidRPr="00240844">
        <w:rPr>
          <w:lang w:val="pt-BR"/>
        </w:rPr>
        <w:t xml:space="preserve">Ribeiro </w:t>
      </w:r>
      <w:r w:rsidR="00C3769A" w:rsidRPr="00240844">
        <w:rPr>
          <w:i/>
          <w:lang w:val="pt-BR"/>
        </w:rPr>
        <w:t>et al.</w:t>
      </w:r>
      <w:r w:rsidR="0064434A" w:rsidRPr="00240844">
        <w:rPr>
          <w:lang w:val="pt-BR"/>
        </w:rPr>
        <w:t xml:space="preserve"> </w:t>
      </w:r>
      <w:r w:rsidR="0064434A">
        <w:t xml:space="preserve">(2015) have shown that a taxation policy would be efficient once it would reduce 9% of total GHG emissions. However, these authors show a regressive impact of this policy, which means that the poorest households would suffer the highest impacts. </w:t>
      </w:r>
      <w:proofErr w:type="spellStart"/>
      <w:r w:rsidR="00B838A2">
        <w:t>Magalhães</w:t>
      </w:r>
      <w:proofErr w:type="spellEnd"/>
      <w:r w:rsidR="00B838A2">
        <w:t xml:space="preserve"> and </w:t>
      </w:r>
      <w:proofErr w:type="spellStart"/>
      <w:r w:rsidR="00B838A2">
        <w:t>Domingues</w:t>
      </w:r>
      <w:proofErr w:type="spellEnd"/>
      <w:r w:rsidR="00B838A2">
        <w:t xml:space="preserve"> (2013)</w:t>
      </w:r>
      <w:r w:rsidR="00B40E54">
        <w:t xml:space="preserve"> have</w:t>
      </w:r>
      <w:r w:rsidR="00B838A2">
        <w:t xml:space="preserve"> show</w:t>
      </w:r>
      <w:r w:rsidR="00B40E54">
        <w:t>n</w:t>
      </w:r>
      <w:r w:rsidR="00B838A2">
        <w:t xml:space="preserve"> that if the government create a subside returning to the households 5% of the total collected from the</w:t>
      </w:r>
      <w:r w:rsidR="00A966B5">
        <w:t xml:space="preserve"> carbon</w:t>
      </w:r>
      <w:r w:rsidR="00B838A2">
        <w:t xml:space="preserve"> tax, the drop in GDP </w:t>
      </w:r>
      <w:r w:rsidR="00B838A2" w:rsidRPr="00B838A2">
        <w:t>would be reduced from -0.91% to -0.82%</w:t>
      </w:r>
      <w:r w:rsidR="00B838A2">
        <w:t xml:space="preserve">. </w:t>
      </w:r>
    </w:p>
    <w:p w:rsidR="0064434A" w:rsidRDefault="0064434A" w:rsidP="0064434A">
      <w:r>
        <w:t xml:space="preserve">An interesting aspect to taking into account is a policy based on structural changes. For instance, as we could see that Livestock and fishing </w:t>
      </w:r>
      <w:r w:rsidR="00934136">
        <w:t>are</w:t>
      </w:r>
      <w:r>
        <w:t xml:space="preserve"> the major source of emissions in Brazil. In this case, the cattle production could be made in large facilities where the methane released by the animals could be converted into energy.</w:t>
      </w:r>
    </w:p>
    <w:p w:rsidR="00580BA2" w:rsidRDefault="00580BA2" w:rsidP="002A1A89">
      <w:r w:rsidRPr="00580BA2">
        <w:t xml:space="preserve">Structural changes are extremely necessary in the Brazilian context. This country is an important global supplier of meat, for which the trend is an increase of the international demand in the next years. If Brazil does not change the way of production, this means a huge increase in the emissions. </w:t>
      </w:r>
    </w:p>
    <w:p w:rsidR="00580BA2" w:rsidRDefault="00580BA2" w:rsidP="00580BA2">
      <w:pPr>
        <w:spacing w:line="276" w:lineRule="auto"/>
      </w:pPr>
      <w:r w:rsidRPr="00580BA2">
        <w:t>Nonetheless, one important point that has to be balanced here is the feasibility of the implementation of these structural changes in the Brazilian agriculture sector in the short run. Public policies in this direction can be implemented but it will take time. In this regard, in order to mitigate emissions, it is necessary to have a combination of incentives directly through research support, but also indirectly by means of raising emissions cost using regulations and taxes</w:t>
      </w:r>
      <w:r>
        <w:t>.</w:t>
      </w:r>
    </w:p>
    <w:p w:rsidR="00330A10" w:rsidRDefault="00330A10" w:rsidP="00580BA2">
      <w:pPr>
        <w:spacing w:line="276" w:lineRule="auto"/>
      </w:pPr>
      <w:r>
        <w:br w:type="page"/>
      </w:r>
    </w:p>
    <w:p w:rsidR="00E63163" w:rsidRPr="00600897" w:rsidRDefault="00E63163" w:rsidP="00600897">
      <w:pPr>
        <w:pStyle w:val="Heading1"/>
        <w:numPr>
          <w:ilvl w:val="0"/>
          <w:numId w:val="0"/>
        </w:numPr>
        <w:ind w:left="720" w:hanging="360"/>
      </w:pPr>
      <w:r w:rsidRPr="00600897">
        <w:lastRenderedPageBreak/>
        <w:t>References</w:t>
      </w:r>
    </w:p>
    <w:p w:rsidR="002E5753" w:rsidRPr="00600897" w:rsidRDefault="002E5753" w:rsidP="00600897">
      <w:pPr>
        <w:ind w:left="709" w:hanging="709"/>
      </w:pPr>
      <w:proofErr w:type="spellStart"/>
      <w:r w:rsidRPr="00600897">
        <w:t>Beutel</w:t>
      </w:r>
      <w:proofErr w:type="spellEnd"/>
      <w:r w:rsidRPr="00600897">
        <w:t xml:space="preserve">, J., 1983. Input-output analysis and linear programming. The general input-output model. In: M. </w:t>
      </w:r>
      <w:proofErr w:type="spellStart"/>
      <w:r w:rsidRPr="00600897">
        <w:t>Grassini</w:t>
      </w:r>
      <w:proofErr w:type="spellEnd"/>
      <w:r w:rsidRPr="00600897">
        <w:t xml:space="preserve"> and A. </w:t>
      </w:r>
      <w:proofErr w:type="spellStart"/>
      <w:r w:rsidRPr="00600897">
        <w:t>Smyshlyaev</w:t>
      </w:r>
      <w:proofErr w:type="spellEnd"/>
      <w:r w:rsidRPr="00600897">
        <w:t xml:space="preserve"> (eds.) Input-output modeling, </w:t>
      </w:r>
      <w:r w:rsidR="0064434A" w:rsidRPr="00600897">
        <w:t>Proceedings</w:t>
      </w:r>
      <w:r w:rsidRPr="00600897">
        <w:t xml:space="preserve"> of the 3rd IIASSA Task Force Meeting, 313-328. </w:t>
      </w:r>
      <w:proofErr w:type="spellStart"/>
      <w:r w:rsidRPr="00600897">
        <w:t>Laxenburg</w:t>
      </w:r>
      <w:proofErr w:type="spellEnd"/>
      <w:r w:rsidRPr="00600897">
        <w:t>: IIASA.</w:t>
      </w:r>
    </w:p>
    <w:p w:rsidR="00D85D94" w:rsidRPr="002C69E2" w:rsidRDefault="00D85D94" w:rsidP="00600897">
      <w:pPr>
        <w:ind w:left="709" w:hanging="709"/>
        <w:rPr>
          <w:lang w:val="pt-BR"/>
        </w:rPr>
      </w:pPr>
      <w:proofErr w:type="spellStart"/>
      <w:r w:rsidRPr="00600897">
        <w:t>Brizga</w:t>
      </w:r>
      <w:proofErr w:type="spellEnd"/>
      <w:r w:rsidRPr="00600897">
        <w:t xml:space="preserve">, J., Feng K. and </w:t>
      </w:r>
      <w:proofErr w:type="spellStart"/>
      <w:r w:rsidRPr="00600897">
        <w:t>Hubacek</w:t>
      </w:r>
      <w:proofErr w:type="spellEnd"/>
      <w:r w:rsidRPr="00600897">
        <w:t xml:space="preserve">, K., 2014. Drivers of greenhouse gas emissions in the Baltic States: A structural decomposition analysis. </w:t>
      </w:r>
      <w:r w:rsidR="00BA57AC" w:rsidRPr="00BA57AC">
        <w:rPr>
          <w:lang w:val="pt-BR"/>
        </w:rPr>
        <w:t>Ecological Economics 98, 22-28.</w:t>
      </w:r>
    </w:p>
    <w:p w:rsidR="009760C4" w:rsidRPr="00600897" w:rsidRDefault="00BA57AC" w:rsidP="00600897">
      <w:pPr>
        <w:ind w:left="709" w:hanging="709"/>
      </w:pPr>
      <w:r w:rsidRPr="00BA57AC">
        <w:rPr>
          <w:lang w:val="pt-BR"/>
        </w:rPr>
        <w:t xml:space="preserve">Bustamante, M. C., Nobre, C. A., Smeraldi, R., Aguiar, A. P. D., Barioni, L. G., Ferreira, L. G., Longo, K., May, P., Pinto, A. L. and Ometto, J. P. H. B., 2012. </w:t>
      </w:r>
      <w:r w:rsidR="009760C4" w:rsidRPr="005B11C7">
        <w:t>Estimating greenhouse gas emissions from cattle rai</w:t>
      </w:r>
      <w:r w:rsidR="009760C4">
        <w:t>sing in Brazil. Climatic Change</w:t>
      </w:r>
      <w:r w:rsidR="009760C4" w:rsidRPr="005B11C7">
        <w:t xml:space="preserve"> 115</w:t>
      </w:r>
      <w:r w:rsidR="009760C4">
        <w:t>(</w:t>
      </w:r>
      <w:r w:rsidR="009760C4" w:rsidRPr="005B11C7">
        <w:t>3-4</w:t>
      </w:r>
      <w:r w:rsidR="009760C4">
        <w:t>),</w:t>
      </w:r>
      <w:r w:rsidR="009760C4" w:rsidRPr="005B11C7">
        <w:t xml:space="preserve"> 559-577.</w:t>
      </w:r>
    </w:p>
    <w:p w:rsidR="002E5753" w:rsidRPr="00600897" w:rsidRDefault="002E5753" w:rsidP="00600897">
      <w:pPr>
        <w:ind w:left="709" w:hanging="709"/>
      </w:pPr>
      <w:r w:rsidRPr="00600897">
        <w:t xml:space="preserve">Carter, A. P., 1970. A linear programming system </w:t>
      </w:r>
      <w:proofErr w:type="spellStart"/>
      <w:r w:rsidRPr="00600897">
        <w:t>analysing</w:t>
      </w:r>
      <w:proofErr w:type="spellEnd"/>
      <w:r w:rsidRPr="00600897">
        <w:t xml:space="preserve"> embodied technological change. In: A. P. Carter and A. Brody (eds.) Applications of input-output analysis. Amsterdam, North-Holland, 77-98.</w:t>
      </w:r>
    </w:p>
    <w:p w:rsidR="00D85D94" w:rsidRPr="00600897" w:rsidRDefault="00D85D94" w:rsidP="00600897">
      <w:pPr>
        <w:ind w:left="709" w:hanging="709"/>
      </w:pPr>
      <w:proofErr w:type="spellStart"/>
      <w:r w:rsidRPr="00600897">
        <w:t>Carvalho</w:t>
      </w:r>
      <w:proofErr w:type="spellEnd"/>
      <w:r w:rsidRPr="00600897">
        <w:t xml:space="preserve">, T. S., Santiago, F. S. and </w:t>
      </w:r>
      <w:proofErr w:type="spellStart"/>
      <w:r w:rsidRPr="00600897">
        <w:t>Perobelli</w:t>
      </w:r>
      <w:proofErr w:type="spellEnd"/>
      <w:r w:rsidRPr="00600897">
        <w:t xml:space="preserve">, F. S., 2013. International trade and emissions: The case of the Minas </w:t>
      </w:r>
      <w:proofErr w:type="spellStart"/>
      <w:r w:rsidRPr="00600897">
        <w:t>Gerais</w:t>
      </w:r>
      <w:proofErr w:type="spellEnd"/>
      <w:r w:rsidRPr="00600897">
        <w:t xml:space="preserve"> state - 2005. Energy Economics 40, 383-395.</w:t>
      </w:r>
    </w:p>
    <w:p w:rsidR="00007197" w:rsidRPr="00600897" w:rsidRDefault="00007197" w:rsidP="00600897">
      <w:pPr>
        <w:ind w:left="709" w:hanging="709"/>
      </w:pPr>
      <w:proofErr w:type="spellStart"/>
      <w:r w:rsidRPr="00600897">
        <w:t>Cristóbal</w:t>
      </w:r>
      <w:proofErr w:type="spellEnd"/>
      <w:r w:rsidRPr="00600897">
        <w:t xml:space="preserve">, J. R. S., 2010. An environmental/input-output linear programming model to reach the targets for greenhouse gas emissions set by the Kyoto protocol. Economic Systems Research 22(3), 223-236. </w:t>
      </w:r>
    </w:p>
    <w:p w:rsidR="00007197" w:rsidRPr="00600897" w:rsidRDefault="00007197" w:rsidP="00600897">
      <w:pPr>
        <w:ind w:left="709" w:hanging="709"/>
      </w:pPr>
      <w:proofErr w:type="spellStart"/>
      <w:r w:rsidRPr="00600897">
        <w:t>Cristóbal</w:t>
      </w:r>
      <w:proofErr w:type="spellEnd"/>
      <w:r w:rsidRPr="00600897">
        <w:t>, J. R. S., 2012. A goal programming model for environmental policy analysis: Application to Spain. Energy Policy 43, 303-307.</w:t>
      </w:r>
    </w:p>
    <w:p w:rsidR="00140A93" w:rsidRPr="00600897" w:rsidRDefault="00C67CCC" w:rsidP="00600897">
      <w:pPr>
        <w:ind w:left="709" w:hanging="709"/>
        <w:rPr>
          <w:lang w:val="pt-BR"/>
        </w:rPr>
      </w:pPr>
      <w:proofErr w:type="spellStart"/>
      <w:r w:rsidRPr="00600897">
        <w:t>Do</w:t>
      </w:r>
      <w:r w:rsidR="002E5753" w:rsidRPr="00600897">
        <w:t>rfman</w:t>
      </w:r>
      <w:proofErr w:type="spellEnd"/>
      <w:r w:rsidR="002E5753" w:rsidRPr="00600897">
        <w:t>, R., Samuelson, P., Solow, 1958.</w:t>
      </w:r>
      <w:r w:rsidRPr="00600897">
        <w:t xml:space="preserve"> Linear programming and economic analysis. New York, McGraw </w:t>
      </w:r>
      <w:proofErr w:type="spellStart"/>
      <w:r w:rsidRPr="00600897">
        <w:t>Hill.</w:t>
      </w:r>
      <w:r w:rsidR="00140A93" w:rsidRPr="00600897">
        <w:t>Dietzenbacher</w:t>
      </w:r>
      <w:proofErr w:type="spellEnd"/>
      <w:r w:rsidR="00140A93" w:rsidRPr="00600897">
        <w:t xml:space="preserve">, E. Los B., </w:t>
      </w:r>
      <w:proofErr w:type="spellStart"/>
      <w:r w:rsidR="00140A93" w:rsidRPr="00600897">
        <w:t>Stehrer</w:t>
      </w:r>
      <w:proofErr w:type="spellEnd"/>
      <w:r w:rsidR="00140A93" w:rsidRPr="00600897">
        <w:t xml:space="preserve"> R., </w:t>
      </w:r>
      <w:proofErr w:type="spellStart"/>
      <w:r w:rsidR="00140A93" w:rsidRPr="00600897">
        <w:t>Timmer</w:t>
      </w:r>
      <w:proofErr w:type="spellEnd"/>
      <w:r w:rsidR="00140A93" w:rsidRPr="00600897">
        <w:t xml:space="preserve"> M. and </w:t>
      </w:r>
      <w:proofErr w:type="spellStart"/>
      <w:r w:rsidR="00140A93" w:rsidRPr="00600897">
        <w:t>Vries</w:t>
      </w:r>
      <w:proofErr w:type="spellEnd"/>
      <w:r w:rsidR="00140A93" w:rsidRPr="00600897">
        <w:t xml:space="preserve">, G., 2013. The Construction of world input–output tables in the WIOD project. </w:t>
      </w:r>
      <w:r w:rsidR="00140A93" w:rsidRPr="00600897">
        <w:rPr>
          <w:lang w:val="pt-BR"/>
        </w:rPr>
        <w:t xml:space="preserve">Economic Systems Research, 25 (1), 71-98. </w:t>
      </w:r>
    </w:p>
    <w:p w:rsidR="00D85D94" w:rsidRPr="002C69E2" w:rsidRDefault="00D85D94" w:rsidP="00600897">
      <w:pPr>
        <w:ind w:left="709" w:hanging="709"/>
        <w:rPr>
          <w:lang w:val="pt-BR"/>
        </w:rPr>
      </w:pPr>
      <w:r w:rsidRPr="00EB6943">
        <w:rPr>
          <w:lang w:val="pt-BR"/>
        </w:rPr>
        <w:t>Freitas, L. F., Ribeiro, L. C. S., Souza, K. B</w:t>
      </w:r>
      <w:r w:rsidR="002E5753" w:rsidRPr="00EB6943">
        <w:rPr>
          <w:lang w:val="pt-BR"/>
        </w:rPr>
        <w:t>, 2014</w:t>
      </w:r>
      <w:r w:rsidRPr="00EB6943">
        <w:rPr>
          <w:lang w:val="pt-BR"/>
        </w:rPr>
        <w:t xml:space="preserve">. </w:t>
      </w:r>
      <w:hyperlink r:id="rId21" w:history="1">
        <w:r w:rsidRPr="00EB6943">
          <w:rPr>
            <w:lang w:val="pt-BR"/>
          </w:rPr>
          <w:t>Impactos de uma política de taxação de emissões sobre diferentes níveis de renda da economia brasileira</w:t>
        </w:r>
      </w:hyperlink>
      <w:r w:rsidRPr="00EB6943">
        <w:rPr>
          <w:lang w:val="pt-BR"/>
        </w:rPr>
        <w:t xml:space="preserve">. </w:t>
      </w:r>
      <w:r w:rsidRPr="001E7E75">
        <w:rPr>
          <w:lang w:val="pt-BR"/>
        </w:rPr>
        <w:t xml:space="preserve">In: Anais... </w:t>
      </w:r>
      <w:r w:rsidR="00BA57AC" w:rsidRPr="00BA57AC">
        <w:rPr>
          <w:lang w:val="pt-BR"/>
        </w:rPr>
        <w:t xml:space="preserve">42º Encontro Nacional de Economia (ANPEC). </w:t>
      </w:r>
    </w:p>
    <w:p w:rsidR="00675754" w:rsidRPr="00600897" w:rsidRDefault="00675754" w:rsidP="00600897">
      <w:pPr>
        <w:ind w:left="709" w:hanging="709"/>
      </w:pPr>
      <w:r w:rsidRPr="00227A49">
        <w:rPr>
          <w:lang w:val="pt-BR"/>
        </w:rPr>
        <w:t xml:space="preserve">Genty, A., Arto, I. </w:t>
      </w:r>
      <w:r w:rsidR="00B81BD4" w:rsidRPr="00227A49">
        <w:rPr>
          <w:lang w:val="pt-BR"/>
        </w:rPr>
        <w:t xml:space="preserve">and Neuwahl, F., 2012. </w:t>
      </w:r>
      <w:r w:rsidR="00B81BD4" w:rsidRPr="00600897">
        <w:t>Final dat</w:t>
      </w:r>
      <w:r w:rsidRPr="00600897">
        <w:t>a</w:t>
      </w:r>
      <w:r w:rsidR="00B81BD4" w:rsidRPr="00600897">
        <w:t>ba</w:t>
      </w:r>
      <w:r w:rsidRPr="00600897">
        <w:t xml:space="preserve">se of environmental satellite accounts: technical report on their compilation. WIOD documentation. available </w:t>
      </w:r>
      <w:r w:rsidR="00B81BD4" w:rsidRPr="00600897">
        <w:t>at</w:t>
      </w:r>
      <w:r w:rsidRPr="00600897">
        <w:t xml:space="preserve">: http://www.wiod.org/publications/source_docs/Environmental_Sources.pdf. </w:t>
      </w:r>
    </w:p>
    <w:p w:rsidR="00222E2E" w:rsidRPr="00600897" w:rsidRDefault="00222E2E" w:rsidP="00600897">
      <w:pPr>
        <w:ind w:left="709" w:hanging="709"/>
      </w:pPr>
      <w:r w:rsidRPr="00EB6943">
        <w:rPr>
          <w:lang w:val="pt-BR"/>
        </w:rPr>
        <w:t xml:space="preserve">Guilhoto, J. J. M., Sesso Filho, U. Estimação da matriz insumo-produto a partir de dados preliminares das contas nacionais. </w:t>
      </w:r>
      <w:proofErr w:type="spellStart"/>
      <w:r w:rsidRPr="00600897">
        <w:t>Economia</w:t>
      </w:r>
      <w:proofErr w:type="spellEnd"/>
      <w:r w:rsidRPr="00600897">
        <w:t xml:space="preserve"> </w:t>
      </w:r>
      <w:proofErr w:type="spellStart"/>
      <w:r w:rsidRPr="00600897">
        <w:t>Aplicada</w:t>
      </w:r>
      <w:proofErr w:type="spellEnd"/>
      <w:r w:rsidRPr="00600897">
        <w:t xml:space="preserve"> 9(2): 277-299, 2005.</w:t>
      </w:r>
    </w:p>
    <w:p w:rsidR="007F3DB8" w:rsidRPr="00600897" w:rsidRDefault="007F3DB8" w:rsidP="00600897">
      <w:pPr>
        <w:ind w:left="709" w:hanging="709"/>
      </w:pPr>
      <w:proofErr w:type="spellStart"/>
      <w:r w:rsidRPr="00600897">
        <w:t>Gurgel</w:t>
      </w:r>
      <w:proofErr w:type="spellEnd"/>
      <w:r w:rsidRPr="00600897">
        <w:t xml:space="preserve">, A. C., </w:t>
      </w:r>
      <w:proofErr w:type="spellStart"/>
      <w:r w:rsidRPr="00600897">
        <w:t>Paltsev</w:t>
      </w:r>
      <w:proofErr w:type="spellEnd"/>
      <w:r w:rsidRPr="00600897">
        <w:t>, S. Costs of reducing GHG emissions in Brazil. Climate Policy 14(2): 209-223, 2014.</w:t>
      </w:r>
    </w:p>
    <w:p w:rsidR="00F330F1" w:rsidRPr="00600897" w:rsidRDefault="00D1330A" w:rsidP="00600897">
      <w:pPr>
        <w:ind w:left="709" w:hanging="709"/>
      </w:pPr>
      <w:proofErr w:type="spellStart"/>
      <w:r w:rsidRPr="00600897">
        <w:t>Hristu-Varsakelis</w:t>
      </w:r>
      <w:proofErr w:type="spellEnd"/>
      <w:r w:rsidRPr="00600897">
        <w:t xml:space="preserve">, D., </w:t>
      </w:r>
      <w:proofErr w:type="spellStart"/>
      <w:r w:rsidRPr="00600897">
        <w:t>Karagianni</w:t>
      </w:r>
      <w:proofErr w:type="spellEnd"/>
      <w:r w:rsidRPr="00600897">
        <w:t>,</w:t>
      </w:r>
      <w:r w:rsidR="00675754" w:rsidRPr="00600897">
        <w:t xml:space="preserve"> S., </w:t>
      </w:r>
      <w:proofErr w:type="spellStart"/>
      <w:r w:rsidRPr="00600897">
        <w:t>Pempetzoglou</w:t>
      </w:r>
      <w:proofErr w:type="spellEnd"/>
      <w:r w:rsidR="00675754" w:rsidRPr="00600897">
        <w:t xml:space="preserve">, M. </w:t>
      </w:r>
      <w:r w:rsidRPr="00600897">
        <w:t xml:space="preserve">and </w:t>
      </w:r>
      <w:proofErr w:type="spellStart"/>
      <w:r w:rsidR="00675754" w:rsidRPr="00600897">
        <w:t>Sfetsos</w:t>
      </w:r>
      <w:proofErr w:type="spellEnd"/>
      <w:r w:rsidRPr="00600897">
        <w:t>,</w:t>
      </w:r>
      <w:r w:rsidR="00675754" w:rsidRPr="00600897">
        <w:t xml:space="preserve"> A,</w:t>
      </w:r>
      <w:r w:rsidRPr="00600897">
        <w:t xml:space="preserve"> 2010. Optimizing </w:t>
      </w:r>
      <w:r w:rsidR="00140A93" w:rsidRPr="00600897">
        <w:t>p</w:t>
      </w:r>
      <w:r w:rsidRPr="00600897">
        <w:t xml:space="preserve">roduction with </w:t>
      </w:r>
      <w:r w:rsidR="00140A93" w:rsidRPr="00600897">
        <w:t>e</w:t>
      </w:r>
      <w:r w:rsidRPr="00600897">
        <w:t xml:space="preserve">nergy and GHG </w:t>
      </w:r>
      <w:r w:rsidR="00140A93" w:rsidRPr="00600897">
        <w:t>e</w:t>
      </w:r>
      <w:r w:rsidRPr="00600897">
        <w:t xml:space="preserve">mission </w:t>
      </w:r>
      <w:r w:rsidR="00140A93" w:rsidRPr="00600897">
        <w:t>c</w:t>
      </w:r>
      <w:r w:rsidRPr="00600897">
        <w:t xml:space="preserve">onstraints in </w:t>
      </w:r>
      <w:r w:rsidR="00140A93" w:rsidRPr="00600897">
        <w:t>G</w:t>
      </w:r>
      <w:r w:rsidRPr="00600897">
        <w:t xml:space="preserve">reece: </w:t>
      </w:r>
      <w:r w:rsidR="00140A93" w:rsidRPr="00600897">
        <w:t>A</w:t>
      </w:r>
      <w:r w:rsidRPr="00600897">
        <w:t xml:space="preserve">n </w:t>
      </w:r>
      <w:r w:rsidR="00140A93" w:rsidRPr="00600897">
        <w:t>i</w:t>
      </w:r>
      <w:r w:rsidRPr="00600897">
        <w:t>nput-</w:t>
      </w:r>
      <w:r w:rsidR="00140A93" w:rsidRPr="00600897">
        <w:t>o</w:t>
      </w:r>
      <w:r w:rsidRPr="00600897">
        <w:t xml:space="preserve">utput </w:t>
      </w:r>
      <w:r w:rsidR="00140A93" w:rsidRPr="00600897">
        <w:t>a</w:t>
      </w:r>
      <w:r w:rsidRPr="00600897">
        <w:t>nalysis.</w:t>
      </w:r>
      <w:r w:rsidR="00AF0A3E" w:rsidRPr="00600897">
        <w:t xml:space="preserve"> </w:t>
      </w:r>
      <w:r w:rsidRPr="00600897">
        <w:t>Energy Policy, 38, 1566–1577.</w:t>
      </w:r>
    </w:p>
    <w:p w:rsidR="00675754" w:rsidRPr="00600897" w:rsidRDefault="00675754" w:rsidP="00600897">
      <w:pPr>
        <w:ind w:left="709" w:hanging="709"/>
      </w:pPr>
      <w:proofErr w:type="spellStart"/>
      <w:r w:rsidRPr="00600897">
        <w:t>Hristu-Varsakelis</w:t>
      </w:r>
      <w:proofErr w:type="spellEnd"/>
      <w:r w:rsidRPr="00600897">
        <w:t xml:space="preserve">, D., S. </w:t>
      </w:r>
      <w:proofErr w:type="spellStart"/>
      <w:r w:rsidRPr="00600897">
        <w:t>Karagianni</w:t>
      </w:r>
      <w:proofErr w:type="spellEnd"/>
      <w:r w:rsidRPr="00600897">
        <w:t xml:space="preserve">, M. </w:t>
      </w:r>
      <w:proofErr w:type="spellStart"/>
      <w:r w:rsidRPr="00600897">
        <w:t>Pempetzoglou</w:t>
      </w:r>
      <w:proofErr w:type="spellEnd"/>
      <w:r w:rsidRPr="00600897">
        <w:t xml:space="preserve"> and A. </w:t>
      </w:r>
      <w:proofErr w:type="spellStart"/>
      <w:r w:rsidRPr="00600897">
        <w:t>Sfetsos</w:t>
      </w:r>
      <w:proofErr w:type="spellEnd"/>
      <w:r w:rsidRPr="00600897">
        <w:t>, 2012. Opt</w:t>
      </w:r>
      <w:r w:rsidR="00140A93" w:rsidRPr="00600897">
        <w:t>imizing production in t</w:t>
      </w:r>
      <w:r w:rsidRPr="00600897">
        <w:t xml:space="preserve">he Greek </w:t>
      </w:r>
      <w:r w:rsidR="00140A93" w:rsidRPr="00600897">
        <w:t>e</w:t>
      </w:r>
      <w:r w:rsidRPr="00600897">
        <w:t>co</w:t>
      </w:r>
      <w:r w:rsidR="00140A93" w:rsidRPr="00600897">
        <w:t>nomy: Exploring the i</w:t>
      </w:r>
      <w:r w:rsidRPr="00600897">
        <w:t xml:space="preserve">nteraction </w:t>
      </w:r>
      <w:r w:rsidR="00140A93" w:rsidRPr="00600897">
        <w:t>b</w:t>
      </w:r>
      <w:r w:rsidRPr="00600897">
        <w:t>etwe</w:t>
      </w:r>
      <w:r w:rsidR="00140A93" w:rsidRPr="00600897">
        <w:t xml:space="preserve">en greenhouse gas </w:t>
      </w:r>
      <w:r w:rsidR="00140A93" w:rsidRPr="00600897">
        <w:lastRenderedPageBreak/>
        <w:t>emissions a</w:t>
      </w:r>
      <w:r w:rsidRPr="00600897">
        <w:t xml:space="preserve">nd </w:t>
      </w:r>
      <w:r w:rsidR="00140A93" w:rsidRPr="00600897">
        <w:t>solid waste via input–output a</w:t>
      </w:r>
      <w:r w:rsidRPr="00600897">
        <w:t>nalysis</w:t>
      </w:r>
      <w:r w:rsidR="00140A93" w:rsidRPr="00600897">
        <w:t>.</w:t>
      </w:r>
      <w:r w:rsidRPr="00600897">
        <w:t xml:space="preserve"> Economic System Research, 24 (1), 55-75. </w:t>
      </w:r>
    </w:p>
    <w:p w:rsidR="00565BB8" w:rsidRPr="00600897" w:rsidRDefault="00565BB8" w:rsidP="00600897">
      <w:pPr>
        <w:ind w:left="709" w:hanging="709"/>
        <w:rPr>
          <w:lang w:val="pt-BR"/>
        </w:rPr>
      </w:pPr>
      <w:r w:rsidRPr="00600897">
        <w:t xml:space="preserve">Leontief, W. The structure of the </w:t>
      </w:r>
      <w:proofErr w:type="spellStart"/>
      <w:r w:rsidRPr="00600897">
        <w:t>american</w:t>
      </w:r>
      <w:proofErr w:type="spellEnd"/>
      <w:r w:rsidRPr="00600897">
        <w:t xml:space="preserve"> economy, 1919-1939: an empirical application of equilibrium analysis. </w:t>
      </w:r>
      <w:r w:rsidRPr="00600897">
        <w:rPr>
          <w:lang w:val="pt-BR"/>
        </w:rPr>
        <w:t xml:space="preserve">New York: Oxford University Press, 1941. </w:t>
      </w:r>
    </w:p>
    <w:p w:rsidR="007F3DB8" w:rsidRPr="00600897" w:rsidRDefault="007F3DB8" w:rsidP="00600897">
      <w:pPr>
        <w:ind w:left="709" w:hanging="709"/>
        <w:rPr>
          <w:lang w:val="pt-BR"/>
        </w:rPr>
      </w:pPr>
      <w:r w:rsidRPr="00EB6943">
        <w:rPr>
          <w:lang w:val="pt-BR"/>
        </w:rPr>
        <w:t>Magalhães, A. S., Domingues, E. P. Economia de baixo carbono no Brasil: alternativas de políticas e custos de redução de emissões de gases de efeito estufa. Texto para discussão, n. 491, CEDEPLAR/UFMG, Belo Horizonte, agosto de 2013.</w:t>
      </w:r>
    </w:p>
    <w:p w:rsidR="00222E2E" w:rsidRPr="00600897" w:rsidRDefault="00222E2E" w:rsidP="00600897">
      <w:pPr>
        <w:ind w:left="709" w:hanging="709"/>
      </w:pPr>
      <w:r w:rsidRPr="00600897">
        <w:t>Miller, R. E.; Blair, P. D. Input-output analysis: foundations and extensions. New York: Cambridge University Press. Second edition, 2009.</w:t>
      </w:r>
    </w:p>
    <w:p w:rsidR="00AF0A3E" w:rsidRPr="00600897" w:rsidRDefault="00AF0A3E" w:rsidP="00600897">
      <w:pPr>
        <w:ind w:left="709" w:hanging="709"/>
      </w:pPr>
      <w:r w:rsidRPr="00600897">
        <w:t xml:space="preserve">Moll, S., </w:t>
      </w:r>
      <w:proofErr w:type="spellStart"/>
      <w:r w:rsidRPr="00600897">
        <w:t>Vrgoc</w:t>
      </w:r>
      <w:proofErr w:type="spellEnd"/>
      <w:r w:rsidRPr="00600897">
        <w:t>,</w:t>
      </w:r>
      <w:r w:rsidR="00675754" w:rsidRPr="00600897">
        <w:t xml:space="preserve"> M., </w:t>
      </w:r>
      <w:r w:rsidRPr="00600897">
        <w:t>Watson</w:t>
      </w:r>
      <w:r w:rsidR="00675754" w:rsidRPr="00600897">
        <w:t xml:space="preserve"> D.</w:t>
      </w:r>
      <w:r w:rsidRPr="00600897">
        <w:t xml:space="preserve">, </w:t>
      </w:r>
      <w:proofErr w:type="spellStart"/>
      <w:r w:rsidRPr="00600897">
        <w:t>Femia</w:t>
      </w:r>
      <w:proofErr w:type="spellEnd"/>
      <w:r w:rsidRPr="00600897">
        <w:t>,</w:t>
      </w:r>
      <w:r w:rsidR="00675754" w:rsidRPr="00600897">
        <w:t xml:space="preserve"> A., </w:t>
      </w:r>
      <w:proofErr w:type="spellStart"/>
      <w:r w:rsidRPr="00600897">
        <w:t>Gravgard</w:t>
      </w:r>
      <w:proofErr w:type="spellEnd"/>
      <w:r w:rsidRPr="00600897">
        <w:t xml:space="preserve"> P</w:t>
      </w:r>
      <w:r w:rsidR="00A87BB3" w:rsidRPr="00600897">
        <w:t>.</w:t>
      </w:r>
      <w:r w:rsidR="00675754" w:rsidRPr="00600897">
        <w:t xml:space="preserve"> O. </w:t>
      </w:r>
      <w:r w:rsidRPr="00600897">
        <w:t>and Villanueva,</w:t>
      </w:r>
      <w:r w:rsidR="00675754" w:rsidRPr="00600897">
        <w:t xml:space="preserve"> A.,</w:t>
      </w:r>
      <w:r w:rsidRPr="00600897">
        <w:t xml:space="preserve"> 2006. Environmental </w:t>
      </w:r>
      <w:r w:rsidR="00140A93" w:rsidRPr="00600897">
        <w:t>input-output analysis based on NAMEA data. A comparative European study on environmental pressures arising from consumption and production patterns European topic centre on resource and waste management</w:t>
      </w:r>
      <w:r w:rsidRPr="00600897">
        <w:t>, published by the European Environment Agency.</w:t>
      </w:r>
    </w:p>
    <w:p w:rsidR="00F87821" w:rsidRPr="00600897" w:rsidRDefault="00F87821" w:rsidP="00600897">
      <w:pPr>
        <w:ind w:left="709" w:hanging="709"/>
      </w:pPr>
      <w:r w:rsidRPr="00EB6943">
        <w:rPr>
          <w:lang w:val="pt-BR"/>
        </w:rPr>
        <w:t xml:space="preserve">Moreira, T. M. and Ribeiro, L. C. S., 2013. Mudanças estruturais na economia brasileira entre 2000-2005 e o novo regime macroeconômico: Uma abordagem multissetorial. </w:t>
      </w:r>
      <w:proofErr w:type="spellStart"/>
      <w:r w:rsidRPr="00600897">
        <w:t>Revista</w:t>
      </w:r>
      <w:proofErr w:type="spellEnd"/>
      <w:r w:rsidRPr="00600897">
        <w:t xml:space="preserve"> </w:t>
      </w:r>
      <w:proofErr w:type="spellStart"/>
      <w:r w:rsidRPr="00600897">
        <w:t>Economia</w:t>
      </w:r>
      <w:proofErr w:type="spellEnd"/>
      <w:r w:rsidRPr="00600897">
        <w:t xml:space="preserve">, 14 (1C), 751-780. </w:t>
      </w:r>
    </w:p>
    <w:p w:rsidR="007F3DB8" w:rsidRPr="002C69E2" w:rsidRDefault="007F3DB8" w:rsidP="00600897">
      <w:pPr>
        <w:ind w:left="709" w:hanging="709"/>
        <w:rPr>
          <w:lang w:val="pt-BR"/>
        </w:rPr>
      </w:pPr>
      <w:proofErr w:type="spellStart"/>
      <w:r w:rsidRPr="00600897">
        <w:t>Orlov</w:t>
      </w:r>
      <w:proofErr w:type="spellEnd"/>
      <w:r w:rsidRPr="00600897">
        <w:t xml:space="preserve">, A., </w:t>
      </w:r>
      <w:proofErr w:type="spellStart"/>
      <w:r w:rsidRPr="00600897">
        <w:t>Grethe</w:t>
      </w:r>
      <w:proofErr w:type="spellEnd"/>
      <w:r w:rsidRPr="00600897">
        <w:t xml:space="preserve">, H. Carbon taxation and market structure: a CGE analysis for Russia. </w:t>
      </w:r>
      <w:r w:rsidR="00BA57AC" w:rsidRPr="00BA57AC">
        <w:rPr>
          <w:lang w:val="pt-BR"/>
        </w:rPr>
        <w:t>Energy Policy 51: 696-707, 2012.</w:t>
      </w:r>
    </w:p>
    <w:p w:rsidR="0064434A" w:rsidRPr="0064434A" w:rsidRDefault="0064434A" w:rsidP="0064434A">
      <w:pPr>
        <w:spacing w:line="360" w:lineRule="auto"/>
        <w:ind w:left="709" w:hanging="709"/>
        <w:jc w:val="left"/>
      </w:pPr>
      <w:r w:rsidRPr="0064434A">
        <w:rPr>
          <w:lang w:val="pt-BR"/>
        </w:rPr>
        <w:t xml:space="preserve">Ribeiro, L. C. S., Freitas, L. </w:t>
      </w:r>
      <w:r>
        <w:rPr>
          <w:lang w:val="pt-BR"/>
        </w:rPr>
        <w:t xml:space="preserve">F. S., </w:t>
      </w:r>
      <w:r w:rsidR="00C264C5">
        <w:rPr>
          <w:lang w:val="pt-BR"/>
        </w:rPr>
        <w:t>Souza</w:t>
      </w:r>
      <w:r>
        <w:rPr>
          <w:lang w:val="pt-BR"/>
        </w:rPr>
        <w:t xml:space="preserve">, K. </w:t>
      </w:r>
      <w:r w:rsidR="00C264C5">
        <w:rPr>
          <w:lang w:val="pt-BR"/>
        </w:rPr>
        <w:t>B</w:t>
      </w:r>
      <w:r>
        <w:rPr>
          <w:lang w:val="pt-BR"/>
        </w:rPr>
        <w:t xml:space="preserve">., Hewings, G. </w:t>
      </w:r>
      <w:r w:rsidR="00C3769A" w:rsidRPr="00E07B2C">
        <w:rPr>
          <w:lang w:val="pt-BR"/>
        </w:rPr>
        <w:t xml:space="preserve">J. D., 2015. </w:t>
      </w:r>
      <w:r w:rsidR="00BA57AC" w:rsidRPr="00BA57AC">
        <w:t xml:space="preserve">GHG emissions' tax in Brazil using an input-output model. </w:t>
      </w:r>
      <w:r w:rsidRPr="0064434A">
        <w:t xml:space="preserve">In: Proceedings of the 23rd International Input-Output Conference. Mexico City, Mexico. </w:t>
      </w:r>
    </w:p>
    <w:p w:rsidR="00B81BD4" w:rsidRPr="00600897" w:rsidRDefault="00F330F1" w:rsidP="00600897">
      <w:pPr>
        <w:ind w:left="709" w:hanging="709"/>
      </w:pPr>
      <w:proofErr w:type="spellStart"/>
      <w:r w:rsidRPr="00600897">
        <w:t>Timmer</w:t>
      </w:r>
      <w:proofErr w:type="spellEnd"/>
      <w:r w:rsidRPr="00600897">
        <w:t>, M. P. (ed</w:t>
      </w:r>
      <w:r w:rsidR="00A87BB3" w:rsidRPr="00600897">
        <w:t>.</w:t>
      </w:r>
      <w:r w:rsidRPr="00600897">
        <w:t>), 2012.</w:t>
      </w:r>
      <w:r w:rsidR="00012E4B" w:rsidRPr="00600897">
        <w:t xml:space="preserve"> </w:t>
      </w:r>
      <w:r w:rsidRPr="00600897">
        <w:t xml:space="preserve">The World Input-Output Database (WIOD): </w:t>
      </w:r>
      <w:r w:rsidR="00012E4B" w:rsidRPr="00600897">
        <w:t xml:space="preserve">Contents, </w:t>
      </w:r>
      <w:r w:rsidR="00140A93" w:rsidRPr="00600897">
        <w:t>s</w:t>
      </w:r>
      <w:r w:rsidR="00012E4B" w:rsidRPr="00600897">
        <w:t xml:space="preserve">ources and </w:t>
      </w:r>
      <w:r w:rsidR="00140A93" w:rsidRPr="00600897">
        <w:t>m</w:t>
      </w:r>
      <w:r w:rsidR="00012E4B" w:rsidRPr="00600897">
        <w:t>ethods</w:t>
      </w:r>
      <w:r w:rsidR="00140A93" w:rsidRPr="00600897">
        <w:t>.</w:t>
      </w:r>
      <w:r w:rsidRPr="00600897">
        <w:t xml:space="preserve"> WIOD Working Paper Number 10, available </w:t>
      </w:r>
      <w:r w:rsidR="00B81BD4" w:rsidRPr="00600897">
        <w:t>at: www.wiod.org.</w:t>
      </w:r>
    </w:p>
    <w:p w:rsidR="00B81BD4" w:rsidRPr="00600897" w:rsidRDefault="00B81BD4" w:rsidP="002A1A89"/>
    <w:p w:rsidR="00027135" w:rsidRPr="00600897" w:rsidRDefault="00027135" w:rsidP="002A1A89"/>
    <w:sectPr w:rsidR="00027135" w:rsidRPr="00600897" w:rsidSect="001B08B4">
      <w:type w:val="continuous"/>
      <w:pgSz w:w="11907" w:h="16839" w:code="9"/>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0715" w:rsidRDefault="00FC0715" w:rsidP="002A1A89">
      <w:r>
        <w:separator/>
      </w:r>
    </w:p>
  </w:endnote>
  <w:endnote w:type="continuationSeparator" w:id="0">
    <w:p w:rsidR="00FC0715" w:rsidRDefault="00FC0715" w:rsidP="002A1A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0715" w:rsidRDefault="00FC0715" w:rsidP="002A1A89">
      <w:r>
        <w:separator/>
      </w:r>
    </w:p>
  </w:footnote>
  <w:footnote w:type="continuationSeparator" w:id="0">
    <w:p w:rsidR="00FC0715" w:rsidRDefault="00FC0715" w:rsidP="002A1A89">
      <w:r>
        <w:continuationSeparator/>
      </w:r>
    </w:p>
  </w:footnote>
  <w:footnote w:id="1">
    <w:p w:rsidR="00BB6B4A" w:rsidRPr="002C69E2" w:rsidRDefault="00BB6B4A">
      <w:pPr>
        <w:pStyle w:val="FootnoteText"/>
        <w:rPr>
          <w:lang w:val="pt-BR"/>
        </w:rPr>
      </w:pPr>
      <w:r>
        <w:rPr>
          <w:rStyle w:val="FootnoteReference"/>
        </w:rPr>
        <w:footnoteRef/>
      </w:r>
      <w:r w:rsidR="00BA57AC" w:rsidRPr="00BA57AC">
        <w:rPr>
          <w:lang w:val="pt-BR"/>
        </w:rPr>
        <w:t xml:space="preserve"> </w:t>
      </w:r>
      <w:r>
        <w:rPr>
          <w:lang w:val="pt-BR"/>
        </w:rPr>
        <w:t>O terceiro autor agradece ao financiamento da CAPES e FAPEMIG para realização dessa pesquisa.</w:t>
      </w:r>
    </w:p>
  </w:footnote>
  <w:footnote w:id="2">
    <w:p w:rsidR="001B08B4" w:rsidRPr="00F5357B" w:rsidRDefault="001B08B4">
      <w:pPr>
        <w:pStyle w:val="FootnoteText"/>
        <w:rPr>
          <w:lang w:val="pt-BR"/>
        </w:rPr>
      </w:pPr>
      <w:r>
        <w:rPr>
          <w:rStyle w:val="FootnoteReference"/>
        </w:rPr>
        <w:footnoteRef/>
      </w:r>
      <w:r w:rsidRPr="00F5357B">
        <w:rPr>
          <w:lang w:val="pt-BR"/>
        </w:rPr>
        <w:t xml:space="preserve"> </w:t>
      </w:r>
      <w:r w:rsidR="00F5357B" w:rsidRPr="00F5357B">
        <w:rPr>
          <w:lang w:val="pt-BR"/>
        </w:rPr>
        <w:t xml:space="preserve">Professor Assistente-A DEE/UFS. </w:t>
      </w:r>
      <w:r w:rsidR="00F5357B">
        <w:rPr>
          <w:lang w:val="pt-BR"/>
        </w:rPr>
        <w:t>Doutorando em Economia CEDEPLAR/UFMG</w:t>
      </w:r>
      <w:r w:rsidR="00227A49">
        <w:rPr>
          <w:lang w:val="pt-BR"/>
        </w:rPr>
        <w:t xml:space="preserve"> e pesquisador do NEMEA/CEDEPLAR.</w:t>
      </w:r>
      <w:r w:rsidR="00F5357B">
        <w:rPr>
          <w:lang w:val="pt-BR"/>
        </w:rPr>
        <w:t>.</w:t>
      </w:r>
    </w:p>
  </w:footnote>
  <w:footnote w:id="3">
    <w:p w:rsidR="00F5357B" w:rsidRPr="002C69E2" w:rsidRDefault="00F5357B">
      <w:pPr>
        <w:pStyle w:val="FootnoteText"/>
        <w:rPr>
          <w:lang w:val="pt-BR"/>
        </w:rPr>
      </w:pPr>
      <w:r>
        <w:rPr>
          <w:rStyle w:val="FootnoteReference"/>
        </w:rPr>
        <w:footnoteRef/>
      </w:r>
      <w:r w:rsidR="00BA57AC" w:rsidRPr="00BA57AC">
        <w:rPr>
          <w:lang w:val="pt-BR"/>
        </w:rPr>
        <w:t xml:space="preserve"> Doutora em Economia. Pesquisadora </w:t>
      </w:r>
      <w:r w:rsidR="00227A49">
        <w:rPr>
          <w:lang w:val="pt-BR"/>
        </w:rPr>
        <w:t>do NEMEA/</w:t>
      </w:r>
      <w:r w:rsidR="00BA57AC" w:rsidRPr="00BA57AC">
        <w:rPr>
          <w:lang w:val="pt-BR"/>
        </w:rPr>
        <w:t xml:space="preserve">CEDEPLAR. </w:t>
      </w:r>
    </w:p>
  </w:footnote>
  <w:footnote w:id="4">
    <w:p w:rsidR="00F5357B" w:rsidRPr="002C69E2" w:rsidRDefault="00F5357B">
      <w:pPr>
        <w:pStyle w:val="FootnoteText"/>
        <w:rPr>
          <w:lang w:val="pt-BR"/>
        </w:rPr>
      </w:pPr>
      <w:r>
        <w:rPr>
          <w:rStyle w:val="FootnoteReference"/>
        </w:rPr>
        <w:footnoteRef/>
      </w:r>
      <w:r w:rsidRPr="00227A49">
        <w:rPr>
          <w:lang w:val="pt-BR"/>
        </w:rPr>
        <w:t xml:space="preserve"> Professor Associado PPGE/UFJF. </w:t>
      </w:r>
      <w:r w:rsidR="00BA57AC" w:rsidRPr="00BA57AC">
        <w:rPr>
          <w:lang w:val="pt-BR"/>
        </w:rPr>
        <w:t>Pesquisador de Produtividade do CNPq e Pesquisador do LATES/UFJF.</w:t>
      </w:r>
    </w:p>
  </w:footnote>
  <w:footnote w:id="5">
    <w:p w:rsidR="00222E2E" w:rsidRPr="004D1668" w:rsidRDefault="00222E2E" w:rsidP="002A1A89">
      <w:pPr>
        <w:pStyle w:val="FootnoteText"/>
      </w:pPr>
      <w:r w:rsidRPr="001223AF">
        <w:rPr>
          <w:rStyle w:val="FootnoteReference"/>
        </w:rPr>
        <w:footnoteRef/>
      </w:r>
      <w:r w:rsidRPr="003102FE">
        <w:rPr>
          <w:i/>
        </w:rPr>
        <w:t>Annual estimates of greenhouse</w:t>
      </w:r>
      <w:r>
        <w:rPr>
          <w:i/>
        </w:rPr>
        <w:t xml:space="preserve"> gases</w:t>
      </w:r>
      <w:r w:rsidRPr="003102FE">
        <w:rPr>
          <w:i/>
        </w:rPr>
        <w:t xml:space="preserve"> emissions in Brazil</w:t>
      </w:r>
      <w:r w:rsidRPr="00A3684D">
        <w:rPr>
          <w:sz w:val="22"/>
        </w:rPr>
        <w:t xml:space="preserve"> </w:t>
      </w:r>
      <w:r w:rsidRPr="00A3684D">
        <w:t>(own translation).</w:t>
      </w:r>
      <w:r>
        <w:t xml:space="preserve"> </w:t>
      </w:r>
      <w:r w:rsidRPr="003102FE">
        <w:t xml:space="preserve">The steps to reconcile the surveyed sectors and the sectors in the input-output matrix are described </w:t>
      </w:r>
      <w:r>
        <w:t>on</w:t>
      </w:r>
      <w:r w:rsidRPr="003102FE">
        <w:t xml:space="preserve"> A</w:t>
      </w:r>
      <w:r>
        <w:t>nnex</w:t>
      </w:r>
      <w:r w:rsidRPr="003102FE">
        <w:t xml:space="preserve"> 1</w:t>
      </w:r>
      <w:r w:rsidRPr="004D1668">
        <w:t xml:space="preserve">. </w:t>
      </w:r>
    </w:p>
  </w:footnote>
  <w:footnote w:id="6">
    <w:p w:rsidR="00240844" w:rsidRPr="00660790" w:rsidRDefault="00240844" w:rsidP="00240844">
      <w:pPr>
        <w:pStyle w:val="FootnoteText"/>
      </w:pPr>
      <w:r>
        <w:rPr>
          <w:rStyle w:val="FootnoteReference"/>
        </w:rPr>
        <w:footnoteRef/>
      </w:r>
      <w:r>
        <w:t xml:space="preserve"> </w:t>
      </w:r>
      <w:r w:rsidRPr="00C264C5">
        <w:t>The sector accounts for aroun</w:t>
      </w:r>
      <w:r>
        <w:t xml:space="preserve">d 12% of total income for households in the first </w:t>
      </w:r>
      <w:proofErr w:type="spellStart"/>
      <w:r>
        <w:t>decile</w:t>
      </w:r>
      <w:proofErr w:type="spellEnd"/>
      <w:r>
        <w:t xml:space="preserve"> of income per capita according to Brazilian National Household Survey for 2009 data, provided by IBGE.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27896"/>
    <w:multiLevelType w:val="hybridMultilevel"/>
    <w:tmpl w:val="FD2AD9DC"/>
    <w:lvl w:ilvl="0" w:tplc="894CB030">
      <w:start w:val="1"/>
      <w:numFmt w:val="decimal"/>
      <w:pStyle w:val="Heading1"/>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0D22454"/>
    <w:multiLevelType w:val="multilevel"/>
    <w:tmpl w:val="CAF004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6C6C40C4"/>
    <w:multiLevelType w:val="multilevel"/>
    <w:tmpl w:val="555640F8"/>
    <w:lvl w:ilvl="0">
      <w:start w:val="2"/>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defaultTabStop w:val="709"/>
  <w:hyphenationZone w:val="425"/>
  <w:characterSpacingControl w:val="doNotCompress"/>
  <w:hdrShapeDefaults>
    <o:shapedefaults v:ext="edit" spidmax="8194"/>
  </w:hdrShapeDefaults>
  <w:footnotePr>
    <w:footnote w:id="-1"/>
    <w:footnote w:id="0"/>
  </w:footnotePr>
  <w:endnotePr>
    <w:endnote w:id="-1"/>
    <w:endnote w:id="0"/>
  </w:endnotePr>
  <w:compat/>
  <w:rsids>
    <w:rsidRoot w:val="00660269"/>
    <w:rsid w:val="00006F34"/>
    <w:rsid w:val="00007197"/>
    <w:rsid w:val="00012E4B"/>
    <w:rsid w:val="00012F55"/>
    <w:rsid w:val="00027135"/>
    <w:rsid w:val="00037CF3"/>
    <w:rsid w:val="000406E8"/>
    <w:rsid w:val="00093749"/>
    <w:rsid w:val="00095016"/>
    <w:rsid w:val="000A273E"/>
    <w:rsid w:val="000B3443"/>
    <w:rsid w:val="000B5900"/>
    <w:rsid w:val="000C23B9"/>
    <w:rsid w:val="000C4965"/>
    <w:rsid w:val="000F5B3B"/>
    <w:rsid w:val="00111C41"/>
    <w:rsid w:val="00126ECE"/>
    <w:rsid w:val="00127C75"/>
    <w:rsid w:val="00140A93"/>
    <w:rsid w:val="00141ACA"/>
    <w:rsid w:val="00152784"/>
    <w:rsid w:val="001553B3"/>
    <w:rsid w:val="00191E7D"/>
    <w:rsid w:val="001A39C4"/>
    <w:rsid w:val="001B08B4"/>
    <w:rsid w:val="001B4C66"/>
    <w:rsid w:val="001D4462"/>
    <w:rsid w:val="001E7E75"/>
    <w:rsid w:val="00222E2E"/>
    <w:rsid w:val="00227A49"/>
    <w:rsid w:val="00237974"/>
    <w:rsid w:val="00240844"/>
    <w:rsid w:val="002431BD"/>
    <w:rsid w:val="00253EAB"/>
    <w:rsid w:val="00272FCE"/>
    <w:rsid w:val="00282A35"/>
    <w:rsid w:val="00283C61"/>
    <w:rsid w:val="00290BC7"/>
    <w:rsid w:val="00297A0E"/>
    <w:rsid w:val="002A1A89"/>
    <w:rsid w:val="002A2DE9"/>
    <w:rsid w:val="002B62BF"/>
    <w:rsid w:val="002C32D2"/>
    <w:rsid w:val="002C3AFD"/>
    <w:rsid w:val="002C69E2"/>
    <w:rsid w:val="002E5753"/>
    <w:rsid w:val="002E5CB7"/>
    <w:rsid w:val="003043F1"/>
    <w:rsid w:val="00307940"/>
    <w:rsid w:val="00330A10"/>
    <w:rsid w:val="003A3EC3"/>
    <w:rsid w:val="003C1956"/>
    <w:rsid w:val="003D24DA"/>
    <w:rsid w:val="003F01EC"/>
    <w:rsid w:val="00415244"/>
    <w:rsid w:val="00455F45"/>
    <w:rsid w:val="0047327E"/>
    <w:rsid w:val="00490EFC"/>
    <w:rsid w:val="0049619E"/>
    <w:rsid w:val="004B07AE"/>
    <w:rsid w:val="004C2CE7"/>
    <w:rsid w:val="004D4460"/>
    <w:rsid w:val="0050107C"/>
    <w:rsid w:val="005034CC"/>
    <w:rsid w:val="00504E5C"/>
    <w:rsid w:val="005140A4"/>
    <w:rsid w:val="0051660C"/>
    <w:rsid w:val="005366F4"/>
    <w:rsid w:val="00542FF2"/>
    <w:rsid w:val="00544766"/>
    <w:rsid w:val="00554575"/>
    <w:rsid w:val="00565BB8"/>
    <w:rsid w:val="00565D8A"/>
    <w:rsid w:val="00580088"/>
    <w:rsid w:val="00580BA2"/>
    <w:rsid w:val="005900B6"/>
    <w:rsid w:val="005B023D"/>
    <w:rsid w:val="005B2F14"/>
    <w:rsid w:val="005C499E"/>
    <w:rsid w:val="005D2DA1"/>
    <w:rsid w:val="005D56C2"/>
    <w:rsid w:val="005D738C"/>
    <w:rsid w:val="005E4B4F"/>
    <w:rsid w:val="00600897"/>
    <w:rsid w:val="00605B66"/>
    <w:rsid w:val="00616DE5"/>
    <w:rsid w:val="00617912"/>
    <w:rsid w:val="00617F5D"/>
    <w:rsid w:val="00620303"/>
    <w:rsid w:val="00622E78"/>
    <w:rsid w:val="00636A56"/>
    <w:rsid w:val="0064434A"/>
    <w:rsid w:val="006566AC"/>
    <w:rsid w:val="00660269"/>
    <w:rsid w:val="00660790"/>
    <w:rsid w:val="00675754"/>
    <w:rsid w:val="00680ABD"/>
    <w:rsid w:val="006B638F"/>
    <w:rsid w:val="006C1844"/>
    <w:rsid w:val="006D1830"/>
    <w:rsid w:val="006E09C5"/>
    <w:rsid w:val="006E1E77"/>
    <w:rsid w:val="006E2404"/>
    <w:rsid w:val="006E5812"/>
    <w:rsid w:val="007028F0"/>
    <w:rsid w:val="00702C21"/>
    <w:rsid w:val="00704B2B"/>
    <w:rsid w:val="00741031"/>
    <w:rsid w:val="007423F3"/>
    <w:rsid w:val="00746FD3"/>
    <w:rsid w:val="007853C8"/>
    <w:rsid w:val="00795D54"/>
    <w:rsid w:val="007A04E6"/>
    <w:rsid w:val="007A3A01"/>
    <w:rsid w:val="007A41B9"/>
    <w:rsid w:val="007B6A2E"/>
    <w:rsid w:val="007D67BC"/>
    <w:rsid w:val="007F3AA9"/>
    <w:rsid w:val="007F3DB8"/>
    <w:rsid w:val="007F75A8"/>
    <w:rsid w:val="008068CD"/>
    <w:rsid w:val="0082211B"/>
    <w:rsid w:val="00883200"/>
    <w:rsid w:val="008B4EDD"/>
    <w:rsid w:val="008D3B68"/>
    <w:rsid w:val="008F6406"/>
    <w:rsid w:val="00907256"/>
    <w:rsid w:val="00913093"/>
    <w:rsid w:val="00934136"/>
    <w:rsid w:val="009365E2"/>
    <w:rsid w:val="0095110D"/>
    <w:rsid w:val="00957DB3"/>
    <w:rsid w:val="00964AD6"/>
    <w:rsid w:val="00973865"/>
    <w:rsid w:val="009760C4"/>
    <w:rsid w:val="009A07A0"/>
    <w:rsid w:val="009E1AFE"/>
    <w:rsid w:val="009E5842"/>
    <w:rsid w:val="009F3581"/>
    <w:rsid w:val="00A62FB3"/>
    <w:rsid w:val="00A8407F"/>
    <w:rsid w:val="00A87BB3"/>
    <w:rsid w:val="00A966B5"/>
    <w:rsid w:val="00AA1881"/>
    <w:rsid w:val="00AB5B52"/>
    <w:rsid w:val="00AD3CFA"/>
    <w:rsid w:val="00AE16B5"/>
    <w:rsid w:val="00AF09F0"/>
    <w:rsid w:val="00AF0A3E"/>
    <w:rsid w:val="00B07B46"/>
    <w:rsid w:val="00B14303"/>
    <w:rsid w:val="00B40E54"/>
    <w:rsid w:val="00B46660"/>
    <w:rsid w:val="00B53F3B"/>
    <w:rsid w:val="00B81BD4"/>
    <w:rsid w:val="00B838A2"/>
    <w:rsid w:val="00B93025"/>
    <w:rsid w:val="00B94B62"/>
    <w:rsid w:val="00BA57AC"/>
    <w:rsid w:val="00BA7419"/>
    <w:rsid w:val="00BB481C"/>
    <w:rsid w:val="00BB6B4A"/>
    <w:rsid w:val="00BF51CF"/>
    <w:rsid w:val="00C00950"/>
    <w:rsid w:val="00C264C5"/>
    <w:rsid w:val="00C3769A"/>
    <w:rsid w:val="00C41186"/>
    <w:rsid w:val="00C4178E"/>
    <w:rsid w:val="00C4638F"/>
    <w:rsid w:val="00C52E5B"/>
    <w:rsid w:val="00C6495C"/>
    <w:rsid w:val="00C66C6F"/>
    <w:rsid w:val="00C67CCC"/>
    <w:rsid w:val="00C70760"/>
    <w:rsid w:val="00C75D81"/>
    <w:rsid w:val="00C868C1"/>
    <w:rsid w:val="00CB7421"/>
    <w:rsid w:val="00CC3FCD"/>
    <w:rsid w:val="00CE079C"/>
    <w:rsid w:val="00CE3153"/>
    <w:rsid w:val="00CE66EE"/>
    <w:rsid w:val="00D00672"/>
    <w:rsid w:val="00D1330A"/>
    <w:rsid w:val="00D25135"/>
    <w:rsid w:val="00D30B08"/>
    <w:rsid w:val="00D34349"/>
    <w:rsid w:val="00D444D9"/>
    <w:rsid w:val="00D704D1"/>
    <w:rsid w:val="00D85D94"/>
    <w:rsid w:val="00D9319A"/>
    <w:rsid w:val="00D94278"/>
    <w:rsid w:val="00DB5ADE"/>
    <w:rsid w:val="00DC1711"/>
    <w:rsid w:val="00DD3F19"/>
    <w:rsid w:val="00DD65E1"/>
    <w:rsid w:val="00DF7FEA"/>
    <w:rsid w:val="00E00F60"/>
    <w:rsid w:val="00E07B2C"/>
    <w:rsid w:val="00E1571D"/>
    <w:rsid w:val="00E265B7"/>
    <w:rsid w:val="00E31476"/>
    <w:rsid w:val="00E3432A"/>
    <w:rsid w:val="00E37637"/>
    <w:rsid w:val="00E43D4F"/>
    <w:rsid w:val="00E47770"/>
    <w:rsid w:val="00E63163"/>
    <w:rsid w:val="00E65972"/>
    <w:rsid w:val="00E709F6"/>
    <w:rsid w:val="00E81D96"/>
    <w:rsid w:val="00EA2813"/>
    <w:rsid w:val="00EB6943"/>
    <w:rsid w:val="00ED3F8C"/>
    <w:rsid w:val="00EE3482"/>
    <w:rsid w:val="00F00099"/>
    <w:rsid w:val="00F00B7F"/>
    <w:rsid w:val="00F14DC6"/>
    <w:rsid w:val="00F3236B"/>
    <w:rsid w:val="00F32CBC"/>
    <w:rsid w:val="00F330F1"/>
    <w:rsid w:val="00F33D47"/>
    <w:rsid w:val="00F37474"/>
    <w:rsid w:val="00F47714"/>
    <w:rsid w:val="00F51102"/>
    <w:rsid w:val="00F5357B"/>
    <w:rsid w:val="00F63E2D"/>
    <w:rsid w:val="00F84CE7"/>
    <w:rsid w:val="00F856F2"/>
    <w:rsid w:val="00F86720"/>
    <w:rsid w:val="00F87821"/>
    <w:rsid w:val="00FA758D"/>
    <w:rsid w:val="00FB4C19"/>
    <w:rsid w:val="00FB69B0"/>
    <w:rsid w:val="00FB74E2"/>
    <w:rsid w:val="00FC0715"/>
    <w:rsid w:val="00FD6869"/>
    <w:rsid w:val="00FD7429"/>
    <w:rsid w:val="00FF5A4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A89"/>
    <w:pPr>
      <w:spacing w:line="240" w:lineRule="auto"/>
      <w:jc w:val="both"/>
    </w:pPr>
    <w:rPr>
      <w:rFonts w:ascii="Times New Roman" w:hAnsi="Times New Roman" w:cs="Times New Roman"/>
      <w:sz w:val="24"/>
      <w:szCs w:val="24"/>
      <w:lang w:val="en-US"/>
    </w:rPr>
  </w:style>
  <w:style w:type="paragraph" w:styleId="Heading1">
    <w:name w:val="heading 1"/>
    <w:basedOn w:val="ListParagraph"/>
    <w:next w:val="Normal"/>
    <w:link w:val="Heading1Char"/>
    <w:uiPriority w:val="9"/>
    <w:qFormat/>
    <w:rsid w:val="002A1A89"/>
    <w:pPr>
      <w:numPr>
        <w:numId w:val="1"/>
      </w:numPr>
      <w:outlineLvl w:val="0"/>
    </w:pPr>
    <w:rPr>
      <w:b/>
    </w:rPr>
  </w:style>
  <w:style w:type="paragraph" w:styleId="Heading2">
    <w:name w:val="heading 2"/>
    <w:basedOn w:val="Heading1"/>
    <w:next w:val="Normal"/>
    <w:link w:val="Heading2Char"/>
    <w:uiPriority w:val="9"/>
    <w:unhideWhenUsed/>
    <w:qFormat/>
    <w:rsid w:val="00600897"/>
    <w:pPr>
      <w:numPr>
        <w:ilvl w:val="1"/>
        <w:numId w:val="3"/>
      </w:numPr>
      <w:ind w:left="993"/>
      <w:outlineLvl w:val="1"/>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3E2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E2D"/>
    <w:rPr>
      <w:rFonts w:ascii="Tahoma" w:hAnsi="Tahoma" w:cs="Tahoma"/>
      <w:sz w:val="16"/>
      <w:szCs w:val="16"/>
    </w:rPr>
  </w:style>
  <w:style w:type="character" w:styleId="Hyperlink">
    <w:name w:val="Hyperlink"/>
    <w:basedOn w:val="DefaultParagraphFont"/>
    <w:uiPriority w:val="99"/>
    <w:unhideWhenUsed/>
    <w:rsid w:val="00F330F1"/>
    <w:rPr>
      <w:color w:val="0000FF"/>
      <w:u w:val="single"/>
    </w:rPr>
  </w:style>
  <w:style w:type="paragraph" w:styleId="FootnoteText">
    <w:name w:val="footnote text"/>
    <w:basedOn w:val="Normal"/>
    <w:link w:val="FootnoteTextChar"/>
    <w:uiPriority w:val="99"/>
    <w:unhideWhenUsed/>
    <w:rsid w:val="00883200"/>
    <w:pPr>
      <w:spacing w:after="0"/>
    </w:pPr>
    <w:rPr>
      <w:sz w:val="20"/>
      <w:szCs w:val="20"/>
    </w:rPr>
  </w:style>
  <w:style w:type="character" w:customStyle="1" w:styleId="FootnoteTextChar">
    <w:name w:val="Footnote Text Char"/>
    <w:basedOn w:val="DefaultParagraphFont"/>
    <w:link w:val="FootnoteText"/>
    <w:uiPriority w:val="99"/>
    <w:rsid w:val="00883200"/>
    <w:rPr>
      <w:sz w:val="20"/>
      <w:szCs w:val="20"/>
    </w:rPr>
  </w:style>
  <w:style w:type="character" w:styleId="FootnoteReference">
    <w:name w:val="footnote reference"/>
    <w:basedOn w:val="DefaultParagraphFont"/>
    <w:uiPriority w:val="99"/>
    <w:semiHidden/>
    <w:unhideWhenUsed/>
    <w:rsid w:val="00883200"/>
    <w:rPr>
      <w:vertAlign w:val="superscript"/>
    </w:rPr>
  </w:style>
  <w:style w:type="character" w:customStyle="1" w:styleId="hps">
    <w:name w:val="hps"/>
    <w:basedOn w:val="DefaultParagraphFont"/>
    <w:rsid w:val="001553B3"/>
  </w:style>
  <w:style w:type="character" w:customStyle="1" w:styleId="atn">
    <w:name w:val="atn"/>
    <w:basedOn w:val="DefaultParagraphFont"/>
    <w:rsid w:val="00FD6869"/>
  </w:style>
  <w:style w:type="table" w:styleId="TableGrid">
    <w:name w:val="Table Grid"/>
    <w:basedOn w:val="TableNormal"/>
    <w:uiPriority w:val="39"/>
    <w:rsid w:val="009E584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5842"/>
    <w:rPr>
      <w:sz w:val="16"/>
      <w:szCs w:val="16"/>
    </w:rPr>
  </w:style>
  <w:style w:type="paragraph" w:styleId="CommentText">
    <w:name w:val="annotation text"/>
    <w:basedOn w:val="Normal"/>
    <w:link w:val="CommentTextChar"/>
    <w:uiPriority w:val="99"/>
    <w:semiHidden/>
    <w:unhideWhenUsed/>
    <w:rsid w:val="009E5842"/>
    <w:pPr>
      <w:spacing w:after="160"/>
    </w:pPr>
    <w:rPr>
      <w:sz w:val="20"/>
      <w:szCs w:val="20"/>
    </w:rPr>
  </w:style>
  <w:style w:type="character" w:customStyle="1" w:styleId="CommentTextChar">
    <w:name w:val="Comment Text Char"/>
    <w:basedOn w:val="DefaultParagraphFont"/>
    <w:link w:val="CommentText"/>
    <w:uiPriority w:val="99"/>
    <w:semiHidden/>
    <w:rsid w:val="009E5842"/>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702C21"/>
    <w:pPr>
      <w:spacing w:after="200"/>
    </w:pPr>
    <w:rPr>
      <w:rFonts w:asciiTheme="minorHAnsi" w:hAnsiTheme="minorHAnsi"/>
      <w:b/>
      <w:bCs/>
      <w:lang w:val="pt-BR"/>
    </w:rPr>
  </w:style>
  <w:style w:type="character" w:customStyle="1" w:styleId="CommentSubjectChar">
    <w:name w:val="Comment Subject Char"/>
    <w:basedOn w:val="CommentTextChar"/>
    <w:link w:val="CommentSubject"/>
    <w:uiPriority w:val="99"/>
    <w:semiHidden/>
    <w:rsid w:val="00702C21"/>
    <w:rPr>
      <w:rFonts w:ascii="Times New Roman" w:hAnsi="Times New Roman"/>
      <w:b/>
      <w:bCs/>
      <w:sz w:val="20"/>
      <w:szCs w:val="20"/>
      <w:lang w:val="en-US"/>
    </w:rPr>
  </w:style>
  <w:style w:type="character" w:styleId="PlaceholderText">
    <w:name w:val="Placeholder Text"/>
    <w:basedOn w:val="DefaultParagraphFont"/>
    <w:uiPriority w:val="99"/>
    <w:semiHidden/>
    <w:rsid w:val="00702C21"/>
    <w:rPr>
      <w:color w:val="808080"/>
    </w:rPr>
  </w:style>
  <w:style w:type="paragraph" w:styleId="Header">
    <w:name w:val="header"/>
    <w:basedOn w:val="Normal"/>
    <w:link w:val="HeaderChar"/>
    <w:uiPriority w:val="99"/>
    <w:unhideWhenUsed/>
    <w:rsid w:val="00C70760"/>
    <w:pPr>
      <w:tabs>
        <w:tab w:val="center" w:pos="4252"/>
        <w:tab w:val="right" w:pos="8504"/>
      </w:tabs>
      <w:spacing w:after="0"/>
    </w:pPr>
  </w:style>
  <w:style w:type="character" w:customStyle="1" w:styleId="HeaderChar">
    <w:name w:val="Header Char"/>
    <w:basedOn w:val="DefaultParagraphFont"/>
    <w:link w:val="Header"/>
    <w:uiPriority w:val="99"/>
    <w:rsid w:val="00C70760"/>
  </w:style>
  <w:style w:type="paragraph" w:styleId="Footer">
    <w:name w:val="footer"/>
    <w:basedOn w:val="Normal"/>
    <w:link w:val="FooterChar"/>
    <w:uiPriority w:val="99"/>
    <w:unhideWhenUsed/>
    <w:rsid w:val="00C70760"/>
    <w:pPr>
      <w:tabs>
        <w:tab w:val="center" w:pos="4252"/>
        <w:tab w:val="right" w:pos="8504"/>
      </w:tabs>
      <w:spacing w:after="0"/>
    </w:pPr>
  </w:style>
  <w:style w:type="character" w:customStyle="1" w:styleId="FooterChar">
    <w:name w:val="Footer Char"/>
    <w:basedOn w:val="DefaultParagraphFont"/>
    <w:link w:val="Footer"/>
    <w:uiPriority w:val="99"/>
    <w:rsid w:val="00C70760"/>
  </w:style>
  <w:style w:type="paragraph" w:styleId="ListParagraph">
    <w:name w:val="List Paragraph"/>
    <w:basedOn w:val="Normal"/>
    <w:uiPriority w:val="34"/>
    <w:qFormat/>
    <w:rsid w:val="002A1A89"/>
    <w:pPr>
      <w:ind w:left="720"/>
      <w:contextualSpacing/>
    </w:pPr>
  </w:style>
  <w:style w:type="character" w:customStyle="1" w:styleId="Heading1Char">
    <w:name w:val="Heading 1 Char"/>
    <w:basedOn w:val="DefaultParagraphFont"/>
    <w:link w:val="Heading1"/>
    <w:uiPriority w:val="9"/>
    <w:rsid w:val="002A1A89"/>
    <w:rPr>
      <w:rFonts w:ascii="Times New Roman" w:hAnsi="Times New Roman" w:cs="Times New Roman"/>
      <w:b/>
      <w:sz w:val="24"/>
      <w:szCs w:val="24"/>
      <w:lang w:val="en-US"/>
    </w:rPr>
  </w:style>
  <w:style w:type="paragraph" w:styleId="Title">
    <w:name w:val="Title"/>
    <w:basedOn w:val="Normal"/>
    <w:next w:val="Normal"/>
    <w:link w:val="TitleChar"/>
    <w:uiPriority w:val="10"/>
    <w:qFormat/>
    <w:rsid w:val="00600897"/>
    <w:pPr>
      <w:jc w:val="center"/>
    </w:pPr>
    <w:rPr>
      <w:b/>
    </w:rPr>
  </w:style>
  <w:style w:type="character" w:customStyle="1" w:styleId="TitleChar">
    <w:name w:val="Title Char"/>
    <w:basedOn w:val="DefaultParagraphFont"/>
    <w:link w:val="Title"/>
    <w:uiPriority w:val="10"/>
    <w:rsid w:val="00600897"/>
    <w:rPr>
      <w:rFonts w:ascii="Times New Roman" w:hAnsi="Times New Roman" w:cs="Times New Roman"/>
      <w:b/>
      <w:sz w:val="24"/>
      <w:szCs w:val="24"/>
      <w:lang w:val="en-US"/>
    </w:rPr>
  </w:style>
  <w:style w:type="character" w:customStyle="1" w:styleId="Heading2Char">
    <w:name w:val="Heading 2 Char"/>
    <w:basedOn w:val="DefaultParagraphFont"/>
    <w:link w:val="Heading2"/>
    <w:uiPriority w:val="9"/>
    <w:rsid w:val="00600897"/>
    <w:rPr>
      <w:rFonts w:ascii="Times New Roman" w:hAnsi="Times New Roman" w:cs="Times New Roman"/>
      <w:i/>
      <w:sz w:val="24"/>
      <w:szCs w:val="24"/>
      <w:lang w:val="en-US"/>
    </w:rPr>
  </w:style>
  <w:style w:type="paragraph" w:styleId="Caption">
    <w:name w:val="caption"/>
    <w:basedOn w:val="Normal"/>
    <w:next w:val="Normal"/>
    <w:uiPriority w:val="35"/>
    <w:unhideWhenUsed/>
    <w:qFormat/>
    <w:rsid w:val="00EB6943"/>
    <w:rPr>
      <w:i/>
      <w:iCs/>
      <w:color w:val="1F497D" w:themeColor="text2"/>
      <w:sz w:val="18"/>
      <w:szCs w:val="18"/>
    </w:rPr>
  </w:style>
  <w:style w:type="paragraph" w:customStyle="1" w:styleId="Style1">
    <w:name w:val="Style1"/>
    <w:basedOn w:val="Normal"/>
    <w:link w:val="Style1Char"/>
    <w:qFormat/>
    <w:rsid w:val="00EB6943"/>
    <w:pPr>
      <w:spacing w:after="0"/>
      <w:jc w:val="center"/>
    </w:pPr>
  </w:style>
  <w:style w:type="character" w:customStyle="1" w:styleId="Style1Char">
    <w:name w:val="Style1 Char"/>
    <w:basedOn w:val="DefaultParagraphFont"/>
    <w:link w:val="Style1"/>
    <w:rsid w:val="00EB6943"/>
    <w:rPr>
      <w:rFonts w:ascii="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78912854">
      <w:bodyDiv w:val="1"/>
      <w:marLeft w:val="0"/>
      <w:marRight w:val="0"/>
      <w:marTop w:val="0"/>
      <w:marBottom w:val="0"/>
      <w:divBdr>
        <w:top w:val="none" w:sz="0" w:space="0" w:color="auto"/>
        <w:left w:val="none" w:sz="0" w:space="0" w:color="auto"/>
        <w:bottom w:val="none" w:sz="0" w:space="0" w:color="auto"/>
        <w:right w:val="none" w:sz="0" w:space="0" w:color="auto"/>
      </w:divBdr>
    </w:div>
    <w:div w:id="303776373">
      <w:bodyDiv w:val="1"/>
      <w:marLeft w:val="0"/>
      <w:marRight w:val="0"/>
      <w:marTop w:val="0"/>
      <w:marBottom w:val="0"/>
      <w:divBdr>
        <w:top w:val="none" w:sz="0" w:space="0" w:color="auto"/>
        <w:left w:val="none" w:sz="0" w:space="0" w:color="auto"/>
        <w:bottom w:val="none" w:sz="0" w:space="0" w:color="auto"/>
        <w:right w:val="none" w:sz="0" w:space="0" w:color="auto"/>
      </w:divBdr>
      <w:divsChild>
        <w:div w:id="103154201">
          <w:marLeft w:val="0"/>
          <w:marRight w:val="0"/>
          <w:marTop w:val="0"/>
          <w:marBottom w:val="0"/>
          <w:divBdr>
            <w:top w:val="none" w:sz="0" w:space="0" w:color="auto"/>
            <w:left w:val="none" w:sz="0" w:space="0" w:color="auto"/>
            <w:bottom w:val="none" w:sz="0" w:space="0" w:color="auto"/>
            <w:right w:val="none" w:sz="0" w:space="0" w:color="auto"/>
          </w:divBdr>
          <w:divsChild>
            <w:div w:id="420183326">
              <w:marLeft w:val="0"/>
              <w:marRight w:val="0"/>
              <w:marTop w:val="0"/>
              <w:marBottom w:val="0"/>
              <w:divBdr>
                <w:top w:val="none" w:sz="0" w:space="0" w:color="auto"/>
                <w:left w:val="none" w:sz="0" w:space="0" w:color="auto"/>
                <w:bottom w:val="none" w:sz="0" w:space="0" w:color="auto"/>
                <w:right w:val="none" w:sz="0" w:space="0" w:color="auto"/>
              </w:divBdr>
              <w:divsChild>
                <w:div w:id="1928726786">
                  <w:marLeft w:val="0"/>
                  <w:marRight w:val="0"/>
                  <w:marTop w:val="0"/>
                  <w:marBottom w:val="0"/>
                  <w:divBdr>
                    <w:top w:val="none" w:sz="0" w:space="0" w:color="auto"/>
                    <w:left w:val="none" w:sz="0" w:space="0" w:color="auto"/>
                    <w:bottom w:val="none" w:sz="0" w:space="0" w:color="auto"/>
                    <w:right w:val="none" w:sz="0" w:space="0" w:color="auto"/>
                  </w:divBdr>
                  <w:divsChild>
                    <w:div w:id="2120290822">
                      <w:marLeft w:val="0"/>
                      <w:marRight w:val="0"/>
                      <w:marTop w:val="0"/>
                      <w:marBottom w:val="0"/>
                      <w:divBdr>
                        <w:top w:val="none" w:sz="0" w:space="0" w:color="auto"/>
                        <w:left w:val="none" w:sz="0" w:space="0" w:color="auto"/>
                        <w:bottom w:val="none" w:sz="0" w:space="0" w:color="auto"/>
                        <w:right w:val="none" w:sz="0" w:space="0" w:color="auto"/>
                      </w:divBdr>
                      <w:divsChild>
                        <w:div w:id="1978023720">
                          <w:marLeft w:val="0"/>
                          <w:marRight w:val="0"/>
                          <w:marTop w:val="0"/>
                          <w:marBottom w:val="0"/>
                          <w:divBdr>
                            <w:top w:val="none" w:sz="0" w:space="0" w:color="auto"/>
                            <w:left w:val="none" w:sz="0" w:space="0" w:color="auto"/>
                            <w:bottom w:val="none" w:sz="0" w:space="0" w:color="auto"/>
                            <w:right w:val="none" w:sz="0" w:space="0" w:color="auto"/>
                          </w:divBdr>
                          <w:divsChild>
                            <w:div w:id="15509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462561">
      <w:bodyDiv w:val="1"/>
      <w:marLeft w:val="0"/>
      <w:marRight w:val="0"/>
      <w:marTop w:val="0"/>
      <w:marBottom w:val="0"/>
      <w:divBdr>
        <w:top w:val="none" w:sz="0" w:space="0" w:color="auto"/>
        <w:left w:val="none" w:sz="0" w:space="0" w:color="auto"/>
        <w:bottom w:val="none" w:sz="0" w:space="0" w:color="auto"/>
        <w:right w:val="none" w:sz="0" w:space="0" w:color="auto"/>
      </w:divBdr>
    </w:div>
    <w:div w:id="577179224">
      <w:bodyDiv w:val="1"/>
      <w:marLeft w:val="0"/>
      <w:marRight w:val="0"/>
      <w:marTop w:val="0"/>
      <w:marBottom w:val="0"/>
      <w:divBdr>
        <w:top w:val="none" w:sz="0" w:space="0" w:color="auto"/>
        <w:left w:val="none" w:sz="0" w:space="0" w:color="auto"/>
        <w:bottom w:val="none" w:sz="0" w:space="0" w:color="auto"/>
        <w:right w:val="none" w:sz="0" w:space="0" w:color="auto"/>
      </w:divBdr>
    </w:div>
    <w:div w:id="659698224">
      <w:bodyDiv w:val="1"/>
      <w:marLeft w:val="0"/>
      <w:marRight w:val="0"/>
      <w:marTop w:val="0"/>
      <w:marBottom w:val="0"/>
      <w:divBdr>
        <w:top w:val="none" w:sz="0" w:space="0" w:color="auto"/>
        <w:left w:val="none" w:sz="0" w:space="0" w:color="auto"/>
        <w:bottom w:val="none" w:sz="0" w:space="0" w:color="auto"/>
        <w:right w:val="none" w:sz="0" w:space="0" w:color="auto"/>
      </w:divBdr>
    </w:div>
    <w:div w:id="822552726">
      <w:bodyDiv w:val="1"/>
      <w:marLeft w:val="0"/>
      <w:marRight w:val="0"/>
      <w:marTop w:val="0"/>
      <w:marBottom w:val="0"/>
      <w:divBdr>
        <w:top w:val="none" w:sz="0" w:space="0" w:color="auto"/>
        <w:left w:val="none" w:sz="0" w:space="0" w:color="auto"/>
        <w:bottom w:val="none" w:sz="0" w:space="0" w:color="auto"/>
        <w:right w:val="none" w:sz="0" w:space="0" w:color="auto"/>
      </w:divBdr>
    </w:div>
    <w:div w:id="1376613926">
      <w:bodyDiv w:val="1"/>
      <w:marLeft w:val="0"/>
      <w:marRight w:val="0"/>
      <w:marTop w:val="0"/>
      <w:marBottom w:val="0"/>
      <w:divBdr>
        <w:top w:val="none" w:sz="0" w:space="0" w:color="auto"/>
        <w:left w:val="none" w:sz="0" w:space="0" w:color="auto"/>
        <w:bottom w:val="none" w:sz="0" w:space="0" w:color="auto"/>
        <w:right w:val="none" w:sz="0" w:space="0" w:color="auto"/>
      </w:divBdr>
      <w:divsChild>
        <w:div w:id="370961538">
          <w:marLeft w:val="0"/>
          <w:marRight w:val="0"/>
          <w:marTop w:val="0"/>
          <w:marBottom w:val="0"/>
          <w:divBdr>
            <w:top w:val="none" w:sz="0" w:space="0" w:color="auto"/>
            <w:left w:val="none" w:sz="0" w:space="0" w:color="auto"/>
            <w:bottom w:val="none" w:sz="0" w:space="0" w:color="auto"/>
            <w:right w:val="none" w:sz="0" w:space="0" w:color="auto"/>
          </w:divBdr>
          <w:divsChild>
            <w:div w:id="413359925">
              <w:marLeft w:val="0"/>
              <w:marRight w:val="0"/>
              <w:marTop w:val="0"/>
              <w:marBottom w:val="0"/>
              <w:divBdr>
                <w:top w:val="none" w:sz="0" w:space="0" w:color="auto"/>
                <w:left w:val="none" w:sz="0" w:space="0" w:color="auto"/>
                <w:bottom w:val="none" w:sz="0" w:space="0" w:color="auto"/>
                <w:right w:val="none" w:sz="0" w:space="0" w:color="auto"/>
              </w:divBdr>
              <w:divsChild>
                <w:div w:id="81264964">
                  <w:marLeft w:val="0"/>
                  <w:marRight w:val="0"/>
                  <w:marTop w:val="0"/>
                  <w:marBottom w:val="0"/>
                  <w:divBdr>
                    <w:top w:val="none" w:sz="0" w:space="0" w:color="auto"/>
                    <w:left w:val="none" w:sz="0" w:space="0" w:color="auto"/>
                    <w:bottom w:val="none" w:sz="0" w:space="0" w:color="auto"/>
                    <w:right w:val="none" w:sz="0" w:space="0" w:color="auto"/>
                  </w:divBdr>
                  <w:divsChild>
                    <w:div w:id="918488965">
                      <w:marLeft w:val="0"/>
                      <w:marRight w:val="0"/>
                      <w:marTop w:val="0"/>
                      <w:marBottom w:val="0"/>
                      <w:divBdr>
                        <w:top w:val="none" w:sz="0" w:space="0" w:color="auto"/>
                        <w:left w:val="none" w:sz="0" w:space="0" w:color="auto"/>
                        <w:bottom w:val="none" w:sz="0" w:space="0" w:color="auto"/>
                        <w:right w:val="none" w:sz="0" w:space="0" w:color="auto"/>
                      </w:divBdr>
                      <w:divsChild>
                        <w:div w:id="940987763">
                          <w:marLeft w:val="0"/>
                          <w:marRight w:val="0"/>
                          <w:marTop w:val="0"/>
                          <w:marBottom w:val="0"/>
                          <w:divBdr>
                            <w:top w:val="none" w:sz="0" w:space="0" w:color="auto"/>
                            <w:left w:val="none" w:sz="0" w:space="0" w:color="auto"/>
                            <w:bottom w:val="none" w:sz="0" w:space="0" w:color="auto"/>
                            <w:right w:val="none" w:sz="0" w:space="0" w:color="auto"/>
                          </w:divBdr>
                          <w:divsChild>
                            <w:div w:id="57863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284389">
      <w:bodyDiv w:val="1"/>
      <w:marLeft w:val="0"/>
      <w:marRight w:val="0"/>
      <w:marTop w:val="0"/>
      <w:marBottom w:val="0"/>
      <w:divBdr>
        <w:top w:val="none" w:sz="0" w:space="0" w:color="auto"/>
        <w:left w:val="none" w:sz="0" w:space="0" w:color="auto"/>
        <w:bottom w:val="none" w:sz="0" w:space="0" w:color="auto"/>
        <w:right w:val="none" w:sz="0" w:space="0" w:color="auto"/>
      </w:divBdr>
    </w:div>
    <w:div w:id="1542671344">
      <w:bodyDiv w:val="1"/>
      <w:marLeft w:val="0"/>
      <w:marRight w:val="0"/>
      <w:marTop w:val="0"/>
      <w:marBottom w:val="0"/>
      <w:divBdr>
        <w:top w:val="none" w:sz="0" w:space="0" w:color="auto"/>
        <w:left w:val="none" w:sz="0" w:space="0" w:color="auto"/>
        <w:bottom w:val="none" w:sz="0" w:space="0" w:color="auto"/>
        <w:right w:val="none" w:sz="0" w:space="0" w:color="auto"/>
      </w:divBdr>
    </w:div>
    <w:div w:id="2040665972">
      <w:bodyDiv w:val="1"/>
      <w:marLeft w:val="0"/>
      <w:marRight w:val="0"/>
      <w:marTop w:val="0"/>
      <w:marBottom w:val="0"/>
      <w:divBdr>
        <w:top w:val="none" w:sz="0" w:space="0" w:color="auto"/>
        <w:left w:val="none" w:sz="0" w:space="0" w:color="auto"/>
        <w:bottom w:val="none" w:sz="0" w:space="0" w:color="auto"/>
        <w:right w:val="none" w:sz="0" w:space="0" w:color="auto"/>
      </w:divBdr>
      <w:divsChild>
        <w:div w:id="2092505653">
          <w:marLeft w:val="0"/>
          <w:marRight w:val="0"/>
          <w:marTop w:val="0"/>
          <w:marBottom w:val="0"/>
          <w:divBdr>
            <w:top w:val="none" w:sz="0" w:space="0" w:color="auto"/>
            <w:left w:val="none" w:sz="0" w:space="0" w:color="auto"/>
            <w:bottom w:val="none" w:sz="0" w:space="0" w:color="auto"/>
            <w:right w:val="none" w:sz="0" w:space="0" w:color="auto"/>
          </w:divBdr>
          <w:divsChild>
            <w:div w:id="1787001834">
              <w:marLeft w:val="0"/>
              <w:marRight w:val="0"/>
              <w:marTop w:val="0"/>
              <w:marBottom w:val="0"/>
              <w:divBdr>
                <w:top w:val="none" w:sz="0" w:space="0" w:color="auto"/>
                <w:left w:val="none" w:sz="0" w:space="0" w:color="auto"/>
                <w:bottom w:val="none" w:sz="0" w:space="0" w:color="auto"/>
                <w:right w:val="none" w:sz="0" w:space="0" w:color="auto"/>
              </w:divBdr>
              <w:divsChild>
                <w:div w:id="909653362">
                  <w:marLeft w:val="0"/>
                  <w:marRight w:val="0"/>
                  <w:marTop w:val="0"/>
                  <w:marBottom w:val="0"/>
                  <w:divBdr>
                    <w:top w:val="none" w:sz="0" w:space="0" w:color="auto"/>
                    <w:left w:val="none" w:sz="0" w:space="0" w:color="auto"/>
                    <w:bottom w:val="none" w:sz="0" w:space="0" w:color="auto"/>
                    <w:right w:val="none" w:sz="0" w:space="0" w:color="auto"/>
                  </w:divBdr>
                  <w:divsChild>
                    <w:div w:id="1940405564">
                      <w:marLeft w:val="0"/>
                      <w:marRight w:val="0"/>
                      <w:marTop w:val="0"/>
                      <w:marBottom w:val="0"/>
                      <w:divBdr>
                        <w:top w:val="none" w:sz="0" w:space="0" w:color="auto"/>
                        <w:left w:val="none" w:sz="0" w:space="0" w:color="auto"/>
                        <w:bottom w:val="none" w:sz="0" w:space="0" w:color="auto"/>
                        <w:right w:val="none" w:sz="0" w:space="0" w:color="auto"/>
                      </w:divBdr>
                      <w:divsChild>
                        <w:div w:id="1994329509">
                          <w:marLeft w:val="0"/>
                          <w:marRight w:val="0"/>
                          <w:marTop w:val="0"/>
                          <w:marBottom w:val="0"/>
                          <w:divBdr>
                            <w:top w:val="none" w:sz="0" w:space="0" w:color="auto"/>
                            <w:left w:val="none" w:sz="0" w:space="0" w:color="auto"/>
                            <w:bottom w:val="none" w:sz="0" w:space="0" w:color="auto"/>
                            <w:right w:val="none" w:sz="0" w:space="0" w:color="auto"/>
                          </w:divBdr>
                          <w:divsChild>
                            <w:div w:id="17948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142637">
      <w:bodyDiv w:val="1"/>
      <w:marLeft w:val="0"/>
      <w:marRight w:val="0"/>
      <w:marTop w:val="0"/>
      <w:marBottom w:val="0"/>
      <w:divBdr>
        <w:top w:val="none" w:sz="0" w:space="0" w:color="auto"/>
        <w:left w:val="none" w:sz="0" w:space="0" w:color="auto"/>
        <w:bottom w:val="none" w:sz="0" w:space="0" w:color="auto"/>
        <w:right w:val="none" w:sz="0" w:space="0" w:color="auto"/>
      </w:divBdr>
    </w:div>
    <w:div w:id="2074431308">
      <w:bodyDiv w:val="1"/>
      <w:marLeft w:val="0"/>
      <w:marRight w:val="0"/>
      <w:marTop w:val="0"/>
      <w:marBottom w:val="0"/>
      <w:divBdr>
        <w:top w:val="none" w:sz="0" w:space="0" w:color="auto"/>
        <w:left w:val="none" w:sz="0" w:space="0" w:color="auto"/>
        <w:bottom w:val="none" w:sz="0" w:space="0" w:color="auto"/>
        <w:right w:val="none" w:sz="0" w:space="0" w:color="auto"/>
      </w:divBdr>
    </w:div>
    <w:div w:id="210714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hyperlink" Target="http://www.anpec.org.br/encontro/2014/submissao/files_I/i11-25fc953b76932e297817c0ca6be901bf.pdf" TargetMode="Externa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Windows\Dropbox\1.%20Artigos\Paper_LP\LeontiefGhosh\Resum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style val="1"/>
  <c:chart>
    <c:autoTitleDeleted val="1"/>
    <c:plotArea>
      <c:layout/>
      <c:scatterChart>
        <c:scatterStyle val="smoothMarker"/>
        <c:ser>
          <c:idx val="0"/>
          <c:order val="0"/>
          <c:tx>
            <c:strRef>
              <c:f>GráficoLeontief!$B$1</c:f>
              <c:strCache>
                <c:ptCount val="1"/>
                <c:pt idx="0">
                  <c:v>Percentage change in final demand</c:v>
                </c:pt>
              </c:strCache>
            </c:strRef>
          </c:tx>
          <c:spPr>
            <a:ln w="9525" cap="rnd">
              <a:solidFill>
                <a:schemeClr val="dk1">
                  <a:tint val="88500"/>
                </a:schemeClr>
              </a:solidFill>
              <a:round/>
            </a:ln>
            <a:effectLst>
              <a:outerShdw blurRad="40000" dist="23000" dir="5400000" rotWithShape="0">
                <a:srgbClr val="000000">
                  <a:alpha val="35000"/>
                </a:srgbClr>
              </a:outerShdw>
            </a:effectLst>
          </c:spPr>
          <c:marker>
            <c:symbol val="circle"/>
            <c:size val="6"/>
            <c:spPr>
              <a:gradFill rotWithShape="1">
                <a:gsLst>
                  <a:gs pos="0">
                    <a:schemeClr val="dk1">
                      <a:tint val="88500"/>
                      <a:shade val="51000"/>
                      <a:satMod val="130000"/>
                    </a:schemeClr>
                  </a:gs>
                  <a:gs pos="80000">
                    <a:schemeClr val="dk1">
                      <a:tint val="88500"/>
                      <a:shade val="93000"/>
                      <a:satMod val="130000"/>
                    </a:schemeClr>
                  </a:gs>
                  <a:gs pos="100000">
                    <a:schemeClr val="dk1">
                      <a:tint val="88500"/>
                      <a:shade val="94000"/>
                      <a:satMod val="135000"/>
                    </a:schemeClr>
                  </a:gs>
                </a:gsLst>
                <a:lin ang="16200000" scaled="0"/>
              </a:gradFill>
              <a:ln w="9525" cap="rnd">
                <a:solidFill>
                  <a:schemeClr val="dk1">
                    <a:tint val="88500"/>
                  </a:schemeClr>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GráficoLeontief!$A$2:$A$41</c:f>
              <c:numCache>
                <c:formatCode>0.00%</c:formatCode>
                <c:ptCount val="40"/>
                <c:pt idx="0">
                  <c:v>1.0999999999999998E-2</c:v>
                </c:pt>
                <c:pt idx="1">
                  <c:v>1.2E-2</c:v>
                </c:pt>
                <c:pt idx="2">
                  <c:v>1.2999999999999998E-2</c:v>
                </c:pt>
                <c:pt idx="3">
                  <c:v>1.4E-2</c:v>
                </c:pt>
                <c:pt idx="4">
                  <c:v>1.4999999999999998E-2</c:v>
                </c:pt>
                <c:pt idx="5">
                  <c:v>1.6000000000000021E-2</c:v>
                </c:pt>
                <c:pt idx="6">
                  <c:v>1.7000000000000001E-2</c:v>
                </c:pt>
                <c:pt idx="7">
                  <c:v>1.7999999999999999E-2</c:v>
                </c:pt>
                <c:pt idx="8">
                  <c:v>1.9000000000000034E-2</c:v>
                </c:pt>
                <c:pt idx="9">
                  <c:v>2.0000000000000011E-2</c:v>
                </c:pt>
                <c:pt idx="10">
                  <c:v>2.1000000000000012E-2</c:v>
                </c:pt>
                <c:pt idx="11">
                  <c:v>2.1999999999999999E-2</c:v>
                </c:pt>
                <c:pt idx="12">
                  <c:v>2.3E-2</c:v>
                </c:pt>
                <c:pt idx="13">
                  <c:v>2.4E-2</c:v>
                </c:pt>
                <c:pt idx="14">
                  <c:v>2.5000000000000001E-2</c:v>
                </c:pt>
                <c:pt idx="15">
                  <c:v>3.0000000000000002E-2</c:v>
                </c:pt>
                <c:pt idx="16">
                  <c:v>4.0000000000000022E-2</c:v>
                </c:pt>
                <c:pt idx="17">
                  <c:v>4.5000000000000012E-2</c:v>
                </c:pt>
                <c:pt idx="18">
                  <c:v>0.05</c:v>
                </c:pt>
                <c:pt idx="19">
                  <c:v>5.1000000000000004E-2</c:v>
                </c:pt>
              </c:numCache>
            </c:numRef>
          </c:xVal>
          <c:yVal>
            <c:numRef>
              <c:f>GráficoLeontief!$B$2:$B$41</c:f>
              <c:numCache>
                <c:formatCode>0.00</c:formatCode>
                <c:ptCount val="40"/>
                <c:pt idx="0">
                  <c:v>-0.51374212721952861</c:v>
                </c:pt>
                <c:pt idx="1">
                  <c:v>-0.41349966086942824</c:v>
                </c:pt>
                <c:pt idx="2">
                  <c:v>-0.35364494056579293</c:v>
                </c:pt>
                <c:pt idx="3">
                  <c:v>-0.29615123662545745</c:v>
                </c:pt>
                <c:pt idx="4">
                  <c:v>-0.25816664579072085</c:v>
                </c:pt>
                <c:pt idx="5">
                  <c:v>-0.22276040337080721</c:v>
                </c:pt>
                <c:pt idx="6">
                  <c:v>-0.20460533002216108</c:v>
                </c:pt>
                <c:pt idx="7">
                  <c:v>-0.19362638608460495</c:v>
                </c:pt>
                <c:pt idx="8">
                  <c:v>-0.1826474421470646</c:v>
                </c:pt>
                <c:pt idx="9">
                  <c:v>-0.17285376511179992</c:v>
                </c:pt>
                <c:pt idx="10">
                  <c:v>-0.16896754307931294</c:v>
                </c:pt>
                <c:pt idx="11">
                  <c:v>-0.16508132104685433</c:v>
                </c:pt>
                <c:pt idx="12">
                  <c:v>-0.16119509901438153</c:v>
                </c:pt>
                <c:pt idx="13">
                  <c:v>-0.15730887698190874</c:v>
                </c:pt>
                <c:pt idx="14">
                  <c:v>-0.15342265494942176</c:v>
                </c:pt>
                <c:pt idx="15">
                  <c:v>-0.13399154478707229</c:v>
                </c:pt>
                <c:pt idx="16">
                  <c:v>-9.5129324462445528E-2</c:v>
                </c:pt>
                <c:pt idx="17">
                  <c:v>-7.5698214300081584E-2</c:v>
                </c:pt>
                <c:pt idx="18">
                  <c:v>-5.7823455446996914E-2</c:v>
                </c:pt>
                <c:pt idx="19">
                  <c:v>-5.5805332813456912E-2</c:v>
                </c:pt>
              </c:numCache>
            </c:numRef>
          </c:yVal>
          <c:smooth val="1"/>
        </c:ser>
        <c:ser>
          <c:idx val="1"/>
          <c:order val="1"/>
          <c:tx>
            <c:strRef>
              <c:f>GráficoLeontief!$C$1</c:f>
              <c:strCache>
                <c:ptCount val="1"/>
                <c:pt idx="0">
                  <c:v>Percentage change in total production</c:v>
                </c:pt>
              </c:strCache>
            </c:strRef>
          </c:tx>
          <c:spPr>
            <a:ln w="9525" cap="rnd">
              <a:solidFill>
                <a:schemeClr val="dk1">
                  <a:tint val="55000"/>
                </a:schemeClr>
              </a:solidFill>
              <a:round/>
            </a:ln>
            <a:effectLst>
              <a:outerShdw blurRad="40000" dist="23000" dir="5400000" rotWithShape="0">
                <a:srgbClr val="000000">
                  <a:alpha val="35000"/>
                </a:srgbClr>
              </a:outerShdw>
            </a:effectLst>
          </c:spPr>
          <c:marker>
            <c:symbol val="circle"/>
            <c:size val="6"/>
            <c:spPr>
              <a:gradFill rotWithShape="1">
                <a:gsLst>
                  <a:gs pos="0">
                    <a:schemeClr val="dk1">
                      <a:tint val="55000"/>
                      <a:shade val="51000"/>
                      <a:satMod val="130000"/>
                    </a:schemeClr>
                  </a:gs>
                  <a:gs pos="80000">
                    <a:schemeClr val="dk1">
                      <a:tint val="55000"/>
                      <a:shade val="93000"/>
                      <a:satMod val="130000"/>
                    </a:schemeClr>
                  </a:gs>
                  <a:gs pos="100000">
                    <a:schemeClr val="dk1">
                      <a:tint val="55000"/>
                      <a:shade val="94000"/>
                      <a:satMod val="135000"/>
                    </a:schemeClr>
                  </a:gs>
                </a:gsLst>
                <a:lin ang="16200000" scaled="0"/>
              </a:gradFill>
              <a:ln w="9525" cap="rnd">
                <a:solidFill>
                  <a:schemeClr val="dk1">
                    <a:tint val="55000"/>
                  </a:schemeClr>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GráficoLeontief!$A$2:$A$21</c:f>
              <c:numCache>
                <c:formatCode>0.00%</c:formatCode>
                <c:ptCount val="20"/>
                <c:pt idx="0">
                  <c:v>1.0999999999999998E-2</c:v>
                </c:pt>
                <c:pt idx="1">
                  <c:v>1.2E-2</c:v>
                </c:pt>
                <c:pt idx="2">
                  <c:v>1.2999999999999998E-2</c:v>
                </c:pt>
                <c:pt idx="3">
                  <c:v>1.4E-2</c:v>
                </c:pt>
                <c:pt idx="4">
                  <c:v>1.4999999999999998E-2</c:v>
                </c:pt>
                <c:pt idx="5">
                  <c:v>1.6000000000000021E-2</c:v>
                </c:pt>
                <c:pt idx="6">
                  <c:v>1.7000000000000001E-2</c:v>
                </c:pt>
                <c:pt idx="7">
                  <c:v>1.7999999999999999E-2</c:v>
                </c:pt>
                <c:pt idx="8">
                  <c:v>1.9000000000000034E-2</c:v>
                </c:pt>
                <c:pt idx="9">
                  <c:v>2.0000000000000011E-2</c:v>
                </c:pt>
                <c:pt idx="10">
                  <c:v>2.1000000000000012E-2</c:v>
                </c:pt>
                <c:pt idx="11">
                  <c:v>2.1999999999999999E-2</c:v>
                </c:pt>
                <c:pt idx="12">
                  <c:v>2.3E-2</c:v>
                </c:pt>
                <c:pt idx="13">
                  <c:v>2.4E-2</c:v>
                </c:pt>
                <c:pt idx="14">
                  <c:v>2.5000000000000001E-2</c:v>
                </c:pt>
                <c:pt idx="15">
                  <c:v>3.0000000000000002E-2</c:v>
                </c:pt>
                <c:pt idx="16">
                  <c:v>4.0000000000000022E-2</c:v>
                </c:pt>
                <c:pt idx="17">
                  <c:v>4.5000000000000012E-2</c:v>
                </c:pt>
                <c:pt idx="18">
                  <c:v>0.05</c:v>
                </c:pt>
                <c:pt idx="19">
                  <c:v>5.1000000000000004E-2</c:v>
                </c:pt>
              </c:numCache>
            </c:numRef>
          </c:xVal>
          <c:yVal>
            <c:numRef>
              <c:f>GráficoLeontief!$C$2:$C$21</c:f>
              <c:numCache>
                <c:formatCode>0.00</c:formatCode>
                <c:ptCount val="20"/>
                <c:pt idx="0">
                  <c:v>-0.5982188056271075</c:v>
                </c:pt>
                <c:pt idx="1">
                  <c:v>-0.47854752000870454</c:v>
                </c:pt>
                <c:pt idx="2">
                  <c:v>-0.41377559150451282</c:v>
                </c:pt>
                <c:pt idx="3">
                  <c:v>-0.35708378879898306</c:v>
                </c:pt>
                <c:pt idx="4">
                  <c:v>-0.316656804026203</c:v>
                </c:pt>
                <c:pt idx="5">
                  <c:v>-0.28239892459216831</c:v>
                </c:pt>
                <c:pt idx="6">
                  <c:v>-0.26038245089813139</c:v>
                </c:pt>
                <c:pt idx="7">
                  <c:v>-0.25154243558837303</c:v>
                </c:pt>
                <c:pt idx="8">
                  <c:v>-0.24270242027868272</c:v>
                </c:pt>
                <c:pt idx="9">
                  <c:v>-0.23435073228568037</c:v>
                </c:pt>
                <c:pt idx="10">
                  <c:v>-0.22843290256034893</c:v>
                </c:pt>
                <c:pt idx="11">
                  <c:v>-0.22251507283489749</c:v>
                </c:pt>
                <c:pt idx="12">
                  <c:v>-0.21659724310951478</c:v>
                </c:pt>
                <c:pt idx="13">
                  <c:v>-0.21067941338413146</c:v>
                </c:pt>
                <c:pt idx="14">
                  <c:v>-0.20476158365876543</c:v>
                </c:pt>
                <c:pt idx="15">
                  <c:v>-0.17517243503178201</c:v>
                </c:pt>
                <c:pt idx="16">
                  <c:v>-0.11599413777800321</c:v>
                </c:pt>
                <c:pt idx="17">
                  <c:v>-8.6404989151071046E-2</c:v>
                </c:pt>
                <c:pt idx="18">
                  <c:v>-6.4047883217662555E-2</c:v>
                </c:pt>
                <c:pt idx="19">
                  <c:v>-6.1633469619196891E-2</c:v>
                </c:pt>
              </c:numCache>
            </c:numRef>
          </c:yVal>
          <c:smooth val="1"/>
        </c:ser>
        <c:axId val="115651328"/>
        <c:axId val="129543168"/>
      </c:scatterChart>
      <c:valAx>
        <c:axId val="115651328"/>
        <c:scaling>
          <c:orientation val="minMax"/>
          <c:max val="5.3000000000000012E-2"/>
          <c:min val="1.0000000000000005E-2"/>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pt-BR"/>
                  <a:t>Maximum percentage reduction</a:t>
                </a:r>
                <a:r>
                  <a:rPr lang="pt-BR" baseline="0"/>
                  <a:t> </a:t>
                </a:r>
                <a:r>
                  <a:rPr lang="pt-BR"/>
                  <a:t>allowed in final demand</a:t>
                </a:r>
              </a:p>
            </c:rich>
          </c:tx>
          <c:layout>
            <c:manualLayout>
              <c:xMode val="edge"/>
              <c:yMode val="edge"/>
              <c:x val="0.29174278051844832"/>
              <c:y val="0.83952937308322462"/>
            </c:manualLayout>
          </c:layout>
          <c:spPr>
            <a:noFill/>
            <a:ln>
              <a:noFill/>
            </a:ln>
            <a:effectLst/>
          </c:spPr>
        </c:title>
        <c:numFmt formatCode="0.00%" sourceLinked="1"/>
        <c:majorTickMark val="none"/>
        <c:tickLblPos val="low"/>
        <c:spPr>
          <a:noFill/>
          <a:ln>
            <a:noFill/>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129543168"/>
        <c:crosses val="autoZero"/>
        <c:crossBetween val="midCat"/>
      </c:valAx>
      <c:valAx>
        <c:axId val="129543168"/>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pt-BR"/>
                  <a:t>Percentage change in final demand/production</a:t>
                </a:r>
              </a:p>
            </c:rich>
          </c:tx>
          <c:spPr>
            <a:noFill/>
            <a:ln>
              <a:noFill/>
            </a:ln>
            <a:effectLst/>
          </c:spPr>
        </c:title>
        <c:numFmt formatCode="0.00" sourceLinked="1"/>
        <c:maj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115651328"/>
        <c:crosses val="autoZero"/>
        <c:crossBetween val="midCat"/>
      </c:valAx>
      <c:spPr>
        <a:noFill/>
        <a:ln>
          <a:noFill/>
        </a:ln>
        <a:effectLst/>
      </c:spPr>
    </c:plotArea>
    <c:legend>
      <c:legendPos val="b"/>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legend>
    <c:plotVisOnly val="1"/>
    <c:dispBlanksAs val="gap"/>
  </c:chart>
  <c:spPr>
    <a:solidFill>
      <a:schemeClr val="bg1">
        <a:lumMod val="95000"/>
      </a:schemeClr>
    </a:solidFill>
    <a:ln w="9525" cap="flat" cmpd="sng" algn="ctr">
      <a:noFill/>
      <a:round/>
    </a:ln>
    <a:effectLst/>
  </c:spPr>
  <c:txPr>
    <a:bodyPr/>
    <a:lstStyle/>
    <a:p>
      <a:pPr>
        <a:defRPr sz="1050">
          <a:solidFill>
            <a:sysClr val="windowText" lastClr="000000"/>
          </a:solidFill>
          <a:latin typeface="Times New Roman" panose="02020603050405020304" pitchFamily="18" charset="0"/>
          <a:cs typeface="Times New Roman" panose="02020603050405020304" pitchFamily="18" charset="0"/>
        </a:defRPr>
      </a:pPr>
      <a:endParaRPr lang="pt-BR"/>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1E1DC4-1888-4FBE-AF3E-D4795DB39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4563</Words>
  <Characters>24641</Characters>
  <Application>Microsoft Office Word</Application>
  <DocSecurity>0</DocSecurity>
  <Lines>205</Lines>
  <Paragraphs>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29146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2015-07-11T14:19:00Z</dcterms:created>
  <dcterms:modified xsi:type="dcterms:W3CDTF">2015-07-12T17:39:00Z</dcterms:modified>
</cp:coreProperties>
</file>