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6C1" w:rsidRPr="00F6269C" w:rsidRDefault="00F6269C" w:rsidP="006861BB">
      <w:pPr>
        <w:jc w:val="center"/>
        <w:rPr>
          <w:b/>
          <w:color w:val="000000" w:themeColor="text1"/>
          <w:lang w:val="en-US"/>
        </w:rPr>
      </w:pPr>
      <w:r w:rsidRPr="00F6269C">
        <w:rPr>
          <w:b/>
          <w:color w:val="000000" w:themeColor="text1"/>
          <w:lang w:val="en-US"/>
        </w:rPr>
        <w:t xml:space="preserve"> </w:t>
      </w:r>
      <w:r w:rsidR="00E878EF" w:rsidRPr="00F6269C">
        <w:rPr>
          <w:b/>
          <w:color w:val="000000" w:themeColor="text1"/>
          <w:lang w:val="en-US"/>
        </w:rPr>
        <w:t xml:space="preserve">Measuring the Profit </w:t>
      </w:r>
      <w:r w:rsidR="00933773" w:rsidRPr="00F6269C">
        <w:rPr>
          <w:b/>
          <w:color w:val="000000" w:themeColor="text1"/>
          <w:lang w:val="en-US"/>
        </w:rPr>
        <w:t xml:space="preserve">Rate at </w:t>
      </w:r>
      <w:r w:rsidR="002C0996" w:rsidRPr="00F6269C">
        <w:rPr>
          <w:b/>
          <w:color w:val="000000" w:themeColor="text1"/>
          <w:lang w:val="en-US"/>
        </w:rPr>
        <w:t>H</w:t>
      </w:r>
      <w:r w:rsidR="00933773" w:rsidRPr="00F6269C">
        <w:rPr>
          <w:b/>
          <w:color w:val="000000" w:themeColor="text1"/>
          <w:lang w:val="en-US"/>
        </w:rPr>
        <w:t xml:space="preserve">istorical </w:t>
      </w:r>
      <w:r w:rsidR="00F90D01" w:rsidRPr="00F6269C">
        <w:rPr>
          <w:b/>
          <w:color w:val="000000" w:themeColor="text1"/>
          <w:lang w:val="en-US"/>
        </w:rPr>
        <w:t xml:space="preserve">and Current </w:t>
      </w:r>
      <w:r w:rsidR="00E878EF" w:rsidRPr="00F6269C">
        <w:rPr>
          <w:b/>
          <w:color w:val="000000" w:themeColor="text1"/>
          <w:lang w:val="en-US"/>
        </w:rPr>
        <w:t>C</w:t>
      </w:r>
      <w:r w:rsidR="009F4C81" w:rsidRPr="00F6269C">
        <w:rPr>
          <w:b/>
          <w:color w:val="000000" w:themeColor="text1"/>
          <w:lang w:val="en-US"/>
        </w:rPr>
        <w:t>ost</w:t>
      </w:r>
      <w:r w:rsidR="00B851A7" w:rsidRPr="00F6269C">
        <w:rPr>
          <w:b/>
          <w:color w:val="000000" w:themeColor="text1"/>
          <w:lang w:val="en-US"/>
        </w:rPr>
        <w:t>s</w:t>
      </w:r>
      <w:r w:rsidR="004F7458" w:rsidRPr="00F6269C">
        <w:rPr>
          <w:b/>
          <w:color w:val="000000" w:themeColor="text1"/>
          <w:lang w:val="en-US"/>
        </w:rPr>
        <w:t xml:space="preserve"> </w:t>
      </w:r>
      <w:r w:rsidR="00C646C1" w:rsidRPr="00F6269C">
        <w:rPr>
          <w:b/>
          <w:color w:val="000000" w:themeColor="text1"/>
          <w:lang w:val="en-US"/>
        </w:rPr>
        <w:t xml:space="preserve">in </w:t>
      </w:r>
      <w:r w:rsidR="002D2B31" w:rsidRPr="00F6269C">
        <w:rPr>
          <w:b/>
          <w:color w:val="000000" w:themeColor="text1"/>
          <w:lang w:val="en-US"/>
        </w:rPr>
        <w:t>a High Inflation</w:t>
      </w:r>
      <w:r w:rsidR="004F7458" w:rsidRPr="00F6269C">
        <w:rPr>
          <w:b/>
          <w:color w:val="000000" w:themeColor="text1"/>
          <w:lang w:val="en-US"/>
        </w:rPr>
        <w:t xml:space="preserve"> </w:t>
      </w:r>
      <w:r w:rsidR="00E878EF" w:rsidRPr="00F6269C">
        <w:rPr>
          <w:b/>
          <w:color w:val="000000" w:themeColor="text1"/>
          <w:lang w:val="en-US"/>
        </w:rPr>
        <w:t>C</w:t>
      </w:r>
      <w:r w:rsidR="00C646C1" w:rsidRPr="00F6269C">
        <w:rPr>
          <w:b/>
          <w:color w:val="000000" w:themeColor="text1"/>
          <w:lang w:val="en-US"/>
        </w:rPr>
        <w:t xml:space="preserve">ontext </w:t>
      </w:r>
    </w:p>
    <w:p w:rsidR="00C646C1" w:rsidRPr="00F6269C" w:rsidRDefault="00C646C1" w:rsidP="006861BB">
      <w:pPr>
        <w:pStyle w:val="ecxdefault"/>
        <w:shd w:val="clear" w:color="auto" w:fill="FFFFFF"/>
        <w:spacing w:before="0" w:beforeAutospacing="0" w:after="0" w:afterAutospacing="0"/>
        <w:jc w:val="both"/>
        <w:rPr>
          <w:color w:val="000000" w:themeColor="text1"/>
          <w:lang w:val="en-US"/>
        </w:rPr>
      </w:pPr>
    </w:p>
    <w:p w:rsidR="000B4BC6" w:rsidRPr="00F6269C" w:rsidRDefault="000B4BC6" w:rsidP="006861BB">
      <w:pPr>
        <w:pStyle w:val="DefaultText"/>
        <w:jc w:val="center"/>
        <w:rPr>
          <w:color w:val="000000" w:themeColor="text1"/>
          <w:lang w:val="pt-BR"/>
        </w:rPr>
      </w:pPr>
      <w:r w:rsidRPr="00F6269C">
        <w:rPr>
          <w:color w:val="000000" w:themeColor="text1"/>
          <w:lang w:val="pt-BR"/>
        </w:rPr>
        <w:t>Adalmir</w:t>
      </w:r>
      <w:r w:rsidR="00433571">
        <w:rPr>
          <w:color w:val="000000" w:themeColor="text1"/>
          <w:lang w:val="pt-BR"/>
        </w:rPr>
        <w:t xml:space="preserve"> Antonio </w:t>
      </w:r>
      <w:r w:rsidRPr="00F6269C">
        <w:rPr>
          <w:color w:val="000000" w:themeColor="text1"/>
          <w:lang w:val="pt-BR"/>
        </w:rPr>
        <w:t>Marquetti</w:t>
      </w:r>
    </w:p>
    <w:p w:rsidR="000B4BC6" w:rsidRPr="00F6269C" w:rsidRDefault="000B4BC6" w:rsidP="006861BB">
      <w:pPr>
        <w:pStyle w:val="DefaultText"/>
        <w:jc w:val="center"/>
        <w:rPr>
          <w:color w:val="000000" w:themeColor="text1"/>
          <w:lang w:val="pt-BR"/>
        </w:rPr>
      </w:pPr>
      <w:r w:rsidRPr="00F6269C">
        <w:rPr>
          <w:color w:val="000000" w:themeColor="text1"/>
          <w:lang w:val="pt-BR"/>
        </w:rPr>
        <w:t xml:space="preserve">Departamento de Economia </w:t>
      </w:r>
      <w:proofErr w:type="spellStart"/>
      <w:r w:rsidRPr="00F6269C">
        <w:rPr>
          <w:color w:val="000000" w:themeColor="text1"/>
          <w:lang w:val="pt-BR"/>
        </w:rPr>
        <w:t>and</w:t>
      </w:r>
      <w:proofErr w:type="spellEnd"/>
      <w:r w:rsidRPr="00F6269C">
        <w:rPr>
          <w:color w:val="000000" w:themeColor="text1"/>
          <w:lang w:val="pt-BR"/>
        </w:rPr>
        <w:t xml:space="preserve"> Programa de Pós-Graduação em Economia, Pontifícia Universidade Católica do Rio Grande do Sul - </w:t>
      </w:r>
      <w:proofErr w:type="gramStart"/>
      <w:r w:rsidRPr="00F6269C">
        <w:rPr>
          <w:color w:val="000000" w:themeColor="text1"/>
          <w:lang w:val="pt-BR"/>
        </w:rPr>
        <w:t>PUCRS</w:t>
      </w:r>
      <w:proofErr w:type="gramEnd"/>
    </w:p>
    <w:p w:rsidR="000B4BC6" w:rsidRPr="00F6269C" w:rsidRDefault="000B4BC6" w:rsidP="006861BB">
      <w:pPr>
        <w:pStyle w:val="DefaultText"/>
        <w:jc w:val="center"/>
        <w:rPr>
          <w:color w:val="000000" w:themeColor="text1"/>
          <w:lang w:val="pt-BR"/>
        </w:rPr>
      </w:pPr>
      <w:proofErr w:type="gramStart"/>
      <w:r w:rsidRPr="00F6269C">
        <w:rPr>
          <w:color w:val="000000" w:themeColor="text1"/>
          <w:lang w:val="pt-BR"/>
        </w:rPr>
        <w:t>e-mail</w:t>
      </w:r>
      <w:proofErr w:type="gramEnd"/>
      <w:r w:rsidRPr="00F6269C">
        <w:rPr>
          <w:color w:val="000000" w:themeColor="text1"/>
          <w:lang w:val="pt-BR"/>
        </w:rPr>
        <w:t xml:space="preserve">: </w:t>
      </w:r>
      <w:hyperlink r:id="rId8" w:history="1">
        <w:r w:rsidRPr="00F6269C">
          <w:rPr>
            <w:rStyle w:val="Internetlink"/>
            <w:color w:val="000000" w:themeColor="text1"/>
            <w:u w:val="none"/>
          </w:rPr>
          <w:t>aam@pucrs.br</w:t>
        </w:r>
      </w:hyperlink>
    </w:p>
    <w:p w:rsidR="000B4BC6" w:rsidRPr="00F6269C" w:rsidRDefault="000B4BC6" w:rsidP="006861BB">
      <w:pPr>
        <w:pStyle w:val="DefaultText"/>
        <w:jc w:val="center"/>
        <w:rPr>
          <w:color w:val="000000" w:themeColor="text1"/>
          <w:lang w:val="pt-BR"/>
        </w:rPr>
      </w:pPr>
    </w:p>
    <w:p w:rsidR="000B4BC6" w:rsidRPr="00F6269C" w:rsidRDefault="000B4BC6" w:rsidP="006861BB">
      <w:pPr>
        <w:pStyle w:val="DefaultText"/>
        <w:jc w:val="center"/>
        <w:rPr>
          <w:color w:val="000000" w:themeColor="text1"/>
          <w:lang w:val="pt-BR"/>
        </w:rPr>
      </w:pPr>
      <w:r w:rsidRPr="00F6269C">
        <w:rPr>
          <w:color w:val="000000" w:themeColor="text1"/>
          <w:lang w:val="pt-BR"/>
        </w:rPr>
        <w:t>Henrique Morrone</w:t>
      </w:r>
    </w:p>
    <w:p w:rsidR="000B4BC6" w:rsidRPr="00F6269C" w:rsidRDefault="000B4BC6" w:rsidP="006861BB">
      <w:pPr>
        <w:pStyle w:val="DefaultText"/>
        <w:jc w:val="center"/>
        <w:rPr>
          <w:color w:val="000000" w:themeColor="text1"/>
          <w:lang w:val="pt-BR"/>
        </w:rPr>
      </w:pPr>
      <w:r w:rsidRPr="00F6269C">
        <w:rPr>
          <w:color w:val="000000" w:themeColor="text1"/>
          <w:lang w:val="pt-BR"/>
        </w:rPr>
        <w:t xml:space="preserve">Departamento de Ciências Econômicas </w:t>
      </w:r>
      <w:proofErr w:type="spellStart"/>
      <w:r w:rsidRPr="00F6269C">
        <w:rPr>
          <w:color w:val="000000" w:themeColor="text1"/>
          <w:lang w:val="pt-BR"/>
        </w:rPr>
        <w:t>and</w:t>
      </w:r>
      <w:proofErr w:type="spellEnd"/>
      <w:r w:rsidRPr="00F6269C">
        <w:rPr>
          <w:color w:val="000000" w:themeColor="text1"/>
          <w:lang w:val="pt-BR"/>
        </w:rPr>
        <w:t xml:space="preserve"> Programa de Pós-graduação em Economia, Universidade Federal do Rio Grande do Sul - </w:t>
      </w:r>
      <w:proofErr w:type="gramStart"/>
      <w:r w:rsidRPr="00F6269C">
        <w:rPr>
          <w:color w:val="000000" w:themeColor="text1"/>
          <w:lang w:val="pt-BR"/>
        </w:rPr>
        <w:t>UFRGS</w:t>
      </w:r>
      <w:proofErr w:type="gramEnd"/>
    </w:p>
    <w:p w:rsidR="000B4BC6" w:rsidRPr="00F6269C" w:rsidRDefault="000B4BC6" w:rsidP="006861BB">
      <w:pPr>
        <w:pStyle w:val="DefaultText"/>
        <w:jc w:val="center"/>
        <w:rPr>
          <w:color w:val="000000" w:themeColor="text1"/>
          <w:lang w:val="pt-BR"/>
        </w:rPr>
      </w:pPr>
      <w:proofErr w:type="gramStart"/>
      <w:r w:rsidRPr="00F6269C">
        <w:rPr>
          <w:color w:val="000000" w:themeColor="text1"/>
          <w:lang w:val="pt-BR"/>
        </w:rPr>
        <w:t>e-mail</w:t>
      </w:r>
      <w:proofErr w:type="gramEnd"/>
      <w:r w:rsidRPr="00F6269C">
        <w:rPr>
          <w:color w:val="000000" w:themeColor="text1"/>
          <w:lang w:val="pt-BR"/>
        </w:rPr>
        <w:t xml:space="preserve">: </w:t>
      </w:r>
      <w:r w:rsidR="003F52FE" w:rsidRPr="00F6269C">
        <w:rPr>
          <w:color w:val="000000" w:themeColor="text1"/>
          <w:lang w:val="pt-BR"/>
        </w:rPr>
        <w:t>henrique.morrone@ufrgs.br</w:t>
      </w:r>
    </w:p>
    <w:p w:rsidR="000B4BC6" w:rsidRPr="00F6269C" w:rsidRDefault="000B4BC6" w:rsidP="006861BB">
      <w:pPr>
        <w:pStyle w:val="DefaultText"/>
        <w:jc w:val="center"/>
        <w:rPr>
          <w:color w:val="000000" w:themeColor="text1"/>
          <w:lang w:val="pt-BR"/>
        </w:rPr>
      </w:pPr>
    </w:p>
    <w:p w:rsidR="000B4BC6" w:rsidRPr="00F6269C" w:rsidRDefault="00F6269C" w:rsidP="006861BB">
      <w:pPr>
        <w:pStyle w:val="DefaultText"/>
        <w:jc w:val="center"/>
        <w:rPr>
          <w:color w:val="000000" w:themeColor="text1"/>
          <w:lang w:val="pt-BR"/>
        </w:rPr>
      </w:pPr>
      <w:r>
        <w:rPr>
          <w:color w:val="000000" w:themeColor="text1"/>
          <w:lang w:val="pt-BR"/>
        </w:rPr>
        <w:t>Alessandro Miebach</w:t>
      </w:r>
    </w:p>
    <w:p w:rsidR="000B4BC6" w:rsidRPr="00F6269C" w:rsidRDefault="000B4BC6" w:rsidP="006861BB">
      <w:pPr>
        <w:pStyle w:val="DefaultText"/>
        <w:jc w:val="center"/>
        <w:rPr>
          <w:color w:val="000000" w:themeColor="text1"/>
          <w:lang w:val="pt-BR"/>
        </w:rPr>
      </w:pPr>
      <w:r w:rsidRPr="00F6269C">
        <w:rPr>
          <w:color w:val="000000" w:themeColor="text1"/>
          <w:lang w:val="pt-BR"/>
        </w:rPr>
        <w:t xml:space="preserve">Fundação de Economia e Estatística – FEE </w:t>
      </w:r>
    </w:p>
    <w:p w:rsidR="000B4BC6" w:rsidRPr="00F6269C" w:rsidRDefault="000B4BC6" w:rsidP="006861BB">
      <w:pPr>
        <w:pStyle w:val="DefaultText"/>
        <w:jc w:val="center"/>
        <w:rPr>
          <w:color w:val="000000" w:themeColor="text1"/>
          <w:lang w:val="pt-BR"/>
        </w:rPr>
      </w:pPr>
      <w:proofErr w:type="gramStart"/>
      <w:r w:rsidRPr="00F6269C">
        <w:rPr>
          <w:color w:val="000000" w:themeColor="text1"/>
          <w:lang w:val="pt-BR"/>
        </w:rPr>
        <w:t>e-mail</w:t>
      </w:r>
      <w:proofErr w:type="gramEnd"/>
      <w:r w:rsidRPr="00F6269C">
        <w:rPr>
          <w:color w:val="000000" w:themeColor="text1"/>
          <w:lang w:val="pt-BR"/>
        </w:rPr>
        <w:t xml:space="preserve">: </w:t>
      </w:r>
      <w:r w:rsidR="008455F0" w:rsidRPr="00F6269C">
        <w:rPr>
          <w:color w:val="000000" w:themeColor="text1"/>
          <w:lang w:val="pt-BR"/>
        </w:rPr>
        <w:t xml:space="preserve">alessandro@fee.tche.br </w:t>
      </w:r>
    </w:p>
    <w:p w:rsidR="00A30987" w:rsidRPr="00F6269C" w:rsidRDefault="00A30987" w:rsidP="006861BB">
      <w:pPr>
        <w:pStyle w:val="ecxdefault"/>
        <w:shd w:val="clear" w:color="auto" w:fill="FFFFFF"/>
        <w:spacing w:before="0" w:beforeAutospacing="0" w:after="0" w:afterAutospacing="0"/>
        <w:jc w:val="both"/>
        <w:rPr>
          <w:color w:val="000000" w:themeColor="text1"/>
        </w:rPr>
      </w:pPr>
    </w:p>
    <w:p w:rsidR="00C646C1" w:rsidRPr="00F6269C" w:rsidRDefault="00C646C1" w:rsidP="006861BB">
      <w:pPr>
        <w:pStyle w:val="ecxdefault"/>
        <w:shd w:val="clear" w:color="auto" w:fill="FFFFFF"/>
        <w:spacing w:before="0" w:beforeAutospacing="0" w:after="0" w:afterAutospacing="0"/>
        <w:jc w:val="center"/>
        <w:rPr>
          <w:color w:val="000000" w:themeColor="text1"/>
          <w:lang w:val="en-US"/>
        </w:rPr>
      </w:pPr>
      <w:r w:rsidRPr="00F6269C">
        <w:rPr>
          <w:color w:val="000000" w:themeColor="text1"/>
          <w:lang w:val="en-US"/>
        </w:rPr>
        <w:t>ABSTRACT</w:t>
      </w:r>
    </w:p>
    <w:p w:rsidR="00C646C1" w:rsidRDefault="00C646C1" w:rsidP="006861BB">
      <w:pPr>
        <w:pStyle w:val="ecxdefault"/>
        <w:shd w:val="clear" w:color="auto" w:fill="FFFFFF"/>
        <w:spacing w:before="0" w:beforeAutospacing="0" w:after="0" w:afterAutospacing="0"/>
        <w:jc w:val="both"/>
        <w:rPr>
          <w:rFonts w:ascii="Tahoma" w:hAnsi="Tahoma" w:cs="Tahoma"/>
          <w:color w:val="000000" w:themeColor="text1"/>
          <w:lang w:val="en-US"/>
        </w:rPr>
      </w:pPr>
      <w:r w:rsidRPr="00F6269C">
        <w:rPr>
          <w:color w:val="000000" w:themeColor="text1"/>
          <w:lang w:val="en-US"/>
        </w:rPr>
        <w:t xml:space="preserve">A </w:t>
      </w:r>
      <w:r w:rsidR="00B17DA0" w:rsidRPr="00F6269C">
        <w:rPr>
          <w:color w:val="000000" w:themeColor="text1"/>
          <w:lang w:val="en-US"/>
        </w:rPr>
        <w:t xml:space="preserve">debate </w:t>
      </w:r>
      <w:r w:rsidRPr="00F6269C">
        <w:rPr>
          <w:color w:val="000000" w:themeColor="text1"/>
          <w:lang w:val="en-US"/>
        </w:rPr>
        <w:t>in Marxi</w:t>
      </w:r>
      <w:r w:rsidR="00F95B8D" w:rsidRPr="00F6269C">
        <w:rPr>
          <w:color w:val="000000" w:themeColor="text1"/>
          <w:lang w:val="en-US"/>
        </w:rPr>
        <w:t>st</w:t>
      </w:r>
      <w:r w:rsidR="00F52A11" w:rsidRPr="00F6269C">
        <w:rPr>
          <w:color w:val="000000" w:themeColor="text1"/>
          <w:lang w:val="en-US"/>
        </w:rPr>
        <w:t xml:space="preserve"> </w:t>
      </w:r>
      <w:r w:rsidR="00F95B8D" w:rsidRPr="00F6269C">
        <w:rPr>
          <w:color w:val="000000" w:themeColor="text1"/>
          <w:lang w:val="en-US"/>
        </w:rPr>
        <w:t>literature</w:t>
      </w:r>
      <w:r w:rsidRPr="00F6269C">
        <w:rPr>
          <w:color w:val="000000" w:themeColor="text1"/>
          <w:lang w:val="en-US"/>
        </w:rPr>
        <w:t xml:space="preserve"> concerns </w:t>
      </w:r>
      <w:r w:rsidR="00F95B8D" w:rsidRPr="00F6269C">
        <w:rPr>
          <w:color w:val="000000" w:themeColor="text1"/>
          <w:lang w:val="en-US"/>
        </w:rPr>
        <w:t xml:space="preserve">to </w:t>
      </w:r>
      <w:r w:rsidRPr="00F6269C">
        <w:rPr>
          <w:color w:val="000000" w:themeColor="text1"/>
          <w:lang w:val="en-US"/>
        </w:rPr>
        <w:t>the methodology for measuring the profit rate</w:t>
      </w:r>
      <w:r w:rsidR="007E031F" w:rsidRPr="00F6269C">
        <w:rPr>
          <w:color w:val="000000" w:themeColor="text1"/>
          <w:lang w:val="en-US"/>
        </w:rPr>
        <w:t xml:space="preserve"> at historical and current costs</w:t>
      </w:r>
      <w:r w:rsidRPr="00F6269C">
        <w:rPr>
          <w:color w:val="000000" w:themeColor="text1"/>
          <w:lang w:val="en-US"/>
        </w:rPr>
        <w:t>.</w:t>
      </w:r>
      <w:r w:rsidR="007E031F" w:rsidRPr="00F6269C">
        <w:rPr>
          <w:color w:val="000000" w:themeColor="text1"/>
          <w:lang w:val="en-US"/>
        </w:rPr>
        <w:t xml:space="preserve"> T</w:t>
      </w:r>
      <w:r w:rsidRPr="00F6269C">
        <w:rPr>
          <w:color w:val="000000" w:themeColor="text1"/>
          <w:lang w:val="en-US"/>
        </w:rPr>
        <w:t xml:space="preserve">his paper investigates this question looking at </w:t>
      </w:r>
      <w:r w:rsidR="007E031F" w:rsidRPr="00F6269C">
        <w:rPr>
          <w:color w:val="000000" w:themeColor="text1"/>
          <w:lang w:val="en-US"/>
        </w:rPr>
        <w:t xml:space="preserve">the </w:t>
      </w:r>
      <w:r w:rsidRPr="00F6269C">
        <w:rPr>
          <w:color w:val="000000" w:themeColor="text1"/>
          <w:lang w:val="en-US"/>
        </w:rPr>
        <w:t>Brazil</w:t>
      </w:r>
      <w:r w:rsidR="007E031F" w:rsidRPr="00F6269C">
        <w:rPr>
          <w:color w:val="000000" w:themeColor="text1"/>
          <w:lang w:val="en-US"/>
        </w:rPr>
        <w:t>ian case</w:t>
      </w:r>
      <w:r w:rsidRPr="00F6269C">
        <w:rPr>
          <w:color w:val="000000" w:themeColor="text1"/>
          <w:lang w:val="en-US"/>
        </w:rPr>
        <w:t xml:space="preserve">, a </w:t>
      </w:r>
      <w:r w:rsidR="004C7056" w:rsidRPr="00F6269C">
        <w:rPr>
          <w:color w:val="000000" w:themeColor="text1"/>
          <w:lang w:val="en-US"/>
        </w:rPr>
        <w:t xml:space="preserve">country with </w:t>
      </w:r>
      <w:r w:rsidR="007E031F" w:rsidRPr="00F6269C">
        <w:rPr>
          <w:color w:val="000000" w:themeColor="text1"/>
          <w:lang w:val="en-US"/>
        </w:rPr>
        <w:t xml:space="preserve">medium to </w:t>
      </w:r>
      <w:r w:rsidR="00B17DA0" w:rsidRPr="00F6269C">
        <w:rPr>
          <w:color w:val="000000" w:themeColor="text1"/>
          <w:lang w:val="en-US"/>
        </w:rPr>
        <w:t>high inflation</w:t>
      </w:r>
      <w:r w:rsidR="00510F08" w:rsidRPr="00F6269C">
        <w:rPr>
          <w:color w:val="000000" w:themeColor="text1"/>
          <w:lang w:val="en-US"/>
        </w:rPr>
        <w:t>, in the 195</w:t>
      </w:r>
      <w:r w:rsidR="00B17DA0" w:rsidRPr="00F6269C">
        <w:rPr>
          <w:color w:val="000000" w:themeColor="text1"/>
          <w:lang w:val="en-US"/>
        </w:rPr>
        <w:t>5</w:t>
      </w:r>
      <w:r w:rsidRPr="00F6269C">
        <w:rPr>
          <w:color w:val="000000" w:themeColor="text1"/>
          <w:lang w:val="en-US"/>
        </w:rPr>
        <w:t xml:space="preserve">-2008 </w:t>
      </w:r>
      <w:proofErr w:type="gramStart"/>
      <w:r w:rsidRPr="00F6269C">
        <w:rPr>
          <w:color w:val="000000" w:themeColor="text1"/>
          <w:lang w:val="en-US"/>
        </w:rPr>
        <w:t>period</w:t>
      </w:r>
      <w:proofErr w:type="gramEnd"/>
      <w:r w:rsidRPr="00F6269C">
        <w:rPr>
          <w:color w:val="000000" w:themeColor="text1"/>
          <w:lang w:val="en-US"/>
        </w:rPr>
        <w:t xml:space="preserve">. </w:t>
      </w:r>
      <w:r w:rsidR="00B17DA0" w:rsidRPr="00F6269C">
        <w:rPr>
          <w:color w:val="000000" w:themeColor="text1"/>
          <w:lang w:val="en-US"/>
        </w:rPr>
        <w:t xml:space="preserve">The results </w:t>
      </w:r>
      <w:r w:rsidR="00126426" w:rsidRPr="00F6269C">
        <w:rPr>
          <w:color w:val="000000" w:themeColor="text1"/>
          <w:lang w:val="en-US"/>
        </w:rPr>
        <w:t xml:space="preserve">support </w:t>
      </w:r>
      <w:r w:rsidR="00B17DA0" w:rsidRPr="00F6269C">
        <w:rPr>
          <w:color w:val="000000" w:themeColor="text1"/>
          <w:lang w:val="en-US"/>
        </w:rPr>
        <w:t>that the</w:t>
      </w:r>
      <w:r w:rsidRPr="00F6269C">
        <w:rPr>
          <w:color w:val="000000" w:themeColor="text1"/>
          <w:lang w:val="en-US"/>
        </w:rPr>
        <w:t xml:space="preserve"> historical price method </w:t>
      </w:r>
      <w:r w:rsidR="00572D97" w:rsidRPr="00F6269C">
        <w:rPr>
          <w:color w:val="000000" w:themeColor="text1"/>
          <w:lang w:val="en-US"/>
        </w:rPr>
        <w:t xml:space="preserve">to compute the profit rate </w:t>
      </w:r>
      <w:r w:rsidR="00F52A11" w:rsidRPr="00F6269C">
        <w:rPr>
          <w:color w:val="000000" w:themeColor="text1"/>
          <w:lang w:val="en-US"/>
        </w:rPr>
        <w:t xml:space="preserve">is </w:t>
      </w:r>
      <w:r w:rsidR="00EC5CCC" w:rsidRPr="00F6269C">
        <w:rPr>
          <w:color w:val="000000" w:themeColor="text1"/>
          <w:lang w:val="en-US"/>
        </w:rPr>
        <w:t xml:space="preserve">inconsistent with the </w:t>
      </w:r>
      <w:r w:rsidR="007E031F" w:rsidRPr="00F6269C">
        <w:rPr>
          <w:color w:val="000000" w:themeColor="text1"/>
          <w:lang w:val="en-US"/>
        </w:rPr>
        <w:t>Brazil</w:t>
      </w:r>
      <w:r w:rsidR="00EC5CCC" w:rsidRPr="00F6269C">
        <w:rPr>
          <w:color w:val="000000" w:themeColor="text1"/>
          <w:lang w:val="en-US"/>
        </w:rPr>
        <w:t>ian economic history</w:t>
      </w:r>
      <w:r w:rsidRPr="00F6269C">
        <w:rPr>
          <w:color w:val="000000" w:themeColor="text1"/>
          <w:lang w:val="en-US"/>
        </w:rPr>
        <w:t xml:space="preserve">. The inflation rate </w:t>
      </w:r>
      <w:r w:rsidR="00F95B8D" w:rsidRPr="00F6269C">
        <w:rPr>
          <w:color w:val="000000" w:themeColor="text1"/>
          <w:lang w:val="en-US"/>
        </w:rPr>
        <w:t>determines the</w:t>
      </w:r>
      <w:r w:rsidR="00F52A11" w:rsidRPr="00F6269C">
        <w:rPr>
          <w:color w:val="000000" w:themeColor="text1"/>
          <w:lang w:val="en-US"/>
        </w:rPr>
        <w:t xml:space="preserve"> </w:t>
      </w:r>
      <w:r w:rsidR="00F95B8D" w:rsidRPr="00F6269C">
        <w:rPr>
          <w:color w:val="000000" w:themeColor="text1"/>
          <w:lang w:val="en-US"/>
        </w:rPr>
        <w:t xml:space="preserve">cyclical movements and the trend </w:t>
      </w:r>
      <w:r w:rsidRPr="00F6269C">
        <w:rPr>
          <w:color w:val="000000" w:themeColor="text1"/>
          <w:lang w:val="en-US"/>
        </w:rPr>
        <w:t xml:space="preserve">of the profit </w:t>
      </w:r>
      <w:r w:rsidR="00933773" w:rsidRPr="00F6269C">
        <w:rPr>
          <w:color w:val="000000" w:themeColor="text1"/>
          <w:lang w:val="en-US"/>
        </w:rPr>
        <w:t xml:space="preserve">rate at historical </w:t>
      </w:r>
      <w:r w:rsidR="00F95B8D" w:rsidRPr="00F6269C">
        <w:rPr>
          <w:color w:val="000000" w:themeColor="text1"/>
          <w:lang w:val="en-US"/>
        </w:rPr>
        <w:t xml:space="preserve">prices. It increases in years of </w:t>
      </w:r>
      <w:r w:rsidR="00126426" w:rsidRPr="00F6269C">
        <w:rPr>
          <w:color w:val="000000" w:themeColor="text1"/>
          <w:lang w:val="en-US"/>
        </w:rPr>
        <w:t xml:space="preserve">rising </w:t>
      </w:r>
      <w:r w:rsidR="00F95B8D" w:rsidRPr="00F6269C">
        <w:rPr>
          <w:color w:val="000000" w:themeColor="text1"/>
          <w:lang w:val="en-US"/>
        </w:rPr>
        <w:t xml:space="preserve">inflation and declines </w:t>
      </w:r>
      <w:r w:rsidRPr="00F6269C">
        <w:rPr>
          <w:color w:val="000000" w:themeColor="text1"/>
          <w:lang w:val="en-US"/>
        </w:rPr>
        <w:t xml:space="preserve">in </w:t>
      </w:r>
      <w:r w:rsidR="00F95B8D" w:rsidRPr="00F6269C">
        <w:rPr>
          <w:color w:val="000000" w:themeColor="text1"/>
          <w:lang w:val="en-US"/>
        </w:rPr>
        <w:t xml:space="preserve">years </w:t>
      </w:r>
      <w:r w:rsidRPr="00F6269C">
        <w:rPr>
          <w:color w:val="000000" w:themeColor="text1"/>
          <w:lang w:val="en-US"/>
        </w:rPr>
        <w:t xml:space="preserve">of </w:t>
      </w:r>
      <w:r w:rsidR="00126426" w:rsidRPr="00F6269C">
        <w:rPr>
          <w:color w:val="000000" w:themeColor="text1"/>
          <w:lang w:val="en-US"/>
        </w:rPr>
        <w:t>falling</w:t>
      </w:r>
      <w:r w:rsidRPr="00F6269C">
        <w:rPr>
          <w:color w:val="000000" w:themeColor="text1"/>
          <w:lang w:val="en-US"/>
        </w:rPr>
        <w:t xml:space="preserve"> inflation. </w:t>
      </w:r>
      <w:r w:rsidR="00EF73FE" w:rsidRPr="00F6269C">
        <w:rPr>
          <w:color w:val="000000" w:themeColor="text1"/>
          <w:lang w:val="en-US"/>
        </w:rPr>
        <w:t xml:space="preserve">The path of the profit rate, measured </w:t>
      </w:r>
      <w:r w:rsidR="00EC5CCC" w:rsidRPr="00F6269C">
        <w:rPr>
          <w:color w:val="000000" w:themeColor="text1"/>
          <w:lang w:val="en-US"/>
        </w:rPr>
        <w:t>at</w:t>
      </w:r>
      <w:r w:rsidR="00EF73FE" w:rsidRPr="00F6269C">
        <w:rPr>
          <w:color w:val="000000" w:themeColor="text1"/>
          <w:lang w:val="en-US"/>
        </w:rPr>
        <w:t xml:space="preserve"> current prices, remains unaffected by the inflation rate</w:t>
      </w:r>
      <w:r w:rsidR="00F52A11" w:rsidRPr="00F6269C">
        <w:rPr>
          <w:color w:val="000000" w:themeColor="text1"/>
          <w:lang w:val="en-US"/>
        </w:rPr>
        <w:t>.</w:t>
      </w:r>
      <w:r w:rsidRPr="00F6269C">
        <w:rPr>
          <w:color w:val="000000" w:themeColor="text1"/>
          <w:lang w:val="en-US"/>
        </w:rPr>
        <w:t xml:space="preserve"> </w:t>
      </w:r>
      <w:r w:rsidR="00F95B8D" w:rsidRPr="00F6269C">
        <w:rPr>
          <w:color w:val="000000" w:themeColor="text1"/>
          <w:lang w:val="en-US"/>
        </w:rPr>
        <w:t xml:space="preserve">The </w:t>
      </w:r>
      <w:r w:rsidRPr="00F6269C">
        <w:rPr>
          <w:color w:val="000000" w:themeColor="text1"/>
          <w:lang w:val="en-US"/>
        </w:rPr>
        <w:t xml:space="preserve">findings underscore the importance of measuring the profit </w:t>
      </w:r>
      <w:r w:rsidR="00933773" w:rsidRPr="00F6269C">
        <w:rPr>
          <w:color w:val="000000" w:themeColor="text1"/>
          <w:lang w:val="en-US"/>
        </w:rPr>
        <w:t xml:space="preserve">rate at </w:t>
      </w:r>
      <w:r w:rsidR="00EC5CCC" w:rsidRPr="00F6269C">
        <w:rPr>
          <w:color w:val="000000" w:themeColor="text1"/>
          <w:lang w:val="en-US"/>
        </w:rPr>
        <w:t xml:space="preserve">current </w:t>
      </w:r>
      <w:r w:rsidRPr="00F6269C">
        <w:rPr>
          <w:color w:val="000000" w:themeColor="text1"/>
          <w:lang w:val="en-US"/>
        </w:rPr>
        <w:t>price</w:t>
      </w:r>
      <w:r w:rsidR="00697917" w:rsidRPr="00F6269C">
        <w:rPr>
          <w:color w:val="000000" w:themeColor="text1"/>
          <w:lang w:val="en-US"/>
        </w:rPr>
        <w:t>s</w:t>
      </w:r>
      <w:r w:rsidRPr="00F6269C">
        <w:rPr>
          <w:color w:val="000000" w:themeColor="text1"/>
          <w:lang w:val="en-US"/>
        </w:rPr>
        <w:t>.</w:t>
      </w:r>
      <w:r w:rsidRPr="00F6269C">
        <w:rPr>
          <w:rFonts w:ascii="Tahoma" w:hAnsi="Tahoma" w:cs="Tahoma"/>
          <w:color w:val="000000" w:themeColor="text1"/>
          <w:lang w:val="en-US"/>
        </w:rPr>
        <w:t xml:space="preserve">  </w:t>
      </w:r>
    </w:p>
    <w:p w:rsidR="006861BB" w:rsidRDefault="006861BB" w:rsidP="006861BB">
      <w:pPr>
        <w:pStyle w:val="ecxdefault"/>
        <w:shd w:val="clear" w:color="auto" w:fill="FFFFFF"/>
        <w:spacing w:before="0" w:beforeAutospacing="0" w:after="0" w:afterAutospacing="0"/>
        <w:jc w:val="both"/>
        <w:rPr>
          <w:color w:val="000000" w:themeColor="text1"/>
          <w:lang w:val="en-US"/>
        </w:rPr>
      </w:pPr>
    </w:p>
    <w:p w:rsidR="006861BB" w:rsidRPr="00F6269C" w:rsidRDefault="006861BB" w:rsidP="006861BB">
      <w:pPr>
        <w:pStyle w:val="ecxdefault"/>
        <w:shd w:val="clear" w:color="auto" w:fill="FFFFFF"/>
        <w:spacing w:before="0" w:beforeAutospacing="0" w:after="0" w:afterAutospacing="0"/>
        <w:jc w:val="both"/>
        <w:rPr>
          <w:color w:val="000000" w:themeColor="text1"/>
          <w:lang w:val="en-US"/>
        </w:rPr>
      </w:pPr>
      <w:r w:rsidRPr="00F6269C">
        <w:rPr>
          <w:color w:val="000000" w:themeColor="text1"/>
          <w:lang w:val="en-US"/>
        </w:rPr>
        <w:t>Keywords: profit rate</w:t>
      </w:r>
      <w:r>
        <w:rPr>
          <w:color w:val="000000" w:themeColor="text1"/>
          <w:lang w:val="en-US"/>
        </w:rPr>
        <w:t xml:space="preserve">, </w:t>
      </w:r>
      <w:r w:rsidRPr="00F6269C">
        <w:rPr>
          <w:color w:val="000000" w:themeColor="text1"/>
          <w:lang w:val="en-US"/>
        </w:rPr>
        <w:t xml:space="preserve">capital stock, </w:t>
      </w:r>
      <w:r>
        <w:rPr>
          <w:color w:val="000000" w:themeColor="text1"/>
          <w:lang w:val="en-US"/>
        </w:rPr>
        <w:t xml:space="preserve">Brazil </w:t>
      </w:r>
    </w:p>
    <w:p w:rsidR="006861BB" w:rsidRPr="00F6269C" w:rsidRDefault="006861BB" w:rsidP="006861BB">
      <w:pPr>
        <w:pStyle w:val="ecxdefault"/>
        <w:shd w:val="clear" w:color="auto" w:fill="FFFFFF"/>
        <w:spacing w:before="0" w:beforeAutospacing="0" w:after="0" w:afterAutospacing="0"/>
        <w:jc w:val="both"/>
        <w:rPr>
          <w:color w:val="000000" w:themeColor="text1"/>
          <w:lang w:val="en-US"/>
        </w:rPr>
      </w:pPr>
      <w:r w:rsidRPr="00F6269C">
        <w:rPr>
          <w:color w:val="000000" w:themeColor="text1"/>
          <w:lang w:val="en-US"/>
        </w:rPr>
        <w:t>JEL Codes: E01, B51.</w:t>
      </w:r>
    </w:p>
    <w:p w:rsidR="006861BB" w:rsidRDefault="006861BB" w:rsidP="006861BB">
      <w:pPr>
        <w:pStyle w:val="ecxdefault"/>
        <w:shd w:val="clear" w:color="auto" w:fill="FFFFFF"/>
        <w:spacing w:before="0" w:beforeAutospacing="0" w:after="0" w:afterAutospacing="0"/>
        <w:jc w:val="both"/>
        <w:rPr>
          <w:rFonts w:ascii="Tahoma" w:hAnsi="Tahoma" w:cs="Tahoma"/>
          <w:color w:val="000000" w:themeColor="text1"/>
          <w:lang w:val="en-US"/>
        </w:rPr>
      </w:pPr>
    </w:p>
    <w:p w:rsidR="00433571" w:rsidRPr="00433571" w:rsidRDefault="00433571" w:rsidP="006861BB">
      <w:pPr>
        <w:pStyle w:val="ecxdefault"/>
        <w:shd w:val="clear" w:color="auto" w:fill="FFFFFF"/>
        <w:spacing w:before="0" w:beforeAutospacing="0" w:after="0" w:afterAutospacing="0"/>
        <w:jc w:val="center"/>
        <w:rPr>
          <w:color w:val="000000" w:themeColor="text1"/>
        </w:rPr>
      </w:pPr>
      <w:r w:rsidRPr="00433571">
        <w:rPr>
          <w:color w:val="000000" w:themeColor="text1"/>
        </w:rPr>
        <w:t>RESUMO</w:t>
      </w:r>
    </w:p>
    <w:p w:rsidR="00433571" w:rsidRPr="003942F4" w:rsidRDefault="00433571" w:rsidP="006861BB">
      <w:pPr>
        <w:pStyle w:val="ecxdefault"/>
        <w:shd w:val="clear" w:color="auto" w:fill="FFFFFF"/>
        <w:spacing w:before="0" w:beforeAutospacing="0" w:after="0" w:afterAutospacing="0"/>
        <w:jc w:val="both"/>
        <w:rPr>
          <w:rFonts w:ascii="Tahoma" w:hAnsi="Tahoma" w:cs="Tahoma"/>
          <w:color w:val="000000" w:themeColor="text1"/>
        </w:rPr>
      </w:pPr>
      <w:r w:rsidRPr="00433571">
        <w:rPr>
          <w:color w:val="000000" w:themeColor="text1"/>
        </w:rPr>
        <w:t>Um debate atual na literatur</w:t>
      </w:r>
      <w:r>
        <w:rPr>
          <w:color w:val="000000" w:themeColor="text1"/>
        </w:rPr>
        <w:t>a</w:t>
      </w:r>
      <w:r w:rsidRPr="00433571">
        <w:rPr>
          <w:color w:val="000000" w:themeColor="text1"/>
        </w:rPr>
        <w:t xml:space="preserve"> marxista diz respeito </w:t>
      </w:r>
      <w:r>
        <w:rPr>
          <w:color w:val="000000" w:themeColor="text1"/>
        </w:rPr>
        <w:t>à</w:t>
      </w:r>
      <w:r w:rsidRPr="00433571">
        <w:rPr>
          <w:color w:val="000000" w:themeColor="text1"/>
        </w:rPr>
        <w:t xml:space="preserve"> metodologia de cálculo </w:t>
      </w:r>
      <w:r>
        <w:rPr>
          <w:color w:val="000000" w:themeColor="text1"/>
        </w:rPr>
        <w:t>da taxa de lucro a preços correntes ou a preços constantes</w:t>
      </w:r>
      <w:r w:rsidRPr="00433571">
        <w:rPr>
          <w:color w:val="000000" w:themeColor="text1"/>
        </w:rPr>
        <w:t xml:space="preserve">. O </w:t>
      </w:r>
      <w:r>
        <w:rPr>
          <w:color w:val="000000" w:themeColor="text1"/>
        </w:rPr>
        <w:t xml:space="preserve">presente </w:t>
      </w:r>
      <w:r w:rsidRPr="00433571">
        <w:rPr>
          <w:color w:val="000000" w:themeColor="text1"/>
        </w:rPr>
        <w:t>artigo investiga es</w:t>
      </w:r>
      <w:r>
        <w:rPr>
          <w:color w:val="000000" w:themeColor="text1"/>
        </w:rPr>
        <w:t>t</w:t>
      </w:r>
      <w:r w:rsidRPr="00433571">
        <w:rPr>
          <w:color w:val="000000" w:themeColor="text1"/>
        </w:rPr>
        <w:t>a questã</w:t>
      </w:r>
      <w:r w:rsidR="003942F4">
        <w:rPr>
          <w:color w:val="000000" w:themeColor="text1"/>
        </w:rPr>
        <w:t xml:space="preserve">o examinando o caso brasileiro </w:t>
      </w:r>
      <w:r>
        <w:rPr>
          <w:color w:val="000000" w:themeColor="text1"/>
        </w:rPr>
        <w:t>no período 1955-2008.</w:t>
      </w:r>
      <w:r w:rsidRPr="00433571">
        <w:rPr>
          <w:color w:val="000000" w:themeColor="text1"/>
        </w:rPr>
        <w:t xml:space="preserve"> Os resultados mostram que a taxa de lucro medida a preços históricos é</w:t>
      </w:r>
      <w:r>
        <w:rPr>
          <w:color w:val="000000" w:themeColor="text1"/>
        </w:rPr>
        <w:t xml:space="preserve"> inconsistente com a história econômica brasileira. </w:t>
      </w:r>
      <w:r w:rsidRPr="00433571">
        <w:rPr>
          <w:color w:val="000000" w:themeColor="text1"/>
        </w:rPr>
        <w:t>A taxa de inflação determina o movimento cíclico e a ten</w:t>
      </w:r>
      <w:r>
        <w:rPr>
          <w:color w:val="000000" w:themeColor="text1"/>
        </w:rPr>
        <w:t>d</w:t>
      </w:r>
      <w:r w:rsidRPr="00433571">
        <w:rPr>
          <w:color w:val="000000" w:themeColor="text1"/>
        </w:rPr>
        <w:t>ência da</w:t>
      </w:r>
      <w:r>
        <w:rPr>
          <w:color w:val="000000" w:themeColor="text1"/>
        </w:rPr>
        <w:t xml:space="preserve"> taxa de lucro </w:t>
      </w:r>
      <w:r w:rsidR="003942F4">
        <w:rPr>
          <w:color w:val="000000" w:themeColor="text1"/>
        </w:rPr>
        <w:t>calculada</w:t>
      </w:r>
      <w:r>
        <w:rPr>
          <w:color w:val="000000" w:themeColor="text1"/>
        </w:rPr>
        <w:t xml:space="preserve"> a preços históricos, </w:t>
      </w:r>
      <w:r w:rsidR="003942F4">
        <w:rPr>
          <w:color w:val="000000" w:themeColor="text1"/>
        </w:rPr>
        <w:t xml:space="preserve">ela </w:t>
      </w:r>
      <w:r>
        <w:rPr>
          <w:color w:val="000000" w:themeColor="text1"/>
        </w:rPr>
        <w:t xml:space="preserve">aumenta nos anos de </w:t>
      </w:r>
      <w:r w:rsidR="003942F4">
        <w:rPr>
          <w:color w:val="000000" w:themeColor="text1"/>
        </w:rPr>
        <w:t xml:space="preserve">aceleração </w:t>
      </w:r>
      <w:r>
        <w:rPr>
          <w:color w:val="000000" w:themeColor="text1"/>
        </w:rPr>
        <w:t xml:space="preserve">da taxa de inflação e cai nos anos de </w:t>
      </w:r>
      <w:r w:rsidR="003942F4">
        <w:rPr>
          <w:color w:val="000000" w:themeColor="text1"/>
        </w:rPr>
        <w:t>queda</w:t>
      </w:r>
      <w:r>
        <w:rPr>
          <w:color w:val="000000" w:themeColor="text1"/>
        </w:rPr>
        <w:t xml:space="preserve"> da taxa de inflação. </w:t>
      </w:r>
      <w:r w:rsidRPr="00433571">
        <w:rPr>
          <w:color w:val="000000" w:themeColor="text1"/>
        </w:rPr>
        <w:t xml:space="preserve">A trajetória da taxa de lucro medida a preços correntes não é afetada pela taxa </w:t>
      </w:r>
      <w:r>
        <w:rPr>
          <w:color w:val="000000" w:themeColor="text1"/>
        </w:rPr>
        <w:t xml:space="preserve">de inflação. </w:t>
      </w:r>
      <w:r w:rsidRPr="00433571">
        <w:rPr>
          <w:color w:val="000000" w:themeColor="text1"/>
        </w:rPr>
        <w:t xml:space="preserve">Os resultados mostram </w:t>
      </w:r>
      <w:r w:rsidR="003942F4">
        <w:rPr>
          <w:color w:val="000000" w:themeColor="text1"/>
        </w:rPr>
        <w:t>à relevância de</w:t>
      </w:r>
      <w:r w:rsidR="003942F4" w:rsidRPr="00433571">
        <w:rPr>
          <w:color w:val="000000" w:themeColor="text1"/>
        </w:rPr>
        <w:t xml:space="preserve"> medir a taxa</w:t>
      </w:r>
      <w:r w:rsidRPr="00433571">
        <w:rPr>
          <w:color w:val="000000" w:themeColor="text1"/>
        </w:rPr>
        <w:t xml:space="preserve"> de lucro a preç</w:t>
      </w:r>
      <w:r>
        <w:rPr>
          <w:color w:val="000000" w:themeColor="text1"/>
        </w:rPr>
        <w:t xml:space="preserve">os correntes. </w:t>
      </w:r>
    </w:p>
    <w:p w:rsidR="00433571" w:rsidRPr="003942F4" w:rsidRDefault="00433571" w:rsidP="006861BB">
      <w:pPr>
        <w:pStyle w:val="ecxdefault"/>
        <w:shd w:val="clear" w:color="auto" w:fill="FFFFFF"/>
        <w:spacing w:before="0" w:beforeAutospacing="0" w:after="0" w:afterAutospacing="0"/>
        <w:jc w:val="both"/>
        <w:rPr>
          <w:color w:val="000000" w:themeColor="text1"/>
        </w:rPr>
      </w:pPr>
    </w:p>
    <w:p w:rsidR="00C646C1" w:rsidRPr="006861BB" w:rsidRDefault="006861BB" w:rsidP="006861BB">
      <w:pPr>
        <w:pStyle w:val="ecxdefault"/>
        <w:shd w:val="clear" w:color="auto" w:fill="FFFFFF"/>
        <w:spacing w:before="0" w:beforeAutospacing="0" w:after="0" w:afterAutospacing="0"/>
        <w:jc w:val="both"/>
        <w:rPr>
          <w:color w:val="000000" w:themeColor="text1"/>
        </w:rPr>
      </w:pPr>
      <w:r w:rsidRPr="006861BB">
        <w:rPr>
          <w:color w:val="000000" w:themeColor="text1"/>
        </w:rPr>
        <w:t>Palavras chaves</w:t>
      </w:r>
      <w:r w:rsidR="00C646C1" w:rsidRPr="006861BB">
        <w:rPr>
          <w:color w:val="000000" w:themeColor="text1"/>
        </w:rPr>
        <w:t xml:space="preserve">: </w:t>
      </w:r>
      <w:r w:rsidRPr="006861BB">
        <w:rPr>
          <w:color w:val="000000" w:themeColor="text1"/>
        </w:rPr>
        <w:t>taxa de lucro</w:t>
      </w:r>
      <w:r w:rsidR="00C646C1" w:rsidRPr="006861BB">
        <w:rPr>
          <w:color w:val="000000" w:themeColor="text1"/>
        </w:rPr>
        <w:t xml:space="preserve">, </w:t>
      </w:r>
      <w:r w:rsidRPr="006861BB">
        <w:rPr>
          <w:color w:val="000000" w:themeColor="text1"/>
        </w:rPr>
        <w:t>estoqu</w:t>
      </w:r>
      <w:r>
        <w:rPr>
          <w:color w:val="000000" w:themeColor="text1"/>
        </w:rPr>
        <w:t xml:space="preserve">e de capital, </w:t>
      </w:r>
      <w:proofErr w:type="gramStart"/>
      <w:r>
        <w:rPr>
          <w:color w:val="000000" w:themeColor="text1"/>
        </w:rPr>
        <w:t>Brasil</w:t>
      </w:r>
      <w:proofErr w:type="gramEnd"/>
    </w:p>
    <w:p w:rsidR="00C646C1" w:rsidRPr="00F6269C" w:rsidRDefault="00C646C1" w:rsidP="006861BB">
      <w:pPr>
        <w:pStyle w:val="ecxdefault"/>
        <w:shd w:val="clear" w:color="auto" w:fill="FFFFFF"/>
        <w:spacing w:before="0" w:beforeAutospacing="0" w:after="0" w:afterAutospacing="0"/>
        <w:jc w:val="both"/>
        <w:rPr>
          <w:color w:val="000000" w:themeColor="text1"/>
          <w:lang w:val="en-US"/>
        </w:rPr>
      </w:pPr>
      <w:r w:rsidRPr="00F6269C">
        <w:rPr>
          <w:color w:val="000000" w:themeColor="text1"/>
          <w:lang w:val="en-US"/>
        </w:rPr>
        <w:t>JEL Codes: E01, B51.</w:t>
      </w:r>
    </w:p>
    <w:p w:rsidR="00053582" w:rsidRPr="003F52FE" w:rsidRDefault="00053582" w:rsidP="006861BB">
      <w:pPr>
        <w:pStyle w:val="ecxdefault"/>
        <w:shd w:val="clear" w:color="auto" w:fill="FFFFFF"/>
        <w:spacing w:before="0" w:beforeAutospacing="0" w:after="0" w:afterAutospacing="0"/>
        <w:jc w:val="both"/>
        <w:rPr>
          <w:color w:val="000000" w:themeColor="text1"/>
          <w:lang w:val="en-US"/>
        </w:rPr>
      </w:pPr>
    </w:p>
    <w:p w:rsidR="00053582" w:rsidRPr="006861BB" w:rsidRDefault="006861BB" w:rsidP="0083766B">
      <w:pPr>
        <w:pStyle w:val="ecxdefault"/>
        <w:shd w:val="clear" w:color="auto" w:fill="FFFFFF"/>
        <w:spacing w:before="0" w:beforeAutospacing="0" w:after="324" w:afterAutospacing="0"/>
        <w:jc w:val="both"/>
        <w:rPr>
          <w:color w:val="000000" w:themeColor="text1"/>
        </w:rPr>
      </w:pPr>
      <w:r w:rsidRPr="006861BB">
        <w:rPr>
          <w:color w:val="000000" w:themeColor="text1"/>
        </w:rPr>
        <w:t xml:space="preserve">Área </w:t>
      </w:r>
      <w:proofErr w:type="spellStart"/>
      <w:r w:rsidRPr="006861BB">
        <w:rPr>
          <w:color w:val="000000" w:themeColor="text1"/>
        </w:rPr>
        <w:t>Anpec</w:t>
      </w:r>
      <w:proofErr w:type="spellEnd"/>
      <w:r w:rsidRPr="006861BB">
        <w:rPr>
          <w:color w:val="000000" w:themeColor="text1"/>
        </w:rPr>
        <w:t xml:space="preserve">: </w:t>
      </w:r>
      <w:r w:rsidRPr="006861BB">
        <w:rPr>
          <w:color w:val="2B2B2B"/>
          <w:shd w:val="clear" w:color="auto" w:fill="FFFFFF"/>
        </w:rPr>
        <w:t>Economia Política</w:t>
      </w:r>
    </w:p>
    <w:p w:rsidR="00C646C1" w:rsidRPr="006861BB" w:rsidRDefault="00C646C1" w:rsidP="0083766B">
      <w:pPr>
        <w:tabs>
          <w:tab w:val="center" w:pos="4800"/>
          <w:tab w:val="right" w:pos="9500"/>
        </w:tabs>
        <w:rPr>
          <w:b/>
          <w:bCs/>
          <w:noProof/>
          <w:color w:val="000000" w:themeColor="text1"/>
        </w:rPr>
      </w:pPr>
      <w:r w:rsidRPr="006861BB">
        <w:rPr>
          <w:b/>
          <w:bCs/>
          <w:noProof/>
          <w:color w:val="000000" w:themeColor="text1"/>
        </w:rPr>
        <w:lastRenderedPageBreak/>
        <w:t>1</w:t>
      </w:r>
      <w:r w:rsidR="008C46B9" w:rsidRPr="006861BB">
        <w:rPr>
          <w:b/>
          <w:bCs/>
          <w:noProof/>
          <w:color w:val="000000" w:themeColor="text1"/>
        </w:rPr>
        <w:t>.</w:t>
      </w:r>
      <w:r w:rsidRPr="006861BB">
        <w:rPr>
          <w:b/>
          <w:bCs/>
          <w:noProof/>
          <w:color w:val="000000" w:themeColor="text1"/>
        </w:rPr>
        <w:t xml:space="preserve"> I</w:t>
      </w:r>
      <w:r w:rsidR="008C46B9" w:rsidRPr="006861BB">
        <w:rPr>
          <w:b/>
          <w:bCs/>
          <w:noProof/>
          <w:color w:val="000000" w:themeColor="text1"/>
        </w:rPr>
        <w:t>ntroduction</w:t>
      </w:r>
    </w:p>
    <w:p w:rsidR="00724EAB" w:rsidRPr="006861BB" w:rsidRDefault="00724EAB" w:rsidP="003B225C">
      <w:pPr>
        <w:rPr>
          <w:color w:val="000000" w:themeColor="text1"/>
        </w:rPr>
      </w:pPr>
    </w:p>
    <w:p w:rsidR="00C47B75" w:rsidRPr="003F52FE" w:rsidRDefault="008A3E0A" w:rsidP="0083766B">
      <w:pPr>
        <w:tabs>
          <w:tab w:val="center" w:pos="4800"/>
          <w:tab w:val="right" w:pos="9500"/>
        </w:tabs>
        <w:rPr>
          <w:color w:val="000000" w:themeColor="text1"/>
          <w:lang w:val="en-US"/>
        </w:rPr>
      </w:pPr>
      <w:r w:rsidRPr="003F52FE">
        <w:rPr>
          <w:color w:val="000000" w:themeColor="text1"/>
          <w:lang w:val="en-US"/>
        </w:rPr>
        <w:t xml:space="preserve">The </w:t>
      </w:r>
      <w:r w:rsidR="00253223" w:rsidRPr="003F52FE">
        <w:rPr>
          <w:color w:val="000000" w:themeColor="text1"/>
          <w:lang w:val="en-US"/>
        </w:rPr>
        <w:t xml:space="preserve">debate about </w:t>
      </w:r>
      <w:r w:rsidRPr="003F52FE">
        <w:rPr>
          <w:color w:val="000000" w:themeColor="text1"/>
          <w:lang w:val="en-US"/>
        </w:rPr>
        <w:t>the causes of the struct</w:t>
      </w:r>
      <w:r w:rsidR="00C47B75" w:rsidRPr="003F52FE">
        <w:rPr>
          <w:color w:val="000000" w:themeColor="text1"/>
          <w:lang w:val="en-US"/>
        </w:rPr>
        <w:t xml:space="preserve">ural crisis of 2008 </w:t>
      </w:r>
      <w:r w:rsidR="00F04C9B" w:rsidRPr="003F52FE">
        <w:rPr>
          <w:color w:val="000000" w:themeColor="text1"/>
          <w:lang w:val="en-US"/>
        </w:rPr>
        <w:t xml:space="preserve">has </w:t>
      </w:r>
      <w:r w:rsidR="00C47B75" w:rsidRPr="003F52FE">
        <w:rPr>
          <w:color w:val="000000" w:themeColor="text1"/>
          <w:lang w:val="en-US"/>
        </w:rPr>
        <w:t xml:space="preserve">provoked </w:t>
      </w:r>
      <w:r w:rsidR="001279DD" w:rsidRPr="003F52FE">
        <w:rPr>
          <w:color w:val="000000" w:themeColor="text1"/>
          <w:lang w:val="en-US"/>
        </w:rPr>
        <w:t>a</w:t>
      </w:r>
      <w:r w:rsidR="009652D7" w:rsidRPr="003F52FE">
        <w:rPr>
          <w:color w:val="000000" w:themeColor="text1"/>
          <w:lang w:val="en-US"/>
        </w:rPr>
        <w:t xml:space="preserve"> </w:t>
      </w:r>
      <w:r w:rsidR="00253223" w:rsidRPr="003F52FE">
        <w:rPr>
          <w:color w:val="000000" w:themeColor="text1"/>
          <w:lang w:val="en-US"/>
        </w:rPr>
        <w:t>controversy over</w:t>
      </w:r>
      <w:r w:rsidRPr="003F52FE">
        <w:rPr>
          <w:color w:val="000000" w:themeColor="text1"/>
          <w:lang w:val="en-US"/>
        </w:rPr>
        <w:t xml:space="preserve"> the </w:t>
      </w:r>
      <w:r w:rsidR="00C47B75" w:rsidRPr="003F52FE">
        <w:rPr>
          <w:color w:val="000000" w:themeColor="text1"/>
          <w:lang w:val="en-US"/>
        </w:rPr>
        <w:t xml:space="preserve">methodology of </w:t>
      </w:r>
      <w:r w:rsidRPr="003F52FE">
        <w:rPr>
          <w:color w:val="000000" w:themeColor="text1"/>
          <w:lang w:val="en-US"/>
        </w:rPr>
        <w:t>measurement of the profit rate. The scholars associated with the temporal single system</w:t>
      </w:r>
      <w:r w:rsidR="001279DD" w:rsidRPr="003F52FE">
        <w:rPr>
          <w:color w:val="000000" w:themeColor="text1"/>
          <w:lang w:val="en-US"/>
        </w:rPr>
        <w:t xml:space="preserve"> (TSS)</w:t>
      </w:r>
      <w:r w:rsidRPr="003F52FE">
        <w:rPr>
          <w:color w:val="000000" w:themeColor="text1"/>
          <w:lang w:val="en-US"/>
        </w:rPr>
        <w:t xml:space="preserve"> interpretation of the Marxian theory of value </w:t>
      </w:r>
      <w:r w:rsidR="00C47B75" w:rsidRPr="003F52FE">
        <w:rPr>
          <w:color w:val="000000" w:themeColor="text1"/>
          <w:lang w:val="en-US"/>
        </w:rPr>
        <w:t xml:space="preserve">pointed out </w:t>
      </w:r>
      <w:r w:rsidRPr="003F52FE">
        <w:rPr>
          <w:color w:val="000000" w:themeColor="text1"/>
          <w:lang w:val="en-US"/>
        </w:rPr>
        <w:t xml:space="preserve">that the </w:t>
      </w:r>
      <w:r w:rsidR="009652D7" w:rsidRPr="003F52FE">
        <w:rPr>
          <w:color w:val="000000" w:themeColor="text1"/>
          <w:lang w:val="en-US"/>
        </w:rPr>
        <w:t xml:space="preserve">profit rate must be measured </w:t>
      </w:r>
      <w:r w:rsidR="00D0781D" w:rsidRPr="003F52FE">
        <w:rPr>
          <w:color w:val="000000" w:themeColor="text1"/>
          <w:lang w:val="en-US"/>
        </w:rPr>
        <w:t>at</w:t>
      </w:r>
      <w:r w:rsidR="00925798" w:rsidRPr="003F52FE">
        <w:rPr>
          <w:color w:val="000000" w:themeColor="text1"/>
          <w:lang w:val="en-US"/>
        </w:rPr>
        <w:t xml:space="preserve"> historical cost</w:t>
      </w:r>
      <w:r w:rsidR="009652D7" w:rsidRPr="003F52FE">
        <w:rPr>
          <w:color w:val="000000" w:themeColor="text1"/>
          <w:lang w:val="en-US"/>
        </w:rPr>
        <w:t>s</w:t>
      </w:r>
      <w:r w:rsidR="00925798" w:rsidRPr="003F52FE">
        <w:rPr>
          <w:color w:val="000000" w:themeColor="text1"/>
          <w:lang w:val="en-US"/>
        </w:rPr>
        <w:t xml:space="preserve">. </w:t>
      </w:r>
      <w:r w:rsidR="003D21D7" w:rsidRPr="003F52FE">
        <w:rPr>
          <w:color w:val="000000" w:themeColor="text1"/>
          <w:lang w:val="en-US"/>
        </w:rPr>
        <w:t>Among</w:t>
      </w:r>
      <w:r w:rsidR="00925798" w:rsidRPr="003F52FE">
        <w:rPr>
          <w:color w:val="000000" w:themeColor="text1"/>
          <w:lang w:val="en-US"/>
        </w:rPr>
        <w:t xml:space="preserve"> thes</w:t>
      </w:r>
      <w:r w:rsidR="009E2600" w:rsidRPr="003F52FE">
        <w:rPr>
          <w:color w:val="000000" w:themeColor="text1"/>
          <w:lang w:val="en-US"/>
        </w:rPr>
        <w:t>e</w:t>
      </w:r>
      <w:r w:rsidR="00925798" w:rsidRPr="003F52FE">
        <w:rPr>
          <w:color w:val="000000" w:themeColor="text1"/>
          <w:lang w:val="en-US"/>
        </w:rPr>
        <w:t xml:space="preserve"> are </w:t>
      </w:r>
      <w:proofErr w:type="spellStart"/>
      <w:r w:rsidR="00576DEF" w:rsidRPr="003F52FE">
        <w:rPr>
          <w:color w:val="000000" w:themeColor="text1"/>
          <w:lang w:val="en-US"/>
        </w:rPr>
        <w:t>Kliman</w:t>
      </w:r>
      <w:proofErr w:type="spellEnd"/>
      <w:r w:rsidR="00576DEF" w:rsidRPr="003F52FE">
        <w:rPr>
          <w:color w:val="000000" w:themeColor="text1"/>
          <w:lang w:val="en-US"/>
        </w:rPr>
        <w:t xml:space="preserve"> (2011)</w:t>
      </w:r>
      <w:r w:rsidR="009652D7" w:rsidRPr="003F52FE">
        <w:rPr>
          <w:color w:val="000000" w:themeColor="text1"/>
          <w:lang w:val="en-US"/>
        </w:rPr>
        <w:t xml:space="preserve"> and Freeman (2009)</w:t>
      </w:r>
      <w:r w:rsidR="003D21D7" w:rsidRPr="003F52FE">
        <w:rPr>
          <w:color w:val="000000" w:themeColor="text1"/>
          <w:lang w:val="en-US"/>
        </w:rPr>
        <w:t xml:space="preserve">. </w:t>
      </w:r>
      <w:r w:rsidR="00925798" w:rsidRPr="003F52FE">
        <w:rPr>
          <w:color w:val="000000" w:themeColor="text1"/>
          <w:lang w:val="en-US"/>
        </w:rPr>
        <w:t>This conception</w:t>
      </w:r>
      <w:r w:rsidR="009652D7" w:rsidRPr="003F52FE">
        <w:rPr>
          <w:color w:val="000000" w:themeColor="text1"/>
          <w:lang w:val="en-US"/>
        </w:rPr>
        <w:t xml:space="preserve"> </w:t>
      </w:r>
      <w:r w:rsidRPr="003F52FE">
        <w:rPr>
          <w:color w:val="000000" w:themeColor="text1"/>
          <w:lang w:val="en-US"/>
        </w:rPr>
        <w:t>contrast</w:t>
      </w:r>
      <w:r w:rsidR="00925798" w:rsidRPr="003F52FE">
        <w:rPr>
          <w:color w:val="000000" w:themeColor="text1"/>
          <w:lang w:val="en-US"/>
        </w:rPr>
        <w:t xml:space="preserve">s with the larger group of scholar </w:t>
      </w:r>
      <w:r w:rsidR="009652D7" w:rsidRPr="003F52FE">
        <w:rPr>
          <w:color w:val="000000" w:themeColor="text1"/>
          <w:lang w:val="en-US"/>
        </w:rPr>
        <w:t xml:space="preserve">who computes the profit </w:t>
      </w:r>
      <w:r w:rsidR="00933773" w:rsidRPr="003F52FE">
        <w:rPr>
          <w:color w:val="000000" w:themeColor="text1"/>
          <w:lang w:val="en-US"/>
        </w:rPr>
        <w:t xml:space="preserve">rate at historical </w:t>
      </w:r>
      <w:r w:rsidR="00925798" w:rsidRPr="003F52FE">
        <w:rPr>
          <w:color w:val="000000" w:themeColor="text1"/>
          <w:lang w:val="en-US"/>
        </w:rPr>
        <w:t>cost</w:t>
      </w:r>
      <w:r w:rsidR="009652D7" w:rsidRPr="003F52FE">
        <w:rPr>
          <w:color w:val="000000" w:themeColor="text1"/>
          <w:lang w:val="en-US"/>
        </w:rPr>
        <w:t>s</w:t>
      </w:r>
      <w:r w:rsidR="00925798" w:rsidRPr="003F52FE">
        <w:rPr>
          <w:color w:val="000000" w:themeColor="text1"/>
          <w:lang w:val="en-US"/>
        </w:rPr>
        <w:t xml:space="preserve">. </w:t>
      </w:r>
      <w:r w:rsidR="009652D7" w:rsidRPr="003F52FE">
        <w:rPr>
          <w:color w:val="000000" w:themeColor="text1"/>
          <w:lang w:val="en-US"/>
        </w:rPr>
        <w:t>Members of t</w:t>
      </w:r>
      <w:r w:rsidR="00C47B75" w:rsidRPr="003F52FE">
        <w:rPr>
          <w:color w:val="000000" w:themeColor="text1"/>
          <w:lang w:val="en-US"/>
        </w:rPr>
        <w:t xml:space="preserve">his group </w:t>
      </w:r>
      <w:r w:rsidR="009652D7" w:rsidRPr="003F52FE">
        <w:rPr>
          <w:color w:val="000000" w:themeColor="text1"/>
          <w:lang w:val="en-US"/>
        </w:rPr>
        <w:t>include</w:t>
      </w:r>
      <w:r w:rsidR="003D21D7" w:rsidRPr="003F52FE">
        <w:rPr>
          <w:color w:val="000000" w:themeColor="text1"/>
          <w:lang w:val="en-US"/>
        </w:rPr>
        <w:t xml:space="preserve"> </w:t>
      </w:r>
      <w:proofErr w:type="spellStart"/>
      <w:r w:rsidR="001279DD" w:rsidRPr="003F52FE">
        <w:rPr>
          <w:color w:val="000000" w:themeColor="text1"/>
          <w:lang w:val="en-US"/>
        </w:rPr>
        <w:t>Weisskopf</w:t>
      </w:r>
      <w:proofErr w:type="spellEnd"/>
      <w:r w:rsidR="00DD57D9" w:rsidRPr="003F52FE">
        <w:rPr>
          <w:color w:val="000000" w:themeColor="text1"/>
          <w:lang w:val="en-US"/>
        </w:rPr>
        <w:t xml:space="preserve"> (1979)</w:t>
      </w:r>
      <w:r w:rsidR="001279DD" w:rsidRPr="003F52FE">
        <w:rPr>
          <w:color w:val="000000" w:themeColor="text1"/>
          <w:lang w:val="en-US"/>
        </w:rPr>
        <w:t>, </w:t>
      </w:r>
      <w:r w:rsidR="00DD57D9" w:rsidRPr="003F52FE">
        <w:rPr>
          <w:color w:val="000000" w:themeColor="text1"/>
          <w:lang w:val="en-US"/>
        </w:rPr>
        <w:t xml:space="preserve">Bowles, Gordon and </w:t>
      </w:r>
      <w:proofErr w:type="spellStart"/>
      <w:r w:rsidR="00DD57D9" w:rsidRPr="003F52FE">
        <w:rPr>
          <w:color w:val="000000" w:themeColor="text1"/>
          <w:lang w:val="en-US"/>
        </w:rPr>
        <w:t>Weisskopf</w:t>
      </w:r>
      <w:proofErr w:type="spellEnd"/>
      <w:r w:rsidR="00DD57D9" w:rsidRPr="003F52FE">
        <w:rPr>
          <w:color w:val="000000" w:themeColor="text1"/>
          <w:lang w:val="en-US"/>
        </w:rPr>
        <w:t xml:space="preserve"> (1986), </w:t>
      </w:r>
      <w:proofErr w:type="spellStart"/>
      <w:r w:rsidR="001279DD" w:rsidRPr="003F52FE">
        <w:rPr>
          <w:color w:val="000000" w:themeColor="text1"/>
          <w:lang w:val="en-US"/>
        </w:rPr>
        <w:t>Dúmenil</w:t>
      </w:r>
      <w:proofErr w:type="spellEnd"/>
      <w:r w:rsidR="00DD57D9" w:rsidRPr="003F52FE">
        <w:rPr>
          <w:color w:val="000000" w:themeColor="text1"/>
          <w:lang w:val="en-US"/>
        </w:rPr>
        <w:t xml:space="preserve"> and </w:t>
      </w:r>
      <w:proofErr w:type="spellStart"/>
      <w:r w:rsidR="001279DD" w:rsidRPr="003F52FE">
        <w:rPr>
          <w:color w:val="000000" w:themeColor="text1"/>
          <w:lang w:val="en-US"/>
        </w:rPr>
        <w:t>Lévy</w:t>
      </w:r>
      <w:proofErr w:type="spellEnd"/>
      <w:r w:rsidR="00DD57D9" w:rsidRPr="003F52FE">
        <w:rPr>
          <w:color w:val="000000" w:themeColor="text1"/>
          <w:lang w:val="en-US"/>
        </w:rPr>
        <w:t xml:space="preserve"> (1993</w:t>
      </w:r>
      <w:r w:rsidR="001279DD" w:rsidRPr="003F52FE">
        <w:rPr>
          <w:color w:val="000000" w:themeColor="text1"/>
          <w:lang w:val="en-US"/>
        </w:rPr>
        <w:t>,</w:t>
      </w:r>
      <w:r w:rsidR="00DD57D9" w:rsidRPr="003F52FE">
        <w:rPr>
          <w:color w:val="000000" w:themeColor="text1"/>
          <w:lang w:val="en-US"/>
        </w:rPr>
        <w:t xml:space="preserve"> 2011)</w:t>
      </w:r>
      <w:r w:rsidR="001709BF" w:rsidRPr="003F52FE">
        <w:rPr>
          <w:color w:val="000000" w:themeColor="text1"/>
          <w:lang w:val="en-US"/>
        </w:rPr>
        <w:t xml:space="preserve"> and</w:t>
      </w:r>
      <w:r w:rsidR="00DD57D9" w:rsidRPr="003F52FE">
        <w:rPr>
          <w:color w:val="000000" w:themeColor="text1"/>
          <w:lang w:val="en-US"/>
        </w:rPr>
        <w:t xml:space="preserve"> Bakir and </w:t>
      </w:r>
      <w:r w:rsidR="001279DD" w:rsidRPr="003F52FE">
        <w:rPr>
          <w:color w:val="000000" w:themeColor="text1"/>
          <w:lang w:val="en-US"/>
        </w:rPr>
        <w:t>Campbell</w:t>
      </w:r>
      <w:r w:rsidR="00DD57D9" w:rsidRPr="003F52FE">
        <w:rPr>
          <w:color w:val="000000" w:themeColor="text1"/>
          <w:lang w:val="en-US"/>
        </w:rPr>
        <w:t xml:space="preserve"> (</w:t>
      </w:r>
      <w:r w:rsidR="001709BF" w:rsidRPr="003F52FE">
        <w:rPr>
          <w:color w:val="000000" w:themeColor="text1"/>
          <w:lang w:val="en-US"/>
        </w:rPr>
        <w:t>2009)</w:t>
      </w:r>
      <w:r w:rsidR="00F04C9B" w:rsidRPr="003F52FE">
        <w:rPr>
          <w:color w:val="000000" w:themeColor="text1"/>
          <w:lang w:val="en-US"/>
        </w:rPr>
        <w:t xml:space="preserve">. </w:t>
      </w:r>
    </w:p>
    <w:p w:rsidR="00F04C9B" w:rsidRPr="003F52FE" w:rsidRDefault="003D21D7" w:rsidP="0083766B">
      <w:pPr>
        <w:tabs>
          <w:tab w:val="center" w:pos="4800"/>
          <w:tab w:val="right" w:pos="9500"/>
        </w:tabs>
        <w:ind w:firstLine="720"/>
        <w:rPr>
          <w:color w:val="000000" w:themeColor="text1"/>
          <w:lang w:val="en-US"/>
        </w:rPr>
      </w:pPr>
      <w:r w:rsidRPr="003F52FE">
        <w:rPr>
          <w:color w:val="000000" w:themeColor="text1"/>
          <w:lang w:val="en-US"/>
        </w:rPr>
        <w:t xml:space="preserve">The central difference between both groups is </w:t>
      </w:r>
      <w:r w:rsidR="00F04C9B" w:rsidRPr="003F52FE">
        <w:rPr>
          <w:color w:val="000000" w:themeColor="text1"/>
          <w:lang w:val="en-US"/>
        </w:rPr>
        <w:t xml:space="preserve">in </w:t>
      </w:r>
      <w:r w:rsidR="009652D7" w:rsidRPr="003F52FE">
        <w:rPr>
          <w:color w:val="000000" w:themeColor="text1"/>
          <w:lang w:val="en-US"/>
        </w:rPr>
        <w:t xml:space="preserve">their measurement of </w:t>
      </w:r>
      <w:r w:rsidRPr="003F52FE">
        <w:rPr>
          <w:color w:val="000000" w:themeColor="text1"/>
          <w:lang w:val="en-US"/>
        </w:rPr>
        <w:t xml:space="preserve">capital stock employed </w:t>
      </w:r>
      <w:r w:rsidR="009652D7" w:rsidRPr="003F52FE">
        <w:rPr>
          <w:color w:val="000000" w:themeColor="text1"/>
          <w:lang w:val="en-US"/>
        </w:rPr>
        <w:t>to estimate</w:t>
      </w:r>
      <w:r w:rsidRPr="003F52FE">
        <w:rPr>
          <w:color w:val="000000" w:themeColor="text1"/>
          <w:lang w:val="en-US"/>
        </w:rPr>
        <w:t xml:space="preserve"> </w:t>
      </w:r>
      <w:r w:rsidR="009652D7" w:rsidRPr="003F52FE">
        <w:rPr>
          <w:color w:val="000000" w:themeColor="text1"/>
          <w:lang w:val="en-US"/>
        </w:rPr>
        <w:t xml:space="preserve">the </w:t>
      </w:r>
      <w:r w:rsidRPr="003F52FE">
        <w:rPr>
          <w:color w:val="000000" w:themeColor="text1"/>
          <w:lang w:val="en-US"/>
        </w:rPr>
        <w:t>profit rate. It is c</w:t>
      </w:r>
      <w:r w:rsidR="001279DD" w:rsidRPr="003F52FE">
        <w:rPr>
          <w:color w:val="000000" w:themeColor="text1"/>
          <w:lang w:val="en-US"/>
        </w:rPr>
        <w:t xml:space="preserve">alculated </w:t>
      </w:r>
      <w:r w:rsidRPr="003F52FE">
        <w:rPr>
          <w:color w:val="000000" w:themeColor="text1"/>
          <w:lang w:val="en-US"/>
        </w:rPr>
        <w:t xml:space="preserve">as the ratio </w:t>
      </w:r>
      <w:r w:rsidR="009652D7" w:rsidRPr="003F52FE">
        <w:rPr>
          <w:color w:val="000000" w:themeColor="text1"/>
          <w:lang w:val="en-US"/>
        </w:rPr>
        <w:t>between profits</w:t>
      </w:r>
      <w:r w:rsidRPr="003F52FE">
        <w:rPr>
          <w:color w:val="000000" w:themeColor="text1"/>
          <w:lang w:val="en-US"/>
        </w:rPr>
        <w:t xml:space="preserve"> </w:t>
      </w:r>
      <w:r w:rsidR="009652D7" w:rsidRPr="003F52FE">
        <w:rPr>
          <w:color w:val="000000" w:themeColor="text1"/>
          <w:lang w:val="en-US"/>
        </w:rPr>
        <w:t>(</w:t>
      </w:r>
      <w:r w:rsidRPr="003F52FE">
        <w:rPr>
          <w:color w:val="000000" w:themeColor="text1"/>
          <w:lang w:val="en-US"/>
        </w:rPr>
        <w:t>flux variable</w:t>
      </w:r>
      <w:r w:rsidR="009652D7" w:rsidRPr="003F52FE">
        <w:rPr>
          <w:color w:val="000000" w:themeColor="text1"/>
          <w:lang w:val="en-US"/>
        </w:rPr>
        <w:t>) and net fixed capital (</w:t>
      </w:r>
      <w:r w:rsidRPr="003F52FE">
        <w:rPr>
          <w:color w:val="000000" w:themeColor="text1"/>
          <w:lang w:val="en-US"/>
        </w:rPr>
        <w:t>stock variable</w:t>
      </w:r>
      <w:r w:rsidR="009652D7" w:rsidRPr="003F52FE">
        <w:rPr>
          <w:color w:val="000000" w:themeColor="text1"/>
          <w:lang w:val="en-US"/>
        </w:rPr>
        <w:t>)</w:t>
      </w:r>
      <w:r w:rsidRPr="003F52FE">
        <w:rPr>
          <w:color w:val="000000" w:themeColor="text1"/>
          <w:lang w:val="en-US"/>
        </w:rPr>
        <w:t xml:space="preserve">. </w:t>
      </w:r>
      <w:r w:rsidR="001279DD" w:rsidRPr="003F52FE">
        <w:rPr>
          <w:color w:val="000000" w:themeColor="text1"/>
          <w:lang w:val="en-US"/>
        </w:rPr>
        <w:t xml:space="preserve">The scholars associated </w:t>
      </w:r>
      <w:r w:rsidR="009652D7" w:rsidRPr="003F52FE">
        <w:rPr>
          <w:color w:val="000000" w:themeColor="text1"/>
          <w:lang w:val="en-US"/>
        </w:rPr>
        <w:t>with</w:t>
      </w:r>
      <w:r w:rsidR="001279DD" w:rsidRPr="003F52FE">
        <w:rPr>
          <w:color w:val="000000" w:themeColor="text1"/>
          <w:lang w:val="en-US"/>
        </w:rPr>
        <w:t xml:space="preserve"> TSS </w:t>
      </w:r>
      <w:r w:rsidR="00E051D7" w:rsidRPr="003F52FE">
        <w:rPr>
          <w:color w:val="000000" w:themeColor="text1"/>
          <w:lang w:val="en-US"/>
        </w:rPr>
        <w:t>suggest</w:t>
      </w:r>
      <w:r w:rsidR="001279DD" w:rsidRPr="003F52FE">
        <w:rPr>
          <w:color w:val="000000" w:themeColor="text1"/>
          <w:lang w:val="en-US"/>
        </w:rPr>
        <w:t xml:space="preserve"> that </w:t>
      </w:r>
      <w:r w:rsidR="00394B38" w:rsidRPr="003F52FE">
        <w:rPr>
          <w:color w:val="000000" w:themeColor="text1"/>
          <w:lang w:val="en-US"/>
        </w:rPr>
        <w:t xml:space="preserve">net fixed </w:t>
      </w:r>
      <w:r w:rsidR="001279DD" w:rsidRPr="003F52FE">
        <w:rPr>
          <w:color w:val="000000" w:themeColor="text1"/>
          <w:lang w:val="en-US"/>
        </w:rPr>
        <w:t xml:space="preserve">capital stock </w:t>
      </w:r>
      <w:r w:rsidR="00141780" w:rsidRPr="003F52FE">
        <w:rPr>
          <w:color w:val="000000" w:themeColor="text1"/>
          <w:lang w:val="en-US"/>
        </w:rPr>
        <w:t xml:space="preserve">must be measured </w:t>
      </w:r>
      <w:r w:rsidR="00D0781D" w:rsidRPr="003F52FE">
        <w:rPr>
          <w:noProof/>
          <w:color w:val="000000" w:themeColor="text1"/>
          <w:lang w:val="en-US"/>
        </w:rPr>
        <w:t xml:space="preserve">at historical prices, </w:t>
      </w:r>
      <w:r w:rsidR="00E67D9F" w:rsidRPr="003F52FE">
        <w:rPr>
          <w:noProof/>
          <w:color w:val="000000" w:themeColor="text1"/>
          <w:lang w:val="en-US"/>
        </w:rPr>
        <w:t xml:space="preserve">the </w:t>
      </w:r>
      <w:r w:rsidR="00E051D7" w:rsidRPr="003F52FE">
        <w:rPr>
          <w:noProof/>
          <w:color w:val="000000" w:themeColor="text1"/>
          <w:lang w:val="en-US"/>
        </w:rPr>
        <w:t>capital goods</w:t>
      </w:r>
      <w:r w:rsidR="0009003D" w:rsidRPr="003F52FE">
        <w:rPr>
          <w:noProof/>
          <w:color w:val="000000" w:themeColor="text1"/>
          <w:lang w:val="en-US"/>
        </w:rPr>
        <w:t xml:space="preserve"> </w:t>
      </w:r>
      <w:r w:rsidR="00E67D9F" w:rsidRPr="003F52FE">
        <w:rPr>
          <w:noProof/>
          <w:color w:val="000000" w:themeColor="text1"/>
          <w:lang w:val="en-US"/>
        </w:rPr>
        <w:t xml:space="preserve">are </w:t>
      </w:r>
      <w:r w:rsidR="0009003D" w:rsidRPr="003F52FE">
        <w:rPr>
          <w:noProof/>
          <w:color w:val="000000" w:themeColor="text1"/>
          <w:lang w:val="en-US"/>
        </w:rPr>
        <w:t xml:space="preserve">valued </w:t>
      </w:r>
      <w:r w:rsidR="00D0781D" w:rsidRPr="003F52FE">
        <w:rPr>
          <w:noProof/>
          <w:color w:val="000000" w:themeColor="text1"/>
          <w:lang w:val="en-US"/>
        </w:rPr>
        <w:t>at</w:t>
      </w:r>
      <w:r w:rsidR="00141780" w:rsidRPr="003F52FE">
        <w:rPr>
          <w:color w:val="000000" w:themeColor="text1"/>
          <w:lang w:val="en-US"/>
        </w:rPr>
        <w:t xml:space="preserve"> </w:t>
      </w:r>
      <w:r w:rsidR="00141780" w:rsidRPr="003F52FE">
        <w:rPr>
          <w:noProof/>
          <w:color w:val="000000" w:themeColor="text1"/>
          <w:lang w:val="en-US"/>
        </w:rPr>
        <w:t>acquisition prices.</w:t>
      </w:r>
      <w:r w:rsidR="0043188E" w:rsidRPr="003F52FE">
        <w:rPr>
          <w:noProof/>
          <w:color w:val="000000" w:themeColor="text1"/>
          <w:lang w:val="en-US"/>
        </w:rPr>
        <w:t xml:space="preserve"> In contrast, the other larger group </w:t>
      </w:r>
      <w:r w:rsidR="00E051D7" w:rsidRPr="003F52FE">
        <w:rPr>
          <w:noProof/>
          <w:color w:val="000000" w:themeColor="text1"/>
          <w:lang w:val="en-US"/>
        </w:rPr>
        <w:t>recommends</w:t>
      </w:r>
      <w:r w:rsidR="0043188E" w:rsidRPr="003F52FE">
        <w:rPr>
          <w:noProof/>
          <w:color w:val="000000" w:themeColor="text1"/>
          <w:lang w:val="en-US"/>
        </w:rPr>
        <w:t xml:space="preserve"> that c</w:t>
      </w:r>
      <w:r w:rsidR="00E051D7" w:rsidRPr="003F52FE">
        <w:rPr>
          <w:noProof/>
          <w:color w:val="000000" w:themeColor="text1"/>
          <w:lang w:val="en-US"/>
        </w:rPr>
        <w:t>apital stock must be measured with current prices</w:t>
      </w:r>
      <w:r w:rsidR="00E67D9F" w:rsidRPr="003F52FE">
        <w:rPr>
          <w:noProof/>
          <w:color w:val="000000" w:themeColor="text1"/>
          <w:lang w:val="en-US"/>
        </w:rPr>
        <w:t xml:space="preserve">, the </w:t>
      </w:r>
      <w:r w:rsidR="00E051D7" w:rsidRPr="003F52FE">
        <w:rPr>
          <w:noProof/>
          <w:color w:val="000000" w:themeColor="text1"/>
          <w:lang w:val="en-US"/>
        </w:rPr>
        <w:t xml:space="preserve">capital goods are valued </w:t>
      </w:r>
      <w:r w:rsidR="00D0781D" w:rsidRPr="003F52FE">
        <w:rPr>
          <w:noProof/>
          <w:color w:val="000000" w:themeColor="text1"/>
          <w:lang w:val="en-US"/>
        </w:rPr>
        <w:t>at</w:t>
      </w:r>
      <w:r w:rsidR="00E051D7" w:rsidRPr="003F52FE">
        <w:rPr>
          <w:noProof/>
          <w:color w:val="000000" w:themeColor="text1"/>
          <w:lang w:val="en-US"/>
        </w:rPr>
        <w:t xml:space="preserve"> current year prices</w:t>
      </w:r>
      <w:r w:rsidR="0043188E" w:rsidRPr="003F52FE">
        <w:rPr>
          <w:noProof/>
          <w:color w:val="000000" w:themeColor="text1"/>
          <w:lang w:val="en-US"/>
        </w:rPr>
        <w:t xml:space="preserve">. </w:t>
      </w:r>
    </w:p>
    <w:p w:rsidR="003D21D7" w:rsidRPr="003F52FE" w:rsidRDefault="00F04C9B" w:rsidP="0083766B">
      <w:pPr>
        <w:tabs>
          <w:tab w:val="center" w:pos="4800"/>
          <w:tab w:val="right" w:pos="9500"/>
        </w:tabs>
        <w:ind w:firstLine="720"/>
        <w:rPr>
          <w:color w:val="000000" w:themeColor="text1"/>
          <w:lang w:val="en-US"/>
        </w:rPr>
      </w:pPr>
      <w:proofErr w:type="spellStart"/>
      <w:r w:rsidRPr="003F52FE">
        <w:rPr>
          <w:color w:val="000000" w:themeColor="text1"/>
          <w:lang w:val="en-US"/>
        </w:rPr>
        <w:t>Basu</w:t>
      </w:r>
      <w:proofErr w:type="spellEnd"/>
      <w:r w:rsidRPr="003F52FE">
        <w:rPr>
          <w:color w:val="000000" w:themeColor="text1"/>
          <w:lang w:val="en-US"/>
        </w:rPr>
        <w:t xml:space="preserve"> (2013) </w:t>
      </w:r>
      <w:r w:rsidR="009D65E9" w:rsidRPr="003F52FE">
        <w:rPr>
          <w:color w:val="000000" w:themeColor="text1"/>
          <w:lang w:val="en-US"/>
        </w:rPr>
        <w:t>highlights the existence of</w:t>
      </w:r>
      <w:r w:rsidR="00394B38" w:rsidRPr="003F52FE">
        <w:rPr>
          <w:color w:val="000000" w:themeColor="text1"/>
          <w:lang w:val="en-US"/>
        </w:rPr>
        <w:t xml:space="preserve"> a threshold rate of change in the price of capital goods that </w:t>
      </w:r>
      <w:r w:rsidR="009D65E9" w:rsidRPr="003F52FE">
        <w:rPr>
          <w:color w:val="000000" w:themeColor="text1"/>
          <w:lang w:val="en-US"/>
        </w:rPr>
        <w:t xml:space="preserve">constantly </w:t>
      </w:r>
      <w:r w:rsidR="00394B38" w:rsidRPr="003F52FE">
        <w:rPr>
          <w:color w:val="000000" w:themeColor="text1"/>
          <w:lang w:val="en-US"/>
        </w:rPr>
        <w:t xml:space="preserve">maintains the difference between the historical and current stocks of fixed capital. </w:t>
      </w:r>
      <w:r w:rsidRPr="003F52FE">
        <w:rPr>
          <w:color w:val="000000" w:themeColor="text1"/>
          <w:lang w:val="en-US"/>
        </w:rPr>
        <w:t xml:space="preserve">He calculated the profit rates for the US economy using </w:t>
      </w:r>
      <w:r w:rsidR="009D65E9" w:rsidRPr="003F52FE">
        <w:rPr>
          <w:color w:val="000000" w:themeColor="text1"/>
          <w:lang w:val="en-US"/>
        </w:rPr>
        <w:t>the two</w:t>
      </w:r>
      <w:r w:rsidRPr="003F52FE">
        <w:rPr>
          <w:color w:val="000000" w:themeColor="text1"/>
          <w:lang w:val="en-US"/>
        </w:rPr>
        <w:t xml:space="preserve"> methods and found similar trend</w:t>
      </w:r>
      <w:r w:rsidR="00DC77BB" w:rsidRPr="003F52FE">
        <w:rPr>
          <w:color w:val="000000" w:themeColor="text1"/>
          <w:lang w:val="en-US"/>
        </w:rPr>
        <w:t xml:space="preserve">s in </w:t>
      </w:r>
      <w:r w:rsidR="00F25032" w:rsidRPr="003F52FE">
        <w:rPr>
          <w:color w:val="000000" w:themeColor="text1"/>
          <w:lang w:val="en-US"/>
        </w:rPr>
        <w:t xml:space="preserve">the </w:t>
      </w:r>
      <w:r w:rsidR="009D65E9" w:rsidRPr="003F52FE">
        <w:rPr>
          <w:color w:val="000000" w:themeColor="text1"/>
          <w:lang w:val="en-US"/>
        </w:rPr>
        <w:t xml:space="preserve">profit </w:t>
      </w:r>
      <w:r w:rsidR="00933773" w:rsidRPr="003F52FE">
        <w:rPr>
          <w:color w:val="000000" w:themeColor="text1"/>
          <w:lang w:val="en-US"/>
        </w:rPr>
        <w:t xml:space="preserve">rate at historical </w:t>
      </w:r>
      <w:r w:rsidR="00DC77BB" w:rsidRPr="003F52FE">
        <w:rPr>
          <w:color w:val="000000" w:themeColor="text1"/>
          <w:lang w:val="en-US"/>
        </w:rPr>
        <w:t xml:space="preserve">and current costs. </w:t>
      </w:r>
      <w:r w:rsidRPr="003F52FE">
        <w:rPr>
          <w:color w:val="000000" w:themeColor="text1"/>
          <w:lang w:val="en-US"/>
        </w:rPr>
        <w:t>Roberts (</w:t>
      </w:r>
      <w:r w:rsidR="00B218CA" w:rsidRPr="003F52FE">
        <w:rPr>
          <w:color w:val="000000" w:themeColor="text1"/>
          <w:lang w:val="en-US"/>
        </w:rPr>
        <w:t>2009</w:t>
      </w:r>
      <w:r w:rsidR="008714C7" w:rsidRPr="003F52FE">
        <w:rPr>
          <w:color w:val="000000" w:themeColor="text1"/>
          <w:lang w:val="en-US"/>
        </w:rPr>
        <w:t xml:space="preserve">) </w:t>
      </w:r>
      <w:r w:rsidR="00F25032" w:rsidRPr="003F52FE">
        <w:rPr>
          <w:color w:val="000000" w:themeColor="text1"/>
          <w:lang w:val="en-US"/>
        </w:rPr>
        <w:t xml:space="preserve">found </w:t>
      </w:r>
      <w:r w:rsidRPr="003F52FE">
        <w:rPr>
          <w:color w:val="000000" w:themeColor="text1"/>
          <w:lang w:val="en-US"/>
        </w:rPr>
        <w:t xml:space="preserve">similar results </w:t>
      </w:r>
      <w:r w:rsidR="00F25032" w:rsidRPr="003F52FE">
        <w:rPr>
          <w:color w:val="000000" w:themeColor="text1"/>
          <w:lang w:val="en-US"/>
        </w:rPr>
        <w:t xml:space="preserve">in </w:t>
      </w:r>
      <w:r w:rsidR="009E2600" w:rsidRPr="003F52FE">
        <w:rPr>
          <w:color w:val="000000" w:themeColor="text1"/>
          <w:lang w:val="en-US"/>
        </w:rPr>
        <w:t>the US an</w:t>
      </w:r>
      <w:r w:rsidR="00765794" w:rsidRPr="003F52FE">
        <w:rPr>
          <w:color w:val="000000" w:themeColor="text1"/>
          <w:lang w:val="en-US"/>
        </w:rPr>
        <w:t xml:space="preserve">d England. </w:t>
      </w:r>
      <w:r w:rsidR="007630A9" w:rsidRPr="003F52FE">
        <w:rPr>
          <w:color w:val="000000" w:themeColor="text1"/>
          <w:lang w:val="en-US"/>
        </w:rPr>
        <w:t xml:space="preserve">Both measures would be equal if the prices </w:t>
      </w:r>
      <w:r w:rsidR="009E2600" w:rsidRPr="003F52FE">
        <w:rPr>
          <w:color w:val="000000" w:themeColor="text1"/>
          <w:lang w:val="en-US"/>
        </w:rPr>
        <w:t>were</w:t>
      </w:r>
      <w:r w:rsidR="007630A9" w:rsidRPr="003F52FE">
        <w:rPr>
          <w:color w:val="000000" w:themeColor="text1"/>
          <w:lang w:val="en-US"/>
        </w:rPr>
        <w:t xml:space="preserve"> constant over time. </w:t>
      </w:r>
    </w:p>
    <w:p w:rsidR="00ED059B" w:rsidRPr="003F52FE" w:rsidRDefault="009D65E9" w:rsidP="0083766B">
      <w:pPr>
        <w:tabs>
          <w:tab w:val="center" w:pos="4800"/>
          <w:tab w:val="right" w:pos="9500"/>
        </w:tabs>
        <w:ind w:firstLine="720"/>
        <w:rPr>
          <w:bCs/>
          <w:noProof/>
          <w:color w:val="000000" w:themeColor="text1"/>
          <w:lang w:val="en-US"/>
        </w:rPr>
      </w:pPr>
      <w:r w:rsidRPr="003F52FE">
        <w:rPr>
          <w:color w:val="000000" w:themeColor="text1"/>
          <w:lang w:val="en-US"/>
        </w:rPr>
        <w:t>This</w:t>
      </w:r>
      <w:r w:rsidR="00F04C9B" w:rsidRPr="003F52FE">
        <w:rPr>
          <w:color w:val="000000" w:themeColor="text1"/>
          <w:lang w:val="en-US"/>
        </w:rPr>
        <w:t xml:space="preserve"> pa</w:t>
      </w:r>
      <w:r w:rsidRPr="003F52FE">
        <w:rPr>
          <w:color w:val="000000" w:themeColor="text1"/>
          <w:lang w:val="en-US"/>
        </w:rPr>
        <w:t xml:space="preserve">per estimates the profit rate </w:t>
      </w:r>
      <w:r w:rsidR="00F04C9B" w:rsidRPr="003F52FE">
        <w:rPr>
          <w:color w:val="000000" w:themeColor="text1"/>
          <w:lang w:val="en-US"/>
        </w:rPr>
        <w:t>for Brazil</w:t>
      </w:r>
      <w:r w:rsidRPr="003F52FE">
        <w:rPr>
          <w:color w:val="000000" w:themeColor="text1"/>
          <w:lang w:val="en-US"/>
        </w:rPr>
        <w:t xml:space="preserve">, a country with </w:t>
      </w:r>
      <w:r w:rsidRPr="003F52FE">
        <w:rPr>
          <w:bCs/>
          <w:noProof/>
          <w:color w:val="000000" w:themeColor="text1"/>
          <w:lang w:val="en-US"/>
        </w:rPr>
        <w:t>high and persitent inflation</w:t>
      </w:r>
      <w:r w:rsidRPr="003F52FE">
        <w:rPr>
          <w:color w:val="000000" w:themeColor="text1"/>
          <w:lang w:val="en-US"/>
        </w:rPr>
        <w:t>,</w:t>
      </w:r>
      <w:r w:rsidR="00BF2795" w:rsidRPr="003F52FE">
        <w:rPr>
          <w:color w:val="000000" w:themeColor="text1"/>
          <w:lang w:val="en-US"/>
        </w:rPr>
        <w:t xml:space="preserve"> in the 195</w:t>
      </w:r>
      <w:r w:rsidR="00F04C9B" w:rsidRPr="003F52FE">
        <w:rPr>
          <w:color w:val="000000" w:themeColor="text1"/>
          <w:lang w:val="en-US"/>
        </w:rPr>
        <w:t xml:space="preserve">5-2008 </w:t>
      </w:r>
      <w:proofErr w:type="gramStart"/>
      <w:r w:rsidR="00F04C9B" w:rsidRPr="003F52FE">
        <w:rPr>
          <w:color w:val="000000" w:themeColor="text1"/>
          <w:lang w:val="en-US"/>
        </w:rPr>
        <w:t>period</w:t>
      </w:r>
      <w:proofErr w:type="gramEnd"/>
      <w:r w:rsidR="007630A9" w:rsidRPr="003F52FE">
        <w:rPr>
          <w:color w:val="000000" w:themeColor="text1"/>
          <w:lang w:val="en-US"/>
        </w:rPr>
        <w:t>,</w:t>
      </w:r>
      <w:r w:rsidRPr="003F52FE">
        <w:rPr>
          <w:color w:val="000000" w:themeColor="text1"/>
          <w:lang w:val="en-US"/>
        </w:rPr>
        <w:t xml:space="preserve"> </w:t>
      </w:r>
      <w:r w:rsidR="00B4014D" w:rsidRPr="003F52FE">
        <w:rPr>
          <w:color w:val="000000" w:themeColor="text1"/>
          <w:lang w:val="en-US"/>
        </w:rPr>
        <w:t xml:space="preserve">using </w:t>
      </w:r>
      <w:r w:rsidRPr="003F52FE">
        <w:rPr>
          <w:color w:val="000000" w:themeColor="text1"/>
          <w:lang w:val="en-US"/>
        </w:rPr>
        <w:t>historical and current costs</w:t>
      </w:r>
      <w:r w:rsidR="007630A9" w:rsidRPr="003F52FE">
        <w:rPr>
          <w:bCs/>
          <w:noProof/>
          <w:color w:val="000000" w:themeColor="text1"/>
          <w:lang w:val="en-US"/>
        </w:rPr>
        <w:t>. T</w:t>
      </w:r>
      <w:r w:rsidR="00F04C9B" w:rsidRPr="003F52FE">
        <w:rPr>
          <w:bCs/>
          <w:noProof/>
          <w:color w:val="000000" w:themeColor="text1"/>
          <w:lang w:val="en-US"/>
        </w:rPr>
        <w:t xml:space="preserve">he </w:t>
      </w:r>
      <w:r w:rsidR="008714C7" w:rsidRPr="003F52FE">
        <w:rPr>
          <w:bCs/>
          <w:noProof/>
          <w:color w:val="000000" w:themeColor="text1"/>
          <w:lang w:val="en-US"/>
        </w:rPr>
        <w:t xml:space="preserve">GDP </w:t>
      </w:r>
      <w:r w:rsidR="00730709" w:rsidRPr="003F52FE">
        <w:rPr>
          <w:bCs/>
          <w:noProof/>
          <w:color w:val="000000" w:themeColor="text1"/>
          <w:lang w:val="en-US"/>
        </w:rPr>
        <w:t>price deflator increase</w:t>
      </w:r>
      <w:r w:rsidR="007630A9" w:rsidRPr="003F52FE">
        <w:rPr>
          <w:bCs/>
          <w:noProof/>
          <w:color w:val="000000" w:themeColor="text1"/>
          <w:lang w:val="en-US"/>
        </w:rPr>
        <w:t>d</w:t>
      </w:r>
      <w:r w:rsidR="00730709" w:rsidRPr="003F52FE">
        <w:rPr>
          <w:bCs/>
          <w:noProof/>
          <w:color w:val="000000" w:themeColor="text1"/>
          <w:lang w:val="en-US"/>
        </w:rPr>
        <w:t xml:space="preserve"> at 64.7% annually beweent 1955 and 200</w:t>
      </w:r>
      <w:r w:rsidR="008714C7" w:rsidRPr="003F52FE">
        <w:rPr>
          <w:bCs/>
          <w:noProof/>
          <w:color w:val="000000" w:themeColor="text1"/>
          <w:lang w:val="en-US"/>
        </w:rPr>
        <w:t>8</w:t>
      </w:r>
      <w:r w:rsidR="00730709" w:rsidRPr="003F52FE">
        <w:rPr>
          <w:bCs/>
          <w:noProof/>
          <w:color w:val="000000" w:themeColor="text1"/>
          <w:lang w:val="en-US"/>
        </w:rPr>
        <w:t xml:space="preserve">. </w:t>
      </w:r>
      <w:r w:rsidR="007630A9" w:rsidRPr="003F52FE">
        <w:rPr>
          <w:bCs/>
          <w:noProof/>
          <w:color w:val="000000" w:themeColor="text1"/>
          <w:lang w:val="en-US"/>
        </w:rPr>
        <w:t xml:space="preserve">Moreover, the country experienced years of raising and declining inflation. </w:t>
      </w:r>
      <w:r w:rsidR="00F25032" w:rsidRPr="003F52FE">
        <w:rPr>
          <w:bCs/>
          <w:noProof/>
          <w:color w:val="000000" w:themeColor="text1"/>
          <w:lang w:val="en-US"/>
        </w:rPr>
        <w:t xml:space="preserve">The </w:t>
      </w:r>
      <w:r w:rsidR="00DC022D" w:rsidRPr="003F52FE">
        <w:rPr>
          <w:bCs/>
          <w:noProof/>
          <w:color w:val="000000" w:themeColor="text1"/>
          <w:lang w:val="en-US"/>
        </w:rPr>
        <w:t xml:space="preserve">highest annual rate of </w:t>
      </w:r>
      <w:r w:rsidR="00F25032" w:rsidRPr="003F52FE">
        <w:rPr>
          <w:bCs/>
          <w:noProof/>
          <w:color w:val="000000" w:themeColor="text1"/>
          <w:lang w:val="en-US"/>
        </w:rPr>
        <w:t xml:space="preserve">inflation </w:t>
      </w:r>
      <w:r w:rsidR="00DC022D" w:rsidRPr="003F52FE">
        <w:rPr>
          <w:bCs/>
          <w:noProof/>
          <w:color w:val="000000" w:themeColor="text1"/>
          <w:lang w:val="en-US"/>
        </w:rPr>
        <w:t>w</w:t>
      </w:r>
      <w:r w:rsidR="00F25032" w:rsidRPr="003F52FE">
        <w:rPr>
          <w:bCs/>
          <w:noProof/>
          <w:color w:val="000000" w:themeColor="text1"/>
          <w:lang w:val="en-US"/>
        </w:rPr>
        <w:t xml:space="preserve">as </w:t>
      </w:r>
      <w:r w:rsidR="00C526DB" w:rsidRPr="003F52FE">
        <w:rPr>
          <w:bCs/>
          <w:noProof/>
          <w:color w:val="000000" w:themeColor="text1"/>
          <w:lang w:val="en-US"/>
        </w:rPr>
        <w:t>2737% in 1990</w:t>
      </w:r>
      <w:r w:rsidR="00DC022D" w:rsidRPr="003F52FE">
        <w:rPr>
          <w:bCs/>
          <w:noProof/>
          <w:color w:val="000000" w:themeColor="text1"/>
          <w:lang w:val="en-US"/>
        </w:rPr>
        <w:t xml:space="preserve"> and the lowest was 4.2% in 1998. </w:t>
      </w:r>
      <w:r w:rsidR="002C0477" w:rsidRPr="003F52FE">
        <w:rPr>
          <w:bCs/>
          <w:noProof/>
          <w:color w:val="000000" w:themeColor="text1"/>
          <w:lang w:val="en-US"/>
        </w:rPr>
        <w:t>The Brazilian case help</w:t>
      </w:r>
      <w:r w:rsidR="00B4014D" w:rsidRPr="003F52FE">
        <w:rPr>
          <w:bCs/>
          <w:noProof/>
          <w:color w:val="000000" w:themeColor="text1"/>
          <w:lang w:val="en-US"/>
        </w:rPr>
        <w:t>s</w:t>
      </w:r>
      <w:r w:rsidR="002C0477" w:rsidRPr="003F52FE">
        <w:rPr>
          <w:bCs/>
          <w:noProof/>
          <w:color w:val="000000" w:themeColor="text1"/>
          <w:lang w:val="en-US"/>
        </w:rPr>
        <w:t xml:space="preserve"> to il</w:t>
      </w:r>
      <w:r w:rsidR="00B4014D" w:rsidRPr="003F52FE">
        <w:rPr>
          <w:bCs/>
          <w:noProof/>
          <w:color w:val="000000" w:themeColor="text1"/>
          <w:lang w:val="en-US"/>
        </w:rPr>
        <w:t>l</w:t>
      </w:r>
      <w:r w:rsidR="002C0477" w:rsidRPr="003F52FE">
        <w:rPr>
          <w:bCs/>
          <w:noProof/>
          <w:color w:val="000000" w:themeColor="text1"/>
          <w:lang w:val="en-US"/>
        </w:rPr>
        <w:t xml:space="preserve">uminate the debate over the measurement of the profit </w:t>
      </w:r>
      <w:r w:rsidR="00933773" w:rsidRPr="003F52FE">
        <w:rPr>
          <w:bCs/>
          <w:noProof/>
          <w:color w:val="000000" w:themeColor="text1"/>
          <w:lang w:val="en-US"/>
        </w:rPr>
        <w:t xml:space="preserve">rate at historical </w:t>
      </w:r>
      <w:r w:rsidR="009E2600" w:rsidRPr="003F52FE">
        <w:rPr>
          <w:bCs/>
          <w:noProof/>
          <w:color w:val="000000" w:themeColor="text1"/>
          <w:lang w:val="en-US"/>
        </w:rPr>
        <w:t>and current cost</w:t>
      </w:r>
      <w:r w:rsidR="00B4014D" w:rsidRPr="003F52FE">
        <w:rPr>
          <w:bCs/>
          <w:noProof/>
          <w:color w:val="000000" w:themeColor="text1"/>
          <w:lang w:val="en-US"/>
        </w:rPr>
        <w:t>s</w:t>
      </w:r>
      <w:r w:rsidR="002C0477" w:rsidRPr="003F52FE">
        <w:rPr>
          <w:bCs/>
          <w:noProof/>
          <w:color w:val="000000" w:themeColor="text1"/>
          <w:lang w:val="en-US"/>
        </w:rPr>
        <w:t xml:space="preserve">. </w:t>
      </w:r>
    </w:p>
    <w:p w:rsidR="00730709" w:rsidRPr="003F52FE" w:rsidRDefault="00B17DA0" w:rsidP="0083766B">
      <w:pPr>
        <w:tabs>
          <w:tab w:val="center" w:pos="4800"/>
          <w:tab w:val="right" w:pos="9500"/>
        </w:tabs>
        <w:ind w:firstLine="720"/>
        <w:rPr>
          <w:bCs/>
          <w:noProof/>
          <w:color w:val="000000" w:themeColor="text1"/>
          <w:lang w:val="en-US"/>
        </w:rPr>
      </w:pPr>
      <w:r w:rsidRPr="003F52FE">
        <w:rPr>
          <w:bCs/>
          <w:noProof/>
          <w:color w:val="000000" w:themeColor="text1"/>
          <w:lang w:val="en-US"/>
        </w:rPr>
        <w:t xml:space="preserve">The results reveal that </w:t>
      </w:r>
      <w:r w:rsidR="00B4014D" w:rsidRPr="003F52FE">
        <w:rPr>
          <w:bCs/>
          <w:noProof/>
          <w:color w:val="000000" w:themeColor="text1"/>
          <w:lang w:val="en-US"/>
        </w:rPr>
        <w:t xml:space="preserve">the inflation rate dominates </w:t>
      </w:r>
      <w:r w:rsidRPr="003F52FE">
        <w:rPr>
          <w:bCs/>
          <w:noProof/>
          <w:color w:val="000000" w:themeColor="text1"/>
          <w:lang w:val="en-US"/>
        </w:rPr>
        <w:t>t</w:t>
      </w:r>
      <w:r w:rsidR="00B4014D" w:rsidRPr="003F52FE">
        <w:rPr>
          <w:bCs/>
          <w:noProof/>
          <w:color w:val="000000" w:themeColor="text1"/>
          <w:lang w:val="en-US"/>
        </w:rPr>
        <w:t>he cy</w:t>
      </w:r>
      <w:r w:rsidR="00ED059B" w:rsidRPr="003F52FE">
        <w:rPr>
          <w:bCs/>
          <w:noProof/>
          <w:color w:val="000000" w:themeColor="text1"/>
          <w:lang w:val="en-US"/>
        </w:rPr>
        <w:t xml:space="preserve">clical movements and the trend of the profit rate </w:t>
      </w:r>
      <w:r w:rsidR="00574189" w:rsidRPr="003F52FE">
        <w:rPr>
          <w:bCs/>
          <w:noProof/>
          <w:color w:val="000000" w:themeColor="text1"/>
          <w:lang w:val="en-US"/>
        </w:rPr>
        <w:t xml:space="preserve">and the output capital ratio </w:t>
      </w:r>
      <w:r w:rsidR="00E67D9F" w:rsidRPr="003F52FE">
        <w:rPr>
          <w:bCs/>
          <w:noProof/>
          <w:color w:val="000000" w:themeColor="text1"/>
          <w:lang w:val="en-US"/>
        </w:rPr>
        <w:t xml:space="preserve">measured at </w:t>
      </w:r>
      <w:r w:rsidR="00ED059B" w:rsidRPr="003F52FE">
        <w:rPr>
          <w:bCs/>
          <w:noProof/>
          <w:color w:val="000000" w:themeColor="text1"/>
          <w:lang w:val="en-US"/>
        </w:rPr>
        <w:t>historical cost</w:t>
      </w:r>
      <w:r w:rsidR="00B4014D" w:rsidRPr="003F52FE">
        <w:rPr>
          <w:bCs/>
          <w:noProof/>
          <w:color w:val="000000" w:themeColor="text1"/>
          <w:lang w:val="en-US"/>
        </w:rPr>
        <w:t>s.</w:t>
      </w:r>
      <w:r w:rsidR="00ED059B" w:rsidRPr="003F52FE">
        <w:rPr>
          <w:bCs/>
          <w:noProof/>
          <w:color w:val="000000" w:themeColor="text1"/>
          <w:lang w:val="en-US"/>
        </w:rPr>
        <w:t xml:space="preserve"> </w:t>
      </w:r>
      <w:r w:rsidR="009E2600" w:rsidRPr="003F52FE">
        <w:rPr>
          <w:bCs/>
          <w:noProof/>
          <w:color w:val="000000" w:themeColor="text1"/>
          <w:lang w:val="en-US"/>
        </w:rPr>
        <w:t xml:space="preserve">The </w:t>
      </w:r>
      <w:r w:rsidR="00574189" w:rsidRPr="003F52FE">
        <w:rPr>
          <w:bCs/>
          <w:noProof/>
          <w:color w:val="000000" w:themeColor="text1"/>
          <w:lang w:val="en-US"/>
        </w:rPr>
        <w:t xml:space="preserve">evolution of </w:t>
      </w:r>
      <w:r w:rsidR="009E2600" w:rsidRPr="003F52FE">
        <w:rPr>
          <w:bCs/>
          <w:noProof/>
          <w:color w:val="000000" w:themeColor="text1"/>
          <w:lang w:val="en-US"/>
        </w:rPr>
        <w:t xml:space="preserve">the </w:t>
      </w:r>
      <w:r w:rsidR="00B4014D" w:rsidRPr="003F52FE">
        <w:rPr>
          <w:bCs/>
          <w:noProof/>
          <w:color w:val="000000" w:themeColor="text1"/>
          <w:lang w:val="en-US"/>
        </w:rPr>
        <w:t xml:space="preserve">profit </w:t>
      </w:r>
      <w:r w:rsidR="00933773" w:rsidRPr="003F52FE">
        <w:rPr>
          <w:bCs/>
          <w:noProof/>
          <w:color w:val="000000" w:themeColor="text1"/>
          <w:lang w:val="en-US"/>
        </w:rPr>
        <w:t xml:space="preserve">rate at historical </w:t>
      </w:r>
      <w:r w:rsidR="00730709" w:rsidRPr="003F52FE">
        <w:rPr>
          <w:bCs/>
          <w:noProof/>
          <w:color w:val="000000" w:themeColor="text1"/>
          <w:lang w:val="en-US"/>
        </w:rPr>
        <w:t>cost</w:t>
      </w:r>
      <w:r w:rsidR="00B4014D" w:rsidRPr="003F52FE">
        <w:rPr>
          <w:bCs/>
          <w:noProof/>
          <w:color w:val="000000" w:themeColor="text1"/>
          <w:lang w:val="en-US"/>
        </w:rPr>
        <w:t>s</w:t>
      </w:r>
      <w:r w:rsidR="00730709" w:rsidRPr="003F52FE">
        <w:rPr>
          <w:bCs/>
          <w:noProof/>
          <w:color w:val="000000" w:themeColor="text1"/>
          <w:lang w:val="en-US"/>
        </w:rPr>
        <w:t xml:space="preserve"> </w:t>
      </w:r>
      <w:r w:rsidR="00B4014D" w:rsidRPr="003F52FE">
        <w:rPr>
          <w:bCs/>
          <w:noProof/>
          <w:color w:val="000000" w:themeColor="text1"/>
          <w:lang w:val="en-US"/>
        </w:rPr>
        <w:t>was</w:t>
      </w:r>
      <w:r w:rsidR="009E2600" w:rsidRPr="003F52FE">
        <w:rPr>
          <w:bCs/>
          <w:noProof/>
          <w:color w:val="000000" w:themeColor="text1"/>
          <w:lang w:val="en-US"/>
        </w:rPr>
        <w:t xml:space="preserve"> at odds with </w:t>
      </w:r>
      <w:r w:rsidR="00ED059B" w:rsidRPr="003F52FE">
        <w:rPr>
          <w:bCs/>
          <w:noProof/>
          <w:color w:val="000000" w:themeColor="text1"/>
          <w:lang w:val="en-US"/>
        </w:rPr>
        <w:t>the fundamental economic and political events of the Brazilian economy over the period of study.</w:t>
      </w:r>
    </w:p>
    <w:p w:rsidR="002C0477" w:rsidRPr="003F52FE" w:rsidRDefault="002C0477" w:rsidP="0083766B">
      <w:pPr>
        <w:ind w:firstLine="720"/>
        <w:rPr>
          <w:color w:val="000000" w:themeColor="text1"/>
          <w:lang w:val="en-US"/>
        </w:rPr>
      </w:pPr>
      <w:r w:rsidRPr="003F52FE">
        <w:rPr>
          <w:bCs/>
          <w:noProof/>
          <w:color w:val="000000" w:themeColor="text1"/>
          <w:lang w:val="en-US"/>
        </w:rPr>
        <w:t xml:space="preserve">This paper is organized as follows. </w:t>
      </w:r>
      <w:r w:rsidR="007630A9" w:rsidRPr="003F52FE">
        <w:rPr>
          <w:bCs/>
          <w:noProof/>
          <w:color w:val="000000" w:themeColor="text1"/>
          <w:lang w:val="en-US"/>
        </w:rPr>
        <w:t xml:space="preserve">Section two </w:t>
      </w:r>
      <w:r w:rsidRPr="003F52FE">
        <w:rPr>
          <w:bCs/>
          <w:noProof/>
          <w:color w:val="000000" w:themeColor="text1"/>
          <w:lang w:val="en-US"/>
        </w:rPr>
        <w:t>present</w:t>
      </w:r>
      <w:r w:rsidR="007630A9" w:rsidRPr="003F52FE">
        <w:rPr>
          <w:bCs/>
          <w:noProof/>
          <w:color w:val="000000" w:themeColor="text1"/>
          <w:lang w:val="en-US"/>
        </w:rPr>
        <w:t>s</w:t>
      </w:r>
      <w:r w:rsidR="001F16F2" w:rsidRPr="003F52FE">
        <w:rPr>
          <w:bCs/>
          <w:noProof/>
          <w:color w:val="000000" w:themeColor="text1"/>
          <w:lang w:val="en-US"/>
        </w:rPr>
        <w:t xml:space="preserve"> a</w:t>
      </w:r>
      <w:r w:rsidRPr="003F52FE">
        <w:rPr>
          <w:bCs/>
          <w:noProof/>
          <w:color w:val="000000" w:themeColor="text1"/>
          <w:lang w:val="en-US"/>
        </w:rPr>
        <w:t xml:space="preserve"> method to estimate the </w:t>
      </w:r>
      <w:r w:rsidR="001F16F2" w:rsidRPr="003F52FE">
        <w:rPr>
          <w:bCs/>
          <w:noProof/>
          <w:color w:val="000000" w:themeColor="text1"/>
          <w:lang w:val="en-US"/>
        </w:rPr>
        <w:t xml:space="preserve">capital stock </w:t>
      </w:r>
      <w:r w:rsidR="00E67D9F" w:rsidRPr="003F52FE">
        <w:rPr>
          <w:bCs/>
          <w:noProof/>
          <w:color w:val="000000" w:themeColor="text1"/>
          <w:lang w:val="en-US"/>
        </w:rPr>
        <w:t>at</w:t>
      </w:r>
      <w:r w:rsidR="009E2600" w:rsidRPr="003F52FE">
        <w:rPr>
          <w:bCs/>
          <w:noProof/>
          <w:color w:val="000000" w:themeColor="text1"/>
          <w:lang w:val="en-US"/>
        </w:rPr>
        <w:t xml:space="preserve"> constant, current and historical costs and </w:t>
      </w:r>
      <w:r w:rsidR="00F4486E" w:rsidRPr="003F52FE">
        <w:rPr>
          <w:bCs/>
          <w:noProof/>
          <w:color w:val="000000" w:themeColor="text1"/>
          <w:lang w:val="en-US"/>
        </w:rPr>
        <w:t xml:space="preserve">provides a discussion about the effects of the inflation rate in the measurements of the </w:t>
      </w:r>
      <w:r w:rsidRPr="003F52FE">
        <w:rPr>
          <w:bCs/>
          <w:noProof/>
          <w:color w:val="000000" w:themeColor="text1"/>
          <w:lang w:val="en-US"/>
        </w:rPr>
        <w:t xml:space="preserve">profit rate </w:t>
      </w:r>
      <w:r w:rsidR="00F4486E" w:rsidRPr="003F52FE">
        <w:rPr>
          <w:bCs/>
          <w:noProof/>
          <w:color w:val="000000" w:themeColor="text1"/>
          <w:lang w:val="en-US"/>
        </w:rPr>
        <w:t xml:space="preserve">and the output capital ratio </w:t>
      </w:r>
      <w:r w:rsidR="00E67D9F" w:rsidRPr="003F52FE">
        <w:rPr>
          <w:bCs/>
          <w:noProof/>
          <w:color w:val="000000" w:themeColor="text1"/>
          <w:lang w:val="en-US"/>
        </w:rPr>
        <w:t>at</w:t>
      </w:r>
      <w:r w:rsidRPr="003F52FE">
        <w:rPr>
          <w:bCs/>
          <w:noProof/>
          <w:color w:val="000000" w:themeColor="text1"/>
          <w:lang w:val="en-US"/>
        </w:rPr>
        <w:t xml:space="preserve"> historical and current </w:t>
      </w:r>
      <w:r w:rsidR="00F4486E" w:rsidRPr="003F52FE">
        <w:rPr>
          <w:bCs/>
          <w:noProof/>
          <w:color w:val="000000" w:themeColor="text1"/>
          <w:lang w:val="en-US"/>
        </w:rPr>
        <w:t>costs</w:t>
      </w:r>
      <w:r w:rsidR="009E2600" w:rsidRPr="003F52FE">
        <w:rPr>
          <w:bCs/>
          <w:noProof/>
          <w:color w:val="000000" w:themeColor="text1"/>
          <w:lang w:val="en-US"/>
        </w:rPr>
        <w:t xml:space="preserve">. </w:t>
      </w:r>
      <w:r w:rsidR="007630A9" w:rsidRPr="003F52FE">
        <w:rPr>
          <w:bCs/>
          <w:noProof/>
          <w:color w:val="000000" w:themeColor="text1"/>
          <w:lang w:val="en-US"/>
        </w:rPr>
        <w:t xml:space="preserve">Section three </w:t>
      </w:r>
      <w:r w:rsidR="001F16F2" w:rsidRPr="003F52FE">
        <w:rPr>
          <w:bCs/>
          <w:noProof/>
          <w:color w:val="000000" w:themeColor="text1"/>
          <w:lang w:val="en-US"/>
        </w:rPr>
        <w:t>depicts</w:t>
      </w:r>
      <w:r w:rsidR="007630A9" w:rsidRPr="003F52FE">
        <w:rPr>
          <w:bCs/>
          <w:noProof/>
          <w:color w:val="000000" w:themeColor="text1"/>
          <w:lang w:val="en-US"/>
        </w:rPr>
        <w:t xml:space="preserve"> </w:t>
      </w:r>
      <w:r w:rsidRPr="003F52FE">
        <w:rPr>
          <w:bCs/>
          <w:noProof/>
          <w:color w:val="000000" w:themeColor="text1"/>
          <w:lang w:val="en-US"/>
        </w:rPr>
        <w:t xml:space="preserve">a brief background of the </w:t>
      </w:r>
      <w:r w:rsidR="007630A9" w:rsidRPr="003F52FE">
        <w:rPr>
          <w:bCs/>
          <w:noProof/>
          <w:color w:val="000000" w:themeColor="text1"/>
          <w:lang w:val="en-US"/>
        </w:rPr>
        <w:t xml:space="preserve">GDP growth and </w:t>
      </w:r>
      <w:r w:rsidR="009E2600" w:rsidRPr="003F52FE">
        <w:rPr>
          <w:bCs/>
          <w:noProof/>
          <w:color w:val="000000" w:themeColor="text1"/>
          <w:lang w:val="en-US"/>
        </w:rPr>
        <w:t xml:space="preserve">the </w:t>
      </w:r>
      <w:r w:rsidR="007630A9" w:rsidRPr="003F52FE">
        <w:rPr>
          <w:bCs/>
          <w:noProof/>
          <w:color w:val="000000" w:themeColor="text1"/>
          <w:lang w:val="en-US"/>
        </w:rPr>
        <w:t xml:space="preserve">inflation rate in </w:t>
      </w:r>
      <w:r w:rsidRPr="003F52FE">
        <w:rPr>
          <w:bCs/>
          <w:noProof/>
          <w:color w:val="000000" w:themeColor="text1"/>
          <w:lang w:val="en-US"/>
        </w:rPr>
        <w:t xml:space="preserve">Brazil. </w:t>
      </w:r>
      <w:r w:rsidR="007630A9" w:rsidRPr="003F52FE">
        <w:rPr>
          <w:bCs/>
          <w:noProof/>
          <w:color w:val="000000" w:themeColor="text1"/>
          <w:lang w:val="en-US"/>
        </w:rPr>
        <w:t xml:space="preserve">Section four investigate the </w:t>
      </w:r>
      <w:r w:rsidRPr="003F52FE">
        <w:rPr>
          <w:color w:val="000000" w:themeColor="text1"/>
          <w:lang w:val="en-US"/>
        </w:rPr>
        <w:t xml:space="preserve">evolution of the profit rate </w:t>
      </w:r>
      <w:r w:rsidR="007630A9" w:rsidRPr="003F52FE">
        <w:rPr>
          <w:color w:val="000000" w:themeColor="text1"/>
          <w:lang w:val="en-US"/>
        </w:rPr>
        <w:t xml:space="preserve">and the capital output ratio </w:t>
      </w:r>
      <w:r w:rsidR="00E67D9F" w:rsidRPr="003F52FE">
        <w:rPr>
          <w:color w:val="000000" w:themeColor="text1"/>
          <w:lang w:val="en-US"/>
        </w:rPr>
        <w:t>at</w:t>
      </w:r>
      <w:r w:rsidRPr="003F52FE">
        <w:rPr>
          <w:color w:val="000000" w:themeColor="text1"/>
          <w:lang w:val="en-US"/>
        </w:rPr>
        <w:t xml:space="preserve"> histor</w:t>
      </w:r>
      <w:r w:rsidR="00510F08" w:rsidRPr="003F52FE">
        <w:rPr>
          <w:color w:val="000000" w:themeColor="text1"/>
          <w:lang w:val="en-US"/>
        </w:rPr>
        <w:t xml:space="preserve">ical and current costs </w:t>
      </w:r>
      <w:r w:rsidR="007630A9" w:rsidRPr="003F52FE">
        <w:rPr>
          <w:color w:val="000000" w:themeColor="text1"/>
          <w:lang w:val="en-US"/>
        </w:rPr>
        <w:t>in the 1955</w:t>
      </w:r>
      <w:r w:rsidRPr="003F52FE">
        <w:rPr>
          <w:color w:val="000000" w:themeColor="text1"/>
          <w:lang w:val="en-US"/>
        </w:rPr>
        <w:t>-2008</w:t>
      </w:r>
      <w:r w:rsidR="001F16F2" w:rsidRPr="003F52FE">
        <w:rPr>
          <w:color w:val="000000" w:themeColor="text1"/>
          <w:lang w:val="en-US"/>
        </w:rPr>
        <w:t xml:space="preserve"> </w:t>
      </w:r>
      <w:proofErr w:type="gramStart"/>
      <w:r w:rsidR="007630A9" w:rsidRPr="003F52FE">
        <w:rPr>
          <w:color w:val="000000" w:themeColor="text1"/>
          <w:lang w:val="en-US"/>
        </w:rPr>
        <w:t>period</w:t>
      </w:r>
      <w:proofErr w:type="gramEnd"/>
      <w:r w:rsidR="00AF0CAF" w:rsidRPr="003F52FE">
        <w:rPr>
          <w:color w:val="000000" w:themeColor="text1"/>
          <w:lang w:val="en-US"/>
        </w:rPr>
        <w:t xml:space="preserve">. </w:t>
      </w:r>
      <w:r w:rsidR="007630A9" w:rsidRPr="003F52FE">
        <w:rPr>
          <w:color w:val="000000" w:themeColor="text1"/>
          <w:lang w:val="en-US"/>
        </w:rPr>
        <w:t xml:space="preserve">Section five </w:t>
      </w:r>
      <w:r w:rsidRPr="003F52FE">
        <w:rPr>
          <w:color w:val="000000" w:themeColor="text1"/>
          <w:lang w:val="en-US"/>
        </w:rPr>
        <w:t xml:space="preserve">concludes with a </w:t>
      </w:r>
      <w:r w:rsidR="001F16F2" w:rsidRPr="003F52FE">
        <w:rPr>
          <w:color w:val="000000" w:themeColor="text1"/>
          <w:lang w:val="en-US"/>
        </w:rPr>
        <w:t>summary</w:t>
      </w:r>
      <w:r w:rsidRPr="003F52FE">
        <w:rPr>
          <w:color w:val="000000" w:themeColor="text1"/>
          <w:lang w:val="en-US"/>
        </w:rPr>
        <w:t xml:space="preserve"> of the </w:t>
      </w:r>
      <w:r w:rsidR="007630A9" w:rsidRPr="003F52FE">
        <w:rPr>
          <w:color w:val="000000" w:themeColor="text1"/>
          <w:lang w:val="en-US"/>
        </w:rPr>
        <w:t xml:space="preserve">main </w:t>
      </w:r>
      <w:r w:rsidRPr="003F52FE">
        <w:rPr>
          <w:color w:val="000000" w:themeColor="text1"/>
          <w:lang w:val="en-US"/>
        </w:rPr>
        <w:t xml:space="preserve">results. </w:t>
      </w:r>
    </w:p>
    <w:p w:rsidR="00E304AE" w:rsidRPr="003F52FE" w:rsidRDefault="00E304AE" w:rsidP="0083766B">
      <w:pPr>
        <w:tabs>
          <w:tab w:val="center" w:pos="4800"/>
          <w:tab w:val="right" w:pos="9500"/>
        </w:tabs>
        <w:ind w:firstLine="720"/>
        <w:jc w:val="both"/>
        <w:rPr>
          <w:bCs/>
          <w:noProof/>
          <w:color w:val="000000" w:themeColor="text1"/>
          <w:lang w:val="en-US"/>
        </w:rPr>
      </w:pPr>
    </w:p>
    <w:p w:rsidR="00A65941" w:rsidRPr="003F52FE" w:rsidRDefault="008C46B9" w:rsidP="0083766B">
      <w:pPr>
        <w:tabs>
          <w:tab w:val="center" w:pos="4800"/>
          <w:tab w:val="right" w:pos="9500"/>
        </w:tabs>
        <w:rPr>
          <w:b/>
          <w:bCs/>
          <w:noProof/>
          <w:color w:val="000000" w:themeColor="text1"/>
          <w:lang w:val="en-US"/>
        </w:rPr>
      </w:pPr>
      <w:r w:rsidRPr="003F52FE">
        <w:rPr>
          <w:b/>
          <w:bCs/>
          <w:noProof/>
          <w:color w:val="000000" w:themeColor="text1"/>
          <w:lang w:val="en-US"/>
        </w:rPr>
        <w:t xml:space="preserve">2. Measuring the rate of </w:t>
      </w:r>
      <w:r w:rsidR="000A2BB7" w:rsidRPr="003F52FE">
        <w:rPr>
          <w:b/>
          <w:bCs/>
          <w:noProof/>
          <w:color w:val="000000" w:themeColor="text1"/>
          <w:lang w:val="en-US"/>
        </w:rPr>
        <w:t xml:space="preserve">profit </w:t>
      </w:r>
      <w:r w:rsidR="00E67D9F" w:rsidRPr="003F52FE">
        <w:rPr>
          <w:b/>
          <w:bCs/>
          <w:noProof/>
          <w:color w:val="000000" w:themeColor="text1"/>
          <w:lang w:val="en-US"/>
        </w:rPr>
        <w:t>at</w:t>
      </w:r>
      <w:r w:rsidRPr="003F52FE">
        <w:rPr>
          <w:b/>
          <w:bCs/>
          <w:noProof/>
          <w:color w:val="000000" w:themeColor="text1"/>
          <w:lang w:val="en-US"/>
        </w:rPr>
        <w:t xml:space="preserve"> historical and current costs </w:t>
      </w:r>
    </w:p>
    <w:p w:rsidR="008C46B9" w:rsidRPr="003F52FE" w:rsidRDefault="008C46B9" w:rsidP="0083766B">
      <w:pPr>
        <w:tabs>
          <w:tab w:val="center" w:pos="4800"/>
          <w:tab w:val="right" w:pos="9500"/>
        </w:tabs>
        <w:rPr>
          <w:bCs/>
          <w:noProof/>
          <w:color w:val="000000" w:themeColor="text1"/>
          <w:lang w:val="en-US"/>
        </w:rPr>
      </w:pPr>
    </w:p>
    <w:p w:rsidR="00A65941" w:rsidRPr="003F52FE" w:rsidRDefault="00A65941" w:rsidP="0083766B">
      <w:pPr>
        <w:pStyle w:val="DefaultText"/>
        <w:rPr>
          <w:color w:val="000000" w:themeColor="text1"/>
        </w:rPr>
      </w:pPr>
      <w:r w:rsidRPr="003F52FE">
        <w:rPr>
          <w:color w:val="000000" w:themeColor="text1"/>
        </w:rPr>
        <w:t>In the Marxian tr</w:t>
      </w:r>
      <w:r w:rsidR="005D4ECA" w:rsidRPr="003F52FE">
        <w:rPr>
          <w:color w:val="000000" w:themeColor="text1"/>
        </w:rPr>
        <w:t>adition, the profit is the driving</w:t>
      </w:r>
      <w:r w:rsidRPr="003F52FE">
        <w:rPr>
          <w:color w:val="000000" w:themeColor="text1"/>
        </w:rPr>
        <w:t xml:space="preserve"> force of capitalism. Money capital is advanced in order to </w:t>
      </w:r>
      <w:r w:rsidR="005D4ECA" w:rsidRPr="003F52FE">
        <w:rPr>
          <w:color w:val="000000" w:themeColor="text1"/>
        </w:rPr>
        <w:t>produce</w:t>
      </w:r>
      <w:r w:rsidRPr="003F52FE">
        <w:rPr>
          <w:color w:val="000000" w:themeColor="text1"/>
        </w:rPr>
        <w:t xml:space="preserve"> more money, that is, profit. Th</w:t>
      </w:r>
      <w:r w:rsidR="005D4ECA" w:rsidRPr="003F52FE">
        <w:rPr>
          <w:color w:val="000000" w:themeColor="text1"/>
        </w:rPr>
        <w:t>e profit rate captures</w:t>
      </w:r>
      <w:r w:rsidRPr="003F52FE">
        <w:rPr>
          <w:color w:val="000000" w:themeColor="text1"/>
        </w:rPr>
        <w:t xml:space="preserve"> the degree of valorization of the total capital adv</w:t>
      </w:r>
      <w:r w:rsidR="005D4ECA" w:rsidRPr="003F52FE">
        <w:rPr>
          <w:color w:val="000000" w:themeColor="text1"/>
        </w:rPr>
        <w:t xml:space="preserve">anced and </w:t>
      </w:r>
      <w:r w:rsidR="007438D4" w:rsidRPr="003F52FE">
        <w:rPr>
          <w:color w:val="000000" w:themeColor="text1"/>
        </w:rPr>
        <w:t>the velocity in which capital expand</w:t>
      </w:r>
      <w:r w:rsidR="005D4ECA" w:rsidRPr="003F52FE">
        <w:rPr>
          <w:color w:val="000000" w:themeColor="text1"/>
        </w:rPr>
        <w:t>s</w:t>
      </w:r>
      <w:r w:rsidR="007438D4" w:rsidRPr="003F52FE">
        <w:rPr>
          <w:color w:val="000000" w:themeColor="text1"/>
        </w:rPr>
        <w:t>.</w:t>
      </w:r>
      <w:r w:rsidRPr="003F52FE">
        <w:rPr>
          <w:color w:val="000000" w:themeColor="text1"/>
        </w:rPr>
        <w:t xml:space="preserve"> It </w:t>
      </w:r>
      <w:r w:rsidR="002A7709" w:rsidRPr="003F52FE">
        <w:rPr>
          <w:color w:val="000000" w:themeColor="text1"/>
        </w:rPr>
        <w:t>plays a</w:t>
      </w:r>
      <w:r w:rsidRPr="003F52FE">
        <w:rPr>
          <w:color w:val="000000" w:themeColor="text1"/>
        </w:rPr>
        <w:t xml:space="preserve"> central </w:t>
      </w:r>
      <w:r w:rsidR="002A7709" w:rsidRPr="003F52FE">
        <w:rPr>
          <w:color w:val="000000" w:themeColor="text1"/>
        </w:rPr>
        <w:t xml:space="preserve">role in </w:t>
      </w:r>
      <w:r w:rsidRPr="003F52FE">
        <w:rPr>
          <w:color w:val="000000" w:themeColor="text1"/>
        </w:rPr>
        <w:t xml:space="preserve">the dynamics of the capitalist system, regulating the processes </w:t>
      </w:r>
      <w:r w:rsidR="00913623" w:rsidRPr="003F52FE">
        <w:rPr>
          <w:color w:val="000000" w:themeColor="text1"/>
        </w:rPr>
        <w:t xml:space="preserve">of </w:t>
      </w:r>
      <w:r w:rsidR="002A7709" w:rsidRPr="003F52FE">
        <w:rPr>
          <w:color w:val="000000" w:themeColor="text1"/>
        </w:rPr>
        <w:t>accumulation, technical change</w:t>
      </w:r>
      <w:r w:rsidR="00913623" w:rsidRPr="003F52FE">
        <w:rPr>
          <w:color w:val="000000" w:themeColor="text1"/>
        </w:rPr>
        <w:t xml:space="preserve"> and distribution</w:t>
      </w:r>
      <w:r w:rsidR="002A7709" w:rsidRPr="003F52FE">
        <w:rPr>
          <w:color w:val="000000" w:themeColor="text1"/>
        </w:rPr>
        <w:t xml:space="preserve">, </w:t>
      </w:r>
      <w:r w:rsidR="00976FBD" w:rsidRPr="003F52FE">
        <w:rPr>
          <w:color w:val="000000" w:themeColor="text1"/>
        </w:rPr>
        <w:t xml:space="preserve">capitalist </w:t>
      </w:r>
      <w:r w:rsidR="002A7709" w:rsidRPr="003F52FE">
        <w:rPr>
          <w:color w:val="000000" w:themeColor="text1"/>
        </w:rPr>
        <w:t xml:space="preserve">competition, </w:t>
      </w:r>
      <w:r w:rsidRPr="003F52FE">
        <w:rPr>
          <w:color w:val="000000" w:themeColor="text1"/>
        </w:rPr>
        <w:t>and the degree of capacity utilization</w:t>
      </w:r>
      <w:r w:rsidR="005D4ECA" w:rsidRPr="003F52FE">
        <w:rPr>
          <w:color w:val="000000" w:themeColor="text1"/>
        </w:rPr>
        <w:t xml:space="preserve"> with which</w:t>
      </w:r>
      <w:r w:rsidRPr="003F52FE">
        <w:rPr>
          <w:color w:val="000000" w:themeColor="text1"/>
        </w:rPr>
        <w:t xml:space="preserve"> firms operate. </w:t>
      </w:r>
      <w:r w:rsidR="002A7709" w:rsidRPr="003F52FE">
        <w:rPr>
          <w:color w:val="000000" w:themeColor="text1"/>
        </w:rPr>
        <w:t xml:space="preserve">Moreover, the profit rate </w:t>
      </w:r>
      <w:r w:rsidR="005D4ECA" w:rsidRPr="003F52FE">
        <w:rPr>
          <w:color w:val="000000" w:themeColor="text1"/>
        </w:rPr>
        <w:t>represents a key</w:t>
      </w:r>
      <w:r w:rsidR="002A7709" w:rsidRPr="003F52FE">
        <w:rPr>
          <w:color w:val="000000" w:themeColor="text1"/>
        </w:rPr>
        <w:t xml:space="preserve"> </w:t>
      </w:r>
      <w:r w:rsidR="002A7709" w:rsidRPr="003F52FE">
        <w:rPr>
          <w:color w:val="000000" w:themeColor="text1"/>
        </w:rPr>
        <w:lastRenderedPageBreak/>
        <w:t xml:space="preserve">variable for analyzing </w:t>
      </w:r>
      <w:r w:rsidR="005D4ECA" w:rsidRPr="003F52FE">
        <w:rPr>
          <w:color w:val="000000" w:themeColor="text1"/>
        </w:rPr>
        <w:t>capitalism’s long-term</w:t>
      </w:r>
      <w:r w:rsidR="002A7709" w:rsidRPr="003F52FE">
        <w:rPr>
          <w:color w:val="000000" w:themeColor="text1"/>
        </w:rPr>
        <w:t xml:space="preserve"> tendencies</w:t>
      </w:r>
      <w:r w:rsidR="005D4ECA" w:rsidRPr="003F52FE">
        <w:rPr>
          <w:color w:val="000000" w:themeColor="text1"/>
        </w:rPr>
        <w:t>.</w:t>
      </w:r>
      <w:r w:rsidR="00913623" w:rsidRPr="003F52FE">
        <w:rPr>
          <w:color w:val="000000" w:themeColor="text1"/>
        </w:rPr>
        <w:t xml:space="preserve"> </w:t>
      </w:r>
    </w:p>
    <w:p w:rsidR="00A65941" w:rsidRPr="003F52FE" w:rsidRDefault="00A65941" w:rsidP="0083766B">
      <w:pPr>
        <w:pStyle w:val="DefaultText"/>
        <w:rPr>
          <w:color w:val="000000" w:themeColor="text1"/>
        </w:rPr>
      </w:pPr>
      <w:r w:rsidRPr="003F52FE">
        <w:rPr>
          <w:color w:val="000000" w:themeColor="text1"/>
        </w:rPr>
        <w:tab/>
        <w:t xml:space="preserve">The profit rate </w:t>
      </w:r>
      <w:r w:rsidR="00E67D9F" w:rsidRPr="003F52FE">
        <w:rPr>
          <w:color w:val="000000" w:themeColor="text1"/>
        </w:rPr>
        <w:t>is computed by t</w:t>
      </w:r>
      <w:r w:rsidRPr="003F52FE">
        <w:rPr>
          <w:color w:val="000000" w:themeColor="text1"/>
        </w:rPr>
        <w:t xml:space="preserve">he ratio </w:t>
      </w:r>
      <w:r w:rsidR="0040086F" w:rsidRPr="003F52FE">
        <w:rPr>
          <w:color w:val="000000" w:themeColor="text1"/>
        </w:rPr>
        <w:t>of total profits generated</w:t>
      </w:r>
      <w:r w:rsidR="001A7701" w:rsidRPr="003F52FE">
        <w:rPr>
          <w:color w:val="000000" w:themeColor="text1"/>
        </w:rPr>
        <w:t xml:space="preserve"> during a period of time (</w:t>
      </w:r>
      <w:r w:rsidR="00EE2002" w:rsidRPr="003F52FE">
        <w:rPr>
          <w:color w:val="000000" w:themeColor="text1"/>
        </w:rPr>
        <w:t>flow</w:t>
      </w:r>
      <w:r w:rsidR="0040086F" w:rsidRPr="003F52FE">
        <w:rPr>
          <w:color w:val="000000" w:themeColor="text1"/>
        </w:rPr>
        <w:t xml:space="preserve"> variable</w:t>
      </w:r>
      <w:r w:rsidR="001A7701" w:rsidRPr="003F52FE">
        <w:rPr>
          <w:color w:val="000000" w:themeColor="text1"/>
        </w:rPr>
        <w:t>)</w:t>
      </w:r>
      <w:r w:rsidR="0040086F" w:rsidRPr="003F52FE">
        <w:rPr>
          <w:color w:val="000000" w:themeColor="text1"/>
        </w:rPr>
        <w:t xml:space="preserve"> </w:t>
      </w:r>
      <w:r w:rsidR="001A7701" w:rsidRPr="003F52FE">
        <w:rPr>
          <w:color w:val="000000" w:themeColor="text1"/>
        </w:rPr>
        <w:t xml:space="preserve">with </w:t>
      </w:r>
      <w:r w:rsidRPr="003F52FE">
        <w:rPr>
          <w:color w:val="000000" w:themeColor="text1"/>
        </w:rPr>
        <w:t>total advanced capital</w:t>
      </w:r>
      <w:r w:rsidR="001A7701" w:rsidRPr="003F52FE">
        <w:rPr>
          <w:color w:val="000000" w:themeColor="text1"/>
        </w:rPr>
        <w:t xml:space="preserve"> (</w:t>
      </w:r>
      <w:r w:rsidR="0040086F" w:rsidRPr="003F52FE">
        <w:rPr>
          <w:color w:val="000000" w:themeColor="text1"/>
        </w:rPr>
        <w:t>stock variable</w:t>
      </w:r>
      <w:r w:rsidR="001A7701" w:rsidRPr="003F52FE">
        <w:rPr>
          <w:color w:val="000000" w:themeColor="text1"/>
        </w:rPr>
        <w:t>)</w:t>
      </w:r>
      <w:r w:rsidRPr="003F52FE">
        <w:rPr>
          <w:color w:val="000000" w:themeColor="text1"/>
        </w:rPr>
        <w:t>.</w:t>
      </w:r>
      <w:r w:rsidR="00976FBD" w:rsidRPr="003F52FE">
        <w:rPr>
          <w:color w:val="000000" w:themeColor="text1"/>
        </w:rPr>
        <w:t xml:space="preserve"> This broad definition of the profit rate is denom</w:t>
      </w:r>
      <w:r w:rsidR="00C70CEF" w:rsidRPr="003F52FE">
        <w:rPr>
          <w:color w:val="000000" w:themeColor="text1"/>
        </w:rPr>
        <w:t xml:space="preserve">inated by </w:t>
      </w:r>
      <w:proofErr w:type="spellStart"/>
      <w:r w:rsidR="00C70CEF" w:rsidRPr="003F52FE">
        <w:rPr>
          <w:color w:val="000000" w:themeColor="text1"/>
        </w:rPr>
        <w:t>Duménil</w:t>
      </w:r>
      <w:proofErr w:type="spellEnd"/>
      <w:r w:rsidR="00C70CEF" w:rsidRPr="003F52FE">
        <w:rPr>
          <w:color w:val="000000" w:themeColor="text1"/>
        </w:rPr>
        <w:t xml:space="preserve"> and </w:t>
      </w:r>
      <w:proofErr w:type="spellStart"/>
      <w:r w:rsidR="00C70CEF" w:rsidRPr="003F52FE">
        <w:rPr>
          <w:color w:val="000000" w:themeColor="text1"/>
        </w:rPr>
        <w:t>Lévy</w:t>
      </w:r>
      <w:proofErr w:type="spellEnd"/>
      <w:r w:rsidR="00C70CEF" w:rsidRPr="003F52FE">
        <w:rPr>
          <w:color w:val="000000" w:themeColor="text1"/>
        </w:rPr>
        <w:t xml:space="preserve"> (1993</w:t>
      </w:r>
      <w:r w:rsidR="00976FBD" w:rsidRPr="003F52FE">
        <w:rPr>
          <w:color w:val="000000" w:themeColor="text1"/>
        </w:rPr>
        <w:t xml:space="preserve">) as the profit rate </w:t>
      </w:r>
      <w:r w:rsidR="00976FBD" w:rsidRPr="003F52FE">
        <w:rPr>
          <w:i/>
          <w:color w:val="000000" w:themeColor="text1"/>
        </w:rPr>
        <w:t>à la</w:t>
      </w:r>
      <w:r w:rsidR="00976FBD" w:rsidRPr="003F52FE">
        <w:rPr>
          <w:color w:val="000000" w:themeColor="text1"/>
        </w:rPr>
        <w:t xml:space="preserve"> Marx. </w:t>
      </w:r>
      <w:r w:rsidRPr="003F52FE">
        <w:rPr>
          <w:color w:val="000000" w:themeColor="text1"/>
        </w:rPr>
        <w:t xml:space="preserve">The profit rate is </w:t>
      </w:r>
      <w:r w:rsidR="00E51C85" w:rsidRPr="003F52FE">
        <w:rPr>
          <w:color w:val="000000" w:themeColor="text1"/>
        </w:rPr>
        <w:t>calculated as</w:t>
      </w:r>
      <w:r w:rsidRPr="003F52FE">
        <w:rPr>
          <w:color w:val="000000" w:themeColor="text1"/>
        </w:rPr>
        <w:t>:</w:t>
      </w:r>
    </w:p>
    <w:p w:rsidR="00581366" w:rsidRPr="003F52FE" w:rsidRDefault="00581366" w:rsidP="0083766B">
      <w:pPr>
        <w:pStyle w:val="DefaultText"/>
        <w:rPr>
          <w:color w:val="000000" w:themeColor="text1"/>
        </w:rPr>
      </w:pPr>
    </w:p>
    <w:p w:rsidR="00A65941" w:rsidRPr="003F52FE" w:rsidRDefault="009F69CF" w:rsidP="0083766B">
      <w:pPr>
        <w:pStyle w:val="DefaultText"/>
        <w:rPr>
          <w:color w:val="000000" w:themeColor="text1"/>
        </w:rPr>
      </w:pPr>
      <w:r w:rsidRPr="003F52FE">
        <w:rPr>
          <w:color w:val="000000" w:themeColor="text1"/>
          <w:position w:val="-12"/>
        </w:rPr>
        <w:object w:dxaOrig="10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pt;height:17.5pt" o:ole="" fillcolor="window">
            <v:imagedata r:id="rId9" o:title=""/>
          </v:shape>
          <o:OLEObject Type="Embed" ProgID="Equation.3" ShapeID="_x0000_i1025" DrawAspect="Content" ObjectID="_1498406653" r:id="rId10"/>
        </w:object>
      </w:r>
      <w:r w:rsidR="00C526DB" w:rsidRPr="003F52FE">
        <w:rPr>
          <w:color w:val="000000" w:themeColor="text1"/>
        </w:rPr>
        <w:tab/>
      </w:r>
      <w:r w:rsidR="00C526DB" w:rsidRPr="003F52FE">
        <w:rPr>
          <w:color w:val="000000" w:themeColor="text1"/>
        </w:rPr>
        <w:tab/>
      </w:r>
      <w:r w:rsidR="00A65941" w:rsidRPr="003F52FE">
        <w:rPr>
          <w:color w:val="000000" w:themeColor="text1"/>
        </w:rPr>
        <w:t>(1)</w:t>
      </w:r>
    </w:p>
    <w:p w:rsidR="00581366" w:rsidRPr="003F52FE" w:rsidRDefault="00581366" w:rsidP="0083766B">
      <w:pPr>
        <w:pStyle w:val="DefaultText"/>
        <w:jc w:val="both"/>
        <w:rPr>
          <w:color w:val="000000" w:themeColor="text1"/>
        </w:rPr>
      </w:pPr>
    </w:p>
    <w:p w:rsidR="00A65941" w:rsidRPr="003F52FE" w:rsidRDefault="001A7701" w:rsidP="0083766B">
      <w:pPr>
        <w:pStyle w:val="DefaultText"/>
        <w:jc w:val="both"/>
        <w:rPr>
          <w:color w:val="000000" w:themeColor="text1"/>
        </w:rPr>
      </w:pPr>
      <w:r w:rsidRPr="003F52FE">
        <w:rPr>
          <w:color w:val="000000" w:themeColor="text1"/>
        </w:rPr>
        <w:t>W</w:t>
      </w:r>
      <w:r w:rsidR="00A65941" w:rsidRPr="003F52FE">
        <w:rPr>
          <w:color w:val="000000" w:themeColor="text1"/>
        </w:rPr>
        <w:t>here</w:t>
      </w:r>
      <w:r w:rsidRPr="003F52FE">
        <w:rPr>
          <w:color w:val="000000" w:themeColor="text1"/>
        </w:rPr>
        <w:t xml:space="preserve"> </w:t>
      </w:r>
      <w:r w:rsidR="0023553B" w:rsidRPr="003F52FE">
        <w:rPr>
          <w:i/>
          <w:color w:val="000000" w:themeColor="text1"/>
        </w:rPr>
        <w:t>Z</w:t>
      </w:r>
      <w:r w:rsidRPr="003F52FE">
        <w:rPr>
          <w:i/>
          <w:color w:val="000000" w:themeColor="text1"/>
        </w:rPr>
        <w:t xml:space="preserve"> </w:t>
      </w:r>
      <w:r w:rsidR="00E51C85" w:rsidRPr="003F52FE">
        <w:rPr>
          <w:color w:val="000000" w:themeColor="text1"/>
        </w:rPr>
        <w:t>denotes</w:t>
      </w:r>
      <w:r w:rsidR="0023553B" w:rsidRPr="003F52FE">
        <w:rPr>
          <w:color w:val="000000" w:themeColor="text1"/>
        </w:rPr>
        <w:t xml:space="preserve"> the total profits </w:t>
      </w:r>
      <w:r w:rsidR="00A65941" w:rsidRPr="003F52FE">
        <w:rPr>
          <w:color w:val="000000" w:themeColor="text1"/>
        </w:rPr>
        <w:t xml:space="preserve">and </w:t>
      </w:r>
      <w:r w:rsidR="00A65941" w:rsidRPr="003F52FE">
        <w:rPr>
          <w:i/>
          <w:color w:val="000000" w:themeColor="text1"/>
        </w:rPr>
        <w:t>K</w:t>
      </w:r>
      <w:r w:rsidR="00A65941" w:rsidRPr="003F52FE">
        <w:rPr>
          <w:color w:val="000000" w:themeColor="text1"/>
        </w:rPr>
        <w:t xml:space="preserve"> is a measure of the non</w:t>
      </w:r>
      <w:r w:rsidR="007438D4" w:rsidRPr="003F52FE">
        <w:rPr>
          <w:color w:val="000000" w:themeColor="text1"/>
        </w:rPr>
        <w:t xml:space="preserve">residential fixed capital stock. </w:t>
      </w:r>
      <w:r w:rsidR="00A65941" w:rsidRPr="003F52FE">
        <w:rPr>
          <w:color w:val="000000" w:themeColor="text1"/>
        </w:rPr>
        <w:t>In order to better understand its determinants, it is useful to decompose the profit rate as:</w:t>
      </w:r>
    </w:p>
    <w:p w:rsidR="0075721C" w:rsidRPr="003F52FE" w:rsidRDefault="0075721C" w:rsidP="0083766B">
      <w:pPr>
        <w:pStyle w:val="DefaultText"/>
        <w:jc w:val="both"/>
        <w:rPr>
          <w:color w:val="000000" w:themeColor="text1"/>
        </w:rPr>
      </w:pPr>
    </w:p>
    <w:p w:rsidR="00A65941" w:rsidRPr="003F52FE" w:rsidRDefault="0075721C" w:rsidP="0083766B">
      <w:pPr>
        <w:rPr>
          <w:color w:val="000000" w:themeColor="text1"/>
          <w:lang w:val="en-US"/>
        </w:rPr>
      </w:pPr>
      <w:r w:rsidRPr="003F52FE">
        <w:rPr>
          <w:color w:val="000000" w:themeColor="text1"/>
          <w:position w:val="-12"/>
          <w:lang w:val="en-US"/>
        </w:rPr>
        <w:object w:dxaOrig="2860" w:dyaOrig="360">
          <v:shape id="_x0000_i1026" type="#_x0000_t75" style="width:143pt;height:17.5pt" o:ole="" fillcolor="window">
            <v:imagedata r:id="rId11" o:title=""/>
          </v:shape>
          <o:OLEObject Type="Embed" ProgID="Equation.3" ShapeID="_x0000_i1026" DrawAspect="Content" ObjectID="_1498406654" r:id="rId12"/>
        </w:object>
      </w:r>
      <w:r w:rsidR="00C526DB" w:rsidRPr="003F52FE">
        <w:rPr>
          <w:color w:val="000000" w:themeColor="text1"/>
          <w:lang w:val="en-US"/>
        </w:rPr>
        <w:tab/>
      </w:r>
      <w:r w:rsidR="00C526DB" w:rsidRPr="003F52FE">
        <w:rPr>
          <w:color w:val="000000" w:themeColor="text1"/>
          <w:lang w:val="en-US"/>
        </w:rPr>
        <w:tab/>
      </w:r>
      <w:r w:rsidR="00A65941" w:rsidRPr="003F52FE">
        <w:rPr>
          <w:color w:val="000000" w:themeColor="text1"/>
          <w:lang w:val="en-US"/>
        </w:rPr>
        <w:t>(2)</w:t>
      </w:r>
    </w:p>
    <w:p w:rsidR="00E51C85" w:rsidRPr="003F52FE" w:rsidRDefault="00E51C85" w:rsidP="0083766B">
      <w:pPr>
        <w:rPr>
          <w:color w:val="000000" w:themeColor="text1"/>
          <w:lang w:val="en-US"/>
        </w:rPr>
      </w:pPr>
    </w:p>
    <w:p w:rsidR="007438D4" w:rsidRPr="003F52FE" w:rsidRDefault="00C526DB" w:rsidP="0083766B">
      <w:pPr>
        <w:rPr>
          <w:color w:val="000000" w:themeColor="text1"/>
          <w:lang w:val="en-US"/>
        </w:rPr>
      </w:pPr>
      <w:proofErr w:type="gramStart"/>
      <w:r w:rsidRPr="003F52FE">
        <w:rPr>
          <w:color w:val="000000" w:themeColor="text1"/>
          <w:lang w:val="en-US"/>
        </w:rPr>
        <w:t>w</w:t>
      </w:r>
      <w:r w:rsidR="00A65941" w:rsidRPr="003F52FE">
        <w:rPr>
          <w:color w:val="000000" w:themeColor="text1"/>
          <w:lang w:val="en-US"/>
        </w:rPr>
        <w:t>here</w:t>
      </w:r>
      <w:proofErr w:type="gramEnd"/>
      <w:r w:rsidR="001A7701" w:rsidRPr="003F52FE">
        <w:rPr>
          <w:color w:val="000000" w:themeColor="text1"/>
          <w:lang w:val="en-US"/>
        </w:rPr>
        <w:t xml:space="preserve"> </w:t>
      </w:r>
      <w:r w:rsidR="0075721C" w:rsidRPr="003F52FE">
        <w:rPr>
          <w:i/>
          <w:color w:val="000000" w:themeColor="text1"/>
          <w:lang w:val="en-US"/>
        </w:rPr>
        <w:t>X</w:t>
      </w:r>
      <w:r w:rsidR="0023553B" w:rsidRPr="003F52FE">
        <w:rPr>
          <w:color w:val="000000" w:themeColor="text1"/>
          <w:lang w:val="en-US"/>
        </w:rPr>
        <w:t xml:space="preserve"> is </w:t>
      </w:r>
      <w:r w:rsidR="00EC32B6" w:rsidRPr="003F52FE">
        <w:rPr>
          <w:color w:val="000000" w:themeColor="text1"/>
          <w:lang w:val="en-US"/>
        </w:rPr>
        <w:t xml:space="preserve">the </w:t>
      </w:r>
      <w:r w:rsidR="0023553B" w:rsidRPr="003F52FE">
        <w:rPr>
          <w:color w:val="000000" w:themeColor="text1"/>
          <w:lang w:val="en-US"/>
        </w:rPr>
        <w:t>output</w:t>
      </w:r>
      <w:r w:rsidR="0075721C" w:rsidRPr="003F52FE">
        <w:rPr>
          <w:color w:val="000000" w:themeColor="text1"/>
          <w:lang w:val="en-US"/>
        </w:rPr>
        <w:t xml:space="preserve"> at current prices</w:t>
      </w:r>
      <w:r w:rsidR="00A65941" w:rsidRPr="003F52FE">
        <w:rPr>
          <w:color w:val="000000" w:themeColor="text1"/>
          <w:lang w:val="en-US"/>
        </w:rPr>
        <w:t>.</w:t>
      </w:r>
      <w:r w:rsidRPr="003F52FE">
        <w:rPr>
          <w:color w:val="000000" w:themeColor="text1"/>
          <w:lang w:val="en-US"/>
        </w:rPr>
        <w:t xml:space="preserve"> </w:t>
      </w:r>
      <w:r w:rsidR="007438D4" w:rsidRPr="003F52FE">
        <w:rPr>
          <w:color w:val="000000" w:themeColor="text1"/>
          <w:lang w:val="en-US"/>
        </w:rPr>
        <w:t>The profit share</w:t>
      </w:r>
      <w:r w:rsidR="009F69CF" w:rsidRPr="003F52FE">
        <w:rPr>
          <w:i/>
          <w:color w:val="000000" w:themeColor="text1"/>
          <w:lang w:val="en-US"/>
        </w:rPr>
        <w:t>, π</w:t>
      </w:r>
      <w:r w:rsidR="007D0B0A" w:rsidRPr="003F52FE">
        <w:rPr>
          <w:color w:val="000000" w:themeColor="text1"/>
          <w:lang w:val="en-US"/>
        </w:rPr>
        <w:t xml:space="preserve">, a proxy for the rate of surplus value, </w:t>
      </w:r>
      <w:r w:rsidR="007438D4" w:rsidRPr="003F52FE">
        <w:rPr>
          <w:color w:val="000000" w:themeColor="text1"/>
          <w:lang w:val="en-US"/>
        </w:rPr>
        <w:t xml:space="preserve">reflects the effects of </w:t>
      </w:r>
      <w:r w:rsidR="0040086F" w:rsidRPr="003F52FE">
        <w:rPr>
          <w:color w:val="000000" w:themeColor="text1"/>
          <w:lang w:val="en-US"/>
        </w:rPr>
        <w:t xml:space="preserve">income </w:t>
      </w:r>
      <w:r w:rsidR="007438D4" w:rsidRPr="003F52FE">
        <w:rPr>
          <w:color w:val="000000" w:themeColor="text1"/>
          <w:lang w:val="en-US"/>
        </w:rPr>
        <w:t>distribution between capital and labor</w:t>
      </w:r>
      <w:r w:rsidR="007D0B0A" w:rsidRPr="003F52FE">
        <w:rPr>
          <w:color w:val="000000" w:themeColor="text1"/>
          <w:lang w:val="en-US"/>
        </w:rPr>
        <w:t xml:space="preserve"> on the profit rate</w:t>
      </w:r>
      <w:r w:rsidR="007438D4" w:rsidRPr="003F52FE">
        <w:rPr>
          <w:color w:val="000000" w:themeColor="text1"/>
          <w:lang w:val="en-US"/>
        </w:rPr>
        <w:t xml:space="preserve">, </w:t>
      </w:r>
      <w:r w:rsidR="00DC4C63" w:rsidRPr="003F52FE">
        <w:rPr>
          <w:color w:val="000000" w:themeColor="text1"/>
          <w:lang w:val="en-US"/>
        </w:rPr>
        <w:t xml:space="preserve">whereas </w:t>
      </w:r>
      <w:r w:rsidR="0040086F" w:rsidRPr="003F52FE">
        <w:rPr>
          <w:color w:val="000000" w:themeColor="text1"/>
          <w:lang w:val="en-US"/>
        </w:rPr>
        <w:t>output</w:t>
      </w:r>
      <w:r w:rsidR="00DC4C63" w:rsidRPr="003F52FE">
        <w:rPr>
          <w:color w:val="000000" w:themeColor="text1"/>
          <w:lang w:val="en-US"/>
        </w:rPr>
        <w:t>-capital</w:t>
      </w:r>
      <w:r w:rsidR="0040086F" w:rsidRPr="003F52FE">
        <w:rPr>
          <w:color w:val="000000" w:themeColor="text1"/>
          <w:lang w:val="en-US"/>
        </w:rPr>
        <w:t xml:space="preserve"> ratio</w:t>
      </w:r>
      <w:r w:rsidR="009F69CF" w:rsidRPr="003F52FE">
        <w:rPr>
          <w:color w:val="000000" w:themeColor="text1"/>
          <w:lang w:val="en-US"/>
        </w:rPr>
        <w:t xml:space="preserve">, </w:t>
      </w:r>
      <w:r w:rsidR="009F69CF" w:rsidRPr="003F52FE">
        <w:rPr>
          <w:i/>
          <w:color w:val="000000" w:themeColor="text1"/>
          <w:lang w:val="en-US"/>
        </w:rPr>
        <w:t>ρ</w:t>
      </w:r>
      <w:r w:rsidR="007438D4" w:rsidRPr="003F52FE">
        <w:rPr>
          <w:color w:val="000000" w:themeColor="text1"/>
          <w:lang w:val="en-US"/>
        </w:rPr>
        <w:t xml:space="preserve">, a proxy for the organic composition of capital, </w:t>
      </w:r>
      <w:r w:rsidR="007D0B0A" w:rsidRPr="003F52FE">
        <w:rPr>
          <w:color w:val="000000" w:themeColor="text1"/>
          <w:lang w:val="en-US"/>
        </w:rPr>
        <w:t>mirrors</w:t>
      </w:r>
      <w:r w:rsidR="007438D4" w:rsidRPr="003F52FE">
        <w:rPr>
          <w:color w:val="000000" w:themeColor="text1"/>
          <w:lang w:val="en-US"/>
        </w:rPr>
        <w:t xml:space="preserve"> the effects of technology. This </w:t>
      </w:r>
      <w:r w:rsidR="00931632" w:rsidRPr="003F52FE">
        <w:rPr>
          <w:color w:val="000000" w:themeColor="text1"/>
          <w:lang w:val="en-US"/>
        </w:rPr>
        <w:t>idea</w:t>
      </w:r>
      <w:r w:rsidR="007438D4" w:rsidRPr="003F52FE">
        <w:rPr>
          <w:color w:val="000000" w:themeColor="text1"/>
          <w:lang w:val="en-US"/>
        </w:rPr>
        <w:t xml:space="preserve"> resembles Marx’s </w:t>
      </w:r>
      <w:r w:rsidR="00E05AEA" w:rsidRPr="003F52FE">
        <w:rPr>
          <w:color w:val="000000" w:themeColor="text1"/>
          <w:lang w:val="en-US"/>
        </w:rPr>
        <w:t xml:space="preserve">(1981) </w:t>
      </w:r>
      <w:r w:rsidR="007438D4" w:rsidRPr="003F52FE">
        <w:rPr>
          <w:color w:val="000000" w:themeColor="text1"/>
          <w:lang w:val="en-US"/>
        </w:rPr>
        <w:t xml:space="preserve">analysis of the profit rate in terms of distribution and technology. </w:t>
      </w:r>
    </w:p>
    <w:p w:rsidR="00DE3761" w:rsidRPr="003F52FE" w:rsidRDefault="007438D4" w:rsidP="0083766B">
      <w:pPr>
        <w:jc w:val="both"/>
        <w:rPr>
          <w:color w:val="000000" w:themeColor="text1"/>
          <w:lang w:val="en-US"/>
        </w:rPr>
      </w:pPr>
      <w:r w:rsidRPr="003F52FE">
        <w:rPr>
          <w:color w:val="000000" w:themeColor="text1"/>
          <w:lang w:val="en-US"/>
        </w:rPr>
        <w:tab/>
      </w:r>
      <w:r w:rsidR="00DE3761" w:rsidRPr="003F52FE">
        <w:rPr>
          <w:color w:val="000000" w:themeColor="text1"/>
          <w:lang w:val="en-US"/>
        </w:rPr>
        <w:t>The profit rate</w:t>
      </w:r>
      <w:r w:rsidR="00A54FE9" w:rsidRPr="003F52FE">
        <w:rPr>
          <w:color w:val="000000" w:themeColor="text1"/>
          <w:lang w:val="en-US"/>
        </w:rPr>
        <w:t>,</w:t>
      </w:r>
      <w:r w:rsidR="0023553B" w:rsidRPr="003F52FE">
        <w:rPr>
          <w:color w:val="000000" w:themeColor="text1"/>
          <w:lang w:val="en-US"/>
        </w:rPr>
        <w:t xml:space="preserve"> when</w:t>
      </w:r>
      <w:r w:rsidR="00931632" w:rsidRPr="003F52FE">
        <w:rPr>
          <w:color w:val="000000" w:themeColor="text1"/>
          <w:lang w:val="en-US"/>
        </w:rPr>
        <w:t xml:space="preserve"> </w:t>
      </w:r>
      <w:r w:rsidR="0023553B" w:rsidRPr="003F52FE">
        <w:rPr>
          <w:color w:val="000000" w:themeColor="text1"/>
          <w:lang w:val="en-US"/>
        </w:rPr>
        <w:t xml:space="preserve">the </w:t>
      </w:r>
      <w:r w:rsidR="00755254" w:rsidRPr="003F52FE">
        <w:rPr>
          <w:color w:val="000000" w:themeColor="text1"/>
          <w:lang w:val="en-US"/>
        </w:rPr>
        <w:t xml:space="preserve">nonresidential </w:t>
      </w:r>
      <w:r w:rsidR="0023553B" w:rsidRPr="003F52FE">
        <w:rPr>
          <w:color w:val="000000" w:themeColor="text1"/>
          <w:lang w:val="en-US"/>
        </w:rPr>
        <w:t xml:space="preserve">capital stock is </w:t>
      </w:r>
      <w:r w:rsidR="00931632" w:rsidRPr="003F52FE">
        <w:rPr>
          <w:color w:val="000000" w:themeColor="text1"/>
          <w:lang w:val="en-US"/>
        </w:rPr>
        <w:t xml:space="preserve">measured </w:t>
      </w:r>
      <w:r w:rsidR="00C526DB" w:rsidRPr="003F52FE">
        <w:rPr>
          <w:color w:val="000000" w:themeColor="text1"/>
          <w:lang w:val="en-US"/>
        </w:rPr>
        <w:t>at</w:t>
      </w:r>
      <w:r w:rsidR="00DE3761" w:rsidRPr="003F52FE">
        <w:rPr>
          <w:color w:val="000000" w:themeColor="text1"/>
          <w:lang w:val="en-US"/>
        </w:rPr>
        <w:t xml:space="preserve"> historical cost</w:t>
      </w:r>
      <w:r w:rsidR="00A54FE9" w:rsidRPr="003F52FE">
        <w:rPr>
          <w:color w:val="000000" w:themeColor="text1"/>
          <w:lang w:val="en-US"/>
        </w:rPr>
        <w:t>,</w:t>
      </w:r>
      <w:r w:rsidR="00DE3761" w:rsidRPr="003F52FE">
        <w:rPr>
          <w:color w:val="000000" w:themeColor="text1"/>
          <w:lang w:val="en-US"/>
        </w:rPr>
        <w:t xml:space="preserve"> is expressed by: </w:t>
      </w:r>
    </w:p>
    <w:p w:rsidR="00755254" w:rsidRPr="003F52FE" w:rsidRDefault="00755254" w:rsidP="0083766B">
      <w:pPr>
        <w:jc w:val="both"/>
        <w:rPr>
          <w:color w:val="000000" w:themeColor="text1"/>
          <w:lang w:val="en-US"/>
        </w:rPr>
      </w:pPr>
    </w:p>
    <w:p w:rsidR="0023553B" w:rsidRPr="003F52FE" w:rsidRDefault="0075721C" w:rsidP="0083766B">
      <w:pPr>
        <w:rPr>
          <w:color w:val="000000" w:themeColor="text1"/>
          <w:lang w:val="en-US"/>
        </w:rPr>
      </w:pPr>
      <w:r w:rsidRPr="003F52FE">
        <w:rPr>
          <w:color w:val="000000" w:themeColor="text1"/>
          <w:position w:val="-12"/>
          <w:lang w:val="en-US"/>
        </w:rPr>
        <w:object w:dxaOrig="3180" w:dyaOrig="380">
          <v:shape id="_x0000_i1027" type="#_x0000_t75" style="width:159.5pt;height:19pt" o:ole="" fillcolor="window">
            <v:imagedata r:id="rId13" o:title=""/>
          </v:shape>
          <o:OLEObject Type="Embed" ProgID="Equation.3" ShapeID="_x0000_i1027" DrawAspect="Content" ObjectID="_1498406655" r:id="rId14"/>
        </w:object>
      </w:r>
      <w:r w:rsidR="00C526DB" w:rsidRPr="003F52FE">
        <w:rPr>
          <w:color w:val="000000" w:themeColor="text1"/>
          <w:lang w:val="en-US"/>
        </w:rPr>
        <w:tab/>
      </w:r>
      <w:r w:rsidR="00071F74">
        <w:rPr>
          <w:color w:val="000000" w:themeColor="text1"/>
          <w:lang w:val="en-US"/>
        </w:rPr>
        <w:t xml:space="preserve">      </w:t>
      </w:r>
      <w:r w:rsidR="0023553B" w:rsidRPr="003F52FE">
        <w:rPr>
          <w:color w:val="000000" w:themeColor="text1"/>
          <w:lang w:val="en-US"/>
        </w:rPr>
        <w:t>(3)</w:t>
      </w:r>
    </w:p>
    <w:p w:rsidR="00755254" w:rsidRPr="003F52FE" w:rsidRDefault="00755254" w:rsidP="0083766B">
      <w:pPr>
        <w:rPr>
          <w:color w:val="000000" w:themeColor="text1"/>
          <w:lang w:val="en-US"/>
        </w:rPr>
      </w:pPr>
    </w:p>
    <w:p w:rsidR="0023553B" w:rsidRPr="003F52FE" w:rsidRDefault="0023553B" w:rsidP="0083766B">
      <w:pPr>
        <w:rPr>
          <w:color w:val="000000" w:themeColor="text1"/>
          <w:lang w:val="en-US"/>
        </w:rPr>
      </w:pPr>
      <w:r w:rsidRPr="003F52FE">
        <w:rPr>
          <w:color w:val="000000" w:themeColor="text1"/>
          <w:lang w:val="en-US"/>
        </w:rPr>
        <w:t>The profit rate</w:t>
      </w:r>
      <w:r w:rsidR="00A54FE9" w:rsidRPr="003F52FE">
        <w:rPr>
          <w:color w:val="000000" w:themeColor="text1"/>
          <w:lang w:val="en-US"/>
        </w:rPr>
        <w:t>,</w:t>
      </w:r>
      <w:r w:rsidRPr="003F52FE">
        <w:rPr>
          <w:color w:val="000000" w:themeColor="text1"/>
          <w:lang w:val="en-US"/>
        </w:rPr>
        <w:t xml:space="preserve"> when the</w:t>
      </w:r>
      <w:r w:rsidR="00755254" w:rsidRPr="003F52FE">
        <w:rPr>
          <w:color w:val="000000" w:themeColor="text1"/>
          <w:lang w:val="en-US"/>
        </w:rPr>
        <w:t xml:space="preserve"> nonresidential</w:t>
      </w:r>
      <w:r w:rsidRPr="003F52FE">
        <w:rPr>
          <w:color w:val="000000" w:themeColor="text1"/>
          <w:lang w:val="en-US"/>
        </w:rPr>
        <w:t xml:space="preserve"> capital stock is measured at currents prices</w:t>
      </w:r>
      <w:r w:rsidR="00A54FE9" w:rsidRPr="003F52FE">
        <w:rPr>
          <w:color w:val="000000" w:themeColor="text1"/>
          <w:lang w:val="en-US"/>
        </w:rPr>
        <w:t>,</w:t>
      </w:r>
      <w:r w:rsidRPr="003F52FE">
        <w:rPr>
          <w:color w:val="000000" w:themeColor="text1"/>
          <w:lang w:val="en-US"/>
        </w:rPr>
        <w:t xml:space="preserve"> is </w:t>
      </w:r>
      <w:r w:rsidR="00755254" w:rsidRPr="003F52FE">
        <w:rPr>
          <w:color w:val="000000" w:themeColor="text1"/>
          <w:lang w:val="en-US"/>
        </w:rPr>
        <w:t xml:space="preserve">calculated </w:t>
      </w:r>
      <w:r w:rsidRPr="003F52FE">
        <w:rPr>
          <w:color w:val="000000" w:themeColor="text1"/>
          <w:lang w:val="en-US"/>
        </w:rPr>
        <w:t xml:space="preserve">by: </w:t>
      </w:r>
    </w:p>
    <w:p w:rsidR="00755254" w:rsidRPr="003F52FE" w:rsidRDefault="00755254" w:rsidP="0083766B">
      <w:pPr>
        <w:jc w:val="center"/>
        <w:rPr>
          <w:color w:val="000000" w:themeColor="text1"/>
          <w:lang w:val="en-US"/>
        </w:rPr>
      </w:pPr>
    </w:p>
    <w:p w:rsidR="0023553B" w:rsidRPr="003F52FE" w:rsidRDefault="0075721C" w:rsidP="0083766B">
      <w:pPr>
        <w:rPr>
          <w:color w:val="000000" w:themeColor="text1"/>
          <w:lang w:val="en-US"/>
        </w:rPr>
      </w:pPr>
      <w:r w:rsidRPr="003F52FE">
        <w:rPr>
          <w:color w:val="000000" w:themeColor="text1"/>
          <w:position w:val="-12"/>
          <w:lang w:val="en-US"/>
        </w:rPr>
        <w:object w:dxaOrig="3100" w:dyaOrig="380">
          <v:shape id="_x0000_i1028" type="#_x0000_t75" style="width:155.5pt;height:19pt" o:ole="" fillcolor="window">
            <v:imagedata r:id="rId15" o:title=""/>
          </v:shape>
          <o:OLEObject Type="Embed" ProgID="Equation.3" ShapeID="_x0000_i1028" DrawAspect="Content" ObjectID="_1498406656" r:id="rId16"/>
        </w:object>
      </w:r>
      <w:r w:rsidR="00C526DB" w:rsidRPr="003F52FE">
        <w:rPr>
          <w:color w:val="000000" w:themeColor="text1"/>
          <w:lang w:val="en-US"/>
        </w:rPr>
        <w:tab/>
      </w:r>
      <w:r w:rsidR="00071F74">
        <w:rPr>
          <w:color w:val="000000" w:themeColor="text1"/>
          <w:lang w:val="en-US"/>
        </w:rPr>
        <w:t xml:space="preserve">      </w:t>
      </w:r>
      <w:r w:rsidR="0023553B" w:rsidRPr="003F52FE">
        <w:rPr>
          <w:color w:val="000000" w:themeColor="text1"/>
          <w:lang w:val="en-US"/>
        </w:rPr>
        <w:t>(4)</w:t>
      </w:r>
    </w:p>
    <w:p w:rsidR="00755254" w:rsidRPr="003F52FE" w:rsidRDefault="00755254" w:rsidP="0083766B">
      <w:pPr>
        <w:jc w:val="center"/>
        <w:rPr>
          <w:color w:val="000000" w:themeColor="text1"/>
          <w:lang w:val="en-US"/>
        </w:rPr>
      </w:pPr>
    </w:p>
    <w:p w:rsidR="0009782D" w:rsidRPr="003F52FE" w:rsidRDefault="008A0119" w:rsidP="0083766B">
      <w:pPr>
        <w:rPr>
          <w:noProof/>
          <w:color w:val="000000" w:themeColor="text1"/>
          <w:lang w:val="en-US"/>
        </w:rPr>
      </w:pPr>
      <w:r w:rsidRPr="003F52FE">
        <w:rPr>
          <w:color w:val="000000" w:themeColor="text1"/>
          <w:lang w:val="en-US"/>
        </w:rPr>
        <w:tab/>
      </w:r>
      <w:r w:rsidR="00581366" w:rsidRPr="003F52FE">
        <w:rPr>
          <w:color w:val="000000" w:themeColor="text1"/>
          <w:lang w:val="en-US"/>
        </w:rPr>
        <w:t xml:space="preserve">The perpetual inventory method (PIM) is </w:t>
      </w:r>
      <w:r w:rsidR="00931632" w:rsidRPr="003F52FE">
        <w:rPr>
          <w:color w:val="000000" w:themeColor="text1"/>
          <w:lang w:val="en-US"/>
        </w:rPr>
        <w:t xml:space="preserve">a </w:t>
      </w:r>
      <w:r w:rsidR="00DE3761" w:rsidRPr="003F52FE">
        <w:rPr>
          <w:color w:val="000000" w:themeColor="text1"/>
          <w:lang w:val="en-US"/>
        </w:rPr>
        <w:t>common method of computing</w:t>
      </w:r>
      <w:r w:rsidRPr="003F52FE">
        <w:rPr>
          <w:color w:val="000000" w:themeColor="text1"/>
          <w:lang w:val="en-US"/>
        </w:rPr>
        <w:t xml:space="preserve"> the </w:t>
      </w:r>
      <w:r w:rsidR="00A54FE9" w:rsidRPr="003F52FE">
        <w:rPr>
          <w:color w:val="000000" w:themeColor="text1"/>
          <w:lang w:val="en-US"/>
        </w:rPr>
        <w:t>non</w:t>
      </w:r>
      <w:r w:rsidR="00DE3761" w:rsidRPr="003F52FE">
        <w:rPr>
          <w:color w:val="000000" w:themeColor="text1"/>
          <w:lang w:val="en-US"/>
        </w:rPr>
        <w:t xml:space="preserve">residential </w:t>
      </w:r>
      <w:r w:rsidRPr="003F52FE">
        <w:rPr>
          <w:color w:val="000000" w:themeColor="text1"/>
          <w:lang w:val="en-US"/>
        </w:rPr>
        <w:t>capital stock</w:t>
      </w:r>
      <w:r w:rsidR="00DE3761" w:rsidRPr="003F52FE">
        <w:rPr>
          <w:color w:val="000000" w:themeColor="text1"/>
          <w:lang w:val="en-US"/>
        </w:rPr>
        <w:t>.</w:t>
      </w:r>
      <w:r w:rsidR="00931632" w:rsidRPr="003F52FE">
        <w:rPr>
          <w:color w:val="000000" w:themeColor="text1"/>
          <w:lang w:val="en-US"/>
        </w:rPr>
        <w:t xml:space="preserve"> </w:t>
      </w:r>
      <w:r w:rsidR="0009782D" w:rsidRPr="003F52FE">
        <w:rPr>
          <w:noProof/>
          <w:color w:val="000000" w:themeColor="text1"/>
          <w:lang w:val="en-US"/>
        </w:rPr>
        <w:t>The PIM estimates</w:t>
      </w:r>
      <w:r w:rsidR="00931632" w:rsidRPr="003F52FE">
        <w:rPr>
          <w:noProof/>
          <w:color w:val="000000" w:themeColor="text1"/>
          <w:lang w:val="en-US"/>
        </w:rPr>
        <w:t xml:space="preserve"> that</w:t>
      </w:r>
      <w:r w:rsidR="0009782D" w:rsidRPr="003F52FE">
        <w:rPr>
          <w:noProof/>
          <w:color w:val="000000" w:themeColor="text1"/>
          <w:lang w:val="en-US"/>
        </w:rPr>
        <w:t xml:space="preserve"> the net capital stock consist</w:t>
      </w:r>
      <w:r w:rsidR="00931632" w:rsidRPr="003F52FE">
        <w:rPr>
          <w:noProof/>
          <w:color w:val="000000" w:themeColor="text1"/>
          <w:lang w:val="en-US"/>
        </w:rPr>
        <w:t>s</w:t>
      </w:r>
      <w:r w:rsidR="0009782D" w:rsidRPr="003F52FE">
        <w:rPr>
          <w:noProof/>
          <w:color w:val="000000" w:themeColor="text1"/>
          <w:lang w:val="en-US"/>
        </w:rPr>
        <w:t xml:space="preserve"> </w:t>
      </w:r>
      <w:r w:rsidR="00931632" w:rsidRPr="003F52FE">
        <w:rPr>
          <w:noProof/>
          <w:color w:val="000000" w:themeColor="text1"/>
          <w:lang w:val="en-US"/>
        </w:rPr>
        <w:t>of</w:t>
      </w:r>
      <w:r w:rsidR="0009782D" w:rsidRPr="003F52FE">
        <w:rPr>
          <w:noProof/>
          <w:color w:val="000000" w:themeColor="text1"/>
          <w:lang w:val="en-US"/>
        </w:rPr>
        <w:t xml:space="preserve"> cumulating investment flows, deducting</w:t>
      </w:r>
      <w:r w:rsidR="00C526DB" w:rsidRPr="003F52FE">
        <w:rPr>
          <w:noProof/>
          <w:color w:val="000000" w:themeColor="text1"/>
          <w:lang w:val="en-US"/>
        </w:rPr>
        <w:t xml:space="preserve"> </w:t>
      </w:r>
      <w:r w:rsidR="0009782D" w:rsidRPr="003F52FE">
        <w:rPr>
          <w:noProof/>
          <w:color w:val="000000" w:themeColor="text1"/>
          <w:lang w:val="en-US"/>
        </w:rPr>
        <w:t xml:space="preserve">the depreciation and asset retirement. </w:t>
      </w:r>
      <w:r w:rsidR="00C70CEF" w:rsidRPr="003F52FE">
        <w:rPr>
          <w:color w:val="000000" w:themeColor="text1"/>
          <w:lang w:val="en-US"/>
        </w:rPr>
        <w:t>OECD (2001</w:t>
      </w:r>
      <w:r w:rsidR="0014389B" w:rsidRPr="003F52FE">
        <w:rPr>
          <w:color w:val="000000" w:themeColor="text1"/>
          <w:lang w:val="en-US"/>
        </w:rPr>
        <w:t>, 2009) discuss</w:t>
      </w:r>
      <w:r w:rsidR="00E14DD3" w:rsidRPr="003F52FE">
        <w:rPr>
          <w:color w:val="000000" w:themeColor="text1"/>
          <w:lang w:val="en-US"/>
        </w:rPr>
        <w:t>es</w:t>
      </w:r>
      <w:r w:rsidR="0014389B" w:rsidRPr="003F52FE">
        <w:rPr>
          <w:color w:val="000000" w:themeColor="text1"/>
          <w:lang w:val="en-US"/>
        </w:rPr>
        <w:t xml:space="preserve"> the statistical procedure</w:t>
      </w:r>
      <w:r w:rsidR="001B2A4C" w:rsidRPr="003F52FE">
        <w:rPr>
          <w:color w:val="000000" w:themeColor="text1"/>
          <w:lang w:val="en-US"/>
        </w:rPr>
        <w:t>s</w:t>
      </w:r>
      <w:r w:rsidR="0014389B" w:rsidRPr="003F52FE">
        <w:rPr>
          <w:color w:val="000000" w:themeColor="text1"/>
          <w:lang w:val="en-US"/>
        </w:rPr>
        <w:t xml:space="preserve"> to measure the capital stock in many developed countries</w:t>
      </w:r>
      <w:r w:rsidR="00931632" w:rsidRPr="003F52FE">
        <w:rPr>
          <w:color w:val="000000" w:themeColor="text1"/>
          <w:lang w:val="en-US"/>
        </w:rPr>
        <w:t>.</w:t>
      </w:r>
    </w:p>
    <w:p w:rsidR="00BA4629" w:rsidRPr="003F52FE" w:rsidRDefault="00E14DD3" w:rsidP="0083766B">
      <w:pPr>
        <w:tabs>
          <w:tab w:val="center" w:pos="4800"/>
          <w:tab w:val="right" w:pos="9500"/>
        </w:tabs>
        <w:ind w:firstLine="720"/>
        <w:rPr>
          <w:noProof/>
          <w:color w:val="000000" w:themeColor="text1"/>
          <w:lang w:val="en-US"/>
        </w:rPr>
      </w:pPr>
      <w:r w:rsidRPr="003F52FE">
        <w:rPr>
          <w:noProof/>
          <w:color w:val="000000" w:themeColor="text1"/>
          <w:lang w:val="en-US"/>
        </w:rPr>
        <w:t xml:space="preserve">The </w:t>
      </w:r>
      <w:r w:rsidR="00A54FE9" w:rsidRPr="003F52FE">
        <w:rPr>
          <w:noProof/>
          <w:color w:val="000000" w:themeColor="text1"/>
          <w:lang w:val="en-US"/>
        </w:rPr>
        <w:t xml:space="preserve">nonresidential </w:t>
      </w:r>
      <w:r w:rsidRPr="003F52FE">
        <w:rPr>
          <w:noProof/>
          <w:color w:val="000000" w:themeColor="text1"/>
          <w:lang w:val="en-US"/>
        </w:rPr>
        <w:t xml:space="preserve">capital stock by the end of the period </w:t>
      </w:r>
      <w:r w:rsidR="00BA4629" w:rsidRPr="003F52FE">
        <w:rPr>
          <w:noProof/>
          <w:color w:val="000000" w:themeColor="text1"/>
          <w:lang w:val="en-US"/>
        </w:rPr>
        <w:t xml:space="preserve">can be </w:t>
      </w:r>
      <w:r w:rsidRPr="003F52FE">
        <w:rPr>
          <w:noProof/>
          <w:color w:val="000000" w:themeColor="text1"/>
          <w:lang w:val="en-US"/>
        </w:rPr>
        <w:t xml:space="preserve">computed </w:t>
      </w:r>
      <w:r w:rsidR="00BA4629" w:rsidRPr="003F52FE">
        <w:rPr>
          <w:noProof/>
          <w:color w:val="000000" w:themeColor="text1"/>
          <w:lang w:val="en-US"/>
        </w:rPr>
        <w:t>as:</w:t>
      </w:r>
    </w:p>
    <w:p w:rsidR="0009782D" w:rsidRPr="003F52FE" w:rsidRDefault="0009782D" w:rsidP="0083766B">
      <w:pPr>
        <w:tabs>
          <w:tab w:val="center" w:pos="4800"/>
          <w:tab w:val="right" w:pos="9500"/>
        </w:tabs>
        <w:ind w:firstLine="720"/>
        <w:rPr>
          <w:noProof/>
          <w:color w:val="000000" w:themeColor="text1"/>
          <w:lang w:val="en-US"/>
        </w:rPr>
      </w:pPr>
    </w:p>
    <w:p w:rsidR="00BA4629" w:rsidRPr="003F52FE" w:rsidRDefault="005838BA" w:rsidP="0083766B">
      <w:pPr>
        <w:tabs>
          <w:tab w:val="center" w:pos="4800"/>
          <w:tab w:val="right" w:pos="9500"/>
        </w:tabs>
        <w:rPr>
          <w:color w:val="000000" w:themeColor="text1"/>
          <w:position w:val="-12"/>
          <w:lang w:val="en-US"/>
        </w:rPr>
      </w:pPr>
      <w:r w:rsidRPr="003F52FE">
        <w:rPr>
          <w:color w:val="000000" w:themeColor="text1"/>
          <w:position w:val="-12"/>
          <w:lang w:val="en-US"/>
        </w:rPr>
        <w:object w:dxaOrig="1820" w:dyaOrig="360">
          <v:shape id="_x0000_i1029" type="#_x0000_t75" style="width:91pt;height:17.5pt" o:ole="" fillcolor="window">
            <v:imagedata r:id="rId17" o:title=""/>
          </v:shape>
          <o:OLEObject Type="Embed" ProgID="Equation.3" ShapeID="_x0000_i1029" DrawAspect="Content" ObjectID="_1498406657" r:id="rId18"/>
        </w:object>
      </w:r>
      <w:r w:rsidR="0009782D" w:rsidRPr="003F52FE">
        <w:rPr>
          <w:color w:val="000000" w:themeColor="text1"/>
          <w:lang w:val="en-US"/>
        </w:rPr>
        <w:t xml:space="preserve">    </w:t>
      </w:r>
      <w:r w:rsidR="00071F74">
        <w:rPr>
          <w:color w:val="000000" w:themeColor="text1"/>
          <w:lang w:val="en-US"/>
        </w:rPr>
        <w:t xml:space="preserve">      </w:t>
      </w:r>
      <w:r w:rsidR="0009782D" w:rsidRPr="003F52FE">
        <w:rPr>
          <w:color w:val="000000" w:themeColor="text1"/>
          <w:lang w:val="en-US"/>
        </w:rPr>
        <w:t xml:space="preserve"> (5)</w:t>
      </w:r>
    </w:p>
    <w:p w:rsidR="0009782D" w:rsidRPr="003F52FE" w:rsidRDefault="0009782D" w:rsidP="0083766B">
      <w:pPr>
        <w:tabs>
          <w:tab w:val="center" w:pos="4800"/>
          <w:tab w:val="right" w:pos="9500"/>
        </w:tabs>
        <w:jc w:val="center"/>
        <w:rPr>
          <w:noProof/>
          <w:color w:val="000000" w:themeColor="text1"/>
          <w:lang w:val="en-US"/>
        </w:rPr>
      </w:pPr>
    </w:p>
    <w:p w:rsidR="00BA4629" w:rsidRPr="003F52FE" w:rsidRDefault="00E31A0A" w:rsidP="0083766B">
      <w:pPr>
        <w:tabs>
          <w:tab w:val="center" w:pos="4800"/>
          <w:tab w:val="right" w:pos="9500"/>
        </w:tabs>
        <w:jc w:val="both"/>
        <w:rPr>
          <w:noProof/>
          <w:color w:val="000000" w:themeColor="text1"/>
          <w:lang w:val="en-US"/>
        </w:rPr>
      </w:pPr>
      <w:r w:rsidRPr="003F52FE">
        <w:rPr>
          <w:noProof/>
          <w:color w:val="000000" w:themeColor="text1"/>
          <w:lang w:val="en-US"/>
        </w:rPr>
        <w:t>w</w:t>
      </w:r>
      <w:r w:rsidR="00BA4629" w:rsidRPr="003F52FE">
        <w:rPr>
          <w:noProof/>
          <w:color w:val="000000" w:themeColor="text1"/>
          <w:lang w:val="en-US"/>
        </w:rPr>
        <w:t xml:space="preserve">here </w:t>
      </w:r>
      <w:r w:rsidR="006E7DD0" w:rsidRPr="003F52FE">
        <w:rPr>
          <w:i/>
          <w:noProof/>
          <w:color w:val="000000" w:themeColor="text1"/>
          <w:lang w:val="en-US"/>
        </w:rPr>
        <w:t>I</w:t>
      </w:r>
      <w:r w:rsidR="00C526DB" w:rsidRPr="003F52FE">
        <w:rPr>
          <w:i/>
          <w:noProof/>
          <w:color w:val="000000" w:themeColor="text1"/>
          <w:lang w:val="en-US"/>
        </w:rPr>
        <w:t xml:space="preserve"> </w:t>
      </w:r>
      <w:r w:rsidR="00581366" w:rsidRPr="003F52FE">
        <w:rPr>
          <w:noProof/>
          <w:color w:val="000000" w:themeColor="text1"/>
          <w:lang w:val="en-US"/>
        </w:rPr>
        <w:t>is</w:t>
      </w:r>
      <w:r w:rsidR="00BA4629" w:rsidRPr="003F52FE">
        <w:rPr>
          <w:noProof/>
          <w:color w:val="000000" w:themeColor="text1"/>
          <w:lang w:val="en-US"/>
        </w:rPr>
        <w:t xml:space="preserve"> th</w:t>
      </w:r>
      <w:r w:rsidR="00152EAD" w:rsidRPr="003F52FE">
        <w:rPr>
          <w:noProof/>
          <w:color w:val="000000" w:themeColor="text1"/>
          <w:lang w:val="en-US"/>
        </w:rPr>
        <w:t>e gross fixed capital formation</w:t>
      </w:r>
      <w:r w:rsidR="00BA4629" w:rsidRPr="003F52FE">
        <w:rPr>
          <w:noProof/>
          <w:color w:val="000000" w:themeColor="text1"/>
          <w:lang w:val="en-US"/>
        </w:rPr>
        <w:t xml:space="preserve"> and </w:t>
      </w:r>
      <w:r w:rsidR="00BA4629" w:rsidRPr="003F52FE">
        <w:rPr>
          <w:i/>
          <w:noProof/>
          <w:color w:val="000000" w:themeColor="text1"/>
          <w:lang w:val="en-US"/>
        </w:rPr>
        <w:t>D</w:t>
      </w:r>
      <w:r w:rsidR="00C526DB" w:rsidRPr="003F52FE">
        <w:rPr>
          <w:i/>
          <w:noProof/>
          <w:color w:val="000000" w:themeColor="text1"/>
          <w:lang w:val="en-US"/>
        </w:rPr>
        <w:t xml:space="preserve"> </w:t>
      </w:r>
      <w:r w:rsidR="00581366" w:rsidRPr="003F52FE">
        <w:rPr>
          <w:noProof/>
          <w:color w:val="000000" w:themeColor="text1"/>
          <w:lang w:val="en-US"/>
        </w:rPr>
        <w:t>is</w:t>
      </w:r>
      <w:r w:rsidR="00C526DB" w:rsidRPr="003F52FE">
        <w:rPr>
          <w:noProof/>
          <w:color w:val="000000" w:themeColor="text1"/>
          <w:lang w:val="en-US"/>
        </w:rPr>
        <w:t xml:space="preserve"> </w:t>
      </w:r>
      <w:r w:rsidR="00BA4629" w:rsidRPr="003F52FE">
        <w:rPr>
          <w:noProof/>
          <w:color w:val="000000" w:themeColor="text1"/>
          <w:lang w:val="en-US"/>
        </w:rPr>
        <w:t>the consumption of fixed capital.</w:t>
      </w:r>
      <w:r w:rsidR="006E7DD0" w:rsidRPr="003F52FE">
        <w:rPr>
          <w:noProof/>
          <w:color w:val="000000" w:themeColor="text1"/>
          <w:lang w:val="en-US"/>
        </w:rPr>
        <w:t xml:space="preserve">  By successively inserting </w:t>
      </w:r>
      <w:r w:rsidR="006E7DD0" w:rsidRPr="003F52FE">
        <w:rPr>
          <w:i/>
          <w:noProof/>
          <w:color w:val="000000" w:themeColor="text1"/>
          <w:lang w:val="en-US"/>
        </w:rPr>
        <w:t>K</w:t>
      </w:r>
      <w:r w:rsidR="006E7DD0" w:rsidRPr="003F52FE">
        <w:rPr>
          <w:i/>
          <w:noProof/>
          <w:color w:val="000000" w:themeColor="text1"/>
          <w:vertAlign w:val="subscript"/>
          <w:lang w:val="en-US"/>
        </w:rPr>
        <w:t>t-1</w:t>
      </w:r>
      <w:r w:rsidR="006E7DD0" w:rsidRPr="003F52FE">
        <w:rPr>
          <w:noProof/>
          <w:color w:val="000000" w:themeColor="text1"/>
          <w:lang w:val="en-US"/>
        </w:rPr>
        <w:t xml:space="preserve"> in the above expression, it </w:t>
      </w:r>
      <w:r w:rsidR="0019483F" w:rsidRPr="003F52FE">
        <w:rPr>
          <w:noProof/>
          <w:color w:val="000000" w:themeColor="text1"/>
          <w:lang w:val="en-US"/>
        </w:rPr>
        <w:t>is</w:t>
      </w:r>
      <w:r w:rsidR="006E7DD0" w:rsidRPr="003F52FE">
        <w:rPr>
          <w:noProof/>
          <w:color w:val="000000" w:themeColor="text1"/>
          <w:lang w:val="en-US"/>
        </w:rPr>
        <w:t xml:space="preserve"> written as (Todsen, 1997):  </w:t>
      </w:r>
    </w:p>
    <w:p w:rsidR="00581366" w:rsidRPr="003F52FE" w:rsidRDefault="00581366" w:rsidP="0083766B">
      <w:pPr>
        <w:tabs>
          <w:tab w:val="center" w:pos="4800"/>
          <w:tab w:val="right" w:pos="9500"/>
        </w:tabs>
        <w:jc w:val="both"/>
        <w:rPr>
          <w:noProof/>
          <w:color w:val="000000" w:themeColor="text1"/>
          <w:lang w:val="en-US"/>
        </w:rPr>
      </w:pPr>
    </w:p>
    <w:p w:rsidR="00BA4629" w:rsidRPr="003F52FE" w:rsidRDefault="00B1552A" w:rsidP="0083766B">
      <w:pPr>
        <w:tabs>
          <w:tab w:val="center" w:pos="4800"/>
          <w:tab w:val="right" w:pos="9500"/>
        </w:tabs>
        <w:rPr>
          <w:noProof/>
          <w:color w:val="000000" w:themeColor="text1"/>
          <w:lang w:val="en-US"/>
        </w:rPr>
      </w:pPr>
      <w:r w:rsidRPr="003F52FE">
        <w:rPr>
          <w:noProof/>
          <w:color w:val="000000" w:themeColor="text1"/>
          <w:position w:val="-28"/>
        </w:rPr>
        <w:object w:dxaOrig="1440" w:dyaOrig="680">
          <v:shape id="_x0000_i1030" type="#_x0000_t75" style="width:1in;height:34.5pt" o:ole="">
            <v:imagedata r:id="rId19" o:title=""/>
          </v:shape>
          <o:OLEObject Type="Embed" ProgID="Equation.3" ShapeID="_x0000_i1030" DrawAspect="Content" ObjectID="_1498406658" r:id="rId20"/>
        </w:object>
      </w:r>
      <w:r w:rsidR="00581366" w:rsidRPr="003F52FE">
        <w:rPr>
          <w:noProof/>
          <w:color w:val="000000" w:themeColor="text1"/>
          <w:lang w:val="en-US"/>
        </w:rPr>
        <w:t xml:space="preserve">   </w:t>
      </w:r>
      <w:r w:rsidR="00071F74">
        <w:rPr>
          <w:noProof/>
          <w:color w:val="000000" w:themeColor="text1"/>
          <w:lang w:val="en-US"/>
        </w:rPr>
        <w:t xml:space="preserve">    </w:t>
      </w:r>
      <w:r w:rsidR="00581366" w:rsidRPr="003F52FE">
        <w:rPr>
          <w:noProof/>
          <w:color w:val="000000" w:themeColor="text1"/>
          <w:lang w:val="en-US"/>
        </w:rPr>
        <w:t xml:space="preserve">  (6)</w:t>
      </w:r>
    </w:p>
    <w:p w:rsidR="00581366" w:rsidRPr="003F52FE" w:rsidRDefault="00581366" w:rsidP="0083766B">
      <w:pPr>
        <w:tabs>
          <w:tab w:val="center" w:pos="4800"/>
          <w:tab w:val="right" w:pos="9500"/>
        </w:tabs>
        <w:jc w:val="both"/>
        <w:rPr>
          <w:noProof/>
          <w:color w:val="000000" w:themeColor="text1"/>
          <w:lang w:val="en-US"/>
        </w:rPr>
      </w:pPr>
    </w:p>
    <w:p w:rsidR="00BA4629" w:rsidRPr="003F52FE" w:rsidRDefault="00E31A0A" w:rsidP="0083766B">
      <w:pPr>
        <w:tabs>
          <w:tab w:val="center" w:pos="4800"/>
          <w:tab w:val="right" w:pos="9500"/>
        </w:tabs>
        <w:rPr>
          <w:noProof/>
          <w:color w:val="000000" w:themeColor="text1"/>
          <w:lang w:val="en-US"/>
        </w:rPr>
      </w:pPr>
      <w:r w:rsidRPr="003F52FE">
        <w:rPr>
          <w:noProof/>
          <w:color w:val="000000" w:themeColor="text1"/>
          <w:lang w:val="en-US"/>
        </w:rPr>
        <w:t>w</w:t>
      </w:r>
      <w:r w:rsidR="00BA4629" w:rsidRPr="003F52FE">
        <w:rPr>
          <w:noProof/>
          <w:color w:val="000000" w:themeColor="text1"/>
          <w:lang w:val="en-US"/>
        </w:rPr>
        <w:t xml:space="preserve">here </w:t>
      </w:r>
      <w:r w:rsidR="00BA4629" w:rsidRPr="003F52FE">
        <w:rPr>
          <w:i/>
          <w:noProof/>
          <w:color w:val="000000" w:themeColor="text1"/>
          <w:lang w:val="en-US"/>
        </w:rPr>
        <w:t>d</w:t>
      </w:r>
      <w:r w:rsidR="00C526DB" w:rsidRPr="003F52FE">
        <w:rPr>
          <w:i/>
          <w:noProof/>
          <w:color w:val="000000" w:themeColor="text1"/>
          <w:lang w:val="en-US"/>
        </w:rPr>
        <w:t xml:space="preserve"> </w:t>
      </w:r>
      <w:r w:rsidR="00581366" w:rsidRPr="003F52FE">
        <w:rPr>
          <w:noProof/>
          <w:color w:val="000000" w:themeColor="text1"/>
          <w:lang w:val="en-US"/>
        </w:rPr>
        <w:t>is</w:t>
      </w:r>
      <w:r w:rsidR="00BA4629" w:rsidRPr="003F52FE">
        <w:rPr>
          <w:noProof/>
          <w:color w:val="000000" w:themeColor="text1"/>
          <w:lang w:val="en-US"/>
        </w:rPr>
        <w:t xml:space="preserve"> the depreciation function, </w:t>
      </w:r>
      <w:r w:rsidR="00B1552A" w:rsidRPr="003F52FE">
        <w:rPr>
          <w:i/>
          <w:noProof/>
          <w:color w:val="000000" w:themeColor="text1"/>
          <w:lang w:val="en-US"/>
        </w:rPr>
        <w:t>s</w:t>
      </w:r>
      <w:r w:rsidR="00C526DB" w:rsidRPr="003F52FE">
        <w:rPr>
          <w:i/>
          <w:noProof/>
          <w:color w:val="000000" w:themeColor="text1"/>
          <w:lang w:val="en-US"/>
        </w:rPr>
        <w:t xml:space="preserve"> </w:t>
      </w:r>
      <w:r w:rsidR="00B1552A" w:rsidRPr="003F52FE">
        <w:rPr>
          <w:noProof/>
          <w:color w:val="000000" w:themeColor="text1"/>
          <w:lang w:val="en-US"/>
        </w:rPr>
        <w:t>the age</w:t>
      </w:r>
      <w:r w:rsidR="00581366" w:rsidRPr="003F52FE">
        <w:rPr>
          <w:noProof/>
          <w:color w:val="000000" w:themeColor="text1"/>
          <w:lang w:val="en-US"/>
        </w:rPr>
        <w:t xml:space="preserve"> of the asset</w:t>
      </w:r>
      <w:r w:rsidR="00B1552A" w:rsidRPr="003F52FE">
        <w:rPr>
          <w:noProof/>
          <w:color w:val="000000" w:themeColor="text1"/>
          <w:lang w:val="en-US"/>
        </w:rPr>
        <w:t xml:space="preserve"> and </w:t>
      </w:r>
      <w:r w:rsidR="00B1552A" w:rsidRPr="003F52FE">
        <w:rPr>
          <w:i/>
          <w:noProof/>
          <w:color w:val="000000" w:themeColor="text1"/>
          <w:lang w:val="en-US"/>
        </w:rPr>
        <w:t>L</w:t>
      </w:r>
      <w:r w:rsidR="00B1552A" w:rsidRPr="003F52FE">
        <w:rPr>
          <w:noProof/>
          <w:color w:val="000000" w:themeColor="text1"/>
          <w:lang w:val="en-US"/>
        </w:rPr>
        <w:t xml:space="preserve"> themaximum </w:t>
      </w:r>
      <w:r w:rsidR="00BA4629" w:rsidRPr="003F52FE">
        <w:rPr>
          <w:noProof/>
          <w:color w:val="000000" w:themeColor="text1"/>
          <w:lang w:val="en-US"/>
        </w:rPr>
        <w:t xml:space="preserve">life </w:t>
      </w:r>
      <w:r w:rsidR="00B1552A" w:rsidRPr="003F52FE">
        <w:rPr>
          <w:noProof/>
          <w:color w:val="000000" w:themeColor="text1"/>
          <w:lang w:val="en-US"/>
        </w:rPr>
        <w:t>of the asset</w:t>
      </w:r>
      <w:r w:rsidR="00BA4629" w:rsidRPr="003F52FE">
        <w:rPr>
          <w:noProof/>
          <w:color w:val="000000" w:themeColor="text1"/>
          <w:lang w:val="en-US"/>
        </w:rPr>
        <w:t>.</w:t>
      </w:r>
    </w:p>
    <w:p w:rsidR="005838BA" w:rsidRPr="003F52FE" w:rsidRDefault="00A54FE9" w:rsidP="0083766B">
      <w:pPr>
        <w:tabs>
          <w:tab w:val="center" w:pos="4800"/>
          <w:tab w:val="right" w:pos="9500"/>
        </w:tabs>
        <w:ind w:firstLine="720"/>
        <w:rPr>
          <w:noProof/>
          <w:color w:val="000000" w:themeColor="text1"/>
          <w:lang w:val="en-US"/>
        </w:rPr>
      </w:pPr>
      <w:r w:rsidRPr="003F52FE">
        <w:rPr>
          <w:noProof/>
          <w:color w:val="000000" w:themeColor="text1"/>
          <w:lang w:val="en-US"/>
        </w:rPr>
        <w:t>T</w:t>
      </w:r>
      <w:r w:rsidR="00BA4629" w:rsidRPr="003F52FE">
        <w:rPr>
          <w:noProof/>
          <w:color w:val="000000" w:themeColor="text1"/>
          <w:lang w:val="en-US"/>
        </w:rPr>
        <w:t>he</w:t>
      </w:r>
      <w:r w:rsidR="005838BA" w:rsidRPr="003F52FE">
        <w:rPr>
          <w:noProof/>
          <w:color w:val="000000" w:themeColor="text1"/>
          <w:lang w:val="en-US"/>
        </w:rPr>
        <w:t xml:space="preserve"> capital assets can be value at historical prices, the assets are valued at their </w:t>
      </w:r>
      <w:r w:rsidR="005838BA" w:rsidRPr="003F52FE">
        <w:rPr>
          <w:noProof/>
          <w:color w:val="000000" w:themeColor="text1"/>
          <w:lang w:val="en-US"/>
        </w:rPr>
        <w:lastRenderedPageBreak/>
        <w:t>acquisition prices, current prices</w:t>
      </w:r>
      <w:r w:rsidR="00B91EAD" w:rsidRPr="003F52FE">
        <w:rPr>
          <w:noProof/>
          <w:color w:val="000000" w:themeColor="text1"/>
          <w:lang w:val="en-US"/>
        </w:rPr>
        <w:t xml:space="preserve">, the </w:t>
      </w:r>
      <w:r w:rsidR="00B91EAD" w:rsidRPr="003F52FE">
        <w:rPr>
          <w:color w:val="000000" w:themeColor="text1"/>
          <w:lang w:val="en-US"/>
        </w:rPr>
        <w:t>assets are valued at the prices of the current year,</w:t>
      </w:r>
      <w:r w:rsidR="00B91EAD" w:rsidRPr="003F52FE">
        <w:rPr>
          <w:noProof/>
          <w:color w:val="000000" w:themeColor="text1"/>
          <w:lang w:val="en-US"/>
        </w:rPr>
        <w:t xml:space="preserve"> and at constant prices, the assets are value at prices of a seleted year.</w:t>
      </w:r>
      <w:r w:rsidR="00C526DB" w:rsidRPr="003F52FE">
        <w:rPr>
          <w:noProof/>
          <w:color w:val="000000" w:themeColor="text1"/>
          <w:lang w:val="en-US"/>
        </w:rPr>
        <w:t xml:space="preserve"> </w:t>
      </w:r>
      <w:r w:rsidR="00B91EAD" w:rsidRPr="003F52FE">
        <w:rPr>
          <w:noProof/>
          <w:color w:val="000000" w:themeColor="text1"/>
          <w:lang w:val="en-US"/>
        </w:rPr>
        <w:t>At constant prices</w:t>
      </w:r>
      <w:r w:rsidRPr="003F52FE">
        <w:rPr>
          <w:noProof/>
          <w:color w:val="000000" w:themeColor="text1"/>
          <w:lang w:val="en-US"/>
        </w:rPr>
        <w:t>,</w:t>
      </w:r>
      <w:r w:rsidR="00B91EAD" w:rsidRPr="003F52FE">
        <w:rPr>
          <w:noProof/>
          <w:color w:val="000000" w:themeColor="text1"/>
          <w:lang w:val="en-US"/>
        </w:rPr>
        <w:t xml:space="preserve"> the </w:t>
      </w:r>
      <w:r w:rsidRPr="003F52FE">
        <w:rPr>
          <w:noProof/>
          <w:color w:val="000000" w:themeColor="text1"/>
          <w:lang w:val="en-US"/>
        </w:rPr>
        <w:t>nonresidential capital stock is computed</w:t>
      </w:r>
      <w:r w:rsidR="003F52FE" w:rsidRPr="003F52FE">
        <w:rPr>
          <w:noProof/>
          <w:color w:val="000000" w:themeColor="text1"/>
          <w:lang w:val="en-US"/>
        </w:rPr>
        <w:t xml:space="preserve"> </w:t>
      </w:r>
      <w:r w:rsidR="00E1715A" w:rsidRPr="003F52FE">
        <w:rPr>
          <w:noProof/>
          <w:color w:val="000000" w:themeColor="text1"/>
          <w:lang w:val="en-US"/>
        </w:rPr>
        <w:t>by</w:t>
      </w:r>
    </w:p>
    <w:p w:rsidR="00581366" w:rsidRPr="003F52FE" w:rsidRDefault="00581366" w:rsidP="0083766B">
      <w:pPr>
        <w:tabs>
          <w:tab w:val="center" w:pos="4800"/>
          <w:tab w:val="right" w:pos="9500"/>
        </w:tabs>
        <w:jc w:val="both"/>
        <w:rPr>
          <w:noProof/>
          <w:color w:val="000000" w:themeColor="text1"/>
          <w:lang w:val="en-US"/>
        </w:rPr>
      </w:pPr>
    </w:p>
    <w:p w:rsidR="00581366" w:rsidRPr="003F52FE" w:rsidRDefault="00B91EAD" w:rsidP="0083766B">
      <w:pPr>
        <w:tabs>
          <w:tab w:val="center" w:pos="4800"/>
          <w:tab w:val="right" w:pos="9500"/>
        </w:tabs>
        <w:rPr>
          <w:noProof/>
          <w:color w:val="000000" w:themeColor="text1"/>
          <w:lang w:val="en-US"/>
        </w:rPr>
      </w:pPr>
      <w:r w:rsidRPr="003F52FE">
        <w:rPr>
          <w:noProof/>
          <w:color w:val="000000" w:themeColor="text1"/>
          <w:position w:val="-28"/>
        </w:rPr>
        <w:object w:dxaOrig="1440" w:dyaOrig="680">
          <v:shape id="_x0000_i1031" type="#_x0000_t75" style="width:1in;height:34.5pt" o:ole="">
            <v:imagedata r:id="rId19" o:title=""/>
          </v:shape>
          <o:OLEObject Type="Embed" ProgID="Equation.3" ShapeID="_x0000_i1031" DrawAspect="Content" ObjectID="_1498406659" r:id="rId21"/>
        </w:object>
      </w:r>
      <w:r w:rsidR="00E1715A" w:rsidRPr="003F52FE">
        <w:rPr>
          <w:noProof/>
          <w:color w:val="000000" w:themeColor="text1"/>
          <w:lang w:val="en-US"/>
        </w:rPr>
        <w:t>.</w:t>
      </w:r>
      <w:r w:rsidR="00C526DB" w:rsidRPr="003F52FE">
        <w:rPr>
          <w:noProof/>
          <w:color w:val="000000" w:themeColor="text1"/>
          <w:lang w:val="en-US"/>
        </w:rPr>
        <w:t xml:space="preserve">     </w:t>
      </w:r>
      <w:r w:rsidR="00071F74">
        <w:rPr>
          <w:noProof/>
          <w:color w:val="000000" w:themeColor="text1"/>
          <w:lang w:val="en-US"/>
        </w:rPr>
        <w:t xml:space="preserve">    </w:t>
      </w:r>
      <w:r w:rsidR="00C526DB" w:rsidRPr="003F52FE">
        <w:rPr>
          <w:noProof/>
          <w:color w:val="000000" w:themeColor="text1"/>
          <w:lang w:val="en-US"/>
        </w:rPr>
        <w:t xml:space="preserve">  </w:t>
      </w:r>
      <w:r w:rsidR="00581366" w:rsidRPr="003F52FE">
        <w:rPr>
          <w:noProof/>
          <w:color w:val="000000" w:themeColor="text1"/>
          <w:lang w:val="en-US"/>
        </w:rPr>
        <w:t>(7)</w:t>
      </w:r>
    </w:p>
    <w:p w:rsidR="00581366" w:rsidRPr="003F52FE" w:rsidRDefault="00581366" w:rsidP="0083766B">
      <w:pPr>
        <w:tabs>
          <w:tab w:val="center" w:pos="4800"/>
          <w:tab w:val="right" w:pos="9500"/>
        </w:tabs>
        <w:rPr>
          <w:noProof/>
          <w:color w:val="000000" w:themeColor="text1"/>
          <w:lang w:val="en-US"/>
        </w:rPr>
      </w:pPr>
    </w:p>
    <w:p w:rsidR="00B91EAD" w:rsidRPr="003F52FE" w:rsidRDefault="00B91EAD" w:rsidP="0083766B">
      <w:pPr>
        <w:tabs>
          <w:tab w:val="center" w:pos="4800"/>
          <w:tab w:val="right" w:pos="9500"/>
        </w:tabs>
        <w:rPr>
          <w:noProof/>
          <w:color w:val="000000" w:themeColor="text1"/>
          <w:lang w:val="en-US"/>
        </w:rPr>
      </w:pPr>
      <w:r w:rsidRPr="003F52FE">
        <w:rPr>
          <w:noProof/>
          <w:color w:val="000000" w:themeColor="text1"/>
          <w:lang w:val="en-US"/>
        </w:rPr>
        <w:t>At current prices</w:t>
      </w:r>
      <w:r w:rsidR="00E1715A" w:rsidRPr="003F52FE">
        <w:rPr>
          <w:noProof/>
          <w:color w:val="000000" w:themeColor="text1"/>
          <w:lang w:val="en-US"/>
        </w:rPr>
        <w:t>, it is measured by</w:t>
      </w:r>
    </w:p>
    <w:p w:rsidR="00E1715A" w:rsidRPr="003F52FE" w:rsidRDefault="00E1715A" w:rsidP="0083766B">
      <w:pPr>
        <w:tabs>
          <w:tab w:val="center" w:pos="4800"/>
          <w:tab w:val="right" w:pos="9500"/>
        </w:tabs>
        <w:rPr>
          <w:noProof/>
          <w:color w:val="000000" w:themeColor="text1"/>
          <w:lang w:val="en-US"/>
        </w:rPr>
      </w:pPr>
    </w:p>
    <w:p w:rsidR="00581366" w:rsidRPr="003F52FE" w:rsidRDefault="00030797" w:rsidP="0083766B">
      <w:pPr>
        <w:tabs>
          <w:tab w:val="center" w:pos="4800"/>
          <w:tab w:val="right" w:pos="9500"/>
        </w:tabs>
        <w:rPr>
          <w:noProof/>
          <w:color w:val="000000" w:themeColor="text1"/>
          <w:lang w:val="en-US"/>
        </w:rPr>
      </w:pPr>
      <w:r w:rsidRPr="003F52FE">
        <w:rPr>
          <w:noProof/>
          <w:color w:val="000000" w:themeColor="text1"/>
          <w:position w:val="-28"/>
        </w:rPr>
        <w:object w:dxaOrig="1680" w:dyaOrig="680">
          <v:shape id="_x0000_i1032" type="#_x0000_t75" style="width:84pt;height:34.5pt" o:ole="">
            <v:imagedata r:id="rId22" o:title=""/>
          </v:shape>
          <o:OLEObject Type="Embed" ProgID="Equation.3" ShapeID="_x0000_i1032" DrawAspect="Content" ObjectID="_1498406660" r:id="rId23"/>
        </w:object>
      </w:r>
      <w:r w:rsidR="00E1715A" w:rsidRPr="003F52FE">
        <w:rPr>
          <w:noProof/>
          <w:color w:val="000000" w:themeColor="text1"/>
          <w:lang w:val="en-US"/>
        </w:rPr>
        <w:t xml:space="preserve">.    </w:t>
      </w:r>
      <w:r w:rsidR="00071F74">
        <w:rPr>
          <w:noProof/>
          <w:color w:val="000000" w:themeColor="text1"/>
          <w:lang w:val="en-US"/>
        </w:rPr>
        <w:t xml:space="preserve">   </w:t>
      </w:r>
      <w:r w:rsidR="00E1715A" w:rsidRPr="003F52FE">
        <w:rPr>
          <w:noProof/>
          <w:color w:val="000000" w:themeColor="text1"/>
          <w:lang w:val="en-US"/>
        </w:rPr>
        <w:t xml:space="preserve"> </w:t>
      </w:r>
      <w:r w:rsidR="00581366" w:rsidRPr="003F52FE">
        <w:rPr>
          <w:noProof/>
          <w:color w:val="000000" w:themeColor="text1"/>
          <w:lang w:val="en-US"/>
        </w:rPr>
        <w:t>(8)</w:t>
      </w:r>
    </w:p>
    <w:p w:rsidR="00E1715A" w:rsidRPr="003F52FE" w:rsidRDefault="00E1715A" w:rsidP="0083766B">
      <w:pPr>
        <w:tabs>
          <w:tab w:val="center" w:pos="4800"/>
          <w:tab w:val="right" w:pos="9500"/>
        </w:tabs>
        <w:rPr>
          <w:noProof/>
          <w:color w:val="000000" w:themeColor="text1"/>
          <w:lang w:val="en-US"/>
        </w:rPr>
      </w:pPr>
    </w:p>
    <w:p w:rsidR="00B91EAD" w:rsidRPr="003F52FE" w:rsidRDefault="00E1715A" w:rsidP="0083766B">
      <w:pPr>
        <w:tabs>
          <w:tab w:val="center" w:pos="4800"/>
          <w:tab w:val="right" w:pos="9500"/>
        </w:tabs>
        <w:rPr>
          <w:noProof/>
          <w:color w:val="000000" w:themeColor="text1"/>
          <w:lang w:val="en-US"/>
        </w:rPr>
      </w:pPr>
      <w:r w:rsidRPr="003F52FE">
        <w:rPr>
          <w:noProof/>
          <w:color w:val="000000" w:themeColor="text1"/>
          <w:lang w:val="en-US"/>
        </w:rPr>
        <w:t>A</w:t>
      </w:r>
      <w:r w:rsidR="00B91EAD" w:rsidRPr="003F52FE">
        <w:rPr>
          <w:noProof/>
          <w:color w:val="000000" w:themeColor="text1"/>
          <w:lang w:val="en-US"/>
        </w:rPr>
        <w:t xml:space="preserve">t historical cost, </w:t>
      </w:r>
      <w:r w:rsidRPr="003F52FE">
        <w:rPr>
          <w:noProof/>
          <w:color w:val="000000" w:themeColor="text1"/>
          <w:lang w:val="en-US"/>
        </w:rPr>
        <w:t xml:space="preserve">it </w:t>
      </w:r>
      <w:r w:rsidR="00B91EAD" w:rsidRPr="003F52FE">
        <w:rPr>
          <w:noProof/>
          <w:color w:val="000000" w:themeColor="text1"/>
          <w:lang w:val="en-US"/>
        </w:rPr>
        <w:t xml:space="preserve">is calculated by: </w:t>
      </w:r>
    </w:p>
    <w:p w:rsidR="00581366" w:rsidRPr="003F52FE" w:rsidRDefault="00581366" w:rsidP="0083766B">
      <w:pPr>
        <w:tabs>
          <w:tab w:val="center" w:pos="4800"/>
          <w:tab w:val="right" w:pos="9500"/>
        </w:tabs>
        <w:rPr>
          <w:noProof/>
          <w:color w:val="000000" w:themeColor="text1"/>
          <w:lang w:val="en-US"/>
        </w:rPr>
      </w:pPr>
    </w:p>
    <w:p w:rsidR="00581366" w:rsidRPr="003F52FE" w:rsidRDefault="00A526EA" w:rsidP="0083766B">
      <w:pPr>
        <w:tabs>
          <w:tab w:val="center" w:pos="4800"/>
          <w:tab w:val="right" w:pos="9500"/>
        </w:tabs>
        <w:rPr>
          <w:noProof/>
          <w:color w:val="000000" w:themeColor="text1"/>
          <w:lang w:val="en-US"/>
        </w:rPr>
      </w:pPr>
      <w:r w:rsidRPr="003F52FE">
        <w:rPr>
          <w:noProof/>
          <w:color w:val="000000" w:themeColor="text1"/>
          <w:position w:val="-30"/>
        </w:rPr>
        <w:object w:dxaOrig="4080" w:dyaOrig="700">
          <v:shape id="_x0000_i1033" type="#_x0000_t75" style="width:204pt;height:35.5pt" o:ole="">
            <v:imagedata r:id="rId24" o:title=""/>
          </v:shape>
          <o:OLEObject Type="Embed" ProgID="Equation.3" ShapeID="_x0000_i1033" DrawAspect="Content" ObjectID="_1498406661" r:id="rId25"/>
        </w:object>
      </w:r>
      <w:r w:rsidR="00E1715A" w:rsidRPr="003F52FE">
        <w:rPr>
          <w:noProof/>
          <w:color w:val="000000" w:themeColor="text1"/>
          <w:lang w:val="en-US"/>
        </w:rPr>
        <w:t xml:space="preserve">.   </w:t>
      </w:r>
      <w:r w:rsidR="00071F74">
        <w:rPr>
          <w:noProof/>
          <w:color w:val="000000" w:themeColor="text1"/>
          <w:lang w:val="en-US"/>
        </w:rPr>
        <w:t xml:space="preserve">    </w:t>
      </w:r>
      <w:r w:rsidR="00E1715A" w:rsidRPr="003F52FE">
        <w:rPr>
          <w:noProof/>
          <w:color w:val="000000" w:themeColor="text1"/>
          <w:lang w:val="en-US"/>
        </w:rPr>
        <w:t xml:space="preserve">  </w:t>
      </w:r>
      <w:r w:rsidR="00581366" w:rsidRPr="003F52FE">
        <w:rPr>
          <w:noProof/>
          <w:color w:val="000000" w:themeColor="text1"/>
          <w:lang w:val="en-US"/>
        </w:rPr>
        <w:t>(9)</w:t>
      </w:r>
    </w:p>
    <w:p w:rsidR="00581366" w:rsidRPr="003F52FE" w:rsidRDefault="00581366" w:rsidP="0083766B">
      <w:pPr>
        <w:tabs>
          <w:tab w:val="center" w:pos="4800"/>
          <w:tab w:val="right" w:pos="9500"/>
        </w:tabs>
        <w:jc w:val="center"/>
        <w:rPr>
          <w:noProof/>
          <w:color w:val="000000" w:themeColor="text1"/>
          <w:lang w:val="en-US"/>
        </w:rPr>
      </w:pPr>
    </w:p>
    <w:p w:rsidR="00030797" w:rsidRPr="003F52FE" w:rsidRDefault="00030797" w:rsidP="0083766B">
      <w:pPr>
        <w:tabs>
          <w:tab w:val="center" w:pos="4800"/>
          <w:tab w:val="right" w:pos="9500"/>
        </w:tabs>
        <w:rPr>
          <w:noProof/>
          <w:color w:val="000000" w:themeColor="text1"/>
          <w:lang w:val="en-US"/>
        </w:rPr>
      </w:pPr>
      <w:r w:rsidRPr="003F52FE">
        <w:rPr>
          <w:noProof/>
          <w:color w:val="000000" w:themeColor="text1"/>
          <w:lang w:val="en-US"/>
        </w:rPr>
        <w:t xml:space="preserve">where </w:t>
      </w:r>
      <w:r w:rsidRPr="003F52FE">
        <w:rPr>
          <w:i/>
          <w:noProof/>
          <w:color w:val="000000" w:themeColor="text1"/>
          <w:lang w:val="en-US"/>
        </w:rPr>
        <w:t>η</w:t>
      </w:r>
      <w:r w:rsidRPr="003F52FE">
        <w:rPr>
          <w:noProof/>
          <w:color w:val="000000" w:themeColor="text1"/>
          <w:lang w:val="en-US"/>
        </w:rPr>
        <w:t xml:space="preserve"> is the inflation rate</w:t>
      </w:r>
      <w:r w:rsidR="002F7BAD" w:rsidRPr="003F52FE">
        <w:rPr>
          <w:noProof/>
          <w:color w:val="000000" w:themeColor="text1"/>
          <w:lang w:val="en-US"/>
        </w:rPr>
        <w:t xml:space="preserve"> in the capital goods</w:t>
      </w:r>
      <w:r w:rsidRPr="003F52FE">
        <w:rPr>
          <w:noProof/>
          <w:color w:val="000000" w:themeColor="text1"/>
          <w:lang w:val="en-US"/>
        </w:rPr>
        <w:t xml:space="preserve">. </w:t>
      </w:r>
    </w:p>
    <w:p w:rsidR="00030797" w:rsidRPr="003F52FE" w:rsidRDefault="008C46B9" w:rsidP="0083766B">
      <w:pPr>
        <w:tabs>
          <w:tab w:val="center" w:pos="4800"/>
          <w:tab w:val="right" w:pos="9500"/>
        </w:tabs>
        <w:ind w:firstLine="720"/>
        <w:rPr>
          <w:noProof/>
          <w:color w:val="000000" w:themeColor="text1"/>
          <w:lang w:val="en-US"/>
        </w:rPr>
      </w:pPr>
      <w:r w:rsidRPr="003F52FE">
        <w:rPr>
          <w:noProof/>
          <w:color w:val="000000" w:themeColor="text1"/>
          <w:lang w:val="en-US"/>
        </w:rPr>
        <w:tab/>
      </w:r>
      <w:r w:rsidR="00030797" w:rsidRPr="003F52FE">
        <w:rPr>
          <w:noProof/>
          <w:color w:val="000000" w:themeColor="text1"/>
          <w:lang w:val="en-US"/>
        </w:rPr>
        <w:t xml:space="preserve">The </w:t>
      </w:r>
      <w:r w:rsidR="00D122C9" w:rsidRPr="003F52FE">
        <w:rPr>
          <w:noProof/>
          <w:color w:val="000000" w:themeColor="text1"/>
          <w:lang w:val="en-US"/>
        </w:rPr>
        <w:t xml:space="preserve">fundamental difference in the computation of the profit rate </w:t>
      </w:r>
      <w:r w:rsidR="00030797" w:rsidRPr="003F52FE">
        <w:rPr>
          <w:noProof/>
          <w:color w:val="000000" w:themeColor="text1"/>
          <w:lang w:val="en-US"/>
        </w:rPr>
        <w:t xml:space="preserve">is </w:t>
      </w:r>
      <w:r w:rsidR="00F00330" w:rsidRPr="003F52FE">
        <w:rPr>
          <w:noProof/>
          <w:color w:val="000000" w:themeColor="text1"/>
          <w:lang w:val="en-US"/>
        </w:rPr>
        <w:t xml:space="preserve">the </w:t>
      </w:r>
      <w:r w:rsidR="00F644FA" w:rsidRPr="003F52FE">
        <w:rPr>
          <w:noProof/>
          <w:color w:val="000000" w:themeColor="text1"/>
          <w:lang w:val="en-US"/>
        </w:rPr>
        <w:t xml:space="preserve">measurement of </w:t>
      </w:r>
      <w:r w:rsidR="00030797" w:rsidRPr="003F52FE">
        <w:rPr>
          <w:noProof/>
          <w:color w:val="000000" w:themeColor="text1"/>
          <w:lang w:val="en-US"/>
        </w:rPr>
        <w:t xml:space="preserve">the </w:t>
      </w:r>
      <w:r w:rsidR="00D122C9" w:rsidRPr="003F52FE">
        <w:rPr>
          <w:noProof/>
          <w:color w:val="000000" w:themeColor="text1"/>
          <w:lang w:val="en-US"/>
        </w:rPr>
        <w:t xml:space="preserve">nonresidential </w:t>
      </w:r>
      <w:r w:rsidR="00030797" w:rsidRPr="003F52FE">
        <w:rPr>
          <w:noProof/>
          <w:color w:val="000000" w:themeColor="text1"/>
          <w:lang w:val="en-US"/>
        </w:rPr>
        <w:t xml:space="preserve">capital stock </w:t>
      </w:r>
      <w:r w:rsidR="00C526DB" w:rsidRPr="003F52FE">
        <w:rPr>
          <w:noProof/>
          <w:color w:val="000000" w:themeColor="text1"/>
          <w:lang w:val="en-US"/>
        </w:rPr>
        <w:t>at</w:t>
      </w:r>
      <w:r w:rsidR="00030797" w:rsidRPr="003F52FE">
        <w:rPr>
          <w:noProof/>
          <w:color w:val="000000" w:themeColor="text1"/>
          <w:lang w:val="en-US"/>
        </w:rPr>
        <w:t xml:space="preserve"> historical or at current prices.</w:t>
      </w:r>
      <w:r w:rsidR="003F52FE" w:rsidRPr="003F52FE">
        <w:rPr>
          <w:noProof/>
          <w:color w:val="000000" w:themeColor="text1"/>
          <w:lang w:val="en-US"/>
        </w:rPr>
        <w:t xml:space="preserve"> </w:t>
      </w:r>
      <w:r w:rsidR="00030797" w:rsidRPr="003F52FE">
        <w:rPr>
          <w:noProof/>
          <w:color w:val="000000" w:themeColor="text1"/>
          <w:lang w:val="en-US"/>
        </w:rPr>
        <w:t xml:space="preserve">Therefore, it is important to consider that: </w:t>
      </w:r>
    </w:p>
    <w:p w:rsidR="00581366" w:rsidRPr="003F52FE" w:rsidRDefault="00581366" w:rsidP="0083766B">
      <w:pPr>
        <w:tabs>
          <w:tab w:val="center" w:pos="4800"/>
          <w:tab w:val="right" w:pos="9500"/>
        </w:tabs>
        <w:ind w:firstLine="720"/>
        <w:jc w:val="both"/>
        <w:rPr>
          <w:noProof/>
          <w:color w:val="000000" w:themeColor="text1"/>
          <w:lang w:val="en-US"/>
        </w:rPr>
      </w:pPr>
    </w:p>
    <w:p w:rsidR="00030797" w:rsidRPr="003F52FE" w:rsidRDefault="00134EC3" w:rsidP="0083766B">
      <w:pPr>
        <w:tabs>
          <w:tab w:val="center" w:pos="4800"/>
          <w:tab w:val="right" w:pos="9500"/>
        </w:tabs>
        <w:rPr>
          <w:noProof/>
          <w:color w:val="000000" w:themeColor="text1"/>
          <w:lang w:val="en-US"/>
        </w:rPr>
      </w:pPr>
      <w:r w:rsidRPr="003F52FE">
        <w:rPr>
          <w:noProof/>
          <w:color w:val="000000" w:themeColor="text1"/>
          <w:position w:val="-30"/>
        </w:rPr>
        <w:object w:dxaOrig="2400" w:dyaOrig="700">
          <v:shape id="_x0000_i1034" type="#_x0000_t75" style="width:121pt;height:35.5pt" o:ole="">
            <v:imagedata r:id="rId26" o:title=""/>
          </v:shape>
          <o:OLEObject Type="Embed" ProgID="Equation.3" ShapeID="_x0000_i1034" DrawAspect="Content" ObjectID="_1498406662" r:id="rId27"/>
        </w:object>
      </w:r>
      <w:r w:rsidR="00353CE0" w:rsidRPr="003F52FE">
        <w:rPr>
          <w:noProof/>
          <w:color w:val="000000" w:themeColor="text1"/>
          <w:lang w:val="en-US"/>
        </w:rPr>
        <w:t>.</w:t>
      </w:r>
      <w:r w:rsidR="00071F74">
        <w:rPr>
          <w:noProof/>
          <w:color w:val="000000" w:themeColor="text1"/>
          <w:lang w:val="en-US"/>
        </w:rPr>
        <w:t xml:space="preserve">           </w:t>
      </w:r>
      <w:r w:rsidR="00581366" w:rsidRPr="003F52FE">
        <w:rPr>
          <w:noProof/>
          <w:color w:val="000000" w:themeColor="text1"/>
          <w:lang w:val="en-US"/>
        </w:rPr>
        <w:t>(10)</w:t>
      </w:r>
    </w:p>
    <w:p w:rsidR="00581366" w:rsidRPr="003F52FE" w:rsidRDefault="00581366" w:rsidP="0083766B">
      <w:pPr>
        <w:tabs>
          <w:tab w:val="center" w:pos="4800"/>
          <w:tab w:val="right" w:pos="9500"/>
        </w:tabs>
        <w:jc w:val="center"/>
        <w:rPr>
          <w:noProof/>
          <w:color w:val="000000" w:themeColor="text1"/>
          <w:lang w:val="en-US"/>
        </w:rPr>
      </w:pPr>
    </w:p>
    <w:p w:rsidR="00C13F88" w:rsidRPr="003F52FE" w:rsidRDefault="00DF0ACF" w:rsidP="0083766B">
      <w:pPr>
        <w:tabs>
          <w:tab w:val="center" w:pos="4800"/>
          <w:tab w:val="right" w:pos="9500"/>
        </w:tabs>
        <w:rPr>
          <w:color w:val="000000" w:themeColor="text1"/>
          <w:lang w:val="en-US"/>
        </w:rPr>
      </w:pPr>
      <w:r w:rsidRPr="003F52FE">
        <w:rPr>
          <w:noProof/>
          <w:color w:val="000000" w:themeColor="text1"/>
          <w:lang w:val="en-US"/>
        </w:rPr>
        <w:tab/>
      </w:r>
      <w:r w:rsidR="00030797" w:rsidRPr="003F52FE">
        <w:rPr>
          <w:noProof/>
          <w:color w:val="000000" w:themeColor="text1"/>
          <w:lang w:val="en-US"/>
        </w:rPr>
        <w:t>There are three case</w:t>
      </w:r>
      <w:r w:rsidRPr="003F52FE">
        <w:rPr>
          <w:noProof/>
          <w:color w:val="000000" w:themeColor="text1"/>
          <w:lang w:val="en-US"/>
        </w:rPr>
        <w:t>s</w:t>
      </w:r>
      <w:r w:rsidR="00030797" w:rsidRPr="003F52FE">
        <w:rPr>
          <w:noProof/>
          <w:color w:val="000000" w:themeColor="text1"/>
          <w:lang w:val="en-US"/>
        </w:rPr>
        <w:t xml:space="preserve"> to consider</w:t>
      </w:r>
      <w:r w:rsidR="00B861E0">
        <w:rPr>
          <w:noProof/>
          <w:color w:val="000000" w:themeColor="text1"/>
          <w:lang w:val="en-US"/>
        </w:rPr>
        <w:t xml:space="preserve"> </w:t>
      </w:r>
      <w:r w:rsidR="00030797" w:rsidRPr="003F52FE">
        <w:rPr>
          <w:noProof/>
          <w:color w:val="000000" w:themeColor="text1"/>
          <w:lang w:val="en-US"/>
        </w:rPr>
        <w:t>. First</w:t>
      </w:r>
      <w:r w:rsidRPr="003F52FE">
        <w:rPr>
          <w:noProof/>
          <w:color w:val="000000" w:themeColor="text1"/>
          <w:lang w:val="en-US"/>
        </w:rPr>
        <w:t>, if the</w:t>
      </w:r>
      <w:r w:rsidR="00030797" w:rsidRPr="003F52FE">
        <w:rPr>
          <w:noProof/>
          <w:color w:val="000000" w:themeColor="text1"/>
          <w:lang w:val="en-US"/>
        </w:rPr>
        <w:t xml:space="preserve"> inflation rate is positive</w:t>
      </w:r>
      <w:r w:rsidRPr="003F52FE">
        <w:rPr>
          <w:noProof/>
          <w:color w:val="000000" w:themeColor="text1"/>
          <w:lang w:val="en-US"/>
        </w:rPr>
        <w:t>,</w:t>
      </w:r>
      <w:r w:rsidR="00030797" w:rsidRPr="003F52FE">
        <w:rPr>
          <w:noProof/>
          <w:color w:val="000000" w:themeColor="text1"/>
          <w:lang w:val="en-US"/>
        </w:rPr>
        <w:t xml:space="preserve"> the</w:t>
      </w:r>
      <w:r w:rsidRPr="003F52FE">
        <w:rPr>
          <w:noProof/>
          <w:color w:val="000000" w:themeColor="text1"/>
          <w:lang w:val="en-US"/>
        </w:rPr>
        <w:t>n the</w:t>
      </w:r>
      <w:r w:rsidR="00C526DB" w:rsidRPr="003F52FE">
        <w:rPr>
          <w:noProof/>
          <w:color w:val="000000" w:themeColor="text1"/>
          <w:lang w:val="en-US"/>
        </w:rPr>
        <w:t xml:space="preserve"> </w:t>
      </w:r>
      <w:r w:rsidR="00D122C9" w:rsidRPr="003F52FE">
        <w:rPr>
          <w:noProof/>
          <w:color w:val="000000" w:themeColor="text1"/>
          <w:lang w:val="en-US"/>
        </w:rPr>
        <w:t xml:space="preserve">nonresidential </w:t>
      </w:r>
      <w:r w:rsidR="00030797" w:rsidRPr="003F52FE">
        <w:rPr>
          <w:noProof/>
          <w:color w:val="000000" w:themeColor="text1"/>
          <w:lang w:val="en-US"/>
        </w:rPr>
        <w:t>capital stock at current prices is gre</w:t>
      </w:r>
      <w:r w:rsidRPr="003F52FE">
        <w:rPr>
          <w:noProof/>
          <w:color w:val="000000" w:themeColor="text1"/>
          <w:lang w:val="en-US"/>
        </w:rPr>
        <w:t>ater than its value at historical</w:t>
      </w:r>
      <w:r w:rsidR="006E06D8" w:rsidRPr="003F52FE">
        <w:rPr>
          <w:noProof/>
          <w:color w:val="000000" w:themeColor="text1"/>
          <w:lang w:val="en-US"/>
        </w:rPr>
        <w:t xml:space="preserve"> prices and </w:t>
      </w:r>
      <w:r w:rsidR="00A30987" w:rsidRPr="003F52FE">
        <w:rPr>
          <w:color w:val="000000" w:themeColor="text1"/>
          <w:position w:val="-12"/>
          <w:lang w:val="en-US"/>
        </w:rPr>
        <w:object w:dxaOrig="800" w:dyaOrig="380">
          <v:shape id="_x0000_i1035" type="#_x0000_t75" style="width:40.5pt;height:19pt" o:ole="" fillcolor="window">
            <v:imagedata r:id="rId28" o:title=""/>
          </v:shape>
          <o:OLEObject Type="Embed" ProgID="Equation.3" ShapeID="_x0000_i1035" DrawAspect="Content" ObjectID="_1498406663" r:id="rId29"/>
        </w:object>
      </w:r>
      <w:r w:rsidR="006E06D8" w:rsidRPr="003F52FE">
        <w:rPr>
          <w:color w:val="000000" w:themeColor="text1"/>
          <w:lang w:val="en-US"/>
        </w:rPr>
        <w:t>.</w:t>
      </w:r>
      <w:r w:rsidR="00C526DB" w:rsidRPr="003F52FE">
        <w:rPr>
          <w:color w:val="000000" w:themeColor="text1"/>
          <w:lang w:val="en-US"/>
        </w:rPr>
        <w:t xml:space="preserve"> </w:t>
      </w:r>
      <w:r w:rsidR="00030797" w:rsidRPr="003F52FE">
        <w:rPr>
          <w:noProof/>
          <w:color w:val="000000" w:themeColor="text1"/>
          <w:lang w:val="en-US"/>
        </w:rPr>
        <w:t xml:space="preserve">Second, </w:t>
      </w:r>
      <w:r w:rsidRPr="003F52FE">
        <w:rPr>
          <w:noProof/>
          <w:color w:val="000000" w:themeColor="text1"/>
          <w:lang w:val="en-US"/>
        </w:rPr>
        <w:t xml:space="preserve">if </w:t>
      </w:r>
      <w:r w:rsidR="00030797" w:rsidRPr="003F52FE">
        <w:rPr>
          <w:noProof/>
          <w:color w:val="000000" w:themeColor="text1"/>
          <w:lang w:val="en-US"/>
        </w:rPr>
        <w:t xml:space="preserve">the </w:t>
      </w:r>
      <w:r w:rsidRPr="003F52FE">
        <w:rPr>
          <w:noProof/>
          <w:color w:val="000000" w:themeColor="text1"/>
          <w:lang w:val="en-US"/>
        </w:rPr>
        <w:t>infation rate is negative</w:t>
      </w:r>
      <w:r w:rsidR="006E06D8" w:rsidRPr="003F52FE">
        <w:rPr>
          <w:noProof/>
          <w:color w:val="000000" w:themeColor="text1"/>
          <w:lang w:val="en-US"/>
        </w:rPr>
        <w:t>,</w:t>
      </w:r>
      <w:r w:rsidR="00030797" w:rsidRPr="003F52FE">
        <w:rPr>
          <w:noProof/>
          <w:color w:val="000000" w:themeColor="text1"/>
          <w:lang w:val="en-US"/>
        </w:rPr>
        <w:t xml:space="preserve"> the </w:t>
      </w:r>
      <w:r w:rsidR="00D122C9" w:rsidRPr="003F52FE">
        <w:rPr>
          <w:noProof/>
          <w:color w:val="000000" w:themeColor="text1"/>
          <w:lang w:val="en-US"/>
        </w:rPr>
        <w:t xml:space="preserve">nonresidential </w:t>
      </w:r>
      <w:r w:rsidR="00030797" w:rsidRPr="003F52FE">
        <w:rPr>
          <w:noProof/>
          <w:color w:val="000000" w:themeColor="text1"/>
          <w:lang w:val="en-US"/>
        </w:rPr>
        <w:t>capital stock value</w:t>
      </w:r>
      <w:r w:rsidR="00095966" w:rsidRPr="003F52FE">
        <w:rPr>
          <w:noProof/>
          <w:color w:val="000000" w:themeColor="text1"/>
          <w:lang w:val="en-US"/>
        </w:rPr>
        <w:t>d</w:t>
      </w:r>
      <w:r w:rsidR="00030797" w:rsidRPr="003F52FE">
        <w:rPr>
          <w:noProof/>
          <w:color w:val="000000" w:themeColor="text1"/>
          <w:lang w:val="en-US"/>
        </w:rPr>
        <w:t xml:space="preserve"> at </w:t>
      </w:r>
      <w:r w:rsidRPr="003F52FE">
        <w:rPr>
          <w:noProof/>
          <w:color w:val="000000" w:themeColor="text1"/>
          <w:lang w:val="en-US"/>
        </w:rPr>
        <w:t>current price is lower than its value at historical prices</w:t>
      </w:r>
      <w:r w:rsidR="006E06D8" w:rsidRPr="003F52FE">
        <w:rPr>
          <w:noProof/>
          <w:color w:val="000000" w:themeColor="text1"/>
          <w:lang w:val="en-US"/>
        </w:rPr>
        <w:t xml:space="preserve"> and </w:t>
      </w:r>
      <w:r w:rsidR="00A30987" w:rsidRPr="003F52FE">
        <w:rPr>
          <w:color w:val="000000" w:themeColor="text1"/>
          <w:position w:val="-12"/>
          <w:lang w:val="en-US"/>
        </w:rPr>
        <w:object w:dxaOrig="820" w:dyaOrig="380">
          <v:shape id="_x0000_i1036" type="#_x0000_t75" style="width:41.5pt;height:19pt" o:ole="" fillcolor="window">
            <v:imagedata r:id="rId30" o:title=""/>
          </v:shape>
          <o:OLEObject Type="Embed" ProgID="Equation.3" ShapeID="_x0000_i1036" DrawAspect="Content" ObjectID="_1498406664" r:id="rId31"/>
        </w:object>
      </w:r>
      <w:r w:rsidR="006E06D8" w:rsidRPr="003F52FE">
        <w:rPr>
          <w:color w:val="000000" w:themeColor="text1"/>
          <w:lang w:val="en-US"/>
        </w:rPr>
        <w:t xml:space="preserve">. Third, </w:t>
      </w:r>
      <w:r w:rsidR="006E06D8" w:rsidRPr="003F52FE">
        <w:rPr>
          <w:noProof/>
          <w:color w:val="000000" w:themeColor="text1"/>
          <w:lang w:val="en-US"/>
        </w:rPr>
        <w:t xml:space="preserve">if the prices </w:t>
      </w:r>
      <w:r w:rsidR="006D717A" w:rsidRPr="003F52FE">
        <w:rPr>
          <w:noProof/>
          <w:color w:val="000000" w:themeColor="text1"/>
          <w:lang w:val="en-US"/>
        </w:rPr>
        <w:t xml:space="preserve">of the capital goods </w:t>
      </w:r>
      <w:r w:rsidR="006E06D8" w:rsidRPr="003F52FE">
        <w:rPr>
          <w:noProof/>
          <w:color w:val="000000" w:themeColor="text1"/>
          <w:lang w:val="en-US"/>
        </w:rPr>
        <w:t xml:space="preserve">are constant, the inflation rate is equal to zero, </w:t>
      </w:r>
      <w:r w:rsidRPr="003F52FE">
        <w:rPr>
          <w:noProof/>
          <w:color w:val="000000" w:themeColor="text1"/>
          <w:lang w:val="en-US"/>
        </w:rPr>
        <w:t xml:space="preserve">both measures </w:t>
      </w:r>
      <w:r w:rsidR="006E06D8" w:rsidRPr="003F52FE">
        <w:rPr>
          <w:noProof/>
          <w:color w:val="000000" w:themeColor="text1"/>
          <w:lang w:val="en-US"/>
        </w:rPr>
        <w:t xml:space="preserve">of the </w:t>
      </w:r>
      <w:r w:rsidR="00D122C9" w:rsidRPr="003F52FE">
        <w:rPr>
          <w:noProof/>
          <w:color w:val="000000" w:themeColor="text1"/>
          <w:lang w:val="en-US"/>
        </w:rPr>
        <w:t xml:space="preserve">nonresidential </w:t>
      </w:r>
      <w:r w:rsidR="006E06D8" w:rsidRPr="003F52FE">
        <w:rPr>
          <w:noProof/>
          <w:color w:val="000000" w:themeColor="text1"/>
          <w:lang w:val="en-US"/>
        </w:rPr>
        <w:t xml:space="preserve">capital stock </w:t>
      </w:r>
      <w:r w:rsidRPr="003F52FE">
        <w:rPr>
          <w:noProof/>
          <w:color w:val="000000" w:themeColor="text1"/>
          <w:lang w:val="en-US"/>
        </w:rPr>
        <w:t>are equal</w:t>
      </w:r>
      <w:r w:rsidR="006E06D8" w:rsidRPr="003F52FE">
        <w:rPr>
          <w:noProof/>
          <w:color w:val="000000" w:themeColor="text1"/>
          <w:lang w:val="en-US"/>
        </w:rPr>
        <w:t xml:space="preserve"> and </w:t>
      </w:r>
      <w:r w:rsidR="006E06D8" w:rsidRPr="003F52FE">
        <w:rPr>
          <w:color w:val="000000" w:themeColor="text1"/>
          <w:position w:val="-12"/>
          <w:lang w:val="en-US"/>
        </w:rPr>
        <w:object w:dxaOrig="800" w:dyaOrig="380">
          <v:shape id="_x0000_i1037" type="#_x0000_t75" style="width:40pt;height:19pt" o:ole="" fillcolor="window">
            <v:imagedata r:id="rId32" o:title=""/>
          </v:shape>
          <o:OLEObject Type="Embed" ProgID="Equation.3" ShapeID="_x0000_i1037" DrawAspect="Content" ObjectID="_1498406665" r:id="rId33"/>
        </w:object>
      </w:r>
      <w:r w:rsidR="006E06D8" w:rsidRPr="003F52FE">
        <w:rPr>
          <w:color w:val="000000" w:themeColor="text1"/>
          <w:lang w:val="en-US"/>
        </w:rPr>
        <w:t xml:space="preserve">. </w:t>
      </w:r>
    </w:p>
    <w:p w:rsidR="00C13F88" w:rsidRPr="003F52FE" w:rsidRDefault="00C13F88" w:rsidP="0083766B">
      <w:pPr>
        <w:rPr>
          <w:noProof/>
          <w:color w:val="000000" w:themeColor="text1"/>
          <w:lang w:val="en-US"/>
        </w:rPr>
      </w:pPr>
      <w:r w:rsidRPr="003F52FE">
        <w:rPr>
          <w:noProof/>
          <w:color w:val="000000" w:themeColor="text1"/>
          <w:lang w:val="en-US"/>
        </w:rPr>
        <w:tab/>
      </w:r>
      <w:r w:rsidR="007B20CB">
        <w:rPr>
          <w:noProof/>
          <w:color w:val="000000" w:themeColor="text1"/>
          <w:lang w:val="en-US"/>
        </w:rPr>
        <w:t>In a</w:t>
      </w:r>
      <w:r w:rsidRPr="003F52FE">
        <w:rPr>
          <w:noProof/>
          <w:color w:val="000000" w:themeColor="text1"/>
          <w:lang w:val="en-US"/>
        </w:rPr>
        <w:t>n interesting paper</w:t>
      </w:r>
      <w:r w:rsidR="007B20CB">
        <w:rPr>
          <w:noProof/>
          <w:color w:val="000000" w:themeColor="text1"/>
          <w:lang w:val="en-US"/>
        </w:rPr>
        <w:t xml:space="preserve">, </w:t>
      </w:r>
      <w:r w:rsidRPr="003F52FE">
        <w:rPr>
          <w:noProof/>
          <w:color w:val="000000" w:themeColor="text1"/>
          <w:lang w:val="en-US"/>
        </w:rPr>
        <w:t xml:space="preserve">Basu (2013) </w:t>
      </w:r>
      <w:r w:rsidR="0060152C" w:rsidRPr="003F52FE">
        <w:rPr>
          <w:noProof/>
          <w:color w:val="000000" w:themeColor="text1"/>
          <w:lang w:val="en-US"/>
        </w:rPr>
        <w:t>discuss</w:t>
      </w:r>
      <w:r w:rsidR="00DD19B4" w:rsidRPr="003F52FE">
        <w:rPr>
          <w:noProof/>
          <w:color w:val="000000" w:themeColor="text1"/>
          <w:lang w:val="en-US"/>
        </w:rPr>
        <w:t>es</w:t>
      </w:r>
      <w:r w:rsidRPr="003F52FE">
        <w:rPr>
          <w:noProof/>
          <w:color w:val="000000" w:themeColor="text1"/>
          <w:lang w:val="en-US"/>
        </w:rPr>
        <w:t xml:space="preserve"> the percentage difference between current cost and historical cost measures of the profit rate over time. </w:t>
      </w:r>
      <w:r w:rsidR="00FB6BC5" w:rsidRPr="003F52FE">
        <w:rPr>
          <w:noProof/>
          <w:color w:val="000000" w:themeColor="text1"/>
          <w:lang w:val="en-US"/>
        </w:rPr>
        <w:t>Following Basu (2013, p. 297), t</w:t>
      </w:r>
      <w:r w:rsidR="00BF04C2" w:rsidRPr="003F52FE">
        <w:rPr>
          <w:noProof/>
          <w:color w:val="000000" w:themeColor="text1"/>
          <w:lang w:val="en-US"/>
        </w:rPr>
        <w:t>he analisys</w:t>
      </w:r>
      <w:r w:rsidR="00C526DB" w:rsidRPr="003F52FE">
        <w:rPr>
          <w:noProof/>
          <w:color w:val="000000" w:themeColor="text1"/>
          <w:lang w:val="en-US"/>
        </w:rPr>
        <w:t xml:space="preserve"> </w:t>
      </w:r>
      <w:r w:rsidR="00BF04C2" w:rsidRPr="003F52FE">
        <w:rPr>
          <w:noProof/>
          <w:color w:val="000000" w:themeColor="text1"/>
          <w:lang w:val="en-US"/>
        </w:rPr>
        <w:t>shows</w:t>
      </w:r>
      <w:r w:rsidRPr="003F52FE">
        <w:rPr>
          <w:noProof/>
          <w:color w:val="000000" w:themeColor="text1"/>
          <w:lang w:val="en-US"/>
        </w:rPr>
        <w:t xml:space="preserve"> under what condition the percentual change in the profit rate measured at current cost is equal to the profit rate at historical cost</w:t>
      </w:r>
      <w:r w:rsidR="007B20CB">
        <w:rPr>
          <w:noProof/>
          <w:color w:val="000000" w:themeColor="text1"/>
          <w:lang w:val="en-US"/>
        </w:rPr>
        <w:t>s</w:t>
      </w:r>
      <w:r w:rsidRPr="003F52FE">
        <w:rPr>
          <w:noProof/>
          <w:color w:val="000000" w:themeColor="text1"/>
          <w:lang w:val="en-US"/>
        </w:rPr>
        <w:t>.</w:t>
      </w:r>
      <w:r w:rsidR="00A50E77" w:rsidRPr="003F52FE">
        <w:rPr>
          <w:noProof/>
          <w:color w:val="000000" w:themeColor="text1"/>
          <w:lang w:val="en-US"/>
        </w:rPr>
        <w:t xml:space="preserve"> Both measures will be equal when:  </w:t>
      </w:r>
    </w:p>
    <w:p w:rsidR="00134EC3" w:rsidRPr="003F52FE" w:rsidRDefault="00134EC3" w:rsidP="0083766B">
      <w:pPr>
        <w:jc w:val="center"/>
        <w:rPr>
          <w:noProof/>
          <w:color w:val="000000" w:themeColor="text1"/>
          <w:lang w:val="en-US"/>
        </w:rPr>
      </w:pPr>
    </w:p>
    <w:p w:rsidR="00225E61" w:rsidRPr="003F52FE" w:rsidRDefault="00225E61" w:rsidP="0083766B">
      <w:pPr>
        <w:rPr>
          <w:noProof/>
          <w:color w:val="000000" w:themeColor="text1"/>
          <w:lang w:val="en-US"/>
        </w:rPr>
      </w:pPr>
      <w:r w:rsidRPr="003F52FE">
        <w:rPr>
          <w:color w:val="000000" w:themeColor="text1"/>
          <w:position w:val="-30"/>
          <w:lang w:val="en-US"/>
        </w:rPr>
        <w:object w:dxaOrig="1920" w:dyaOrig="720">
          <v:shape id="_x0000_i1038" type="#_x0000_t75" style="width:95pt;height:36.5pt" o:ole="" fillcolor="window">
            <v:imagedata r:id="rId34" o:title=""/>
          </v:shape>
          <o:OLEObject Type="Embed" ProgID="Equation.3" ShapeID="_x0000_i1038" DrawAspect="Content" ObjectID="_1498406666" r:id="rId35"/>
        </w:object>
      </w:r>
      <w:r w:rsidR="00A30987" w:rsidRPr="003F52FE">
        <w:rPr>
          <w:color w:val="000000" w:themeColor="text1"/>
          <w:lang w:val="en-US"/>
        </w:rPr>
        <w:t xml:space="preserve"> → </w:t>
      </w:r>
      <w:r w:rsidRPr="003F52FE">
        <w:rPr>
          <w:color w:val="000000" w:themeColor="text1"/>
          <w:position w:val="-30"/>
          <w:lang w:val="en-US"/>
        </w:rPr>
        <w:object w:dxaOrig="3379" w:dyaOrig="700">
          <v:shape id="_x0000_i1039" type="#_x0000_t75" style="width:168.5pt;height:34.5pt" o:ole="" fillcolor="window">
            <v:imagedata r:id="rId36" o:title=""/>
          </v:shape>
          <o:OLEObject Type="Embed" ProgID="Equation.3" ShapeID="_x0000_i1039" DrawAspect="Content" ObjectID="_1498406667" r:id="rId37"/>
        </w:object>
      </w:r>
      <w:r w:rsidR="00581366" w:rsidRPr="003F52FE">
        <w:rPr>
          <w:color w:val="000000" w:themeColor="text1"/>
          <w:lang w:val="en-US"/>
        </w:rPr>
        <w:t xml:space="preserve">.   </w:t>
      </w:r>
      <w:r w:rsidR="00071F74">
        <w:rPr>
          <w:color w:val="000000" w:themeColor="text1"/>
          <w:lang w:val="en-US"/>
        </w:rPr>
        <w:t xml:space="preserve">    </w:t>
      </w:r>
      <w:r w:rsidR="00581366" w:rsidRPr="003F52FE">
        <w:rPr>
          <w:color w:val="000000" w:themeColor="text1"/>
          <w:lang w:val="en-US"/>
        </w:rPr>
        <w:t xml:space="preserve">  (11)</w:t>
      </w:r>
    </w:p>
    <w:p w:rsidR="00134EC3" w:rsidRPr="003F52FE" w:rsidRDefault="00134EC3" w:rsidP="0083766B">
      <w:pPr>
        <w:rPr>
          <w:noProof/>
          <w:color w:val="000000" w:themeColor="text1"/>
          <w:lang w:val="en-US"/>
        </w:rPr>
      </w:pPr>
    </w:p>
    <w:p w:rsidR="00F644FA" w:rsidRPr="003F52FE" w:rsidRDefault="00225E61" w:rsidP="0083766B">
      <w:pPr>
        <w:ind w:firstLine="720"/>
        <w:rPr>
          <w:noProof/>
          <w:color w:val="000000" w:themeColor="text1"/>
          <w:lang w:val="en-US"/>
        </w:rPr>
      </w:pPr>
      <w:r w:rsidRPr="003F52FE">
        <w:rPr>
          <w:noProof/>
          <w:color w:val="000000" w:themeColor="text1"/>
          <w:lang w:val="en-US"/>
        </w:rPr>
        <w:t>The percent</w:t>
      </w:r>
      <w:r w:rsidR="00E85E8D">
        <w:rPr>
          <w:noProof/>
          <w:color w:val="000000" w:themeColor="text1"/>
          <w:lang w:val="en-US"/>
        </w:rPr>
        <w:t>age</w:t>
      </w:r>
      <w:r w:rsidRPr="003F52FE">
        <w:rPr>
          <w:noProof/>
          <w:color w:val="000000" w:themeColor="text1"/>
          <w:lang w:val="en-US"/>
        </w:rPr>
        <w:t xml:space="preserve"> </w:t>
      </w:r>
      <w:r w:rsidR="00967C63" w:rsidRPr="003F52FE">
        <w:rPr>
          <w:noProof/>
          <w:color w:val="000000" w:themeColor="text1"/>
          <w:lang w:val="en-US"/>
        </w:rPr>
        <w:t xml:space="preserve">change </w:t>
      </w:r>
      <w:r w:rsidRPr="003F52FE">
        <w:rPr>
          <w:noProof/>
          <w:color w:val="000000" w:themeColor="text1"/>
          <w:lang w:val="en-US"/>
        </w:rPr>
        <w:t xml:space="preserve">in the profit rate measured at historical </w:t>
      </w:r>
      <w:r w:rsidR="00C72701" w:rsidRPr="003F52FE">
        <w:rPr>
          <w:noProof/>
          <w:color w:val="000000" w:themeColor="text1"/>
          <w:lang w:val="en-US"/>
        </w:rPr>
        <w:t>cost is equal to the</w:t>
      </w:r>
      <w:r w:rsidR="002D5E30" w:rsidRPr="003F52FE">
        <w:rPr>
          <w:noProof/>
          <w:color w:val="000000" w:themeColor="text1"/>
          <w:lang w:val="en-US"/>
        </w:rPr>
        <w:t xml:space="preserve"> percenta</w:t>
      </w:r>
      <w:r w:rsidR="00E85E8D">
        <w:rPr>
          <w:noProof/>
          <w:color w:val="000000" w:themeColor="text1"/>
          <w:lang w:val="en-US"/>
        </w:rPr>
        <w:t>ge</w:t>
      </w:r>
      <w:r w:rsidR="002D5E30" w:rsidRPr="003F52FE">
        <w:rPr>
          <w:noProof/>
          <w:color w:val="000000" w:themeColor="text1"/>
          <w:lang w:val="en-US"/>
        </w:rPr>
        <w:t xml:space="preserve"> change in the</w:t>
      </w:r>
      <w:r w:rsidR="00C72701" w:rsidRPr="003F52FE">
        <w:rPr>
          <w:noProof/>
          <w:color w:val="000000" w:themeColor="text1"/>
          <w:lang w:val="en-US"/>
        </w:rPr>
        <w:t xml:space="preserve"> profit rate at </w:t>
      </w:r>
      <w:r w:rsidRPr="003F52FE">
        <w:rPr>
          <w:noProof/>
          <w:color w:val="000000" w:themeColor="text1"/>
          <w:lang w:val="en-US"/>
        </w:rPr>
        <w:t xml:space="preserve">current prices when </w:t>
      </w:r>
      <w:r w:rsidR="00C72701" w:rsidRPr="003F52FE">
        <w:rPr>
          <w:noProof/>
          <w:color w:val="000000" w:themeColor="text1"/>
          <w:lang w:val="en-US"/>
        </w:rPr>
        <w:t xml:space="preserve">the inflation rate in </w:t>
      </w:r>
      <w:r w:rsidR="00F75652" w:rsidRPr="003F52FE">
        <w:rPr>
          <w:noProof/>
          <w:color w:val="000000" w:themeColor="text1"/>
          <w:lang w:val="en-US"/>
        </w:rPr>
        <w:t xml:space="preserve">the capital goods </w:t>
      </w:r>
      <w:r w:rsidR="00967C63" w:rsidRPr="003F52FE">
        <w:rPr>
          <w:noProof/>
          <w:color w:val="000000" w:themeColor="text1"/>
          <w:lang w:val="en-US"/>
        </w:rPr>
        <w:t xml:space="preserve">in </w:t>
      </w:r>
      <w:r w:rsidR="00D2200D" w:rsidRPr="003F52FE">
        <w:rPr>
          <w:noProof/>
          <w:color w:val="000000" w:themeColor="text1"/>
          <w:lang w:val="en-US"/>
        </w:rPr>
        <w:t xml:space="preserve">the </w:t>
      </w:r>
      <w:r w:rsidR="00F75652" w:rsidRPr="003F52FE">
        <w:rPr>
          <w:noProof/>
          <w:color w:val="000000" w:themeColor="text1"/>
          <w:lang w:val="en-US"/>
        </w:rPr>
        <w:t xml:space="preserve">first and in the last </w:t>
      </w:r>
      <w:r w:rsidR="00D2200D" w:rsidRPr="003F52FE">
        <w:rPr>
          <w:noProof/>
          <w:color w:val="000000" w:themeColor="text1"/>
          <w:lang w:val="en-US"/>
        </w:rPr>
        <w:t xml:space="preserve">periods are </w:t>
      </w:r>
      <w:r w:rsidR="00C72701" w:rsidRPr="003F52FE">
        <w:rPr>
          <w:noProof/>
          <w:color w:val="000000" w:themeColor="text1"/>
          <w:lang w:val="en-US"/>
        </w:rPr>
        <w:t xml:space="preserve">equal. </w:t>
      </w:r>
      <w:r w:rsidRPr="003F52FE">
        <w:rPr>
          <w:noProof/>
          <w:color w:val="000000" w:themeColor="text1"/>
          <w:lang w:val="en-US"/>
        </w:rPr>
        <w:t xml:space="preserve">If the inflation rate is </w:t>
      </w:r>
      <w:r w:rsidR="007B20CB">
        <w:rPr>
          <w:noProof/>
          <w:color w:val="000000" w:themeColor="text1"/>
          <w:lang w:val="en-US"/>
        </w:rPr>
        <w:t>rising</w:t>
      </w:r>
      <w:r w:rsidR="00005E9C" w:rsidRPr="003F52FE">
        <w:rPr>
          <w:noProof/>
          <w:color w:val="000000" w:themeColor="text1"/>
          <w:lang w:val="en-US"/>
        </w:rPr>
        <w:t>,</w:t>
      </w:r>
      <w:r w:rsidR="00E85E8D">
        <w:rPr>
          <w:noProof/>
          <w:color w:val="000000" w:themeColor="text1"/>
          <w:lang w:val="en-US"/>
        </w:rPr>
        <w:t xml:space="preserve"> the percent</w:t>
      </w:r>
      <w:r w:rsidRPr="003F52FE">
        <w:rPr>
          <w:noProof/>
          <w:color w:val="000000" w:themeColor="text1"/>
          <w:lang w:val="en-US"/>
        </w:rPr>
        <w:t>a</w:t>
      </w:r>
      <w:r w:rsidR="00E85E8D">
        <w:rPr>
          <w:noProof/>
          <w:color w:val="000000" w:themeColor="text1"/>
          <w:lang w:val="en-US"/>
        </w:rPr>
        <w:t>ge</w:t>
      </w:r>
      <w:r w:rsidRPr="003F52FE">
        <w:rPr>
          <w:noProof/>
          <w:color w:val="000000" w:themeColor="text1"/>
          <w:lang w:val="en-US"/>
        </w:rPr>
        <w:t xml:space="preserve"> </w:t>
      </w:r>
      <w:r w:rsidR="00967C63" w:rsidRPr="003F52FE">
        <w:rPr>
          <w:noProof/>
          <w:color w:val="000000" w:themeColor="text1"/>
          <w:lang w:val="en-US"/>
        </w:rPr>
        <w:lastRenderedPageBreak/>
        <w:t xml:space="preserve">change </w:t>
      </w:r>
      <w:r w:rsidR="00E85E8D">
        <w:rPr>
          <w:noProof/>
          <w:color w:val="000000" w:themeColor="text1"/>
          <w:lang w:val="en-US"/>
        </w:rPr>
        <w:t>in</w:t>
      </w:r>
      <w:r w:rsidRPr="003F52FE">
        <w:rPr>
          <w:noProof/>
          <w:color w:val="000000" w:themeColor="text1"/>
          <w:lang w:val="en-US"/>
        </w:rPr>
        <w:t xml:space="preserve"> the profit rate measured at historical </w:t>
      </w:r>
      <w:r w:rsidR="002D5E30" w:rsidRPr="003F52FE">
        <w:rPr>
          <w:noProof/>
          <w:color w:val="000000" w:themeColor="text1"/>
          <w:lang w:val="en-US"/>
        </w:rPr>
        <w:t xml:space="preserve">prices </w:t>
      </w:r>
      <w:r w:rsidR="007B20CB">
        <w:rPr>
          <w:noProof/>
          <w:color w:val="000000" w:themeColor="text1"/>
          <w:lang w:val="en-US"/>
        </w:rPr>
        <w:t xml:space="preserve">increases </w:t>
      </w:r>
      <w:r w:rsidR="00E85E8D">
        <w:rPr>
          <w:noProof/>
          <w:color w:val="000000" w:themeColor="text1"/>
          <w:lang w:val="en-US"/>
        </w:rPr>
        <w:t xml:space="preserve">faster than the percentage change in the profit rate at </w:t>
      </w:r>
      <w:r w:rsidRPr="003F52FE">
        <w:rPr>
          <w:noProof/>
          <w:color w:val="000000" w:themeColor="text1"/>
          <w:lang w:val="en-US"/>
        </w:rPr>
        <w:t>current prices</w:t>
      </w:r>
      <w:r w:rsidR="00F644FA" w:rsidRPr="003F52FE">
        <w:rPr>
          <w:noProof/>
          <w:color w:val="000000" w:themeColor="text1"/>
          <w:lang w:val="en-US"/>
        </w:rPr>
        <w:t xml:space="preserve">. </w:t>
      </w:r>
      <w:r w:rsidR="00533C35" w:rsidRPr="003F52FE">
        <w:rPr>
          <w:noProof/>
          <w:color w:val="000000" w:themeColor="text1"/>
          <w:lang w:val="en-US"/>
        </w:rPr>
        <w:t>The opposite happens i</w:t>
      </w:r>
      <w:r w:rsidR="00F644FA" w:rsidRPr="003F52FE">
        <w:rPr>
          <w:noProof/>
          <w:color w:val="000000" w:themeColor="text1"/>
          <w:lang w:val="en-US"/>
        </w:rPr>
        <w:t>f the inflation rate is declining</w:t>
      </w:r>
      <w:r w:rsidR="00533C35" w:rsidRPr="003F52FE">
        <w:rPr>
          <w:noProof/>
          <w:color w:val="000000" w:themeColor="text1"/>
          <w:lang w:val="en-US"/>
        </w:rPr>
        <w:t xml:space="preserve">. </w:t>
      </w:r>
      <w:r w:rsidR="00F644FA" w:rsidRPr="003F52FE">
        <w:rPr>
          <w:noProof/>
          <w:color w:val="000000" w:themeColor="text1"/>
          <w:lang w:val="en-US"/>
        </w:rPr>
        <w:t xml:space="preserve">Therefore, the inflation rate </w:t>
      </w:r>
      <w:r w:rsidR="00F75652" w:rsidRPr="003F52FE">
        <w:rPr>
          <w:noProof/>
          <w:color w:val="000000" w:themeColor="text1"/>
          <w:lang w:val="en-US"/>
        </w:rPr>
        <w:t xml:space="preserve">in the capital goods </w:t>
      </w:r>
      <w:r w:rsidR="00F644FA" w:rsidRPr="003F52FE">
        <w:rPr>
          <w:noProof/>
          <w:color w:val="000000" w:themeColor="text1"/>
          <w:lang w:val="en-US"/>
        </w:rPr>
        <w:t>has a</w:t>
      </w:r>
      <w:r w:rsidR="00F75652" w:rsidRPr="003F52FE">
        <w:rPr>
          <w:noProof/>
          <w:color w:val="000000" w:themeColor="text1"/>
          <w:lang w:val="en-US"/>
        </w:rPr>
        <w:t xml:space="preserve"> fundamental effect over the relative differences between the measures of the profit rate. </w:t>
      </w:r>
    </w:p>
    <w:p w:rsidR="004709EC" w:rsidRPr="003F52FE" w:rsidRDefault="0019483F" w:rsidP="0083766B">
      <w:pPr>
        <w:ind w:firstLine="720"/>
        <w:rPr>
          <w:color w:val="000000" w:themeColor="text1"/>
          <w:lang w:val="en-US"/>
        </w:rPr>
      </w:pPr>
      <w:r w:rsidRPr="003F52FE">
        <w:rPr>
          <w:noProof/>
          <w:color w:val="000000" w:themeColor="text1"/>
          <w:lang w:val="en-US"/>
        </w:rPr>
        <w:t>A</w:t>
      </w:r>
      <w:r w:rsidR="00C72701" w:rsidRPr="003F52FE">
        <w:rPr>
          <w:noProof/>
          <w:color w:val="000000" w:themeColor="text1"/>
          <w:lang w:val="en-US"/>
        </w:rPr>
        <w:t xml:space="preserve">nother </w:t>
      </w:r>
      <w:r w:rsidR="00F75652" w:rsidRPr="003F52FE">
        <w:rPr>
          <w:noProof/>
          <w:color w:val="000000" w:themeColor="text1"/>
          <w:lang w:val="en-US"/>
        </w:rPr>
        <w:t xml:space="preserve">important </w:t>
      </w:r>
      <w:r w:rsidR="00C72701" w:rsidRPr="003F52FE">
        <w:rPr>
          <w:noProof/>
          <w:color w:val="000000" w:themeColor="text1"/>
          <w:lang w:val="en-US"/>
        </w:rPr>
        <w:t xml:space="preserve">aspect </w:t>
      </w:r>
      <w:r w:rsidRPr="003F52FE">
        <w:rPr>
          <w:noProof/>
          <w:color w:val="000000" w:themeColor="text1"/>
          <w:lang w:val="en-US"/>
        </w:rPr>
        <w:t>is</w:t>
      </w:r>
      <w:r w:rsidR="00C72701" w:rsidRPr="003F52FE">
        <w:rPr>
          <w:noProof/>
          <w:color w:val="000000" w:themeColor="text1"/>
          <w:lang w:val="en-US"/>
        </w:rPr>
        <w:t xml:space="preserve"> the effect of inflation in </w:t>
      </w:r>
      <w:r w:rsidR="00D2200D" w:rsidRPr="003F52FE">
        <w:rPr>
          <w:noProof/>
          <w:color w:val="000000" w:themeColor="text1"/>
          <w:lang w:val="en-US"/>
        </w:rPr>
        <w:t xml:space="preserve">the </w:t>
      </w:r>
      <w:r w:rsidR="00C72701" w:rsidRPr="003F52FE">
        <w:rPr>
          <w:noProof/>
          <w:color w:val="000000" w:themeColor="text1"/>
          <w:lang w:val="en-US"/>
        </w:rPr>
        <w:t>path of the profit rate.</w:t>
      </w:r>
      <w:r w:rsidR="003F52FE" w:rsidRPr="003F52FE">
        <w:rPr>
          <w:noProof/>
          <w:color w:val="000000" w:themeColor="text1"/>
          <w:lang w:val="en-US"/>
        </w:rPr>
        <w:t xml:space="preserve"> </w:t>
      </w:r>
      <w:r w:rsidR="00AD7503" w:rsidRPr="003F52FE">
        <w:rPr>
          <w:color w:val="000000" w:themeColor="text1"/>
          <w:lang w:val="en-US"/>
        </w:rPr>
        <w:t xml:space="preserve">Writing </w:t>
      </w:r>
      <w:r w:rsidR="00F13BC4" w:rsidRPr="003F52FE">
        <w:rPr>
          <w:color w:val="000000" w:themeColor="text1"/>
          <w:lang w:val="en-US"/>
        </w:rPr>
        <w:t xml:space="preserve">the </w:t>
      </w:r>
      <w:r w:rsidR="004A6957" w:rsidRPr="003F52FE">
        <w:rPr>
          <w:color w:val="000000" w:themeColor="text1"/>
          <w:lang w:val="en-US"/>
        </w:rPr>
        <w:t xml:space="preserve">equations (3) and (4) </w:t>
      </w:r>
      <w:r w:rsidR="00B77607" w:rsidRPr="003F52FE">
        <w:rPr>
          <w:color w:val="000000" w:themeColor="text1"/>
          <w:lang w:val="en-US"/>
        </w:rPr>
        <w:t xml:space="preserve">in growth rates: </w:t>
      </w:r>
    </w:p>
    <w:p w:rsidR="0019483F" w:rsidRPr="003F52FE" w:rsidRDefault="0019483F" w:rsidP="0083766B">
      <w:pPr>
        <w:ind w:firstLine="720"/>
        <w:jc w:val="both"/>
        <w:rPr>
          <w:color w:val="000000" w:themeColor="text1"/>
          <w:lang w:val="en-US"/>
        </w:rPr>
      </w:pPr>
    </w:p>
    <w:p w:rsidR="00B77607" w:rsidRPr="003F52FE" w:rsidRDefault="0093348B" w:rsidP="0083766B">
      <w:pPr>
        <w:rPr>
          <w:color w:val="000000" w:themeColor="text1"/>
          <w:lang w:val="en-US"/>
        </w:rPr>
      </w:pPr>
      <w:r w:rsidRPr="003F52FE">
        <w:rPr>
          <w:color w:val="000000" w:themeColor="text1"/>
          <w:position w:val="-18"/>
          <w:lang w:val="en-US"/>
        </w:rPr>
        <w:object w:dxaOrig="1579" w:dyaOrig="420">
          <v:shape id="_x0000_i1040" type="#_x0000_t75" style="width:78.5pt;height:22pt" o:ole="" fillcolor="window">
            <v:imagedata r:id="rId38" o:title=""/>
          </v:shape>
          <o:OLEObject Type="Embed" ProgID="Equation.3" ShapeID="_x0000_i1040" DrawAspect="Content" ObjectID="_1498406668" r:id="rId39"/>
        </w:object>
      </w:r>
      <w:r w:rsidR="00C526DB" w:rsidRPr="003F52FE">
        <w:rPr>
          <w:color w:val="000000" w:themeColor="text1"/>
          <w:lang w:val="en-US"/>
        </w:rPr>
        <w:t xml:space="preserve"> </w:t>
      </w:r>
      <w:r w:rsidR="00C526DB" w:rsidRPr="003F52FE">
        <w:rPr>
          <w:color w:val="000000" w:themeColor="text1"/>
          <w:lang w:val="en-US"/>
        </w:rPr>
        <w:tab/>
      </w:r>
      <w:r w:rsidR="00071F74">
        <w:rPr>
          <w:color w:val="000000" w:themeColor="text1"/>
          <w:lang w:val="en-US"/>
        </w:rPr>
        <w:t xml:space="preserve">     </w:t>
      </w:r>
      <w:r w:rsidR="009A1857" w:rsidRPr="003F52FE">
        <w:rPr>
          <w:color w:val="000000" w:themeColor="text1"/>
          <w:lang w:val="en-US"/>
        </w:rPr>
        <w:t>(1</w:t>
      </w:r>
      <w:r w:rsidR="004A6957" w:rsidRPr="003F52FE">
        <w:rPr>
          <w:color w:val="000000" w:themeColor="text1"/>
          <w:lang w:val="en-US"/>
        </w:rPr>
        <w:t>2</w:t>
      </w:r>
      <w:r w:rsidR="009A1857" w:rsidRPr="003F52FE">
        <w:rPr>
          <w:color w:val="000000" w:themeColor="text1"/>
          <w:lang w:val="en-US"/>
        </w:rPr>
        <w:t>)</w:t>
      </w:r>
    </w:p>
    <w:p w:rsidR="0019483F" w:rsidRPr="003F52FE" w:rsidRDefault="0019483F" w:rsidP="0083766B">
      <w:pPr>
        <w:rPr>
          <w:color w:val="000000" w:themeColor="text1"/>
          <w:lang w:val="en-US"/>
        </w:rPr>
      </w:pPr>
    </w:p>
    <w:p w:rsidR="00B77607" w:rsidRPr="003F52FE" w:rsidRDefault="0093348B" w:rsidP="0083766B">
      <w:pPr>
        <w:rPr>
          <w:color w:val="000000" w:themeColor="text1"/>
          <w:lang w:val="en-US"/>
        </w:rPr>
      </w:pPr>
      <w:r w:rsidRPr="003F52FE">
        <w:rPr>
          <w:color w:val="000000" w:themeColor="text1"/>
          <w:position w:val="-18"/>
          <w:lang w:val="en-US"/>
        </w:rPr>
        <w:object w:dxaOrig="1540" w:dyaOrig="420">
          <v:shape id="_x0000_i1041" type="#_x0000_t75" style="width:77.5pt;height:22pt" o:ole="" fillcolor="window">
            <v:imagedata r:id="rId40" o:title=""/>
          </v:shape>
          <o:OLEObject Type="Embed" ProgID="Equation.3" ShapeID="_x0000_i1041" DrawAspect="Content" ObjectID="_1498406669" r:id="rId41"/>
        </w:object>
      </w:r>
      <w:r w:rsidR="004A6957" w:rsidRPr="003F52FE">
        <w:rPr>
          <w:color w:val="000000" w:themeColor="text1"/>
          <w:lang w:val="en-US"/>
        </w:rPr>
        <w:t xml:space="preserve">    </w:t>
      </w:r>
      <w:r w:rsidR="00071F74">
        <w:rPr>
          <w:color w:val="000000" w:themeColor="text1"/>
          <w:lang w:val="en-US"/>
        </w:rPr>
        <w:t xml:space="preserve">     </w:t>
      </w:r>
      <w:r w:rsidR="004A6957" w:rsidRPr="003F52FE">
        <w:rPr>
          <w:color w:val="000000" w:themeColor="text1"/>
          <w:lang w:val="en-US"/>
        </w:rPr>
        <w:t xml:space="preserve">  (13</w:t>
      </w:r>
      <w:r w:rsidR="00E51C85" w:rsidRPr="003F52FE">
        <w:rPr>
          <w:color w:val="000000" w:themeColor="text1"/>
          <w:lang w:val="en-US"/>
        </w:rPr>
        <w:t>)</w:t>
      </w:r>
    </w:p>
    <w:p w:rsidR="0019483F" w:rsidRPr="003F52FE" w:rsidRDefault="0019483F" w:rsidP="0083766B">
      <w:pPr>
        <w:rPr>
          <w:color w:val="000000" w:themeColor="text1"/>
          <w:lang w:val="en-US"/>
        </w:rPr>
      </w:pPr>
    </w:p>
    <w:p w:rsidR="0093348B" w:rsidRPr="003F52FE" w:rsidRDefault="004A6957" w:rsidP="0083766B">
      <w:pPr>
        <w:rPr>
          <w:color w:val="000000" w:themeColor="text1"/>
          <w:lang w:val="en-US"/>
        </w:rPr>
      </w:pPr>
      <w:r w:rsidRPr="003F52FE">
        <w:rPr>
          <w:color w:val="000000" w:themeColor="text1"/>
          <w:lang w:val="en-US"/>
        </w:rPr>
        <w:t>T</w:t>
      </w:r>
      <w:r w:rsidR="0093348B" w:rsidRPr="003F52FE">
        <w:rPr>
          <w:color w:val="000000" w:themeColor="text1"/>
          <w:lang w:val="en-US"/>
        </w:rPr>
        <w:t xml:space="preserve">he </w:t>
      </w:r>
      <w:r w:rsidR="00F42219" w:rsidRPr="003F52FE">
        <w:rPr>
          <w:color w:val="000000" w:themeColor="text1"/>
          <w:lang w:val="en-US"/>
        </w:rPr>
        <w:t xml:space="preserve">trajectory of the </w:t>
      </w:r>
      <w:r w:rsidR="0093348B" w:rsidRPr="003F52FE">
        <w:rPr>
          <w:color w:val="000000" w:themeColor="text1"/>
          <w:lang w:val="en-US"/>
        </w:rPr>
        <w:t xml:space="preserve">profit rate </w:t>
      </w:r>
      <w:r w:rsidRPr="003F52FE">
        <w:rPr>
          <w:color w:val="000000" w:themeColor="text1"/>
          <w:lang w:val="en-US"/>
        </w:rPr>
        <w:t>depend</w:t>
      </w:r>
      <w:r w:rsidR="0019483F" w:rsidRPr="003F52FE">
        <w:rPr>
          <w:color w:val="000000" w:themeColor="text1"/>
          <w:lang w:val="en-US"/>
        </w:rPr>
        <w:t>s</w:t>
      </w:r>
      <w:r w:rsidR="0093348B" w:rsidRPr="003F52FE">
        <w:rPr>
          <w:color w:val="000000" w:themeColor="text1"/>
          <w:lang w:val="en-US"/>
        </w:rPr>
        <w:t xml:space="preserve"> on the evolution of income distribution between profits and wages and on the growth rate of output-capital ratio. </w:t>
      </w:r>
      <w:r w:rsidR="00666656" w:rsidRPr="003F52FE">
        <w:rPr>
          <w:color w:val="000000" w:themeColor="text1"/>
          <w:lang w:val="en-US"/>
        </w:rPr>
        <w:t>Under</w:t>
      </w:r>
      <w:r w:rsidR="0093348B" w:rsidRPr="003F52FE">
        <w:rPr>
          <w:color w:val="000000" w:themeColor="text1"/>
          <w:lang w:val="en-US"/>
        </w:rPr>
        <w:t xml:space="preserve"> the hypothesis </w:t>
      </w:r>
      <w:r w:rsidR="00666656" w:rsidRPr="003F52FE">
        <w:rPr>
          <w:color w:val="000000" w:themeColor="text1"/>
          <w:lang w:val="en-US"/>
        </w:rPr>
        <w:t>that</w:t>
      </w:r>
      <w:r w:rsidR="0093348B" w:rsidRPr="003F52FE">
        <w:rPr>
          <w:color w:val="000000" w:themeColor="text1"/>
          <w:lang w:val="en-US"/>
        </w:rPr>
        <w:t xml:space="preserve"> the distribution of income is constant,</w:t>
      </w:r>
      <w:r w:rsidR="0093348B" w:rsidRPr="003F52FE">
        <w:rPr>
          <w:color w:val="000000" w:themeColor="text1"/>
          <w:position w:val="-14"/>
          <w:lang w:val="en-US"/>
        </w:rPr>
        <w:object w:dxaOrig="740" w:dyaOrig="380">
          <v:shape id="_x0000_i1042" type="#_x0000_t75" style="width:37.5pt;height:19pt" o:ole="" fillcolor="window">
            <v:imagedata r:id="rId42" o:title=""/>
          </v:shape>
          <o:OLEObject Type="Embed" ProgID="Equation.3" ShapeID="_x0000_i1042" DrawAspect="Content" ObjectID="_1498406670" r:id="rId43"/>
        </w:object>
      </w:r>
      <w:proofErr w:type="gramStart"/>
      <w:r w:rsidR="0093348B" w:rsidRPr="003F52FE">
        <w:rPr>
          <w:color w:val="000000" w:themeColor="text1"/>
          <w:lang w:val="en-US"/>
        </w:rPr>
        <w:t>,</w:t>
      </w:r>
      <w:proofErr w:type="gramEnd"/>
      <w:r w:rsidR="0093348B" w:rsidRPr="003F52FE">
        <w:rPr>
          <w:color w:val="000000" w:themeColor="text1"/>
          <w:lang w:val="en-US"/>
        </w:rPr>
        <w:t xml:space="preserve"> which corresponds </w:t>
      </w:r>
      <w:r w:rsidR="004E530A" w:rsidRPr="003F52FE">
        <w:rPr>
          <w:color w:val="000000" w:themeColor="text1"/>
          <w:lang w:val="en-US"/>
        </w:rPr>
        <w:t xml:space="preserve">to </w:t>
      </w:r>
      <w:r w:rsidR="0093348B" w:rsidRPr="003F52FE">
        <w:rPr>
          <w:color w:val="000000" w:themeColor="text1"/>
          <w:lang w:val="en-US"/>
        </w:rPr>
        <w:t xml:space="preserve">a constant rate of surplus value, </w:t>
      </w:r>
      <w:r w:rsidR="00F53ADC" w:rsidRPr="003F52FE">
        <w:rPr>
          <w:color w:val="000000" w:themeColor="text1"/>
          <w:lang w:val="en-US"/>
        </w:rPr>
        <w:t xml:space="preserve">the trajectory of output-capital ratio determines </w:t>
      </w:r>
      <w:r w:rsidR="0093348B" w:rsidRPr="003F52FE">
        <w:rPr>
          <w:color w:val="000000" w:themeColor="text1"/>
          <w:lang w:val="en-US"/>
        </w:rPr>
        <w:t xml:space="preserve">the </w:t>
      </w:r>
      <w:r w:rsidR="00E131C3" w:rsidRPr="003F52FE">
        <w:rPr>
          <w:color w:val="000000" w:themeColor="text1"/>
          <w:lang w:val="en-US"/>
        </w:rPr>
        <w:t>path of the profit rate</w:t>
      </w:r>
      <w:r w:rsidR="0093348B" w:rsidRPr="003F52FE">
        <w:rPr>
          <w:color w:val="000000" w:themeColor="text1"/>
          <w:lang w:val="en-US"/>
        </w:rPr>
        <w:t xml:space="preserve">. </w:t>
      </w:r>
      <w:r w:rsidR="00C259BF" w:rsidRPr="003F52FE">
        <w:rPr>
          <w:color w:val="000000" w:themeColor="text1"/>
          <w:lang w:val="en-US"/>
        </w:rPr>
        <w:t xml:space="preserve">For historical prices, </w:t>
      </w:r>
      <w:r w:rsidR="004E530A" w:rsidRPr="003F52FE">
        <w:rPr>
          <w:color w:val="000000" w:themeColor="text1"/>
          <w:lang w:val="en-US"/>
        </w:rPr>
        <w:t>the</w:t>
      </w:r>
      <w:r w:rsidR="00933773" w:rsidRPr="003F52FE">
        <w:rPr>
          <w:color w:val="000000" w:themeColor="text1"/>
          <w:lang w:val="en-US"/>
        </w:rPr>
        <w:t xml:space="preserve"> </w:t>
      </w:r>
      <w:r w:rsidR="004E530A" w:rsidRPr="003F52FE">
        <w:rPr>
          <w:color w:val="000000" w:themeColor="text1"/>
          <w:lang w:val="en-US"/>
        </w:rPr>
        <w:t xml:space="preserve">output-capital ratio is </w:t>
      </w:r>
      <w:r w:rsidR="0093348B" w:rsidRPr="003F52FE">
        <w:rPr>
          <w:color w:val="000000" w:themeColor="text1"/>
          <w:lang w:val="en-US"/>
        </w:rPr>
        <w:t xml:space="preserve">expressed </w:t>
      </w:r>
      <w:r w:rsidR="00C259BF" w:rsidRPr="003F52FE">
        <w:rPr>
          <w:color w:val="000000" w:themeColor="text1"/>
          <w:lang w:val="en-US"/>
        </w:rPr>
        <w:t>by</w:t>
      </w:r>
      <w:r w:rsidR="00E51C85" w:rsidRPr="003F52FE">
        <w:rPr>
          <w:color w:val="000000" w:themeColor="text1"/>
          <w:lang w:val="en-US"/>
        </w:rPr>
        <w:t>:</w:t>
      </w:r>
    </w:p>
    <w:p w:rsidR="00E51C85" w:rsidRPr="003F52FE" w:rsidRDefault="00E51C85" w:rsidP="0083766B">
      <w:pPr>
        <w:jc w:val="both"/>
        <w:rPr>
          <w:color w:val="000000" w:themeColor="text1"/>
          <w:lang w:val="en-US"/>
        </w:rPr>
      </w:pPr>
    </w:p>
    <w:p w:rsidR="00AC6448" w:rsidRPr="003F52FE" w:rsidRDefault="00F772C1" w:rsidP="0083766B">
      <w:pPr>
        <w:rPr>
          <w:color w:val="000000" w:themeColor="text1"/>
          <w:lang w:val="en-US"/>
        </w:rPr>
      </w:pPr>
      <w:r w:rsidRPr="003F52FE">
        <w:rPr>
          <w:color w:val="000000" w:themeColor="text1"/>
          <w:position w:val="-60"/>
          <w:lang w:val="en-US"/>
        </w:rPr>
        <w:object w:dxaOrig="1840" w:dyaOrig="1020">
          <v:shape id="_x0000_i1043" type="#_x0000_t75" style="width:92pt;height:50pt" o:ole="" fillcolor="window">
            <v:imagedata r:id="rId44" o:title=""/>
          </v:shape>
          <o:OLEObject Type="Embed" ProgID="Equation.3" ShapeID="_x0000_i1043" DrawAspect="Content" ObjectID="_1498406671" r:id="rId45"/>
        </w:object>
      </w:r>
      <w:r w:rsidR="004A6957" w:rsidRPr="003F52FE">
        <w:rPr>
          <w:color w:val="000000" w:themeColor="text1"/>
          <w:lang w:val="en-US"/>
        </w:rPr>
        <w:t xml:space="preserve">    </w:t>
      </w:r>
      <w:r w:rsidR="00071F74">
        <w:rPr>
          <w:color w:val="000000" w:themeColor="text1"/>
          <w:lang w:val="en-US"/>
        </w:rPr>
        <w:t xml:space="preserve">     </w:t>
      </w:r>
      <w:r w:rsidR="004A6957" w:rsidRPr="003F52FE">
        <w:rPr>
          <w:color w:val="000000" w:themeColor="text1"/>
          <w:lang w:val="en-US"/>
        </w:rPr>
        <w:t xml:space="preserve"> (14</w:t>
      </w:r>
      <w:r w:rsidR="00E51C85" w:rsidRPr="003F52FE">
        <w:rPr>
          <w:color w:val="000000" w:themeColor="text1"/>
          <w:lang w:val="en-US"/>
        </w:rPr>
        <w:t>)</w:t>
      </w:r>
    </w:p>
    <w:p w:rsidR="00E51C85" w:rsidRPr="003F52FE" w:rsidRDefault="00E51C85" w:rsidP="0083766B">
      <w:pPr>
        <w:rPr>
          <w:color w:val="000000" w:themeColor="text1"/>
          <w:lang w:val="en-US"/>
        </w:rPr>
      </w:pPr>
    </w:p>
    <w:p w:rsidR="00522974" w:rsidRPr="003F52FE" w:rsidRDefault="00C526DB" w:rsidP="0083766B">
      <w:pPr>
        <w:rPr>
          <w:color w:val="000000" w:themeColor="text1"/>
          <w:lang w:val="en-US"/>
        </w:rPr>
      </w:pPr>
      <w:proofErr w:type="gramStart"/>
      <w:r w:rsidRPr="003F52FE">
        <w:rPr>
          <w:color w:val="000000" w:themeColor="text1"/>
          <w:lang w:val="en-US"/>
        </w:rPr>
        <w:t>w</w:t>
      </w:r>
      <w:r w:rsidR="00F772C1" w:rsidRPr="003F52FE">
        <w:rPr>
          <w:color w:val="000000" w:themeColor="text1"/>
          <w:lang w:val="en-US"/>
        </w:rPr>
        <w:t>here</w:t>
      </w:r>
      <w:proofErr w:type="gramEnd"/>
      <w:r w:rsidRPr="003F52FE">
        <w:rPr>
          <w:color w:val="000000" w:themeColor="text1"/>
          <w:lang w:val="en-US"/>
        </w:rPr>
        <w:t xml:space="preserve"> </w:t>
      </w:r>
      <w:proofErr w:type="spellStart"/>
      <w:r w:rsidR="00F772C1" w:rsidRPr="003F52FE">
        <w:rPr>
          <w:i/>
          <w:color w:val="000000" w:themeColor="text1"/>
          <w:lang w:val="en-US"/>
        </w:rPr>
        <w:t>p</w:t>
      </w:r>
      <w:r w:rsidR="00F772C1" w:rsidRPr="003F52FE">
        <w:rPr>
          <w:i/>
          <w:color w:val="000000" w:themeColor="text1"/>
          <w:vertAlign w:val="superscript"/>
          <w:lang w:val="en-US"/>
        </w:rPr>
        <w:t>X</w:t>
      </w:r>
      <w:proofErr w:type="spellEnd"/>
      <w:r w:rsidR="00F772C1" w:rsidRPr="003F52FE">
        <w:rPr>
          <w:color w:val="000000" w:themeColor="text1"/>
          <w:lang w:val="en-US"/>
        </w:rPr>
        <w:t xml:space="preserve"> denotes the price deflator and </w:t>
      </w:r>
      <w:r w:rsidR="00F772C1" w:rsidRPr="003F52FE">
        <w:rPr>
          <w:i/>
          <w:color w:val="000000" w:themeColor="text1"/>
          <w:lang w:val="en-US"/>
        </w:rPr>
        <w:t>X</w:t>
      </w:r>
      <w:r w:rsidR="00F772C1" w:rsidRPr="003F52FE">
        <w:rPr>
          <w:i/>
          <w:color w:val="000000" w:themeColor="text1"/>
          <w:vertAlign w:val="subscript"/>
          <w:lang w:val="en-US"/>
        </w:rPr>
        <w:t>R</w:t>
      </w:r>
      <w:r w:rsidR="00F772C1" w:rsidRPr="003F52FE">
        <w:rPr>
          <w:color w:val="000000" w:themeColor="text1"/>
          <w:lang w:val="en-US"/>
        </w:rPr>
        <w:t xml:space="preserve"> the real output. In</w:t>
      </w:r>
      <w:r w:rsidR="009114F1" w:rsidRPr="003F52FE">
        <w:rPr>
          <w:color w:val="000000" w:themeColor="text1"/>
          <w:lang w:val="en-US"/>
        </w:rPr>
        <w:t xml:space="preserve"> terms of</w:t>
      </w:r>
      <w:r w:rsidRPr="003F52FE">
        <w:rPr>
          <w:color w:val="000000" w:themeColor="text1"/>
          <w:lang w:val="en-US"/>
        </w:rPr>
        <w:t xml:space="preserve"> </w:t>
      </w:r>
      <w:r w:rsidR="00522974" w:rsidRPr="003F52FE">
        <w:rPr>
          <w:color w:val="000000" w:themeColor="text1"/>
          <w:lang w:val="en-US"/>
        </w:rPr>
        <w:t xml:space="preserve">growth </w:t>
      </w:r>
      <w:proofErr w:type="gramStart"/>
      <w:r w:rsidR="00522974" w:rsidRPr="003F52FE">
        <w:rPr>
          <w:color w:val="000000" w:themeColor="text1"/>
          <w:lang w:val="en-US"/>
        </w:rPr>
        <w:t>rates</w:t>
      </w:r>
      <w:r w:rsidR="00F772C1" w:rsidRPr="003F52FE">
        <w:rPr>
          <w:color w:val="000000" w:themeColor="text1"/>
          <w:lang w:val="en-US"/>
        </w:rPr>
        <w:t>, (14) is</w:t>
      </w:r>
      <w:proofErr w:type="gramEnd"/>
      <w:r w:rsidR="00F772C1" w:rsidRPr="003F52FE">
        <w:rPr>
          <w:color w:val="000000" w:themeColor="text1"/>
          <w:lang w:val="en-US"/>
        </w:rPr>
        <w:t xml:space="preserve"> written as</w:t>
      </w:r>
      <w:r w:rsidR="00522974" w:rsidRPr="003F52FE">
        <w:rPr>
          <w:color w:val="000000" w:themeColor="text1"/>
          <w:lang w:val="en-US"/>
        </w:rPr>
        <w:t xml:space="preserve">: </w:t>
      </w:r>
    </w:p>
    <w:p w:rsidR="00E51C85" w:rsidRPr="003F52FE" w:rsidRDefault="00E51C85" w:rsidP="0083766B">
      <w:pPr>
        <w:rPr>
          <w:color w:val="000000" w:themeColor="text1"/>
          <w:lang w:val="en-US"/>
        </w:rPr>
      </w:pPr>
    </w:p>
    <w:p w:rsidR="00666656" w:rsidRPr="003F52FE" w:rsidRDefault="00AD7503" w:rsidP="0083766B">
      <w:pPr>
        <w:rPr>
          <w:color w:val="000000" w:themeColor="text1"/>
          <w:lang w:val="en-US"/>
        </w:rPr>
      </w:pPr>
      <w:r w:rsidRPr="003F52FE">
        <w:rPr>
          <w:color w:val="000000" w:themeColor="text1"/>
          <w:position w:val="-30"/>
          <w:lang w:val="en-US"/>
        </w:rPr>
        <w:object w:dxaOrig="6140" w:dyaOrig="720">
          <v:shape id="_x0000_i1044" type="#_x0000_t75" style="width:306.5pt;height:36.5pt" o:ole="" fillcolor="window">
            <v:imagedata r:id="rId46" o:title=""/>
          </v:shape>
          <o:OLEObject Type="Embed" ProgID="Equation.3" ShapeID="_x0000_i1044" DrawAspect="Content" ObjectID="_1498406672" r:id="rId47"/>
        </w:object>
      </w:r>
    </w:p>
    <w:p w:rsidR="00666656" w:rsidRPr="003F52FE" w:rsidRDefault="00666656" w:rsidP="0083766B">
      <w:pPr>
        <w:jc w:val="center"/>
        <w:rPr>
          <w:color w:val="000000" w:themeColor="text1"/>
          <w:lang w:val="en-US"/>
        </w:rPr>
      </w:pPr>
    </w:p>
    <w:p w:rsidR="00522974" w:rsidRPr="003F52FE" w:rsidRDefault="00AD7503" w:rsidP="0083766B">
      <w:pPr>
        <w:rPr>
          <w:color w:val="000000" w:themeColor="text1"/>
          <w:lang w:val="en-US"/>
        </w:rPr>
      </w:pPr>
      <w:r w:rsidRPr="003F52FE">
        <w:rPr>
          <w:color w:val="000000" w:themeColor="text1"/>
          <w:position w:val="-30"/>
        </w:rPr>
        <w:object w:dxaOrig="5260" w:dyaOrig="680">
          <v:shape id="_x0000_i1045" type="#_x0000_t75" style="width:224pt;height:28.5pt" o:ole="">
            <v:imagedata r:id="rId48" o:title=""/>
          </v:shape>
          <o:OLEObject Type="Embed" ProgID="Equation.3" ShapeID="_x0000_i1045" DrawAspect="Content" ObjectID="_1498406673" r:id="rId49"/>
        </w:object>
      </w:r>
      <w:r w:rsidR="004A6957" w:rsidRPr="003F52FE">
        <w:rPr>
          <w:color w:val="000000" w:themeColor="text1"/>
          <w:lang w:val="en-US"/>
        </w:rPr>
        <w:t xml:space="preserve">   </w:t>
      </w:r>
      <w:r w:rsidR="00071F74">
        <w:rPr>
          <w:color w:val="000000" w:themeColor="text1"/>
          <w:lang w:val="en-US"/>
        </w:rPr>
        <w:t xml:space="preserve">      </w:t>
      </w:r>
      <w:r w:rsidR="004A6957" w:rsidRPr="003F52FE">
        <w:rPr>
          <w:color w:val="000000" w:themeColor="text1"/>
          <w:lang w:val="en-US"/>
        </w:rPr>
        <w:t xml:space="preserve"> (15</w:t>
      </w:r>
      <w:r w:rsidR="00E51C85" w:rsidRPr="003F52FE">
        <w:rPr>
          <w:color w:val="000000" w:themeColor="text1"/>
          <w:lang w:val="en-US"/>
        </w:rPr>
        <w:t>)</w:t>
      </w:r>
    </w:p>
    <w:p w:rsidR="00E51C85" w:rsidRPr="003F52FE" w:rsidRDefault="00E51C85" w:rsidP="0083766B">
      <w:pPr>
        <w:jc w:val="center"/>
        <w:rPr>
          <w:color w:val="000000" w:themeColor="text1"/>
          <w:lang w:val="en-US"/>
        </w:rPr>
      </w:pPr>
    </w:p>
    <w:p w:rsidR="00522974" w:rsidRPr="003F52FE" w:rsidRDefault="00522974" w:rsidP="0083766B">
      <w:pPr>
        <w:ind w:firstLine="720"/>
        <w:rPr>
          <w:color w:val="000000" w:themeColor="text1"/>
          <w:lang w:val="en-US"/>
        </w:rPr>
      </w:pPr>
      <w:r w:rsidRPr="003F52FE">
        <w:rPr>
          <w:color w:val="000000" w:themeColor="text1"/>
          <w:lang w:val="en-US"/>
        </w:rPr>
        <w:t>Thus, the</w:t>
      </w:r>
      <w:r w:rsidR="00933773" w:rsidRPr="003F52FE">
        <w:rPr>
          <w:color w:val="000000" w:themeColor="text1"/>
          <w:lang w:val="en-US"/>
        </w:rPr>
        <w:t xml:space="preserve"> </w:t>
      </w:r>
      <w:r w:rsidR="00203361" w:rsidRPr="003F52FE">
        <w:rPr>
          <w:color w:val="000000" w:themeColor="text1"/>
          <w:lang w:val="en-US"/>
        </w:rPr>
        <w:t xml:space="preserve">output-capital </w:t>
      </w:r>
      <w:r w:rsidRPr="003F52FE">
        <w:rPr>
          <w:color w:val="000000" w:themeColor="text1"/>
          <w:lang w:val="en-US"/>
        </w:rPr>
        <w:t>ratio at historical prices rises</w:t>
      </w:r>
      <w:r w:rsidR="007B5B22" w:rsidRPr="003F52FE">
        <w:rPr>
          <w:color w:val="000000" w:themeColor="text1"/>
          <w:lang w:val="en-US"/>
        </w:rPr>
        <w:t xml:space="preserve"> with the inflation in </w:t>
      </w:r>
      <w:r w:rsidR="0075721C" w:rsidRPr="003F52FE">
        <w:rPr>
          <w:color w:val="000000" w:themeColor="text1"/>
          <w:lang w:val="en-US"/>
        </w:rPr>
        <w:t xml:space="preserve">the </w:t>
      </w:r>
      <w:r w:rsidR="007B5B22" w:rsidRPr="003F52FE">
        <w:rPr>
          <w:color w:val="000000" w:themeColor="text1"/>
          <w:lang w:val="en-US"/>
        </w:rPr>
        <w:t>output</w:t>
      </w:r>
      <w:r w:rsidR="0075721C" w:rsidRPr="003F52FE">
        <w:rPr>
          <w:color w:val="000000" w:themeColor="text1"/>
          <w:lang w:val="en-US"/>
        </w:rPr>
        <w:t xml:space="preserve"> deflator</w:t>
      </w:r>
      <w:r w:rsidR="00933773" w:rsidRPr="003F52FE">
        <w:rPr>
          <w:color w:val="000000" w:themeColor="text1"/>
          <w:lang w:val="en-US"/>
        </w:rPr>
        <w:t xml:space="preserve"> </w:t>
      </w:r>
      <w:r w:rsidR="007B5B22" w:rsidRPr="003F52FE">
        <w:rPr>
          <w:color w:val="000000" w:themeColor="text1"/>
          <w:lang w:val="en-US"/>
        </w:rPr>
        <w:t>and</w:t>
      </w:r>
      <w:r w:rsidRPr="003F52FE">
        <w:rPr>
          <w:color w:val="000000" w:themeColor="text1"/>
          <w:lang w:val="en-US"/>
        </w:rPr>
        <w:t xml:space="preserve"> the expansion in</w:t>
      </w:r>
      <w:r w:rsidR="00933773" w:rsidRPr="003F52FE">
        <w:rPr>
          <w:color w:val="000000" w:themeColor="text1"/>
          <w:lang w:val="en-US"/>
        </w:rPr>
        <w:t xml:space="preserve"> </w:t>
      </w:r>
      <w:r w:rsidR="008C69CC" w:rsidRPr="003F52FE">
        <w:rPr>
          <w:color w:val="000000" w:themeColor="text1"/>
          <w:lang w:val="en-US"/>
        </w:rPr>
        <w:t xml:space="preserve">real </w:t>
      </w:r>
      <w:r w:rsidRPr="003F52FE">
        <w:rPr>
          <w:color w:val="000000" w:themeColor="text1"/>
          <w:lang w:val="en-US"/>
        </w:rPr>
        <w:t>output</w:t>
      </w:r>
      <w:r w:rsidR="00DB610B" w:rsidRPr="003F52FE">
        <w:rPr>
          <w:color w:val="000000" w:themeColor="text1"/>
          <w:lang w:val="en-US"/>
        </w:rPr>
        <w:t xml:space="preserve"> and fall</w:t>
      </w:r>
      <w:r w:rsidR="008E6BC1" w:rsidRPr="003F52FE">
        <w:rPr>
          <w:color w:val="000000" w:themeColor="text1"/>
          <w:lang w:val="en-US"/>
        </w:rPr>
        <w:t>s with</w:t>
      </w:r>
      <w:r w:rsidRPr="003F52FE">
        <w:rPr>
          <w:color w:val="000000" w:themeColor="text1"/>
          <w:lang w:val="en-US"/>
        </w:rPr>
        <w:t xml:space="preserve"> the </w:t>
      </w:r>
      <w:r w:rsidR="00FA6625" w:rsidRPr="003F52FE">
        <w:rPr>
          <w:color w:val="000000" w:themeColor="text1"/>
          <w:lang w:val="en-US"/>
        </w:rPr>
        <w:t xml:space="preserve">accumulation of capital </w:t>
      </w:r>
      <w:r w:rsidRPr="003F52FE">
        <w:rPr>
          <w:color w:val="000000" w:themeColor="text1"/>
          <w:lang w:val="en-US"/>
        </w:rPr>
        <w:t>at historical cost. In</w:t>
      </w:r>
      <w:r w:rsidR="00893B60" w:rsidRPr="003F52FE">
        <w:rPr>
          <w:color w:val="000000" w:themeColor="text1"/>
          <w:lang w:val="en-US"/>
        </w:rPr>
        <w:t xml:space="preserve">flation plays a key role in the growth of the </w:t>
      </w:r>
      <w:r w:rsidR="008C69CC" w:rsidRPr="003F52FE">
        <w:rPr>
          <w:color w:val="000000" w:themeColor="text1"/>
          <w:lang w:val="en-US"/>
        </w:rPr>
        <w:t>output</w:t>
      </w:r>
      <w:r w:rsidR="007B5B22" w:rsidRPr="003F52FE">
        <w:rPr>
          <w:color w:val="000000" w:themeColor="text1"/>
          <w:lang w:val="en-US"/>
        </w:rPr>
        <w:t xml:space="preserve">-capital </w:t>
      </w:r>
      <w:r w:rsidR="008C69CC" w:rsidRPr="003F52FE">
        <w:rPr>
          <w:color w:val="000000" w:themeColor="text1"/>
          <w:lang w:val="en-US"/>
        </w:rPr>
        <w:t>ratio</w:t>
      </w:r>
      <w:r w:rsidRPr="003F52FE">
        <w:rPr>
          <w:color w:val="000000" w:themeColor="text1"/>
          <w:lang w:val="en-US"/>
        </w:rPr>
        <w:t xml:space="preserve"> measured at historical cost</w:t>
      </w:r>
      <w:r w:rsidR="0010138B" w:rsidRPr="003F52FE">
        <w:rPr>
          <w:color w:val="000000" w:themeColor="text1"/>
          <w:lang w:val="en-US"/>
        </w:rPr>
        <w:t xml:space="preserve">. </w:t>
      </w:r>
      <w:r w:rsidR="00A54AA8" w:rsidRPr="003F52FE">
        <w:rPr>
          <w:color w:val="000000" w:themeColor="text1"/>
          <w:lang w:val="en-US"/>
        </w:rPr>
        <w:t>If the inflation rate is expanding,</w:t>
      </w:r>
      <w:r w:rsidR="00933773" w:rsidRPr="003F52FE">
        <w:rPr>
          <w:color w:val="000000" w:themeColor="text1"/>
          <w:lang w:val="en-US"/>
        </w:rPr>
        <w:t xml:space="preserve"> </w:t>
      </w:r>
      <w:r w:rsidR="00A54AA8" w:rsidRPr="003F52FE">
        <w:rPr>
          <w:color w:val="000000" w:themeColor="text1"/>
          <w:lang w:val="en-US"/>
        </w:rPr>
        <w:t>the output-capital ratio measured at historical cost</w:t>
      </w:r>
      <w:r w:rsidR="00933773" w:rsidRPr="003F52FE">
        <w:rPr>
          <w:color w:val="000000" w:themeColor="text1"/>
          <w:lang w:val="en-US"/>
        </w:rPr>
        <w:t xml:space="preserve"> </w:t>
      </w:r>
      <w:r w:rsidR="00A54AA8" w:rsidRPr="003F52FE">
        <w:rPr>
          <w:color w:val="000000" w:themeColor="text1"/>
          <w:lang w:val="en-US"/>
        </w:rPr>
        <w:t xml:space="preserve">will increase if the </w:t>
      </w:r>
      <w:r w:rsidR="00795CF2" w:rsidRPr="003F52FE">
        <w:rPr>
          <w:color w:val="000000" w:themeColor="text1"/>
          <w:lang w:val="en-US"/>
        </w:rPr>
        <w:t xml:space="preserve">price of output relative to the price of capital goods </w:t>
      </w:r>
      <w:r w:rsidR="0010138B" w:rsidRPr="003F52FE">
        <w:rPr>
          <w:color w:val="000000" w:themeColor="text1"/>
          <w:lang w:val="en-US"/>
        </w:rPr>
        <w:t>remain</w:t>
      </w:r>
      <w:r w:rsidR="007B5B22" w:rsidRPr="003F52FE">
        <w:rPr>
          <w:color w:val="000000" w:themeColor="text1"/>
          <w:lang w:val="en-US"/>
        </w:rPr>
        <w:t>s</w:t>
      </w:r>
      <w:r w:rsidR="0010138B" w:rsidRPr="003F52FE">
        <w:rPr>
          <w:color w:val="000000" w:themeColor="text1"/>
          <w:lang w:val="en-US"/>
        </w:rPr>
        <w:t xml:space="preserve"> constant</w:t>
      </w:r>
      <w:r w:rsidR="00A54AA8" w:rsidRPr="003F52FE">
        <w:rPr>
          <w:color w:val="000000" w:themeColor="text1"/>
          <w:lang w:val="en-US"/>
        </w:rPr>
        <w:t xml:space="preserve">, </w:t>
      </w:r>
      <w:r w:rsidR="00A30987" w:rsidRPr="003F52FE">
        <w:rPr>
          <w:color w:val="000000" w:themeColor="text1"/>
          <w:position w:val="-18"/>
        </w:rPr>
        <w:object w:dxaOrig="1320" w:dyaOrig="420">
          <v:shape id="_x0000_i1046" type="#_x0000_t75" style="width:65.5pt;height:22pt" o:ole="">
            <v:imagedata r:id="rId50" o:title=""/>
          </v:shape>
          <o:OLEObject Type="Embed" ProgID="Equation.3" ShapeID="_x0000_i1046" DrawAspect="Content" ObjectID="_1498406674" r:id="rId51"/>
        </w:object>
      </w:r>
      <w:r w:rsidR="00893B60" w:rsidRPr="003F52FE">
        <w:rPr>
          <w:color w:val="000000" w:themeColor="text1"/>
          <w:lang w:val="en-US"/>
        </w:rPr>
        <w:t>,</w:t>
      </w:r>
      <w:r w:rsidR="00A54AA8" w:rsidRPr="003F52FE">
        <w:rPr>
          <w:color w:val="000000" w:themeColor="text1"/>
          <w:lang w:val="en-US"/>
        </w:rPr>
        <w:t>and for some cases in which there is a fall in the relative price,</w:t>
      </w:r>
      <w:r w:rsidR="00A30987" w:rsidRPr="003F52FE">
        <w:rPr>
          <w:color w:val="000000" w:themeColor="text1"/>
          <w:position w:val="-18"/>
        </w:rPr>
        <w:object w:dxaOrig="1300" w:dyaOrig="420">
          <v:shape id="_x0000_i1047" type="#_x0000_t75" style="width:64.5pt;height:22pt" o:ole="">
            <v:imagedata r:id="rId52" o:title=""/>
          </v:shape>
          <o:OLEObject Type="Embed" ProgID="Equation.3" ShapeID="_x0000_i1047" DrawAspect="Content" ObjectID="_1498406675" r:id="rId53"/>
        </w:object>
      </w:r>
      <w:r w:rsidR="00A54AA8" w:rsidRPr="003F52FE">
        <w:rPr>
          <w:color w:val="000000" w:themeColor="text1"/>
          <w:lang w:val="en-US"/>
        </w:rPr>
        <w:t>.</w:t>
      </w:r>
    </w:p>
    <w:p w:rsidR="00C259BF" w:rsidRPr="003F52FE" w:rsidRDefault="00B03348" w:rsidP="0083766B">
      <w:pPr>
        <w:rPr>
          <w:color w:val="000000" w:themeColor="text1"/>
          <w:lang w:val="en-US"/>
        </w:rPr>
      </w:pPr>
      <w:r w:rsidRPr="003F52FE">
        <w:rPr>
          <w:color w:val="000000" w:themeColor="text1"/>
          <w:lang w:val="en-US"/>
        </w:rPr>
        <w:tab/>
      </w:r>
      <w:r w:rsidR="00C259BF" w:rsidRPr="003F52FE">
        <w:rPr>
          <w:color w:val="000000" w:themeColor="text1"/>
          <w:lang w:val="en-US"/>
        </w:rPr>
        <w:t xml:space="preserve">The output-capital ratio at current prices is </w:t>
      </w:r>
      <w:r w:rsidR="00893B60" w:rsidRPr="003F52FE">
        <w:rPr>
          <w:color w:val="000000" w:themeColor="text1"/>
          <w:lang w:val="en-US"/>
        </w:rPr>
        <w:t xml:space="preserve">calculated </w:t>
      </w:r>
      <w:r w:rsidR="00C259BF" w:rsidRPr="003F52FE">
        <w:rPr>
          <w:color w:val="000000" w:themeColor="text1"/>
          <w:lang w:val="en-US"/>
        </w:rPr>
        <w:t>by:</w:t>
      </w:r>
    </w:p>
    <w:p w:rsidR="00E51C85" w:rsidRPr="003F52FE" w:rsidRDefault="00E51C85" w:rsidP="0083766B">
      <w:pPr>
        <w:rPr>
          <w:color w:val="000000" w:themeColor="text1"/>
          <w:lang w:val="en-US"/>
        </w:rPr>
      </w:pPr>
    </w:p>
    <w:p w:rsidR="0093348B" w:rsidRPr="003F52FE" w:rsidRDefault="00AC6448" w:rsidP="0083766B">
      <w:pPr>
        <w:rPr>
          <w:color w:val="000000" w:themeColor="text1"/>
          <w:lang w:val="en-US"/>
        </w:rPr>
      </w:pPr>
      <w:r w:rsidRPr="003F52FE">
        <w:rPr>
          <w:color w:val="000000" w:themeColor="text1"/>
          <w:position w:val="-60"/>
          <w:lang w:val="en-US"/>
        </w:rPr>
        <w:object w:dxaOrig="4400" w:dyaOrig="1020">
          <v:shape id="_x0000_i1048" type="#_x0000_t75" style="width:221pt;height:50pt" o:ole="" fillcolor="window">
            <v:imagedata r:id="rId54" o:title=""/>
          </v:shape>
          <o:OLEObject Type="Embed" ProgID="Equation.3" ShapeID="_x0000_i1048" DrawAspect="Content" ObjectID="_1498406676" r:id="rId55"/>
        </w:object>
      </w:r>
      <w:r w:rsidR="00DD19B4" w:rsidRPr="003F52FE">
        <w:rPr>
          <w:color w:val="000000" w:themeColor="text1"/>
          <w:lang w:val="en-US"/>
        </w:rPr>
        <w:t xml:space="preserve">     </w:t>
      </w:r>
      <w:r w:rsidR="00071F74">
        <w:rPr>
          <w:color w:val="000000" w:themeColor="text1"/>
          <w:lang w:val="en-US"/>
        </w:rPr>
        <w:t xml:space="preserve">     </w:t>
      </w:r>
      <w:r w:rsidR="00DD19B4" w:rsidRPr="003F52FE">
        <w:rPr>
          <w:color w:val="000000" w:themeColor="text1"/>
          <w:lang w:val="en-US"/>
        </w:rPr>
        <w:t>(16</w:t>
      </w:r>
      <w:r w:rsidR="00E51C85" w:rsidRPr="003F52FE">
        <w:rPr>
          <w:color w:val="000000" w:themeColor="text1"/>
          <w:lang w:val="en-US"/>
        </w:rPr>
        <w:t>)</w:t>
      </w:r>
    </w:p>
    <w:p w:rsidR="00B06462" w:rsidRPr="003F52FE" w:rsidRDefault="00B06462" w:rsidP="0083766B">
      <w:pPr>
        <w:rPr>
          <w:color w:val="000000" w:themeColor="text1"/>
          <w:lang w:val="en-US"/>
        </w:rPr>
      </w:pPr>
    </w:p>
    <w:p w:rsidR="00126E34" w:rsidRPr="003F52FE" w:rsidRDefault="00C526DB" w:rsidP="0083766B">
      <w:pPr>
        <w:rPr>
          <w:color w:val="000000" w:themeColor="text1"/>
          <w:lang w:val="en-US"/>
        </w:rPr>
      </w:pPr>
      <w:proofErr w:type="gramStart"/>
      <w:r w:rsidRPr="003F52FE">
        <w:rPr>
          <w:color w:val="000000" w:themeColor="text1"/>
          <w:lang w:val="en-US"/>
        </w:rPr>
        <w:t>w</w:t>
      </w:r>
      <w:r w:rsidR="00795CF2" w:rsidRPr="003F52FE">
        <w:rPr>
          <w:color w:val="000000" w:themeColor="text1"/>
          <w:lang w:val="en-US"/>
        </w:rPr>
        <w:t>here</w:t>
      </w:r>
      <w:proofErr w:type="gramEnd"/>
      <w:r w:rsidRPr="003F52FE">
        <w:rPr>
          <w:color w:val="000000" w:themeColor="text1"/>
          <w:lang w:val="en-US"/>
        </w:rPr>
        <w:t xml:space="preserve"> </w:t>
      </w:r>
      <w:proofErr w:type="spellStart"/>
      <w:r w:rsidR="00795CF2" w:rsidRPr="003F52FE">
        <w:rPr>
          <w:i/>
          <w:color w:val="000000" w:themeColor="text1"/>
          <w:lang w:val="en-US"/>
        </w:rPr>
        <w:t>p</w:t>
      </w:r>
      <w:r w:rsidR="00795CF2" w:rsidRPr="003F52FE">
        <w:rPr>
          <w:i/>
          <w:color w:val="000000" w:themeColor="text1"/>
          <w:vertAlign w:val="superscript"/>
          <w:lang w:val="en-US"/>
        </w:rPr>
        <w:t>R</w:t>
      </w:r>
      <w:proofErr w:type="spellEnd"/>
      <w:r w:rsidR="00795CF2" w:rsidRPr="003F52FE">
        <w:rPr>
          <w:color w:val="000000" w:themeColor="text1"/>
          <w:lang w:val="en-US"/>
        </w:rPr>
        <w:t xml:space="preserve"> is the price of output relative to the price of capital goods. </w:t>
      </w:r>
      <w:r w:rsidR="00DD19B4" w:rsidRPr="003F52FE">
        <w:rPr>
          <w:color w:val="000000" w:themeColor="text1"/>
          <w:lang w:val="en-US"/>
        </w:rPr>
        <w:t>Expressing (16</w:t>
      </w:r>
      <w:r w:rsidR="0050703F" w:rsidRPr="003F52FE">
        <w:rPr>
          <w:color w:val="000000" w:themeColor="text1"/>
          <w:lang w:val="en-US"/>
        </w:rPr>
        <w:t>) i</w:t>
      </w:r>
      <w:r w:rsidR="00C259BF" w:rsidRPr="003F52FE">
        <w:rPr>
          <w:color w:val="000000" w:themeColor="text1"/>
          <w:lang w:val="en-US"/>
        </w:rPr>
        <w:t>n growth rates:</w:t>
      </w:r>
    </w:p>
    <w:p w:rsidR="00C259BF" w:rsidRPr="003F52FE" w:rsidRDefault="00C259BF" w:rsidP="0083766B">
      <w:pPr>
        <w:rPr>
          <w:color w:val="000000" w:themeColor="text1"/>
          <w:lang w:val="en-US"/>
        </w:rPr>
      </w:pPr>
    </w:p>
    <w:p w:rsidR="00EA77E1" w:rsidRPr="003F52FE" w:rsidRDefault="006D1067" w:rsidP="0083766B">
      <w:pPr>
        <w:rPr>
          <w:color w:val="000000" w:themeColor="text1"/>
          <w:lang w:val="en-US"/>
        </w:rPr>
      </w:pPr>
      <w:r w:rsidRPr="003F52FE">
        <w:rPr>
          <w:color w:val="000000" w:themeColor="text1"/>
          <w:position w:val="-18"/>
          <w:lang w:val="en-US"/>
        </w:rPr>
        <w:object w:dxaOrig="4200" w:dyaOrig="440">
          <v:shape id="_x0000_i1049" type="#_x0000_t75" style="width:210.5pt;height:22pt" o:ole="" fillcolor="window">
            <v:imagedata r:id="rId56" o:title=""/>
          </v:shape>
          <o:OLEObject Type="Embed" ProgID="Equation.3" ShapeID="_x0000_i1049" DrawAspect="Content" ObjectID="_1498406677" r:id="rId57"/>
        </w:object>
      </w:r>
      <w:r w:rsidR="00DD19B4" w:rsidRPr="003F52FE">
        <w:rPr>
          <w:color w:val="000000" w:themeColor="text1"/>
          <w:lang w:val="en-US"/>
        </w:rPr>
        <w:t xml:space="preserve">     </w:t>
      </w:r>
      <w:r w:rsidR="00071F74">
        <w:rPr>
          <w:color w:val="000000" w:themeColor="text1"/>
          <w:lang w:val="en-US"/>
        </w:rPr>
        <w:t xml:space="preserve">     </w:t>
      </w:r>
      <w:r w:rsidR="00DD19B4" w:rsidRPr="003F52FE">
        <w:rPr>
          <w:color w:val="000000" w:themeColor="text1"/>
          <w:lang w:val="en-US"/>
        </w:rPr>
        <w:t>(17</w:t>
      </w:r>
      <w:r w:rsidR="00E51C85" w:rsidRPr="003F52FE">
        <w:rPr>
          <w:color w:val="000000" w:themeColor="text1"/>
          <w:lang w:val="en-US"/>
        </w:rPr>
        <w:t>)</w:t>
      </w:r>
    </w:p>
    <w:p w:rsidR="00E51C85" w:rsidRPr="003F52FE" w:rsidRDefault="00E51C85" w:rsidP="0083766B">
      <w:pPr>
        <w:jc w:val="center"/>
        <w:rPr>
          <w:color w:val="000000" w:themeColor="text1"/>
          <w:lang w:val="en-US"/>
        </w:rPr>
      </w:pPr>
    </w:p>
    <w:p w:rsidR="00AC6448" w:rsidRPr="003F52FE" w:rsidRDefault="00743054" w:rsidP="0083766B">
      <w:pPr>
        <w:rPr>
          <w:color w:val="000000" w:themeColor="text1"/>
          <w:lang w:val="en-US"/>
        </w:rPr>
      </w:pPr>
      <w:r w:rsidRPr="003F52FE">
        <w:rPr>
          <w:color w:val="000000" w:themeColor="text1"/>
          <w:lang w:val="en-US"/>
        </w:rPr>
        <w:tab/>
      </w:r>
      <w:r w:rsidR="00AC6448" w:rsidRPr="003F52FE">
        <w:rPr>
          <w:color w:val="000000" w:themeColor="text1"/>
          <w:lang w:val="en-US"/>
        </w:rPr>
        <w:t xml:space="preserve">Therefore, </w:t>
      </w:r>
      <w:r w:rsidR="00FF5040" w:rsidRPr="003F52FE">
        <w:rPr>
          <w:color w:val="000000" w:themeColor="text1"/>
          <w:lang w:val="en-US"/>
        </w:rPr>
        <w:t xml:space="preserve">the </w:t>
      </w:r>
      <w:r w:rsidR="00203361" w:rsidRPr="003F52FE">
        <w:rPr>
          <w:color w:val="000000" w:themeColor="text1"/>
          <w:lang w:val="en-US"/>
        </w:rPr>
        <w:t xml:space="preserve">output </w:t>
      </w:r>
      <w:r w:rsidR="00FF5040" w:rsidRPr="003F52FE">
        <w:rPr>
          <w:color w:val="000000" w:themeColor="text1"/>
          <w:lang w:val="en-US"/>
        </w:rPr>
        <w:t>capital</w:t>
      </w:r>
      <w:r w:rsidR="00933773" w:rsidRPr="003F52FE">
        <w:rPr>
          <w:color w:val="000000" w:themeColor="text1"/>
          <w:lang w:val="en-US"/>
        </w:rPr>
        <w:t xml:space="preserve"> </w:t>
      </w:r>
      <w:r w:rsidR="00126E34" w:rsidRPr="003F52FE">
        <w:rPr>
          <w:color w:val="000000" w:themeColor="text1"/>
          <w:lang w:val="en-US"/>
        </w:rPr>
        <w:t xml:space="preserve">ratio </w:t>
      </w:r>
      <w:r w:rsidR="00EA77E1" w:rsidRPr="003F52FE">
        <w:rPr>
          <w:color w:val="000000" w:themeColor="text1"/>
          <w:lang w:val="en-US"/>
        </w:rPr>
        <w:t xml:space="preserve">at current prices </w:t>
      </w:r>
      <w:r w:rsidR="00AC6448" w:rsidRPr="003F52FE">
        <w:rPr>
          <w:color w:val="000000" w:themeColor="text1"/>
          <w:lang w:val="en-US"/>
        </w:rPr>
        <w:t>rises</w:t>
      </w:r>
      <w:r w:rsidR="00933773" w:rsidRPr="003F52FE">
        <w:rPr>
          <w:color w:val="000000" w:themeColor="text1"/>
          <w:lang w:val="en-US"/>
        </w:rPr>
        <w:t xml:space="preserve"> </w:t>
      </w:r>
      <w:r w:rsidR="00EA77E1" w:rsidRPr="003F52FE">
        <w:rPr>
          <w:color w:val="000000" w:themeColor="text1"/>
          <w:lang w:val="en-US"/>
        </w:rPr>
        <w:t>when</w:t>
      </w:r>
      <w:r w:rsidR="00F36F36" w:rsidRPr="003F52FE">
        <w:rPr>
          <w:color w:val="000000" w:themeColor="text1"/>
          <w:lang w:val="en-US"/>
        </w:rPr>
        <w:t>ever</w:t>
      </w:r>
      <w:r w:rsidR="00933773" w:rsidRPr="003F52FE">
        <w:rPr>
          <w:color w:val="000000" w:themeColor="text1"/>
          <w:lang w:val="en-US"/>
        </w:rPr>
        <w:t xml:space="preserve"> </w:t>
      </w:r>
      <w:r w:rsidR="00AC6448" w:rsidRPr="003F52FE">
        <w:rPr>
          <w:color w:val="000000" w:themeColor="text1"/>
          <w:lang w:val="en-US"/>
        </w:rPr>
        <w:t xml:space="preserve">the price of </w:t>
      </w:r>
      <w:r w:rsidR="00EA77E1" w:rsidRPr="003F52FE">
        <w:rPr>
          <w:color w:val="000000" w:themeColor="text1"/>
          <w:lang w:val="en-US"/>
        </w:rPr>
        <w:t xml:space="preserve">output </w:t>
      </w:r>
      <w:r w:rsidR="00AC6448" w:rsidRPr="003F52FE">
        <w:rPr>
          <w:color w:val="000000" w:themeColor="text1"/>
          <w:lang w:val="en-US"/>
        </w:rPr>
        <w:t xml:space="preserve">in relation to the price of </w:t>
      </w:r>
      <w:r w:rsidR="00EA77E1" w:rsidRPr="003F52FE">
        <w:rPr>
          <w:color w:val="000000" w:themeColor="text1"/>
          <w:lang w:val="en-US"/>
        </w:rPr>
        <w:t>capital</w:t>
      </w:r>
      <w:r w:rsidR="00B03348" w:rsidRPr="003F52FE">
        <w:rPr>
          <w:color w:val="000000" w:themeColor="text1"/>
          <w:lang w:val="en-US"/>
        </w:rPr>
        <w:t>,</w:t>
      </w:r>
      <w:r w:rsidR="00B03348" w:rsidRPr="003F52FE">
        <w:rPr>
          <w:color w:val="000000" w:themeColor="text1"/>
          <w:position w:val="-18"/>
        </w:rPr>
        <w:object w:dxaOrig="400" w:dyaOrig="420">
          <v:shape id="_x0000_i1050" type="#_x0000_t75" style="width:21.5pt;height:22pt" o:ole="">
            <v:imagedata r:id="rId58" o:title=""/>
          </v:shape>
          <o:OLEObject Type="Embed" ProgID="Equation.3" ShapeID="_x0000_i1050" DrawAspect="Content" ObjectID="_1498406678" r:id="rId59"/>
        </w:object>
      </w:r>
      <w:proofErr w:type="gramStart"/>
      <w:r w:rsidR="00B03348" w:rsidRPr="003F52FE">
        <w:rPr>
          <w:color w:val="000000" w:themeColor="text1"/>
          <w:lang w:val="en-US"/>
        </w:rPr>
        <w:t>,increases</w:t>
      </w:r>
      <w:proofErr w:type="gramEnd"/>
      <w:r w:rsidR="00F36F36" w:rsidRPr="003F52FE">
        <w:rPr>
          <w:color w:val="000000" w:themeColor="text1"/>
          <w:lang w:val="en-US"/>
        </w:rPr>
        <w:t xml:space="preserve">; the real output expands and growth rate of nonresidential capital stock at constant prices declines.  </w:t>
      </w:r>
    </w:p>
    <w:p w:rsidR="004709EC" w:rsidRPr="003F52FE" w:rsidRDefault="004709EC" w:rsidP="0083766B">
      <w:pPr>
        <w:jc w:val="both"/>
        <w:rPr>
          <w:color w:val="000000" w:themeColor="text1"/>
          <w:lang w:val="en-US"/>
        </w:rPr>
      </w:pPr>
    </w:p>
    <w:p w:rsidR="00D44454" w:rsidRPr="003F52FE" w:rsidRDefault="00D44454" w:rsidP="0083766B">
      <w:pPr>
        <w:jc w:val="both"/>
        <w:rPr>
          <w:b/>
          <w:color w:val="000000" w:themeColor="text1"/>
          <w:lang w:val="en-US"/>
        </w:rPr>
      </w:pPr>
      <w:r w:rsidRPr="003F52FE">
        <w:rPr>
          <w:b/>
          <w:color w:val="000000" w:themeColor="text1"/>
          <w:lang w:val="en-US"/>
        </w:rPr>
        <w:t xml:space="preserve">3. </w:t>
      </w:r>
      <w:r w:rsidR="00257459" w:rsidRPr="003F52FE">
        <w:rPr>
          <w:b/>
          <w:color w:val="000000" w:themeColor="text1"/>
          <w:lang w:val="en-US"/>
        </w:rPr>
        <w:t>An overview of o</w:t>
      </w:r>
      <w:r w:rsidR="00840E10" w:rsidRPr="003F52FE">
        <w:rPr>
          <w:b/>
          <w:color w:val="000000" w:themeColor="text1"/>
          <w:lang w:val="en-US"/>
        </w:rPr>
        <w:t xml:space="preserve">utput and </w:t>
      </w:r>
      <w:r w:rsidR="00257459" w:rsidRPr="003F52FE">
        <w:rPr>
          <w:b/>
          <w:color w:val="000000" w:themeColor="text1"/>
          <w:lang w:val="en-US"/>
        </w:rPr>
        <w:t>i</w:t>
      </w:r>
      <w:r w:rsidR="00840E10" w:rsidRPr="003F52FE">
        <w:rPr>
          <w:b/>
          <w:color w:val="000000" w:themeColor="text1"/>
          <w:lang w:val="en-US"/>
        </w:rPr>
        <w:t xml:space="preserve">nflation in </w:t>
      </w:r>
      <w:r w:rsidR="00257459" w:rsidRPr="003F52FE">
        <w:rPr>
          <w:b/>
          <w:color w:val="000000" w:themeColor="text1"/>
          <w:lang w:val="en-US"/>
        </w:rPr>
        <w:t>B</w:t>
      </w:r>
      <w:r w:rsidR="009A1535" w:rsidRPr="003F52FE">
        <w:rPr>
          <w:b/>
          <w:color w:val="000000" w:themeColor="text1"/>
          <w:lang w:val="en-US"/>
        </w:rPr>
        <w:t>razil</w:t>
      </w:r>
    </w:p>
    <w:p w:rsidR="00F36F36" w:rsidRPr="003F52FE" w:rsidRDefault="00F36F36" w:rsidP="0083766B">
      <w:pPr>
        <w:jc w:val="both"/>
        <w:rPr>
          <w:color w:val="000000" w:themeColor="text1"/>
          <w:lang w:val="en-US"/>
        </w:rPr>
      </w:pPr>
    </w:p>
    <w:p w:rsidR="009459C0" w:rsidRPr="003F52FE" w:rsidRDefault="00185411" w:rsidP="0083766B">
      <w:pPr>
        <w:rPr>
          <w:color w:val="000000" w:themeColor="text1"/>
          <w:lang w:val="en-US"/>
        </w:rPr>
      </w:pPr>
      <w:r w:rsidRPr="003F52FE">
        <w:rPr>
          <w:color w:val="000000" w:themeColor="text1"/>
          <w:lang w:val="en-US"/>
        </w:rPr>
        <w:t xml:space="preserve">The </w:t>
      </w:r>
      <w:r w:rsidR="00DE3B8B" w:rsidRPr="003F52FE">
        <w:rPr>
          <w:color w:val="000000" w:themeColor="text1"/>
          <w:lang w:val="en-US"/>
        </w:rPr>
        <w:t xml:space="preserve">history of the </w:t>
      </w:r>
      <w:r w:rsidR="003F52FE" w:rsidRPr="003F52FE">
        <w:rPr>
          <w:color w:val="000000" w:themeColor="text1"/>
          <w:lang w:val="en-US"/>
        </w:rPr>
        <w:t xml:space="preserve">Brazilian </w:t>
      </w:r>
      <w:r w:rsidR="00DE3B8B" w:rsidRPr="003F52FE">
        <w:rPr>
          <w:color w:val="000000" w:themeColor="text1"/>
          <w:lang w:val="en-US"/>
        </w:rPr>
        <w:t>economy</w:t>
      </w:r>
      <w:r w:rsidR="0020567F" w:rsidRPr="003F52FE">
        <w:rPr>
          <w:color w:val="000000" w:themeColor="text1"/>
          <w:lang w:val="en-US"/>
        </w:rPr>
        <w:t xml:space="preserve"> might be summed </w:t>
      </w:r>
      <w:r w:rsidR="00DE3B8B" w:rsidRPr="003F52FE">
        <w:rPr>
          <w:color w:val="000000" w:themeColor="text1"/>
          <w:lang w:val="en-US"/>
        </w:rPr>
        <w:t xml:space="preserve">up </w:t>
      </w:r>
      <w:r w:rsidR="00DB1CE3" w:rsidRPr="003F52FE">
        <w:rPr>
          <w:color w:val="000000" w:themeColor="text1"/>
          <w:lang w:val="en-US"/>
        </w:rPr>
        <w:t>by</w:t>
      </w:r>
      <w:r w:rsidR="0020567F" w:rsidRPr="003F52FE">
        <w:rPr>
          <w:color w:val="000000" w:themeColor="text1"/>
          <w:lang w:val="en-US"/>
        </w:rPr>
        <w:t xml:space="preserve"> a</w:t>
      </w:r>
      <w:r w:rsidR="00DB1CE3" w:rsidRPr="003F52FE">
        <w:rPr>
          <w:color w:val="000000" w:themeColor="text1"/>
          <w:lang w:val="en-US"/>
        </w:rPr>
        <w:t>n</w:t>
      </w:r>
      <w:r w:rsidR="00DE3B8B" w:rsidRPr="003F52FE">
        <w:rPr>
          <w:color w:val="000000" w:themeColor="text1"/>
          <w:lang w:val="en-US"/>
        </w:rPr>
        <w:t xml:space="preserve"> </w:t>
      </w:r>
      <w:r w:rsidR="00D27EB9" w:rsidRPr="003F52FE">
        <w:rPr>
          <w:color w:val="000000" w:themeColor="text1"/>
          <w:lang w:val="en-US"/>
        </w:rPr>
        <w:t>analysis</w:t>
      </w:r>
      <w:r w:rsidR="0020567F" w:rsidRPr="003F52FE">
        <w:rPr>
          <w:color w:val="000000" w:themeColor="text1"/>
          <w:lang w:val="en-US"/>
        </w:rPr>
        <w:t xml:space="preserve"> of three</w:t>
      </w:r>
      <w:r w:rsidR="000F0EA6" w:rsidRPr="003F52FE">
        <w:rPr>
          <w:color w:val="000000" w:themeColor="text1"/>
          <w:lang w:val="en-US"/>
        </w:rPr>
        <w:t xml:space="preserve"> interconnected variables</w:t>
      </w:r>
      <w:r w:rsidR="0020567F" w:rsidRPr="003F52FE">
        <w:rPr>
          <w:color w:val="000000" w:themeColor="text1"/>
          <w:lang w:val="en-US"/>
        </w:rPr>
        <w:t xml:space="preserve">: </w:t>
      </w:r>
      <w:r w:rsidR="00DB1CE3" w:rsidRPr="003F52FE">
        <w:rPr>
          <w:color w:val="000000" w:themeColor="text1"/>
          <w:lang w:val="en-US"/>
        </w:rPr>
        <w:t xml:space="preserve">output growth, </w:t>
      </w:r>
      <w:r w:rsidR="0020567F" w:rsidRPr="003F52FE">
        <w:rPr>
          <w:color w:val="000000" w:themeColor="text1"/>
          <w:lang w:val="en-US"/>
        </w:rPr>
        <w:t>inflation</w:t>
      </w:r>
      <w:r w:rsidR="000F0EA6" w:rsidRPr="003F52FE">
        <w:rPr>
          <w:color w:val="000000" w:themeColor="text1"/>
          <w:lang w:val="en-US"/>
        </w:rPr>
        <w:t xml:space="preserve"> rate</w:t>
      </w:r>
      <w:r w:rsidR="00DE3B8B" w:rsidRPr="003F52FE">
        <w:rPr>
          <w:color w:val="000000" w:themeColor="text1"/>
          <w:lang w:val="en-US"/>
        </w:rPr>
        <w:t xml:space="preserve"> </w:t>
      </w:r>
      <w:r w:rsidR="00B83CFA" w:rsidRPr="003F52FE">
        <w:rPr>
          <w:color w:val="000000" w:themeColor="text1"/>
          <w:lang w:val="en-US"/>
        </w:rPr>
        <w:t>and</w:t>
      </w:r>
      <w:r w:rsidR="00DE3B8B" w:rsidRPr="003F52FE">
        <w:rPr>
          <w:color w:val="000000" w:themeColor="text1"/>
          <w:lang w:val="en-US"/>
        </w:rPr>
        <w:t xml:space="preserve"> </w:t>
      </w:r>
      <w:r w:rsidR="00B83CFA" w:rsidRPr="003F52FE">
        <w:rPr>
          <w:color w:val="000000" w:themeColor="text1"/>
          <w:lang w:val="en-US"/>
        </w:rPr>
        <w:t>profit rate</w:t>
      </w:r>
      <w:r w:rsidR="0020567F" w:rsidRPr="003F52FE">
        <w:rPr>
          <w:color w:val="000000" w:themeColor="text1"/>
          <w:lang w:val="en-US"/>
        </w:rPr>
        <w:t xml:space="preserve">. </w:t>
      </w:r>
      <w:r w:rsidR="00DE3B8B" w:rsidRPr="003F52FE">
        <w:rPr>
          <w:color w:val="000000" w:themeColor="text1"/>
          <w:lang w:val="en-US"/>
        </w:rPr>
        <w:t>In this paper</w:t>
      </w:r>
      <w:r w:rsidR="00F2542D" w:rsidRPr="003F52FE">
        <w:rPr>
          <w:color w:val="000000" w:themeColor="text1"/>
          <w:lang w:val="en-US"/>
        </w:rPr>
        <w:t xml:space="preserve">, </w:t>
      </w:r>
      <w:r w:rsidR="005C045E" w:rsidRPr="003F52FE">
        <w:rPr>
          <w:color w:val="000000" w:themeColor="text1"/>
          <w:lang w:val="en-US"/>
        </w:rPr>
        <w:t xml:space="preserve">we briefly investigate the evolution of </w:t>
      </w:r>
      <w:r w:rsidR="000F0EA6" w:rsidRPr="003F52FE">
        <w:rPr>
          <w:color w:val="000000" w:themeColor="text1"/>
          <w:lang w:val="en-US"/>
        </w:rPr>
        <w:t xml:space="preserve">the </w:t>
      </w:r>
      <w:r w:rsidR="0020567F" w:rsidRPr="003F52FE">
        <w:rPr>
          <w:color w:val="000000" w:themeColor="text1"/>
          <w:lang w:val="en-US"/>
        </w:rPr>
        <w:t>inflation</w:t>
      </w:r>
      <w:r w:rsidR="000F0EA6" w:rsidRPr="003F52FE">
        <w:rPr>
          <w:color w:val="000000" w:themeColor="text1"/>
          <w:lang w:val="en-US"/>
        </w:rPr>
        <w:t xml:space="preserve"> rate</w:t>
      </w:r>
      <w:r w:rsidR="00DE43E7" w:rsidRPr="003F52FE">
        <w:rPr>
          <w:color w:val="000000" w:themeColor="text1"/>
          <w:lang w:val="en-US"/>
        </w:rPr>
        <w:t xml:space="preserve"> and </w:t>
      </w:r>
      <w:r w:rsidR="000F0EA6" w:rsidRPr="003F52FE">
        <w:rPr>
          <w:color w:val="000000" w:themeColor="text1"/>
          <w:lang w:val="en-US"/>
        </w:rPr>
        <w:t xml:space="preserve">the </w:t>
      </w:r>
      <w:r w:rsidR="00C40DCF" w:rsidRPr="003F52FE">
        <w:rPr>
          <w:color w:val="000000" w:themeColor="text1"/>
          <w:lang w:val="en-US"/>
        </w:rPr>
        <w:t>output</w:t>
      </w:r>
      <w:r w:rsidR="0020567F" w:rsidRPr="003F52FE">
        <w:rPr>
          <w:color w:val="000000" w:themeColor="text1"/>
          <w:lang w:val="en-US"/>
        </w:rPr>
        <w:t xml:space="preserve">, </w:t>
      </w:r>
      <w:r w:rsidR="0048576E" w:rsidRPr="003F52FE">
        <w:rPr>
          <w:color w:val="000000" w:themeColor="text1"/>
          <w:lang w:val="en-US"/>
        </w:rPr>
        <w:t>examining</w:t>
      </w:r>
      <w:r w:rsidR="004A7E68" w:rsidRPr="003F52FE">
        <w:rPr>
          <w:color w:val="000000" w:themeColor="text1"/>
          <w:lang w:val="en-US"/>
        </w:rPr>
        <w:t xml:space="preserve"> the </w:t>
      </w:r>
      <w:r w:rsidR="006467FC" w:rsidRPr="003F52FE">
        <w:rPr>
          <w:color w:val="000000" w:themeColor="text1"/>
          <w:lang w:val="en-US"/>
        </w:rPr>
        <w:t xml:space="preserve">profit rate </w:t>
      </w:r>
      <w:r w:rsidR="004A7E68" w:rsidRPr="003F52FE">
        <w:rPr>
          <w:color w:val="000000" w:themeColor="text1"/>
          <w:lang w:val="en-US"/>
        </w:rPr>
        <w:t xml:space="preserve">in </w:t>
      </w:r>
      <w:r w:rsidR="006467FC" w:rsidRPr="003F52FE">
        <w:rPr>
          <w:color w:val="000000" w:themeColor="text1"/>
          <w:lang w:val="en-US"/>
        </w:rPr>
        <w:t>the next section</w:t>
      </w:r>
      <w:r w:rsidR="00DE43E7" w:rsidRPr="003F52FE">
        <w:rPr>
          <w:color w:val="000000" w:themeColor="text1"/>
          <w:lang w:val="en-US"/>
        </w:rPr>
        <w:t>.</w:t>
      </w:r>
    </w:p>
    <w:p w:rsidR="00716BD3" w:rsidRPr="003F52FE" w:rsidRDefault="00DE3B8B" w:rsidP="0083766B">
      <w:pPr>
        <w:rPr>
          <w:color w:val="000000" w:themeColor="text1"/>
          <w:lang w:val="en-US"/>
        </w:rPr>
      </w:pPr>
      <w:r w:rsidRPr="003F52FE">
        <w:rPr>
          <w:color w:val="000000" w:themeColor="text1"/>
          <w:lang w:val="en-US"/>
        </w:rPr>
        <w:tab/>
      </w:r>
      <w:r w:rsidR="00BA2FEE" w:rsidRPr="003F52FE">
        <w:rPr>
          <w:color w:val="000000" w:themeColor="text1"/>
          <w:lang w:val="en-US"/>
        </w:rPr>
        <w:t>After</w:t>
      </w:r>
      <w:r w:rsidRPr="003F52FE">
        <w:rPr>
          <w:color w:val="000000" w:themeColor="text1"/>
          <w:lang w:val="en-US"/>
        </w:rPr>
        <w:t xml:space="preserve"> </w:t>
      </w:r>
      <w:r w:rsidR="00716BD3" w:rsidRPr="003F52FE">
        <w:rPr>
          <w:color w:val="000000" w:themeColor="text1"/>
          <w:lang w:val="en-US"/>
        </w:rPr>
        <w:t>the Second World War, we can highlight three phases in the Brazilian economy: the import</w:t>
      </w:r>
      <w:r w:rsidR="00716BD3" w:rsidRPr="003F52FE">
        <w:rPr>
          <w:rFonts w:ascii="TimesNewRomanPSMT" w:hAnsi="TimesNewRomanPSMT" w:cs="TimesNewRomanPSMT"/>
          <w:color w:val="000000" w:themeColor="text1"/>
          <w:lang w:val="en-US" w:eastAsia="en-US"/>
        </w:rPr>
        <w:t xml:space="preserve"> substitution industrialization</w:t>
      </w:r>
      <w:r w:rsidR="00716BD3" w:rsidRPr="003F52FE">
        <w:rPr>
          <w:color w:val="000000" w:themeColor="text1"/>
          <w:lang w:val="en-US"/>
        </w:rPr>
        <w:t xml:space="preserve"> (ISI) up to</w:t>
      </w:r>
      <w:r w:rsidRPr="003F52FE">
        <w:rPr>
          <w:color w:val="000000" w:themeColor="text1"/>
          <w:lang w:val="en-US"/>
        </w:rPr>
        <w:t xml:space="preserve"> the</w:t>
      </w:r>
      <w:r w:rsidR="00716BD3" w:rsidRPr="003F52FE">
        <w:rPr>
          <w:color w:val="000000" w:themeColor="text1"/>
          <w:lang w:val="en-US"/>
        </w:rPr>
        <w:t xml:space="preserve"> late 1970s, the neoliberal era, during the 1980s and 1990s, and a combination of elements of these models with greater social inclusion after 2003.</w:t>
      </w:r>
    </w:p>
    <w:p w:rsidR="00DB1CE3" w:rsidRPr="003F52FE" w:rsidRDefault="00716BD3" w:rsidP="0083766B">
      <w:pPr>
        <w:ind w:firstLine="720"/>
        <w:rPr>
          <w:color w:val="000000" w:themeColor="text1"/>
          <w:lang w:val="en-US"/>
        </w:rPr>
      </w:pPr>
      <w:r w:rsidRPr="003F52FE">
        <w:rPr>
          <w:color w:val="000000" w:themeColor="text1"/>
          <w:lang w:val="en-US"/>
        </w:rPr>
        <w:t xml:space="preserve">As expected, these phases combine different </w:t>
      </w:r>
      <w:r w:rsidR="00D27EB9" w:rsidRPr="003F52FE">
        <w:rPr>
          <w:color w:val="000000" w:themeColor="text1"/>
          <w:lang w:val="en-US"/>
        </w:rPr>
        <w:t xml:space="preserve">historical record on </w:t>
      </w:r>
      <w:r w:rsidRPr="003F52FE">
        <w:rPr>
          <w:color w:val="000000" w:themeColor="text1"/>
          <w:lang w:val="en-US"/>
        </w:rPr>
        <w:t xml:space="preserve">output and </w:t>
      </w:r>
      <w:r w:rsidR="00D27EB9" w:rsidRPr="003F52FE">
        <w:rPr>
          <w:color w:val="000000" w:themeColor="text1"/>
          <w:lang w:val="en-US"/>
        </w:rPr>
        <w:t>inflation</w:t>
      </w:r>
      <w:r w:rsidRPr="003F52FE">
        <w:rPr>
          <w:color w:val="000000" w:themeColor="text1"/>
          <w:lang w:val="en-US"/>
        </w:rPr>
        <w:t xml:space="preserve">.  </w:t>
      </w:r>
      <w:r w:rsidR="00431DA8" w:rsidRPr="003F52FE">
        <w:rPr>
          <w:color w:val="000000" w:themeColor="text1"/>
          <w:lang w:val="en-US"/>
        </w:rPr>
        <w:t>T</w:t>
      </w:r>
      <w:r w:rsidRPr="003F52FE">
        <w:rPr>
          <w:color w:val="000000" w:themeColor="text1"/>
          <w:lang w:val="en-US"/>
        </w:rPr>
        <w:t>he 1950s to early 1970s</w:t>
      </w:r>
      <w:r w:rsidR="00DE3B8B" w:rsidRPr="003F52FE">
        <w:rPr>
          <w:color w:val="000000" w:themeColor="text1"/>
          <w:lang w:val="en-US"/>
        </w:rPr>
        <w:t xml:space="preserve"> </w:t>
      </w:r>
      <w:r w:rsidRPr="003F52FE">
        <w:rPr>
          <w:color w:val="000000" w:themeColor="text1"/>
          <w:lang w:val="en-US"/>
        </w:rPr>
        <w:t xml:space="preserve">was </w:t>
      </w:r>
      <w:r w:rsidR="00431DA8" w:rsidRPr="003F52FE">
        <w:rPr>
          <w:color w:val="000000" w:themeColor="text1"/>
          <w:lang w:val="en-US"/>
        </w:rPr>
        <w:t>a period</w:t>
      </w:r>
      <w:r w:rsidR="002765EB" w:rsidRPr="003F52FE">
        <w:rPr>
          <w:color w:val="000000" w:themeColor="text1"/>
          <w:lang w:val="en-US"/>
        </w:rPr>
        <w:t xml:space="preserve"> of </w:t>
      </w:r>
      <w:r w:rsidR="009114F1" w:rsidRPr="003F52FE">
        <w:rPr>
          <w:color w:val="000000" w:themeColor="text1"/>
          <w:lang w:val="en-US"/>
        </w:rPr>
        <w:t>high</w:t>
      </w:r>
      <w:r w:rsidR="00DE3B8B" w:rsidRPr="003F52FE">
        <w:rPr>
          <w:color w:val="000000" w:themeColor="text1"/>
          <w:lang w:val="en-US"/>
        </w:rPr>
        <w:t xml:space="preserve"> </w:t>
      </w:r>
      <w:r w:rsidR="00431DA8" w:rsidRPr="003F52FE">
        <w:rPr>
          <w:color w:val="000000" w:themeColor="text1"/>
          <w:lang w:val="en-US"/>
        </w:rPr>
        <w:t xml:space="preserve">economic </w:t>
      </w:r>
      <w:r w:rsidR="00BC3FC6" w:rsidRPr="003F52FE">
        <w:rPr>
          <w:color w:val="000000" w:themeColor="text1"/>
          <w:lang w:val="en-US"/>
        </w:rPr>
        <w:t>growth</w:t>
      </w:r>
      <w:r w:rsidR="00DE3B8B" w:rsidRPr="003F52FE">
        <w:rPr>
          <w:color w:val="000000" w:themeColor="text1"/>
          <w:lang w:val="en-US"/>
        </w:rPr>
        <w:t xml:space="preserve"> with</w:t>
      </w:r>
      <w:r w:rsidR="004A7E68" w:rsidRPr="003F52FE">
        <w:rPr>
          <w:color w:val="000000" w:themeColor="text1"/>
          <w:lang w:val="en-US"/>
        </w:rPr>
        <w:t xml:space="preserve"> moderate </w:t>
      </w:r>
      <w:r w:rsidRPr="003F52FE">
        <w:rPr>
          <w:color w:val="000000" w:themeColor="text1"/>
          <w:lang w:val="en-US"/>
        </w:rPr>
        <w:t xml:space="preserve">and rising </w:t>
      </w:r>
      <w:r w:rsidR="004A7E68" w:rsidRPr="003F52FE">
        <w:rPr>
          <w:color w:val="000000" w:themeColor="text1"/>
          <w:lang w:val="en-US"/>
        </w:rPr>
        <w:t>inflation</w:t>
      </w:r>
      <w:r w:rsidR="00431DA8" w:rsidRPr="003F52FE">
        <w:rPr>
          <w:color w:val="000000" w:themeColor="text1"/>
          <w:lang w:val="en-US"/>
        </w:rPr>
        <w:t xml:space="preserve">; </w:t>
      </w:r>
      <w:r w:rsidR="00402F19" w:rsidRPr="003F52FE">
        <w:rPr>
          <w:color w:val="000000" w:themeColor="text1"/>
          <w:lang w:val="en-US"/>
        </w:rPr>
        <w:t>the 1980s</w:t>
      </w:r>
      <w:r w:rsidR="004A7E68" w:rsidRPr="003F52FE">
        <w:rPr>
          <w:color w:val="000000" w:themeColor="text1"/>
          <w:lang w:val="en-US"/>
        </w:rPr>
        <w:t xml:space="preserve"> and early 1990s</w:t>
      </w:r>
      <w:r w:rsidR="00DE3B8B" w:rsidRPr="003F52FE">
        <w:rPr>
          <w:color w:val="000000" w:themeColor="text1"/>
          <w:lang w:val="en-US"/>
        </w:rPr>
        <w:t xml:space="preserve"> combined a high inflation with</w:t>
      </w:r>
      <w:r w:rsidR="00431DA8" w:rsidRPr="003F52FE">
        <w:rPr>
          <w:color w:val="000000" w:themeColor="text1"/>
          <w:lang w:val="en-US"/>
        </w:rPr>
        <w:t xml:space="preserve"> a reduced economy growth; </w:t>
      </w:r>
      <w:r w:rsidR="00DB1CE3" w:rsidRPr="003F52FE">
        <w:rPr>
          <w:color w:val="000000" w:themeColor="text1"/>
          <w:lang w:val="en-US"/>
        </w:rPr>
        <w:t>the middle 1</w:t>
      </w:r>
      <w:r w:rsidR="00F2542D" w:rsidRPr="003F52FE">
        <w:rPr>
          <w:color w:val="000000" w:themeColor="text1"/>
          <w:lang w:val="en-US"/>
        </w:rPr>
        <w:t>990s</w:t>
      </w:r>
      <w:r w:rsidR="00431DA8" w:rsidRPr="003F52FE">
        <w:rPr>
          <w:color w:val="000000" w:themeColor="text1"/>
          <w:lang w:val="en-US"/>
        </w:rPr>
        <w:t xml:space="preserve"> to early 2000s</w:t>
      </w:r>
      <w:r w:rsidR="00DE3B8B" w:rsidRPr="003F52FE">
        <w:rPr>
          <w:color w:val="000000" w:themeColor="text1"/>
          <w:lang w:val="en-US"/>
        </w:rPr>
        <w:t xml:space="preserve"> was </w:t>
      </w:r>
      <w:r w:rsidR="00431DA8" w:rsidRPr="003F52FE">
        <w:rPr>
          <w:color w:val="000000" w:themeColor="text1"/>
          <w:lang w:val="en-US"/>
        </w:rPr>
        <w:t xml:space="preserve">associated </w:t>
      </w:r>
      <w:r w:rsidR="00DE3B8B" w:rsidRPr="003F52FE">
        <w:rPr>
          <w:color w:val="000000" w:themeColor="text1"/>
          <w:lang w:val="en-US"/>
        </w:rPr>
        <w:t xml:space="preserve">with </w:t>
      </w:r>
      <w:r w:rsidR="004A7E68" w:rsidRPr="003F52FE">
        <w:rPr>
          <w:color w:val="000000" w:themeColor="text1"/>
          <w:lang w:val="en-US"/>
        </w:rPr>
        <w:t xml:space="preserve">low inflation </w:t>
      </w:r>
      <w:r w:rsidR="00431DA8" w:rsidRPr="003F52FE">
        <w:rPr>
          <w:color w:val="000000" w:themeColor="text1"/>
          <w:lang w:val="en-US"/>
        </w:rPr>
        <w:t xml:space="preserve">and diminished </w:t>
      </w:r>
      <w:r w:rsidR="004A7E68" w:rsidRPr="003F52FE">
        <w:rPr>
          <w:color w:val="000000" w:themeColor="text1"/>
          <w:lang w:val="en-US"/>
        </w:rPr>
        <w:t xml:space="preserve">economic growth. </w:t>
      </w:r>
      <w:r w:rsidR="00DB1CE3" w:rsidRPr="003F52FE">
        <w:rPr>
          <w:color w:val="000000" w:themeColor="text1"/>
          <w:lang w:val="en-US"/>
        </w:rPr>
        <w:t>After 2003</w:t>
      </w:r>
      <w:r w:rsidR="00431DA8" w:rsidRPr="003F52FE">
        <w:rPr>
          <w:color w:val="000000" w:themeColor="text1"/>
          <w:lang w:val="en-US"/>
        </w:rPr>
        <w:t>,</w:t>
      </w:r>
      <w:r w:rsidR="00DB1CE3" w:rsidRPr="003F52FE">
        <w:rPr>
          <w:color w:val="000000" w:themeColor="text1"/>
          <w:lang w:val="en-US"/>
        </w:rPr>
        <w:t xml:space="preserve"> the low inflation was accompanied by </w:t>
      </w:r>
      <w:r w:rsidR="00431DA8" w:rsidRPr="003F52FE">
        <w:rPr>
          <w:color w:val="000000" w:themeColor="text1"/>
          <w:lang w:val="en-US"/>
        </w:rPr>
        <w:t xml:space="preserve">a moderate </w:t>
      </w:r>
      <w:r w:rsidR="00DB1CE3" w:rsidRPr="003F52FE">
        <w:rPr>
          <w:color w:val="000000" w:themeColor="text1"/>
          <w:lang w:val="en-US"/>
        </w:rPr>
        <w:t xml:space="preserve">expansion in the </w:t>
      </w:r>
      <w:r w:rsidR="004A7E68" w:rsidRPr="003F52FE">
        <w:rPr>
          <w:color w:val="000000" w:themeColor="text1"/>
          <w:lang w:val="en-US"/>
        </w:rPr>
        <w:t>grow</w:t>
      </w:r>
      <w:r w:rsidR="00DE3B8B" w:rsidRPr="003F52FE">
        <w:rPr>
          <w:color w:val="000000" w:themeColor="text1"/>
          <w:lang w:val="en-US"/>
        </w:rPr>
        <w:t>th</w:t>
      </w:r>
      <w:r w:rsidR="004A7E68" w:rsidRPr="003F52FE">
        <w:rPr>
          <w:color w:val="000000" w:themeColor="text1"/>
          <w:lang w:val="en-US"/>
        </w:rPr>
        <w:t xml:space="preserve"> rate</w:t>
      </w:r>
      <w:r w:rsidR="00DB1CE3" w:rsidRPr="003F52FE">
        <w:rPr>
          <w:color w:val="000000" w:themeColor="text1"/>
          <w:lang w:val="en-US"/>
        </w:rPr>
        <w:t>.</w:t>
      </w:r>
    </w:p>
    <w:p w:rsidR="00CF5520" w:rsidRPr="003F52FE" w:rsidRDefault="00DB1CE3" w:rsidP="0083766B">
      <w:pPr>
        <w:ind w:firstLine="720"/>
        <w:rPr>
          <w:color w:val="000000" w:themeColor="text1"/>
          <w:lang w:val="en-US"/>
        </w:rPr>
      </w:pPr>
      <w:r w:rsidRPr="003F52FE">
        <w:rPr>
          <w:color w:val="000000" w:themeColor="text1"/>
          <w:lang w:val="en-US"/>
        </w:rPr>
        <w:t xml:space="preserve">During the </w:t>
      </w:r>
      <w:r w:rsidR="003C768B" w:rsidRPr="003F52FE">
        <w:rPr>
          <w:color w:val="000000" w:themeColor="text1"/>
          <w:lang w:val="en-US"/>
        </w:rPr>
        <w:t>ISI</w:t>
      </w:r>
      <w:r w:rsidRPr="003F52FE">
        <w:rPr>
          <w:color w:val="000000" w:themeColor="text1"/>
          <w:lang w:val="en-US"/>
        </w:rPr>
        <w:t>, t</w:t>
      </w:r>
      <w:r w:rsidR="003C768B" w:rsidRPr="003F52FE">
        <w:rPr>
          <w:color w:val="000000" w:themeColor="text1"/>
          <w:lang w:val="en-US"/>
        </w:rPr>
        <w:t xml:space="preserve">he </w:t>
      </w:r>
      <w:r w:rsidR="00B07C4A" w:rsidRPr="003F52FE">
        <w:rPr>
          <w:color w:val="000000" w:themeColor="text1"/>
          <w:lang w:val="en-US"/>
        </w:rPr>
        <w:t>industr</w:t>
      </w:r>
      <w:r w:rsidR="008A33D7" w:rsidRPr="003F52FE">
        <w:rPr>
          <w:color w:val="000000" w:themeColor="text1"/>
          <w:lang w:val="en-US"/>
        </w:rPr>
        <w:t>ial</w:t>
      </w:r>
      <w:r w:rsidR="00DE3B8B" w:rsidRPr="003F52FE">
        <w:rPr>
          <w:color w:val="000000" w:themeColor="text1"/>
          <w:lang w:val="en-US"/>
        </w:rPr>
        <w:t xml:space="preserve"> </w:t>
      </w:r>
      <w:r w:rsidR="003C768B" w:rsidRPr="003F52FE">
        <w:rPr>
          <w:color w:val="000000" w:themeColor="text1"/>
          <w:lang w:val="en-US"/>
        </w:rPr>
        <w:t>sector drove the economic growth</w:t>
      </w:r>
      <w:r w:rsidRPr="003F52FE">
        <w:rPr>
          <w:color w:val="000000" w:themeColor="text1"/>
          <w:lang w:val="en-US"/>
        </w:rPr>
        <w:t>.</w:t>
      </w:r>
      <w:r w:rsidR="00DE3B8B" w:rsidRPr="003F52FE">
        <w:rPr>
          <w:color w:val="000000" w:themeColor="text1"/>
          <w:lang w:val="en-US"/>
        </w:rPr>
        <w:t xml:space="preserve"> </w:t>
      </w:r>
      <w:r w:rsidRPr="003F52FE">
        <w:rPr>
          <w:color w:val="000000" w:themeColor="text1"/>
          <w:lang w:val="en-US"/>
        </w:rPr>
        <w:t>T</w:t>
      </w:r>
      <w:r w:rsidR="003C768B" w:rsidRPr="003F52FE">
        <w:rPr>
          <w:color w:val="000000" w:themeColor="text1"/>
          <w:lang w:val="en-US"/>
        </w:rPr>
        <w:t>he GDP expanded at 7.3%</w:t>
      </w:r>
      <w:r w:rsidR="008A33D7" w:rsidRPr="003F52FE">
        <w:rPr>
          <w:color w:val="000000" w:themeColor="text1"/>
          <w:lang w:val="en-US"/>
        </w:rPr>
        <w:t>,</w:t>
      </w:r>
      <w:r w:rsidR="00C526DB" w:rsidRPr="003F52FE">
        <w:rPr>
          <w:color w:val="000000" w:themeColor="text1"/>
          <w:lang w:val="en-US"/>
        </w:rPr>
        <w:t xml:space="preserve"> </w:t>
      </w:r>
      <w:r w:rsidR="008A33D7" w:rsidRPr="003F52FE">
        <w:rPr>
          <w:color w:val="000000" w:themeColor="text1"/>
          <w:lang w:val="en-US"/>
        </w:rPr>
        <w:t xml:space="preserve">while the </w:t>
      </w:r>
      <w:r w:rsidR="003C768B" w:rsidRPr="003F52FE">
        <w:rPr>
          <w:color w:val="000000" w:themeColor="text1"/>
          <w:lang w:val="en-US"/>
        </w:rPr>
        <w:t>industr</w:t>
      </w:r>
      <w:r w:rsidR="008A33D7" w:rsidRPr="003F52FE">
        <w:rPr>
          <w:color w:val="000000" w:themeColor="text1"/>
          <w:lang w:val="en-US"/>
        </w:rPr>
        <w:t xml:space="preserve">y </w:t>
      </w:r>
      <w:r w:rsidR="00B07C4A" w:rsidRPr="003F52FE">
        <w:rPr>
          <w:color w:val="000000" w:themeColor="text1"/>
          <w:lang w:val="en-US"/>
        </w:rPr>
        <w:t xml:space="preserve">increased </w:t>
      </w:r>
      <w:r w:rsidR="008A33D7" w:rsidRPr="003F52FE">
        <w:rPr>
          <w:color w:val="000000" w:themeColor="text1"/>
          <w:lang w:val="en-US"/>
        </w:rPr>
        <w:t>its share</w:t>
      </w:r>
      <w:r w:rsidR="00DE3B8B" w:rsidRPr="003F52FE">
        <w:rPr>
          <w:color w:val="000000" w:themeColor="text1"/>
          <w:lang w:val="en-US"/>
        </w:rPr>
        <w:t xml:space="preserve"> of GDP</w:t>
      </w:r>
      <w:r w:rsidR="008A33D7" w:rsidRPr="003F52FE">
        <w:rPr>
          <w:color w:val="000000" w:themeColor="text1"/>
          <w:lang w:val="en-US"/>
        </w:rPr>
        <w:t xml:space="preserve"> </w:t>
      </w:r>
      <w:r w:rsidR="00B07C4A" w:rsidRPr="003F52FE">
        <w:rPr>
          <w:color w:val="000000" w:themeColor="text1"/>
          <w:lang w:val="en-US"/>
        </w:rPr>
        <w:t xml:space="preserve">from 26.3% in 1953 to 44.1% in 1980. </w:t>
      </w:r>
      <w:r w:rsidR="005E64E6" w:rsidRPr="003F52FE">
        <w:rPr>
          <w:color w:val="000000" w:themeColor="text1"/>
          <w:lang w:val="en-US"/>
        </w:rPr>
        <w:t>There were two economic booms</w:t>
      </w:r>
      <w:r w:rsidR="00DE3B8B" w:rsidRPr="003F52FE">
        <w:rPr>
          <w:color w:val="000000" w:themeColor="text1"/>
          <w:lang w:val="en-US"/>
        </w:rPr>
        <w:t>, followed by</w:t>
      </w:r>
      <w:r w:rsidR="005E64E6" w:rsidRPr="003F52FE">
        <w:rPr>
          <w:color w:val="000000" w:themeColor="text1"/>
          <w:lang w:val="en-US"/>
        </w:rPr>
        <w:t xml:space="preserve"> rising in inflation. The first one was from 1955 to 1960, when Brazil went through a rapid industrialization process. Led by the expansion of the consumer durable and capital goods sectors, </w:t>
      </w:r>
      <w:r w:rsidR="006D717A" w:rsidRPr="003F52FE">
        <w:rPr>
          <w:color w:val="000000" w:themeColor="text1"/>
          <w:lang w:val="en-US"/>
        </w:rPr>
        <w:t xml:space="preserve">the </w:t>
      </w:r>
      <w:r w:rsidR="005E64E6" w:rsidRPr="003F52FE">
        <w:rPr>
          <w:color w:val="000000" w:themeColor="text1"/>
          <w:lang w:val="en-US"/>
        </w:rPr>
        <w:t>GDP expanded at an annual compound growth rate of 7.7% between 1953 and 1962</w:t>
      </w:r>
      <w:r w:rsidR="00066642" w:rsidRPr="003F52FE">
        <w:rPr>
          <w:color w:val="000000" w:themeColor="text1"/>
          <w:lang w:val="en-US"/>
        </w:rPr>
        <w:t>. T</w:t>
      </w:r>
      <w:r w:rsidR="005E64E6" w:rsidRPr="003F52FE">
        <w:rPr>
          <w:color w:val="000000" w:themeColor="text1"/>
          <w:lang w:val="en-US"/>
        </w:rPr>
        <w:t xml:space="preserve">he inflation </w:t>
      </w:r>
      <w:r w:rsidR="00066642" w:rsidRPr="003F52FE">
        <w:rPr>
          <w:color w:val="000000" w:themeColor="text1"/>
          <w:lang w:val="en-US"/>
        </w:rPr>
        <w:t xml:space="preserve">rate, whose average was 17% in the 1950s, rose </w:t>
      </w:r>
      <w:r w:rsidR="005E64E6" w:rsidRPr="003F52FE">
        <w:rPr>
          <w:color w:val="000000" w:themeColor="text1"/>
          <w:lang w:val="en-US"/>
        </w:rPr>
        <w:t xml:space="preserve">from </w:t>
      </w:r>
      <w:r w:rsidR="00066642" w:rsidRPr="003F52FE">
        <w:rPr>
          <w:color w:val="000000" w:themeColor="text1"/>
          <w:lang w:val="en-US"/>
        </w:rPr>
        <w:t xml:space="preserve">25.6% </w:t>
      </w:r>
      <w:r w:rsidR="005E64E6" w:rsidRPr="003F52FE">
        <w:rPr>
          <w:color w:val="000000" w:themeColor="text1"/>
          <w:lang w:val="en-US"/>
        </w:rPr>
        <w:t xml:space="preserve">in 1960 to </w:t>
      </w:r>
      <w:r w:rsidR="00066642" w:rsidRPr="003F52FE">
        <w:rPr>
          <w:color w:val="000000" w:themeColor="text1"/>
          <w:lang w:val="en-US"/>
        </w:rPr>
        <w:t>89.5% in 1964</w:t>
      </w:r>
      <w:r w:rsidR="005E64E6" w:rsidRPr="003F52FE">
        <w:rPr>
          <w:color w:val="000000" w:themeColor="text1"/>
          <w:lang w:val="en-US"/>
        </w:rPr>
        <w:t xml:space="preserve">.  </w:t>
      </w:r>
    </w:p>
    <w:p w:rsidR="00B07C4A" w:rsidRPr="003F52FE" w:rsidRDefault="005E64E6" w:rsidP="0083766B">
      <w:pPr>
        <w:ind w:firstLine="720"/>
        <w:rPr>
          <w:color w:val="000000" w:themeColor="text1"/>
          <w:lang w:val="en-US"/>
        </w:rPr>
      </w:pPr>
      <w:r w:rsidRPr="003F52FE">
        <w:rPr>
          <w:color w:val="000000" w:themeColor="text1"/>
          <w:lang w:val="en-US"/>
        </w:rPr>
        <w:t>The high inflation rate was one of the excus</w:t>
      </w:r>
      <w:r w:rsidR="00DE3B8B" w:rsidRPr="003F52FE">
        <w:rPr>
          <w:color w:val="000000" w:themeColor="text1"/>
          <w:lang w:val="en-US"/>
        </w:rPr>
        <w:t>es for</w:t>
      </w:r>
      <w:r w:rsidR="00CF5520" w:rsidRPr="003F52FE">
        <w:rPr>
          <w:color w:val="000000" w:themeColor="text1"/>
          <w:lang w:val="en-US"/>
        </w:rPr>
        <w:t xml:space="preserve"> the military coup in 1964 that overthrew the popular government, reaffirming the capitalist class power. After launching a stabilization program to control inflation, a series of</w:t>
      </w:r>
      <w:r w:rsidR="00DE3B8B" w:rsidRPr="003F52FE">
        <w:rPr>
          <w:color w:val="000000" w:themeColor="text1"/>
          <w:lang w:val="en-US"/>
        </w:rPr>
        <w:t xml:space="preserve"> </w:t>
      </w:r>
      <w:r w:rsidR="00CF5520" w:rsidRPr="003F52FE">
        <w:rPr>
          <w:color w:val="000000" w:themeColor="text1"/>
          <w:lang w:val="en-US"/>
        </w:rPr>
        <w:t xml:space="preserve">institutional reforms were implemented that reshaped the financial markets, the tax system and the labor markets. The second economic boom from 1968 to 1973 </w:t>
      </w:r>
      <w:r w:rsidR="003973F9" w:rsidRPr="003F52FE">
        <w:rPr>
          <w:color w:val="000000" w:themeColor="text1"/>
          <w:lang w:val="en-US"/>
        </w:rPr>
        <w:t xml:space="preserve">represented the </w:t>
      </w:r>
      <w:r w:rsidR="00CF5520" w:rsidRPr="003F52FE">
        <w:rPr>
          <w:rFonts w:ascii="TimesNewRomanPSMT" w:hAnsi="TimesNewRomanPSMT" w:cs="TimesNewRomanPSMT"/>
          <w:color w:val="000000" w:themeColor="text1"/>
          <w:lang w:val="en-US" w:eastAsia="en-US"/>
        </w:rPr>
        <w:t xml:space="preserve">economic apex </w:t>
      </w:r>
      <w:r w:rsidR="003973F9" w:rsidRPr="003F52FE">
        <w:rPr>
          <w:rFonts w:ascii="TimesNewRomanPSMT" w:hAnsi="TimesNewRomanPSMT" w:cs="TimesNewRomanPSMT"/>
          <w:color w:val="000000" w:themeColor="text1"/>
          <w:lang w:val="en-US" w:eastAsia="en-US"/>
        </w:rPr>
        <w:t xml:space="preserve">of the military dictatorship. During the </w:t>
      </w:r>
      <w:r w:rsidR="00CF5520" w:rsidRPr="003F52FE">
        <w:rPr>
          <w:rFonts w:ascii="TimesNewRomanPSMT" w:hAnsi="TimesNewRomanPSMT" w:cs="TimesNewRomanPSMT"/>
          <w:color w:val="000000" w:themeColor="text1"/>
          <w:lang w:val="en-US" w:eastAsia="en-US"/>
        </w:rPr>
        <w:t xml:space="preserve">Economic Miracle, as this period is known, </w:t>
      </w:r>
      <w:r w:rsidR="003973F9" w:rsidRPr="003F52FE">
        <w:rPr>
          <w:color w:val="000000" w:themeColor="text1"/>
          <w:lang w:val="en-US"/>
        </w:rPr>
        <w:t xml:space="preserve">the annual compound growth rate of GDP was 10.6% and </w:t>
      </w:r>
      <w:r w:rsidR="00CF5520" w:rsidRPr="003F52FE">
        <w:rPr>
          <w:rFonts w:ascii="TimesNewRomanPSMT" w:hAnsi="TimesNewRomanPSMT" w:cs="TimesNewRomanPSMT"/>
          <w:color w:val="000000" w:themeColor="text1"/>
          <w:lang w:val="en-US" w:eastAsia="en-US"/>
        </w:rPr>
        <w:t>manufacturing</w:t>
      </w:r>
      <w:r w:rsidR="003973F9" w:rsidRPr="003F52FE">
        <w:rPr>
          <w:rFonts w:ascii="TimesNewRomanPSMT" w:hAnsi="TimesNewRomanPSMT" w:cs="TimesNewRomanPSMT"/>
          <w:color w:val="000000" w:themeColor="text1"/>
          <w:lang w:val="en-US" w:eastAsia="en-US"/>
        </w:rPr>
        <w:t xml:space="preserve"> expanded at 14%</w:t>
      </w:r>
      <w:r w:rsidR="00CF5520" w:rsidRPr="003F52FE">
        <w:rPr>
          <w:rFonts w:ascii="TimesNewRomanPSMT" w:hAnsi="TimesNewRomanPSMT" w:cs="TimesNewRomanPSMT"/>
          <w:color w:val="000000" w:themeColor="text1"/>
          <w:lang w:val="en-US" w:eastAsia="en-US"/>
        </w:rPr>
        <w:t>.</w:t>
      </w:r>
      <w:r w:rsidR="00C526DB" w:rsidRPr="003F52FE">
        <w:rPr>
          <w:rFonts w:ascii="TimesNewRomanPSMT" w:hAnsi="TimesNewRomanPSMT" w:cs="TimesNewRomanPSMT"/>
          <w:color w:val="000000" w:themeColor="text1"/>
          <w:lang w:val="en-US" w:eastAsia="en-US"/>
        </w:rPr>
        <w:t xml:space="preserve"> </w:t>
      </w:r>
      <w:r w:rsidR="00B31F62" w:rsidRPr="003F52FE">
        <w:rPr>
          <w:color w:val="000000" w:themeColor="text1"/>
          <w:lang w:val="en-US"/>
        </w:rPr>
        <w:t xml:space="preserve">The average inflation rate was </w:t>
      </w:r>
      <w:r w:rsidR="005D41FC" w:rsidRPr="003F52FE">
        <w:rPr>
          <w:color w:val="000000" w:themeColor="text1"/>
          <w:lang w:val="en-US"/>
        </w:rPr>
        <w:t>21.9</w:t>
      </w:r>
      <w:r w:rsidR="00C1002D" w:rsidRPr="003F52FE">
        <w:rPr>
          <w:color w:val="000000" w:themeColor="text1"/>
          <w:lang w:val="en-US"/>
        </w:rPr>
        <w:t xml:space="preserve">% </w:t>
      </w:r>
      <w:r w:rsidR="00295AD9" w:rsidRPr="003F52FE">
        <w:rPr>
          <w:color w:val="000000" w:themeColor="text1"/>
          <w:lang w:val="en-US"/>
        </w:rPr>
        <w:t>in that</w:t>
      </w:r>
      <w:r w:rsidR="00B31F62" w:rsidRPr="003F52FE">
        <w:rPr>
          <w:color w:val="000000" w:themeColor="text1"/>
          <w:lang w:val="en-US"/>
        </w:rPr>
        <w:t xml:space="preserve"> period.</w:t>
      </w:r>
    </w:p>
    <w:p w:rsidR="00A406C5" w:rsidRPr="003F52FE" w:rsidRDefault="00A406C5" w:rsidP="0083766B">
      <w:pPr>
        <w:ind w:firstLine="720"/>
        <w:rPr>
          <w:color w:val="000000" w:themeColor="text1"/>
          <w:lang w:val="en-US"/>
        </w:rPr>
      </w:pPr>
      <w:r w:rsidRPr="003F52FE">
        <w:rPr>
          <w:color w:val="000000" w:themeColor="text1"/>
          <w:lang w:val="en-US"/>
        </w:rPr>
        <w:t>With t</w:t>
      </w:r>
      <w:r w:rsidR="003973F9" w:rsidRPr="003F52FE">
        <w:rPr>
          <w:color w:val="000000" w:themeColor="text1"/>
          <w:lang w:val="en-US"/>
        </w:rPr>
        <w:t>he crisis of the Golden Age</w:t>
      </w:r>
      <w:r w:rsidRPr="003F52FE">
        <w:rPr>
          <w:color w:val="000000" w:themeColor="text1"/>
          <w:lang w:val="en-US"/>
        </w:rPr>
        <w:t xml:space="preserve"> and first oil shock in 1973, the ISI model showed its limits. The military dictatorship answered the international crisis</w:t>
      </w:r>
      <w:r w:rsidR="00295AD9" w:rsidRPr="003F52FE">
        <w:rPr>
          <w:color w:val="000000" w:themeColor="text1"/>
          <w:lang w:val="en-US"/>
        </w:rPr>
        <w:t xml:space="preserve"> implementing the Second</w:t>
      </w:r>
      <w:r w:rsidRPr="003F52FE">
        <w:rPr>
          <w:color w:val="000000" w:themeColor="text1"/>
          <w:lang w:val="en-US"/>
        </w:rPr>
        <w:t xml:space="preserve"> National Plan of Development</w:t>
      </w:r>
      <w:r w:rsidR="00295AD9" w:rsidRPr="003F52FE">
        <w:rPr>
          <w:color w:val="000000" w:themeColor="text1"/>
          <w:lang w:val="en-US"/>
        </w:rPr>
        <w:t xml:space="preserve"> </w:t>
      </w:r>
      <w:r w:rsidRPr="003F52FE">
        <w:rPr>
          <w:color w:val="000000" w:themeColor="text1"/>
          <w:lang w:val="en-US"/>
        </w:rPr>
        <w:t>that aimed to extend ISI to intermediary goods and to greatly expand energy production. The investment boom was led by state enterprises</w:t>
      </w:r>
      <w:r w:rsidR="00D63B04" w:rsidRPr="003F52FE">
        <w:rPr>
          <w:color w:val="000000" w:themeColor="text1"/>
          <w:lang w:val="en-US"/>
        </w:rPr>
        <w:t xml:space="preserve"> and </w:t>
      </w:r>
      <w:r w:rsidRPr="003F52FE">
        <w:rPr>
          <w:color w:val="000000" w:themeColor="text1"/>
          <w:lang w:val="en-US"/>
        </w:rPr>
        <w:t xml:space="preserve">was </w:t>
      </w:r>
      <w:r w:rsidRPr="003F52FE">
        <w:rPr>
          <w:color w:val="000000" w:themeColor="text1"/>
          <w:lang w:val="en-US"/>
        </w:rPr>
        <w:lastRenderedPageBreak/>
        <w:t>financed by massive foreign loans through recycling of petrodollars</w:t>
      </w:r>
      <w:r w:rsidR="00B520FE" w:rsidRPr="003F52FE">
        <w:rPr>
          <w:color w:val="000000" w:themeColor="text1"/>
          <w:lang w:val="en-US"/>
        </w:rPr>
        <w:t xml:space="preserve">. The </w:t>
      </w:r>
      <w:r w:rsidR="00FC0209" w:rsidRPr="003F52FE">
        <w:rPr>
          <w:color w:val="000000" w:themeColor="text1"/>
          <w:lang w:val="en-US"/>
        </w:rPr>
        <w:t xml:space="preserve">external debt rose from US$ 14.9 </w:t>
      </w:r>
      <w:proofErr w:type="spellStart"/>
      <w:r w:rsidR="00FC0209" w:rsidRPr="003F52FE">
        <w:rPr>
          <w:color w:val="000000" w:themeColor="text1"/>
          <w:lang w:val="en-US"/>
        </w:rPr>
        <w:t>billions</w:t>
      </w:r>
      <w:proofErr w:type="spellEnd"/>
      <w:r w:rsidR="00FC0209" w:rsidRPr="003F52FE">
        <w:rPr>
          <w:color w:val="000000" w:themeColor="text1"/>
          <w:lang w:val="en-US"/>
        </w:rPr>
        <w:t xml:space="preserve"> in 1973 to US$ 55.8 </w:t>
      </w:r>
      <w:proofErr w:type="spellStart"/>
      <w:r w:rsidR="00FC0209" w:rsidRPr="003F52FE">
        <w:rPr>
          <w:color w:val="000000" w:themeColor="text1"/>
          <w:lang w:val="en-US"/>
        </w:rPr>
        <w:t>billions</w:t>
      </w:r>
      <w:proofErr w:type="spellEnd"/>
      <w:r w:rsidR="00FC0209" w:rsidRPr="003F52FE">
        <w:rPr>
          <w:color w:val="000000" w:themeColor="text1"/>
          <w:lang w:val="en-US"/>
        </w:rPr>
        <w:t xml:space="preserve"> in 1980. </w:t>
      </w:r>
    </w:p>
    <w:p w:rsidR="00D63B04" w:rsidRPr="003F52FE" w:rsidRDefault="00D63B04" w:rsidP="0083766B">
      <w:pPr>
        <w:ind w:firstLine="709"/>
        <w:rPr>
          <w:color w:val="000000" w:themeColor="text1"/>
          <w:lang w:val="en-US"/>
        </w:rPr>
      </w:pPr>
      <w:r w:rsidRPr="003F52FE">
        <w:rPr>
          <w:color w:val="000000" w:themeColor="text1"/>
          <w:lang w:val="en-US"/>
        </w:rPr>
        <w:t>Despite the</w:t>
      </w:r>
      <w:r w:rsidR="00295AD9" w:rsidRPr="003F52FE">
        <w:rPr>
          <w:color w:val="000000" w:themeColor="text1"/>
          <w:lang w:val="en-US"/>
        </w:rPr>
        <w:t xml:space="preserve"> </w:t>
      </w:r>
      <w:r w:rsidR="00BF2795" w:rsidRPr="003F52FE">
        <w:rPr>
          <w:color w:val="000000" w:themeColor="text1"/>
          <w:lang w:val="en-US"/>
        </w:rPr>
        <w:t>decline of</w:t>
      </w:r>
      <w:r w:rsidR="00295AD9" w:rsidRPr="003F52FE">
        <w:rPr>
          <w:color w:val="000000" w:themeColor="text1"/>
          <w:lang w:val="en-US"/>
        </w:rPr>
        <w:t xml:space="preserve"> the</w:t>
      </w:r>
      <w:r w:rsidRPr="003F52FE">
        <w:rPr>
          <w:color w:val="000000" w:themeColor="text1"/>
          <w:lang w:val="en-US"/>
        </w:rPr>
        <w:t xml:space="preserve"> Brazilian average </w:t>
      </w:r>
      <w:r w:rsidR="00FC0209" w:rsidRPr="003F52FE">
        <w:rPr>
          <w:color w:val="000000" w:themeColor="text1"/>
          <w:lang w:val="en-US"/>
        </w:rPr>
        <w:t xml:space="preserve">growth </w:t>
      </w:r>
      <w:r w:rsidRPr="003F52FE">
        <w:rPr>
          <w:color w:val="000000" w:themeColor="text1"/>
          <w:lang w:val="en-US"/>
        </w:rPr>
        <w:t xml:space="preserve">rate after 1973, its performance was still strong. For the period 1973-80, the GDP annual average rate of growth was 6.6%.  Perhaps, the most obvious </w:t>
      </w:r>
      <w:r w:rsidR="00B7172C" w:rsidRPr="003F52FE">
        <w:rPr>
          <w:color w:val="000000" w:themeColor="text1"/>
          <w:lang w:val="en-US"/>
        </w:rPr>
        <w:t xml:space="preserve">sign </w:t>
      </w:r>
      <w:r w:rsidRPr="003F52FE">
        <w:rPr>
          <w:color w:val="000000" w:themeColor="text1"/>
          <w:lang w:val="en-US"/>
        </w:rPr>
        <w:t xml:space="preserve">of the crisis was the acceleration of the inflation which rose from 29.6% in 1973 to 92.1% in 1980. </w:t>
      </w:r>
    </w:p>
    <w:p w:rsidR="00D25C3F" w:rsidRPr="003F52FE" w:rsidRDefault="003B5AD5" w:rsidP="0083766B">
      <w:pPr>
        <w:ind w:firstLine="720"/>
        <w:rPr>
          <w:color w:val="000000" w:themeColor="text1"/>
          <w:lang w:val="en-US"/>
        </w:rPr>
      </w:pPr>
      <w:r w:rsidRPr="003F52FE">
        <w:rPr>
          <w:color w:val="000000" w:themeColor="text1"/>
          <w:lang w:val="en-US"/>
        </w:rPr>
        <w:t xml:space="preserve">In the early </w:t>
      </w:r>
      <w:r w:rsidR="009A1535" w:rsidRPr="003F52FE">
        <w:rPr>
          <w:color w:val="000000" w:themeColor="text1"/>
          <w:lang w:val="en-US"/>
        </w:rPr>
        <w:t>1980s</w:t>
      </w:r>
      <w:r w:rsidRPr="003F52FE">
        <w:rPr>
          <w:color w:val="000000" w:themeColor="text1"/>
          <w:lang w:val="en-US"/>
        </w:rPr>
        <w:t xml:space="preserve">, </w:t>
      </w:r>
      <w:r w:rsidR="00295AD9" w:rsidRPr="003F52FE">
        <w:rPr>
          <w:color w:val="000000" w:themeColor="text1"/>
          <w:lang w:val="en-US"/>
        </w:rPr>
        <w:t>Brazil embarked on</w:t>
      </w:r>
      <w:r w:rsidR="00B7172C" w:rsidRPr="003F52FE">
        <w:rPr>
          <w:color w:val="000000" w:themeColor="text1"/>
          <w:lang w:val="en-US"/>
        </w:rPr>
        <w:t xml:space="preserve"> a process of reforming their institutional framework in order to build up the neoliberal one</w:t>
      </w:r>
      <w:r w:rsidR="00D25C3F" w:rsidRPr="003F52FE">
        <w:rPr>
          <w:color w:val="000000" w:themeColor="text1"/>
          <w:lang w:val="en-US"/>
        </w:rPr>
        <w:t xml:space="preserve">. </w:t>
      </w:r>
      <w:r w:rsidR="003E4EAF" w:rsidRPr="003F52FE">
        <w:rPr>
          <w:color w:val="000000" w:themeColor="text1"/>
          <w:lang w:val="en-US"/>
        </w:rPr>
        <w:t xml:space="preserve">In the </w:t>
      </w:r>
      <w:r w:rsidR="00D25C3F" w:rsidRPr="003F52FE">
        <w:rPr>
          <w:color w:val="000000" w:themeColor="text1"/>
          <w:lang w:val="en-US"/>
        </w:rPr>
        <w:t>1980s</w:t>
      </w:r>
      <w:r w:rsidR="003E4EAF" w:rsidRPr="003F52FE">
        <w:rPr>
          <w:color w:val="000000" w:themeColor="text1"/>
          <w:lang w:val="en-US"/>
        </w:rPr>
        <w:t xml:space="preserve">, the debt </w:t>
      </w:r>
      <w:r w:rsidR="00D25C3F" w:rsidRPr="003F52FE">
        <w:rPr>
          <w:color w:val="000000" w:themeColor="text1"/>
          <w:lang w:val="en-US"/>
        </w:rPr>
        <w:t>crises lead</w:t>
      </w:r>
      <w:r w:rsidR="003E4EAF" w:rsidRPr="003F52FE">
        <w:rPr>
          <w:color w:val="000000" w:themeColor="text1"/>
          <w:lang w:val="en-US"/>
        </w:rPr>
        <w:t xml:space="preserve"> to economic instability</w:t>
      </w:r>
      <w:r w:rsidR="00D25C3F" w:rsidRPr="003F52FE">
        <w:rPr>
          <w:color w:val="000000" w:themeColor="text1"/>
          <w:lang w:val="en-US"/>
        </w:rPr>
        <w:t xml:space="preserve">, </w:t>
      </w:r>
      <w:r w:rsidR="00295AD9" w:rsidRPr="003F52FE">
        <w:rPr>
          <w:color w:val="000000" w:themeColor="text1"/>
          <w:lang w:val="en-US"/>
        </w:rPr>
        <w:t xml:space="preserve">with </w:t>
      </w:r>
      <w:r w:rsidR="003E4EAF" w:rsidRPr="003F52FE">
        <w:rPr>
          <w:color w:val="000000" w:themeColor="text1"/>
          <w:lang w:val="en-US"/>
        </w:rPr>
        <w:t xml:space="preserve">the country </w:t>
      </w:r>
      <w:r w:rsidR="00D25C3F" w:rsidRPr="003F52FE">
        <w:rPr>
          <w:color w:val="000000" w:themeColor="text1"/>
          <w:lang w:val="en-US"/>
        </w:rPr>
        <w:t>display</w:t>
      </w:r>
      <w:r w:rsidR="00295AD9" w:rsidRPr="003F52FE">
        <w:rPr>
          <w:color w:val="000000" w:themeColor="text1"/>
          <w:lang w:val="en-US"/>
        </w:rPr>
        <w:t>ing</w:t>
      </w:r>
      <w:r w:rsidR="00D25C3F" w:rsidRPr="003F52FE">
        <w:rPr>
          <w:color w:val="000000" w:themeColor="text1"/>
          <w:lang w:val="en-US"/>
        </w:rPr>
        <w:t xml:space="preserve"> reduced economic growth </w:t>
      </w:r>
      <w:r w:rsidR="00A05342" w:rsidRPr="003F52FE">
        <w:rPr>
          <w:color w:val="000000" w:themeColor="text1"/>
          <w:lang w:val="en-US"/>
        </w:rPr>
        <w:t>and intense inflationary problems</w:t>
      </w:r>
      <w:r w:rsidR="003E4EAF" w:rsidRPr="003F52FE">
        <w:rPr>
          <w:color w:val="000000" w:themeColor="text1"/>
          <w:lang w:val="en-US"/>
        </w:rPr>
        <w:t>. Brazil started its economic liberalization program</w:t>
      </w:r>
      <w:r w:rsidR="00295AD9" w:rsidRPr="003F52FE">
        <w:rPr>
          <w:color w:val="000000" w:themeColor="text1"/>
          <w:lang w:val="en-US"/>
        </w:rPr>
        <w:t xml:space="preserve"> during the </w:t>
      </w:r>
      <w:r w:rsidR="00D25C3F" w:rsidRPr="003F52FE">
        <w:rPr>
          <w:color w:val="000000" w:themeColor="text1"/>
          <w:lang w:val="en-US"/>
        </w:rPr>
        <w:t>mid-1980s</w:t>
      </w:r>
      <w:r w:rsidR="003E4EAF" w:rsidRPr="003F52FE">
        <w:rPr>
          <w:color w:val="000000" w:themeColor="text1"/>
          <w:lang w:val="en-US"/>
        </w:rPr>
        <w:t xml:space="preserve">. </w:t>
      </w:r>
      <w:r w:rsidR="00D25C3F" w:rsidRPr="003F52FE">
        <w:rPr>
          <w:color w:val="000000" w:themeColor="text1"/>
          <w:lang w:val="en-US"/>
        </w:rPr>
        <w:t xml:space="preserve">The </w:t>
      </w:r>
      <w:r w:rsidR="00A05342" w:rsidRPr="003F52FE">
        <w:rPr>
          <w:color w:val="000000" w:themeColor="text1"/>
          <w:lang w:val="en-US"/>
        </w:rPr>
        <w:t>average annual growth rate</w:t>
      </w:r>
      <w:r w:rsidR="008244B6" w:rsidRPr="003F52FE">
        <w:rPr>
          <w:color w:val="000000" w:themeColor="text1"/>
          <w:lang w:val="en-US"/>
        </w:rPr>
        <w:t xml:space="preserve"> of GDP</w:t>
      </w:r>
      <w:r w:rsidR="00A05342" w:rsidRPr="003F52FE">
        <w:rPr>
          <w:color w:val="000000" w:themeColor="text1"/>
          <w:lang w:val="en-US"/>
        </w:rPr>
        <w:t xml:space="preserve"> was 2.2% dur</w:t>
      </w:r>
      <w:r w:rsidR="00D25C3F" w:rsidRPr="003F52FE">
        <w:rPr>
          <w:color w:val="000000" w:themeColor="text1"/>
          <w:lang w:val="en-US"/>
        </w:rPr>
        <w:t>ing the 1980. The “lost decade”</w:t>
      </w:r>
      <w:r w:rsidR="00933773" w:rsidRPr="003F52FE">
        <w:rPr>
          <w:color w:val="000000" w:themeColor="text1"/>
          <w:lang w:val="en-US"/>
        </w:rPr>
        <w:t xml:space="preserve"> </w:t>
      </w:r>
      <w:r w:rsidR="00D25C3F" w:rsidRPr="003F52FE">
        <w:rPr>
          <w:color w:val="000000" w:themeColor="text1"/>
          <w:lang w:val="en-US"/>
        </w:rPr>
        <w:t>combined i</w:t>
      </w:r>
      <w:r w:rsidR="00A05342" w:rsidRPr="003F52FE">
        <w:rPr>
          <w:color w:val="000000" w:themeColor="text1"/>
          <w:lang w:val="en-US"/>
        </w:rPr>
        <w:t xml:space="preserve">nflationary pressures </w:t>
      </w:r>
      <w:r w:rsidR="00295AD9" w:rsidRPr="003F52FE">
        <w:rPr>
          <w:color w:val="000000" w:themeColor="text1"/>
          <w:lang w:val="en-US"/>
        </w:rPr>
        <w:t>with</w:t>
      </w:r>
      <w:r w:rsidR="00D25C3F" w:rsidRPr="003F52FE">
        <w:rPr>
          <w:color w:val="000000" w:themeColor="text1"/>
          <w:lang w:val="en-US"/>
        </w:rPr>
        <w:t xml:space="preserve"> </w:t>
      </w:r>
      <w:r w:rsidR="00A05342" w:rsidRPr="003F52FE">
        <w:rPr>
          <w:color w:val="000000" w:themeColor="text1"/>
          <w:lang w:val="en-US"/>
        </w:rPr>
        <w:t xml:space="preserve">stagnant growth. </w:t>
      </w:r>
    </w:p>
    <w:p w:rsidR="00D01C4F" w:rsidRPr="003F52FE" w:rsidRDefault="0046726A" w:rsidP="0083766B">
      <w:pPr>
        <w:ind w:firstLine="720"/>
        <w:rPr>
          <w:color w:val="000000" w:themeColor="text1"/>
          <w:lang w:val="en-US"/>
        </w:rPr>
      </w:pPr>
      <w:r w:rsidRPr="003F52FE">
        <w:rPr>
          <w:color w:val="000000" w:themeColor="text1"/>
          <w:lang w:val="en-US"/>
        </w:rPr>
        <w:t>Several economic plans were designed to fight inflation</w:t>
      </w:r>
      <w:r w:rsidR="00D25C3F" w:rsidRPr="003F52FE">
        <w:rPr>
          <w:color w:val="000000" w:themeColor="text1"/>
          <w:lang w:val="en-US"/>
        </w:rPr>
        <w:t>. N</w:t>
      </w:r>
      <w:r w:rsidRPr="003F52FE">
        <w:rPr>
          <w:color w:val="000000" w:themeColor="text1"/>
          <w:lang w:val="en-US"/>
        </w:rPr>
        <w:t xml:space="preserve">one of them succeeded in </w:t>
      </w:r>
      <w:r w:rsidR="007F664E" w:rsidRPr="003F52FE">
        <w:rPr>
          <w:color w:val="000000" w:themeColor="text1"/>
          <w:lang w:val="en-US"/>
        </w:rPr>
        <w:t>t</w:t>
      </w:r>
      <w:r w:rsidRPr="003F52FE">
        <w:rPr>
          <w:color w:val="000000" w:themeColor="text1"/>
          <w:lang w:val="en-US"/>
        </w:rPr>
        <w:t>he task</w:t>
      </w:r>
      <w:r w:rsidR="00295AD9" w:rsidRPr="003F52FE">
        <w:rPr>
          <w:color w:val="000000" w:themeColor="text1"/>
          <w:lang w:val="en-US"/>
        </w:rPr>
        <w:t>. T</w:t>
      </w:r>
      <w:r w:rsidR="003F56E5" w:rsidRPr="003F52FE">
        <w:rPr>
          <w:color w:val="000000" w:themeColor="text1"/>
          <w:lang w:val="en-US"/>
        </w:rPr>
        <w:t xml:space="preserve">he </w:t>
      </w:r>
      <w:r w:rsidR="003A7F12" w:rsidRPr="003F52FE">
        <w:rPr>
          <w:color w:val="000000" w:themeColor="text1"/>
          <w:lang w:val="en-US"/>
        </w:rPr>
        <w:t>inflation rate w</w:t>
      </w:r>
      <w:r w:rsidR="00295AD9" w:rsidRPr="003F52FE">
        <w:rPr>
          <w:color w:val="000000" w:themeColor="text1"/>
          <w:lang w:val="en-US"/>
        </w:rPr>
        <w:t>ent from</w:t>
      </w:r>
      <w:r w:rsidR="007F664E" w:rsidRPr="003F52FE">
        <w:rPr>
          <w:color w:val="000000" w:themeColor="text1"/>
          <w:lang w:val="en-US"/>
        </w:rPr>
        <w:t xml:space="preserve"> 82.1% in</w:t>
      </w:r>
      <w:r w:rsidR="003A7F12" w:rsidRPr="003F52FE">
        <w:rPr>
          <w:color w:val="000000" w:themeColor="text1"/>
          <w:lang w:val="en-US"/>
        </w:rPr>
        <w:t>1980</w:t>
      </w:r>
      <w:r w:rsidR="00295AD9" w:rsidRPr="003F52FE">
        <w:rPr>
          <w:color w:val="000000" w:themeColor="text1"/>
          <w:lang w:val="en-US"/>
        </w:rPr>
        <w:t xml:space="preserve"> </w:t>
      </w:r>
      <w:r w:rsidR="007F664E" w:rsidRPr="003F52FE">
        <w:rPr>
          <w:color w:val="000000" w:themeColor="text1"/>
          <w:lang w:val="en-US"/>
        </w:rPr>
        <w:t xml:space="preserve">to 248.5% in 1985, </w:t>
      </w:r>
      <w:r w:rsidR="001356E3" w:rsidRPr="003F52FE">
        <w:rPr>
          <w:color w:val="000000" w:themeColor="text1"/>
          <w:lang w:val="en-US"/>
        </w:rPr>
        <w:t>peaking</w:t>
      </w:r>
      <w:r w:rsidR="00295AD9" w:rsidRPr="003F52FE">
        <w:rPr>
          <w:color w:val="000000" w:themeColor="text1"/>
          <w:lang w:val="en-US"/>
        </w:rPr>
        <w:t xml:space="preserve"> at</w:t>
      </w:r>
      <w:r w:rsidR="001356E3" w:rsidRPr="003F52FE">
        <w:rPr>
          <w:color w:val="000000" w:themeColor="text1"/>
          <w:lang w:val="en-US"/>
        </w:rPr>
        <w:t xml:space="preserve"> </w:t>
      </w:r>
      <w:r w:rsidR="007F664E" w:rsidRPr="003F52FE">
        <w:rPr>
          <w:color w:val="000000" w:themeColor="text1"/>
          <w:lang w:val="en-US"/>
        </w:rPr>
        <w:t>2</w:t>
      </w:r>
      <w:r w:rsidR="001356E3" w:rsidRPr="003F52FE">
        <w:rPr>
          <w:color w:val="000000" w:themeColor="text1"/>
          <w:lang w:val="en-US"/>
        </w:rPr>
        <w:t>,</w:t>
      </w:r>
      <w:r w:rsidR="007F664E" w:rsidRPr="003F52FE">
        <w:rPr>
          <w:color w:val="000000" w:themeColor="text1"/>
          <w:lang w:val="en-US"/>
        </w:rPr>
        <w:t xml:space="preserve">736.9% </w:t>
      </w:r>
      <w:r w:rsidR="00067774" w:rsidRPr="003F52FE">
        <w:rPr>
          <w:color w:val="000000" w:themeColor="text1"/>
          <w:lang w:val="en-US"/>
        </w:rPr>
        <w:t xml:space="preserve">in </w:t>
      </w:r>
      <w:r w:rsidR="00592365" w:rsidRPr="003F52FE">
        <w:rPr>
          <w:color w:val="000000" w:themeColor="text1"/>
          <w:lang w:val="en-US"/>
        </w:rPr>
        <w:t>199</w:t>
      </w:r>
      <w:r w:rsidR="007F664E" w:rsidRPr="003F52FE">
        <w:rPr>
          <w:color w:val="000000" w:themeColor="text1"/>
          <w:lang w:val="en-US"/>
        </w:rPr>
        <w:t>0</w:t>
      </w:r>
      <w:r w:rsidR="00067774" w:rsidRPr="003F52FE">
        <w:rPr>
          <w:color w:val="000000" w:themeColor="text1"/>
          <w:lang w:val="en-US"/>
        </w:rPr>
        <w:t xml:space="preserve">. </w:t>
      </w:r>
      <w:r w:rsidR="007F664E" w:rsidRPr="003F52FE">
        <w:rPr>
          <w:color w:val="000000" w:themeColor="text1"/>
          <w:lang w:val="en-US"/>
        </w:rPr>
        <w:t xml:space="preserve">In </w:t>
      </w:r>
      <w:r w:rsidR="00295AD9" w:rsidRPr="003F52FE">
        <w:rPr>
          <w:color w:val="000000" w:themeColor="text1"/>
          <w:lang w:val="en-US"/>
        </w:rPr>
        <w:t xml:space="preserve">the </w:t>
      </w:r>
      <w:r w:rsidR="007F664E" w:rsidRPr="003F52FE">
        <w:rPr>
          <w:color w:val="000000" w:themeColor="text1"/>
          <w:lang w:val="en-US"/>
        </w:rPr>
        <w:t xml:space="preserve">early </w:t>
      </w:r>
      <w:r w:rsidR="00D01C4F" w:rsidRPr="003F52FE">
        <w:rPr>
          <w:color w:val="000000" w:themeColor="text1"/>
          <w:lang w:val="en-US"/>
        </w:rPr>
        <w:t xml:space="preserve">1990s, </w:t>
      </w:r>
      <w:r w:rsidR="007F664E" w:rsidRPr="003F52FE">
        <w:rPr>
          <w:color w:val="000000" w:themeColor="text1"/>
          <w:lang w:val="en-US"/>
        </w:rPr>
        <w:t xml:space="preserve">Brazil </w:t>
      </w:r>
      <w:r w:rsidR="00D01C4F" w:rsidRPr="003F52FE">
        <w:rPr>
          <w:color w:val="000000" w:themeColor="text1"/>
          <w:lang w:val="en-US"/>
        </w:rPr>
        <w:t xml:space="preserve">fully </w:t>
      </w:r>
      <w:r w:rsidR="007F664E" w:rsidRPr="003F52FE">
        <w:rPr>
          <w:color w:val="000000" w:themeColor="text1"/>
          <w:lang w:val="en-US"/>
        </w:rPr>
        <w:t xml:space="preserve">embraced the </w:t>
      </w:r>
      <w:r w:rsidR="00D01C4F" w:rsidRPr="003F52FE">
        <w:rPr>
          <w:color w:val="000000" w:themeColor="text1"/>
          <w:lang w:val="en-US"/>
        </w:rPr>
        <w:t>neoliberal</w:t>
      </w:r>
      <w:r w:rsidR="007F664E" w:rsidRPr="003F52FE">
        <w:rPr>
          <w:color w:val="000000" w:themeColor="text1"/>
          <w:lang w:val="en-US"/>
        </w:rPr>
        <w:t xml:space="preserve"> model. </w:t>
      </w:r>
      <w:r w:rsidR="001356E3" w:rsidRPr="003F52FE">
        <w:rPr>
          <w:color w:val="000000" w:themeColor="text1"/>
          <w:lang w:val="en-US"/>
        </w:rPr>
        <w:t xml:space="preserve">In </w:t>
      </w:r>
      <w:r w:rsidR="00D01C4F" w:rsidRPr="003F52FE">
        <w:rPr>
          <w:color w:val="000000" w:themeColor="text1"/>
          <w:lang w:val="en-US"/>
        </w:rPr>
        <w:t>1993, th</w:t>
      </w:r>
      <w:r w:rsidR="004A18C4" w:rsidRPr="003F52FE">
        <w:rPr>
          <w:color w:val="000000" w:themeColor="text1"/>
          <w:lang w:val="en-US"/>
        </w:rPr>
        <w:t xml:space="preserve">e inflation rate </w:t>
      </w:r>
      <w:r w:rsidR="00F90D01" w:rsidRPr="003F52FE">
        <w:rPr>
          <w:color w:val="000000" w:themeColor="text1"/>
          <w:lang w:val="en-US"/>
        </w:rPr>
        <w:t xml:space="preserve">was </w:t>
      </w:r>
      <w:r w:rsidR="005D41FC" w:rsidRPr="003F52FE">
        <w:rPr>
          <w:color w:val="000000" w:themeColor="text1"/>
          <w:lang w:val="en-US"/>
        </w:rPr>
        <w:t>1,996</w:t>
      </w:r>
      <w:r w:rsidR="00D01C4F" w:rsidRPr="003F52FE">
        <w:rPr>
          <w:color w:val="000000" w:themeColor="text1"/>
          <w:lang w:val="en-US"/>
        </w:rPr>
        <w:t xml:space="preserve">%. A new plan, known as </w:t>
      </w:r>
      <w:r w:rsidR="00775C88" w:rsidRPr="003F52FE">
        <w:rPr>
          <w:color w:val="000000" w:themeColor="text1"/>
          <w:lang w:val="en-US"/>
        </w:rPr>
        <w:t xml:space="preserve">the </w:t>
      </w:r>
      <w:r w:rsidR="00D01C4F" w:rsidRPr="003F52FE">
        <w:rPr>
          <w:color w:val="000000" w:themeColor="text1"/>
          <w:lang w:val="en-US"/>
        </w:rPr>
        <w:t xml:space="preserve">Real Plan, was designed to contain the inflationary process. </w:t>
      </w:r>
      <w:r w:rsidR="00641492" w:rsidRPr="003F52FE">
        <w:rPr>
          <w:color w:val="000000" w:themeColor="text1"/>
          <w:lang w:val="en-US"/>
        </w:rPr>
        <w:t xml:space="preserve">The plan </w:t>
      </w:r>
      <w:r w:rsidR="00F90D01" w:rsidRPr="003F52FE">
        <w:rPr>
          <w:color w:val="000000" w:themeColor="text1"/>
          <w:lang w:val="en-US"/>
        </w:rPr>
        <w:t xml:space="preserve">consisted of </w:t>
      </w:r>
      <w:r w:rsidR="00641492" w:rsidRPr="003F52FE">
        <w:rPr>
          <w:color w:val="000000" w:themeColor="text1"/>
          <w:lang w:val="en-US"/>
        </w:rPr>
        <w:t>two parts. First, a new currency</w:t>
      </w:r>
      <w:r w:rsidR="00F90D01" w:rsidRPr="003F52FE">
        <w:rPr>
          <w:color w:val="000000" w:themeColor="text1"/>
          <w:lang w:val="en-US"/>
        </w:rPr>
        <w:t xml:space="preserve">, </w:t>
      </w:r>
      <w:r w:rsidR="00641492" w:rsidRPr="003F52FE">
        <w:rPr>
          <w:color w:val="000000" w:themeColor="text1"/>
          <w:lang w:val="en-US"/>
        </w:rPr>
        <w:t>the Real</w:t>
      </w:r>
      <w:r w:rsidR="00F90D01" w:rsidRPr="003F52FE">
        <w:rPr>
          <w:color w:val="000000" w:themeColor="text1"/>
          <w:lang w:val="en-US"/>
        </w:rPr>
        <w:t>,</w:t>
      </w:r>
      <w:r w:rsidR="00933773" w:rsidRPr="003F52FE">
        <w:rPr>
          <w:color w:val="000000" w:themeColor="text1"/>
          <w:lang w:val="en-US"/>
        </w:rPr>
        <w:t xml:space="preserve"> </w:t>
      </w:r>
      <w:r w:rsidR="00F90D01" w:rsidRPr="003F52FE">
        <w:rPr>
          <w:color w:val="000000" w:themeColor="text1"/>
          <w:lang w:val="en-US"/>
        </w:rPr>
        <w:t xml:space="preserve">linked to the dollar </w:t>
      </w:r>
      <w:r w:rsidR="00641492" w:rsidRPr="003F52FE">
        <w:rPr>
          <w:color w:val="000000" w:themeColor="text1"/>
          <w:lang w:val="en-US"/>
        </w:rPr>
        <w:t xml:space="preserve">was </w:t>
      </w:r>
      <w:r w:rsidR="00F90D01" w:rsidRPr="003F52FE">
        <w:rPr>
          <w:color w:val="000000" w:themeColor="text1"/>
          <w:lang w:val="en-US"/>
        </w:rPr>
        <w:t xml:space="preserve">adopted </w:t>
      </w:r>
      <w:r w:rsidR="00641492" w:rsidRPr="003F52FE">
        <w:rPr>
          <w:color w:val="000000" w:themeColor="text1"/>
          <w:lang w:val="en-US"/>
        </w:rPr>
        <w:t xml:space="preserve">and a set of short term economic policies were implemented to fight inflation. Second, neoliberal reforms were implemented to spur growth. </w:t>
      </w:r>
      <w:r w:rsidR="00FC0209" w:rsidRPr="003F52FE">
        <w:rPr>
          <w:color w:val="000000" w:themeColor="text1"/>
          <w:lang w:val="en-US"/>
        </w:rPr>
        <w:t>T</w:t>
      </w:r>
      <w:r w:rsidR="00D01C4F" w:rsidRPr="003F52FE">
        <w:rPr>
          <w:color w:val="000000" w:themeColor="text1"/>
          <w:lang w:val="en-US"/>
        </w:rPr>
        <w:t>he</w:t>
      </w:r>
      <w:r w:rsidR="004A18C4" w:rsidRPr="003F52FE">
        <w:rPr>
          <w:color w:val="000000" w:themeColor="text1"/>
          <w:lang w:val="en-US"/>
        </w:rPr>
        <w:t xml:space="preserve"> inflation rate dropped to </w:t>
      </w:r>
      <w:r w:rsidR="005D41FC" w:rsidRPr="003F52FE">
        <w:rPr>
          <w:color w:val="000000" w:themeColor="text1"/>
          <w:lang w:val="en-US"/>
        </w:rPr>
        <w:t>77.</w:t>
      </w:r>
      <w:r w:rsidR="00F90D01" w:rsidRPr="003F52FE">
        <w:rPr>
          <w:color w:val="000000" w:themeColor="text1"/>
          <w:lang w:val="en-US"/>
        </w:rPr>
        <w:t>6</w:t>
      </w:r>
      <w:r w:rsidR="00D01C4F" w:rsidRPr="003F52FE">
        <w:rPr>
          <w:color w:val="000000" w:themeColor="text1"/>
          <w:lang w:val="en-US"/>
        </w:rPr>
        <w:t>% in 1995</w:t>
      </w:r>
      <w:r w:rsidR="00BD4901" w:rsidRPr="003F52FE">
        <w:rPr>
          <w:color w:val="000000" w:themeColor="text1"/>
          <w:lang w:val="en-US"/>
        </w:rPr>
        <w:t xml:space="preserve">, achieving </w:t>
      </w:r>
      <w:r w:rsidR="00933773" w:rsidRPr="003F52FE">
        <w:rPr>
          <w:color w:val="000000" w:themeColor="text1"/>
          <w:lang w:val="en-US"/>
        </w:rPr>
        <w:t>7.</w:t>
      </w:r>
      <w:r w:rsidR="004A18C4" w:rsidRPr="003F52FE">
        <w:rPr>
          <w:color w:val="000000" w:themeColor="text1"/>
          <w:lang w:val="en-US"/>
        </w:rPr>
        <w:t>64</w:t>
      </w:r>
      <w:r w:rsidR="00BD4901" w:rsidRPr="003F52FE">
        <w:rPr>
          <w:color w:val="000000" w:themeColor="text1"/>
          <w:lang w:val="en-US"/>
        </w:rPr>
        <w:t>% in 1997</w:t>
      </w:r>
      <w:r w:rsidR="00D01C4F" w:rsidRPr="003F52FE">
        <w:rPr>
          <w:color w:val="000000" w:themeColor="text1"/>
          <w:lang w:val="en-US"/>
        </w:rPr>
        <w:t xml:space="preserve">. The </w:t>
      </w:r>
      <w:r w:rsidR="00FC0209" w:rsidRPr="003F52FE">
        <w:rPr>
          <w:color w:val="000000" w:themeColor="text1"/>
          <w:lang w:val="en-US"/>
        </w:rPr>
        <w:t xml:space="preserve">Real Plan was </w:t>
      </w:r>
      <w:r w:rsidR="00A257CD" w:rsidRPr="003F52FE">
        <w:rPr>
          <w:color w:val="000000" w:themeColor="text1"/>
          <w:lang w:val="en-US"/>
        </w:rPr>
        <w:t xml:space="preserve">a </w:t>
      </w:r>
      <w:r w:rsidR="00FC0209" w:rsidRPr="003F52FE">
        <w:rPr>
          <w:color w:val="000000" w:themeColor="text1"/>
          <w:lang w:val="en-US"/>
        </w:rPr>
        <w:t>success</w:t>
      </w:r>
      <w:r w:rsidR="00295AD9" w:rsidRPr="003F52FE">
        <w:rPr>
          <w:color w:val="000000" w:themeColor="text1"/>
          <w:lang w:val="en-US"/>
        </w:rPr>
        <w:t xml:space="preserve"> </w:t>
      </w:r>
      <w:r w:rsidR="00FC0209" w:rsidRPr="003F52FE">
        <w:rPr>
          <w:color w:val="000000" w:themeColor="text1"/>
          <w:lang w:val="en-US"/>
        </w:rPr>
        <w:t xml:space="preserve">in </w:t>
      </w:r>
      <w:r w:rsidR="00D01C4F" w:rsidRPr="003F52FE">
        <w:rPr>
          <w:color w:val="000000" w:themeColor="text1"/>
          <w:lang w:val="en-US"/>
        </w:rPr>
        <w:t>control</w:t>
      </w:r>
      <w:r w:rsidR="00FC0209" w:rsidRPr="003F52FE">
        <w:rPr>
          <w:color w:val="000000" w:themeColor="text1"/>
          <w:lang w:val="en-US"/>
        </w:rPr>
        <w:t>ling</w:t>
      </w:r>
      <w:r w:rsidR="00D01C4F" w:rsidRPr="003F52FE">
        <w:rPr>
          <w:color w:val="000000" w:themeColor="text1"/>
          <w:lang w:val="en-US"/>
        </w:rPr>
        <w:t xml:space="preserve"> inflation</w:t>
      </w:r>
      <w:r w:rsidR="00A257CD" w:rsidRPr="003F52FE">
        <w:rPr>
          <w:color w:val="000000" w:themeColor="text1"/>
          <w:lang w:val="en-US"/>
        </w:rPr>
        <w:t xml:space="preserve"> and a failure in reviving </w:t>
      </w:r>
      <w:r w:rsidR="00D01C4F" w:rsidRPr="003F52FE">
        <w:rPr>
          <w:color w:val="000000" w:themeColor="text1"/>
          <w:lang w:val="en-US"/>
        </w:rPr>
        <w:t xml:space="preserve">economic growth. </w:t>
      </w:r>
      <w:r w:rsidR="00A257CD" w:rsidRPr="003F52FE">
        <w:rPr>
          <w:color w:val="000000" w:themeColor="text1"/>
          <w:lang w:val="en-US"/>
        </w:rPr>
        <w:t xml:space="preserve">The </w:t>
      </w:r>
      <w:r w:rsidR="00BD4901" w:rsidRPr="003F52FE">
        <w:rPr>
          <w:color w:val="000000" w:themeColor="text1"/>
          <w:lang w:val="en-US"/>
        </w:rPr>
        <w:t xml:space="preserve">GDP rose 1.8% per year between 1989 and 2003. </w:t>
      </w:r>
    </w:p>
    <w:p w:rsidR="00840E10" w:rsidRPr="003F52FE" w:rsidRDefault="00F90D01" w:rsidP="0083766B">
      <w:pPr>
        <w:ind w:firstLine="720"/>
        <w:rPr>
          <w:b/>
          <w:color w:val="000000" w:themeColor="text1"/>
          <w:lang w:val="en-US"/>
        </w:rPr>
      </w:pPr>
      <w:r w:rsidRPr="003F52FE">
        <w:rPr>
          <w:color w:val="000000" w:themeColor="text1"/>
          <w:lang w:val="en-US"/>
        </w:rPr>
        <w:t xml:space="preserve">After </w:t>
      </w:r>
      <w:r w:rsidR="003811B4" w:rsidRPr="003F52FE">
        <w:rPr>
          <w:color w:val="000000" w:themeColor="text1"/>
          <w:lang w:val="en-US"/>
        </w:rPr>
        <w:t xml:space="preserve">2003, </w:t>
      </w:r>
      <w:r w:rsidRPr="003F52FE">
        <w:rPr>
          <w:color w:val="000000" w:themeColor="text1"/>
          <w:lang w:val="en-US"/>
        </w:rPr>
        <w:t>f</w:t>
      </w:r>
      <w:r w:rsidR="00295AD9" w:rsidRPr="003F52FE">
        <w:rPr>
          <w:color w:val="000000" w:themeColor="text1"/>
          <w:lang w:val="en-US"/>
        </w:rPr>
        <w:t>ueled by international demand for</w:t>
      </w:r>
      <w:r w:rsidRPr="003F52FE">
        <w:rPr>
          <w:color w:val="000000" w:themeColor="text1"/>
          <w:lang w:val="en-US"/>
        </w:rPr>
        <w:t xml:space="preserve"> commodities and changes in the economic policy there was a rise in the GDP growth rate. It expanded at 4% between 2003 and 2008.</w:t>
      </w:r>
      <w:r w:rsidR="00C434FA" w:rsidRPr="003F52FE">
        <w:rPr>
          <w:color w:val="000000" w:themeColor="text1"/>
          <w:lang w:val="en-US"/>
        </w:rPr>
        <w:t xml:space="preserve"> The inflation rate was under control. </w:t>
      </w:r>
      <w:r w:rsidR="005B6248" w:rsidRPr="003F52FE">
        <w:rPr>
          <w:color w:val="000000" w:themeColor="text1"/>
          <w:lang w:val="en-US"/>
        </w:rPr>
        <w:t>Th</w:t>
      </w:r>
      <w:r w:rsidR="00C434FA" w:rsidRPr="003F52FE">
        <w:rPr>
          <w:color w:val="000000" w:themeColor="text1"/>
          <w:lang w:val="en-US"/>
        </w:rPr>
        <w:t>e new economic strategy combined a</w:t>
      </w:r>
      <w:r w:rsidR="005B6248" w:rsidRPr="003F52FE">
        <w:rPr>
          <w:color w:val="000000" w:themeColor="text1"/>
          <w:lang w:val="en-US"/>
        </w:rPr>
        <w:t xml:space="preserve"> rise in public investment </w:t>
      </w:r>
      <w:r w:rsidR="00C434FA" w:rsidRPr="003F52FE">
        <w:rPr>
          <w:color w:val="000000" w:themeColor="text1"/>
          <w:lang w:val="en-US"/>
        </w:rPr>
        <w:t xml:space="preserve">and in the real wage with a high real interest rate, </w:t>
      </w:r>
      <w:r w:rsidR="00295AD9" w:rsidRPr="003F52FE">
        <w:rPr>
          <w:color w:val="000000" w:themeColor="text1"/>
          <w:lang w:val="en-US"/>
        </w:rPr>
        <w:t xml:space="preserve">displaying </w:t>
      </w:r>
      <w:r w:rsidR="00C434FA" w:rsidRPr="003F52FE">
        <w:rPr>
          <w:color w:val="000000" w:themeColor="text1"/>
          <w:lang w:val="en-US"/>
        </w:rPr>
        <w:t xml:space="preserve">elements of a developing model with a neoliberal one. </w:t>
      </w:r>
      <w:r w:rsidRPr="003F52FE">
        <w:rPr>
          <w:color w:val="000000" w:themeColor="text1"/>
          <w:lang w:val="en-US"/>
        </w:rPr>
        <w:t xml:space="preserve">Table 1 </w:t>
      </w:r>
      <w:r w:rsidR="00C434FA" w:rsidRPr="003F52FE">
        <w:rPr>
          <w:color w:val="000000" w:themeColor="text1"/>
          <w:lang w:val="en-US"/>
        </w:rPr>
        <w:t xml:space="preserve">summarizes the GDP growth rate </w:t>
      </w:r>
      <w:r w:rsidR="00257459" w:rsidRPr="003F52FE">
        <w:rPr>
          <w:color w:val="000000" w:themeColor="text1"/>
          <w:lang w:val="en-US"/>
        </w:rPr>
        <w:t xml:space="preserve">in the period of study. </w:t>
      </w:r>
    </w:p>
    <w:p w:rsidR="00B06462" w:rsidRPr="003F52FE" w:rsidRDefault="00B06462" w:rsidP="0083766B">
      <w:pPr>
        <w:jc w:val="center"/>
        <w:rPr>
          <w:color w:val="000000" w:themeColor="text1"/>
          <w:lang w:val="en-US"/>
        </w:rPr>
      </w:pPr>
    </w:p>
    <w:p w:rsidR="003E4EAF" w:rsidRPr="003F52FE" w:rsidRDefault="002E287A" w:rsidP="0083766B">
      <w:pPr>
        <w:jc w:val="center"/>
        <w:rPr>
          <w:color w:val="000000" w:themeColor="text1"/>
          <w:sz w:val="22"/>
          <w:lang w:val="en-US"/>
        </w:rPr>
      </w:pPr>
      <w:proofErr w:type="gramStart"/>
      <w:r w:rsidRPr="003F52FE">
        <w:rPr>
          <w:color w:val="000000" w:themeColor="text1"/>
          <w:sz w:val="22"/>
          <w:lang w:val="en-US"/>
        </w:rPr>
        <w:t>Table</w:t>
      </w:r>
      <w:r w:rsidR="008A2B76" w:rsidRPr="003F52FE">
        <w:rPr>
          <w:color w:val="000000" w:themeColor="text1"/>
          <w:sz w:val="22"/>
          <w:lang w:val="en-US"/>
        </w:rPr>
        <w:t xml:space="preserve"> 1.</w:t>
      </w:r>
      <w:proofErr w:type="gramEnd"/>
      <w:r w:rsidR="008A2B76" w:rsidRPr="003F52FE">
        <w:rPr>
          <w:color w:val="000000" w:themeColor="text1"/>
          <w:sz w:val="22"/>
          <w:lang w:val="en-US"/>
        </w:rPr>
        <w:t xml:space="preserve"> Brazilian </w:t>
      </w:r>
      <w:r w:rsidR="008A2B76" w:rsidRPr="003F52FE">
        <w:rPr>
          <w:rFonts w:eastAsia="Times New Roman"/>
          <w:color w:val="000000" w:themeColor="text1"/>
          <w:sz w:val="22"/>
          <w:lang w:val="en-US"/>
        </w:rPr>
        <w:t>GDP annual growth rate (%),</w:t>
      </w:r>
      <w:r w:rsidR="002F05C4" w:rsidRPr="003F52FE">
        <w:rPr>
          <w:color w:val="000000" w:themeColor="text1"/>
          <w:sz w:val="22"/>
          <w:lang w:val="en-US"/>
        </w:rPr>
        <w:t xml:space="preserve"> 1953</w:t>
      </w:r>
      <w:r w:rsidR="003E4EAF" w:rsidRPr="003F52FE">
        <w:rPr>
          <w:color w:val="000000" w:themeColor="text1"/>
          <w:sz w:val="22"/>
          <w:lang w:val="en-US"/>
        </w:rPr>
        <w:t>-2008</w:t>
      </w:r>
    </w:p>
    <w:p w:rsidR="00116E78" w:rsidRPr="003F52FE" w:rsidRDefault="00116E78" w:rsidP="0083766B">
      <w:pPr>
        <w:jc w:val="center"/>
        <w:rPr>
          <w:color w:val="000000" w:themeColor="text1"/>
          <w:sz w:val="22"/>
        </w:rPr>
      </w:pPr>
      <w:r w:rsidRPr="003F52FE">
        <w:rPr>
          <w:color w:val="000000" w:themeColor="text1"/>
          <w:sz w:val="22"/>
        </w:rPr>
        <w:t>(</w:t>
      </w:r>
      <w:proofErr w:type="spellStart"/>
      <w:r w:rsidRPr="003F52FE">
        <w:rPr>
          <w:color w:val="000000" w:themeColor="text1"/>
          <w:sz w:val="22"/>
        </w:rPr>
        <w:t>compound</w:t>
      </w:r>
      <w:proofErr w:type="spellEnd"/>
      <w:r w:rsidR="00592365" w:rsidRPr="003F52FE">
        <w:rPr>
          <w:color w:val="000000" w:themeColor="text1"/>
          <w:sz w:val="22"/>
        </w:rPr>
        <w:t xml:space="preserve"> </w:t>
      </w:r>
      <w:proofErr w:type="spellStart"/>
      <w:r w:rsidRPr="003F52FE">
        <w:rPr>
          <w:color w:val="000000" w:themeColor="text1"/>
          <w:sz w:val="22"/>
        </w:rPr>
        <w:t>annual</w:t>
      </w:r>
      <w:proofErr w:type="spellEnd"/>
      <w:r w:rsidR="00592365" w:rsidRPr="003F52FE">
        <w:rPr>
          <w:color w:val="000000" w:themeColor="text1"/>
          <w:sz w:val="22"/>
        </w:rPr>
        <w:t xml:space="preserve"> </w:t>
      </w:r>
      <w:proofErr w:type="spellStart"/>
      <w:r w:rsidRPr="003F52FE">
        <w:rPr>
          <w:color w:val="000000" w:themeColor="text1"/>
          <w:sz w:val="22"/>
        </w:rPr>
        <w:t>growth</w:t>
      </w:r>
      <w:proofErr w:type="spellEnd"/>
      <w:r w:rsidRPr="003F52FE">
        <w:rPr>
          <w:color w:val="000000" w:themeColor="text1"/>
          <w:sz w:val="22"/>
        </w:rPr>
        <w:t xml:space="preserve"> rate) </w:t>
      </w:r>
    </w:p>
    <w:tbl>
      <w:tblPr>
        <w:tblW w:w="3543" w:type="dxa"/>
        <w:jc w:val="center"/>
        <w:tblInd w:w="-121" w:type="dxa"/>
        <w:tblCellMar>
          <w:left w:w="70" w:type="dxa"/>
          <w:right w:w="70" w:type="dxa"/>
        </w:tblCellMar>
        <w:tblLook w:val="04A0"/>
      </w:tblPr>
      <w:tblGrid>
        <w:gridCol w:w="1867"/>
        <w:gridCol w:w="1676"/>
      </w:tblGrid>
      <w:tr w:rsidR="00BE1937" w:rsidRPr="003F52FE" w:rsidTr="007D15D1">
        <w:trPr>
          <w:trHeight w:val="300"/>
          <w:jc w:val="center"/>
        </w:trPr>
        <w:tc>
          <w:tcPr>
            <w:tcW w:w="1867" w:type="dxa"/>
            <w:tcBorders>
              <w:top w:val="single" w:sz="4" w:space="0" w:color="auto"/>
              <w:left w:val="nil"/>
              <w:bottom w:val="single" w:sz="4" w:space="0" w:color="auto"/>
              <w:right w:val="nil"/>
            </w:tcBorders>
            <w:shd w:val="clear" w:color="auto" w:fill="auto"/>
            <w:noWrap/>
            <w:vAlign w:val="bottom"/>
            <w:hideMark/>
          </w:tcPr>
          <w:p w:rsidR="00BE1937" w:rsidRPr="003F52FE" w:rsidRDefault="00BE1937" w:rsidP="0083766B">
            <w:pPr>
              <w:widowControl/>
              <w:autoSpaceDE/>
              <w:autoSpaceDN/>
              <w:adjustRightInd/>
              <w:rPr>
                <w:rFonts w:eastAsia="Times New Roman"/>
                <w:color w:val="000000" w:themeColor="text1"/>
              </w:rPr>
            </w:pPr>
            <w:proofErr w:type="spellStart"/>
            <w:r w:rsidRPr="003F52FE">
              <w:rPr>
                <w:rFonts w:eastAsia="Times New Roman"/>
                <w:color w:val="000000" w:themeColor="text1"/>
                <w:sz w:val="22"/>
              </w:rPr>
              <w:t>Period</w:t>
            </w:r>
            <w:proofErr w:type="spellEnd"/>
          </w:p>
        </w:tc>
        <w:tc>
          <w:tcPr>
            <w:tcW w:w="1676" w:type="dxa"/>
            <w:tcBorders>
              <w:top w:val="single" w:sz="4" w:space="0" w:color="auto"/>
              <w:left w:val="nil"/>
              <w:bottom w:val="single" w:sz="4" w:space="0" w:color="auto"/>
              <w:right w:val="nil"/>
            </w:tcBorders>
            <w:shd w:val="clear" w:color="auto" w:fill="auto"/>
            <w:noWrap/>
            <w:vAlign w:val="bottom"/>
            <w:hideMark/>
          </w:tcPr>
          <w:p w:rsidR="00BE1937" w:rsidRPr="003F52FE" w:rsidRDefault="00FA32BC" w:rsidP="0083766B">
            <w:pPr>
              <w:widowControl/>
              <w:autoSpaceDE/>
              <w:autoSpaceDN/>
              <w:adjustRightInd/>
              <w:jc w:val="center"/>
              <w:rPr>
                <w:rFonts w:eastAsia="Times New Roman"/>
                <w:color w:val="000000" w:themeColor="text1"/>
              </w:rPr>
            </w:pPr>
            <w:proofErr w:type="spellStart"/>
            <w:proofErr w:type="gramStart"/>
            <w:r w:rsidRPr="003F52FE">
              <w:rPr>
                <w:rFonts w:eastAsia="Times New Roman"/>
                <w:color w:val="000000" w:themeColor="text1"/>
                <w:sz w:val="22"/>
              </w:rPr>
              <w:t>g</w:t>
            </w:r>
            <w:r w:rsidRPr="003F52FE">
              <w:rPr>
                <w:rFonts w:eastAsia="Times New Roman"/>
                <w:color w:val="000000" w:themeColor="text1"/>
                <w:sz w:val="22"/>
                <w:vertAlign w:val="subscript"/>
              </w:rPr>
              <w:t>X</w:t>
            </w:r>
            <w:proofErr w:type="spellEnd"/>
            <w:proofErr w:type="gramEnd"/>
          </w:p>
        </w:tc>
      </w:tr>
      <w:tr w:rsidR="00BE1937" w:rsidRPr="003F52FE" w:rsidTr="007D15D1">
        <w:trPr>
          <w:trHeight w:val="300"/>
          <w:jc w:val="center"/>
        </w:trPr>
        <w:tc>
          <w:tcPr>
            <w:tcW w:w="1867" w:type="dxa"/>
            <w:tcBorders>
              <w:top w:val="nil"/>
              <w:left w:val="nil"/>
              <w:bottom w:val="nil"/>
              <w:right w:val="nil"/>
            </w:tcBorders>
            <w:shd w:val="clear" w:color="auto" w:fill="auto"/>
            <w:noWrap/>
            <w:vAlign w:val="bottom"/>
            <w:hideMark/>
          </w:tcPr>
          <w:p w:rsidR="00BE1937" w:rsidRPr="003F52FE" w:rsidRDefault="00BE1937" w:rsidP="0083766B">
            <w:pPr>
              <w:widowControl/>
              <w:autoSpaceDE/>
              <w:autoSpaceDN/>
              <w:adjustRightInd/>
              <w:rPr>
                <w:rFonts w:eastAsia="Times New Roman"/>
                <w:color w:val="000000" w:themeColor="text1"/>
              </w:rPr>
            </w:pPr>
            <w:r w:rsidRPr="003F52FE">
              <w:rPr>
                <w:rFonts w:eastAsia="Times New Roman"/>
                <w:color w:val="000000" w:themeColor="text1"/>
                <w:sz w:val="22"/>
              </w:rPr>
              <w:t>1955-2008</w:t>
            </w:r>
          </w:p>
        </w:tc>
        <w:tc>
          <w:tcPr>
            <w:tcW w:w="1676" w:type="dxa"/>
            <w:tcBorders>
              <w:top w:val="nil"/>
              <w:left w:val="nil"/>
              <w:bottom w:val="nil"/>
              <w:right w:val="nil"/>
            </w:tcBorders>
            <w:shd w:val="clear" w:color="auto" w:fill="auto"/>
            <w:noWrap/>
            <w:vAlign w:val="bottom"/>
            <w:hideMark/>
          </w:tcPr>
          <w:p w:rsidR="00BE1937"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rPr>
              <w:t>4.</w:t>
            </w:r>
            <w:r w:rsidR="00BE1937" w:rsidRPr="003F52FE">
              <w:rPr>
                <w:rFonts w:eastAsia="Times New Roman"/>
                <w:color w:val="000000" w:themeColor="text1"/>
                <w:sz w:val="22"/>
              </w:rPr>
              <w:t>90</w:t>
            </w:r>
          </w:p>
        </w:tc>
      </w:tr>
      <w:tr w:rsidR="00BE1937" w:rsidRPr="003F52FE" w:rsidTr="007D15D1">
        <w:trPr>
          <w:trHeight w:val="300"/>
          <w:jc w:val="center"/>
        </w:trPr>
        <w:tc>
          <w:tcPr>
            <w:tcW w:w="1867" w:type="dxa"/>
            <w:tcBorders>
              <w:top w:val="nil"/>
              <w:left w:val="nil"/>
              <w:bottom w:val="nil"/>
              <w:right w:val="nil"/>
            </w:tcBorders>
            <w:shd w:val="clear" w:color="auto" w:fill="auto"/>
            <w:noWrap/>
            <w:vAlign w:val="bottom"/>
            <w:hideMark/>
          </w:tcPr>
          <w:p w:rsidR="00BE1937" w:rsidRPr="003F52FE" w:rsidRDefault="00BE1937" w:rsidP="0083766B">
            <w:pPr>
              <w:widowControl/>
              <w:autoSpaceDE/>
              <w:autoSpaceDN/>
              <w:adjustRightInd/>
              <w:rPr>
                <w:rFonts w:eastAsia="Times New Roman"/>
                <w:color w:val="000000" w:themeColor="text1"/>
              </w:rPr>
            </w:pPr>
            <w:r w:rsidRPr="003F52FE">
              <w:rPr>
                <w:rFonts w:eastAsia="Times New Roman"/>
                <w:color w:val="000000" w:themeColor="text1"/>
                <w:sz w:val="22"/>
              </w:rPr>
              <w:t xml:space="preserve">  1955-1973</w:t>
            </w:r>
          </w:p>
        </w:tc>
        <w:tc>
          <w:tcPr>
            <w:tcW w:w="1676" w:type="dxa"/>
            <w:tcBorders>
              <w:top w:val="nil"/>
              <w:left w:val="nil"/>
              <w:bottom w:val="nil"/>
              <w:right w:val="nil"/>
            </w:tcBorders>
            <w:shd w:val="clear" w:color="auto" w:fill="auto"/>
            <w:noWrap/>
            <w:vAlign w:val="bottom"/>
            <w:hideMark/>
          </w:tcPr>
          <w:p w:rsidR="00BE1937"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rPr>
              <w:t>7.</w:t>
            </w:r>
            <w:r w:rsidR="00BE1937" w:rsidRPr="003F52FE">
              <w:rPr>
                <w:rFonts w:eastAsia="Times New Roman"/>
                <w:color w:val="000000" w:themeColor="text1"/>
                <w:sz w:val="22"/>
              </w:rPr>
              <w:t>44</w:t>
            </w:r>
          </w:p>
        </w:tc>
      </w:tr>
      <w:tr w:rsidR="00BE1937" w:rsidRPr="003F52FE" w:rsidTr="007D15D1">
        <w:trPr>
          <w:trHeight w:val="300"/>
          <w:jc w:val="center"/>
        </w:trPr>
        <w:tc>
          <w:tcPr>
            <w:tcW w:w="1867" w:type="dxa"/>
            <w:tcBorders>
              <w:top w:val="nil"/>
              <w:left w:val="nil"/>
              <w:bottom w:val="nil"/>
              <w:right w:val="nil"/>
            </w:tcBorders>
            <w:shd w:val="clear" w:color="auto" w:fill="auto"/>
            <w:noWrap/>
            <w:vAlign w:val="bottom"/>
            <w:hideMark/>
          </w:tcPr>
          <w:p w:rsidR="00BE1937" w:rsidRPr="003F52FE" w:rsidRDefault="00BE1937" w:rsidP="0083766B">
            <w:pPr>
              <w:widowControl/>
              <w:autoSpaceDE/>
              <w:autoSpaceDN/>
              <w:adjustRightInd/>
              <w:rPr>
                <w:rFonts w:eastAsia="Times New Roman"/>
                <w:color w:val="000000" w:themeColor="text1"/>
              </w:rPr>
            </w:pPr>
            <w:r w:rsidRPr="003F52FE">
              <w:rPr>
                <w:rFonts w:eastAsia="Times New Roman"/>
                <w:color w:val="000000" w:themeColor="text1"/>
                <w:sz w:val="22"/>
              </w:rPr>
              <w:t xml:space="preserve">     1955-1962</w:t>
            </w:r>
          </w:p>
        </w:tc>
        <w:tc>
          <w:tcPr>
            <w:tcW w:w="1676" w:type="dxa"/>
            <w:tcBorders>
              <w:top w:val="nil"/>
              <w:left w:val="nil"/>
              <w:bottom w:val="nil"/>
              <w:right w:val="nil"/>
            </w:tcBorders>
            <w:shd w:val="clear" w:color="auto" w:fill="auto"/>
            <w:noWrap/>
            <w:vAlign w:val="bottom"/>
            <w:hideMark/>
          </w:tcPr>
          <w:p w:rsidR="00BE1937"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rPr>
              <w:t>7.</w:t>
            </w:r>
            <w:r w:rsidR="00BE1937" w:rsidRPr="003F52FE">
              <w:rPr>
                <w:rFonts w:eastAsia="Times New Roman"/>
                <w:color w:val="000000" w:themeColor="text1"/>
                <w:sz w:val="22"/>
              </w:rPr>
              <w:t>64</w:t>
            </w:r>
          </w:p>
        </w:tc>
      </w:tr>
      <w:tr w:rsidR="00BE1937" w:rsidRPr="003F52FE" w:rsidTr="007D15D1">
        <w:trPr>
          <w:trHeight w:val="300"/>
          <w:jc w:val="center"/>
        </w:trPr>
        <w:tc>
          <w:tcPr>
            <w:tcW w:w="1867" w:type="dxa"/>
            <w:tcBorders>
              <w:top w:val="nil"/>
              <w:left w:val="nil"/>
              <w:bottom w:val="nil"/>
              <w:right w:val="nil"/>
            </w:tcBorders>
            <w:shd w:val="clear" w:color="auto" w:fill="auto"/>
            <w:noWrap/>
            <w:vAlign w:val="bottom"/>
            <w:hideMark/>
          </w:tcPr>
          <w:p w:rsidR="00BE1937" w:rsidRPr="003F52FE" w:rsidRDefault="00BE1937" w:rsidP="0083766B">
            <w:pPr>
              <w:widowControl/>
              <w:autoSpaceDE/>
              <w:autoSpaceDN/>
              <w:adjustRightInd/>
              <w:rPr>
                <w:rFonts w:eastAsia="Times New Roman"/>
                <w:color w:val="000000" w:themeColor="text1"/>
              </w:rPr>
            </w:pPr>
            <w:r w:rsidRPr="003F52FE">
              <w:rPr>
                <w:rFonts w:eastAsia="Times New Roman"/>
                <w:color w:val="000000" w:themeColor="text1"/>
                <w:sz w:val="22"/>
              </w:rPr>
              <w:t xml:space="preserve">     1962-1973</w:t>
            </w:r>
          </w:p>
        </w:tc>
        <w:tc>
          <w:tcPr>
            <w:tcW w:w="1676" w:type="dxa"/>
            <w:tcBorders>
              <w:top w:val="nil"/>
              <w:left w:val="nil"/>
              <w:bottom w:val="nil"/>
              <w:right w:val="nil"/>
            </w:tcBorders>
            <w:shd w:val="clear" w:color="auto" w:fill="auto"/>
            <w:noWrap/>
            <w:vAlign w:val="bottom"/>
            <w:hideMark/>
          </w:tcPr>
          <w:p w:rsidR="00BE1937"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rPr>
              <w:t>7.</w:t>
            </w:r>
            <w:r w:rsidR="00BE1937" w:rsidRPr="003F52FE">
              <w:rPr>
                <w:rFonts w:eastAsia="Times New Roman"/>
                <w:color w:val="000000" w:themeColor="text1"/>
                <w:sz w:val="22"/>
              </w:rPr>
              <w:t>30</w:t>
            </w:r>
          </w:p>
        </w:tc>
      </w:tr>
      <w:tr w:rsidR="00BE1937" w:rsidRPr="003F52FE" w:rsidTr="007D15D1">
        <w:trPr>
          <w:trHeight w:val="300"/>
          <w:jc w:val="center"/>
        </w:trPr>
        <w:tc>
          <w:tcPr>
            <w:tcW w:w="1867" w:type="dxa"/>
            <w:tcBorders>
              <w:top w:val="nil"/>
              <w:left w:val="nil"/>
              <w:bottom w:val="nil"/>
              <w:right w:val="nil"/>
            </w:tcBorders>
            <w:shd w:val="clear" w:color="auto" w:fill="auto"/>
            <w:noWrap/>
            <w:vAlign w:val="bottom"/>
            <w:hideMark/>
          </w:tcPr>
          <w:p w:rsidR="00BE1937" w:rsidRPr="003F52FE" w:rsidRDefault="00BE1937" w:rsidP="0083766B">
            <w:pPr>
              <w:widowControl/>
              <w:autoSpaceDE/>
              <w:autoSpaceDN/>
              <w:adjustRightInd/>
              <w:rPr>
                <w:rFonts w:eastAsia="Times New Roman"/>
                <w:color w:val="000000" w:themeColor="text1"/>
              </w:rPr>
            </w:pPr>
            <w:r w:rsidRPr="003F52FE">
              <w:rPr>
                <w:rFonts w:eastAsia="Times New Roman"/>
                <w:color w:val="000000" w:themeColor="text1"/>
                <w:sz w:val="22"/>
              </w:rPr>
              <w:t xml:space="preserve">  1973-1989</w:t>
            </w:r>
          </w:p>
        </w:tc>
        <w:tc>
          <w:tcPr>
            <w:tcW w:w="1676" w:type="dxa"/>
            <w:tcBorders>
              <w:top w:val="nil"/>
              <w:left w:val="nil"/>
              <w:bottom w:val="nil"/>
              <w:right w:val="nil"/>
            </w:tcBorders>
            <w:shd w:val="clear" w:color="auto" w:fill="auto"/>
            <w:noWrap/>
            <w:vAlign w:val="bottom"/>
            <w:hideMark/>
          </w:tcPr>
          <w:p w:rsidR="00BE1937"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rPr>
              <w:t>4.</w:t>
            </w:r>
            <w:r w:rsidR="00BE1937" w:rsidRPr="003F52FE">
              <w:rPr>
                <w:rFonts w:eastAsia="Times New Roman"/>
                <w:color w:val="000000" w:themeColor="text1"/>
                <w:sz w:val="22"/>
              </w:rPr>
              <w:t>45</w:t>
            </w:r>
          </w:p>
        </w:tc>
      </w:tr>
      <w:tr w:rsidR="00BE1937" w:rsidRPr="003F52FE" w:rsidTr="007D15D1">
        <w:trPr>
          <w:trHeight w:val="300"/>
          <w:jc w:val="center"/>
        </w:trPr>
        <w:tc>
          <w:tcPr>
            <w:tcW w:w="1867" w:type="dxa"/>
            <w:tcBorders>
              <w:top w:val="nil"/>
              <w:left w:val="nil"/>
              <w:bottom w:val="nil"/>
              <w:right w:val="nil"/>
            </w:tcBorders>
            <w:shd w:val="clear" w:color="auto" w:fill="auto"/>
            <w:noWrap/>
            <w:vAlign w:val="bottom"/>
            <w:hideMark/>
          </w:tcPr>
          <w:p w:rsidR="00BE1937" w:rsidRPr="003F52FE" w:rsidRDefault="00BE1937" w:rsidP="0083766B">
            <w:pPr>
              <w:widowControl/>
              <w:autoSpaceDE/>
              <w:autoSpaceDN/>
              <w:adjustRightInd/>
              <w:rPr>
                <w:rFonts w:eastAsia="Times New Roman"/>
                <w:color w:val="000000" w:themeColor="text1"/>
              </w:rPr>
            </w:pPr>
            <w:r w:rsidRPr="003F52FE">
              <w:rPr>
                <w:rFonts w:eastAsia="Times New Roman"/>
                <w:color w:val="000000" w:themeColor="text1"/>
                <w:sz w:val="22"/>
              </w:rPr>
              <w:t xml:space="preserve">     1973-1980</w:t>
            </w:r>
          </w:p>
        </w:tc>
        <w:tc>
          <w:tcPr>
            <w:tcW w:w="1676" w:type="dxa"/>
            <w:tcBorders>
              <w:top w:val="nil"/>
              <w:left w:val="nil"/>
              <w:bottom w:val="nil"/>
              <w:right w:val="nil"/>
            </w:tcBorders>
            <w:shd w:val="clear" w:color="auto" w:fill="auto"/>
            <w:noWrap/>
            <w:vAlign w:val="bottom"/>
            <w:hideMark/>
          </w:tcPr>
          <w:p w:rsidR="00BE1937"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rPr>
              <w:t>6.</w:t>
            </w:r>
            <w:r w:rsidR="00BE1937" w:rsidRPr="003F52FE">
              <w:rPr>
                <w:rFonts w:eastAsia="Times New Roman"/>
                <w:color w:val="000000" w:themeColor="text1"/>
                <w:sz w:val="22"/>
              </w:rPr>
              <w:t>81</w:t>
            </w:r>
          </w:p>
        </w:tc>
      </w:tr>
      <w:tr w:rsidR="00BE1937" w:rsidRPr="003F52FE" w:rsidTr="007D15D1">
        <w:trPr>
          <w:trHeight w:val="300"/>
          <w:jc w:val="center"/>
        </w:trPr>
        <w:tc>
          <w:tcPr>
            <w:tcW w:w="1867" w:type="dxa"/>
            <w:tcBorders>
              <w:top w:val="nil"/>
              <w:left w:val="nil"/>
              <w:bottom w:val="nil"/>
              <w:right w:val="nil"/>
            </w:tcBorders>
            <w:shd w:val="clear" w:color="auto" w:fill="auto"/>
            <w:noWrap/>
            <w:vAlign w:val="bottom"/>
            <w:hideMark/>
          </w:tcPr>
          <w:p w:rsidR="00BE1937" w:rsidRPr="003F52FE" w:rsidRDefault="00BE1937" w:rsidP="0083766B">
            <w:pPr>
              <w:widowControl/>
              <w:autoSpaceDE/>
              <w:autoSpaceDN/>
              <w:adjustRightInd/>
              <w:rPr>
                <w:rFonts w:eastAsia="Times New Roman"/>
                <w:color w:val="000000" w:themeColor="text1"/>
              </w:rPr>
            </w:pPr>
            <w:r w:rsidRPr="003F52FE">
              <w:rPr>
                <w:rFonts w:eastAsia="Times New Roman"/>
                <w:color w:val="000000" w:themeColor="text1"/>
                <w:sz w:val="22"/>
              </w:rPr>
              <w:t xml:space="preserve">     1980-1989</w:t>
            </w:r>
          </w:p>
        </w:tc>
        <w:tc>
          <w:tcPr>
            <w:tcW w:w="1676" w:type="dxa"/>
            <w:tcBorders>
              <w:top w:val="nil"/>
              <w:left w:val="nil"/>
              <w:bottom w:val="nil"/>
              <w:right w:val="nil"/>
            </w:tcBorders>
            <w:shd w:val="clear" w:color="auto" w:fill="auto"/>
            <w:noWrap/>
            <w:vAlign w:val="bottom"/>
            <w:hideMark/>
          </w:tcPr>
          <w:p w:rsidR="00BE1937"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rPr>
              <w:t>2.</w:t>
            </w:r>
            <w:r w:rsidR="00BE1937" w:rsidRPr="003F52FE">
              <w:rPr>
                <w:rFonts w:eastAsia="Times New Roman"/>
                <w:color w:val="000000" w:themeColor="text1"/>
                <w:sz w:val="22"/>
              </w:rPr>
              <w:t>62</w:t>
            </w:r>
          </w:p>
        </w:tc>
      </w:tr>
      <w:tr w:rsidR="00BE1937" w:rsidRPr="003F52FE" w:rsidTr="007D15D1">
        <w:trPr>
          <w:trHeight w:val="300"/>
          <w:jc w:val="center"/>
        </w:trPr>
        <w:tc>
          <w:tcPr>
            <w:tcW w:w="1867" w:type="dxa"/>
            <w:tcBorders>
              <w:top w:val="nil"/>
              <w:left w:val="nil"/>
              <w:bottom w:val="nil"/>
              <w:right w:val="nil"/>
            </w:tcBorders>
            <w:shd w:val="clear" w:color="auto" w:fill="auto"/>
            <w:noWrap/>
            <w:vAlign w:val="bottom"/>
            <w:hideMark/>
          </w:tcPr>
          <w:p w:rsidR="00BE1937" w:rsidRPr="003F52FE" w:rsidRDefault="00BE1937" w:rsidP="0083766B">
            <w:pPr>
              <w:widowControl/>
              <w:autoSpaceDE/>
              <w:autoSpaceDN/>
              <w:adjustRightInd/>
              <w:rPr>
                <w:rFonts w:eastAsia="Times New Roman"/>
                <w:color w:val="000000" w:themeColor="text1"/>
              </w:rPr>
            </w:pPr>
            <w:r w:rsidRPr="003F52FE">
              <w:rPr>
                <w:rFonts w:eastAsia="Times New Roman"/>
                <w:color w:val="000000" w:themeColor="text1"/>
                <w:sz w:val="22"/>
              </w:rPr>
              <w:t xml:space="preserve">  1989-2003</w:t>
            </w:r>
          </w:p>
        </w:tc>
        <w:tc>
          <w:tcPr>
            <w:tcW w:w="1676" w:type="dxa"/>
            <w:tcBorders>
              <w:top w:val="nil"/>
              <w:left w:val="nil"/>
              <w:bottom w:val="nil"/>
              <w:right w:val="nil"/>
            </w:tcBorders>
            <w:shd w:val="clear" w:color="auto" w:fill="auto"/>
            <w:noWrap/>
            <w:vAlign w:val="bottom"/>
            <w:hideMark/>
          </w:tcPr>
          <w:p w:rsidR="00BE1937"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rPr>
              <w:t>2.</w:t>
            </w:r>
            <w:r w:rsidR="00BE1937" w:rsidRPr="003F52FE">
              <w:rPr>
                <w:rFonts w:eastAsia="Times New Roman"/>
                <w:color w:val="000000" w:themeColor="text1"/>
                <w:sz w:val="22"/>
              </w:rPr>
              <w:t>21</w:t>
            </w:r>
          </w:p>
        </w:tc>
      </w:tr>
      <w:tr w:rsidR="00BE1937" w:rsidRPr="003F52FE" w:rsidTr="007D15D1">
        <w:trPr>
          <w:trHeight w:val="300"/>
          <w:jc w:val="center"/>
        </w:trPr>
        <w:tc>
          <w:tcPr>
            <w:tcW w:w="1867" w:type="dxa"/>
            <w:tcBorders>
              <w:top w:val="nil"/>
              <w:left w:val="nil"/>
              <w:bottom w:val="nil"/>
              <w:right w:val="nil"/>
            </w:tcBorders>
            <w:shd w:val="clear" w:color="auto" w:fill="auto"/>
            <w:noWrap/>
            <w:vAlign w:val="bottom"/>
            <w:hideMark/>
          </w:tcPr>
          <w:p w:rsidR="00BE1937" w:rsidRPr="003F52FE" w:rsidRDefault="00BE1937" w:rsidP="0083766B">
            <w:pPr>
              <w:widowControl/>
              <w:autoSpaceDE/>
              <w:autoSpaceDN/>
              <w:adjustRightInd/>
              <w:rPr>
                <w:rFonts w:eastAsia="Times New Roman"/>
                <w:color w:val="000000" w:themeColor="text1"/>
              </w:rPr>
            </w:pPr>
            <w:r w:rsidRPr="003F52FE">
              <w:rPr>
                <w:rFonts w:eastAsia="Times New Roman"/>
                <w:color w:val="000000" w:themeColor="text1"/>
                <w:sz w:val="22"/>
              </w:rPr>
              <w:t xml:space="preserve">     1989-1994</w:t>
            </w:r>
          </w:p>
        </w:tc>
        <w:tc>
          <w:tcPr>
            <w:tcW w:w="1676" w:type="dxa"/>
            <w:tcBorders>
              <w:top w:val="nil"/>
              <w:left w:val="nil"/>
              <w:bottom w:val="nil"/>
              <w:right w:val="nil"/>
            </w:tcBorders>
            <w:shd w:val="clear" w:color="auto" w:fill="auto"/>
            <w:noWrap/>
            <w:vAlign w:val="bottom"/>
            <w:hideMark/>
          </w:tcPr>
          <w:p w:rsidR="00BE1937"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rPr>
              <w:t>2.</w:t>
            </w:r>
            <w:r w:rsidR="00BE1937" w:rsidRPr="003F52FE">
              <w:rPr>
                <w:rFonts w:eastAsia="Times New Roman"/>
                <w:color w:val="000000" w:themeColor="text1"/>
                <w:sz w:val="22"/>
              </w:rPr>
              <w:t>19</w:t>
            </w:r>
          </w:p>
        </w:tc>
      </w:tr>
      <w:tr w:rsidR="00BE1937" w:rsidRPr="003F52FE" w:rsidTr="007D15D1">
        <w:trPr>
          <w:trHeight w:val="300"/>
          <w:jc w:val="center"/>
        </w:trPr>
        <w:tc>
          <w:tcPr>
            <w:tcW w:w="1867" w:type="dxa"/>
            <w:tcBorders>
              <w:top w:val="nil"/>
              <w:left w:val="nil"/>
              <w:bottom w:val="nil"/>
              <w:right w:val="nil"/>
            </w:tcBorders>
            <w:shd w:val="clear" w:color="auto" w:fill="auto"/>
            <w:noWrap/>
            <w:vAlign w:val="bottom"/>
            <w:hideMark/>
          </w:tcPr>
          <w:p w:rsidR="00BE1937" w:rsidRPr="003F52FE" w:rsidRDefault="00BE1937" w:rsidP="0083766B">
            <w:pPr>
              <w:widowControl/>
              <w:autoSpaceDE/>
              <w:autoSpaceDN/>
              <w:adjustRightInd/>
              <w:rPr>
                <w:rFonts w:eastAsia="Times New Roman"/>
                <w:color w:val="000000" w:themeColor="text1"/>
              </w:rPr>
            </w:pPr>
            <w:r w:rsidRPr="003F52FE">
              <w:rPr>
                <w:rFonts w:eastAsia="Times New Roman"/>
                <w:color w:val="000000" w:themeColor="text1"/>
                <w:sz w:val="22"/>
              </w:rPr>
              <w:t xml:space="preserve">     1994-2003</w:t>
            </w:r>
          </w:p>
        </w:tc>
        <w:tc>
          <w:tcPr>
            <w:tcW w:w="1676" w:type="dxa"/>
            <w:tcBorders>
              <w:top w:val="nil"/>
              <w:left w:val="nil"/>
              <w:bottom w:val="nil"/>
              <w:right w:val="nil"/>
            </w:tcBorders>
            <w:shd w:val="clear" w:color="auto" w:fill="auto"/>
            <w:noWrap/>
            <w:vAlign w:val="bottom"/>
            <w:hideMark/>
          </w:tcPr>
          <w:p w:rsidR="00BE1937"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rPr>
              <w:t>2.</w:t>
            </w:r>
            <w:r w:rsidR="00BE1937" w:rsidRPr="003F52FE">
              <w:rPr>
                <w:rFonts w:eastAsia="Times New Roman"/>
                <w:color w:val="000000" w:themeColor="text1"/>
                <w:sz w:val="22"/>
              </w:rPr>
              <w:t>23</w:t>
            </w:r>
          </w:p>
        </w:tc>
      </w:tr>
      <w:tr w:rsidR="00BE1937" w:rsidRPr="003F52FE" w:rsidTr="007D15D1">
        <w:trPr>
          <w:trHeight w:val="300"/>
          <w:jc w:val="center"/>
        </w:trPr>
        <w:tc>
          <w:tcPr>
            <w:tcW w:w="1867" w:type="dxa"/>
            <w:tcBorders>
              <w:top w:val="nil"/>
              <w:left w:val="nil"/>
              <w:bottom w:val="single" w:sz="4" w:space="0" w:color="auto"/>
              <w:right w:val="nil"/>
            </w:tcBorders>
            <w:shd w:val="clear" w:color="auto" w:fill="auto"/>
            <w:noWrap/>
            <w:vAlign w:val="bottom"/>
            <w:hideMark/>
          </w:tcPr>
          <w:p w:rsidR="00BE1937" w:rsidRPr="003F52FE" w:rsidRDefault="00BE1937" w:rsidP="0083766B">
            <w:pPr>
              <w:widowControl/>
              <w:autoSpaceDE/>
              <w:autoSpaceDN/>
              <w:adjustRightInd/>
              <w:rPr>
                <w:rFonts w:eastAsia="Times New Roman"/>
                <w:color w:val="000000" w:themeColor="text1"/>
              </w:rPr>
            </w:pPr>
            <w:r w:rsidRPr="003F52FE">
              <w:rPr>
                <w:rFonts w:eastAsia="Times New Roman"/>
                <w:color w:val="000000" w:themeColor="text1"/>
                <w:sz w:val="22"/>
              </w:rPr>
              <w:t xml:space="preserve">  2003-2008</w:t>
            </w:r>
          </w:p>
        </w:tc>
        <w:tc>
          <w:tcPr>
            <w:tcW w:w="1676" w:type="dxa"/>
            <w:tcBorders>
              <w:top w:val="nil"/>
              <w:left w:val="nil"/>
              <w:bottom w:val="single" w:sz="4" w:space="0" w:color="auto"/>
              <w:right w:val="nil"/>
            </w:tcBorders>
            <w:shd w:val="clear" w:color="auto" w:fill="auto"/>
            <w:noWrap/>
            <w:vAlign w:val="bottom"/>
            <w:hideMark/>
          </w:tcPr>
          <w:p w:rsidR="00BE1937"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rPr>
              <w:t>4.</w:t>
            </w:r>
            <w:r w:rsidR="00BE1937" w:rsidRPr="003F52FE">
              <w:rPr>
                <w:rFonts w:eastAsia="Times New Roman"/>
                <w:color w:val="000000" w:themeColor="text1"/>
                <w:sz w:val="22"/>
              </w:rPr>
              <w:t>70</w:t>
            </w:r>
          </w:p>
        </w:tc>
      </w:tr>
    </w:tbl>
    <w:p w:rsidR="008A2B76" w:rsidRPr="003F52FE" w:rsidRDefault="00552C5F" w:rsidP="0083766B">
      <w:pPr>
        <w:ind w:left="1440" w:firstLine="720"/>
        <w:rPr>
          <w:color w:val="000000" w:themeColor="text1"/>
          <w:lang w:val="en-US"/>
        </w:rPr>
      </w:pPr>
      <w:r w:rsidRPr="003F52FE">
        <w:rPr>
          <w:color w:val="000000" w:themeColor="text1"/>
          <w:sz w:val="22"/>
          <w:lang w:val="en-US"/>
        </w:rPr>
        <w:t xml:space="preserve">      </w:t>
      </w:r>
      <w:r w:rsidR="002E287A" w:rsidRPr="003F52FE">
        <w:rPr>
          <w:color w:val="000000" w:themeColor="text1"/>
          <w:sz w:val="22"/>
          <w:lang w:val="en-US"/>
        </w:rPr>
        <w:t>Source</w:t>
      </w:r>
      <w:r w:rsidR="008A2B76" w:rsidRPr="003F52FE">
        <w:rPr>
          <w:color w:val="000000" w:themeColor="text1"/>
          <w:sz w:val="22"/>
          <w:lang w:val="en-US"/>
        </w:rPr>
        <w:t xml:space="preserve">: </w:t>
      </w:r>
      <w:r w:rsidR="00257459" w:rsidRPr="003F52FE">
        <w:rPr>
          <w:color w:val="000000" w:themeColor="text1"/>
          <w:sz w:val="22"/>
          <w:lang w:val="en-US"/>
        </w:rPr>
        <w:t xml:space="preserve">Appendix </w:t>
      </w:r>
    </w:p>
    <w:p w:rsidR="00335E31" w:rsidRDefault="00335E31" w:rsidP="0083766B">
      <w:pPr>
        <w:ind w:firstLine="720"/>
        <w:jc w:val="both"/>
        <w:rPr>
          <w:color w:val="000000" w:themeColor="text1"/>
          <w:lang w:val="en-US"/>
        </w:rPr>
      </w:pPr>
    </w:p>
    <w:p w:rsidR="004D7B34" w:rsidRPr="003F52FE" w:rsidRDefault="004D7B34" w:rsidP="0083766B">
      <w:pPr>
        <w:ind w:firstLine="720"/>
        <w:jc w:val="both"/>
        <w:rPr>
          <w:color w:val="000000" w:themeColor="text1"/>
          <w:lang w:val="en-US"/>
        </w:rPr>
      </w:pPr>
    </w:p>
    <w:p w:rsidR="009A1535" w:rsidRPr="003F52FE" w:rsidRDefault="00840E10" w:rsidP="0083766B">
      <w:pPr>
        <w:jc w:val="both"/>
        <w:rPr>
          <w:b/>
          <w:color w:val="000000" w:themeColor="text1"/>
          <w:lang w:val="en-US"/>
        </w:rPr>
      </w:pPr>
      <w:r w:rsidRPr="003F52FE">
        <w:rPr>
          <w:b/>
          <w:color w:val="000000" w:themeColor="text1"/>
          <w:lang w:val="en-US"/>
        </w:rPr>
        <w:lastRenderedPageBreak/>
        <w:t xml:space="preserve">4. </w:t>
      </w:r>
      <w:r w:rsidR="009A1535" w:rsidRPr="003F52FE">
        <w:rPr>
          <w:b/>
          <w:color w:val="000000" w:themeColor="text1"/>
          <w:lang w:val="en-US"/>
        </w:rPr>
        <w:t xml:space="preserve">Profit </w:t>
      </w:r>
      <w:r w:rsidR="00933773" w:rsidRPr="003F52FE">
        <w:rPr>
          <w:b/>
          <w:color w:val="000000" w:themeColor="text1"/>
          <w:lang w:val="en-US"/>
        </w:rPr>
        <w:t xml:space="preserve">rate at historical </w:t>
      </w:r>
      <w:r w:rsidR="009A1535" w:rsidRPr="003F52FE">
        <w:rPr>
          <w:b/>
          <w:color w:val="000000" w:themeColor="text1"/>
          <w:lang w:val="en-US"/>
        </w:rPr>
        <w:t xml:space="preserve">and </w:t>
      </w:r>
      <w:r w:rsidR="00257459" w:rsidRPr="003F52FE">
        <w:rPr>
          <w:b/>
          <w:color w:val="000000" w:themeColor="text1"/>
          <w:lang w:val="en-US"/>
        </w:rPr>
        <w:t>c</w:t>
      </w:r>
      <w:r w:rsidR="009A1535" w:rsidRPr="003F52FE">
        <w:rPr>
          <w:b/>
          <w:color w:val="000000" w:themeColor="text1"/>
          <w:lang w:val="en-US"/>
        </w:rPr>
        <w:t xml:space="preserve">urrent </w:t>
      </w:r>
      <w:r w:rsidR="00257459" w:rsidRPr="003F52FE">
        <w:rPr>
          <w:b/>
          <w:color w:val="000000" w:themeColor="text1"/>
          <w:lang w:val="en-US"/>
        </w:rPr>
        <w:t>c</w:t>
      </w:r>
      <w:r w:rsidR="009A1535" w:rsidRPr="003F52FE">
        <w:rPr>
          <w:b/>
          <w:color w:val="000000" w:themeColor="text1"/>
          <w:lang w:val="en-US"/>
        </w:rPr>
        <w:t>osts</w:t>
      </w:r>
      <w:r w:rsidRPr="003F52FE">
        <w:rPr>
          <w:b/>
          <w:color w:val="000000" w:themeColor="text1"/>
          <w:lang w:val="en-US"/>
        </w:rPr>
        <w:t xml:space="preserve"> in Brazil</w:t>
      </w:r>
    </w:p>
    <w:p w:rsidR="00B83CFA" w:rsidRPr="003F52FE" w:rsidRDefault="00B83CFA" w:rsidP="0083766B">
      <w:pPr>
        <w:ind w:firstLine="720"/>
        <w:jc w:val="both"/>
        <w:rPr>
          <w:color w:val="000000" w:themeColor="text1"/>
          <w:lang w:val="en-US"/>
        </w:rPr>
      </w:pPr>
    </w:p>
    <w:p w:rsidR="000F3A75" w:rsidRPr="003F52FE" w:rsidRDefault="004859C5" w:rsidP="0083766B">
      <w:pPr>
        <w:rPr>
          <w:color w:val="000000" w:themeColor="text1"/>
          <w:lang w:val="en-US"/>
        </w:rPr>
      </w:pPr>
      <w:r w:rsidRPr="003F52FE">
        <w:rPr>
          <w:color w:val="000000" w:themeColor="text1"/>
          <w:lang w:val="en-US"/>
        </w:rPr>
        <w:t>Figu</w:t>
      </w:r>
      <w:r w:rsidR="00295AD9" w:rsidRPr="003F52FE">
        <w:rPr>
          <w:color w:val="000000" w:themeColor="text1"/>
          <w:lang w:val="en-US"/>
        </w:rPr>
        <w:t xml:space="preserve">re 1 exhibits the profit </w:t>
      </w:r>
      <w:r w:rsidR="00933773" w:rsidRPr="003F52FE">
        <w:rPr>
          <w:color w:val="000000" w:themeColor="text1"/>
          <w:lang w:val="en-US"/>
        </w:rPr>
        <w:t xml:space="preserve">rate at historical </w:t>
      </w:r>
      <w:r w:rsidRPr="003F52FE">
        <w:rPr>
          <w:color w:val="000000" w:themeColor="text1"/>
          <w:lang w:val="en-US"/>
        </w:rPr>
        <w:t xml:space="preserve">and current costs </w:t>
      </w:r>
      <w:r w:rsidR="00E036C4" w:rsidRPr="003F52FE">
        <w:rPr>
          <w:color w:val="000000" w:themeColor="text1"/>
          <w:lang w:val="en-US"/>
        </w:rPr>
        <w:t xml:space="preserve">and the inflation rate </w:t>
      </w:r>
      <w:r w:rsidRPr="003F52FE">
        <w:rPr>
          <w:color w:val="000000" w:themeColor="text1"/>
          <w:lang w:val="en-US"/>
        </w:rPr>
        <w:t xml:space="preserve">over the period </w:t>
      </w:r>
      <w:r w:rsidR="00935662" w:rsidRPr="003F52FE">
        <w:rPr>
          <w:color w:val="000000" w:themeColor="text1"/>
          <w:lang w:val="en-US"/>
        </w:rPr>
        <w:t>195</w:t>
      </w:r>
      <w:r w:rsidR="003522A8" w:rsidRPr="003F52FE">
        <w:rPr>
          <w:color w:val="000000" w:themeColor="text1"/>
          <w:lang w:val="en-US"/>
        </w:rPr>
        <w:t>5</w:t>
      </w:r>
      <w:r w:rsidR="00935662" w:rsidRPr="003F52FE">
        <w:rPr>
          <w:color w:val="000000" w:themeColor="text1"/>
          <w:lang w:val="en-US"/>
        </w:rPr>
        <w:t xml:space="preserve">-2008. </w:t>
      </w:r>
      <w:r w:rsidR="00295AD9" w:rsidRPr="003F52FE">
        <w:rPr>
          <w:color w:val="000000" w:themeColor="text1"/>
          <w:lang w:val="en-US"/>
        </w:rPr>
        <w:t xml:space="preserve">As expected, the profit </w:t>
      </w:r>
      <w:r w:rsidR="00933773" w:rsidRPr="003F52FE">
        <w:rPr>
          <w:color w:val="000000" w:themeColor="text1"/>
          <w:lang w:val="en-US"/>
        </w:rPr>
        <w:t xml:space="preserve">rate at historical </w:t>
      </w:r>
      <w:r w:rsidR="000F3A75" w:rsidRPr="003F52FE">
        <w:rPr>
          <w:color w:val="000000" w:themeColor="text1"/>
          <w:lang w:val="en-US"/>
        </w:rPr>
        <w:t>cost</w:t>
      </w:r>
      <w:r w:rsidR="00295AD9" w:rsidRPr="003F52FE">
        <w:rPr>
          <w:color w:val="000000" w:themeColor="text1"/>
          <w:lang w:val="en-US"/>
        </w:rPr>
        <w:t>s</w:t>
      </w:r>
      <w:r w:rsidR="000F3A75" w:rsidRPr="003F52FE">
        <w:rPr>
          <w:color w:val="000000" w:themeColor="text1"/>
          <w:lang w:val="en-US"/>
        </w:rPr>
        <w:t xml:space="preserve"> is higher than </w:t>
      </w:r>
      <w:r w:rsidR="00933773" w:rsidRPr="003F52FE">
        <w:rPr>
          <w:color w:val="000000" w:themeColor="text1"/>
          <w:lang w:val="en-US"/>
        </w:rPr>
        <w:t>at</w:t>
      </w:r>
      <w:r w:rsidR="000F3A75" w:rsidRPr="003F52FE">
        <w:rPr>
          <w:color w:val="000000" w:themeColor="text1"/>
          <w:lang w:val="en-US"/>
        </w:rPr>
        <w:t xml:space="preserve"> current cost</w:t>
      </w:r>
      <w:r w:rsidR="00295AD9" w:rsidRPr="003F52FE">
        <w:rPr>
          <w:color w:val="000000" w:themeColor="text1"/>
          <w:lang w:val="en-US"/>
        </w:rPr>
        <w:t>s</w:t>
      </w:r>
      <w:r w:rsidR="000F3A75" w:rsidRPr="003F52FE">
        <w:rPr>
          <w:color w:val="000000" w:themeColor="text1"/>
          <w:lang w:val="en-US"/>
        </w:rPr>
        <w:t>.</w:t>
      </w:r>
      <w:r w:rsidR="00295AD9" w:rsidRPr="003F52FE">
        <w:rPr>
          <w:color w:val="000000" w:themeColor="text1"/>
          <w:lang w:val="en-US"/>
        </w:rPr>
        <w:t xml:space="preserve"> </w:t>
      </w:r>
      <w:r w:rsidR="002C38F6" w:rsidRPr="003F52FE">
        <w:rPr>
          <w:color w:val="000000" w:themeColor="text1"/>
          <w:lang w:val="en-US"/>
        </w:rPr>
        <w:t>The di</w:t>
      </w:r>
      <w:r w:rsidR="001765EC" w:rsidRPr="003F52FE">
        <w:rPr>
          <w:color w:val="000000" w:themeColor="text1"/>
          <w:lang w:val="en-US"/>
        </w:rPr>
        <w:t xml:space="preserve">fference </w:t>
      </w:r>
      <w:r w:rsidR="002C38F6" w:rsidRPr="003F52FE">
        <w:rPr>
          <w:color w:val="000000" w:themeColor="text1"/>
          <w:lang w:val="en-US"/>
        </w:rPr>
        <w:t xml:space="preserve">between them rises </w:t>
      </w:r>
      <w:r w:rsidR="00E036C4" w:rsidRPr="003F52FE">
        <w:rPr>
          <w:color w:val="000000" w:themeColor="text1"/>
          <w:lang w:val="en-US"/>
        </w:rPr>
        <w:t xml:space="preserve">with a higher </w:t>
      </w:r>
      <w:r w:rsidR="00F31ADA" w:rsidRPr="003F52FE">
        <w:rPr>
          <w:color w:val="000000" w:themeColor="text1"/>
          <w:lang w:val="en-US"/>
        </w:rPr>
        <w:t xml:space="preserve">inflation rate </w:t>
      </w:r>
      <w:r w:rsidR="00E036C4" w:rsidRPr="003F52FE">
        <w:rPr>
          <w:color w:val="000000" w:themeColor="text1"/>
          <w:lang w:val="en-US"/>
        </w:rPr>
        <w:t xml:space="preserve">and declines </w:t>
      </w:r>
      <w:r w:rsidR="002C38F6" w:rsidRPr="003F52FE">
        <w:rPr>
          <w:color w:val="000000" w:themeColor="text1"/>
          <w:lang w:val="en-US"/>
        </w:rPr>
        <w:t xml:space="preserve">with a </w:t>
      </w:r>
      <w:r w:rsidR="00E036C4" w:rsidRPr="003F52FE">
        <w:rPr>
          <w:color w:val="000000" w:themeColor="text1"/>
          <w:lang w:val="en-US"/>
        </w:rPr>
        <w:t xml:space="preserve">lower </w:t>
      </w:r>
      <w:r w:rsidR="002C38F6" w:rsidRPr="003F52FE">
        <w:rPr>
          <w:color w:val="000000" w:themeColor="text1"/>
          <w:lang w:val="en-US"/>
        </w:rPr>
        <w:t>inflation rate</w:t>
      </w:r>
      <w:r w:rsidR="000F3A75" w:rsidRPr="003F52FE">
        <w:rPr>
          <w:color w:val="000000" w:themeColor="text1"/>
          <w:lang w:val="en-US"/>
        </w:rPr>
        <w:t xml:space="preserve">.  </w:t>
      </w:r>
    </w:p>
    <w:p w:rsidR="000F21F3" w:rsidRPr="003F52FE" w:rsidRDefault="00F31ADA" w:rsidP="0083766B">
      <w:pPr>
        <w:ind w:firstLine="720"/>
        <w:rPr>
          <w:color w:val="000000" w:themeColor="text1"/>
          <w:lang w:val="en-US"/>
        </w:rPr>
      </w:pPr>
      <w:r w:rsidRPr="003F52FE">
        <w:rPr>
          <w:color w:val="000000" w:themeColor="text1"/>
          <w:lang w:val="en-US"/>
        </w:rPr>
        <w:t>Both series declined in the</w:t>
      </w:r>
      <w:r w:rsidR="000F21F3" w:rsidRPr="003F52FE">
        <w:rPr>
          <w:color w:val="000000" w:themeColor="text1"/>
          <w:lang w:val="en-US"/>
        </w:rPr>
        <w:t xml:space="preserve"> long term perspect</w:t>
      </w:r>
      <w:r w:rsidRPr="003F52FE">
        <w:rPr>
          <w:color w:val="000000" w:themeColor="text1"/>
          <w:lang w:val="en-US"/>
        </w:rPr>
        <w:t xml:space="preserve">ive. In 2008, the profit </w:t>
      </w:r>
      <w:r w:rsidR="00933773" w:rsidRPr="003F52FE">
        <w:rPr>
          <w:color w:val="000000" w:themeColor="text1"/>
          <w:lang w:val="en-US"/>
        </w:rPr>
        <w:t xml:space="preserve">rate at historical </w:t>
      </w:r>
      <w:r w:rsidR="000F21F3" w:rsidRPr="003F52FE">
        <w:rPr>
          <w:color w:val="000000" w:themeColor="text1"/>
          <w:lang w:val="en-US"/>
        </w:rPr>
        <w:t>cost</w:t>
      </w:r>
      <w:r w:rsidRPr="003F52FE">
        <w:rPr>
          <w:color w:val="000000" w:themeColor="text1"/>
          <w:lang w:val="en-US"/>
        </w:rPr>
        <w:t>s</w:t>
      </w:r>
      <w:r w:rsidR="000F21F3" w:rsidRPr="003F52FE">
        <w:rPr>
          <w:color w:val="000000" w:themeColor="text1"/>
          <w:lang w:val="en-US"/>
        </w:rPr>
        <w:t xml:space="preserve"> represented 28.9%, and the profit rate at historical cost represented 31.4% of their 1955 levels. The </w:t>
      </w:r>
      <w:proofErr w:type="spellStart"/>
      <w:r w:rsidR="000F21F3" w:rsidRPr="003F52FE">
        <w:rPr>
          <w:color w:val="000000" w:themeColor="text1"/>
          <w:lang w:val="en-US"/>
        </w:rPr>
        <w:t>percent</w:t>
      </w:r>
      <w:r w:rsidRPr="003F52FE">
        <w:rPr>
          <w:color w:val="000000" w:themeColor="text1"/>
          <w:lang w:val="en-US"/>
        </w:rPr>
        <w:t>ual</w:t>
      </w:r>
      <w:proofErr w:type="spellEnd"/>
      <w:r w:rsidRPr="003F52FE">
        <w:rPr>
          <w:color w:val="000000" w:themeColor="text1"/>
          <w:lang w:val="en-US"/>
        </w:rPr>
        <w:t xml:space="preserve"> change in the profit </w:t>
      </w:r>
      <w:r w:rsidR="00933773" w:rsidRPr="003F52FE">
        <w:rPr>
          <w:color w:val="000000" w:themeColor="text1"/>
          <w:lang w:val="en-US"/>
        </w:rPr>
        <w:t xml:space="preserve">rate at historical </w:t>
      </w:r>
      <w:r w:rsidR="000F21F3" w:rsidRPr="003F52FE">
        <w:rPr>
          <w:color w:val="000000" w:themeColor="text1"/>
          <w:lang w:val="en-US"/>
        </w:rPr>
        <w:t>cost</w:t>
      </w:r>
      <w:r w:rsidRPr="003F52FE">
        <w:rPr>
          <w:color w:val="000000" w:themeColor="text1"/>
          <w:lang w:val="en-US"/>
        </w:rPr>
        <w:t xml:space="preserve">s is higher than </w:t>
      </w:r>
      <w:r w:rsidR="00933773" w:rsidRPr="003F52FE">
        <w:rPr>
          <w:color w:val="000000" w:themeColor="text1"/>
          <w:lang w:val="en-US"/>
        </w:rPr>
        <w:t>at</w:t>
      </w:r>
      <w:r w:rsidR="000F21F3" w:rsidRPr="003F52FE">
        <w:rPr>
          <w:color w:val="000000" w:themeColor="text1"/>
          <w:lang w:val="en-US"/>
        </w:rPr>
        <w:t xml:space="preserve"> historical cost</w:t>
      </w:r>
      <w:r w:rsidRPr="003F52FE">
        <w:rPr>
          <w:color w:val="000000" w:themeColor="text1"/>
          <w:lang w:val="en-US"/>
        </w:rPr>
        <w:t>s</w:t>
      </w:r>
      <w:r w:rsidR="000F21F3" w:rsidRPr="003F52FE">
        <w:rPr>
          <w:color w:val="000000" w:themeColor="text1"/>
          <w:lang w:val="en-US"/>
        </w:rPr>
        <w:t xml:space="preserve"> since the inflation rate in capital goods in the 2000s is smaller than in the 1950s. </w:t>
      </w:r>
    </w:p>
    <w:p w:rsidR="007A51AB" w:rsidRPr="003F52FE" w:rsidRDefault="007A51AB" w:rsidP="0083766B">
      <w:pPr>
        <w:ind w:firstLine="720"/>
        <w:rPr>
          <w:color w:val="000000" w:themeColor="text1"/>
          <w:lang w:val="en-US"/>
        </w:rPr>
      </w:pPr>
      <w:r w:rsidRPr="003F52FE">
        <w:rPr>
          <w:color w:val="000000" w:themeColor="text1"/>
          <w:lang w:val="en-US"/>
        </w:rPr>
        <w:t xml:space="preserve">The downward trend in the series occurred </w:t>
      </w:r>
      <w:r w:rsidR="00F31ADA" w:rsidRPr="003F52FE">
        <w:rPr>
          <w:color w:val="000000" w:themeColor="text1"/>
          <w:lang w:val="en-US"/>
        </w:rPr>
        <w:t>in distinct periods of time. This</w:t>
      </w:r>
      <w:r w:rsidRPr="003F52FE">
        <w:rPr>
          <w:color w:val="000000" w:themeColor="text1"/>
          <w:lang w:val="en-US"/>
        </w:rPr>
        <w:t xml:space="preserve"> trend of th</w:t>
      </w:r>
      <w:r w:rsidR="00F31ADA" w:rsidRPr="003F52FE">
        <w:rPr>
          <w:color w:val="000000" w:themeColor="text1"/>
          <w:lang w:val="en-US"/>
        </w:rPr>
        <w:t xml:space="preserve">e profit </w:t>
      </w:r>
      <w:r w:rsidR="00933773" w:rsidRPr="003F52FE">
        <w:rPr>
          <w:color w:val="000000" w:themeColor="text1"/>
          <w:lang w:val="en-US"/>
        </w:rPr>
        <w:t xml:space="preserve">rate at historical </w:t>
      </w:r>
      <w:r w:rsidRPr="003F52FE">
        <w:rPr>
          <w:color w:val="000000" w:themeColor="text1"/>
          <w:lang w:val="en-US"/>
        </w:rPr>
        <w:t xml:space="preserve">costs was relatively flat between 1955 and </w:t>
      </w:r>
      <w:r w:rsidR="00F31ADA" w:rsidRPr="003F52FE">
        <w:rPr>
          <w:color w:val="000000" w:themeColor="text1"/>
          <w:lang w:val="en-US"/>
        </w:rPr>
        <w:t xml:space="preserve">the </w:t>
      </w:r>
      <w:r w:rsidRPr="003F52FE">
        <w:rPr>
          <w:color w:val="000000" w:themeColor="text1"/>
          <w:lang w:val="en-US"/>
        </w:rPr>
        <w:t>early 1990s, declin</w:t>
      </w:r>
      <w:r w:rsidR="00F31ADA" w:rsidRPr="003F52FE">
        <w:rPr>
          <w:color w:val="000000" w:themeColor="text1"/>
          <w:lang w:val="en-US"/>
        </w:rPr>
        <w:t>ing sharply after 1994, when inflation was controlled by</w:t>
      </w:r>
      <w:r w:rsidRPr="003F52FE">
        <w:rPr>
          <w:color w:val="000000" w:themeColor="text1"/>
          <w:lang w:val="en-US"/>
        </w:rPr>
        <w:t xml:space="preserve"> the Real Plan. The trend of the </w:t>
      </w:r>
      <w:r w:rsidR="00F31ADA" w:rsidRPr="003F52FE">
        <w:rPr>
          <w:color w:val="000000" w:themeColor="text1"/>
          <w:lang w:val="en-US"/>
        </w:rPr>
        <w:t xml:space="preserve">profit </w:t>
      </w:r>
      <w:r w:rsidR="00933773" w:rsidRPr="003F52FE">
        <w:rPr>
          <w:color w:val="000000" w:themeColor="text1"/>
          <w:lang w:val="en-US"/>
        </w:rPr>
        <w:t xml:space="preserve">rate at historical </w:t>
      </w:r>
      <w:r w:rsidRPr="003F52FE">
        <w:rPr>
          <w:color w:val="000000" w:themeColor="text1"/>
          <w:lang w:val="en-US"/>
        </w:rPr>
        <w:t>cost</w:t>
      </w:r>
      <w:r w:rsidR="00F31ADA" w:rsidRPr="003F52FE">
        <w:rPr>
          <w:color w:val="000000" w:themeColor="text1"/>
          <w:lang w:val="en-US"/>
        </w:rPr>
        <w:t>s</w:t>
      </w:r>
      <w:r w:rsidRPr="003F52FE">
        <w:rPr>
          <w:color w:val="000000" w:themeColor="text1"/>
          <w:lang w:val="en-US"/>
        </w:rPr>
        <w:t xml:space="preserve"> declined </w:t>
      </w:r>
      <w:r w:rsidR="00F31ADA" w:rsidRPr="003F52FE">
        <w:rPr>
          <w:color w:val="000000" w:themeColor="text1"/>
          <w:lang w:val="en-US"/>
        </w:rPr>
        <w:t>up to the</w:t>
      </w:r>
      <w:r w:rsidRPr="003F52FE">
        <w:rPr>
          <w:color w:val="000000" w:themeColor="text1"/>
          <w:lang w:val="en-US"/>
        </w:rPr>
        <w:t xml:space="preserve"> late 1980s, when it </w:t>
      </w:r>
      <w:r w:rsidR="004313AD" w:rsidRPr="003F52FE">
        <w:rPr>
          <w:color w:val="000000" w:themeColor="text1"/>
          <w:lang w:val="en-US"/>
        </w:rPr>
        <w:t xml:space="preserve">slowly </w:t>
      </w:r>
      <w:r w:rsidRPr="003F52FE">
        <w:rPr>
          <w:color w:val="000000" w:themeColor="text1"/>
          <w:lang w:val="en-US"/>
        </w:rPr>
        <w:t>started to increase</w:t>
      </w:r>
      <w:r w:rsidRPr="003F52FE">
        <w:rPr>
          <w:color w:val="000000" w:themeColor="text1"/>
          <w:sz w:val="22"/>
          <w:lang w:val="en-US"/>
        </w:rPr>
        <w:t xml:space="preserve">.   </w:t>
      </w:r>
    </w:p>
    <w:p w:rsidR="007A51AB" w:rsidRPr="003F52FE" w:rsidRDefault="007A51AB" w:rsidP="0083766B">
      <w:pPr>
        <w:ind w:firstLine="720"/>
        <w:rPr>
          <w:color w:val="000000" w:themeColor="text1"/>
          <w:lang w:val="en-US"/>
        </w:rPr>
      </w:pPr>
    </w:p>
    <w:p w:rsidR="001D11EC" w:rsidRPr="003F52FE" w:rsidRDefault="001D11EC" w:rsidP="0083766B">
      <w:pPr>
        <w:jc w:val="center"/>
        <w:rPr>
          <w:color w:val="000000" w:themeColor="text1"/>
          <w:lang w:val="en-US"/>
        </w:rPr>
      </w:pPr>
      <w:r w:rsidRPr="003F52FE">
        <w:rPr>
          <w:noProof/>
          <w:color w:val="000000" w:themeColor="text1"/>
        </w:rPr>
        <w:drawing>
          <wp:inline distT="0" distB="0" distL="0" distR="0">
            <wp:extent cx="3689287" cy="2504368"/>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0"/>
                    <a:srcRect/>
                    <a:stretch>
                      <a:fillRect/>
                    </a:stretch>
                  </pic:blipFill>
                  <pic:spPr bwMode="auto">
                    <a:xfrm>
                      <a:off x="0" y="0"/>
                      <a:ext cx="3708122" cy="2517154"/>
                    </a:xfrm>
                    <a:prstGeom prst="rect">
                      <a:avLst/>
                    </a:prstGeom>
                    <a:noFill/>
                    <a:ln w="9525">
                      <a:noFill/>
                      <a:miter lim="800000"/>
                      <a:headEnd/>
                      <a:tailEnd/>
                    </a:ln>
                  </pic:spPr>
                </pic:pic>
              </a:graphicData>
            </a:graphic>
          </wp:inline>
        </w:drawing>
      </w:r>
    </w:p>
    <w:p w:rsidR="008E336C" w:rsidRPr="003F52FE" w:rsidRDefault="008E336C" w:rsidP="0083766B">
      <w:pPr>
        <w:rPr>
          <w:color w:val="000000" w:themeColor="text1"/>
          <w:sz w:val="22"/>
          <w:lang w:val="en-US"/>
        </w:rPr>
      </w:pPr>
      <w:proofErr w:type="gramStart"/>
      <w:r w:rsidRPr="003F52FE">
        <w:rPr>
          <w:b/>
          <w:color w:val="000000" w:themeColor="text1"/>
          <w:sz w:val="22"/>
          <w:lang w:val="en-US"/>
        </w:rPr>
        <w:t>Figure 1</w:t>
      </w:r>
      <w:r w:rsidR="004313AD" w:rsidRPr="003F52FE">
        <w:rPr>
          <w:color w:val="000000" w:themeColor="text1"/>
          <w:sz w:val="22"/>
          <w:lang w:val="en-US"/>
        </w:rPr>
        <w:t>.</w:t>
      </w:r>
      <w:proofErr w:type="gramEnd"/>
      <w:r w:rsidR="004313AD" w:rsidRPr="003F52FE">
        <w:rPr>
          <w:color w:val="000000" w:themeColor="text1"/>
          <w:sz w:val="22"/>
          <w:lang w:val="en-US"/>
        </w:rPr>
        <w:t xml:space="preserve"> The profit </w:t>
      </w:r>
      <w:r w:rsidR="00933773" w:rsidRPr="003F52FE">
        <w:rPr>
          <w:color w:val="000000" w:themeColor="text1"/>
          <w:sz w:val="22"/>
          <w:lang w:val="en-US"/>
        </w:rPr>
        <w:t xml:space="preserve">rate at historical </w:t>
      </w:r>
      <w:r w:rsidRPr="003F52FE">
        <w:rPr>
          <w:color w:val="000000" w:themeColor="text1"/>
          <w:sz w:val="22"/>
          <w:lang w:val="en-US"/>
        </w:rPr>
        <w:t>and current costs</w:t>
      </w:r>
      <w:r w:rsidR="00E036C4" w:rsidRPr="003F52FE">
        <w:rPr>
          <w:color w:val="000000" w:themeColor="text1"/>
          <w:sz w:val="22"/>
          <w:lang w:val="en-US"/>
        </w:rPr>
        <w:t xml:space="preserve"> and the inflation rate</w:t>
      </w:r>
      <w:r w:rsidRPr="003F52FE">
        <w:rPr>
          <w:color w:val="000000" w:themeColor="text1"/>
          <w:sz w:val="22"/>
          <w:lang w:val="en-US"/>
        </w:rPr>
        <w:t>, Brazil, 195</w:t>
      </w:r>
      <w:r w:rsidR="006049FD" w:rsidRPr="003F52FE">
        <w:rPr>
          <w:color w:val="000000" w:themeColor="text1"/>
          <w:sz w:val="22"/>
          <w:lang w:val="en-US"/>
        </w:rPr>
        <w:t>5</w:t>
      </w:r>
      <w:r w:rsidRPr="003F52FE">
        <w:rPr>
          <w:color w:val="000000" w:themeColor="text1"/>
          <w:sz w:val="22"/>
          <w:lang w:val="en-US"/>
        </w:rPr>
        <w:t>-2008</w:t>
      </w:r>
    </w:p>
    <w:p w:rsidR="008E336C" w:rsidRPr="003F52FE" w:rsidRDefault="008E336C" w:rsidP="0083766B">
      <w:pPr>
        <w:jc w:val="center"/>
        <w:rPr>
          <w:color w:val="000000" w:themeColor="text1"/>
          <w:sz w:val="22"/>
          <w:lang w:val="en-US"/>
        </w:rPr>
      </w:pPr>
      <w:r w:rsidRPr="003F52FE">
        <w:rPr>
          <w:color w:val="000000" w:themeColor="text1"/>
          <w:sz w:val="22"/>
          <w:lang w:val="en-US"/>
        </w:rPr>
        <w:t>Source: Appendix</w:t>
      </w:r>
    </w:p>
    <w:p w:rsidR="00C46228" w:rsidRPr="003F52FE" w:rsidRDefault="00C46228" w:rsidP="0083766B">
      <w:pPr>
        <w:ind w:firstLine="720"/>
        <w:jc w:val="center"/>
        <w:rPr>
          <w:color w:val="000000" w:themeColor="text1"/>
          <w:lang w:val="en-US"/>
        </w:rPr>
      </w:pPr>
    </w:p>
    <w:p w:rsidR="00B540D8" w:rsidRPr="003F52FE" w:rsidRDefault="00935662" w:rsidP="0083766B">
      <w:pPr>
        <w:ind w:firstLine="720"/>
        <w:rPr>
          <w:color w:val="000000" w:themeColor="text1"/>
          <w:lang w:val="en-US"/>
        </w:rPr>
      </w:pPr>
      <w:r w:rsidRPr="003F52FE">
        <w:rPr>
          <w:color w:val="000000" w:themeColor="text1"/>
          <w:lang w:val="en-US"/>
        </w:rPr>
        <w:t xml:space="preserve">The </w:t>
      </w:r>
      <w:r w:rsidR="004313AD" w:rsidRPr="003F52FE">
        <w:rPr>
          <w:color w:val="000000" w:themeColor="text1"/>
          <w:lang w:val="en-US"/>
        </w:rPr>
        <w:t xml:space="preserve">profit </w:t>
      </w:r>
      <w:r w:rsidR="00933773" w:rsidRPr="003F52FE">
        <w:rPr>
          <w:color w:val="000000" w:themeColor="text1"/>
          <w:lang w:val="en-US"/>
        </w:rPr>
        <w:t xml:space="preserve">rate at historical </w:t>
      </w:r>
      <w:r w:rsidR="00966C53" w:rsidRPr="003F52FE">
        <w:rPr>
          <w:color w:val="000000" w:themeColor="text1"/>
          <w:lang w:val="en-US"/>
        </w:rPr>
        <w:t>cost</w:t>
      </w:r>
      <w:r w:rsidR="004313AD" w:rsidRPr="003F52FE">
        <w:rPr>
          <w:color w:val="000000" w:themeColor="text1"/>
          <w:lang w:val="en-US"/>
        </w:rPr>
        <w:t>s</w:t>
      </w:r>
      <w:r w:rsidR="00966C53" w:rsidRPr="003F52FE">
        <w:rPr>
          <w:color w:val="000000" w:themeColor="text1"/>
          <w:lang w:val="en-US"/>
        </w:rPr>
        <w:t xml:space="preserve"> ha</w:t>
      </w:r>
      <w:r w:rsidR="004313AD" w:rsidRPr="003F52FE">
        <w:rPr>
          <w:color w:val="000000" w:themeColor="text1"/>
          <w:lang w:val="en-US"/>
        </w:rPr>
        <w:t xml:space="preserve">s a much higher variance than </w:t>
      </w:r>
      <w:r w:rsidR="00933773" w:rsidRPr="003F52FE">
        <w:rPr>
          <w:color w:val="000000" w:themeColor="text1"/>
          <w:lang w:val="en-US"/>
        </w:rPr>
        <w:t>at</w:t>
      </w:r>
      <w:r w:rsidR="00966C53" w:rsidRPr="003F52FE">
        <w:rPr>
          <w:color w:val="000000" w:themeColor="text1"/>
          <w:lang w:val="en-US"/>
        </w:rPr>
        <w:t xml:space="preserve"> current cost</w:t>
      </w:r>
      <w:r w:rsidR="004313AD" w:rsidRPr="003F52FE">
        <w:rPr>
          <w:color w:val="000000" w:themeColor="text1"/>
          <w:lang w:val="en-US"/>
        </w:rPr>
        <w:t>s</w:t>
      </w:r>
      <w:r w:rsidR="00966C53" w:rsidRPr="003F52FE">
        <w:rPr>
          <w:color w:val="000000" w:themeColor="text1"/>
          <w:lang w:val="en-US"/>
        </w:rPr>
        <w:t xml:space="preserve">.   </w:t>
      </w:r>
      <w:r w:rsidR="006C3B86" w:rsidRPr="003F52FE">
        <w:rPr>
          <w:color w:val="000000" w:themeColor="text1"/>
          <w:lang w:val="en-US"/>
        </w:rPr>
        <w:t xml:space="preserve">The </w:t>
      </w:r>
      <w:r w:rsidR="00F679F6" w:rsidRPr="003F52FE">
        <w:rPr>
          <w:color w:val="000000" w:themeColor="text1"/>
          <w:lang w:val="en-US"/>
        </w:rPr>
        <w:t>cycles displayed by t</w:t>
      </w:r>
      <w:r w:rsidR="004313AD" w:rsidRPr="003F52FE">
        <w:rPr>
          <w:color w:val="000000" w:themeColor="text1"/>
          <w:lang w:val="en-US"/>
        </w:rPr>
        <w:t xml:space="preserve">he profit </w:t>
      </w:r>
      <w:r w:rsidR="00933773" w:rsidRPr="003F52FE">
        <w:rPr>
          <w:color w:val="000000" w:themeColor="text1"/>
          <w:lang w:val="en-US"/>
        </w:rPr>
        <w:t xml:space="preserve">rate at historical </w:t>
      </w:r>
      <w:r w:rsidR="00F679F6" w:rsidRPr="003F52FE">
        <w:rPr>
          <w:color w:val="000000" w:themeColor="text1"/>
          <w:lang w:val="en-US"/>
        </w:rPr>
        <w:t>cost</w:t>
      </w:r>
      <w:r w:rsidR="004313AD" w:rsidRPr="003F52FE">
        <w:rPr>
          <w:color w:val="000000" w:themeColor="text1"/>
          <w:lang w:val="en-US"/>
        </w:rPr>
        <w:t>s</w:t>
      </w:r>
      <w:r w:rsidR="00F679F6" w:rsidRPr="003F52FE">
        <w:rPr>
          <w:color w:val="000000" w:themeColor="text1"/>
          <w:lang w:val="en-US"/>
        </w:rPr>
        <w:t xml:space="preserve"> </w:t>
      </w:r>
      <w:r w:rsidR="006C3B86" w:rsidRPr="003F52FE">
        <w:rPr>
          <w:color w:val="000000" w:themeColor="text1"/>
          <w:lang w:val="en-US"/>
        </w:rPr>
        <w:t>suggest</w:t>
      </w:r>
      <w:r w:rsidR="004313AD" w:rsidRPr="003F52FE">
        <w:rPr>
          <w:color w:val="000000" w:themeColor="text1"/>
          <w:lang w:val="en-US"/>
        </w:rPr>
        <w:t>s</w:t>
      </w:r>
      <w:r w:rsidR="006C3B86" w:rsidRPr="003F52FE">
        <w:rPr>
          <w:color w:val="000000" w:themeColor="text1"/>
          <w:lang w:val="en-US"/>
        </w:rPr>
        <w:t xml:space="preserve"> a </w:t>
      </w:r>
      <w:r w:rsidR="00F679F6" w:rsidRPr="003F52FE">
        <w:rPr>
          <w:color w:val="000000" w:themeColor="text1"/>
          <w:lang w:val="en-US"/>
        </w:rPr>
        <w:t xml:space="preserve">strong </w:t>
      </w:r>
      <w:r w:rsidR="006C3B86" w:rsidRPr="003F52FE">
        <w:rPr>
          <w:color w:val="000000" w:themeColor="text1"/>
          <w:lang w:val="en-US"/>
        </w:rPr>
        <w:t xml:space="preserve">correlation </w:t>
      </w:r>
      <w:r w:rsidR="00F679F6" w:rsidRPr="003F52FE">
        <w:rPr>
          <w:color w:val="000000" w:themeColor="text1"/>
          <w:lang w:val="en-US"/>
        </w:rPr>
        <w:t xml:space="preserve">with the periods of </w:t>
      </w:r>
      <w:r w:rsidR="00377D6F" w:rsidRPr="003F52FE">
        <w:rPr>
          <w:color w:val="000000" w:themeColor="text1"/>
          <w:lang w:val="en-US"/>
        </w:rPr>
        <w:t xml:space="preserve">raising and declining </w:t>
      </w:r>
      <w:r w:rsidR="00F679F6" w:rsidRPr="003F52FE">
        <w:rPr>
          <w:color w:val="000000" w:themeColor="text1"/>
          <w:lang w:val="en-US"/>
        </w:rPr>
        <w:t>inflation</w:t>
      </w:r>
      <w:r w:rsidR="00377D6F" w:rsidRPr="003F52FE">
        <w:rPr>
          <w:color w:val="000000" w:themeColor="text1"/>
          <w:lang w:val="en-US"/>
        </w:rPr>
        <w:t xml:space="preserve"> in the Brazilian economy. </w:t>
      </w:r>
      <w:r w:rsidR="00E4239C" w:rsidRPr="003F52FE">
        <w:rPr>
          <w:color w:val="000000" w:themeColor="text1"/>
          <w:lang w:val="en-US"/>
        </w:rPr>
        <w:t>In the</w:t>
      </w:r>
      <w:r w:rsidR="00E3227F" w:rsidRPr="003F52FE">
        <w:rPr>
          <w:color w:val="000000" w:themeColor="text1"/>
          <w:lang w:val="en-US"/>
        </w:rPr>
        <w:t xml:space="preserve"> 1950s</w:t>
      </w:r>
      <w:r w:rsidR="00E4239C" w:rsidRPr="003F52FE">
        <w:rPr>
          <w:color w:val="000000" w:themeColor="text1"/>
          <w:lang w:val="en-US"/>
        </w:rPr>
        <w:t>,</w:t>
      </w:r>
      <w:r w:rsidR="004313AD" w:rsidRPr="003F52FE">
        <w:rPr>
          <w:color w:val="000000" w:themeColor="text1"/>
          <w:lang w:val="en-US"/>
        </w:rPr>
        <w:t xml:space="preserve"> the profit </w:t>
      </w:r>
      <w:r w:rsidR="00933773" w:rsidRPr="003F52FE">
        <w:rPr>
          <w:color w:val="000000" w:themeColor="text1"/>
          <w:lang w:val="en-US"/>
        </w:rPr>
        <w:t xml:space="preserve">rate at historical </w:t>
      </w:r>
      <w:r w:rsidR="00E3227F" w:rsidRPr="003F52FE">
        <w:rPr>
          <w:color w:val="000000" w:themeColor="text1"/>
          <w:lang w:val="en-US"/>
        </w:rPr>
        <w:t>cost</w:t>
      </w:r>
      <w:r w:rsidR="004313AD" w:rsidRPr="003F52FE">
        <w:rPr>
          <w:color w:val="000000" w:themeColor="text1"/>
          <w:lang w:val="en-US"/>
        </w:rPr>
        <w:t>s</w:t>
      </w:r>
      <w:r w:rsidR="00E3227F" w:rsidRPr="003F52FE">
        <w:rPr>
          <w:color w:val="000000" w:themeColor="text1"/>
          <w:lang w:val="en-US"/>
        </w:rPr>
        <w:t xml:space="preserve"> </w:t>
      </w:r>
      <w:r w:rsidR="00D74491" w:rsidRPr="003F52FE">
        <w:rPr>
          <w:color w:val="000000" w:themeColor="text1"/>
          <w:lang w:val="en-US"/>
        </w:rPr>
        <w:t>fell</w:t>
      </w:r>
      <w:r w:rsidR="00E3227F" w:rsidRPr="003F52FE">
        <w:rPr>
          <w:color w:val="000000" w:themeColor="text1"/>
          <w:lang w:val="en-US"/>
        </w:rPr>
        <w:t xml:space="preserve">, </w:t>
      </w:r>
      <w:r w:rsidR="00D74491" w:rsidRPr="003F52FE">
        <w:rPr>
          <w:color w:val="000000" w:themeColor="text1"/>
          <w:lang w:val="en-US"/>
        </w:rPr>
        <w:t>expanding</w:t>
      </w:r>
      <w:r w:rsidR="004313AD" w:rsidRPr="003F52FE">
        <w:rPr>
          <w:color w:val="000000" w:themeColor="text1"/>
          <w:lang w:val="en-US"/>
        </w:rPr>
        <w:t xml:space="preserve"> </w:t>
      </w:r>
      <w:r w:rsidR="00D74491" w:rsidRPr="003F52FE">
        <w:rPr>
          <w:color w:val="000000" w:themeColor="text1"/>
          <w:lang w:val="en-US"/>
        </w:rPr>
        <w:t xml:space="preserve">rapidly </w:t>
      </w:r>
      <w:r w:rsidR="00E3227F" w:rsidRPr="003F52FE">
        <w:rPr>
          <w:color w:val="000000" w:themeColor="text1"/>
          <w:lang w:val="en-US"/>
        </w:rPr>
        <w:t xml:space="preserve">in </w:t>
      </w:r>
      <w:r w:rsidR="004313AD" w:rsidRPr="003F52FE">
        <w:rPr>
          <w:color w:val="000000" w:themeColor="text1"/>
          <w:lang w:val="en-US"/>
        </w:rPr>
        <w:t xml:space="preserve">the </w:t>
      </w:r>
      <w:r w:rsidR="00E3227F" w:rsidRPr="003F52FE">
        <w:rPr>
          <w:color w:val="000000" w:themeColor="text1"/>
          <w:lang w:val="en-US"/>
        </w:rPr>
        <w:t>early 1960s</w:t>
      </w:r>
      <w:r w:rsidR="00D74491" w:rsidRPr="003F52FE">
        <w:rPr>
          <w:color w:val="000000" w:themeColor="text1"/>
          <w:lang w:val="en-US"/>
        </w:rPr>
        <w:t>,</w:t>
      </w:r>
      <w:r w:rsidR="00E3227F" w:rsidRPr="003F52FE">
        <w:rPr>
          <w:color w:val="000000" w:themeColor="text1"/>
          <w:lang w:val="en-US"/>
        </w:rPr>
        <w:t xml:space="preserve"> reaching </w:t>
      </w:r>
      <w:r w:rsidR="00044878" w:rsidRPr="003F52FE">
        <w:rPr>
          <w:color w:val="000000" w:themeColor="text1"/>
          <w:lang w:val="en-US"/>
        </w:rPr>
        <w:t xml:space="preserve">its highest level </w:t>
      </w:r>
      <w:r w:rsidR="00E3227F" w:rsidRPr="003F52FE">
        <w:rPr>
          <w:color w:val="000000" w:themeColor="text1"/>
          <w:lang w:val="en-US"/>
        </w:rPr>
        <w:t>in 1965</w:t>
      </w:r>
      <w:r w:rsidR="00D74491" w:rsidRPr="003F52FE">
        <w:rPr>
          <w:color w:val="000000" w:themeColor="text1"/>
          <w:lang w:val="en-US"/>
        </w:rPr>
        <w:t xml:space="preserve">. </w:t>
      </w:r>
      <w:r w:rsidR="004313AD" w:rsidRPr="003F52FE">
        <w:rPr>
          <w:color w:val="000000" w:themeColor="text1"/>
          <w:lang w:val="en-US"/>
        </w:rPr>
        <w:t>It t</w:t>
      </w:r>
      <w:r w:rsidR="00D74491" w:rsidRPr="003F52FE">
        <w:rPr>
          <w:color w:val="000000" w:themeColor="text1"/>
          <w:lang w:val="en-US"/>
        </w:rPr>
        <w:t>hen</w:t>
      </w:r>
      <w:r w:rsidR="004313AD" w:rsidRPr="003F52FE">
        <w:rPr>
          <w:color w:val="000000" w:themeColor="text1"/>
          <w:lang w:val="en-US"/>
        </w:rPr>
        <w:t xml:space="preserve"> </w:t>
      </w:r>
      <w:r w:rsidR="00E3227F" w:rsidRPr="003F52FE">
        <w:rPr>
          <w:color w:val="000000" w:themeColor="text1"/>
          <w:lang w:val="en-US"/>
        </w:rPr>
        <w:t>declin</w:t>
      </w:r>
      <w:r w:rsidR="00D74491" w:rsidRPr="003F52FE">
        <w:rPr>
          <w:color w:val="000000" w:themeColor="text1"/>
          <w:lang w:val="en-US"/>
        </w:rPr>
        <w:t>ed</w:t>
      </w:r>
      <w:r w:rsidR="004313AD" w:rsidRPr="003F52FE">
        <w:rPr>
          <w:color w:val="000000" w:themeColor="text1"/>
          <w:lang w:val="en-US"/>
        </w:rPr>
        <w:t xml:space="preserve"> </w:t>
      </w:r>
      <w:r w:rsidR="00E3227F" w:rsidRPr="003F52FE">
        <w:rPr>
          <w:color w:val="000000" w:themeColor="text1"/>
          <w:lang w:val="en-US"/>
        </w:rPr>
        <w:t>f</w:t>
      </w:r>
      <w:r w:rsidR="00B540D8" w:rsidRPr="003F52FE">
        <w:rPr>
          <w:color w:val="000000" w:themeColor="text1"/>
          <w:lang w:val="en-US"/>
        </w:rPr>
        <w:t xml:space="preserve">rom </w:t>
      </w:r>
      <w:r w:rsidR="009D45B0" w:rsidRPr="003F52FE">
        <w:rPr>
          <w:color w:val="000000" w:themeColor="text1"/>
          <w:lang w:val="en-US"/>
        </w:rPr>
        <w:t xml:space="preserve">the </w:t>
      </w:r>
      <w:r w:rsidR="00B540D8" w:rsidRPr="003F52FE">
        <w:rPr>
          <w:color w:val="000000" w:themeColor="text1"/>
          <w:lang w:val="en-US"/>
        </w:rPr>
        <w:t xml:space="preserve">mid-1960s to </w:t>
      </w:r>
      <w:r w:rsidR="009D45B0" w:rsidRPr="003F52FE">
        <w:rPr>
          <w:color w:val="000000" w:themeColor="text1"/>
          <w:lang w:val="en-US"/>
        </w:rPr>
        <w:t xml:space="preserve">the </w:t>
      </w:r>
      <w:r w:rsidR="00E3227F" w:rsidRPr="003F52FE">
        <w:rPr>
          <w:color w:val="000000" w:themeColor="text1"/>
          <w:lang w:val="en-US"/>
        </w:rPr>
        <w:t xml:space="preserve">late </w:t>
      </w:r>
      <w:r w:rsidR="009D45B0" w:rsidRPr="003F52FE">
        <w:rPr>
          <w:color w:val="000000" w:themeColor="text1"/>
          <w:lang w:val="en-US"/>
        </w:rPr>
        <w:t xml:space="preserve">1970s. The profit </w:t>
      </w:r>
      <w:r w:rsidR="00933773" w:rsidRPr="003F52FE">
        <w:rPr>
          <w:color w:val="000000" w:themeColor="text1"/>
          <w:lang w:val="en-US"/>
        </w:rPr>
        <w:t xml:space="preserve">rate at historical </w:t>
      </w:r>
      <w:r w:rsidR="00044878" w:rsidRPr="003F52FE">
        <w:rPr>
          <w:color w:val="000000" w:themeColor="text1"/>
          <w:lang w:val="en-US"/>
        </w:rPr>
        <w:t>cost</w:t>
      </w:r>
      <w:r w:rsidR="009D45B0" w:rsidRPr="003F52FE">
        <w:rPr>
          <w:color w:val="000000" w:themeColor="text1"/>
          <w:lang w:val="en-US"/>
        </w:rPr>
        <w:t>s</w:t>
      </w:r>
      <w:r w:rsidR="00044878" w:rsidRPr="003F52FE">
        <w:rPr>
          <w:color w:val="000000" w:themeColor="text1"/>
          <w:lang w:val="en-US"/>
        </w:rPr>
        <w:t xml:space="preserve"> boomed d</w:t>
      </w:r>
      <w:r w:rsidR="00B540D8" w:rsidRPr="003F52FE">
        <w:rPr>
          <w:color w:val="000000" w:themeColor="text1"/>
          <w:lang w:val="en-US"/>
        </w:rPr>
        <w:t xml:space="preserve">uring the </w:t>
      </w:r>
      <w:r w:rsidR="00E3227F" w:rsidRPr="003F52FE">
        <w:rPr>
          <w:color w:val="000000" w:themeColor="text1"/>
          <w:lang w:val="en-US"/>
        </w:rPr>
        <w:t xml:space="preserve">“lost decade” and </w:t>
      </w:r>
      <w:r w:rsidR="005607F4" w:rsidRPr="003F52FE">
        <w:rPr>
          <w:color w:val="000000" w:themeColor="text1"/>
          <w:lang w:val="en-US"/>
        </w:rPr>
        <w:t>t</w:t>
      </w:r>
      <w:r w:rsidR="00044878" w:rsidRPr="003F52FE">
        <w:rPr>
          <w:color w:val="000000" w:themeColor="text1"/>
          <w:lang w:val="en-US"/>
        </w:rPr>
        <w:t xml:space="preserve">he </w:t>
      </w:r>
      <w:r w:rsidR="00E3227F" w:rsidRPr="003F52FE">
        <w:rPr>
          <w:color w:val="000000" w:themeColor="text1"/>
          <w:lang w:val="en-US"/>
        </w:rPr>
        <w:t xml:space="preserve">early 1990s, </w:t>
      </w:r>
      <w:r w:rsidR="00044878" w:rsidRPr="003F52FE">
        <w:rPr>
          <w:color w:val="000000" w:themeColor="text1"/>
          <w:lang w:val="en-US"/>
        </w:rPr>
        <w:t xml:space="preserve">the period of high inflation. </w:t>
      </w:r>
      <w:r w:rsidR="00B540D8" w:rsidRPr="003F52FE">
        <w:rPr>
          <w:color w:val="000000" w:themeColor="text1"/>
          <w:lang w:val="en-US"/>
        </w:rPr>
        <w:t xml:space="preserve">After </w:t>
      </w:r>
      <w:r w:rsidR="001335B7" w:rsidRPr="003F52FE">
        <w:rPr>
          <w:color w:val="000000" w:themeColor="text1"/>
          <w:lang w:val="en-US"/>
        </w:rPr>
        <w:t xml:space="preserve">the control of the inflationary process </w:t>
      </w:r>
      <w:r w:rsidR="00D74491" w:rsidRPr="003F52FE">
        <w:rPr>
          <w:color w:val="000000" w:themeColor="text1"/>
          <w:lang w:val="en-US"/>
        </w:rPr>
        <w:t>in 1994</w:t>
      </w:r>
      <w:r w:rsidR="00044878" w:rsidRPr="003F52FE">
        <w:rPr>
          <w:color w:val="000000" w:themeColor="text1"/>
          <w:lang w:val="en-US"/>
        </w:rPr>
        <w:t xml:space="preserve">, the profit </w:t>
      </w:r>
      <w:r w:rsidR="00933773" w:rsidRPr="003F52FE">
        <w:rPr>
          <w:color w:val="000000" w:themeColor="text1"/>
          <w:lang w:val="en-US"/>
        </w:rPr>
        <w:t xml:space="preserve">rate at historical </w:t>
      </w:r>
      <w:r w:rsidR="00D74491" w:rsidRPr="003F52FE">
        <w:rPr>
          <w:color w:val="000000" w:themeColor="text1"/>
          <w:lang w:val="en-US"/>
        </w:rPr>
        <w:t>cost</w:t>
      </w:r>
      <w:r w:rsidR="009D45B0" w:rsidRPr="003F52FE">
        <w:rPr>
          <w:color w:val="000000" w:themeColor="text1"/>
          <w:lang w:val="en-US"/>
        </w:rPr>
        <w:t>s</w:t>
      </w:r>
      <w:r w:rsidR="00D74491" w:rsidRPr="003F52FE">
        <w:rPr>
          <w:color w:val="000000" w:themeColor="text1"/>
          <w:lang w:val="en-US"/>
        </w:rPr>
        <w:t xml:space="preserve"> fell s</w:t>
      </w:r>
      <w:r w:rsidR="00044878" w:rsidRPr="003F52FE">
        <w:rPr>
          <w:color w:val="000000" w:themeColor="text1"/>
          <w:lang w:val="en-US"/>
        </w:rPr>
        <w:t xml:space="preserve">harply </w:t>
      </w:r>
      <w:r w:rsidR="00D74491" w:rsidRPr="003F52FE">
        <w:rPr>
          <w:color w:val="000000" w:themeColor="text1"/>
          <w:lang w:val="en-US"/>
        </w:rPr>
        <w:t>until</w:t>
      </w:r>
      <w:r w:rsidR="009D45B0" w:rsidRPr="003F52FE">
        <w:rPr>
          <w:color w:val="000000" w:themeColor="text1"/>
          <w:lang w:val="en-US"/>
        </w:rPr>
        <w:t xml:space="preserve"> the</w:t>
      </w:r>
      <w:r w:rsidR="00D74491" w:rsidRPr="003F52FE">
        <w:rPr>
          <w:color w:val="000000" w:themeColor="text1"/>
          <w:lang w:val="en-US"/>
        </w:rPr>
        <w:t xml:space="preserve"> late 1990s, </w:t>
      </w:r>
      <w:r w:rsidR="00B540D8" w:rsidRPr="003F52FE">
        <w:rPr>
          <w:color w:val="000000" w:themeColor="text1"/>
          <w:lang w:val="en-US"/>
        </w:rPr>
        <w:t xml:space="preserve">showing a smooth decrease </w:t>
      </w:r>
      <w:r w:rsidR="00E3227F" w:rsidRPr="003F52FE">
        <w:rPr>
          <w:color w:val="000000" w:themeColor="text1"/>
          <w:lang w:val="en-US"/>
        </w:rPr>
        <w:t xml:space="preserve">in the </w:t>
      </w:r>
      <w:r w:rsidR="00B540D8" w:rsidRPr="003F52FE">
        <w:rPr>
          <w:color w:val="000000" w:themeColor="text1"/>
          <w:lang w:val="en-US"/>
        </w:rPr>
        <w:t>2000</w:t>
      </w:r>
      <w:r w:rsidR="00E3227F" w:rsidRPr="003F52FE">
        <w:rPr>
          <w:color w:val="000000" w:themeColor="text1"/>
          <w:lang w:val="en-US"/>
        </w:rPr>
        <w:t>s</w:t>
      </w:r>
      <w:r w:rsidR="00B540D8" w:rsidRPr="003F52FE">
        <w:rPr>
          <w:color w:val="000000" w:themeColor="text1"/>
          <w:lang w:val="en-US"/>
        </w:rPr>
        <w:t>.</w:t>
      </w:r>
    </w:p>
    <w:p w:rsidR="00067245" w:rsidRPr="003F52FE" w:rsidRDefault="001335B7" w:rsidP="0083766B">
      <w:pPr>
        <w:ind w:firstLine="720"/>
        <w:rPr>
          <w:color w:val="000000" w:themeColor="text1"/>
          <w:lang w:val="en-US"/>
        </w:rPr>
      </w:pPr>
      <w:r w:rsidRPr="003F52FE">
        <w:rPr>
          <w:color w:val="000000" w:themeColor="text1"/>
          <w:lang w:val="en-US"/>
        </w:rPr>
        <w:t xml:space="preserve">It is very difficult, if not impossible from a Marxian perspective to employ the </w:t>
      </w:r>
      <w:r w:rsidR="009D45B0" w:rsidRPr="003F52FE">
        <w:rPr>
          <w:color w:val="000000" w:themeColor="text1"/>
          <w:lang w:val="en-US"/>
        </w:rPr>
        <w:t xml:space="preserve">profit </w:t>
      </w:r>
      <w:r w:rsidR="00933773" w:rsidRPr="003F52FE">
        <w:rPr>
          <w:color w:val="000000" w:themeColor="text1"/>
          <w:lang w:val="en-US"/>
        </w:rPr>
        <w:t xml:space="preserve">rate at historical </w:t>
      </w:r>
      <w:r w:rsidR="00D74491" w:rsidRPr="003F52FE">
        <w:rPr>
          <w:color w:val="000000" w:themeColor="text1"/>
          <w:lang w:val="en-US"/>
        </w:rPr>
        <w:t>cost</w:t>
      </w:r>
      <w:r w:rsidR="009D45B0" w:rsidRPr="003F52FE">
        <w:rPr>
          <w:color w:val="000000" w:themeColor="text1"/>
          <w:lang w:val="en-US"/>
        </w:rPr>
        <w:t>s</w:t>
      </w:r>
      <w:r w:rsidR="00D74491" w:rsidRPr="003F52FE">
        <w:rPr>
          <w:color w:val="000000" w:themeColor="text1"/>
          <w:lang w:val="en-US"/>
        </w:rPr>
        <w:t xml:space="preserve"> </w:t>
      </w:r>
      <w:r w:rsidRPr="003F52FE">
        <w:rPr>
          <w:color w:val="000000" w:themeColor="text1"/>
          <w:lang w:val="en-US"/>
        </w:rPr>
        <w:t xml:space="preserve">to </w:t>
      </w:r>
      <w:r w:rsidR="00A0022C" w:rsidRPr="003F52FE">
        <w:rPr>
          <w:color w:val="000000" w:themeColor="text1"/>
          <w:lang w:val="en-US"/>
        </w:rPr>
        <w:t xml:space="preserve">understand </w:t>
      </w:r>
      <w:r w:rsidRPr="003F52FE">
        <w:rPr>
          <w:color w:val="000000" w:themeColor="text1"/>
          <w:lang w:val="en-US"/>
        </w:rPr>
        <w:t>key events of the Brazilian econom</w:t>
      </w:r>
      <w:r w:rsidR="00BE757C" w:rsidRPr="003F52FE">
        <w:rPr>
          <w:color w:val="000000" w:themeColor="text1"/>
          <w:lang w:val="en-US"/>
        </w:rPr>
        <w:t>ic</w:t>
      </w:r>
      <w:r w:rsidRPr="003F52FE">
        <w:rPr>
          <w:color w:val="000000" w:themeColor="text1"/>
          <w:lang w:val="en-US"/>
        </w:rPr>
        <w:t xml:space="preserve"> history.</w:t>
      </w:r>
      <w:r w:rsidR="009D45B0" w:rsidRPr="003F52FE">
        <w:rPr>
          <w:color w:val="000000" w:themeColor="text1"/>
          <w:lang w:val="en-US"/>
        </w:rPr>
        <w:t xml:space="preserve"> For instance</w:t>
      </w:r>
      <w:r w:rsidR="00A0022C" w:rsidRPr="003F52FE">
        <w:rPr>
          <w:color w:val="000000" w:themeColor="text1"/>
          <w:lang w:val="en-US"/>
        </w:rPr>
        <w:t>, t</w:t>
      </w:r>
      <w:r w:rsidRPr="003F52FE">
        <w:rPr>
          <w:color w:val="000000" w:themeColor="text1"/>
          <w:lang w:val="en-US"/>
        </w:rPr>
        <w:t xml:space="preserve">he </w:t>
      </w:r>
      <w:r w:rsidR="00D74491" w:rsidRPr="003F52FE">
        <w:rPr>
          <w:color w:val="000000" w:themeColor="text1"/>
          <w:lang w:val="en-US"/>
        </w:rPr>
        <w:t xml:space="preserve">military </w:t>
      </w:r>
      <w:r w:rsidR="00A0022C" w:rsidRPr="003F52FE">
        <w:rPr>
          <w:color w:val="000000" w:themeColor="text1"/>
          <w:lang w:val="en-US"/>
        </w:rPr>
        <w:t xml:space="preserve">coup in 1964 </w:t>
      </w:r>
      <w:r w:rsidRPr="003F52FE">
        <w:rPr>
          <w:color w:val="000000" w:themeColor="text1"/>
          <w:lang w:val="en-US"/>
        </w:rPr>
        <w:t xml:space="preserve">and </w:t>
      </w:r>
      <w:r w:rsidR="00A0022C" w:rsidRPr="003F52FE">
        <w:rPr>
          <w:color w:val="000000" w:themeColor="text1"/>
          <w:lang w:val="en-US"/>
        </w:rPr>
        <w:t xml:space="preserve">the </w:t>
      </w:r>
      <w:r w:rsidRPr="003F52FE">
        <w:rPr>
          <w:color w:val="000000" w:themeColor="text1"/>
          <w:lang w:val="en-US"/>
        </w:rPr>
        <w:t xml:space="preserve">adherence to </w:t>
      </w:r>
      <w:proofErr w:type="spellStart"/>
      <w:r w:rsidRPr="003F52FE">
        <w:rPr>
          <w:color w:val="000000" w:themeColor="text1"/>
          <w:lang w:val="en-US"/>
        </w:rPr>
        <w:t>neoliberalism</w:t>
      </w:r>
      <w:proofErr w:type="spellEnd"/>
      <w:r w:rsidRPr="003F52FE">
        <w:rPr>
          <w:color w:val="000000" w:themeColor="text1"/>
          <w:lang w:val="en-US"/>
        </w:rPr>
        <w:t xml:space="preserve"> in </w:t>
      </w:r>
      <w:r w:rsidR="009D45B0" w:rsidRPr="003F52FE">
        <w:rPr>
          <w:color w:val="000000" w:themeColor="text1"/>
          <w:lang w:val="en-US"/>
        </w:rPr>
        <w:t xml:space="preserve">the </w:t>
      </w:r>
      <w:r w:rsidR="00A0022C" w:rsidRPr="003F52FE">
        <w:rPr>
          <w:color w:val="000000" w:themeColor="text1"/>
          <w:lang w:val="en-US"/>
        </w:rPr>
        <w:t xml:space="preserve">early </w:t>
      </w:r>
      <w:proofErr w:type="gramStart"/>
      <w:r w:rsidR="00A0022C" w:rsidRPr="003F52FE">
        <w:rPr>
          <w:color w:val="000000" w:themeColor="text1"/>
          <w:lang w:val="en-US"/>
        </w:rPr>
        <w:t>1990s</w:t>
      </w:r>
      <w:r w:rsidR="00592365" w:rsidRPr="003F52FE">
        <w:rPr>
          <w:color w:val="000000" w:themeColor="text1"/>
          <w:lang w:val="en-US"/>
        </w:rPr>
        <w:t xml:space="preserve"> </w:t>
      </w:r>
      <w:r w:rsidR="009D45B0" w:rsidRPr="003F52FE">
        <w:rPr>
          <w:color w:val="000000" w:themeColor="text1"/>
          <w:lang w:val="en-US"/>
        </w:rPr>
        <w:t xml:space="preserve"> </w:t>
      </w:r>
      <w:r w:rsidR="00A0022C" w:rsidRPr="003F52FE">
        <w:rPr>
          <w:color w:val="000000" w:themeColor="text1"/>
          <w:lang w:val="en-US"/>
        </w:rPr>
        <w:t>would</w:t>
      </w:r>
      <w:proofErr w:type="gramEnd"/>
      <w:r w:rsidR="00A0022C" w:rsidRPr="003F52FE">
        <w:rPr>
          <w:color w:val="000000" w:themeColor="text1"/>
          <w:lang w:val="en-US"/>
        </w:rPr>
        <w:t xml:space="preserve"> have </w:t>
      </w:r>
      <w:r w:rsidRPr="003F52FE">
        <w:rPr>
          <w:color w:val="000000" w:themeColor="text1"/>
          <w:lang w:val="en-US"/>
        </w:rPr>
        <w:t>happened in periods o</w:t>
      </w:r>
      <w:r w:rsidR="00A0022C" w:rsidRPr="003F52FE">
        <w:rPr>
          <w:color w:val="000000" w:themeColor="text1"/>
          <w:lang w:val="en-US"/>
        </w:rPr>
        <w:t xml:space="preserve">f thriving profit rate. </w:t>
      </w:r>
      <w:r w:rsidR="00067245" w:rsidRPr="003F52FE">
        <w:rPr>
          <w:color w:val="000000" w:themeColor="text1"/>
          <w:lang w:val="en-US"/>
        </w:rPr>
        <w:t>Moreover, the institutional changes in both cases resulted in declining profitability.</w:t>
      </w:r>
      <w:r w:rsidR="009D45B0" w:rsidRPr="003F52FE">
        <w:rPr>
          <w:color w:val="000000" w:themeColor="text1"/>
          <w:lang w:val="en-US"/>
        </w:rPr>
        <w:t xml:space="preserve"> </w:t>
      </w:r>
      <w:r w:rsidR="00067245" w:rsidRPr="003F52FE">
        <w:rPr>
          <w:color w:val="000000" w:themeColor="text1"/>
          <w:lang w:val="en-US"/>
        </w:rPr>
        <w:t>In countries with a history of chronic inflation, like Brazi</w:t>
      </w:r>
      <w:r w:rsidR="009D45B0" w:rsidRPr="003F52FE">
        <w:rPr>
          <w:color w:val="000000" w:themeColor="text1"/>
          <w:lang w:val="en-US"/>
        </w:rPr>
        <w:t xml:space="preserve">l, the use of the profit </w:t>
      </w:r>
      <w:r w:rsidR="00933773" w:rsidRPr="003F52FE">
        <w:rPr>
          <w:color w:val="000000" w:themeColor="text1"/>
          <w:lang w:val="en-US"/>
        </w:rPr>
        <w:t xml:space="preserve">rate at historical </w:t>
      </w:r>
      <w:r w:rsidR="00067245" w:rsidRPr="003F52FE">
        <w:rPr>
          <w:color w:val="000000" w:themeColor="text1"/>
          <w:lang w:val="en-US"/>
        </w:rPr>
        <w:t xml:space="preserve">prices may produce inadequate results. </w:t>
      </w:r>
    </w:p>
    <w:p w:rsidR="00B540D8" w:rsidRPr="003F52FE" w:rsidRDefault="009D45B0" w:rsidP="0083766B">
      <w:pPr>
        <w:ind w:firstLine="720"/>
        <w:rPr>
          <w:color w:val="000000" w:themeColor="text1"/>
          <w:lang w:val="en-US"/>
        </w:rPr>
      </w:pPr>
      <w:r w:rsidRPr="003F52FE">
        <w:rPr>
          <w:color w:val="000000" w:themeColor="text1"/>
          <w:lang w:val="en-US"/>
        </w:rPr>
        <w:lastRenderedPageBreak/>
        <w:t xml:space="preserve">The profit </w:t>
      </w:r>
      <w:r w:rsidR="00933773" w:rsidRPr="003F52FE">
        <w:rPr>
          <w:color w:val="000000" w:themeColor="text1"/>
          <w:lang w:val="en-US"/>
        </w:rPr>
        <w:t xml:space="preserve">rate at historical </w:t>
      </w:r>
      <w:r w:rsidR="00674371" w:rsidRPr="003F52FE">
        <w:rPr>
          <w:color w:val="000000" w:themeColor="text1"/>
          <w:lang w:val="en-US"/>
        </w:rPr>
        <w:t>cost</w:t>
      </w:r>
      <w:r w:rsidRPr="003F52FE">
        <w:rPr>
          <w:color w:val="000000" w:themeColor="text1"/>
          <w:lang w:val="en-US"/>
        </w:rPr>
        <w:t>s</w:t>
      </w:r>
      <w:r w:rsidR="00674371" w:rsidRPr="003F52FE">
        <w:rPr>
          <w:color w:val="000000" w:themeColor="text1"/>
          <w:lang w:val="en-US"/>
        </w:rPr>
        <w:t xml:space="preserve"> </w:t>
      </w:r>
      <w:r w:rsidR="0048227F" w:rsidRPr="003F52FE">
        <w:rPr>
          <w:color w:val="000000" w:themeColor="text1"/>
          <w:lang w:val="en-US"/>
        </w:rPr>
        <w:t xml:space="preserve">has </w:t>
      </w:r>
      <w:r w:rsidR="00C05687" w:rsidRPr="003F52FE">
        <w:rPr>
          <w:color w:val="000000" w:themeColor="text1"/>
          <w:lang w:val="en-US"/>
        </w:rPr>
        <w:t>four</w:t>
      </w:r>
      <w:r w:rsidR="005607F4" w:rsidRPr="003F52FE">
        <w:rPr>
          <w:color w:val="000000" w:themeColor="text1"/>
          <w:lang w:val="en-US"/>
        </w:rPr>
        <w:t xml:space="preserve"> main phases. It declined between 1955 and </w:t>
      </w:r>
      <w:r w:rsidRPr="003F52FE">
        <w:rPr>
          <w:color w:val="000000" w:themeColor="text1"/>
          <w:lang w:val="en-US"/>
        </w:rPr>
        <w:t xml:space="preserve">the </w:t>
      </w:r>
      <w:r w:rsidR="005607F4" w:rsidRPr="003F52FE">
        <w:rPr>
          <w:color w:val="000000" w:themeColor="text1"/>
          <w:lang w:val="en-US"/>
        </w:rPr>
        <w:t>early 19</w:t>
      </w:r>
      <w:r w:rsidR="00C05687" w:rsidRPr="003F52FE">
        <w:rPr>
          <w:color w:val="000000" w:themeColor="text1"/>
          <w:lang w:val="en-US"/>
        </w:rPr>
        <w:t>60s</w:t>
      </w:r>
      <w:r w:rsidR="005607F4" w:rsidRPr="003F52FE">
        <w:rPr>
          <w:color w:val="000000" w:themeColor="text1"/>
          <w:lang w:val="en-US"/>
        </w:rPr>
        <w:t xml:space="preserve">, </w:t>
      </w:r>
      <w:r w:rsidR="001A197C" w:rsidRPr="003F52FE">
        <w:rPr>
          <w:color w:val="000000" w:themeColor="text1"/>
          <w:lang w:val="en-US"/>
        </w:rPr>
        <w:t xml:space="preserve">stabilized </w:t>
      </w:r>
      <w:r w:rsidRPr="003F52FE">
        <w:rPr>
          <w:color w:val="000000" w:themeColor="text1"/>
          <w:lang w:val="en-US"/>
        </w:rPr>
        <w:t>between 1963 and 1973,</w:t>
      </w:r>
      <w:r w:rsidR="00C05687" w:rsidRPr="003F52FE">
        <w:rPr>
          <w:color w:val="000000" w:themeColor="text1"/>
          <w:lang w:val="en-US"/>
        </w:rPr>
        <w:t xml:space="preserve"> fell rapidly </w:t>
      </w:r>
      <w:r w:rsidRPr="003F52FE">
        <w:rPr>
          <w:color w:val="000000" w:themeColor="text1"/>
          <w:lang w:val="en-US"/>
        </w:rPr>
        <w:t>between 1973 and the late 1980s,</w:t>
      </w:r>
      <w:r w:rsidR="00C05687" w:rsidRPr="003F52FE">
        <w:rPr>
          <w:color w:val="000000" w:themeColor="text1"/>
          <w:lang w:val="en-US"/>
        </w:rPr>
        <w:t xml:space="preserve"> </w:t>
      </w:r>
      <w:r w:rsidRPr="003F52FE">
        <w:rPr>
          <w:color w:val="000000" w:themeColor="text1"/>
          <w:lang w:val="en-US"/>
        </w:rPr>
        <w:t xml:space="preserve">and </w:t>
      </w:r>
      <w:r w:rsidR="00284777" w:rsidRPr="003F52FE">
        <w:rPr>
          <w:color w:val="000000" w:themeColor="text1"/>
          <w:lang w:val="en-US"/>
        </w:rPr>
        <w:t xml:space="preserve">rose </w:t>
      </w:r>
      <w:r w:rsidR="00C05687" w:rsidRPr="003F52FE">
        <w:rPr>
          <w:color w:val="000000" w:themeColor="text1"/>
          <w:lang w:val="en-US"/>
        </w:rPr>
        <w:t xml:space="preserve">moderately from </w:t>
      </w:r>
      <w:r w:rsidRPr="003F52FE">
        <w:rPr>
          <w:color w:val="000000" w:themeColor="text1"/>
          <w:lang w:val="en-US"/>
        </w:rPr>
        <w:t xml:space="preserve">the </w:t>
      </w:r>
      <w:r w:rsidR="00C05687" w:rsidRPr="003F52FE">
        <w:rPr>
          <w:color w:val="000000" w:themeColor="text1"/>
          <w:lang w:val="en-US"/>
        </w:rPr>
        <w:t xml:space="preserve">early 1990s to 2008. The military coup and </w:t>
      </w:r>
      <w:r w:rsidRPr="003F52FE">
        <w:rPr>
          <w:color w:val="000000" w:themeColor="text1"/>
          <w:lang w:val="en-US"/>
        </w:rPr>
        <w:t>the adoption of</w:t>
      </w:r>
      <w:r w:rsidR="00067245" w:rsidRPr="003F52FE">
        <w:rPr>
          <w:color w:val="000000" w:themeColor="text1"/>
          <w:lang w:val="en-US"/>
        </w:rPr>
        <w:t xml:space="preserve"> </w:t>
      </w:r>
      <w:proofErr w:type="spellStart"/>
      <w:r w:rsidR="00C05687" w:rsidRPr="003F52FE">
        <w:rPr>
          <w:color w:val="000000" w:themeColor="text1"/>
          <w:lang w:val="en-US"/>
        </w:rPr>
        <w:t>neoliberal</w:t>
      </w:r>
      <w:r w:rsidR="00067245" w:rsidRPr="003F52FE">
        <w:rPr>
          <w:color w:val="000000" w:themeColor="text1"/>
          <w:lang w:val="en-US"/>
        </w:rPr>
        <w:t>ism</w:t>
      </w:r>
      <w:proofErr w:type="spellEnd"/>
      <w:r w:rsidR="00C05687" w:rsidRPr="003F52FE">
        <w:rPr>
          <w:color w:val="000000" w:themeColor="text1"/>
          <w:lang w:val="en-US"/>
        </w:rPr>
        <w:t xml:space="preserve"> occurred </w:t>
      </w:r>
      <w:r w:rsidRPr="003F52FE">
        <w:rPr>
          <w:color w:val="000000" w:themeColor="text1"/>
          <w:lang w:val="en-US"/>
        </w:rPr>
        <w:t>during</w:t>
      </w:r>
      <w:r w:rsidR="00C05687" w:rsidRPr="003F52FE">
        <w:rPr>
          <w:color w:val="000000" w:themeColor="text1"/>
          <w:lang w:val="en-US"/>
        </w:rPr>
        <w:t xml:space="preserve"> periods of declining profitability and the </w:t>
      </w:r>
      <w:r w:rsidR="004C3B35" w:rsidRPr="003F52FE">
        <w:rPr>
          <w:color w:val="000000" w:themeColor="text1"/>
          <w:lang w:val="en-US"/>
        </w:rPr>
        <w:t>institutional</w:t>
      </w:r>
      <w:r w:rsidR="00C05687" w:rsidRPr="003F52FE">
        <w:rPr>
          <w:color w:val="000000" w:themeColor="text1"/>
          <w:lang w:val="en-US"/>
        </w:rPr>
        <w:t xml:space="preserve"> change</w:t>
      </w:r>
      <w:r w:rsidR="004C3B35" w:rsidRPr="003F52FE">
        <w:rPr>
          <w:color w:val="000000" w:themeColor="text1"/>
          <w:lang w:val="en-US"/>
        </w:rPr>
        <w:t>s they promoted</w:t>
      </w:r>
      <w:r w:rsidR="00C05687" w:rsidRPr="003F52FE">
        <w:rPr>
          <w:color w:val="000000" w:themeColor="text1"/>
          <w:lang w:val="en-US"/>
        </w:rPr>
        <w:t xml:space="preserve"> were able to </w:t>
      </w:r>
      <w:r w:rsidRPr="003F52FE">
        <w:rPr>
          <w:color w:val="000000" w:themeColor="text1"/>
          <w:lang w:val="en-US"/>
        </w:rPr>
        <w:t>stabilize or rai</w:t>
      </w:r>
      <w:r w:rsidR="00067245" w:rsidRPr="003F52FE">
        <w:rPr>
          <w:color w:val="000000" w:themeColor="text1"/>
          <w:lang w:val="en-US"/>
        </w:rPr>
        <w:t>se</w:t>
      </w:r>
      <w:r w:rsidR="004C3B35" w:rsidRPr="003F52FE">
        <w:rPr>
          <w:color w:val="000000" w:themeColor="text1"/>
          <w:lang w:val="en-US"/>
        </w:rPr>
        <w:t xml:space="preserve"> the profit rate.</w:t>
      </w:r>
      <w:r w:rsidR="00284777" w:rsidRPr="003F52FE">
        <w:rPr>
          <w:color w:val="000000" w:themeColor="text1"/>
          <w:lang w:val="en-US"/>
        </w:rPr>
        <w:t xml:space="preserve"> It is possible </w:t>
      </w:r>
      <w:r w:rsidR="00BF2795" w:rsidRPr="003F52FE">
        <w:rPr>
          <w:color w:val="000000" w:themeColor="text1"/>
          <w:lang w:val="en-US"/>
        </w:rPr>
        <w:t xml:space="preserve">to understand the main economic and political events that shaded the Brazilian economy over the last decades with the </w:t>
      </w:r>
      <w:r w:rsidRPr="003F52FE">
        <w:rPr>
          <w:color w:val="000000" w:themeColor="text1"/>
          <w:lang w:val="en-US"/>
        </w:rPr>
        <w:t xml:space="preserve">profit </w:t>
      </w:r>
      <w:r w:rsidR="00933773" w:rsidRPr="003F52FE">
        <w:rPr>
          <w:color w:val="000000" w:themeColor="text1"/>
          <w:lang w:val="en-US"/>
        </w:rPr>
        <w:t xml:space="preserve">rate at </w:t>
      </w:r>
      <w:r w:rsidR="00BF2795" w:rsidRPr="003F52FE">
        <w:rPr>
          <w:color w:val="000000" w:themeColor="text1"/>
          <w:lang w:val="en-US"/>
        </w:rPr>
        <w:t>current</w:t>
      </w:r>
      <w:r w:rsidR="00933773" w:rsidRPr="003F52FE">
        <w:rPr>
          <w:color w:val="000000" w:themeColor="text1"/>
          <w:lang w:val="en-US"/>
        </w:rPr>
        <w:t xml:space="preserve"> </w:t>
      </w:r>
      <w:r w:rsidR="00284777" w:rsidRPr="003F52FE">
        <w:rPr>
          <w:color w:val="000000" w:themeColor="text1"/>
          <w:lang w:val="en-US"/>
        </w:rPr>
        <w:t>cost</w:t>
      </w:r>
      <w:r w:rsidRPr="003F52FE">
        <w:rPr>
          <w:color w:val="000000" w:themeColor="text1"/>
          <w:lang w:val="en-US"/>
        </w:rPr>
        <w:t>s</w:t>
      </w:r>
      <w:r w:rsidR="00284777" w:rsidRPr="003F52FE">
        <w:rPr>
          <w:color w:val="000000" w:themeColor="text1"/>
          <w:lang w:val="en-US"/>
        </w:rPr>
        <w:t xml:space="preserve">.   </w:t>
      </w:r>
    </w:p>
    <w:p w:rsidR="0012315C" w:rsidRPr="003F52FE" w:rsidRDefault="0012315C" w:rsidP="0083766B">
      <w:pPr>
        <w:jc w:val="both"/>
        <w:rPr>
          <w:color w:val="000000" w:themeColor="text1"/>
          <w:lang w:val="en-US"/>
        </w:rPr>
      </w:pPr>
    </w:p>
    <w:p w:rsidR="00EC36B1" w:rsidRPr="003F52FE" w:rsidRDefault="00893AB7" w:rsidP="0083766B">
      <w:pPr>
        <w:jc w:val="both"/>
        <w:rPr>
          <w:b/>
          <w:color w:val="000000" w:themeColor="text1"/>
          <w:lang w:val="en-US"/>
        </w:rPr>
      </w:pPr>
      <w:r w:rsidRPr="003F52FE">
        <w:rPr>
          <w:b/>
          <w:color w:val="000000" w:themeColor="text1"/>
          <w:lang w:val="en-US"/>
        </w:rPr>
        <w:t>4</w:t>
      </w:r>
      <w:r w:rsidR="00B83CFA" w:rsidRPr="003F52FE">
        <w:rPr>
          <w:b/>
          <w:color w:val="000000" w:themeColor="text1"/>
          <w:lang w:val="en-US"/>
        </w:rPr>
        <w:t>.1.</w:t>
      </w:r>
      <w:r w:rsidR="00AE06F2" w:rsidRPr="003F52FE">
        <w:rPr>
          <w:b/>
          <w:color w:val="000000" w:themeColor="text1"/>
          <w:lang w:val="en-US"/>
        </w:rPr>
        <w:t xml:space="preserve"> The </w:t>
      </w:r>
      <w:r w:rsidR="00BC37E9" w:rsidRPr="003F52FE">
        <w:rPr>
          <w:b/>
          <w:color w:val="000000" w:themeColor="text1"/>
          <w:lang w:val="en-US"/>
        </w:rPr>
        <w:t>decomposition of t</w:t>
      </w:r>
      <w:r w:rsidRPr="003F52FE">
        <w:rPr>
          <w:b/>
          <w:color w:val="000000" w:themeColor="text1"/>
          <w:lang w:val="en-US"/>
        </w:rPr>
        <w:t>he p</w:t>
      </w:r>
      <w:r w:rsidR="00AE06F2" w:rsidRPr="003F52FE">
        <w:rPr>
          <w:b/>
          <w:color w:val="000000" w:themeColor="text1"/>
          <w:lang w:val="en-US"/>
        </w:rPr>
        <w:t xml:space="preserve">rofit </w:t>
      </w:r>
      <w:r w:rsidR="00933773" w:rsidRPr="003F52FE">
        <w:rPr>
          <w:b/>
          <w:color w:val="000000" w:themeColor="text1"/>
          <w:lang w:val="en-US"/>
        </w:rPr>
        <w:t xml:space="preserve">rate at historical </w:t>
      </w:r>
      <w:r w:rsidRPr="003F52FE">
        <w:rPr>
          <w:b/>
          <w:color w:val="000000" w:themeColor="text1"/>
          <w:lang w:val="en-US"/>
        </w:rPr>
        <w:t>c</w:t>
      </w:r>
      <w:r w:rsidR="00AE06F2" w:rsidRPr="003F52FE">
        <w:rPr>
          <w:b/>
          <w:color w:val="000000" w:themeColor="text1"/>
          <w:lang w:val="en-US"/>
        </w:rPr>
        <w:t>ost</w:t>
      </w:r>
      <w:r w:rsidR="00F810FF" w:rsidRPr="003F52FE">
        <w:rPr>
          <w:b/>
          <w:color w:val="000000" w:themeColor="text1"/>
          <w:lang w:val="en-US"/>
        </w:rPr>
        <w:t>s</w:t>
      </w:r>
    </w:p>
    <w:p w:rsidR="00B83CFA" w:rsidRPr="003F52FE" w:rsidRDefault="00B83CFA" w:rsidP="0083766B">
      <w:pPr>
        <w:ind w:firstLine="720"/>
        <w:rPr>
          <w:color w:val="000000" w:themeColor="text1"/>
          <w:lang w:val="en-US"/>
        </w:rPr>
      </w:pPr>
    </w:p>
    <w:p w:rsidR="00306DFB" w:rsidRPr="003F52FE" w:rsidRDefault="00CE4794" w:rsidP="0083766B">
      <w:pPr>
        <w:rPr>
          <w:color w:val="000000" w:themeColor="text1"/>
          <w:lang w:val="en-US"/>
        </w:rPr>
      </w:pPr>
      <w:r w:rsidRPr="003F52FE">
        <w:rPr>
          <w:color w:val="000000" w:themeColor="text1"/>
          <w:lang w:val="en-US"/>
        </w:rPr>
        <w:t>This section discusses the de</w:t>
      </w:r>
      <w:r w:rsidR="00F810FF" w:rsidRPr="003F52FE">
        <w:rPr>
          <w:color w:val="000000" w:themeColor="text1"/>
          <w:lang w:val="en-US"/>
        </w:rPr>
        <w:t xml:space="preserve">terminants of the profit </w:t>
      </w:r>
      <w:r w:rsidR="00933773" w:rsidRPr="003F52FE">
        <w:rPr>
          <w:color w:val="000000" w:themeColor="text1"/>
          <w:lang w:val="en-US"/>
        </w:rPr>
        <w:t xml:space="preserve">rate at historical </w:t>
      </w:r>
      <w:r w:rsidRPr="003F52FE">
        <w:rPr>
          <w:color w:val="000000" w:themeColor="text1"/>
          <w:lang w:val="en-US"/>
        </w:rPr>
        <w:t>cost</w:t>
      </w:r>
      <w:r w:rsidR="00F810FF" w:rsidRPr="003F52FE">
        <w:rPr>
          <w:color w:val="000000" w:themeColor="text1"/>
          <w:lang w:val="en-US"/>
        </w:rPr>
        <w:t>s</w:t>
      </w:r>
      <w:r w:rsidRPr="003F52FE">
        <w:rPr>
          <w:color w:val="000000" w:themeColor="text1"/>
          <w:lang w:val="en-US"/>
        </w:rPr>
        <w:t xml:space="preserve"> through its decompositio</w:t>
      </w:r>
      <w:r w:rsidR="00F810FF" w:rsidRPr="003F52FE">
        <w:rPr>
          <w:color w:val="000000" w:themeColor="text1"/>
          <w:lang w:val="en-US"/>
        </w:rPr>
        <w:t xml:space="preserve">n in the output capital ratio </w:t>
      </w:r>
      <w:r w:rsidR="00BF2795" w:rsidRPr="003F52FE">
        <w:rPr>
          <w:color w:val="000000" w:themeColor="text1"/>
          <w:lang w:val="en-US"/>
        </w:rPr>
        <w:t>at</w:t>
      </w:r>
      <w:r w:rsidRPr="003F52FE">
        <w:rPr>
          <w:color w:val="000000" w:themeColor="text1"/>
          <w:lang w:val="en-US"/>
        </w:rPr>
        <w:t xml:space="preserve"> historical cost</w:t>
      </w:r>
      <w:r w:rsidR="00F810FF" w:rsidRPr="003F52FE">
        <w:rPr>
          <w:color w:val="000000" w:themeColor="text1"/>
          <w:lang w:val="en-US"/>
        </w:rPr>
        <w:t>s</w:t>
      </w:r>
      <w:r w:rsidRPr="003F52FE">
        <w:rPr>
          <w:color w:val="000000" w:themeColor="text1"/>
          <w:lang w:val="en-US"/>
        </w:rPr>
        <w:t xml:space="preserve"> and the profit share. </w:t>
      </w:r>
      <w:r w:rsidR="006A4389" w:rsidRPr="003F52FE">
        <w:rPr>
          <w:color w:val="000000" w:themeColor="text1"/>
          <w:lang w:val="en-US"/>
        </w:rPr>
        <w:t>There</w:t>
      </w:r>
      <w:r w:rsidR="00F810FF" w:rsidRPr="003F52FE">
        <w:rPr>
          <w:color w:val="000000" w:themeColor="text1"/>
          <w:lang w:val="en-US"/>
        </w:rPr>
        <w:t xml:space="preserve"> are</w:t>
      </w:r>
      <w:r w:rsidR="006A4389" w:rsidRPr="003F52FE">
        <w:rPr>
          <w:color w:val="000000" w:themeColor="text1"/>
          <w:lang w:val="en-US"/>
        </w:rPr>
        <w:t xml:space="preserve"> two important results in Table 2. </w:t>
      </w:r>
      <w:r w:rsidR="00FE01C7" w:rsidRPr="003F52FE">
        <w:rPr>
          <w:color w:val="000000" w:themeColor="text1"/>
          <w:lang w:val="en-US"/>
        </w:rPr>
        <w:t>First</w:t>
      </w:r>
      <w:r w:rsidR="00F810FF" w:rsidRPr="003F52FE">
        <w:rPr>
          <w:color w:val="000000" w:themeColor="text1"/>
          <w:lang w:val="en-US"/>
        </w:rPr>
        <w:t xml:space="preserve">ly, the output capital </w:t>
      </w:r>
      <w:r w:rsidR="00933773" w:rsidRPr="003F52FE">
        <w:rPr>
          <w:color w:val="000000" w:themeColor="text1"/>
          <w:lang w:val="en-US"/>
        </w:rPr>
        <w:t>at</w:t>
      </w:r>
      <w:r w:rsidR="00FE01C7" w:rsidRPr="003F52FE">
        <w:rPr>
          <w:color w:val="000000" w:themeColor="text1"/>
          <w:lang w:val="en-US"/>
        </w:rPr>
        <w:t xml:space="preserve"> historical prices </w:t>
      </w:r>
      <w:r w:rsidR="00BB5347" w:rsidRPr="003F52FE">
        <w:rPr>
          <w:color w:val="000000" w:themeColor="text1"/>
          <w:lang w:val="en-US"/>
        </w:rPr>
        <w:t>dro</w:t>
      </w:r>
      <w:r w:rsidR="00FE01C7" w:rsidRPr="003F52FE">
        <w:rPr>
          <w:color w:val="000000" w:themeColor="text1"/>
          <w:lang w:val="en-US"/>
        </w:rPr>
        <w:t>ve the profit rate</w:t>
      </w:r>
      <w:r w:rsidR="00BB5347" w:rsidRPr="003F52FE">
        <w:rPr>
          <w:color w:val="000000" w:themeColor="text1"/>
          <w:lang w:val="en-US"/>
        </w:rPr>
        <w:t>. B</w:t>
      </w:r>
      <w:r w:rsidR="00FE01C7" w:rsidRPr="003F52FE">
        <w:rPr>
          <w:color w:val="000000" w:themeColor="text1"/>
          <w:lang w:val="en-US"/>
        </w:rPr>
        <w:t>etween</w:t>
      </w:r>
      <w:r w:rsidR="00F810FF" w:rsidRPr="003F52FE">
        <w:rPr>
          <w:color w:val="000000" w:themeColor="text1"/>
          <w:lang w:val="en-US"/>
        </w:rPr>
        <w:t xml:space="preserve"> 1955 and 2008 the profit </w:t>
      </w:r>
      <w:r w:rsidR="00933773" w:rsidRPr="003F52FE">
        <w:rPr>
          <w:color w:val="000000" w:themeColor="text1"/>
          <w:lang w:val="en-US"/>
        </w:rPr>
        <w:t xml:space="preserve">rate at historical </w:t>
      </w:r>
      <w:r w:rsidR="00FE01C7" w:rsidRPr="003F52FE">
        <w:rPr>
          <w:color w:val="000000" w:themeColor="text1"/>
          <w:lang w:val="en-US"/>
        </w:rPr>
        <w:t>cost</w:t>
      </w:r>
      <w:r w:rsidR="00F810FF" w:rsidRPr="003F52FE">
        <w:rPr>
          <w:color w:val="000000" w:themeColor="text1"/>
          <w:lang w:val="en-US"/>
        </w:rPr>
        <w:t>s</w:t>
      </w:r>
      <w:r w:rsidR="00FE01C7" w:rsidRPr="003F52FE">
        <w:rPr>
          <w:color w:val="000000" w:themeColor="text1"/>
          <w:lang w:val="en-US"/>
        </w:rPr>
        <w:t xml:space="preserve"> declined 2.19</w:t>
      </w:r>
      <w:r w:rsidR="00BB5347" w:rsidRPr="003F52FE">
        <w:rPr>
          <w:color w:val="000000" w:themeColor="text1"/>
          <w:lang w:val="en-US"/>
        </w:rPr>
        <w:t>% per year, w</w:t>
      </w:r>
      <w:r w:rsidR="00F810FF" w:rsidRPr="003F52FE">
        <w:rPr>
          <w:color w:val="000000" w:themeColor="text1"/>
          <w:lang w:val="en-US"/>
        </w:rPr>
        <w:t xml:space="preserve">hile the output capital ratio </w:t>
      </w:r>
      <w:r w:rsidR="00933773" w:rsidRPr="003F52FE">
        <w:rPr>
          <w:color w:val="000000" w:themeColor="text1"/>
          <w:lang w:val="en-US"/>
        </w:rPr>
        <w:t>at</w:t>
      </w:r>
      <w:r w:rsidR="00BB5347" w:rsidRPr="003F52FE">
        <w:rPr>
          <w:color w:val="000000" w:themeColor="text1"/>
          <w:lang w:val="en-US"/>
        </w:rPr>
        <w:t xml:space="preserve"> historical cost</w:t>
      </w:r>
      <w:r w:rsidR="00F810FF" w:rsidRPr="003F52FE">
        <w:rPr>
          <w:color w:val="000000" w:themeColor="text1"/>
          <w:lang w:val="en-US"/>
        </w:rPr>
        <w:t>s</w:t>
      </w:r>
      <w:r w:rsidR="00BB5347" w:rsidRPr="003F52FE">
        <w:rPr>
          <w:color w:val="000000" w:themeColor="text1"/>
          <w:lang w:val="en-US"/>
        </w:rPr>
        <w:t xml:space="preserve"> fell 2.21% per year. Second</w:t>
      </w:r>
      <w:r w:rsidR="00F810FF" w:rsidRPr="003F52FE">
        <w:rPr>
          <w:color w:val="000000" w:themeColor="text1"/>
          <w:lang w:val="en-US"/>
        </w:rPr>
        <w:t>ly</w:t>
      </w:r>
      <w:r w:rsidR="00D443C4" w:rsidRPr="003F52FE">
        <w:rPr>
          <w:color w:val="000000" w:themeColor="text1"/>
          <w:lang w:val="en-US"/>
        </w:rPr>
        <w:t xml:space="preserve">, </w:t>
      </w:r>
      <w:r w:rsidR="00306DFB" w:rsidRPr="003F52FE">
        <w:rPr>
          <w:color w:val="000000" w:themeColor="text1"/>
          <w:lang w:val="en-US"/>
        </w:rPr>
        <w:t xml:space="preserve">the profit share </w:t>
      </w:r>
      <w:r w:rsidR="00BB5347" w:rsidRPr="003F52FE">
        <w:rPr>
          <w:color w:val="000000" w:themeColor="text1"/>
          <w:lang w:val="en-US"/>
        </w:rPr>
        <w:t xml:space="preserve">expanded 0.03% per year in the period of study, </w:t>
      </w:r>
      <w:r w:rsidR="00306DFB" w:rsidRPr="003F52FE">
        <w:rPr>
          <w:color w:val="000000" w:themeColor="text1"/>
          <w:lang w:val="en-US"/>
        </w:rPr>
        <w:t>play</w:t>
      </w:r>
      <w:r w:rsidR="00BB5347" w:rsidRPr="003F52FE">
        <w:rPr>
          <w:color w:val="000000" w:themeColor="text1"/>
          <w:lang w:val="en-US"/>
        </w:rPr>
        <w:t>ing</w:t>
      </w:r>
      <w:r w:rsidR="00306DFB" w:rsidRPr="003F52FE">
        <w:rPr>
          <w:color w:val="000000" w:themeColor="text1"/>
          <w:lang w:val="en-US"/>
        </w:rPr>
        <w:t xml:space="preserve"> a </w:t>
      </w:r>
      <w:r w:rsidR="00BB5347" w:rsidRPr="003F52FE">
        <w:rPr>
          <w:color w:val="000000" w:themeColor="text1"/>
          <w:lang w:val="en-US"/>
        </w:rPr>
        <w:t>smaller</w:t>
      </w:r>
      <w:r w:rsidR="00306DFB" w:rsidRPr="003F52FE">
        <w:rPr>
          <w:color w:val="000000" w:themeColor="text1"/>
          <w:lang w:val="en-US"/>
        </w:rPr>
        <w:t xml:space="preserve"> role in the movements of the</w:t>
      </w:r>
      <w:r w:rsidR="00F810FF" w:rsidRPr="003F52FE">
        <w:rPr>
          <w:color w:val="000000" w:themeColor="text1"/>
          <w:lang w:val="en-US"/>
        </w:rPr>
        <w:t xml:space="preserve"> profit </w:t>
      </w:r>
      <w:r w:rsidR="00933773" w:rsidRPr="003F52FE">
        <w:rPr>
          <w:color w:val="000000" w:themeColor="text1"/>
          <w:lang w:val="en-US"/>
        </w:rPr>
        <w:t xml:space="preserve">rate at historical </w:t>
      </w:r>
      <w:r w:rsidR="00BB5347" w:rsidRPr="003F52FE">
        <w:rPr>
          <w:color w:val="000000" w:themeColor="text1"/>
          <w:lang w:val="en-US"/>
        </w:rPr>
        <w:t>cost</w:t>
      </w:r>
      <w:r w:rsidR="00F810FF" w:rsidRPr="003F52FE">
        <w:rPr>
          <w:color w:val="000000" w:themeColor="text1"/>
          <w:lang w:val="en-US"/>
        </w:rPr>
        <w:t>s</w:t>
      </w:r>
      <w:r w:rsidR="00BB5347" w:rsidRPr="003F52FE">
        <w:rPr>
          <w:color w:val="000000" w:themeColor="text1"/>
          <w:lang w:val="en-US"/>
        </w:rPr>
        <w:t xml:space="preserve">. </w:t>
      </w:r>
    </w:p>
    <w:p w:rsidR="003A1864" w:rsidRPr="003F52FE" w:rsidRDefault="003A1864" w:rsidP="0083766B">
      <w:pPr>
        <w:jc w:val="both"/>
        <w:rPr>
          <w:color w:val="000000" w:themeColor="text1"/>
          <w:lang w:val="en-US"/>
        </w:rPr>
      </w:pPr>
    </w:p>
    <w:p w:rsidR="007D06C2" w:rsidRPr="003F52FE" w:rsidRDefault="00EC36B1" w:rsidP="0083766B">
      <w:pPr>
        <w:jc w:val="center"/>
        <w:rPr>
          <w:color w:val="000000" w:themeColor="text1"/>
          <w:sz w:val="22"/>
          <w:lang w:val="en-US"/>
        </w:rPr>
      </w:pPr>
      <w:proofErr w:type="gramStart"/>
      <w:r w:rsidRPr="003F52FE">
        <w:rPr>
          <w:color w:val="000000" w:themeColor="text1"/>
          <w:sz w:val="22"/>
          <w:lang w:val="en-US"/>
        </w:rPr>
        <w:t>Table 2.</w:t>
      </w:r>
      <w:proofErr w:type="gramEnd"/>
      <w:r w:rsidRPr="003F52FE">
        <w:rPr>
          <w:color w:val="000000" w:themeColor="text1"/>
          <w:sz w:val="22"/>
          <w:lang w:val="en-US"/>
        </w:rPr>
        <w:t xml:space="preserve"> Decomposition of the </w:t>
      </w:r>
      <w:r w:rsidR="00F810FF" w:rsidRPr="003F52FE">
        <w:rPr>
          <w:color w:val="000000" w:themeColor="text1"/>
          <w:sz w:val="22"/>
          <w:lang w:val="en-US"/>
        </w:rPr>
        <w:t xml:space="preserve">profit </w:t>
      </w:r>
      <w:r w:rsidR="00933773" w:rsidRPr="003F52FE">
        <w:rPr>
          <w:color w:val="000000" w:themeColor="text1"/>
          <w:sz w:val="22"/>
          <w:lang w:val="en-US"/>
        </w:rPr>
        <w:t xml:space="preserve">rate at historical </w:t>
      </w:r>
      <w:r w:rsidR="00D76750" w:rsidRPr="003F52FE">
        <w:rPr>
          <w:color w:val="000000" w:themeColor="text1"/>
          <w:sz w:val="22"/>
          <w:lang w:val="en-US"/>
        </w:rPr>
        <w:t>costs</w:t>
      </w:r>
      <w:r w:rsidRPr="003F52FE">
        <w:rPr>
          <w:color w:val="000000" w:themeColor="text1"/>
          <w:sz w:val="22"/>
          <w:lang w:val="en-US"/>
        </w:rPr>
        <w:t>, Brazil, 1955-2008</w:t>
      </w:r>
    </w:p>
    <w:p w:rsidR="00EC36B1" w:rsidRPr="003F52FE" w:rsidRDefault="00EC36B1" w:rsidP="0083766B">
      <w:pPr>
        <w:jc w:val="center"/>
        <w:rPr>
          <w:color w:val="000000" w:themeColor="text1"/>
          <w:sz w:val="22"/>
          <w:lang w:val="en-US"/>
        </w:rPr>
      </w:pPr>
      <w:r w:rsidRPr="003F52FE">
        <w:rPr>
          <w:color w:val="000000" w:themeColor="text1"/>
          <w:sz w:val="22"/>
          <w:lang w:val="en-US"/>
        </w:rPr>
        <w:t>(</w:t>
      </w:r>
      <w:proofErr w:type="gramStart"/>
      <w:r w:rsidR="00116E78" w:rsidRPr="003F52FE">
        <w:rPr>
          <w:color w:val="000000" w:themeColor="text1"/>
          <w:sz w:val="22"/>
          <w:lang w:val="en-US"/>
        </w:rPr>
        <w:t>compound</w:t>
      </w:r>
      <w:proofErr w:type="gramEnd"/>
      <w:r w:rsidR="00E9260E" w:rsidRPr="003F52FE">
        <w:rPr>
          <w:color w:val="000000" w:themeColor="text1"/>
          <w:sz w:val="22"/>
          <w:lang w:val="en-US"/>
        </w:rPr>
        <w:t xml:space="preserve"> </w:t>
      </w:r>
      <w:r w:rsidRPr="003F52FE">
        <w:rPr>
          <w:color w:val="000000" w:themeColor="text1"/>
          <w:sz w:val="22"/>
          <w:lang w:val="en-US"/>
        </w:rPr>
        <w:t>annual growth rate)</w:t>
      </w:r>
    </w:p>
    <w:tbl>
      <w:tblPr>
        <w:tblW w:w="6704" w:type="dxa"/>
        <w:jc w:val="center"/>
        <w:tblInd w:w="70" w:type="dxa"/>
        <w:tblCellMar>
          <w:left w:w="70" w:type="dxa"/>
          <w:right w:w="70" w:type="dxa"/>
        </w:tblCellMar>
        <w:tblLook w:val="04A0"/>
      </w:tblPr>
      <w:tblGrid>
        <w:gridCol w:w="1676"/>
        <w:gridCol w:w="1676"/>
        <w:gridCol w:w="1676"/>
        <w:gridCol w:w="1676"/>
      </w:tblGrid>
      <w:tr w:rsidR="00CE2330" w:rsidRPr="003F52FE" w:rsidTr="00CE2330">
        <w:trPr>
          <w:trHeight w:val="300"/>
          <w:jc w:val="center"/>
        </w:trPr>
        <w:tc>
          <w:tcPr>
            <w:tcW w:w="1676" w:type="dxa"/>
            <w:tcBorders>
              <w:top w:val="single" w:sz="4" w:space="0" w:color="auto"/>
              <w:left w:val="nil"/>
              <w:bottom w:val="single" w:sz="4" w:space="0" w:color="auto"/>
              <w:right w:val="nil"/>
            </w:tcBorders>
            <w:shd w:val="clear" w:color="auto" w:fill="auto"/>
            <w:noWrap/>
            <w:vAlign w:val="bottom"/>
            <w:hideMark/>
          </w:tcPr>
          <w:p w:rsidR="00CE2330" w:rsidRPr="003F52FE" w:rsidRDefault="00CE2330" w:rsidP="0083766B">
            <w:pPr>
              <w:widowControl/>
              <w:autoSpaceDE/>
              <w:autoSpaceDN/>
              <w:adjustRightInd/>
              <w:rPr>
                <w:rFonts w:eastAsia="Times New Roman"/>
                <w:color w:val="000000" w:themeColor="text1"/>
              </w:rPr>
            </w:pPr>
            <w:proofErr w:type="spellStart"/>
            <w:r w:rsidRPr="003F52FE">
              <w:rPr>
                <w:rFonts w:eastAsia="Times New Roman"/>
                <w:color w:val="000000" w:themeColor="text1"/>
                <w:sz w:val="22"/>
                <w:szCs w:val="22"/>
              </w:rPr>
              <w:t>Period</w:t>
            </w:r>
            <w:proofErr w:type="spellEnd"/>
          </w:p>
        </w:tc>
        <w:tc>
          <w:tcPr>
            <w:tcW w:w="1676" w:type="dxa"/>
            <w:tcBorders>
              <w:top w:val="single" w:sz="4" w:space="0" w:color="auto"/>
              <w:left w:val="nil"/>
              <w:bottom w:val="single" w:sz="4" w:space="0" w:color="auto"/>
              <w:right w:val="nil"/>
            </w:tcBorders>
            <w:shd w:val="clear" w:color="auto" w:fill="auto"/>
            <w:noWrap/>
            <w:vAlign w:val="bottom"/>
            <w:hideMark/>
          </w:tcPr>
          <w:p w:rsidR="00CE2330" w:rsidRPr="003F52FE" w:rsidRDefault="00CE2330" w:rsidP="0083766B">
            <w:pPr>
              <w:widowControl/>
              <w:autoSpaceDE/>
              <w:autoSpaceDN/>
              <w:adjustRightInd/>
              <w:jc w:val="center"/>
              <w:rPr>
                <w:rFonts w:eastAsia="Times New Roman"/>
                <w:color w:val="000000" w:themeColor="text1"/>
              </w:rPr>
            </w:pPr>
            <w:proofErr w:type="gramStart"/>
            <w:r w:rsidRPr="003F52FE">
              <w:rPr>
                <w:rFonts w:eastAsia="Times New Roman"/>
                <w:color w:val="000000" w:themeColor="text1"/>
                <w:sz w:val="22"/>
                <w:szCs w:val="22"/>
              </w:rPr>
              <w:t>r</w:t>
            </w:r>
            <w:r w:rsidRPr="003F52FE">
              <w:rPr>
                <w:rFonts w:eastAsia="Times New Roman"/>
                <w:color w:val="000000" w:themeColor="text1"/>
                <w:sz w:val="22"/>
                <w:szCs w:val="22"/>
                <w:vertAlign w:val="superscript"/>
              </w:rPr>
              <w:t>H</w:t>
            </w:r>
            <w:proofErr w:type="gramEnd"/>
          </w:p>
        </w:tc>
        <w:tc>
          <w:tcPr>
            <w:tcW w:w="1676" w:type="dxa"/>
            <w:tcBorders>
              <w:top w:val="single" w:sz="4" w:space="0" w:color="auto"/>
              <w:left w:val="nil"/>
              <w:bottom w:val="single" w:sz="4" w:space="0" w:color="auto"/>
              <w:right w:val="nil"/>
            </w:tcBorders>
            <w:shd w:val="clear" w:color="auto" w:fill="auto"/>
            <w:noWrap/>
            <w:vAlign w:val="bottom"/>
            <w:hideMark/>
          </w:tcPr>
          <w:p w:rsidR="00CE2330" w:rsidRPr="003F52FE" w:rsidRDefault="00FA32BC"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sym w:font="Symbol" w:char="F072"/>
            </w:r>
            <w:r w:rsidR="00CE2330" w:rsidRPr="003F52FE">
              <w:rPr>
                <w:rFonts w:eastAsia="Times New Roman"/>
                <w:color w:val="000000" w:themeColor="text1"/>
                <w:sz w:val="22"/>
                <w:szCs w:val="22"/>
                <w:vertAlign w:val="superscript"/>
              </w:rPr>
              <w:t>H</w:t>
            </w:r>
          </w:p>
        </w:tc>
        <w:tc>
          <w:tcPr>
            <w:tcW w:w="1676" w:type="dxa"/>
            <w:tcBorders>
              <w:top w:val="single" w:sz="4" w:space="0" w:color="auto"/>
              <w:left w:val="nil"/>
              <w:bottom w:val="single" w:sz="4" w:space="0" w:color="auto"/>
              <w:right w:val="nil"/>
            </w:tcBorders>
            <w:shd w:val="clear" w:color="auto" w:fill="auto"/>
            <w:noWrap/>
            <w:vAlign w:val="bottom"/>
            <w:hideMark/>
          </w:tcPr>
          <w:p w:rsidR="00CE2330" w:rsidRPr="003F52FE" w:rsidRDefault="00FA32BC"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sym w:font="Symbol" w:char="F070"/>
            </w:r>
          </w:p>
        </w:tc>
      </w:tr>
      <w:tr w:rsidR="00CE2330" w:rsidRPr="003F52FE" w:rsidTr="00CE2330">
        <w:trPr>
          <w:trHeight w:val="300"/>
          <w:jc w:val="center"/>
        </w:trPr>
        <w:tc>
          <w:tcPr>
            <w:tcW w:w="1676" w:type="dxa"/>
            <w:tcBorders>
              <w:top w:val="nil"/>
              <w:left w:val="nil"/>
              <w:bottom w:val="nil"/>
              <w:right w:val="nil"/>
            </w:tcBorders>
            <w:shd w:val="clear" w:color="auto" w:fill="auto"/>
            <w:noWrap/>
            <w:vAlign w:val="bottom"/>
            <w:hideMark/>
          </w:tcPr>
          <w:p w:rsidR="00CE2330" w:rsidRPr="003F52FE" w:rsidRDefault="00CE2330"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1955-2008</w:t>
            </w:r>
          </w:p>
        </w:tc>
        <w:tc>
          <w:tcPr>
            <w:tcW w:w="1676" w:type="dxa"/>
            <w:tcBorders>
              <w:top w:val="nil"/>
              <w:left w:val="nil"/>
              <w:bottom w:val="nil"/>
              <w:right w:val="nil"/>
            </w:tcBorders>
            <w:shd w:val="clear" w:color="auto" w:fill="auto"/>
            <w:noWrap/>
            <w:vAlign w:val="bottom"/>
            <w:hideMark/>
          </w:tcPr>
          <w:p w:rsidR="00CE2330" w:rsidRPr="003F52FE" w:rsidRDefault="00CE2330"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-2</w:t>
            </w:r>
            <w:r w:rsidR="00FE01C7" w:rsidRPr="003F52FE">
              <w:rPr>
                <w:rFonts w:eastAsia="Times New Roman"/>
                <w:color w:val="000000" w:themeColor="text1"/>
                <w:sz w:val="22"/>
                <w:szCs w:val="22"/>
              </w:rPr>
              <w:t>.</w:t>
            </w:r>
            <w:r w:rsidRPr="003F52FE">
              <w:rPr>
                <w:rFonts w:eastAsia="Times New Roman"/>
                <w:color w:val="000000" w:themeColor="text1"/>
                <w:sz w:val="22"/>
                <w:szCs w:val="22"/>
              </w:rPr>
              <w:t>19</w:t>
            </w:r>
          </w:p>
        </w:tc>
        <w:tc>
          <w:tcPr>
            <w:tcW w:w="1676" w:type="dxa"/>
            <w:tcBorders>
              <w:top w:val="nil"/>
              <w:left w:val="nil"/>
              <w:bottom w:val="nil"/>
              <w:right w:val="nil"/>
            </w:tcBorders>
            <w:shd w:val="clear" w:color="auto" w:fill="auto"/>
            <w:noWrap/>
            <w:vAlign w:val="bottom"/>
            <w:hideMark/>
          </w:tcPr>
          <w:p w:rsidR="00CE2330" w:rsidRPr="003F52FE" w:rsidRDefault="00FE01C7"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-2.</w:t>
            </w:r>
            <w:r w:rsidR="00CE2330" w:rsidRPr="003F52FE">
              <w:rPr>
                <w:rFonts w:eastAsia="Times New Roman"/>
                <w:color w:val="000000" w:themeColor="text1"/>
                <w:sz w:val="22"/>
                <w:szCs w:val="22"/>
              </w:rPr>
              <w:t>21</w:t>
            </w:r>
          </w:p>
        </w:tc>
        <w:tc>
          <w:tcPr>
            <w:tcW w:w="1676" w:type="dxa"/>
            <w:tcBorders>
              <w:top w:val="nil"/>
              <w:left w:val="nil"/>
              <w:bottom w:val="nil"/>
              <w:right w:val="nil"/>
            </w:tcBorders>
            <w:shd w:val="clear" w:color="auto" w:fill="auto"/>
            <w:noWrap/>
            <w:vAlign w:val="bottom"/>
            <w:hideMark/>
          </w:tcPr>
          <w:p w:rsidR="00CE2330" w:rsidRPr="003F52FE" w:rsidRDefault="00FE01C7"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0.</w:t>
            </w:r>
            <w:r w:rsidR="00CE2330" w:rsidRPr="003F52FE">
              <w:rPr>
                <w:rFonts w:eastAsia="Times New Roman"/>
                <w:color w:val="000000" w:themeColor="text1"/>
                <w:sz w:val="22"/>
                <w:szCs w:val="22"/>
              </w:rPr>
              <w:t>03</w:t>
            </w:r>
          </w:p>
        </w:tc>
      </w:tr>
      <w:tr w:rsidR="00CE2330" w:rsidRPr="003F52FE" w:rsidTr="00CE2330">
        <w:trPr>
          <w:trHeight w:val="300"/>
          <w:jc w:val="center"/>
        </w:trPr>
        <w:tc>
          <w:tcPr>
            <w:tcW w:w="1676" w:type="dxa"/>
            <w:tcBorders>
              <w:top w:val="nil"/>
              <w:left w:val="nil"/>
              <w:bottom w:val="nil"/>
              <w:right w:val="nil"/>
            </w:tcBorders>
            <w:shd w:val="clear" w:color="auto" w:fill="auto"/>
            <w:noWrap/>
            <w:vAlign w:val="bottom"/>
            <w:hideMark/>
          </w:tcPr>
          <w:p w:rsidR="00CE2330" w:rsidRPr="003F52FE" w:rsidRDefault="00CE2330"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1955-1973</w:t>
            </w:r>
          </w:p>
        </w:tc>
        <w:tc>
          <w:tcPr>
            <w:tcW w:w="1676" w:type="dxa"/>
            <w:tcBorders>
              <w:top w:val="nil"/>
              <w:left w:val="nil"/>
              <w:bottom w:val="nil"/>
              <w:right w:val="nil"/>
            </w:tcBorders>
            <w:shd w:val="clear" w:color="auto" w:fill="auto"/>
            <w:noWrap/>
            <w:vAlign w:val="bottom"/>
            <w:hideMark/>
          </w:tcPr>
          <w:p w:rsidR="00CE2330" w:rsidRPr="003F52FE" w:rsidRDefault="00FE01C7"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-0.</w:t>
            </w:r>
            <w:r w:rsidR="00CE2330" w:rsidRPr="003F52FE">
              <w:rPr>
                <w:rFonts w:eastAsia="Times New Roman"/>
                <w:color w:val="000000" w:themeColor="text1"/>
                <w:sz w:val="22"/>
                <w:szCs w:val="22"/>
              </w:rPr>
              <w:t>53</w:t>
            </w:r>
          </w:p>
        </w:tc>
        <w:tc>
          <w:tcPr>
            <w:tcW w:w="1676" w:type="dxa"/>
            <w:tcBorders>
              <w:top w:val="nil"/>
              <w:left w:val="nil"/>
              <w:bottom w:val="nil"/>
              <w:right w:val="nil"/>
            </w:tcBorders>
            <w:shd w:val="clear" w:color="auto" w:fill="auto"/>
            <w:noWrap/>
            <w:vAlign w:val="bottom"/>
            <w:hideMark/>
          </w:tcPr>
          <w:p w:rsidR="00CE2330" w:rsidRPr="003F52FE" w:rsidRDefault="00FE01C7"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-0.</w:t>
            </w:r>
            <w:r w:rsidR="00CE2330" w:rsidRPr="003F52FE">
              <w:rPr>
                <w:rFonts w:eastAsia="Times New Roman"/>
                <w:color w:val="000000" w:themeColor="text1"/>
                <w:sz w:val="22"/>
                <w:szCs w:val="22"/>
              </w:rPr>
              <w:t>75</w:t>
            </w:r>
          </w:p>
        </w:tc>
        <w:tc>
          <w:tcPr>
            <w:tcW w:w="1676" w:type="dxa"/>
            <w:tcBorders>
              <w:top w:val="nil"/>
              <w:left w:val="nil"/>
              <w:bottom w:val="nil"/>
              <w:right w:val="nil"/>
            </w:tcBorders>
            <w:shd w:val="clear" w:color="auto" w:fill="auto"/>
            <w:noWrap/>
            <w:vAlign w:val="bottom"/>
            <w:hideMark/>
          </w:tcPr>
          <w:p w:rsidR="00CE2330" w:rsidRPr="003F52FE" w:rsidRDefault="00FE01C7"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0.</w:t>
            </w:r>
            <w:r w:rsidR="00CE2330" w:rsidRPr="003F52FE">
              <w:rPr>
                <w:rFonts w:eastAsia="Times New Roman"/>
                <w:color w:val="000000" w:themeColor="text1"/>
                <w:sz w:val="22"/>
                <w:szCs w:val="22"/>
              </w:rPr>
              <w:t>22</w:t>
            </w:r>
          </w:p>
        </w:tc>
      </w:tr>
      <w:tr w:rsidR="00CE2330" w:rsidRPr="003F52FE" w:rsidTr="00CE2330">
        <w:trPr>
          <w:trHeight w:val="300"/>
          <w:jc w:val="center"/>
        </w:trPr>
        <w:tc>
          <w:tcPr>
            <w:tcW w:w="1676" w:type="dxa"/>
            <w:tcBorders>
              <w:top w:val="nil"/>
              <w:left w:val="nil"/>
              <w:bottom w:val="nil"/>
              <w:right w:val="nil"/>
            </w:tcBorders>
            <w:shd w:val="clear" w:color="auto" w:fill="auto"/>
            <w:noWrap/>
            <w:vAlign w:val="bottom"/>
            <w:hideMark/>
          </w:tcPr>
          <w:p w:rsidR="00CE2330" w:rsidRPr="003F52FE" w:rsidRDefault="00CE2330"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1955-1962</w:t>
            </w:r>
          </w:p>
        </w:tc>
        <w:tc>
          <w:tcPr>
            <w:tcW w:w="1676" w:type="dxa"/>
            <w:tcBorders>
              <w:top w:val="nil"/>
              <w:left w:val="nil"/>
              <w:bottom w:val="nil"/>
              <w:right w:val="nil"/>
            </w:tcBorders>
            <w:shd w:val="clear" w:color="auto" w:fill="auto"/>
            <w:noWrap/>
            <w:vAlign w:val="bottom"/>
            <w:hideMark/>
          </w:tcPr>
          <w:p w:rsidR="00CE2330" w:rsidRPr="003F52FE" w:rsidRDefault="00FE01C7"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2.</w:t>
            </w:r>
            <w:r w:rsidR="00CE2330" w:rsidRPr="003F52FE">
              <w:rPr>
                <w:rFonts w:eastAsia="Times New Roman"/>
                <w:color w:val="000000" w:themeColor="text1"/>
                <w:sz w:val="22"/>
                <w:szCs w:val="22"/>
              </w:rPr>
              <w:t>96</w:t>
            </w:r>
          </w:p>
        </w:tc>
        <w:tc>
          <w:tcPr>
            <w:tcW w:w="1676" w:type="dxa"/>
            <w:tcBorders>
              <w:top w:val="nil"/>
              <w:left w:val="nil"/>
              <w:bottom w:val="nil"/>
              <w:right w:val="nil"/>
            </w:tcBorders>
            <w:shd w:val="clear" w:color="auto" w:fill="auto"/>
            <w:noWrap/>
            <w:vAlign w:val="bottom"/>
            <w:hideMark/>
          </w:tcPr>
          <w:p w:rsidR="00CE2330" w:rsidRPr="003F52FE" w:rsidRDefault="00FE01C7"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2.</w:t>
            </w:r>
            <w:r w:rsidR="00CE2330" w:rsidRPr="003F52FE">
              <w:rPr>
                <w:rFonts w:eastAsia="Times New Roman"/>
                <w:color w:val="000000" w:themeColor="text1"/>
                <w:sz w:val="22"/>
                <w:szCs w:val="22"/>
              </w:rPr>
              <w:t>52</w:t>
            </w:r>
          </w:p>
        </w:tc>
        <w:tc>
          <w:tcPr>
            <w:tcW w:w="1676" w:type="dxa"/>
            <w:tcBorders>
              <w:top w:val="nil"/>
              <w:left w:val="nil"/>
              <w:bottom w:val="nil"/>
              <w:right w:val="nil"/>
            </w:tcBorders>
            <w:shd w:val="clear" w:color="auto" w:fill="auto"/>
            <w:noWrap/>
            <w:vAlign w:val="bottom"/>
            <w:hideMark/>
          </w:tcPr>
          <w:p w:rsidR="00CE2330" w:rsidRPr="003F52FE" w:rsidRDefault="00FE01C7"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0.</w:t>
            </w:r>
            <w:r w:rsidR="00CE2330" w:rsidRPr="003F52FE">
              <w:rPr>
                <w:rFonts w:eastAsia="Times New Roman"/>
                <w:color w:val="000000" w:themeColor="text1"/>
                <w:sz w:val="22"/>
                <w:szCs w:val="22"/>
              </w:rPr>
              <w:t>43</w:t>
            </w:r>
          </w:p>
        </w:tc>
      </w:tr>
      <w:tr w:rsidR="00CE2330" w:rsidRPr="003F52FE" w:rsidTr="00CE2330">
        <w:trPr>
          <w:trHeight w:val="300"/>
          <w:jc w:val="center"/>
        </w:trPr>
        <w:tc>
          <w:tcPr>
            <w:tcW w:w="1676" w:type="dxa"/>
            <w:tcBorders>
              <w:top w:val="nil"/>
              <w:left w:val="nil"/>
              <w:bottom w:val="nil"/>
              <w:right w:val="nil"/>
            </w:tcBorders>
            <w:shd w:val="clear" w:color="auto" w:fill="auto"/>
            <w:noWrap/>
            <w:vAlign w:val="bottom"/>
            <w:hideMark/>
          </w:tcPr>
          <w:p w:rsidR="00CE2330" w:rsidRPr="003F52FE" w:rsidRDefault="00CE2330"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1962-1973</w:t>
            </w:r>
          </w:p>
        </w:tc>
        <w:tc>
          <w:tcPr>
            <w:tcW w:w="1676" w:type="dxa"/>
            <w:tcBorders>
              <w:top w:val="nil"/>
              <w:left w:val="nil"/>
              <w:bottom w:val="nil"/>
              <w:right w:val="nil"/>
            </w:tcBorders>
            <w:shd w:val="clear" w:color="auto" w:fill="auto"/>
            <w:noWrap/>
            <w:vAlign w:val="bottom"/>
            <w:hideMark/>
          </w:tcPr>
          <w:p w:rsidR="00CE2330" w:rsidRPr="003F52FE" w:rsidRDefault="00FE01C7"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-2.</w:t>
            </w:r>
            <w:r w:rsidR="00CE2330" w:rsidRPr="003F52FE">
              <w:rPr>
                <w:rFonts w:eastAsia="Times New Roman"/>
                <w:color w:val="000000" w:themeColor="text1"/>
                <w:sz w:val="22"/>
                <w:szCs w:val="22"/>
              </w:rPr>
              <w:t>75</w:t>
            </w:r>
          </w:p>
        </w:tc>
        <w:tc>
          <w:tcPr>
            <w:tcW w:w="1676" w:type="dxa"/>
            <w:tcBorders>
              <w:top w:val="nil"/>
              <w:left w:val="nil"/>
              <w:bottom w:val="nil"/>
              <w:right w:val="nil"/>
            </w:tcBorders>
            <w:shd w:val="clear" w:color="auto" w:fill="auto"/>
            <w:noWrap/>
            <w:vAlign w:val="bottom"/>
            <w:hideMark/>
          </w:tcPr>
          <w:p w:rsidR="00CE2330" w:rsidRPr="003F52FE" w:rsidRDefault="00FE01C7"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-2.</w:t>
            </w:r>
            <w:r w:rsidR="00CE2330" w:rsidRPr="003F52FE">
              <w:rPr>
                <w:rFonts w:eastAsia="Times New Roman"/>
                <w:color w:val="000000" w:themeColor="text1"/>
                <w:sz w:val="22"/>
                <w:szCs w:val="22"/>
              </w:rPr>
              <w:t>84</w:t>
            </w:r>
          </w:p>
        </w:tc>
        <w:tc>
          <w:tcPr>
            <w:tcW w:w="1676" w:type="dxa"/>
            <w:tcBorders>
              <w:top w:val="nil"/>
              <w:left w:val="nil"/>
              <w:bottom w:val="nil"/>
              <w:right w:val="nil"/>
            </w:tcBorders>
            <w:shd w:val="clear" w:color="auto" w:fill="auto"/>
            <w:noWrap/>
            <w:vAlign w:val="bottom"/>
            <w:hideMark/>
          </w:tcPr>
          <w:p w:rsidR="00CE2330" w:rsidRPr="003F52FE" w:rsidRDefault="00FE01C7"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0.</w:t>
            </w:r>
            <w:r w:rsidR="00CE2330" w:rsidRPr="003F52FE">
              <w:rPr>
                <w:rFonts w:eastAsia="Times New Roman"/>
                <w:color w:val="000000" w:themeColor="text1"/>
                <w:sz w:val="22"/>
                <w:szCs w:val="22"/>
              </w:rPr>
              <w:t>09</w:t>
            </w:r>
          </w:p>
        </w:tc>
      </w:tr>
      <w:tr w:rsidR="00CE2330" w:rsidRPr="003F52FE" w:rsidTr="00CE2330">
        <w:trPr>
          <w:trHeight w:val="300"/>
          <w:jc w:val="center"/>
        </w:trPr>
        <w:tc>
          <w:tcPr>
            <w:tcW w:w="1676" w:type="dxa"/>
            <w:tcBorders>
              <w:top w:val="nil"/>
              <w:left w:val="nil"/>
              <w:bottom w:val="nil"/>
              <w:right w:val="nil"/>
            </w:tcBorders>
            <w:shd w:val="clear" w:color="auto" w:fill="auto"/>
            <w:noWrap/>
            <w:vAlign w:val="bottom"/>
            <w:hideMark/>
          </w:tcPr>
          <w:p w:rsidR="00CE2330" w:rsidRPr="003F52FE" w:rsidRDefault="00CE2330"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1973-1989</w:t>
            </w:r>
          </w:p>
        </w:tc>
        <w:tc>
          <w:tcPr>
            <w:tcW w:w="1676" w:type="dxa"/>
            <w:tcBorders>
              <w:top w:val="nil"/>
              <w:left w:val="nil"/>
              <w:bottom w:val="nil"/>
              <w:right w:val="nil"/>
            </w:tcBorders>
            <w:shd w:val="clear" w:color="auto" w:fill="auto"/>
            <w:noWrap/>
            <w:vAlign w:val="bottom"/>
            <w:hideMark/>
          </w:tcPr>
          <w:p w:rsidR="00CE2330" w:rsidRPr="003F52FE" w:rsidRDefault="00FE01C7"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1.</w:t>
            </w:r>
            <w:r w:rsidR="00CE2330" w:rsidRPr="003F52FE">
              <w:rPr>
                <w:rFonts w:eastAsia="Times New Roman"/>
                <w:color w:val="000000" w:themeColor="text1"/>
                <w:sz w:val="22"/>
                <w:szCs w:val="22"/>
              </w:rPr>
              <w:t>34</w:t>
            </w:r>
          </w:p>
        </w:tc>
        <w:tc>
          <w:tcPr>
            <w:tcW w:w="1676" w:type="dxa"/>
            <w:tcBorders>
              <w:top w:val="nil"/>
              <w:left w:val="nil"/>
              <w:bottom w:val="nil"/>
              <w:right w:val="nil"/>
            </w:tcBorders>
            <w:shd w:val="clear" w:color="auto" w:fill="auto"/>
            <w:noWrap/>
            <w:vAlign w:val="bottom"/>
            <w:hideMark/>
          </w:tcPr>
          <w:p w:rsidR="00CE2330" w:rsidRPr="003F52FE" w:rsidRDefault="00FE01C7"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1.</w:t>
            </w:r>
            <w:r w:rsidR="00CE2330" w:rsidRPr="003F52FE">
              <w:rPr>
                <w:rFonts w:eastAsia="Times New Roman"/>
                <w:color w:val="000000" w:themeColor="text1"/>
                <w:sz w:val="22"/>
                <w:szCs w:val="22"/>
              </w:rPr>
              <w:t>82</w:t>
            </w:r>
          </w:p>
        </w:tc>
        <w:tc>
          <w:tcPr>
            <w:tcW w:w="1676" w:type="dxa"/>
            <w:tcBorders>
              <w:top w:val="nil"/>
              <w:left w:val="nil"/>
              <w:bottom w:val="nil"/>
              <w:right w:val="nil"/>
            </w:tcBorders>
            <w:shd w:val="clear" w:color="auto" w:fill="auto"/>
            <w:noWrap/>
            <w:vAlign w:val="bottom"/>
            <w:hideMark/>
          </w:tcPr>
          <w:p w:rsidR="00CE2330" w:rsidRPr="003F52FE" w:rsidRDefault="00FE01C7"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-0.</w:t>
            </w:r>
            <w:r w:rsidR="00CE2330" w:rsidRPr="003F52FE">
              <w:rPr>
                <w:rFonts w:eastAsia="Times New Roman"/>
                <w:color w:val="000000" w:themeColor="text1"/>
                <w:sz w:val="22"/>
                <w:szCs w:val="22"/>
              </w:rPr>
              <w:t>48</w:t>
            </w:r>
          </w:p>
        </w:tc>
      </w:tr>
      <w:tr w:rsidR="00CE2330" w:rsidRPr="003F52FE" w:rsidTr="00CE2330">
        <w:trPr>
          <w:trHeight w:val="300"/>
          <w:jc w:val="center"/>
        </w:trPr>
        <w:tc>
          <w:tcPr>
            <w:tcW w:w="1676" w:type="dxa"/>
            <w:tcBorders>
              <w:top w:val="nil"/>
              <w:left w:val="nil"/>
              <w:bottom w:val="nil"/>
              <w:right w:val="nil"/>
            </w:tcBorders>
            <w:shd w:val="clear" w:color="auto" w:fill="auto"/>
            <w:noWrap/>
            <w:vAlign w:val="bottom"/>
            <w:hideMark/>
          </w:tcPr>
          <w:p w:rsidR="00CE2330" w:rsidRPr="003F52FE" w:rsidRDefault="00CE2330"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1973-1980</w:t>
            </w:r>
          </w:p>
        </w:tc>
        <w:tc>
          <w:tcPr>
            <w:tcW w:w="1676" w:type="dxa"/>
            <w:tcBorders>
              <w:top w:val="nil"/>
              <w:left w:val="nil"/>
              <w:bottom w:val="nil"/>
              <w:right w:val="nil"/>
            </w:tcBorders>
            <w:shd w:val="clear" w:color="auto" w:fill="auto"/>
            <w:noWrap/>
            <w:vAlign w:val="bottom"/>
            <w:hideMark/>
          </w:tcPr>
          <w:p w:rsidR="00CE2330" w:rsidRPr="003F52FE" w:rsidRDefault="00FE01C7"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-1.</w:t>
            </w:r>
            <w:r w:rsidR="00CE2330" w:rsidRPr="003F52FE">
              <w:rPr>
                <w:rFonts w:eastAsia="Times New Roman"/>
                <w:color w:val="000000" w:themeColor="text1"/>
                <w:sz w:val="22"/>
                <w:szCs w:val="22"/>
              </w:rPr>
              <w:t>02</w:t>
            </w:r>
          </w:p>
        </w:tc>
        <w:tc>
          <w:tcPr>
            <w:tcW w:w="1676" w:type="dxa"/>
            <w:tcBorders>
              <w:top w:val="nil"/>
              <w:left w:val="nil"/>
              <w:bottom w:val="nil"/>
              <w:right w:val="nil"/>
            </w:tcBorders>
            <w:shd w:val="clear" w:color="auto" w:fill="auto"/>
            <w:noWrap/>
            <w:vAlign w:val="bottom"/>
            <w:hideMark/>
          </w:tcPr>
          <w:p w:rsidR="00CE2330" w:rsidRPr="003F52FE" w:rsidRDefault="00FE01C7"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-0.</w:t>
            </w:r>
            <w:r w:rsidR="00CE2330" w:rsidRPr="003F52FE">
              <w:rPr>
                <w:rFonts w:eastAsia="Times New Roman"/>
                <w:color w:val="000000" w:themeColor="text1"/>
                <w:sz w:val="22"/>
                <w:szCs w:val="22"/>
              </w:rPr>
              <w:t>93</w:t>
            </w:r>
          </w:p>
        </w:tc>
        <w:tc>
          <w:tcPr>
            <w:tcW w:w="1676" w:type="dxa"/>
            <w:tcBorders>
              <w:top w:val="nil"/>
              <w:left w:val="nil"/>
              <w:bottom w:val="nil"/>
              <w:right w:val="nil"/>
            </w:tcBorders>
            <w:shd w:val="clear" w:color="auto" w:fill="auto"/>
            <w:noWrap/>
            <w:vAlign w:val="bottom"/>
            <w:hideMark/>
          </w:tcPr>
          <w:p w:rsidR="00CE2330" w:rsidRPr="003F52FE" w:rsidRDefault="00FE01C7"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-0.</w:t>
            </w:r>
            <w:r w:rsidR="00CE2330" w:rsidRPr="003F52FE">
              <w:rPr>
                <w:rFonts w:eastAsia="Times New Roman"/>
                <w:color w:val="000000" w:themeColor="text1"/>
                <w:sz w:val="22"/>
                <w:szCs w:val="22"/>
              </w:rPr>
              <w:t>08</w:t>
            </w:r>
          </w:p>
        </w:tc>
      </w:tr>
      <w:tr w:rsidR="00CE2330" w:rsidRPr="003F52FE" w:rsidTr="00CE2330">
        <w:trPr>
          <w:trHeight w:val="300"/>
          <w:jc w:val="center"/>
        </w:trPr>
        <w:tc>
          <w:tcPr>
            <w:tcW w:w="1676" w:type="dxa"/>
            <w:tcBorders>
              <w:top w:val="nil"/>
              <w:left w:val="nil"/>
              <w:bottom w:val="nil"/>
              <w:right w:val="nil"/>
            </w:tcBorders>
            <w:shd w:val="clear" w:color="auto" w:fill="auto"/>
            <w:noWrap/>
            <w:vAlign w:val="bottom"/>
            <w:hideMark/>
          </w:tcPr>
          <w:p w:rsidR="00CE2330" w:rsidRPr="003F52FE" w:rsidRDefault="00CE2330"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1980-1989</w:t>
            </w:r>
          </w:p>
        </w:tc>
        <w:tc>
          <w:tcPr>
            <w:tcW w:w="1676" w:type="dxa"/>
            <w:tcBorders>
              <w:top w:val="nil"/>
              <w:left w:val="nil"/>
              <w:bottom w:val="nil"/>
              <w:right w:val="nil"/>
            </w:tcBorders>
            <w:shd w:val="clear" w:color="auto" w:fill="auto"/>
            <w:noWrap/>
            <w:vAlign w:val="bottom"/>
            <w:hideMark/>
          </w:tcPr>
          <w:p w:rsidR="00CE2330" w:rsidRPr="003F52FE" w:rsidRDefault="00FE01C7"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3.</w:t>
            </w:r>
            <w:r w:rsidR="00CE2330" w:rsidRPr="003F52FE">
              <w:rPr>
                <w:rFonts w:eastAsia="Times New Roman"/>
                <w:color w:val="000000" w:themeColor="text1"/>
                <w:sz w:val="22"/>
                <w:szCs w:val="22"/>
              </w:rPr>
              <w:t>17</w:t>
            </w:r>
          </w:p>
        </w:tc>
        <w:tc>
          <w:tcPr>
            <w:tcW w:w="1676" w:type="dxa"/>
            <w:tcBorders>
              <w:top w:val="nil"/>
              <w:left w:val="nil"/>
              <w:bottom w:val="nil"/>
              <w:right w:val="nil"/>
            </w:tcBorders>
            <w:shd w:val="clear" w:color="auto" w:fill="auto"/>
            <w:noWrap/>
            <w:vAlign w:val="bottom"/>
            <w:hideMark/>
          </w:tcPr>
          <w:p w:rsidR="00CE2330" w:rsidRPr="003F52FE" w:rsidRDefault="00FE01C7"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3.</w:t>
            </w:r>
            <w:r w:rsidR="00CE2330" w:rsidRPr="003F52FE">
              <w:rPr>
                <w:rFonts w:eastAsia="Times New Roman"/>
                <w:color w:val="000000" w:themeColor="text1"/>
                <w:sz w:val="22"/>
                <w:szCs w:val="22"/>
              </w:rPr>
              <w:t>96</w:t>
            </w:r>
          </w:p>
        </w:tc>
        <w:tc>
          <w:tcPr>
            <w:tcW w:w="1676" w:type="dxa"/>
            <w:tcBorders>
              <w:top w:val="nil"/>
              <w:left w:val="nil"/>
              <w:bottom w:val="nil"/>
              <w:right w:val="nil"/>
            </w:tcBorders>
            <w:shd w:val="clear" w:color="auto" w:fill="auto"/>
            <w:noWrap/>
            <w:vAlign w:val="bottom"/>
            <w:hideMark/>
          </w:tcPr>
          <w:p w:rsidR="00CE2330" w:rsidRPr="003F52FE" w:rsidRDefault="00FE01C7"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-0.</w:t>
            </w:r>
            <w:r w:rsidR="00CE2330" w:rsidRPr="003F52FE">
              <w:rPr>
                <w:rFonts w:eastAsia="Times New Roman"/>
                <w:color w:val="000000" w:themeColor="text1"/>
                <w:sz w:val="22"/>
                <w:szCs w:val="22"/>
              </w:rPr>
              <w:t>79</w:t>
            </w:r>
          </w:p>
        </w:tc>
      </w:tr>
      <w:tr w:rsidR="00CE2330" w:rsidRPr="003F52FE" w:rsidTr="00CE2330">
        <w:trPr>
          <w:trHeight w:val="300"/>
          <w:jc w:val="center"/>
        </w:trPr>
        <w:tc>
          <w:tcPr>
            <w:tcW w:w="1676" w:type="dxa"/>
            <w:tcBorders>
              <w:top w:val="nil"/>
              <w:left w:val="nil"/>
              <w:bottom w:val="nil"/>
              <w:right w:val="nil"/>
            </w:tcBorders>
            <w:shd w:val="clear" w:color="auto" w:fill="auto"/>
            <w:noWrap/>
            <w:vAlign w:val="bottom"/>
            <w:hideMark/>
          </w:tcPr>
          <w:p w:rsidR="00CE2330" w:rsidRPr="003F52FE" w:rsidRDefault="00CE2330"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1989-2003</w:t>
            </w:r>
          </w:p>
        </w:tc>
        <w:tc>
          <w:tcPr>
            <w:tcW w:w="1676" w:type="dxa"/>
            <w:tcBorders>
              <w:top w:val="nil"/>
              <w:left w:val="nil"/>
              <w:bottom w:val="nil"/>
              <w:right w:val="nil"/>
            </w:tcBorders>
            <w:shd w:val="clear" w:color="auto" w:fill="auto"/>
            <w:noWrap/>
            <w:vAlign w:val="bottom"/>
            <w:hideMark/>
          </w:tcPr>
          <w:p w:rsidR="00CE2330" w:rsidRPr="003F52FE" w:rsidRDefault="00FE01C7"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-7.</w:t>
            </w:r>
            <w:r w:rsidR="00CE2330" w:rsidRPr="003F52FE">
              <w:rPr>
                <w:rFonts w:eastAsia="Times New Roman"/>
                <w:color w:val="000000" w:themeColor="text1"/>
                <w:sz w:val="22"/>
                <w:szCs w:val="22"/>
              </w:rPr>
              <w:t>67</w:t>
            </w:r>
          </w:p>
        </w:tc>
        <w:tc>
          <w:tcPr>
            <w:tcW w:w="1676" w:type="dxa"/>
            <w:tcBorders>
              <w:top w:val="nil"/>
              <w:left w:val="nil"/>
              <w:bottom w:val="nil"/>
              <w:right w:val="nil"/>
            </w:tcBorders>
            <w:shd w:val="clear" w:color="auto" w:fill="auto"/>
            <w:noWrap/>
            <w:vAlign w:val="bottom"/>
            <w:hideMark/>
          </w:tcPr>
          <w:p w:rsidR="00CE2330" w:rsidRPr="003F52FE" w:rsidRDefault="00FE01C7"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-8.</w:t>
            </w:r>
            <w:r w:rsidR="00CE2330" w:rsidRPr="003F52FE">
              <w:rPr>
                <w:rFonts w:eastAsia="Times New Roman"/>
                <w:color w:val="000000" w:themeColor="text1"/>
                <w:sz w:val="22"/>
                <w:szCs w:val="22"/>
              </w:rPr>
              <w:t>31</w:t>
            </w:r>
          </w:p>
        </w:tc>
        <w:tc>
          <w:tcPr>
            <w:tcW w:w="1676" w:type="dxa"/>
            <w:tcBorders>
              <w:top w:val="nil"/>
              <w:left w:val="nil"/>
              <w:bottom w:val="nil"/>
              <w:right w:val="nil"/>
            </w:tcBorders>
            <w:shd w:val="clear" w:color="auto" w:fill="auto"/>
            <w:noWrap/>
            <w:vAlign w:val="bottom"/>
            <w:hideMark/>
          </w:tcPr>
          <w:p w:rsidR="00CE2330" w:rsidRPr="003F52FE" w:rsidRDefault="00FE01C7"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0.</w:t>
            </w:r>
            <w:r w:rsidR="00CE2330" w:rsidRPr="003F52FE">
              <w:rPr>
                <w:rFonts w:eastAsia="Times New Roman"/>
                <w:color w:val="000000" w:themeColor="text1"/>
                <w:sz w:val="22"/>
                <w:szCs w:val="22"/>
              </w:rPr>
              <w:t>65</w:t>
            </w:r>
          </w:p>
        </w:tc>
      </w:tr>
      <w:tr w:rsidR="00CE2330" w:rsidRPr="003F52FE" w:rsidTr="00CE2330">
        <w:trPr>
          <w:trHeight w:val="300"/>
          <w:jc w:val="center"/>
        </w:trPr>
        <w:tc>
          <w:tcPr>
            <w:tcW w:w="1676" w:type="dxa"/>
            <w:tcBorders>
              <w:top w:val="nil"/>
              <w:left w:val="nil"/>
              <w:bottom w:val="nil"/>
              <w:right w:val="nil"/>
            </w:tcBorders>
            <w:shd w:val="clear" w:color="auto" w:fill="auto"/>
            <w:noWrap/>
            <w:vAlign w:val="bottom"/>
            <w:hideMark/>
          </w:tcPr>
          <w:p w:rsidR="00CE2330" w:rsidRPr="003F52FE" w:rsidRDefault="00CE2330"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1989-1994</w:t>
            </w:r>
          </w:p>
        </w:tc>
        <w:tc>
          <w:tcPr>
            <w:tcW w:w="1676" w:type="dxa"/>
            <w:tcBorders>
              <w:top w:val="nil"/>
              <w:left w:val="nil"/>
              <w:bottom w:val="nil"/>
              <w:right w:val="nil"/>
            </w:tcBorders>
            <w:shd w:val="clear" w:color="auto" w:fill="auto"/>
            <w:noWrap/>
            <w:vAlign w:val="bottom"/>
            <w:hideMark/>
          </w:tcPr>
          <w:p w:rsidR="00CE2330" w:rsidRPr="003F52FE" w:rsidRDefault="00FE01C7"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6.</w:t>
            </w:r>
            <w:r w:rsidR="00CE2330" w:rsidRPr="003F52FE">
              <w:rPr>
                <w:rFonts w:eastAsia="Times New Roman"/>
                <w:color w:val="000000" w:themeColor="text1"/>
                <w:sz w:val="22"/>
                <w:szCs w:val="22"/>
              </w:rPr>
              <w:t>03</w:t>
            </w:r>
          </w:p>
        </w:tc>
        <w:tc>
          <w:tcPr>
            <w:tcW w:w="1676" w:type="dxa"/>
            <w:tcBorders>
              <w:top w:val="nil"/>
              <w:left w:val="nil"/>
              <w:bottom w:val="nil"/>
              <w:right w:val="nil"/>
            </w:tcBorders>
            <w:shd w:val="clear" w:color="auto" w:fill="auto"/>
            <w:noWrap/>
            <w:vAlign w:val="bottom"/>
            <w:hideMark/>
          </w:tcPr>
          <w:p w:rsidR="00CE2330" w:rsidRPr="003F52FE" w:rsidRDefault="00FE01C7"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5.</w:t>
            </w:r>
            <w:r w:rsidR="00CE2330" w:rsidRPr="003F52FE">
              <w:rPr>
                <w:rFonts w:eastAsia="Times New Roman"/>
                <w:color w:val="000000" w:themeColor="text1"/>
                <w:sz w:val="22"/>
                <w:szCs w:val="22"/>
              </w:rPr>
              <w:t>87</w:t>
            </w:r>
          </w:p>
        </w:tc>
        <w:tc>
          <w:tcPr>
            <w:tcW w:w="1676" w:type="dxa"/>
            <w:tcBorders>
              <w:top w:val="nil"/>
              <w:left w:val="nil"/>
              <w:bottom w:val="nil"/>
              <w:right w:val="nil"/>
            </w:tcBorders>
            <w:shd w:val="clear" w:color="auto" w:fill="auto"/>
            <w:noWrap/>
            <w:vAlign w:val="bottom"/>
            <w:hideMark/>
          </w:tcPr>
          <w:p w:rsidR="00CE2330" w:rsidRPr="003F52FE" w:rsidRDefault="00FE01C7"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0.</w:t>
            </w:r>
            <w:r w:rsidR="00CE2330" w:rsidRPr="003F52FE">
              <w:rPr>
                <w:rFonts w:eastAsia="Times New Roman"/>
                <w:color w:val="000000" w:themeColor="text1"/>
                <w:sz w:val="22"/>
                <w:szCs w:val="22"/>
              </w:rPr>
              <w:t>16</w:t>
            </w:r>
          </w:p>
        </w:tc>
      </w:tr>
      <w:tr w:rsidR="00CE2330" w:rsidRPr="003F52FE" w:rsidTr="00CE2330">
        <w:trPr>
          <w:trHeight w:val="300"/>
          <w:jc w:val="center"/>
        </w:trPr>
        <w:tc>
          <w:tcPr>
            <w:tcW w:w="1676" w:type="dxa"/>
            <w:tcBorders>
              <w:top w:val="nil"/>
              <w:left w:val="nil"/>
              <w:bottom w:val="nil"/>
              <w:right w:val="nil"/>
            </w:tcBorders>
            <w:shd w:val="clear" w:color="auto" w:fill="auto"/>
            <w:noWrap/>
            <w:vAlign w:val="bottom"/>
            <w:hideMark/>
          </w:tcPr>
          <w:p w:rsidR="00CE2330" w:rsidRPr="003F52FE" w:rsidRDefault="00CE2330"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1994-2003</w:t>
            </w:r>
          </w:p>
        </w:tc>
        <w:tc>
          <w:tcPr>
            <w:tcW w:w="1676" w:type="dxa"/>
            <w:tcBorders>
              <w:top w:val="nil"/>
              <w:left w:val="nil"/>
              <w:bottom w:val="nil"/>
              <w:right w:val="nil"/>
            </w:tcBorders>
            <w:shd w:val="clear" w:color="auto" w:fill="auto"/>
            <w:noWrap/>
            <w:vAlign w:val="bottom"/>
            <w:hideMark/>
          </w:tcPr>
          <w:p w:rsidR="00CE2330" w:rsidRPr="003F52FE" w:rsidRDefault="00FE01C7"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-15.</w:t>
            </w:r>
            <w:r w:rsidR="00CE2330" w:rsidRPr="003F52FE">
              <w:rPr>
                <w:rFonts w:eastAsia="Times New Roman"/>
                <w:color w:val="000000" w:themeColor="text1"/>
                <w:sz w:val="22"/>
                <w:szCs w:val="22"/>
              </w:rPr>
              <w:t>27</w:t>
            </w:r>
          </w:p>
        </w:tc>
        <w:tc>
          <w:tcPr>
            <w:tcW w:w="1676" w:type="dxa"/>
            <w:tcBorders>
              <w:top w:val="nil"/>
              <w:left w:val="nil"/>
              <w:bottom w:val="nil"/>
              <w:right w:val="nil"/>
            </w:tcBorders>
            <w:shd w:val="clear" w:color="auto" w:fill="auto"/>
            <w:noWrap/>
            <w:vAlign w:val="bottom"/>
            <w:hideMark/>
          </w:tcPr>
          <w:p w:rsidR="00CE2330" w:rsidRPr="003F52FE" w:rsidRDefault="00FE01C7"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-16.</w:t>
            </w:r>
            <w:r w:rsidR="00CE2330" w:rsidRPr="003F52FE">
              <w:rPr>
                <w:rFonts w:eastAsia="Times New Roman"/>
                <w:color w:val="000000" w:themeColor="text1"/>
                <w:sz w:val="22"/>
                <w:szCs w:val="22"/>
              </w:rPr>
              <w:t>19</w:t>
            </w:r>
          </w:p>
        </w:tc>
        <w:tc>
          <w:tcPr>
            <w:tcW w:w="1676" w:type="dxa"/>
            <w:tcBorders>
              <w:top w:val="nil"/>
              <w:left w:val="nil"/>
              <w:bottom w:val="nil"/>
              <w:right w:val="nil"/>
            </w:tcBorders>
            <w:shd w:val="clear" w:color="auto" w:fill="auto"/>
            <w:noWrap/>
            <w:vAlign w:val="bottom"/>
            <w:hideMark/>
          </w:tcPr>
          <w:p w:rsidR="00CE2330" w:rsidRPr="003F52FE" w:rsidRDefault="00FE01C7"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0.</w:t>
            </w:r>
            <w:r w:rsidR="00CE2330" w:rsidRPr="003F52FE">
              <w:rPr>
                <w:rFonts w:eastAsia="Times New Roman"/>
                <w:color w:val="000000" w:themeColor="text1"/>
                <w:sz w:val="22"/>
                <w:szCs w:val="22"/>
              </w:rPr>
              <w:t>91</w:t>
            </w:r>
          </w:p>
        </w:tc>
      </w:tr>
      <w:tr w:rsidR="00CE2330" w:rsidRPr="003F52FE" w:rsidTr="00CE2330">
        <w:trPr>
          <w:trHeight w:val="300"/>
          <w:jc w:val="center"/>
        </w:trPr>
        <w:tc>
          <w:tcPr>
            <w:tcW w:w="1676" w:type="dxa"/>
            <w:tcBorders>
              <w:top w:val="nil"/>
              <w:left w:val="nil"/>
              <w:bottom w:val="single" w:sz="4" w:space="0" w:color="auto"/>
              <w:right w:val="nil"/>
            </w:tcBorders>
            <w:shd w:val="clear" w:color="auto" w:fill="auto"/>
            <w:noWrap/>
            <w:vAlign w:val="bottom"/>
            <w:hideMark/>
          </w:tcPr>
          <w:p w:rsidR="00CE2330" w:rsidRPr="003F52FE" w:rsidRDefault="00CE2330"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2003-2008</w:t>
            </w:r>
          </w:p>
        </w:tc>
        <w:tc>
          <w:tcPr>
            <w:tcW w:w="1676" w:type="dxa"/>
            <w:tcBorders>
              <w:top w:val="nil"/>
              <w:left w:val="nil"/>
              <w:bottom w:val="single" w:sz="4" w:space="0" w:color="auto"/>
              <w:right w:val="nil"/>
            </w:tcBorders>
            <w:shd w:val="clear" w:color="auto" w:fill="auto"/>
            <w:noWrap/>
            <w:vAlign w:val="bottom"/>
            <w:hideMark/>
          </w:tcPr>
          <w:p w:rsidR="00CE2330" w:rsidRPr="003F52FE" w:rsidRDefault="00FE01C7"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-4.</w:t>
            </w:r>
            <w:r w:rsidR="00CE2330" w:rsidRPr="003F52FE">
              <w:rPr>
                <w:rFonts w:eastAsia="Times New Roman"/>
                <w:color w:val="000000" w:themeColor="text1"/>
                <w:sz w:val="22"/>
                <w:szCs w:val="22"/>
              </w:rPr>
              <w:t>07</w:t>
            </w:r>
          </w:p>
        </w:tc>
        <w:tc>
          <w:tcPr>
            <w:tcW w:w="1676" w:type="dxa"/>
            <w:tcBorders>
              <w:top w:val="nil"/>
              <w:left w:val="nil"/>
              <w:bottom w:val="single" w:sz="4" w:space="0" w:color="auto"/>
              <w:right w:val="nil"/>
            </w:tcBorders>
            <w:shd w:val="clear" w:color="auto" w:fill="auto"/>
            <w:noWrap/>
            <w:vAlign w:val="bottom"/>
            <w:hideMark/>
          </w:tcPr>
          <w:p w:rsidR="00CE2330" w:rsidRPr="003F52FE" w:rsidRDefault="00FE01C7"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-3.</w:t>
            </w:r>
            <w:r w:rsidR="00CE2330" w:rsidRPr="003F52FE">
              <w:rPr>
                <w:rFonts w:eastAsia="Times New Roman"/>
                <w:color w:val="000000" w:themeColor="text1"/>
                <w:sz w:val="22"/>
                <w:szCs w:val="22"/>
              </w:rPr>
              <w:t>30</w:t>
            </w:r>
          </w:p>
        </w:tc>
        <w:tc>
          <w:tcPr>
            <w:tcW w:w="1676" w:type="dxa"/>
            <w:tcBorders>
              <w:top w:val="nil"/>
              <w:left w:val="nil"/>
              <w:bottom w:val="single" w:sz="4" w:space="0" w:color="auto"/>
              <w:right w:val="nil"/>
            </w:tcBorders>
            <w:shd w:val="clear" w:color="auto" w:fill="auto"/>
            <w:noWrap/>
            <w:vAlign w:val="bottom"/>
            <w:hideMark/>
          </w:tcPr>
          <w:p w:rsidR="00CE2330" w:rsidRPr="003F52FE" w:rsidRDefault="00FE01C7"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-0.</w:t>
            </w:r>
            <w:r w:rsidR="00CE2330" w:rsidRPr="003F52FE">
              <w:rPr>
                <w:rFonts w:eastAsia="Times New Roman"/>
                <w:color w:val="000000" w:themeColor="text1"/>
                <w:sz w:val="22"/>
                <w:szCs w:val="22"/>
              </w:rPr>
              <w:t>77</w:t>
            </w:r>
          </w:p>
        </w:tc>
      </w:tr>
    </w:tbl>
    <w:p w:rsidR="001D11EC" w:rsidRPr="003F52FE" w:rsidRDefault="00552C5F" w:rsidP="0083766B">
      <w:pPr>
        <w:ind w:firstLine="720"/>
        <w:jc w:val="both"/>
        <w:rPr>
          <w:color w:val="000000" w:themeColor="text1"/>
          <w:sz w:val="22"/>
          <w:lang w:val="en-US"/>
        </w:rPr>
      </w:pPr>
      <w:r w:rsidRPr="003F52FE">
        <w:rPr>
          <w:color w:val="000000" w:themeColor="text1"/>
          <w:sz w:val="22"/>
          <w:lang w:val="en-US"/>
        </w:rPr>
        <w:t xml:space="preserve">    </w:t>
      </w:r>
      <w:r w:rsidR="007D06C2" w:rsidRPr="003F52FE">
        <w:rPr>
          <w:color w:val="000000" w:themeColor="text1"/>
          <w:sz w:val="22"/>
          <w:lang w:val="en-US"/>
        </w:rPr>
        <w:t>Source: Appendix</w:t>
      </w:r>
    </w:p>
    <w:p w:rsidR="000F21F3" w:rsidRPr="003F52FE" w:rsidRDefault="000F21F3" w:rsidP="0083766B">
      <w:pPr>
        <w:jc w:val="both"/>
        <w:rPr>
          <w:color w:val="000000" w:themeColor="text1"/>
          <w:lang w:val="en-US"/>
        </w:rPr>
      </w:pPr>
    </w:p>
    <w:p w:rsidR="007A51AB" w:rsidRDefault="00A70EF1" w:rsidP="0083766B">
      <w:pPr>
        <w:jc w:val="both"/>
        <w:rPr>
          <w:color w:val="000000" w:themeColor="text1"/>
          <w:lang w:val="en-US"/>
        </w:rPr>
      </w:pPr>
      <w:r w:rsidRPr="003F52FE">
        <w:rPr>
          <w:color w:val="000000" w:themeColor="text1"/>
          <w:lang w:val="en-US"/>
        </w:rPr>
        <w:tab/>
        <w:t xml:space="preserve">Table 3 displays the decomposition of the output capital ratio into inflation rate, real GDP growth </w:t>
      </w:r>
      <w:r w:rsidR="004A2738" w:rsidRPr="003F52FE">
        <w:rPr>
          <w:color w:val="000000" w:themeColor="text1"/>
          <w:lang w:val="en-US"/>
        </w:rPr>
        <w:t xml:space="preserve">rate and capital accumulation </w:t>
      </w:r>
      <w:r w:rsidR="00933773" w:rsidRPr="003F52FE">
        <w:rPr>
          <w:color w:val="000000" w:themeColor="text1"/>
          <w:lang w:val="en-US"/>
        </w:rPr>
        <w:t>at</w:t>
      </w:r>
      <w:r w:rsidRPr="003F52FE">
        <w:rPr>
          <w:color w:val="000000" w:themeColor="text1"/>
          <w:lang w:val="en-US"/>
        </w:rPr>
        <w:t xml:space="preserve"> historical cost</w:t>
      </w:r>
      <w:r w:rsidR="004A2738" w:rsidRPr="003F52FE">
        <w:rPr>
          <w:color w:val="000000" w:themeColor="text1"/>
          <w:lang w:val="en-US"/>
        </w:rPr>
        <w:t>s</w:t>
      </w:r>
      <w:r w:rsidRPr="003F52FE">
        <w:rPr>
          <w:color w:val="000000" w:themeColor="text1"/>
          <w:lang w:val="en-US"/>
        </w:rPr>
        <w:t>. The inflation rate and capital accumulation</w:t>
      </w:r>
      <w:r w:rsidR="004A2738" w:rsidRPr="003F52FE">
        <w:rPr>
          <w:color w:val="000000" w:themeColor="text1"/>
          <w:lang w:val="en-US"/>
        </w:rPr>
        <w:t xml:space="preserve"> </w:t>
      </w:r>
      <w:r w:rsidR="00933773" w:rsidRPr="003F52FE">
        <w:rPr>
          <w:color w:val="000000" w:themeColor="text1"/>
          <w:lang w:val="en-US"/>
        </w:rPr>
        <w:t>at</w:t>
      </w:r>
      <w:r w:rsidRPr="003F52FE">
        <w:rPr>
          <w:color w:val="000000" w:themeColor="text1"/>
          <w:lang w:val="en-US"/>
        </w:rPr>
        <w:t xml:space="preserve"> historical cost</w:t>
      </w:r>
      <w:r w:rsidR="004A2738" w:rsidRPr="003F52FE">
        <w:rPr>
          <w:color w:val="000000" w:themeColor="text1"/>
          <w:lang w:val="en-US"/>
        </w:rPr>
        <w:t>s</w:t>
      </w:r>
      <w:r w:rsidRPr="003F52FE">
        <w:rPr>
          <w:color w:val="000000" w:themeColor="text1"/>
          <w:lang w:val="en-US"/>
        </w:rPr>
        <w:t xml:space="preserve"> were the main determinant variable</w:t>
      </w:r>
      <w:r w:rsidR="004A2738" w:rsidRPr="003F52FE">
        <w:rPr>
          <w:color w:val="000000" w:themeColor="text1"/>
          <w:lang w:val="en-US"/>
        </w:rPr>
        <w:t xml:space="preserve">s of the output capital ratio </w:t>
      </w:r>
      <w:r w:rsidR="00933773" w:rsidRPr="003F52FE">
        <w:rPr>
          <w:color w:val="000000" w:themeColor="text1"/>
          <w:lang w:val="en-US"/>
        </w:rPr>
        <w:t>at</w:t>
      </w:r>
      <w:r w:rsidRPr="003F52FE">
        <w:rPr>
          <w:color w:val="000000" w:themeColor="text1"/>
          <w:lang w:val="en-US"/>
        </w:rPr>
        <w:t xml:space="preserve"> historical cost</w:t>
      </w:r>
      <w:r w:rsidR="004A2738" w:rsidRPr="003F52FE">
        <w:rPr>
          <w:color w:val="000000" w:themeColor="text1"/>
          <w:lang w:val="en-US"/>
        </w:rPr>
        <w:t>s</w:t>
      </w:r>
      <w:r w:rsidRPr="003F52FE">
        <w:rPr>
          <w:color w:val="000000" w:themeColor="text1"/>
          <w:lang w:val="en-US"/>
        </w:rPr>
        <w:t xml:space="preserve">. </w:t>
      </w:r>
      <w:r w:rsidR="00BB5347" w:rsidRPr="003F52FE">
        <w:rPr>
          <w:color w:val="000000" w:themeColor="text1"/>
          <w:lang w:val="en-US"/>
        </w:rPr>
        <w:t>The r</w:t>
      </w:r>
      <w:r w:rsidRPr="003F52FE">
        <w:rPr>
          <w:color w:val="000000" w:themeColor="text1"/>
          <w:lang w:val="en-US"/>
        </w:rPr>
        <w:t xml:space="preserve">eal GDP growth rate </w:t>
      </w:r>
      <w:r w:rsidR="00BB5347" w:rsidRPr="003F52FE">
        <w:rPr>
          <w:color w:val="000000" w:themeColor="text1"/>
          <w:lang w:val="en-US"/>
        </w:rPr>
        <w:t xml:space="preserve">had </w:t>
      </w:r>
      <w:r w:rsidRPr="003F52FE">
        <w:rPr>
          <w:color w:val="000000" w:themeColor="text1"/>
          <w:lang w:val="en-US"/>
        </w:rPr>
        <w:t>a minor role in the definition of the output c</w:t>
      </w:r>
      <w:r w:rsidR="004A2738" w:rsidRPr="003F52FE">
        <w:rPr>
          <w:color w:val="000000" w:themeColor="text1"/>
          <w:lang w:val="en-US"/>
        </w:rPr>
        <w:t xml:space="preserve">apital ratio </w:t>
      </w:r>
      <w:r w:rsidR="00933773" w:rsidRPr="003F52FE">
        <w:rPr>
          <w:color w:val="000000" w:themeColor="text1"/>
          <w:lang w:val="en-US"/>
        </w:rPr>
        <w:t>at</w:t>
      </w:r>
      <w:r w:rsidR="00BB5347" w:rsidRPr="003F52FE">
        <w:rPr>
          <w:color w:val="000000" w:themeColor="text1"/>
          <w:lang w:val="en-US"/>
        </w:rPr>
        <w:t xml:space="preserve"> historical cost</w:t>
      </w:r>
      <w:r w:rsidR="004A2738" w:rsidRPr="003F52FE">
        <w:rPr>
          <w:color w:val="000000" w:themeColor="text1"/>
          <w:lang w:val="en-US"/>
        </w:rPr>
        <w:t>s</w:t>
      </w:r>
      <w:r w:rsidR="00BB5347" w:rsidRPr="003F52FE">
        <w:rPr>
          <w:color w:val="000000" w:themeColor="text1"/>
          <w:lang w:val="en-US"/>
        </w:rPr>
        <w:t xml:space="preserve">, particularly after 1980. </w:t>
      </w:r>
    </w:p>
    <w:p w:rsidR="0083766B" w:rsidRDefault="0083766B" w:rsidP="0083766B">
      <w:pPr>
        <w:jc w:val="both"/>
        <w:rPr>
          <w:color w:val="000000" w:themeColor="text1"/>
          <w:lang w:val="en-US"/>
        </w:rPr>
      </w:pPr>
    </w:p>
    <w:p w:rsidR="0083766B" w:rsidRDefault="0083766B" w:rsidP="0083766B">
      <w:pPr>
        <w:jc w:val="both"/>
        <w:rPr>
          <w:color w:val="000000" w:themeColor="text1"/>
          <w:lang w:val="en-US"/>
        </w:rPr>
      </w:pPr>
    </w:p>
    <w:p w:rsidR="0083766B" w:rsidRDefault="0083766B" w:rsidP="0083766B">
      <w:pPr>
        <w:jc w:val="both"/>
        <w:rPr>
          <w:color w:val="000000" w:themeColor="text1"/>
          <w:lang w:val="en-US"/>
        </w:rPr>
      </w:pPr>
    </w:p>
    <w:p w:rsidR="0083766B" w:rsidRDefault="0083766B" w:rsidP="0083766B">
      <w:pPr>
        <w:jc w:val="both"/>
        <w:rPr>
          <w:color w:val="000000" w:themeColor="text1"/>
          <w:lang w:val="en-US"/>
        </w:rPr>
      </w:pPr>
    </w:p>
    <w:p w:rsidR="0083766B" w:rsidRDefault="0083766B" w:rsidP="0083766B">
      <w:pPr>
        <w:jc w:val="both"/>
        <w:rPr>
          <w:color w:val="000000" w:themeColor="text1"/>
          <w:lang w:val="en-US"/>
        </w:rPr>
      </w:pPr>
    </w:p>
    <w:p w:rsidR="0083766B" w:rsidRDefault="0083766B" w:rsidP="0083766B">
      <w:pPr>
        <w:jc w:val="both"/>
        <w:rPr>
          <w:color w:val="000000" w:themeColor="text1"/>
          <w:lang w:val="en-US"/>
        </w:rPr>
      </w:pPr>
    </w:p>
    <w:p w:rsidR="004D7B34" w:rsidRPr="003F52FE" w:rsidRDefault="004D7B34" w:rsidP="0083766B">
      <w:pPr>
        <w:jc w:val="both"/>
        <w:rPr>
          <w:color w:val="000000" w:themeColor="text1"/>
          <w:lang w:val="en-US"/>
        </w:rPr>
      </w:pPr>
    </w:p>
    <w:p w:rsidR="0031358B" w:rsidRPr="003F52FE" w:rsidRDefault="0031358B" w:rsidP="0083766B">
      <w:pPr>
        <w:jc w:val="center"/>
        <w:rPr>
          <w:color w:val="000000" w:themeColor="text1"/>
          <w:sz w:val="22"/>
          <w:lang w:val="en-US"/>
        </w:rPr>
      </w:pPr>
      <w:proofErr w:type="gramStart"/>
      <w:r w:rsidRPr="003F52FE">
        <w:rPr>
          <w:color w:val="000000" w:themeColor="text1"/>
          <w:sz w:val="22"/>
          <w:lang w:val="en-US"/>
        </w:rPr>
        <w:lastRenderedPageBreak/>
        <w:t>Table 3.</w:t>
      </w:r>
      <w:proofErr w:type="gramEnd"/>
      <w:r w:rsidRPr="003F52FE">
        <w:rPr>
          <w:color w:val="000000" w:themeColor="text1"/>
          <w:sz w:val="22"/>
          <w:lang w:val="en-US"/>
        </w:rPr>
        <w:t xml:space="preserve"> Decompositio</w:t>
      </w:r>
      <w:r w:rsidR="004A2738" w:rsidRPr="003F52FE">
        <w:rPr>
          <w:color w:val="000000" w:themeColor="text1"/>
          <w:sz w:val="22"/>
          <w:lang w:val="en-US"/>
        </w:rPr>
        <w:t xml:space="preserve">n of the output-capital ratio </w:t>
      </w:r>
      <w:r w:rsidR="00933773" w:rsidRPr="003F52FE">
        <w:rPr>
          <w:color w:val="000000" w:themeColor="text1"/>
          <w:sz w:val="22"/>
          <w:lang w:val="en-US"/>
        </w:rPr>
        <w:t>at</w:t>
      </w:r>
      <w:r w:rsidRPr="003F52FE">
        <w:rPr>
          <w:color w:val="000000" w:themeColor="text1"/>
          <w:sz w:val="22"/>
          <w:lang w:val="en-US"/>
        </w:rPr>
        <w:t xml:space="preserve"> historical prices, Brazil, 1955-</w:t>
      </w:r>
      <w:proofErr w:type="gramStart"/>
      <w:r w:rsidRPr="003F52FE">
        <w:rPr>
          <w:color w:val="000000" w:themeColor="text1"/>
          <w:sz w:val="22"/>
          <w:lang w:val="en-US"/>
        </w:rPr>
        <w:t>2008  (</w:t>
      </w:r>
      <w:proofErr w:type="gramEnd"/>
      <w:r w:rsidRPr="003F52FE">
        <w:rPr>
          <w:color w:val="000000" w:themeColor="text1"/>
          <w:sz w:val="22"/>
          <w:lang w:val="en-US"/>
        </w:rPr>
        <w:t xml:space="preserve">compound annual growth rate) </w:t>
      </w:r>
    </w:p>
    <w:tbl>
      <w:tblPr>
        <w:tblW w:w="8427" w:type="dxa"/>
        <w:jc w:val="center"/>
        <w:tblInd w:w="-68" w:type="dxa"/>
        <w:tblCellMar>
          <w:left w:w="70" w:type="dxa"/>
          <w:right w:w="70" w:type="dxa"/>
        </w:tblCellMar>
        <w:tblLook w:val="04A0"/>
      </w:tblPr>
      <w:tblGrid>
        <w:gridCol w:w="1787"/>
        <w:gridCol w:w="1660"/>
        <w:gridCol w:w="1660"/>
        <w:gridCol w:w="1660"/>
        <w:gridCol w:w="1660"/>
      </w:tblGrid>
      <w:tr w:rsidR="0031358B" w:rsidRPr="003F52FE" w:rsidTr="00A70EF1">
        <w:trPr>
          <w:trHeight w:val="300"/>
          <w:jc w:val="center"/>
        </w:trPr>
        <w:tc>
          <w:tcPr>
            <w:tcW w:w="1787" w:type="dxa"/>
            <w:tcBorders>
              <w:top w:val="single" w:sz="4" w:space="0" w:color="auto"/>
              <w:left w:val="nil"/>
              <w:bottom w:val="single" w:sz="4" w:space="0" w:color="auto"/>
              <w:right w:val="nil"/>
            </w:tcBorders>
            <w:shd w:val="clear" w:color="auto" w:fill="auto"/>
            <w:noWrap/>
            <w:vAlign w:val="bottom"/>
            <w:hideMark/>
          </w:tcPr>
          <w:p w:rsidR="0031358B" w:rsidRPr="003F52FE" w:rsidRDefault="0031358B" w:rsidP="0083766B">
            <w:pPr>
              <w:widowControl/>
              <w:autoSpaceDE/>
              <w:autoSpaceDN/>
              <w:adjustRightInd/>
              <w:rPr>
                <w:rFonts w:eastAsia="Times New Roman"/>
                <w:color w:val="000000" w:themeColor="text1"/>
              </w:rPr>
            </w:pPr>
            <w:proofErr w:type="spellStart"/>
            <w:r w:rsidRPr="003F52FE">
              <w:rPr>
                <w:rFonts w:eastAsia="Times New Roman"/>
                <w:color w:val="000000" w:themeColor="text1"/>
                <w:sz w:val="22"/>
                <w:szCs w:val="22"/>
              </w:rPr>
              <w:t>Period</w:t>
            </w:r>
            <w:proofErr w:type="spellEnd"/>
          </w:p>
        </w:tc>
        <w:tc>
          <w:tcPr>
            <w:tcW w:w="1660" w:type="dxa"/>
            <w:tcBorders>
              <w:top w:val="single" w:sz="4" w:space="0" w:color="auto"/>
              <w:left w:val="nil"/>
              <w:bottom w:val="single" w:sz="4" w:space="0" w:color="auto"/>
              <w:right w:val="nil"/>
            </w:tcBorders>
            <w:shd w:val="clear" w:color="auto" w:fill="auto"/>
            <w:noWrap/>
            <w:vAlign w:val="bottom"/>
            <w:hideMark/>
          </w:tcPr>
          <w:p w:rsidR="0031358B" w:rsidRPr="003F52FE" w:rsidRDefault="0031358B"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sym w:font="Symbol" w:char="F072"/>
            </w:r>
            <w:r w:rsidRPr="003F52FE">
              <w:rPr>
                <w:rFonts w:eastAsia="Times New Roman"/>
                <w:color w:val="000000" w:themeColor="text1"/>
                <w:sz w:val="22"/>
                <w:szCs w:val="22"/>
                <w:vertAlign w:val="superscript"/>
              </w:rPr>
              <w:t>H</w:t>
            </w:r>
          </w:p>
        </w:tc>
        <w:tc>
          <w:tcPr>
            <w:tcW w:w="1660" w:type="dxa"/>
            <w:tcBorders>
              <w:top w:val="single" w:sz="4" w:space="0" w:color="auto"/>
              <w:left w:val="nil"/>
              <w:bottom w:val="single" w:sz="4" w:space="0" w:color="auto"/>
              <w:right w:val="nil"/>
            </w:tcBorders>
            <w:shd w:val="clear" w:color="auto" w:fill="auto"/>
            <w:noWrap/>
            <w:vAlign w:val="bottom"/>
            <w:hideMark/>
          </w:tcPr>
          <w:p w:rsidR="0031358B" w:rsidRPr="003F52FE" w:rsidRDefault="0031358B"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sym w:font="Symbol" w:char="F068"/>
            </w:r>
            <w:r w:rsidRPr="003F52FE">
              <w:rPr>
                <w:rFonts w:eastAsia="Times New Roman"/>
                <w:color w:val="000000" w:themeColor="text1"/>
                <w:sz w:val="22"/>
                <w:szCs w:val="22"/>
                <w:vertAlign w:val="subscript"/>
              </w:rPr>
              <w:t>X</w:t>
            </w:r>
          </w:p>
        </w:tc>
        <w:tc>
          <w:tcPr>
            <w:tcW w:w="1660" w:type="dxa"/>
            <w:tcBorders>
              <w:top w:val="single" w:sz="4" w:space="0" w:color="auto"/>
              <w:left w:val="nil"/>
              <w:bottom w:val="single" w:sz="4" w:space="0" w:color="auto"/>
              <w:right w:val="nil"/>
            </w:tcBorders>
            <w:shd w:val="clear" w:color="auto" w:fill="auto"/>
            <w:noWrap/>
            <w:vAlign w:val="bottom"/>
            <w:hideMark/>
          </w:tcPr>
          <w:p w:rsidR="0031358B" w:rsidRPr="003F52FE" w:rsidRDefault="0031358B"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X</w:t>
            </w:r>
            <w:r w:rsidRPr="003F52FE">
              <w:rPr>
                <w:rFonts w:eastAsia="Times New Roman"/>
                <w:color w:val="000000" w:themeColor="text1"/>
                <w:sz w:val="22"/>
                <w:szCs w:val="22"/>
                <w:vertAlign w:val="subscript"/>
              </w:rPr>
              <w:t>R</w:t>
            </w:r>
          </w:p>
        </w:tc>
        <w:tc>
          <w:tcPr>
            <w:tcW w:w="1660" w:type="dxa"/>
            <w:tcBorders>
              <w:top w:val="single" w:sz="4" w:space="0" w:color="auto"/>
              <w:left w:val="nil"/>
              <w:bottom w:val="single" w:sz="4" w:space="0" w:color="auto"/>
              <w:right w:val="nil"/>
            </w:tcBorders>
            <w:shd w:val="clear" w:color="auto" w:fill="auto"/>
            <w:noWrap/>
            <w:vAlign w:val="bottom"/>
            <w:hideMark/>
          </w:tcPr>
          <w:p w:rsidR="0031358B" w:rsidRPr="003F52FE" w:rsidRDefault="0031358B"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K</w:t>
            </w:r>
            <w:r w:rsidRPr="003F52FE">
              <w:rPr>
                <w:rFonts w:eastAsia="Times New Roman"/>
                <w:color w:val="000000" w:themeColor="text1"/>
                <w:sz w:val="22"/>
                <w:szCs w:val="22"/>
                <w:vertAlign w:val="subscript"/>
              </w:rPr>
              <w:t>H</w:t>
            </w:r>
          </w:p>
        </w:tc>
      </w:tr>
      <w:tr w:rsidR="0031358B" w:rsidRPr="003F52FE" w:rsidTr="00A70EF1">
        <w:trPr>
          <w:trHeight w:val="300"/>
          <w:jc w:val="center"/>
        </w:trPr>
        <w:tc>
          <w:tcPr>
            <w:tcW w:w="1787" w:type="dxa"/>
            <w:tcBorders>
              <w:top w:val="nil"/>
              <w:left w:val="nil"/>
              <w:bottom w:val="nil"/>
              <w:right w:val="nil"/>
            </w:tcBorders>
            <w:shd w:val="clear" w:color="auto" w:fill="auto"/>
            <w:noWrap/>
            <w:vAlign w:val="bottom"/>
            <w:hideMark/>
          </w:tcPr>
          <w:p w:rsidR="0031358B" w:rsidRPr="003F52FE" w:rsidRDefault="0031358B"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1955-2008</w:t>
            </w:r>
          </w:p>
        </w:tc>
        <w:tc>
          <w:tcPr>
            <w:tcW w:w="1660" w:type="dxa"/>
            <w:tcBorders>
              <w:top w:val="nil"/>
              <w:left w:val="nil"/>
              <w:bottom w:val="nil"/>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-2.</w:t>
            </w:r>
            <w:r w:rsidR="0031358B" w:rsidRPr="003F52FE">
              <w:rPr>
                <w:rFonts w:eastAsia="Times New Roman"/>
                <w:color w:val="000000" w:themeColor="text1"/>
                <w:sz w:val="22"/>
                <w:szCs w:val="22"/>
              </w:rPr>
              <w:t>21</w:t>
            </w:r>
          </w:p>
        </w:tc>
        <w:tc>
          <w:tcPr>
            <w:tcW w:w="1660" w:type="dxa"/>
            <w:tcBorders>
              <w:top w:val="nil"/>
              <w:left w:val="nil"/>
              <w:bottom w:val="nil"/>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64.</w:t>
            </w:r>
            <w:r w:rsidR="0031358B" w:rsidRPr="003F52FE">
              <w:rPr>
                <w:rFonts w:eastAsia="Times New Roman"/>
                <w:color w:val="000000" w:themeColor="text1"/>
                <w:sz w:val="22"/>
                <w:szCs w:val="22"/>
              </w:rPr>
              <w:t>66</w:t>
            </w:r>
          </w:p>
        </w:tc>
        <w:tc>
          <w:tcPr>
            <w:tcW w:w="1660" w:type="dxa"/>
            <w:tcBorders>
              <w:top w:val="nil"/>
              <w:left w:val="nil"/>
              <w:bottom w:val="nil"/>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4.</w:t>
            </w:r>
            <w:r w:rsidR="0031358B" w:rsidRPr="003F52FE">
              <w:rPr>
                <w:rFonts w:eastAsia="Times New Roman"/>
                <w:color w:val="000000" w:themeColor="text1"/>
                <w:sz w:val="22"/>
                <w:szCs w:val="22"/>
              </w:rPr>
              <w:t>90</w:t>
            </w:r>
          </w:p>
        </w:tc>
        <w:tc>
          <w:tcPr>
            <w:tcW w:w="1660" w:type="dxa"/>
            <w:tcBorders>
              <w:top w:val="nil"/>
              <w:left w:val="nil"/>
              <w:bottom w:val="nil"/>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71.</w:t>
            </w:r>
            <w:r w:rsidR="0031358B" w:rsidRPr="003F52FE">
              <w:rPr>
                <w:rFonts w:eastAsia="Times New Roman"/>
                <w:color w:val="000000" w:themeColor="text1"/>
                <w:sz w:val="22"/>
                <w:szCs w:val="22"/>
              </w:rPr>
              <w:t>77</w:t>
            </w:r>
          </w:p>
        </w:tc>
      </w:tr>
      <w:tr w:rsidR="0031358B" w:rsidRPr="003F52FE" w:rsidTr="00A70EF1">
        <w:trPr>
          <w:trHeight w:val="300"/>
          <w:jc w:val="center"/>
        </w:trPr>
        <w:tc>
          <w:tcPr>
            <w:tcW w:w="1787" w:type="dxa"/>
            <w:tcBorders>
              <w:top w:val="nil"/>
              <w:left w:val="nil"/>
              <w:bottom w:val="nil"/>
              <w:right w:val="nil"/>
            </w:tcBorders>
            <w:shd w:val="clear" w:color="auto" w:fill="auto"/>
            <w:noWrap/>
            <w:vAlign w:val="bottom"/>
            <w:hideMark/>
          </w:tcPr>
          <w:p w:rsidR="0031358B" w:rsidRPr="003F52FE" w:rsidRDefault="0031358B"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1955-1973</w:t>
            </w:r>
          </w:p>
        </w:tc>
        <w:tc>
          <w:tcPr>
            <w:tcW w:w="1660" w:type="dxa"/>
            <w:tcBorders>
              <w:top w:val="nil"/>
              <w:left w:val="nil"/>
              <w:bottom w:val="nil"/>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-0.</w:t>
            </w:r>
            <w:r w:rsidR="0031358B" w:rsidRPr="003F52FE">
              <w:rPr>
                <w:rFonts w:eastAsia="Times New Roman"/>
                <w:color w:val="000000" w:themeColor="text1"/>
                <w:sz w:val="22"/>
                <w:szCs w:val="22"/>
              </w:rPr>
              <w:t>75</w:t>
            </w:r>
          </w:p>
        </w:tc>
        <w:tc>
          <w:tcPr>
            <w:tcW w:w="1660" w:type="dxa"/>
            <w:tcBorders>
              <w:top w:val="nil"/>
              <w:left w:val="nil"/>
              <w:bottom w:val="nil"/>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28.</w:t>
            </w:r>
            <w:r w:rsidR="0031358B" w:rsidRPr="003F52FE">
              <w:rPr>
                <w:rFonts w:eastAsia="Times New Roman"/>
                <w:color w:val="000000" w:themeColor="text1"/>
                <w:sz w:val="22"/>
                <w:szCs w:val="22"/>
              </w:rPr>
              <w:t>36</w:t>
            </w:r>
          </w:p>
        </w:tc>
        <w:tc>
          <w:tcPr>
            <w:tcW w:w="1660" w:type="dxa"/>
            <w:tcBorders>
              <w:top w:val="nil"/>
              <w:left w:val="nil"/>
              <w:bottom w:val="nil"/>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7.</w:t>
            </w:r>
            <w:r w:rsidR="0031358B" w:rsidRPr="003F52FE">
              <w:rPr>
                <w:rFonts w:eastAsia="Times New Roman"/>
                <w:color w:val="000000" w:themeColor="text1"/>
                <w:sz w:val="22"/>
                <w:szCs w:val="22"/>
              </w:rPr>
              <w:t>44</w:t>
            </w:r>
          </w:p>
        </w:tc>
        <w:tc>
          <w:tcPr>
            <w:tcW w:w="1660" w:type="dxa"/>
            <w:tcBorders>
              <w:top w:val="nil"/>
              <w:left w:val="nil"/>
              <w:bottom w:val="nil"/>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36.</w:t>
            </w:r>
            <w:r w:rsidR="0031358B" w:rsidRPr="003F52FE">
              <w:rPr>
                <w:rFonts w:eastAsia="Times New Roman"/>
                <w:color w:val="000000" w:themeColor="text1"/>
                <w:sz w:val="22"/>
                <w:szCs w:val="22"/>
              </w:rPr>
              <w:t>55</w:t>
            </w:r>
          </w:p>
        </w:tc>
      </w:tr>
      <w:tr w:rsidR="0031358B" w:rsidRPr="003F52FE" w:rsidTr="00A70EF1">
        <w:trPr>
          <w:trHeight w:val="300"/>
          <w:jc w:val="center"/>
        </w:trPr>
        <w:tc>
          <w:tcPr>
            <w:tcW w:w="1787" w:type="dxa"/>
            <w:tcBorders>
              <w:top w:val="nil"/>
              <w:left w:val="nil"/>
              <w:bottom w:val="nil"/>
              <w:right w:val="nil"/>
            </w:tcBorders>
            <w:shd w:val="clear" w:color="auto" w:fill="auto"/>
            <w:noWrap/>
            <w:vAlign w:val="bottom"/>
            <w:hideMark/>
          </w:tcPr>
          <w:p w:rsidR="0031358B" w:rsidRPr="003F52FE" w:rsidRDefault="0031358B"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1955-1962</w:t>
            </w:r>
          </w:p>
        </w:tc>
        <w:tc>
          <w:tcPr>
            <w:tcW w:w="1660" w:type="dxa"/>
            <w:tcBorders>
              <w:top w:val="nil"/>
              <w:left w:val="nil"/>
              <w:bottom w:val="nil"/>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2.</w:t>
            </w:r>
            <w:r w:rsidR="0031358B" w:rsidRPr="003F52FE">
              <w:rPr>
                <w:rFonts w:eastAsia="Times New Roman"/>
                <w:color w:val="000000" w:themeColor="text1"/>
                <w:sz w:val="22"/>
                <w:szCs w:val="22"/>
              </w:rPr>
              <w:t>52</w:t>
            </w:r>
          </w:p>
        </w:tc>
        <w:tc>
          <w:tcPr>
            <w:tcW w:w="1660" w:type="dxa"/>
            <w:tcBorders>
              <w:top w:val="nil"/>
              <w:left w:val="nil"/>
              <w:bottom w:val="nil"/>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23.</w:t>
            </w:r>
            <w:r w:rsidR="0031358B" w:rsidRPr="003F52FE">
              <w:rPr>
                <w:rFonts w:eastAsia="Times New Roman"/>
                <w:color w:val="000000" w:themeColor="text1"/>
                <w:sz w:val="22"/>
                <w:szCs w:val="22"/>
              </w:rPr>
              <w:t>98</w:t>
            </w:r>
          </w:p>
        </w:tc>
        <w:tc>
          <w:tcPr>
            <w:tcW w:w="1660" w:type="dxa"/>
            <w:tcBorders>
              <w:top w:val="nil"/>
              <w:left w:val="nil"/>
              <w:bottom w:val="nil"/>
              <w:right w:val="nil"/>
            </w:tcBorders>
            <w:shd w:val="clear" w:color="auto" w:fill="auto"/>
            <w:noWrap/>
            <w:vAlign w:val="bottom"/>
            <w:hideMark/>
          </w:tcPr>
          <w:p w:rsidR="0031358B" w:rsidRPr="003F52FE" w:rsidRDefault="0031358B"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7</w:t>
            </w:r>
            <w:r w:rsidR="00515761" w:rsidRPr="003F52FE">
              <w:rPr>
                <w:rFonts w:eastAsia="Times New Roman"/>
                <w:color w:val="000000" w:themeColor="text1"/>
                <w:sz w:val="22"/>
                <w:szCs w:val="22"/>
              </w:rPr>
              <w:t>.</w:t>
            </w:r>
            <w:r w:rsidRPr="003F52FE">
              <w:rPr>
                <w:rFonts w:eastAsia="Times New Roman"/>
                <w:color w:val="000000" w:themeColor="text1"/>
                <w:sz w:val="22"/>
                <w:szCs w:val="22"/>
              </w:rPr>
              <w:t>64</w:t>
            </w:r>
          </w:p>
        </w:tc>
        <w:tc>
          <w:tcPr>
            <w:tcW w:w="1660" w:type="dxa"/>
            <w:tcBorders>
              <w:top w:val="nil"/>
              <w:left w:val="nil"/>
              <w:bottom w:val="nil"/>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29.</w:t>
            </w:r>
            <w:r w:rsidR="0031358B" w:rsidRPr="003F52FE">
              <w:rPr>
                <w:rFonts w:eastAsia="Times New Roman"/>
                <w:color w:val="000000" w:themeColor="text1"/>
                <w:sz w:val="22"/>
                <w:szCs w:val="22"/>
              </w:rPr>
              <w:t>10</w:t>
            </w:r>
          </w:p>
        </w:tc>
      </w:tr>
      <w:tr w:rsidR="0031358B" w:rsidRPr="003F52FE" w:rsidTr="00A70EF1">
        <w:trPr>
          <w:trHeight w:val="300"/>
          <w:jc w:val="center"/>
        </w:trPr>
        <w:tc>
          <w:tcPr>
            <w:tcW w:w="1787" w:type="dxa"/>
            <w:tcBorders>
              <w:top w:val="nil"/>
              <w:left w:val="nil"/>
              <w:bottom w:val="nil"/>
              <w:right w:val="nil"/>
            </w:tcBorders>
            <w:shd w:val="clear" w:color="auto" w:fill="auto"/>
            <w:noWrap/>
            <w:vAlign w:val="bottom"/>
            <w:hideMark/>
          </w:tcPr>
          <w:p w:rsidR="0031358B" w:rsidRPr="003F52FE" w:rsidRDefault="0031358B"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1962-1973</w:t>
            </w:r>
          </w:p>
        </w:tc>
        <w:tc>
          <w:tcPr>
            <w:tcW w:w="1660" w:type="dxa"/>
            <w:tcBorders>
              <w:top w:val="nil"/>
              <w:left w:val="nil"/>
              <w:bottom w:val="nil"/>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-2.</w:t>
            </w:r>
            <w:r w:rsidR="0031358B" w:rsidRPr="003F52FE">
              <w:rPr>
                <w:rFonts w:eastAsia="Times New Roman"/>
                <w:color w:val="000000" w:themeColor="text1"/>
                <w:sz w:val="22"/>
                <w:szCs w:val="22"/>
              </w:rPr>
              <w:t>84</w:t>
            </w:r>
          </w:p>
        </w:tc>
        <w:tc>
          <w:tcPr>
            <w:tcW w:w="1660" w:type="dxa"/>
            <w:tcBorders>
              <w:top w:val="nil"/>
              <w:left w:val="nil"/>
              <w:bottom w:val="nil"/>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31.</w:t>
            </w:r>
            <w:r w:rsidR="0031358B" w:rsidRPr="003F52FE">
              <w:rPr>
                <w:rFonts w:eastAsia="Times New Roman"/>
                <w:color w:val="000000" w:themeColor="text1"/>
                <w:sz w:val="22"/>
                <w:szCs w:val="22"/>
              </w:rPr>
              <w:t>15</w:t>
            </w:r>
          </w:p>
        </w:tc>
        <w:tc>
          <w:tcPr>
            <w:tcW w:w="1660" w:type="dxa"/>
            <w:tcBorders>
              <w:top w:val="nil"/>
              <w:left w:val="nil"/>
              <w:bottom w:val="nil"/>
              <w:right w:val="nil"/>
            </w:tcBorders>
            <w:shd w:val="clear" w:color="auto" w:fill="auto"/>
            <w:noWrap/>
            <w:vAlign w:val="bottom"/>
            <w:hideMark/>
          </w:tcPr>
          <w:p w:rsidR="0031358B" w:rsidRPr="003F52FE" w:rsidRDefault="0031358B"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7</w:t>
            </w:r>
            <w:r w:rsidR="00515761" w:rsidRPr="003F52FE">
              <w:rPr>
                <w:rFonts w:eastAsia="Times New Roman"/>
                <w:color w:val="000000" w:themeColor="text1"/>
                <w:sz w:val="22"/>
                <w:szCs w:val="22"/>
              </w:rPr>
              <w:t>.</w:t>
            </w:r>
            <w:r w:rsidRPr="003F52FE">
              <w:rPr>
                <w:rFonts w:eastAsia="Times New Roman"/>
                <w:color w:val="000000" w:themeColor="text1"/>
                <w:sz w:val="22"/>
                <w:szCs w:val="22"/>
              </w:rPr>
              <w:t>30</w:t>
            </w:r>
          </w:p>
        </w:tc>
        <w:tc>
          <w:tcPr>
            <w:tcW w:w="1660" w:type="dxa"/>
            <w:tcBorders>
              <w:top w:val="nil"/>
              <w:left w:val="nil"/>
              <w:bottom w:val="nil"/>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41.</w:t>
            </w:r>
            <w:r w:rsidR="0031358B" w:rsidRPr="003F52FE">
              <w:rPr>
                <w:rFonts w:eastAsia="Times New Roman"/>
                <w:color w:val="000000" w:themeColor="text1"/>
                <w:sz w:val="22"/>
                <w:szCs w:val="22"/>
              </w:rPr>
              <w:t>29</w:t>
            </w:r>
          </w:p>
        </w:tc>
      </w:tr>
      <w:tr w:rsidR="0031358B" w:rsidRPr="003F52FE" w:rsidTr="00A70EF1">
        <w:trPr>
          <w:trHeight w:val="300"/>
          <w:jc w:val="center"/>
        </w:trPr>
        <w:tc>
          <w:tcPr>
            <w:tcW w:w="1787" w:type="dxa"/>
            <w:tcBorders>
              <w:top w:val="nil"/>
              <w:left w:val="nil"/>
              <w:bottom w:val="nil"/>
              <w:right w:val="nil"/>
            </w:tcBorders>
            <w:shd w:val="clear" w:color="auto" w:fill="auto"/>
            <w:noWrap/>
            <w:vAlign w:val="bottom"/>
            <w:hideMark/>
          </w:tcPr>
          <w:p w:rsidR="0031358B" w:rsidRPr="003F52FE" w:rsidRDefault="0031358B"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1973-1989</w:t>
            </w:r>
          </w:p>
        </w:tc>
        <w:tc>
          <w:tcPr>
            <w:tcW w:w="1660" w:type="dxa"/>
            <w:tcBorders>
              <w:top w:val="nil"/>
              <w:left w:val="nil"/>
              <w:bottom w:val="nil"/>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1.</w:t>
            </w:r>
            <w:r w:rsidR="0031358B" w:rsidRPr="003F52FE">
              <w:rPr>
                <w:rFonts w:eastAsia="Times New Roman"/>
                <w:color w:val="000000" w:themeColor="text1"/>
                <w:sz w:val="22"/>
                <w:szCs w:val="22"/>
              </w:rPr>
              <w:t>82</w:t>
            </w:r>
          </w:p>
        </w:tc>
        <w:tc>
          <w:tcPr>
            <w:tcW w:w="1660" w:type="dxa"/>
            <w:tcBorders>
              <w:top w:val="nil"/>
              <w:left w:val="nil"/>
              <w:bottom w:val="nil"/>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87.</w:t>
            </w:r>
            <w:r w:rsidR="0031358B" w:rsidRPr="003F52FE">
              <w:rPr>
                <w:rFonts w:eastAsia="Times New Roman"/>
                <w:color w:val="000000" w:themeColor="text1"/>
                <w:sz w:val="22"/>
                <w:szCs w:val="22"/>
              </w:rPr>
              <w:t>28</w:t>
            </w:r>
          </w:p>
        </w:tc>
        <w:tc>
          <w:tcPr>
            <w:tcW w:w="1660" w:type="dxa"/>
            <w:tcBorders>
              <w:top w:val="nil"/>
              <w:left w:val="nil"/>
              <w:bottom w:val="nil"/>
              <w:right w:val="nil"/>
            </w:tcBorders>
            <w:shd w:val="clear" w:color="auto" w:fill="auto"/>
            <w:noWrap/>
            <w:vAlign w:val="bottom"/>
            <w:hideMark/>
          </w:tcPr>
          <w:p w:rsidR="0031358B" w:rsidRPr="003F52FE" w:rsidRDefault="0031358B"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4</w:t>
            </w:r>
            <w:r w:rsidR="00515761" w:rsidRPr="003F52FE">
              <w:rPr>
                <w:rFonts w:eastAsia="Times New Roman"/>
                <w:color w:val="000000" w:themeColor="text1"/>
                <w:sz w:val="22"/>
                <w:szCs w:val="22"/>
              </w:rPr>
              <w:t>.</w:t>
            </w:r>
            <w:r w:rsidRPr="003F52FE">
              <w:rPr>
                <w:rFonts w:eastAsia="Times New Roman"/>
                <w:color w:val="000000" w:themeColor="text1"/>
                <w:sz w:val="22"/>
                <w:szCs w:val="22"/>
              </w:rPr>
              <w:t>45</w:t>
            </w:r>
          </w:p>
        </w:tc>
        <w:tc>
          <w:tcPr>
            <w:tcW w:w="1660" w:type="dxa"/>
            <w:tcBorders>
              <w:top w:val="nil"/>
              <w:left w:val="nil"/>
              <w:bottom w:val="nil"/>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89.</w:t>
            </w:r>
            <w:r w:rsidR="0031358B" w:rsidRPr="003F52FE">
              <w:rPr>
                <w:rFonts w:eastAsia="Times New Roman"/>
                <w:color w:val="000000" w:themeColor="text1"/>
                <w:sz w:val="22"/>
                <w:szCs w:val="22"/>
              </w:rPr>
              <w:t>91</w:t>
            </w:r>
          </w:p>
        </w:tc>
      </w:tr>
      <w:tr w:rsidR="0031358B" w:rsidRPr="003F52FE" w:rsidTr="00A70EF1">
        <w:trPr>
          <w:trHeight w:val="300"/>
          <w:jc w:val="center"/>
        </w:trPr>
        <w:tc>
          <w:tcPr>
            <w:tcW w:w="1787" w:type="dxa"/>
            <w:tcBorders>
              <w:top w:val="nil"/>
              <w:left w:val="nil"/>
              <w:bottom w:val="nil"/>
              <w:right w:val="nil"/>
            </w:tcBorders>
            <w:shd w:val="clear" w:color="auto" w:fill="auto"/>
            <w:noWrap/>
            <w:vAlign w:val="bottom"/>
            <w:hideMark/>
          </w:tcPr>
          <w:p w:rsidR="0031358B" w:rsidRPr="003F52FE" w:rsidRDefault="0031358B"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1973-1980</w:t>
            </w:r>
          </w:p>
        </w:tc>
        <w:tc>
          <w:tcPr>
            <w:tcW w:w="1660" w:type="dxa"/>
            <w:tcBorders>
              <w:top w:val="nil"/>
              <w:left w:val="nil"/>
              <w:bottom w:val="nil"/>
              <w:right w:val="nil"/>
            </w:tcBorders>
            <w:shd w:val="clear" w:color="auto" w:fill="auto"/>
            <w:noWrap/>
            <w:vAlign w:val="bottom"/>
            <w:hideMark/>
          </w:tcPr>
          <w:p w:rsidR="0031358B" w:rsidRPr="003F52FE" w:rsidRDefault="0031358B"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-0</w:t>
            </w:r>
            <w:r w:rsidR="00515761" w:rsidRPr="003F52FE">
              <w:rPr>
                <w:rFonts w:eastAsia="Times New Roman"/>
                <w:color w:val="000000" w:themeColor="text1"/>
                <w:sz w:val="22"/>
                <w:szCs w:val="22"/>
              </w:rPr>
              <w:t>.</w:t>
            </w:r>
            <w:r w:rsidRPr="003F52FE">
              <w:rPr>
                <w:rFonts w:eastAsia="Times New Roman"/>
                <w:color w:val="000000" w:themeColor="text1"/>
                <w:sz w:val="22"/>
                <w:szCs w:val="22"/>
              </w:rPr>
              <w:t>93</w:t>
            </w:r>
          </w:p>
        </w:tc>
        <w:tc>
          <w:tcPr>
            <w:tcW w:w="1660" w:type="dxa"/>
            <w:tcBorders>
              <w:top w:val="nil"/>
              <w:left w:val="nil"/>
              <w:bottom w:val="nil"/>
              <w:right w:val="nil"/>
            </w:tcBorders>
            <w:shd w:val="clear" w:color="auto" w:fill="auto"/>
            <w:noWrap/>
            <w:vAlign w:val="bottom"/>
            <w:hideMark/>
          </w:tcPr>
          <w:p w:rsidR="0031358B" w:rsidRPr="003F52FE" w:rsidRDefault="0031358B"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3</w:t>
            </w:r>
            <w:r w:rsidR="00515761" w:rsidRPr="003F52FE">
              <w:rPr>
                <w:rFonts w:eastAsia="Times New Roman"/>
                <w:color w:val="000000" w:themeColor="text1"/>
                <w:sz w:val="22"/>
                <w:szCs w:val="22"/>
              </w:rPr>
              <w:t>8.</w:t>
            </w:r>
            <w:r w:rsidRPr="003F52FE">
              <w:rPr>
                <w:rFonts w:eastAsia="Times New Roman"/>
                <w:color w:val="000000" w:themeColor="text1"/>
                <w:sz w:val="22"/>
                <w:szCs w:val="22"/>
              </w:rPr>
              <w:t>85</w:t>
            </w:r>
          </w:p>
        </w:tc>
        <w:tc>
          <w:tcPr>
            <w:tcW w:w="1660" w:type="dxa"/>
            <w:tcBorders>
              <w:top w:val="nil"/>
              <w:left w:val="nil"/>
              <w:bottom w:val="nil"/>
              <w:right w:val="nil"/>
            </w:tcBorders>
            <w:shd w:val="clear" w:color="auto" w:fill="auto"/>
            <w:noWrap/>
            <w:vAlign w:val="bottom"/>
            <w:hideMark/>
          </w:tcPr>
          <w:p w:rsidR="0031358B" w:rsidRPr="003F52FE" w:rsidRDefault="0031358B"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6</w:t>
            </w:r>
            <w:r w:rsidR="00515761" w:rsidRPr="003F52FE">
              <w:rPr>
                <w:rFonts w:eastAsia="Times New Roman"/>
                <w:color w:val="000000" w:themeColor="text1"/>
                <w:sz w:val="22"/>
                <w:szCs w:val="22"/>
              </w:rPr>
              <w:t>.</w:t>
            </w:r>
            <w:r w:rsidRPr="003F52FE">
              <w:rPr>
                <w:rFonts w:eastAsia="Times New Roman"/>
                <w:color w:val="000000" w:themeColor="text1"/>
                <w:sz w:val="22"/>
                <w:szCs w:val="22"/>
              </w:rPr>
              <w:t>81</w:t>
            </w:r>
          </w:p>
        </w:tc>
        <w:tc>
          <w:tcPr>
            <w:tcW w:w="1660" w:type="dxa"/>
            <w:tcBorders>
              <w:top w:val="nil"/>
              <w:left w:val="nil"/>
              <w:bottom w:val="nil"/>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46.</w:t>
            </w:r>
            <w:r w:rsidR="0031358B" w:rsidRPr="003F52FE">
              <w:rPr>
                <w:rFonts w:eastAsia="Times New Roman"/>
                <w:color w:val="000000" w:themeColor="text1"/>
                <w:sz w:val="22"/>
                <w:szCs w:val="22"/>
              </w:rPr>
              <w:t>59</w:t>
            </w:r>
          </w:p>
        </w:tc>
      </w:tr>
      <w:tr w:rsidR="0031358B" w:rsidRPr="003F52FE" w:rsidTr="00A70EF1">
        <w:trPr>
          <w:trHeight w:val="300"/>
          <w:jc w:val="center"/>
        </w:trPr>
        <w:tc>
          <w:tcPr>
            <w:tcW w:w="1787" w:type="dxa"/>
            <w:tcBorders>
              <w:top w:val="nil"/>
              <w:left w:val="nil"/>
              <w:bottom w:val="nil"/>
              <w:right w:val="nil"/>
            </w:tcBorders>
            <w:shd w:val="clear" w:color="auto" w:fill="auto"/>
            <w:noWrap/>
            <w:vAlign w:val="bottom"/>
            <w:hideMark/>
          </w:tcPr>
          <w:p w:rsidR="0031358B" w:rsidRPr="003F52FE" w:rsidRDefault="0031358B"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1980-1989</w:t>
            </w:r>
          </w:p>
        </w:tc>
        <w:tc>
          <w:tcPr>
            <w:tcW w:w="1660" w:type="dxa"/>
            <w:tcBorders>
              <w:top w:val="nil"/>
              <w:left w:val="nil"/>
              <w:bottom w:val="nil"/>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3.</w:t>
            </w:r>
            <w:r w:rsidR="0031358B" w:rsidRPr="003F52FE">
              <w:rPr>
                <w:rFonts w:eastAsia="Times New Roman"/>
                <w:color w:val="000000" w:themeColor="text1"/>
                <w:sz w:val="22"/>
                <w:szCs w:val="22"/>
              </w:rPr>
              <w:t>96</w:t>
            </w:r>
          </w:p>
        </w:tc>
        <w:tc>
          <w:tcPr>
            <w:tcW w:w="1660" w:type="dxa"/>
            <w:tcBorders>
              <w:top w:val="nil"/>
              <w:left w:val="nil"/>
              <w:bottom w:val="nil"/>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124.</w:t>
            </w:r>
            <w:r w:rsidR="0031358B" w:rsidRPr="003F52FE">
              <w:rPr>
                <w:rFonts w:eastAsia="Times New Roman"/>
                <w:color w:val="000000" w:themeColor="text1"/>
                <w:sz w:val="22"/>
                <w:szCs w:val="22"/>
              </w:rPr>
              <w:t>95</w:t>
            </w:r>
          </w:p>
        </w:tc>
        <w:tc>
          <w:tcPr>
            <w:tcW w:w="1660" w:type="dxa"/>
            <w:tcBorders>
              <w:top w:val="nil"/>
              <w:left w:val="nil"/>
              <w:bottom w:val="nil"/>
              <w:right w:val="nil"/>
            </w:tcBorders>
            <w:shd w:val="clear" w:color="auto" w:fill="auto"/>
            <w:noWrap/>
            <w:vAlign w:val="bottom"/>
            <w:hideMark/>
          </w:tcPr>
          <w:p w:rsidR="0031358B" w:rsidRPr="003F52FE" w:rsidRDefault="0031358B"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2</w:t>
            </w:r>
            <w:r w:rsidR="00515761" w:rsidRPr="003F52FE">
              <w:rPr>
                <w:rFonts w:eastAsia="Times New Roman"/>
                <w:color w:val="000000" w:themeColor="text1"/>
                <w:sz w:val="22"/>
                <w:szCs w:val="22"/>
              </w:rPr>
              <w:t>.</w:t>
            </w:r>
            <w:r w:rsidRPr="003F52FE">
              <w:rPr>
                <w:rFonts w:eastAsia="Times New Roman"/>
                <w:color w:val="000000" w:themeColor="text1"/>
                <w:sz w:val="22"/>
                <w:szCs w:val="22"/>
              </w:rPr>
              <w:t>62</w:t>
            </w:r>
          </w:p>
        </w:tc>
        <w:tc>
          <w:tcPr>
            <w:tcW w:w="1660" w:type="dxa"/>
            <w:tcBorders>
              <w:top w:val="nil"/>
              <w:left w:val="nil"/>
              <w:bottom w:val="nil"/>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123.</w:t>
            </w:r>
            <w:r w:rsidR="0031358B" w:rsidRPr="003F52FE">
              <w:rPr>
                <w:rFonts w:eastAsia="Times New Roman"/>
                <w:color w:val="000000" w:themeColor="text1"/>
                <w:sz w:val="22"/>
                <w:szCs w:val="22"/>
              </w:rPr>
              <w:t>61</w:t>
            </w:r>
          </w:p>
        </w:tc>
      </w:tr>
      <w:tr w:rsidR="0031358B" w:rsidRPr="003F52FE" w:rsidTr="00A70EF1">
        <w:trPr>
          <w:trHeight w:val="300"/>
          <w:jc w:val="center"/>
        </w:trPr>
        <w:tc>
          <w:tcPr>
            <w:tcW w:w="1787" w:type="dxa"/>
            <w:tcBorders>
              <w:top w:val="nil"/>
              <w:left w:val="nil"/>
              <w:bottom w:val="nil"/>
              <w:right w:val="nil"/>
            </w:tcBorders>
            <w:shd w:val="clear" w:color="auto" w:fill="auto"/>
            <w:noWrap/>
            <w:vAlign w:val="bottom"/>
            <w:hideMark/>
          </w:tcPr>
          <w:p w:rsidR="0031358B" w:rsidRPr="003F52FE" w:rsidRDefault="0031358B"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1989-2003</w:t>
            </w:r>
          </w:p>
        </w:tc>
        <w:tc>
          <w:tcPr>
            <w:tcW w:w="1660" w:type="dxa"/>
            <w:tcBorders>
              <w:top w:val="nil"/>
              <w:left w:val="nil"/>
              <w:bottom w:val="nil"/>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-8.</w:t>
            </w:r>
            <w:r w:rsidR="0031358B" w:rsidRPr="003F52FE">
              <w:rPr>
                <w:rFonts w:eastAsia="Times New Roman"/>
                <w:color w:val="000000" w:themeColor="text1"/>
                <w:sz w:val="22"/>
                <w:szCs w:val="22"/>
              </w:rPr>
              <w:t>31</w:t>
            </w:r>
          </w:p>
        </w:tc>
        <w:tc>
          <w:tcPr>
            <w:tcW w:w="1660" w:type="dxa"/>
            <w:tcBorders>
              <w:top w:val="nil"/>
              <w:left w:val="nil"/>
              <w:bottom w:val="nil"/>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106.</w:t>
            </w:r>
            <w:r w:rsidR="0031358B" w:rsidRPr="003F52FE">
              <w:rPr>
                <w:rFonts w:eastAsia="Times New Roman"/>
                <w:color w:val="000000" w:themeColor="text1"/>
                <w:sz w:val="22"/>
                <w:szCs w:val="22"/>
              </w:rPr>
              <w:t>11</w:t>
            </w:r>
          </w:p>
        </w:tc>
        <w:tc>
          <w:tcPr>
            <w:tcW w:w="1660" w:type="dxa"/>
            <w:tcBorders>
              <w:top w:val="nil"/>
              <w:left w:val="nil"/>
              <w:bottom w:val="nil"/>
              <w:right w:val="nil"/>
            </w:tcBorders>
            <w:shd w:val="clear" w:color="auto" w:fill="auto"/>
            <w:noWrap/>
            <w:vAlign w:val="bottom"/>
            <w:hideMark/>
          </w:tcPr>
          <w:p w:rsidR="0031358B" w:rsidRPr="003F52FE" w:rsidRDefault="0031358B"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2</w:t>
            </w:r>
            <w:r w:rsidR="00515761" w:rsidRPr="003F52FE">
              <w:rPr>
                <w:rFonts w:eastAsia="Times New Roman"/>
                <w:color w:val="000000" w:themeColor="text1"/>
                <w:sz w:val="22"/>
                <w:szCs w:val="22"/>
              </w:rPr>
              <w:t>.</w:t>
            </w:r>
            <w:r w:rsidRPr="003F52FE">
              <w:rPr>
                <w:rFonts w:eastAsia="Times New Roman"/>
                <w:color w:val="000000" w:themeColor="text1"/>
                <w:sz w:val="22"/>
                <w:szCs w:val="22"/>
              </w:rPr>
              <w:t>21</w:t>
            </w:r>
          </w:p>
        </w:tc>
        <w:tc>
          <w:tcPr>
            <w:tcW w:w="1660" w:type="dxa"/>
            <w:tcBorders>
              <w:top w:val="nil"/>
              <w:left w:val="nil"/>
              <w:bottom w:val="nil"/>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116.</w:t>
            </w:r>
            <w:r w:rsidR="0031358B" w:rsidRPr="003F52FE">
              <w:rPr>
                <w:rFonts w:eastAsia="Times New Roman"/>
                <w:color w:val="000000" w:themeColor="text1"/>
                <w:sz w:val="22"/>
                <w:szCs w:val="22"/>
              </w:rPr>
              <w:t>64</w:t>
            </w:r>
          </w:p>
        </w:tc>
      </w:tr>
      <w:tr w:rsidR="0031358B" w:rsidRPr="003F52FE" w:rsidTr="00A70EF1">
        <w:trPr>
          <w:trHeight w:val="300"/>
          <w:jc w:val="center"/>
        </w:trPr>
        <w:tc>
          <w:tcPr>
            <w:tcW w:w="1787" w:type="dxa"/>
            <w:tcBorders>
              <w:top w:val="nil"/>
              <w:left w:val="nil"/>
              <w:bottom w:val="nil"/>
              <w:right w:val="nil"/>
            </w:tcBorders>
            <w:shd w:val="clear" w:color="auto" w:fill="auto"/>
            <w:noWrap/>
            <w:vAlign w:val="bottom"/>
            <w:hideMark/>
          </w:tcPr>
          <w:p w:rsidR="0031358B" w:rsidRPr="003F52FE" w:rsidRDefault="0031358B"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1989-1994</w:t>
            </w:r>
          </w:p>
        </w:tc>
        <w:tc>
          <w:tcPr>
            <w:tcW w:w="1660" w:type="dxa"/>
            <w:tcBorders>
              <w:top w:val="nil"/>
              <w:left w:val="nil"/>
              <w:bottom w:val="nil"/>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5.</w:t>
            </w:r>
            <w:r w:rsidR="0031358B" w:rsidRPr="003F52FE">
              <w:rPr>
                <w:rFonts w:eastAsia="Times New Roman"/>
                <w:color w:val="000000" w:themeColor="text1"/>
                <w:sz w:val="22"/>
                <w:szCs w:val="22"/>
              </w:rPr>
              <w:t>87</w:t>
            </w:r>
          </w:p>
        </w:tc>
        <w:tc>
          <w:tcPr>
            <w:tcW w:w="1660" w:type="dxa"/>
            <w:tcBorders>
              <w:top w:val="nil"/>
              <w:left w:val="nil"/>
              <w:bottom w:val="nil"/>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271.</w:t>
            </w:r>
            <w:r w:rsidR="0031358B" w:rsidRPr="003F52FE">
              <w:rPr>
                <w:rFonts w:eastAsia="Times New Roman"/>
                <w:color w:val="000000" w:themeColor="text1"/>
                <w:sz w:val="22"/>
                <w:szCs w:val="22"/>
              </w:rPr>
              <w:t>05</w:t>
            </w:r>
          </w:p>
        </w:tc>
        <w:tc>
          <w:tcPr>
            <w:tcW w:w="1660" w:type="dxa"/>
            <w:tcBorders>
              <w:top w:val="nil"/>
              <w:left w:val="nil"/>
              <w:bottom w:val="nil"/>
              <w:right w:val="nil"/>
            </w:tcBorders>
            <w:shd w:val="clear" w:color="auto" w:fill="auto"/>
            <w:noWrap/>
            <w:vAlign w:val="bottom"/>
            <w:hideMark/>
          </w:tcPr>
          <w:p w:rsidR="0031358B" w:rsidRPr="003F52FE" w:rsidRDefault="0031358B"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2</w:t>
            </w:r>
            <w:r w:rsidR="00515761" w:rsidRPr="003F52FE">
              <w:rPr>
                <w:rFonts w:eastAsia="Times New Roman"/>
                <w:color w:val="000000" w:themeColor="text1"/>
                <w:sz w:val="22"/>
                <w:szCs w:val="22"/>
              </w:rPr>
              <w:t>.</w:t>
            </w:r>
            <w:r w:rsidRPr="003F52FE">
              <w:rPr>
                <w:rFonts w:eastAsia="Times New Roman"/>
                <w:color w:val="000000" w:themeColor="text1"/>
                <w:sz w:val="22"/>
                <w:szCs w:val="22"/>
              </w:rPr>
              <w:t>19</w:t>
            </w:r>
          </w:p>
        </w:tc>
        <w:tc>
          <w:tcPr>
            <w:tcW w:w="1660" w:type="dxa"/>
            <w:tcBorders>
              <w:top w:val="nil"/>
              <w:left w:val="nil"/>
              <w:bottom w:val="nil"/>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267.</w:t>
            </w:r>
            <w:r w:rsidR="0031358B" w:rsidRPr="003F52FE">
              <w:rPr>
                <w:rFonts w:eastAsia="Times New Roman"/>
                <w:color w:val="000000" w:themeColor="text1"/>
                <w:sz w:val="22"/>
                <w:szCs w:val="22"/>
              </w:rPr>
              <w:t>37</w:t>
            </w:r>
          </w:p>
        </w:tc>
      </w:tr>
      <w:tr w:rsidR="0031358B" w:rsidRPr="003F52FE" w:rsidTr="00A70EF1">
        <w:trPr>
          <w:trHeight w:val="300"/>
          <w:jc w:val="center"/>
        </w:trPr>
        <w:tc>
          <w:tcPr>
            <w:tcW w:w="1787" w:type="dxa"/>
            <w:tcBorders>
              <w:top w:val="nil"/>
              <w:left w:val="nil"/>
              <w:bottom w:val="nil"/>
              <w:right w:val="nil"/>
            </w:tcBorders>
            <w:shd w:val="clear" w:color="auto" w:fill="auto"/>
            <w:noWrap/>
            <w:vAlign w:val="bottom"/>
            <w:hideMark/>
          </w:tcPr>
          <w:p w:rsidR="0031358B" w:rsidRPr="003F52FE" w:rsidRDefault="0031358B"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1994-2003</w:t>
            </w:r>
          </w:p>
        </w:tc>
        <w:tc>
          <w:tcPr>
            <w:tcW w:w="1660" w:type="dxa"/>
            <w:tcBorders>
              <w:top w:val="nil"/>
              <w:left w:val="nil"/>
              <w:bottom w:val="nil"/>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-16.</w:t>
            </w:r>
            <w:r w:rsidR="0031358B" w:rsidRPr="003F52FE">
              <w:rPr>
                <w:rFonts w:eastAsia="Times New Roman"/>
                <w:color w:val="000000" w:themeColor="text1"/>
                <w:sz w:val="22"/>
                <w:szCs w:val="22"/>
              </w:rPr>
              <w:t>19</w:t>
            </w:r>
          </w:p>
        </w:tc>
        <w:tc>
          <w:tcPr>
            <w:tcW w:w="1660" w:type="dxa"/>
            <w:tcBorders>
              <w:top w:val="nil"/>
              <w:left w:val="nil"/>
              <w:bottom w:val="nil"/>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14.</w:t>
            </w:r>
            <w:r w:rsidR="0031358B" w:rsidRPr="003F52FE">
              <w:rPr>
                <w:rFonts w:eastAsia="Times New Roman"/>
                <w:color w:val="000000" w:themeColor="text1"/>
                <w:sz w:val="22"/>
                <w:szCs w:val="22"/>
              </w:rPr>
              <w:t>48</w:t>
            </w:r>
          </w:p>
        </w:tc>
        <w:tc>
          <w:tcPr>
            <w:tcW w:w="1660" w:type="dxa"/>
            <w:tcBorders>
              <w:top w:val="nil"/>
              <w:left w:val="nil"/>
              <w:bottom w:val="nil"/>
              <w:right w:val="nil"/>
            </w:tcBorders>
            <w:shd w:val="clear" w:color="auto" w:fill="auto"/>
            <w:noWrap/>
            <w:vAlign w:val="bottom"/>
            <w:hideMark/>
          </w:tcPr>
          <w:p w:rsidR="0031358B" w:rsidRPr="003F52FE" w:rsidRDefault="0031358B"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2</w:t>
            </w:r>
            <w:r w:rsidR="00515761" w:rsidRPr="003F52FE">
              <w:rPr>
                <w:rFonts w:eastAsia="Times New Roman"/>
                <w:color w:val="000000" w:themeColor="text1"/>
                <w:sz w:val="22"/>
                <w:szCs w:val="22"/>
              </w:rPr>
              <w:t>.</w:t>
            </w:r>
            <w:r w:rsidRPr="003F52FE">
              <w:rPr>
                <w:rFonts w:eastAsia="Times New Roman"/>
                <w:color w:val="000000" w:themeColor="text1"/>
                <w:sz w:val="22"/>
                <w:szCs w:val="22"/>
              </w:rPr>
              <w:t>23</w:t>
            </w:r>
          </w:p>
        </w:tc>
        <w:tc>
          <w:tcPr>
            <w:tcW w:w="1660" w:type="dxa"/>
            <w:tcBorders>
              <w:top w:val="nil"/>
              <w:left w:val="nil"/>
              <w:bottom w:val="nil"/>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32.</w:t>
            </w:r>
            <w:r w:rsidR="0031358B" w:rsidRPr="003F52FE">
              <w:rPr>
                <w:rFonts w:eastAsia="Times New Roman"/>
                <w:color w:val="000000" w:themeColor="text1"/>
                <w:sz w:val="22"/>
                <w:szCs w:val="22"/>
              </w:rPr>
              <w:t>89</w:t>
            </w:r>
          </w:p>
        </w:tc>
      </w:tr>
      <w:tr w:rsidR="0031358B" w:rsidRPr="003F52FE" w:rsidTr="00A70EF1">
        <w:trPr>
          <w:trHeight w:val="300"/>
          <w:jc w:val="center"/>
        </w:trPr>
        <w:tc>
          <w:tcPr>
            <w:tcW w:w="1787" w:type="dxa"/>
            <w:tcBorders>
              <w:top w:val="nil"/>
              <w:left w:val="nil"/>
              <w:bottom w:val="single" w:sz="4" w:space="0" w:color="auto"/>
              <w:right w:val="nil"/>
            </w:tcBorders>
            <w:shd w:val="clear" w:color="auto" w:fill="auto"/>
            <w:noWrap/>
            <w:vAlign w:val="bottom"/>
            <w:hideMark/>
          </w:tcPr>
          <w:p w:rsidR="0031358B" w:rsidRPr="003F52FE" w:rsidRDefault="0031358B"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2003-2008</w:t>
            </w:r>
          </w:p>
        </w:tc>
        <w:tc>
          <w:tcPr>
            <w:tcW w:w="1660" w:type="dxa"/>
            <w:tcBorders>
              <w:top w:val="nil"/>
              <w:left w:val="nil"/>
              <w:bottom w:val="single" w:sz="4" w:space="0" w:color="auto"/>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-3.</w:t>
            </w:r>
            <w:r w:rsidR="0031358B" w:rsidRPr="003F52FE">
              <w:rPr>
                <w:rFonts w:eastAsia="Times New Roman"/>
                <w:color w:val="000000" w:themeColor="text1"/>
                <w:sz w:val="22"/>
                <w:szCs w:val="22"/>
              </w:rPr>
              <w:t>30</w:t>
            </w:r>
          </w:p>
        </w:tc>
        <w:tc>
          <w:tcPr>
            <w:tcW w:w="1660" w:type="dxa"/>
            <w:tcBorders>
              <w:top w:val="nil"/>
              <w:left w:val="nil"/>
              <w:bottom w:val="single" w:sz="4" w:space="0" w:color="auto"/>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6.</w:t>
            </w:r>
            <w:r w:rsidR="0031358B" w:rsidRPr="003F52FE">
              <w:rPr>
                <w:rFonts w:eastAsia="Times New Roman"/>
                <w:color w:val="000000" w:themeColor="text1"/>
                <w:sz w:val="22"/>
                <w:szCs w:val="22"/>
              </w:rPr>
              <w:t>87</w:t>
            </w:r>
          </w:p>
        </w:tc>
        <w:tc>
          <w:tcPr>
            <w:tcW w:w="1660" w:type="dxa"/>
            <w:tcBorders>
              <w:top w:val="nil"/>
              <w:left w:val="nil"/>
              <w:bottom w:val="single" w:sz="4" w:space="0" w:color="auto"/>
              <w:right w:val="nil"/>
            </w:tcBorders>
            <w:shd w:val="clear" w:color="auto" w:fill="auto"/>
            <w:noWrap/>
            <w:vAlign w:val="bottom"/>
            <w:hideMark/>
          </w:tcPr>
          <w:p w:rsidR="0031358B" w:rsidRPr="003F52FE" w:rsidRDefault="0031358B"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4</w:t>
            </w:r>
            <w:r w:rsidR="00515761" w:rsidRPr="003F52FE">
              <w:rPr>
                <w:rFonts w:eastAsia="Times New Roman"/>
                <w:color w:val="000000" w:themeColor="text1"/>
                <w:sz w:val="22"/>
                <w:szCs w:val="22"/>
              </w:rPr>
              <w:t>.</w:t>
            </w:r>
            <w:r w:rsidRPr="003F52FE">
              <w:rPr>
                <w:rFonts w:eastAsia="Times New Roman"/>
                <w:color w:val="000000" w:themeColor="text1"/>
                <w:sz w:val="22"/>
                <w:szCs w:val="22"/>
              </w:rPr>
              <w:t>70</w:t>
            </w:r>
          </w:p>
        </w:tc>
        <w:tc>
          <w:tcPr>
            <w:tcW w:w="1660" w:type="dxa"/>
            <w:tcBorders>
              <w:top w:val="nil"/>
              <w:left w:val="nil"/>
              <w:bottom w:val="single" w:sz="4" w:space="0" w:color="auto"/>
              <w:right w:val="nil"/>
            </w:tcBorders>
            <w:shd w:val="clear" w:color="auto" w:fill="auto"/>
            <w:noWrap/>
            <w:vAlign w:val="bottom"/>
            <w:hideMark/>
          </w:tcPr>
          <w:p w:rsidR="0031358B" w:rsidRPr="003F52FE" w:rsidRDefault="00515761"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14.</w:t>
            </w:r>
            <w:r w:rsidR="0031358B" w:rsidRPr="003F52FE">
              <w:rPr>
                <w:rFonts w:eastAsia="Times New Roman"/>
                <w:color w:val="000000" w:themeColor="text1"/>
                <w:sz w:val="22"/>
                <w:szCs w:val="22"/>
              </w:rPr>
              <w:t>88</w:t>
            </w:r>
          </w:p>
        </w:tc>
      </w:tr>
    </w:tbl>
    <w:p w:rsidR="0031358B" w:rsidRPr="003F52FE" w:rsidRDefault="0031358B" w:rsidP="0083766B">
      <w:pPr>
        <w:jc w:val="both"/>
        <w:rPr>
          <w:color w:val="000000" w:themeColor="text1"/>
          <w:sz w:val="22"/>
          <w:szCs w:val="22"/>
          <w:lang w:val="en-US"/>
        </w:rPr>
      </w:pPr>
      <w:r w:rsidRPr="003F52FE">
        <w:rPr>
          <w:color w:val="000000" w:themeColor="text1"/>
          <w:sz w:val="22"/>
          <w:szCs w:val="22"/>
          <w:lang w:val="en-US"/>
        </w:rPr>
        <w:t xml:space="preserve">   Source: Appendix</w:t>
      </w:r>
    </w:p>
    <w:p w:rsidR="00D24E25" w:rsidRPr="003F52FE" w:rsidRDefault="00D24E25" w:rsidP="0083766B">
      <w:pPr>
        <w:jc w:val="both"/>
        <w:rPr>
          <w:color w:val="000000" w:themeColor="text1"/>
          <w:sz w:val="22"/>
          <w:szCs w:val="22"/>
          <w:lang w:val="en-US"/>
        </w:rPr>
      </w:pPr>
    </w:p>
    <w:p w:rsidR="00893AD2" w:rsidRPr="003F52FE" w:rsidRDefault="00893AD2" w:rsidP="0083766B">
      <w:pPr>
        <w:jc w:val="center"/>
        <w:rPr>
          <w:color w:val="000000" w:themeColor="text1"/>
          <w:lang w:val="en-US"/>
        </w:rPr>
      </w:pPr>
      <w:r w:rsidRPr="003F52FE">
        <w:rPr>
          <w:noProof/>
          <w:color w:val="000000" w:themeColor="text1"/>
        </w:rPr>
        <w:drawing>
          <wp:inline distT="0" distB="0" distL="0" distR="0">
            <wp:extent cx="3624902" cy="2409569"/>
            <wp:effectExtent l="1905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1"/>
                    <a:srcRect/>
                    <a:stretch>
                      <a:fillRect/>
                    </a:stretch>
                  </pic:blipFill>
                  <pic:spPr bwMode="auto">
                    <a:xfrm>
                      <a:off x="0" y="0"/>
                      <a:ext cx="3630567" cy="2413335"/>
                    </a:xfrm>
                    <a:prstGeom prst="rect">
                      <a:avLst/>
                    </a:prstGeom>
                    <a:noFill/>
                    <a:ln w="9525">
                      <a:noFill/>
                      <a:miter lim="800000"/>
                      <a:headEnd/>
                      <a:tailEnd/>
                    </a:ln>
                  </pic:spPr>
                </pic:pic>
              </a:graphicData>
            </a:graphic>
          </wp:inline>
        </w:drawing>
      </w:r>
    </w:p>
    <w:p w:rsidR="00893AD2" w:rsidRPr="003F52FE" w:rsidRDefault="00893AD2" w:rsidP="0083766B">
      <w:pPr>
        <w:jc w:val="center"/>
        <w:rPr>
          <w:color w:val="000000" w:themeColor="text1"/>
          <w:lang w:val="en-US"/>
        </w:rPr>
      </w:pPr>
      <w:r w:rsidRPr="003F52FE">
        <w:rPr>
          <w:noProof/>
          <w:color w:val="000000" w:themeColor="text1"/>
        </w:rPr>
        <w:drawing>
          <wp:inline distT="0" distB="0" distL="0" distR="0">
            <wp:extent cx="3527946" cy="2189774"/>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2"/>
                    <a:srcRect/>
                    <a:stretch>
                      <a:fillRect/>
                    </a:stretch>
                  </pic:blipFill>
                  <pic:spPr bwMode="auto">
                    <a:xfrm>
                      <a:off x="0" y="0"/>
                      <a:ext cx="3540773" cy="2197736"/>
                    </a:xfrm>
                    <a:prstGeom prst="rect">
                      <a:avLst/>
                    </a:prstGeom>
                    <a:noFill/>
                    <a:ln w="9525">
                      <a:noFill/>
                      <a:miter lim="800000"/>
                      <a:headEnd/>
                      <a:tailEnd/>
                    </a:ln>
                  </pic:spPr>
                </pic:pic>
              </a:graphicData>
            </a:graphic>
          </wp:inline>
        </w:drawing>
      </w:r>
    </w:p>
    <w:p w:rsidR="003A1864" w:rsidRPr="003F52FE" w:rsidRDefault="003A1864" w:rsidP="0083766B">
      <w:pPr>
        <w:jc w:val="center"/>
        <w:rPr>
          <w:color w:val="000000" w:themeColor="text1"/>
          <w:sz w:val="22"/>
          <w:lang w:val="en-US"/>
        </w:rPr>
      </w:pPr>
      <w:proofErr w:type="gramStart"/>
      <w:r w:rsidRPr="003F52FE">
        <w:rPr>
          <w:b/>
          <w:color w:val="000000" w:themeColor="text1"/>
          <w:sz w:val="22"/>
          <w:lang w:val="en-US"/>
        </w:rPr>
        <w:t>Figure 2</w:t>
      </w:r>
      <w:r w:rsidR="007D15D1" w:rsidRPr="003F52FE">
        <w:rPr>
          <w:color w:val="000000" w:themeColor="text1"/>
          <w:sz w:val="22"/>
          <w:lang w:val="en-US"/>
        </w:rPr>
        <w:t>.</w:t>
      </w:r>
      <w:proofErr w:type="gramEnd"/>
      <w:r w:rsidRPr="003F52FE">
        <w:rPr>
          <w:color w:val="000000" w:themeColor="text1"/>
          <w:sz w:val="22"/>
          <w:lang w:val="en-US"/>
        </w:rPr>
        <w:t xml:space="preserve"> The output capital ratio </w:t>
      </w:r>
      <w:r w:rsidR="00933773" w:rsidRPr="003F52FE">
        <w:rPr>
          <w:color w:val="000000" w:themeColor="text1"/>
          <w:sz w:val="22"/>
          <w:lang w:val="en-US"/>
        </w:rPr>
        <w:t>at</w:t>
      </w:r>
      <w:r w:rsidR="007D15D1" w:rsidRPr="003F52FE">
        <w:rPr>
          <w:color w:val="000000" w:themeColor="text1"/>
          <w:sz w:val="22"/>
          <w:lang w:val="en-US"/>
        </w:rPr>
        <w:t xml:space="preserve"> historical cost</w:t>
      </w:r>
      <w:r w:rsidR="004A2738" w:rsidRPr="003F52FE">
        <w:rPr>
          <w:color w:val="000000" w:themeColor="text1"/>
          <w:sz w:val="22"/>
          <w:lang w:val="en-US"/>
        </w:rPr>
        <w:t>s</w:t>
      </w:r>
      <w:r w:rsidR="007D15D1" w:rsidRPr="003F52FE">
        <w:rPr>
          <w:color w:val="000000" w:themeColor="text1"/>
          <w:sz w:val="22"/>
          <w:lang w:val="en-US"/>
        </w:rPr>
        <w:t xml:space="preserve"> </w:t>
      </w:r>
      <w:r w:rsidRPr="003F52FE">
        <w:rPr>
          <w:color w:val="000000" w:themeColor="text1"/>
          <w:sz w:val="22"/>
          <w:lang w:val="en-US"/>
        </w:rPr>
        <w:t xml:space="preserve">and </w:t>
      </w:r>
      <w:r w:rsidR="007D15D1" w:rsidRPr="003F52FE">
        <w:rPr>
          <w:color w:val="000000" w:themeColor="text1"/>
          <w:sz w:val="22"/>
          <w:lang w:val="en-US"/>
        </w:rPr>
        <w:t>the inflation rate, Brazil, 1955-2008</w:t>
      </w:r>
    </w:p>
    <w:p w:rsidR="007D15D1" w:rsidRPr="003F52FE" w:rsidRDefault="007D15D1" w:rsidP="0083766B">
      <w:pPr>
        <w:jc w:val="center"/>
        <w:rPr>
          <w:color w:val="000000" w:themeColor="text1"/>
          <w:sz w:val="22"/>
          <w:lang w:val="en-US"/>
        </w:rPr>
      </w:pPr>
      <w:r w:rsidRPr="003F52FE">
        <w:rPr>
          <w:color w:val="000000" w:themeColor="text1"/>
          <w:sz w:val="22"/>
          <w:lang w:val="en-US"/>
        </w:rPr>
        <w:t>Source: Appendix</w:t>
      </w:r>
    </w:p>
    <w:p w:rsidR="007D15D1" w:rsidRDefault="007D15D1" w:rsidP="0083766B">
      <w:pPr>
        <w:ind w:firstLine="720"/>
        <w:rPr>
          <w:color w:val="000000" w:themeColor="text1"/>
          <w:lang w:val="en-US"/>
        </w:rPr>
      </w:pPr>
    </w:p>
    <w:p w:rsidR="0083766B" w:rsidRPr="003F52FE" w:rsidRDefault="0083766B" w:rsidP="0083766B">
      <w:pPr>
        <w:ind w:firstLine="720"/>
        <w:rPr>
          <w:color w:val="000000" w:themeColor="text1"/>
          <w:lang w:val="en-US"/>
        </w:rPr>
      </w:pPr>
    </w:p>
    <w:p w:rsidR="00053582" w:rsidRPr="003F52FE" w:rsidRDefault="0008544C" w:rsidP="0083766B">
      <w:pPr>
        <w:jc w:val="both"/>
        <w:rPr>
          <w:color w:val="000000" w:themeColor="text1"/>
          <w:lang w:val="en-US"/>
        </w:rPr>
      </w:pPr>
      <w:r w:rsidRPr="003F52FE">
        <w:rPr>
          <w:color w:val="000000" w:themeColor="text1"/>
          <w:lang w:val="en-US"/>
        </w:rPr>
        <w:lastRenderedPageBreak/>
        <w:tab/>
      </w:r>
      <w:r w:rsidR="00FE01C7" w:rsidRPr="003F52FE">
        <w:rPr>
          <w:color w:val="000000" w:themeColor="text1"/>
          <w:lang w:val="en-US"/>
        </w:rPr>
        <w:t xml:space="preserve">Figure 2 shows </w:t>
      </w:r>
      <w:r w:rsidR="004A2738" w:rsidRPr="003F52FE">
        <w:rPr>
          <w:color w:val="000000" w:themeColor="text1"/>
          <w:lang w:val="en-US"/>
        </w:rPr>
        <w:t xml:space="preserve">that the output capital ratio </w:t>
      </w:r>
      <w:r w:rsidR="00933773" w:rsidRPr="003F52FE">
        <w:rPr>
          <w:color w:val="000000" w:themeColor="text1"/>
          <w:lang w:val="en-US"/>
        </w:rPr>
        <w:t>at</w:t>
      </w:r>
      <w:r w:rsidR="00FE01C7" w:rsidRPr="003F52FE">
        <w:rPr>
          <w:color w:val="000000" w:themeColor="text1"/>
          <w:lang w:val="en-US"/>
        </w:rPr>
        <w:t xml:space="preserve"> historical cost</w:t>
      </w:r>
      <w:r w:rsidR="004A2738" w:rsidRPr="003F52FE">
        <w:rPr>
          <w:color w:val="000000" w:themeColor="text1"/>
          <w:lang w:val="en-US"/>
        </w:rPr>
        <w:t>s</w:t>
      </w:r>
      <w:r w:rsidR="00FE01C7" w:rsidRPr="003F52FE">
        <w:rPr>
          <w:color w:val="000000" w:themeColor="text1"/>
          <w:lang w:val="en-US"/>
        </w:rPr>
        <w:t xml:space="preserve"> is positively associated with the inflation rate. </w:t>
      </w:r>
      <w:r w:rsidR="005A52B2" w:rsidRPr="003F52FE">
        <w:rPr>
          <w:color w:val="000000" w:themeColor="text1"/>
          <w:lang w:val="en-US"/>
        </w:rPr>
        <w:t>A</w:t>
      </w:r>
      <w:r w:rsidR="00053582" w:rsidRPr="003F52FE">
        <w:rPr>
          <w:color w:val="000000" w:themeColor="text1"/>
          <w:lang w:val="en-US"/>
        </w:rPr>
        <w:t>n important question is</w:t>
      </w:r>
      <w:r w:rsidR="004A2738" w:rsidRPr="003F52FE">
        <w:rPr>
          <w:color w:val="000000" w:themeColor="text1"/>
          <w:lang w:val="en-US"/>
        </w:rPr>
        <w:t>,</w:t>
      </w:r>
      <w:r w:rsidR="00053582" w:rsidRPr="003F52FE">
        <w:rPr>
          <w:color w:val="000000" w:themeColor="text1"/>
          <w:lang w:val="en-US"/>
        </w:rPr>
        <w:t xml:space="preserve"> under what conditions the </w:t>
      </w:r>
      <w:r w:rsidR="007A51AB" w:rsidRPr="003F52FE">
        <w:rPr>
          <w:color w:val="000000" w:themeColor="text1"/>
          <w:lang w:val="en-US"/>
        </w:rPr>
        <w:t xml:space="preserve">movements of the </w:t>
      </w:r>
      <w:r w:rsidR="004A2738" w:rsidRPr="003F52FE">
        <w:rPr>
          <w:color w:val="000000" w:themeColor="text1"/>
          <w:lang w:val="en-US"/>
        </w:rPr>
        <w:t xml:space="preserve">output capital ratio </w:t>
      </w:r>
      <w:r w:rsidR="00D0781D" w:rsidRPr="003F52FE">
        <w:rPr>
          <w:color w:val="000000" w:themeColor="text1"/>
          <w:lang w:val="en-US"/>
        </w:rPr>
        <w:t>at</w:t>
      </w:r>
      <w:r w:rsidR="00053582" w:rsidRPr="003F52FE">
        <w:rPr>
          <w:color w:val="000000" w:themeColor="text1"/>
          <w:lang w:val="en-US"/>
        </w:rPr>
        <w:t xml:space="preserve"> historical prices </w:t>
      </w:r>
      <w:r w:rsidR="007A51AB" w:rsidRPr="003F52FE">
        <w:rPr>
          <w:color w:val="000000" w:themeColor="text1"/>
          <w:lang w:val="en-US"/>
        </w:rPr>
        <w:t>represent</w:t>
      </w:r>
      <w:r w:rsidR="004A2738" w:rsidRPr="003F52FE">
        <w:rPr>
          <w:color w:val="000000" w:themeColor="text1"/>
          <w:lang w:val="en-US"/>
        </w:rPr>
        <w:t>s</w:t>
      </w:r>
      <w:r w:rsidR="007A51AB" w:rsidRPr="003F52FE">
        <w:rPr>
          <w:color w:val="000000" w:themeColor="text1"/>
          <w:lang w:val="en-US"/>
        </w:rPr>
        <w:t xml:space="preserve"> </w:t>
      </w:r>
      <w:r w:rsidR="00053582" w:rsidRPr="003F52FE">
        <w:rPr>
          <w:color w:val="000000" w:themeColor="text1"/>
          <w:lang w:val="en-US"/>
        </w:rPr>
        <w:t>technical change. A posi</w:t>
      </w:r>
      <w:r w:rsidR="005A52B2" w:rsidRPr="003F52FE">
        <w:rPr>
          <w:color w:val="000000" w:themeColor="text1"/>
          <w:lang w:val="en-US"/>
        </w:rPr>
        <w:t xml:space="preserve">tive answer for this question </w:t>
      </w:r>
      <w:r w:rsidR="00053582" w:rsidRPr="003F52FE">
        <w:rPr>
          <w:color w:val="000000" w:themeColor="text1"/>
          <w:lang w:val="en-US"/>
        </w:rPr>
        <w:t>would be the c</w:t>
      </w:r>
      <w:r w:rsidR="007A51AB" w:rsidRPr="003F52FE">
        <w:rPr>
          <w:color w:val="000000" w:themeColor="text1"/>
          <w:lang w:val="en-US"/>
        </w:rPr>
        <w:t>ase of constant prices</w:t>
      </w:r>
      <w:r w:rsidR="00053582" w:rsidRPr="003F52FE">
        <w:rPr>
          <w:color w:val="000000" w:themeColor="text1"/>
          <w:lang w:val="en-US"/>
        </w:rPr>
        <w:t xml:space="preserve">. </w:t>
      </w:r>
      <w:r w:rsidR="00FE01C7" w:rsidRPr="003F52FE">
        <w:rPr>
          <w:color w:val="000000" w:themeColor="text1"/>
          <w:lang w:val="en-US"/>
        </w:rPr>
        <w:t xml:space="preserve">However, it is just a theoretical possibility. </w:t>
      </w:r>
      <w:r w:rsidR="004A2738" w:rsidRPr="003F52FE">
        <w:rPr>
          <w:color w:val="000000" w:themeColor="text1"/>
          <w:lang w:val="en-US"/>
        </w:rPr>
        <w:t xml:space="preserve">If the output capital ratio </w:t>
      </w:r>
      <w:r w:rsidR="00D0781D" w:rsidRPr="003F52FE">
        <w:rPr>
          <w:color w:val="000000" w:themeColor="text1"/>
          <w:lang w:val="en-US"/>
        </w:rPr>
        <w:t>at</w:t>
      </w:r>
      <w:r w:rsidR="00053582" w:rsidRPr="003F52FE">
        <w:rPr>
          <w:color w:val="000000" w:themeColor="text1"/>
          <w:lang w:val="en-US"/>
        </w:rPr>
        <w:t xml:space="preserve"> historical prices represents technical change, then </w:t>
      </w:r>
      <w:r w:rsidR="005A52B2" w:rsidRPr="003F52FE">
        <w:rPr>
          <w:color w:val="000000" w:themeColor="text1"/>
          <w:lang w:val="en-US"/>
        </w:rPr>
        <w:t>the</w:t>
      </w:r>
      <w:r w:rsidR="00053582" w:rsidRPr="003F52FE">
        <w:rPr>
          <w:color w:val="000000" w:themeColor="text1"/>
          <w:lang w:val="en-US"/>
        </w:rPr>
        <w:t xml:space="preserve"> question </w:t>
      </w:r>
      <w:r w:rsidR="004A2738" w:rsidRPr="003F52FE">
        <w:rPr>
          <w:color w:val="000000" w:themeColor="text1"/>
          <w:lang w:val="en-US"/>
        </w:rPr>
        <w:t>is</w:t>
      </w:r>
      <w:r w:rsidR="00053582" w:rsidRPr="003F52FE">
        <w:rPr>
          <w:color w:val="000000" w:themeColor="text1"/>
          <w:lang w:val="en-US"/>
        </w:rPr>
        <w:t xml:space="preserve"> why the inflation rate does not keep raising in the capitalist society.   </w:t>
      </w:r>
    </w:p>
    <w:p w:rsidR="00053582" w:rsidRPr="003F52FE" w:rsidRDefault="00053582" w:rsidP="0083766B">
      <w:pPr>
        <w:ind w:firstLine="720"/>
        <w:rPr>
          <w:color w:val="000000" w:themeColor="text1"/>
          <w:lang w:val="en-US"/>
        </w:rPr>
      </w:pPr>
    </w:p>
    <w:p w:rsidR="00AE06F2" w:rsidRPr="003F52FE" w:rsidRDefault="001F1FCD" w:rsidP="0083766B">
      <w:pPr>
        <w:jc w:val="both"/>
        <w:rPr>
          <w:b/>
          <w:color w:val="000000" w:themeColor="text1"/>
          <w:lang w:val="en-US"/>
        </w:rPr>
      </w:pPr>
      <w:r w:rsidRPr="003F52FE">
        <w:rPr>
          <w:b/>
          <w:color w:val="000000" w:themeColor="text1"/>
          <w:lang w:val="en-US"/>
        </w:rPr>
        <w:t>4.2. The decomposition</w:t>
      </w:r>
      <w:r w:rsidR="004A2738" w:rsidRPr="003F52FE">
        <w:rPr>
          <w:b/>
          <w:color w:val="000000" w:themeColor="text1"/>
          <w:lang w:val="en-US"/>
        </w:rPr>
        <w:t xml:space="preserve"> of the profit </w:t>
      </w:r>
      <w:r w:rsidR="00933773" w:rsidRPr="003F52FE">
        <w:rPr>
          <w:b/>
          <w:color w:val="000000" w:themeColor="text1"/>
          <w:lang w:val="en-US"/>
        </w:rPr>
        <w:t xml:space="preserve">rate at historical </w:t>
      </w:r>
      <w:r w:rsidR="00893AB7" w:rsidRPr="003F52FE">
        <w:rPr>
          <w:b/>
          <w:color w:val="000000" w:themeColor="text1"/>
          <w:lang w:val="en-US"/>
        </w:rPr>
        <w:t>c</w:t>
      </w:r>
      <w:r w:rsidR="00AE06F2" w:rsidRPr="003F52FE">
        <w:rPr>
          <w:b/>
          <w:color w:val="000000" w:themeColor="text1"/>
          <w:lang w:val="en-US"/>
        </w:rPr>
        <w:t>ost</w:t>
      </w:r>
      <w:r w:rsidR="004A2738" w:rsidRPr="003F52FE">
        <w:rPr>
          <w:b/>
          <w:color w:val="000000" w:themeColor="text1"/>
          <w:lang w:val="en-US"/>
        </w:rPr>
        <w:t>s</w:t>
      </w:r>
    </w:p>
    <w:p w:rsidR="005B570C" w:rsidRPr="003F52FE" w:rsidRDefault="005B570C" w:rsidP="0083766B">
      <w:pPr>
        <w:jc w:val="both"/>
        <w:rPr>
          <w:color w:val="000000" w:themeColor="text1"/>
          <w:lang w:val="en-US"/>
        </w:rPr>
      </w:pPr>
    </w:p>
    <w:p w:rsidR="00C26BDA" w:rsidRPr="003F52FE" w:rsidRDefault="00F76F2C" w:rsidP="0083766B">
      <w:pPr>
        <w:ind w:firstLine="720"/>
        <w:rPr>
          <w:color w:val="000000" w:themeColor="text1"/>
          <w:lang w:val="en-US"/>
        </w:rPr>
      </w:pPr>
      <w:r w:rsidRPr="003F52FE">
        <w:rPr>
          <w:color w:val="000000" w:themeColor="text1"/>
          <w:lang w:val="en-US"/>
        </w:rPr>
        <w:t>Table 4 shows the decomposition</w:t>
      </w:r>
      <w:r w:rsidR="004A2738" w:rsidRPr="003F52FE">
        <w:rPr>
          <w:color w:val="000000" w:themeColor="text1"/>
          <w:lang w:val="en-US"/>
        </w:rPr>
        <w:t xml:space="preserve"> of the profit </w:t>
      </w:r>
      <w:r w:rsidR="00933773" w:rsidRPr="003F52FE">
        <w:rPr>
          <w:color w:val="000000" w:themeColor="text1"/>
          <w:lang w:val="en-US"/>
        </w:rPr>
        <w:t xml:space="preserve">rate at historical </w:t>
      </w:r>
      <w:r w:rsidRPr="003F52FE">
        <w:rPr>
          <w:color w:val="000000" w:themeColor="text1"/>
          <w:lang w:val="en-US"/>
        </w:rPr>
        <w:t>costs</w:t>
      </w:r>
      <w:r w:rsidR="00193A48" w:rsidRPr="003F52FE">
        <w:rPr>
          <w:color w:val="000000" w:themeColor="text1"/>
          <w:lang w:val="en-US"/>
        </w:rPr>
        <w:t xml:space="preserve"> in th</w:t>
      </w:r>
      <w:r w:rsidR="00323E1B" w:rsidRPr="003F52FE">
        <w:rPr>
          <w:color w:val="000000" w:themeColor="text1"/>
          <w:lang w:val="en-US"/>
        </w:rPr>
        <w:t>e period 1955</w:t>
      </w:r>
      <w:r w:rsidR="00193A48" w:rsidRPr="003F52FE">
        <w:rPr>
          <w:color w:val="000000" w:themeColor="text1"/>
          <w:lang w:val="en-US"/>
        </w:rPr>
        <w:t>-2008</w:t>
      </w:r>
      <w:r w:rsidRPr="003F52FE">
        <w:rPr>
          <w:color w:val="000000" w:themeColor="text1"/>
          <w:lang w:val="en-US"/>
        </w:rPr>
        <w:t xml:space="preserve">. </w:t>
      </w:r>
      <w:r w:rsidR="00323E1B" w:rsidRPr="003F52FE">
        <w:rPr>
          <w:color w:val="000000" w:themeColor="text1"/>
          <w:lang w:val="en-US"/>
        </w:rPr>
        <w:t xml:space="preserve">It dropped 2.34% annually between 1953 and 2008. The </w:t>
      </w:r>
      <w:r w:rsidRPr="003F52FE">
        <w:rPr>
          <w:color w:val="000000" w:themeColor="text1"/>
          <w:lang w:val="en-US"/>
        </w:rPr>
        <w:t>ti</w:t>
      </w:r>
      <w:r w:rsidR="004A2738" w:rsidRPr="003F52FE">
        <w:rPr>
          <w:color w:val="000000" w:themeColor="text1"/>
          <w:lang w:val="en-US"/>
        </w:rPr>
        <w:t xml:space="preserve">me profile of the profit </w:t>
      </w:r>
      <w:r w:rsidR="00933773" w:rsidRPr="003F52FE">
        <w:rPr>
          <w:color w:val="000000" w:themeColor="text1"/>
          <w:lang w:val="en-US"/>
        </w:rPr>
        <w:t xml:space="preserve">rate at historical </w:t>
      </w:r>
      <w:r w:rsidR="00C26BDA" w:rsidRPr="003F52FE">
        <w:rPr>
          <w:color w:val="000000" w:themeColor="text1"/>
          <w:lang w:val="en-US"/>
        </w:rPr>
        <w:t>costs does not present the same ups and downs of the rate of</w:t>
      </w:r>
      <w:r w:rsidR="004A2738" w:rsidRPr="003F52FE">
        <w:rPr>
          <w:color w:val="000000" w:themeColor="text1"/>
          <w:lang w:val="en-US"/>
        </w:rPr>
        <w:t xml:space="preserve"> profit </w:t>
      </w:r>
      <w:r w:rsidR="00D0781D" w:rsidRPr="003F52FE">
        <w:rPr>
          <w:color w:val="000000" w:themeColor="text1"/>
          <w:lang w:val="en-US"/>
        </w:rPr>
        <w:t>at</w:t>
      </w:r>
      <w:r w:rsidR="00C26BDA" w:rsidRPr="003F52FE">
        <w:rPr>
          <w:color w:val="000000" w:themeColor="text1"/>
          <w:lang w:val="en-US"/>
        </w:rPr>
        <w:t xml:space="preserve"> historical costs. As before, the output-capital ratio determines the movements of the profit rate.  </w:t>
      </w:r>
    </w:p>
    <w:p w:rsidR="004A2738" w:rsidRPr="003F52FE" w:rsidRDefault="004A2738" w:rsidP="0083766B">
      <w:pPr>
        <w:ind w:firstLine="720"/>
        <w:rPr>
          <w:color w:val="000000" w:themeColor="text1"/>
          <w:lang w:val="en-US"/>
        </w:rPr>
      </w:pPr>
    </w:p>
    <w:p w:rsidR="00116E78" w:rsidRPr="003F52FE" w:rsidRDefault="00AE06F2" w:rsidP="0083766B">
      <w:pPr>
        <w:jc w:val="center"/>
        <w:rPr>
          <w:color w:val="000000" w:themeColor="text1"/>
          <w:sz w:val="22"/>
          <w:lang w:val="en-US"/>
        </w:rPr>
      </w:pPr>
      <w:proofErr w:type="gramStart"/>
      <w:r w:rsidRPr="003F52FE">
        <w:rPr>
          <w:color w:val="000000" w:themeColor="text1"/>
          <w:sz w:val="22"/>
          <w:lang w:val="en-US"/>
        </w:rPr>
        <w:t>Table 4.</w:t>
      </w:r>
      <w:proofErr w:type="gramEnd"/>
      <w:r w:rsidRPr="003F52FE">
        <w:rPr>
          <w:color w:val="000000" w:themeColor="text1"/>
          <w:sz w:val="22"/>
          <w:lang w:val="en-US"/>
        </w:rPr>
        <w:t xml:space="preserve"> Decomposition o</w:t>
      </w:r>
      <w:r w:rsidR="004A2738" w:rsidRPr="003F52FE">
        <w:rPr>
          <w:color w:val="000000" w:themeColor="text1"/>
          <w:sz w:val="22"/>
          <w:lang w:val="en-US"/>
        </w:rPr>
        <w:t xml:space="preserve">f the profit </w:t>
      </w:r>
      <w:r w:rsidR="00933773" w:rsidRPr="003F52FE">
        <w:rPr>
          <w:color w:val="000000" w:themeColor="text1"/>
          <w:sz w:val="22"/>
          <w:lang w:val="en-US"/>
        </w:rPr>
        <w:t xml:space="preserve">rate at historical </w:t>
      </w:r>
      <w:r w:rsidR="00D76750" w:rsidRPr="003F52FE">
        <w:rPr>
          <w:color w:val="000000" w:themeColor="text1"/>
          <w:sz w:val="22"/>
          <w:lang w:val="en-US"/>
        </w:rPr>
        <w:t xml:space="preserve">costs, Brazil, 1955-2008 </w:t>
      </w:r>
    </w:p>
    <w:p w:rsidR="00AE06F2" w:rsidRPr="003F52FE" w:rsidRDefault="00D76750" w:rsidP="0083766B">
      <w:pPr>
        <w:jc w:val="center"/>
        <w:rPr>
          <w:color w:val="000000" w:themeColor="text1"/>
          <w:sz w:val="22"/>
          <w:lang w:val="en-US"/>
        </w:rPr>
      </w:pPr>
      <w:r w:rsidRPr="003F52FE">
        <w:rPr>
          <w:color w:val="000000" w:themeColor="text1"/>
          <w:sz w:val="22"/>
          <w:lang w:val="en-US"/>
        </w:rPr>
        <w:t>(</w:t>
      </w:r>
      <w:proofErr w:type="gramStart"/>
      <w:r w:rsidR="00116E78" w:rsidRPr="003F52FE">
        <w:rPr>
          <w:color w:val="000000" w:themeColor="text1"/>
          <w:sz w:val="22"/>
          <w:lang w:val="en-US"/>
        </w:rPr>
        <w:t>compound</w:t>
      </w:r>
      <w:proofErr w:type="gramEnd"/>
      <w:r w:rsidR="00AE06F2" w:rsidRPr="003F52FE">
        <w:rPr>
          <w:color w:val="000000" w:themeColor="text1"/>
          <w:sz w:val="22"/>
          <w:lang w:val="en-US"/>
        </w:rPr>
        <w:t xml:space="preserve"> annual growth rate)</w:t>
      </w:r>
    </w:p>
    <w:tbl>
      <w:tblPr>
        <w:tblW w:w="6640" w:type="dxa"/>
        <w:jc w:val="center"/>
        <w:tblInd w:w="59" w:type="dxa"/>
        <w:tblCellMar>
          <w:left w:w="70" w:type="dxa"/>
          <w:right w:w="70" w:type="dxa"/>
        </w:tblCellMar>
        <w:tblLook w:val="04A0"/>
      </w:tblPr>
      <w:tblGrid>
        <w:gridCol w:w="1660"/>
        <w:gridCol w:w="1660"/>
        <w:gridCol w:w="1660"/>
        <w:gridCol w:w="1660"/>
      </w:tblGrid>
      <w:tr w:rsidR="00CE2330" w:rsidRPr="003F52FE" w:rsidTr="00CE2330">
        <w:trPr>
          <w:trHeight w:val="300"/>
          <w:jc w:val="center"/>
        </w:trPr>
        <w:tc>
          <w:tcPr>
            <w:tcW w:w="1660" w:type="dxa"/>
            <w:tcBorders>
              <w:top w:val="single" w:sz="4" w:space="0" w:color="auto"/>
              <w:left w:val="nil"/>
              <w:bottom w:val="single" w:sz="4" w:space="0" w:color="auto"/>
              <w:right w:val="nil"/>
            </w:tcBorders>
            <w:shd w:val="clear" w:color="auto" w:fill="auto"/>
            <w:noWrap/>
            <w:vAlign w:val="bottom"/>
            <w:hideMark/>
          </w:tcPr>
          <w:p w:rsidR="00CE2330" w:rsidRPr="003F52FE" w:rsidRDefault="00CE2330" w:rsidP="0083766B">
            <w:pPr>
              <w:widowControl/>
              <w:autoSpaceDE/>
              <w:autoSpaceDN/>
              <w:adjustRightInd/>
              <w:rPr>
                <w:rFonts w:eastAsia="Times New Roman"/>
                <w:color w:val="000000" w:themeColor="text1"/>
              </w:rPr>
            </w:pPr>
            <w:proofErr w:type="spellStart"/>
            <w:r w:rsidRPr="003F52FE">
              <w:rPr>
                <w:rFonts w:eastAsia="Times New Roman"/>
                <w:color w:val="000000" w:themeColor="text1"/>
                <w:sz w:val="22"/>
                <w:szCs w:val="22"/>
              </w:rPr>
              <w:t>Period</w:t>
            </w:r>
            <w:proofErr w:type="spellEnd"/>
          </w:p>
        </w:tc>
        <w:tc>
          <w:tcPr>
            <w:tcW w:w="1660" w:type="dxa"/>
            <w:tcBorders>
              <w:top w:val="single" w:sz="4" w:space="0" w:color="auto"/>
              <w:left w:val="nil"/>
              <w:bottom w:val="single" w:sz="4" w:space="0" w:color="auto"/>
              <w:right w:val="nil"/>
            </w:tcBorders>
            <w:shd w:val="clear" w:color="auto" w:fill="auto"/>
            <w:noWrap/>
            <w:vAlign w:val="bottom"/>
            <w:hideMark/>
          </w:tcPr>
          <w:p w:rsidR="00CE2330" w:rsidRPr="003F52FE" w:rsidRDefault="00CE2330" w:rsidP="0083766B">
            <w:pPr>
              <w:widowControl/>
              <w:autoSpaceDE/>
              <w:autoSpaceDN/>
              <w:adjustRightInd/>
              <w:jc w:val="center"/>
              <w:rPr>
                <w:rFonts w:eastAsia="Times New Roman"/>
                <w:color w:val="000000" w:themeColor="text1"/>
              </w:rPr>
            </w:pPr>
            <w:proofErr w:type="spellStart"/>
            <w:proofErr w:type="gramStart"/>
            <w:r w:rsidRPr="003F52FE">
              <w:rPr>
                <w:rFonts w:eastAsia="Times New Roman"/>
                <w:color w:val="000000" w:themeColor="text1"/>
                <w:sz w:val="22"/>
                <w:szCs w:val="22"/>
              </w:rPr>
              <w:t>r</w:t>
            </w:r>
            <w:r w:rsidR="00FA32BC" w:rsidRPr="003F52FE">
              <w:rPr>
                <w:rFonts w:eastAsia="Times New Roman"/>
                <w:color w:val="000000" w:themeColor="text1"/>
                <w:sz w:val="22"/>
                <w:szCs w:val="22"/>
                <w:vertAlign w:val="superscript"/>
              </w:rPr>
              <w:t>C</w:t>
            </w:r>
            <w:proofErr w:type="spellEnd"/>
            <w:proofErr w:type="gramEnd"/>
          </w:p>
        </w:tc>
        <w:tc>
          <w:tcPr>
            <w:tcW w:w="1660" w:type="dxa"/>
            <w:tcBorders>
              <w:top w:val="single" w:sz="4" w:space="0" w:color="auto"/>
              <w:left w:val="nil"/>
              <w:bottom w:val="single" w:sz="4" w:space="0" w:color="auto"/>
              <w:right w:val="nil"/>
            </w:tcBorders>
            <w:shd w:val="clear" w:color="auto" w:fill="auto"/>
            <w:noWrap/>
            <w:vAlign w:val="bottom"/>
            <w:hideMark/>
          </w:tcPr>
          <w:p w:rsidR="00CE2330" w:rsidRPr="003F52FE" w:rsidRDefault="006A4389" w:rsidP="0083766B">
            <w:pPr>
              <w:widowControl/>
              <w:autoSpaceDE/>
              <w:autoSpaceDN/>
              <w:adjustRightInd/>
              <w:jc w:val="center"/>
              <w:rPr>
                <w:rFonts w:eastAsia="Times New Roman"/>
                <w:color w:val="000000" w:themeColor="text1"/>
              </w:rPr>
            </w:pPr>
            <w:proofErr w:type="spellStart"/>
            <w:r w:rsidRPr="003F52FE">
              <w:rPr>
                <w:rFonts w:eastAsia="Times New Roman"/>
                <w:color w:val="000000" w:themeColor="text1"/>
                <w:sz w:val="22"/>
                <w:szCs w:val="22"/>
              </w:rPr>
              <w:t>ρ</w:t>
            </w:r>
            <w:r w:rsidRPr="003F52FE">
              <w:rPr>
                <w:rFonts w:eastAsia="Times New Roman"/>
                <w:color w:val="000000" w:themeColor="text1"/>
                <w:sz w:val="22"/>
                <w:szCs w:val="22"/>
                <w:vertAlign w:val="superscript"/>
              </w:rPr>
              <w:t>C</w:t>
            </w:r>
            <w:proofErr w:type="spellEnd"/>
          </w:p>
        </w:tc>
        <w:tc>
          <w:tcPr>
            <w:tcW w:w="1660" w:type="dxa"/>
            <w:tcBorders>
              <w:top w:val="single" w:sz="4" w:space="0" w:color="auto"/>
              <w:left w:val="nil"/>
              <w:bottom w:val="single" w:sz="4" w:space="0" w:color="auto"/>
              <w:right w:val="nil"/>
            </w:tcBorders>
            <w:shd w:val="clear" w:color="auto" w:fill="auto"/>
            <w:noWrap/>
            <w:vAlign w:val="bottom"/>
            <w:hideMark/>
          </w:tcPr>
          <w:p w:rsidR="00CE2330" w:rsidRPr="003F52FE" w:rsidRDefault="00FA32BC"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sym w:font="Symbol" w:char="F070"/>
            </w:r>
          </w:p>
        </w:tc>
      </w:tr>
      <w:tr w:rsidR="00515761" w:rsidRPr="003F52FE" w:rsidTr="00B82B7C">
        <w:trPr>
          <w:trHeight w:val="300"/>
          <w:jc w:val="center"/>
        </w:trPr>
        <w:tc>
          <w:tcPr>
            <w:tcW w:w="1660" w:type="dxa"/>
            <w:tcBorders>
              <w:top w:val="nil"/>
              <w:left w:val="nil"/>
              <w:bottom w:val="nil"/>
              <w:right w:val="nil"/>
            </w:tcBorders>
            <w:shd w:val="clear" w:color="auto" w:fill="auto"/>
            <w:noWrap/>
            <w:vAlign w:val="bottom"/>
            <w:hideMark/>
          </w:tcPr>
          <w:p w:rsidR="00515761" w:rsidRPr="003F52FE" w:rsidRDefault="00515761"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1955-2008</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-2.34</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-2.37</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0.03</w:t>
            </w:r>
          </w:p>
        </w:tc>
      </w:tr>
      <w:tr w:rsidR="00515761" w:rsidRPr="003F52FE" w:rsidTr="00B82B7C">
        <w:trPr>
          <w:trHeight w:val="300"/>
          <w:jc w:val="center"/>
        </w:trPr>
        <w:tc>
          <w:tcPr>
            <w:tcW w:w="1660" w:type="dxa"/>
            <w:tcBorders>
              <w:top w:val="nil"/>
              <w:left w:val="nil"/>
              <w:bottom w:val="nil"/>
              <w:right w:val="nil"/>
            </w:tcBorders>
            <w:shd w:val="clear" w:color="auto" w:fill="auto"/>
            <w:noWrap/>
            <w:vAlign w:val="bottom"/>
            <w:hideMark/>
          </w:tcPr>
          <w:p w:rsidR="00515761" w:rsidRPr="003F52FE" w:rsidRDefault="00515761"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1955-1973</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-1.46</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-1.68</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0.22</w:t>
            </w:r>
          </w:p>
        </w:tc>
      </w:tr>
      <w:tr w:rsidR="00515761" w:rsidRPr="003F52FE" w:rsidTr="00B82B7C">
        <w:trPr>
          <w:trHeight w:val="300"/>
          <w:jc w:val="center"/>
        </w:trPr>
        <w:tc>
          <w:tcPr>
            <w:tcW w:w="1660" w:type="dxa"/>
            <w:tcBorders>
              <w:top w:val="nil"/>
              <w:left w:val="nil"/>
              <w:bottom w:val="nil"/>
              <w:right w:val="nil"/>
            </w:tcBorders>
            <w:shd w:val="clear" w:color="auto" w:fill="auto"/>
            <w:noWrap/>
            <w:vAlign w:val="bottom"/>
            <w:hideMark/>
          </w:tcPr>
          <w:p w:rsidR="00515761" w:rsidRPr="003F52FE" w:rsidRDefault="00515761"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1955-1962</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-4.14</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-4.57</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0.43</w:t>
            </w:r>
          </w:p>
        </w:tc>
      </w:tr>
      <w:tr w:rsidR="00515761" w:rsidRPr="003F52FE" w:rsidTr="00B82B7C">
        <w:trPr>
          <w:trHeight w:val="300"/>
          <w:jc w:val="center"/>
        </w:trPr>
        <w:tc>
          <w:tcPr>
            <w:tcW w:w="1660" w:type="dxa"/>
            <w:tcBorders>
              <w:top w:val="nil"/>
              <w:left w:val="nil"/>
              <w:bottom w:val="nil"/>
              <w:right w:val="nil"/>
            </w:tcBorders>
            <w:shd w:val="clear" w:color="auto" w:fill="auto"/>
            <w:noWrap/>
            <w:vAlign w:val="bottom"/>
            <w:hideMark/>
          </w:tcPr>
          <w:p w:rsidR="00515761" w:rsidRPr="003F52FE" w:rsidRDefault="00515761"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1962-1973</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0.24</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0.15</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0.09</w:t>
            </w:r>
          </w:p>
        </w:tc>
      </w:tr>
      <w:tr w:rsidR="00515761" w:rsidRPr="003F52FE" w:rsidTr="00B82B7C">
        <w:trPr>
          <w:trHeight w:val="300"/>
          <w:jc w:val="center"/>
        </w:trPr>
        <w:tc>
          <w:tcPr>
            <w:tcW w:w="1660" w:type="dxa"/>
            <w:tcBorders>
              <w:top w:val="nil"/>
              <w:left w:val="nil"/>
              <w:bottom w:val="nil"/>
              <w:right w:val="nil"/>
            </w:tcBorders>
            <w:shd w:val="clear" w:color="auto" w:fill="auto"/>
            <w:noWrap/>
            <w:vAlign w:val="bottom"/>
            <w:hideMark/>
          </w:tcPr>
          <w:p w:rsidR="00515761" w:rsidRPr="003F52FE" w:rsidRDefault="00515761"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1973-1989</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-8.09</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-7.61</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-0.48</w:t>
            </w:r>
          </w:p>
        </w:tc>
      </w:tr>
      <w:tr w:rsidR="00515761" w:rsidRPr="003F52FE" w:rsidTr="00B82B7C">
        <w:trPr>
          <w:trHeight w:val="300"/>
          <w:jc w:val="center"/>
        </w:trPr>
        <w:tc>
          <w:tcPr>
            <w:tcW w:w="1660" w:type="dxa"/>
            <w:tcBorders>
              <w:top w:val="nil"/>
              <w:left w:val="nil"/>
              <w:bottom w:val="nil"/>
              <w:right w:val="nil"/>
            </w:tcBorders>
            <w:shd w:val="clear" w:color="auto" w:fill="auto"/>
            <w:noWrap/>
            <w:vAlign w:val="bottom"/>
            <w:hideMark/>
          </w:tcPr>
          <w:p w:rsidR="00515761" w:rsidRPr="003F52FE" w:rsidRDefault="00515761"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1973-1980</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-7.67</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-7.59</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-0.08</w:t>
            </w:r>
          </w:p>
        </w:tc>
      </w:tr>
      <w:tr w:rsidR="00515761" w:rsidRPr="003F52FE" w:rsidTr="00B82B7C">
        <w:trPr>
          <w:trHeight w:val="300"/>
          <w:jc w:val="center"/>
        </w:trPr>
        <w:tc>
          <w:tcPr>
            <w:tcW w:w="1660" w:type="dxa"/>
            <w:tcBorders>
              <w:top w:val="nil"/>
              <w:left w:val="nil"/>
              <w:bottom w:val="nil"/>
              <w:right w:val="nil"/>
            </w:tcBorders>
            <w:shd w:val="clear" w:color="auto" w:fill="auto"/>
            <w:noWrap/>
            <w:vAlign w:val="bottom"/>
            <w:hideMark/>
          </w:tcPr>
          <w:p w:rsidR="00515761" w:rsidRPr="003F52FE" w:rsidRDefault="00515761"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1980-1989</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-8.41</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-7.62</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-0.79</w:t>
            </w:r>
          </w:p>
        </w:tc>
      </w:tr>
      <w:tr w:rsidR="00515761" w:rsidRPr="003F52FE" w:rsidTr="00B82B7C">
        <w:trPr>
          <w:trHeight w:val="300"/>
          <w:jc w:val="center"/>
        </w:trPr>
        <w:tc>
          <w:tcPr>
            <w:tcW w:w="1660" w:type="dxa"/>
            <w:tcBorders>
              <w:top w:val="nil"/>
              <w:left w:val="nil"/>
              <w:bottom w:val="nil"/>
              <w:right w:val="nil"/>
            </w:tcBorders>
            <w:shd w:val="clear" w:color="auto" w:fill="auto"/>
            <w:noWrap/>
            <w:vAlign w:val="bottom"/>
            <w:hideMark/>
          </w:tcPr>
          <w:p w:rsidR="00515761" w:rsidRPr="003F52FE" w:rsidRDefault="00515761"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1989-2003</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1.81</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1.16</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0.65</w:t>
            </w:r>
          </w:p>
        </w:tc>
      </w:tr>
      <w:tr w:rsidR="00515761" w:rsidRPr="003F52FE" w:rsidTr="00B82B7C">
        <w:trPr>
          <w:trHeight w:val="300"/>
          <w:jc w:val="center"/>
        </w:trPr>
        <w:tc>
          <w:tcPr>
            <w:tcW w:w="1660" w:type="dxa"/>
            <w:tcBorders>
              <w:top w:val="nil"/>
              <w:left w:val="nil"/>
              <w:bottom w:val="nil"/>
              <w:right w:val="nil"/>
            </w:tcBorders>
            <w:shd w:val="clear" w:color="auto" w:fill="auto"/>
            <w:noWrap/>
            <w:vAlign w:val="bottom"/>
            <w:hideMark/>
          </w:tcPr>
          <w:p w:rsidR="00515761" w:rsidRPr="003F52FE" w:rsidRDefault="00515761"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1989-1994</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2.97</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2.81</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0.16</w:t>
            </w:r>
          </w:p>
        </w:tc>
      </w:tr>
      <w:tr w:rsidR="00515761" w:rsidRPr="003F52FE" w:rsidTr="00B82B7C">
        <w:trPr>
          <w:trHeight w:val="300"/>
          <w:jc w:val="center"/>
        </w:trPr>
        <w:tc>
          <w:tcPr>
            <w:tcW w:w="1660" w:type="dxa"/>
            <w:tcBorders>
              <w:top w:val="nil"/>
              <w:left w:val="nil"/>
              <w:bottom w:val="nil"/>
              <w:right w:val="nil"/>
            </w:tcBorders>
            <w:shd w:val="clear" w:color="auto" w:fill="auto"/>
            <w:noWrap/>
            <w:vAlign w:val="bottom"/>
            <w:hideMark/>
          </w:tcPr>
          <w:p w:rsidR="00515761" w:rsidRPr="003F52FE" w:rsidRDefault="00515761"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1994-2003</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1.16</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0.25</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0.91</w:t>
            </w:r>
          </w:p>
        </w:tc>
      </w:tr>
      <w:tr w:rsidR="00515761" w:rsidRPr="003F52FE" w:rsidTr="00B82B7C">
        <w:trPr>
          <w:trHeight w:val="300"/>
          <w:jc w:val="center"/>
        </w:trPr>
        <w:tc>
          <w:tcPr>
            <w:tcW w:w="1660" w:type="dxa"/>
            <w:tcBorders>
              <w:top w:val="nil"/>
              <w:left w:val="nil"/>
              <w:bottom w:val="single" w:sz="4" w:space="0" w:color="auto"/>
              <w:right w:val="nil"/>
            </w:tcBorders>
            <w:shd w:val="clear" w:color="auto" w:fill="auto"/>
            <w:noWrap/>
            <w:vAlign w:val="bottom"/>
            <w:hideMark/>
          </w:tcPr>
          <w:p w:rsidR="00515761" w:rsidRPr="003F52FE" w:rsidRDefault="00515761"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2003-2008</w:t>
            </w:r>
          </w:p>
        </w:tc>
        <w:tc>
          <w:tcPr>
            <w:tcW w:w="1660" w:type="dxa"/>
            <w:tcBorders>
              <w:top w:val="nil"/>
              <w:left w:val="nil"/>
              <w:bottom w:val="single" w:sz="4" w:space="0" w:color="auto"/>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1.3</w:t>
            </w:r>
          </w:p>
        </w:tc>
        <w:tc>
          <w:tcPr>
            <w:tcW w:w="1660" w:type="dxa"/>
            <w:tcBorders>
              <w:top w:val="nil"/>
              <w:left w:val="nil"/>
              <w:bottom w:val="single" w:sz="4" w:space="0" w:color="auto"/>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2.07</w:t>
            </w:r>
          </w:p>
        </w:tc>
        <w:tc>
          <w:tcPr>
            <w:tcW w:w="1660" w:type="dxa"/>
            <w:tcBorders>
              <w:top w:val="nil"/>
              <w:left w:val="nil"/>
              <w:bottom w:val="single" w:sz="4" w:space="0" w:color="auto"/>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-0.77</w:t>
            </w:r>
          </w:p>
        </w:tc>
      </w:tr>
    </w:tbl>
    <w:p w:rsidR="00383553" w:rsidRPr="003F52FE" w:rsidRDefault="00552C5F" w:rsidP="0083766B">
      <w:pPr>
        <w:ind w:left="720"/>
        <w:jc w:val="both"/>
        <w:rPr>
          <w:color w:val="000000" w:themeColor="text1"/>
          <w:sz w:val="22"/>
          <w:lang w:val="en-US"/>
        </w:rPr>
      </w:pPr>
      <w:r w:rsidRPr="003F52FE">
        <w:rPr>
          <w:color w:val="000000" w:themeColor="text1"/>
          <w:sz w:val="22"/>
          <w:lang w:val="en-US"/>
        </w:rPr>
        <w:t xml:space="preserve">    </w:t>
      </w:r>
      <w:r w:rsidR="00383553" w:rsidRPr="003F52FE">
        <w:rPr>
          <w:color w:val="000000" w:themeColor="text1"/>
          <w:sz w:val="22"/>
          <w:lang w:val="en-US"/>
        </w:rPr>
        <w:t xml:space="preserve">Source: </w:t>
      </w:r>
      <w:r w:rsidR="007D06C2" w:rsidRPr="003F52FE">
        <w:rPr>
          <w:color w:val="000000" w:themeColor="text1"/>
          <w:sz w:val="22"/>
          <w:lang w:val="en-US"/>
        </w:rPr>
        <w:t xml:space="preserve">Appendix </w:t>
      </w:r>
    </w:p>
    <w:p w:rsidR="00765465" w:rsidRPr="003F52FE" w:rsidRDefault="00765465" w:rsidP="0083766B">
      <w:pPr>
        <w:ind w:firstLine="720"/>
        <w:jc w:val="both"/>
        <w:rPr>
          <w:color w:val="000000" w:themeColor="text1"/>
          <w:lang w:val="en-US"/>
        </w:rPr>
      </w:pPr>
    </w:p>
    <w:p w:rsidR="00126426" w:rsidRPr="003F52FE" w:rsidRDefault="005A52B2" w:rsidP="0083766B">
      <w:pPr>
        <w:ind w:firstLine="720"/>
        <w:rPr>
          <w:color w:val="000000" w:themeColor="text1"/>
          <w:lang w:val="en-US"/>
        </w:rPr>
      </w:pPr>
      <w:r w:rsidRPr="003F52FE">
        <w:rPr>
          <w:color w:val="000000" w:themeColor="text1"/>
          <w:lang w:val="en-US"/>
        </w:rPr>
        <w:t>Table 5 displays the decompositio</w:t>
      </w:r>
      <w:r w:rsidR="004A2738" w:rsidRPr="003F52FE">
        <w:rPr>
          <w:color w:val="000000" w:themeColor="text1"/>
          <w:lang w:val="en-US"/>
        </w:rPr>
        <w:t xml:space="preserve">n of the capital output ratio </w:t>
      </w:r>
      <w:r w:rsidR="00D0781D" w:rsidRPr="003F52FE">
        <w:rPr>
          <w:color w:val="000000" w:themeColor="text1"/>
          <w:lang w:val="en-US"/>
        </w:rPr>
        <w:t>at</w:t>
      </w:r>
      <w:r w:rsidRPr="003F52FE">
        <w:rPr>
          <w:color w:val="000000" w:themeColor="text1"/>
          <w:lang w:val="en-US"/>
        </w:rPr>
        <w:t xml:space="preserve"> current cost</w:t>
      </w:r>
      <w:r w:rsidR="004A2738" w:rsidRPr="003F52FE">
        <w:rPr>
          <w:color w:val="000000" w:themeColor="text1"/>
          <w:lang w:val="en-US"/>
        </w:rPr>
        <w:t>s</w:t>
      </w:r>
      <w:r w:rsidRPr="003F52FE">
        <w:rPr>
          <w:color w:val="000000" w:themeColor="text1"/>
          <w:lang w:val="en-US"/>
        </w:rPr>
        <w:t xml:space="preserve">. </w:t>
      </w:r>
      <w:r w:rsidR="004A2738" w:rsidRPr="003F52FE">
        <w:rPr>
          <w:color w:val="000000" w:themeColor="text1"/>
          <w:lang w:val="en-US"/>
        </w:rPr>
        <w:t xml:space="preserve"> It r</w:t>
      </w:r>
      <w:r w:rsidRPr="003F52FE">
        <w:rPr>
          <w:color w:val="000000" w:themeColor="text1"/>
          <w:lang w:val="en-US"/>
        </w:rPr>
        <w:t>ises with the relative prices and real GDP growth rate and declines with capital accumulation. From 1955 to 2008, capital productivity declined 2.37% per year. However, it displayed three phases. First</w:t>
      </w:r>
      <w:r w:rsidR="004A2738" w:rsidRPr="003F52FE">
        <w:rPr>
          <w:color w:val="000000" w:themeColor="text1"/>
          <w:lang w:val="en-US"/>
        </w:rPr>
        <w:t>ly</w:t>
      </w:r>
      <w:r w:rsidRPr="003F52FE">
        <w:rPr>
          <w:color w:val="000000" w:themeColor="text1"/>
          <w:lang w:val="en-US"/>
        </w:rPr>
        <w:t>, it declined at 1.68% annually between 1955 and 1973; second</w:t>
      </w:r>
      <w:r w:rsidR="004A2738" w:rsidRPr="003F52FE">
        <w:rPr>
          <w:color w:val="000000" w:themeColor="text1"/>
          <w:lang w:val="en-US"/>
        </w:rPr>
        <w:t>ly</w:t>
      </w:r>
      <w:r w:rsidRPr="003F52FE">
        <w:rPr>
          <w:color w:val="000000" w:themeColor="text1"/>
          <w:lang w:val="en-US"/>
        </w:rPr>
        <w:t>, it fell sharply from 1973 to 1998; third</w:t>
      </w:r>
      <w:r w:rsidR="004A2738" w:rsidRPr="003F52FE">
        <w:rPr>
          <w:color w:val="000000" w:themeColor="text1"/>
          <w:lang w:val="en-US"/>
        </w:rPr>
        <w:t>ly</w:t>
      </w:r>
      <w:r w:rsidRPr="003F52FE">
        <w:rPr>
          <w:color w:val="000000" w:themeColor="text1"/>
          <w:lang w:val="en-US"/>
        </w:rPr>
        <w:t xml:space="preserve">, </w:t>
      </w:r>
      <w:r w:rsidR="00592365" w:rsidRPr="003F52FE">
        <w:rPr>
          <w:color w:val="000000" w:themeColor="text1"/>
          <w:lang w:val="en-US"/>
        </w:rPr>
        <w:t>it increased at 1.</w:t>
      </w:r>
      <w:r w:rsidRPr="003F52FE">
        <w:rPr>
          <w:color w:val="000000" w:themeColor="text1"/>
          <w:lang w:val="en-US"/>
        </w:rPr>
        <w:t>16% from 1989 to 2003 and 2.07% between 2003 and 2008.</w:t>
      </w:r>
    </w:p>
    <w:p w:rsidR="005A52B2" w:rsidRDefault="005A52B2" w:rsidP="0083766B">
      <w:pPr>
        <w:ind w:firstLine="720"/>
        <w:rPr>
          <w:color w:val="000000" w:themeColor="text1"/>
          <w:lang w:val="en-US"/>
        </w:rPr>
      </w:pPr>
    </w:p>
    <w:p w:rsidR="0083766B" w:rsidRDefault="0083766B" w:rsidP="0083766B">
      <w:pPr>
        <w:ind w:firstLine="720"/>
        <w:rPr>
          <w:color w:val="000000" w:themeColor="text1"/>
          <w:lang w:val="en-US"/>
        </w:rPr>
      </w:pPr>
    </w:p>
    <w:p w:rsidR="0083766B" w:rsidRDefault="0083766B" w:rsidP="0083766B">
      <w:pPr>
        <w:ind w:firstLine="720"/>
        <w:rPr>
          <w:color w:val="000000" w:themeColor="text1"/>
          <w:lang w:val="en-US"/>
        </w:rPr>
      </w:pPr>
    </w:p>
    <w:p w:rsidR="0083766B" w:rsidRDefault="0083766B" w:rsidP="0083766B">
      <w:pPr>
        <w:ind w:firstLine="720"/>
        <w:rPr>
          <w:color w:val="000000" w:themeColor="text1"/>
          <w:lang w:val="en-US"/>
        </w:rPr>
      </w:pPr>
    </w:p>
    <w:p w:rsidR="0083766B" w:rsidRDefault="0083766B" w:rsidP="0083766B">
      <w:pPr>
        <w:ind w:firstLine="720"/>
        <w:rPr>
          <w:color w:val="000000" w:themeColor="text1"/>
          <w:lang w:val="en-US"/>
        </w:rPr>
      </w:pPr>
    </w:p>
    <w:p w:rsidR="0083766B" w:rsidRDefault="0083766B" w:rsidP="0083766B">
      <w:pPr>
        <w:ind w:firstLine="720"/>
        <w:rPr>
          <w:color w:val="000000" w:themeColor="text1"/>
          <w:lang w:val="en-US"/>
        </w:rPr>
      </w:pPr>
    </w:p>
    <w:p w:rsidR="0083766B" w:rsidRDefault="0083766B" w:rsidP="0083766B">
      <w:pPr>
        <w:ind w:firstLine="720"/>
        <w:rPr>
          <w:color w:val="000000" w:themeColor="text1"/>
          <w:lang w:val="en-US"/>
        </w:rPr>
      </w:pPr>
    </w:p>
    <w:p w:rsidR="0083766B" w:rsidRDefault="0083766B" w:rsidP="0083766B">
      <w:pPr>
        <w:ind w:firstLine="720"/>
        <w:rPr>
          <w:color w:val="000000" w:themeColor="text1"/>
          <w:lang w:val="en-US"/>
        </w:rPr>
      </w:pPr>
    </w:p>
    <w:p w:rsidR="0083766B" w:rsidRPr="003F52FE" w:rsidRDefault="0083766B" w:rsidP="0083766B">
      <w:pPr>
        <w:ind w:firstLine="720"/>
        <w:rPr>
          <w:color w:val="000000" w:themeColor="text1"/>
          <w:lang w:val="en-US"/>
        </w:rPr>
      </w:pPr>
    </w:p>
    <w:p w:rsidR="00116E78" w:rsidRPr="003F52FE" w:rsidRDefault="00AE06F2" w:rsidP="0083766B">
      <w:pPr>
        <w:jc w:val="center"/>
        <w:rPr>
          <w:color w:val="000000" w:themeColor="text1"/>
          <w:sz w:val="22"/>
          <w:lang w:val="en-US"/>
        </w:rPr>
      </w:pPr>
      <w:proofErr w:type="gramStart"/>
      <w:r w:rsidRPr="003F52FE">
        <w:rPr>
          <w:color w:val="000000" w:themeColor="text1"/>
          <w:sz w:val="22"/>
          <w:lang w:val="en-US"/>
        </w:rPr>
        <w:lastRenderedPageBreak/>
        <w:t>Table 5.</w:t>
      </w:r>
      <w:proofErr w:type="gramEnd"/>
      <w:r w:rsidRPr="003F52FE">
        <w:rPr>
          <w:color w:val="000000" w:themeColor="text1"/>
          <w:sz w:val="22"/>
          <w:lang w:val="en-US"/>
        </w:rPr>
        <w:t xml:space="preserve"> Decomposition of the output-capital ratio</w:t>
      </w:r>
      <w:r w:rsidR="004A2738" w:rsidRPr="003F52FE">
        <w:rPr>
          <w:color w:val="000000" w:themeColor="text1"/>
          <w:sz w:val="22"/>
          <w:lang w:val="en-US"/>
        </w:rPr>
        <w:t xml:space="preserve"> </w:t>
      </w:r>
      <w:r w:rsidR="00D0781D" w:rsidRPr="003F52FE">
        <w:rPr>
          <w:color w:val="000000" w:themeColor="text1"/>
          <w:sz w:val="22"/>
          <w:lang w:val="en-US"/>
        </w:rPr>
        <w:t>at</w:t>
      </w:r>
      <w:r w:rsidR="00D76750" w:rsidRPr="003F52FE">
        <w:rPr>
          <w:color w:val="000000" w:themeColor="text1"/>
          <w:sz w:val="22"/>
          <w:lang w:val="en-US"/>
        </w:rPr>
        <w:t xml:space="preserve"> current costs</w:t>
      </w:r>
      <w:r w:rsidRPr="003F52FE">
        <w:rPr>
          <w:color w:val="000000" w:themeColor="text1"/>
          <w:sz w:val="22"/>
          <w:lang w:val="en-US"/>
        </w:rPr>
        <w:t xml:space="preserve">, Brazil, 1955-2008 </w:t>
      </w:r>
    </w:p>
    <w:p w:rsidR="00AE06F2" w:rsidRPr="003F52FE" w:rsidRDefault="00AE06F2" w:rsidP="0083766B">
      <w:pPr>
        <w:jc w:val="center"/>
        <w:rPr>
          <w:color w:val="000000" w:themeColor="text1"/>
          <w:sz w:val="22"/>
          <w:lang w:val="en-US"/>
        </w:rPr>
      </w:pPr>
      <w:r w:rsidRPr="003F52FE">
        <w:rPr>
          <w:color w:val="000000" w:themeColor="text1"/>
          <w:sz w:val="22"/>
          <w:lang w:val="en-US"/>
        </w:rPr>
        <w:t>(</w:t>
      </w:r>
      <w:proofErr w:type="spellStart"/>
      <w:proofErr w:type="gramStart"/>
      <w:r w:rsidR="00116E78" w:rsidRPr="003F52FE">
        <w:rPr>
          <w:color w:val="000000" w:themeColor="text1"/>
          <w:sz w:val="22"/>
          <w:lang w:val="en-US"/>
        </w:rPr>
        <w:t>compound</w:t>
      </w:r>
      <w:r w:rsidRPr="003F52FE">
        <w:rPr>
          <w:color w:val="000000" w:themeColor="text1"/>
          <w:sz w:val="22"/>
          <w:lang w:val="en-US"/>
        </w:rPr>
        <w:t>annual</w:t>
      </w:r>
      <w:proofErr w:type="spellEnd"/>
      <w:proofErr w:type="gramEnd"/>
      <w:r w:rsidRPr="003F52FE">
        <w:rPr>
          <w:color w:val="000000" w:themeColor="text1"/>
          <w:sz w:val="22"/>
          <w:lang w:val="en-US"/>
        </w:rPr>
        <w:t xml:space="preserve"> growth rate)</w:t>
      </w:r>
    </w:p>
    <w:tbl>
      <w:tblPr>
        <w:tblW w:w="8300" w:type="dxa"/>
        <w:jc w:val="center"/>
        <w:tblInd w:w="59" w:type="dxa"/>
        <w:tblCellMar>
          <w:left w:w="70" w:type="dxa"/>
          <w:right w:w="70" w:type="dxa"/>
        </w:tblCellMar>
        <w:tblLook w:val="04A0"/>
      </w:tblPr>
      <w:tblGrid>
        <w:gridCol w:w="1660"/>
        <w:gridCol w:w="1660"/>
        <w:gridCol w:w="1660"/>
        <w:gridCol w:w="1660"/>
        <w:gridCol w:w="1660"/>
      </w:tblGrid>
      <w:tr w:rsidR="00FA32BC" w:rsidRPr="003F52FE" w:rsidTr="00CE2330">
        <w:trPr>
          <w:trHeight w:val="300"/>
          <w:jc w:val="center"/>
        </w:trPr>
        <w:tc>
          <w:tcPr>
            <w:tcW w:w="1660" w:type="dxa"/>
            <w:tcBorders>
              <w:top w:val="single" w:sz="4" w:space="0" w:color="auto"/>
              <w:left w:val="nil"/>
              <w:bottom w:val="single" w:sz="4" w:space="0" w:color="auto"/>
              <w:right w:val="nil"/>
            </w:tcBorders>
            <w:shd w:val="clear" w:color="auto" w:fill="auto"/>
            <w:noWrap/>
            <w:vAlign w:val="bottom"/>
            <w:hideMark/>
          </w:tcPr>
          <w:p w:rsidR="00FA32BC" w:rsidRPr="003F52FE" w:rsidRDefault="00FA32BC" w:rsidP="0083766B">
            <w:pPr>
              <w:widowControl/>
              <w:autoSpaceDE/>
              <w:autoSpaceDN/>
              <w:adjustRightInd/>
              <w:rPr>
                <w:rFonts w:eastAsia="Times New Roman"/>
                <w:color w:val="000000" w:themeColor="text1"/>
              </w:rPr>
            </w:pPr>
            <w:proofErr w:type="spellStart"/>
            <w:r w:rsidRPr="003F52FE">
              <w:rPr>
                <w:rFonts w:eastAsia="Times New Roman"/>
                <w:color w:val="000000" w:themeColor="text1"/>
                <w:sz w:val="22"/>
                <w:szCs w:val="22"/>
              </w:rPr>
              <w:t>Period</w:t>
            </w:r>
            <w:proofErr w:type="spellEnd"/>
          </w:p>
        </w:tc>
        <w:tc>
          <w:tcPr>
            <w:tcW w:w="1660" w:type="dxa"/>
            <w:tcBorders>
              <w:top w:val="single" w:sz="4" w:space="0" w:color="auto"/>
              <w:left w:val="nil"/>
              <w:bottom w:val="single" w:sz="4" w:space="0" w:color="auto"/>
              <w:right w:val="nil"/>
            </w:tcBorders>
            <w:shd w:val="clear" w:color="auto" w:fill="auto"/>
            <w:noWrap/>
            <w:vAlign w:val="bottom"/>
            <w:hideMark/>
          </w:tcPr>
          <w:p w:rsidR="00FA32BC" w:rsidRPr="003F52FE" w:rsidRDefault="00FA32BC"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sym w:font="Symbol" w:char="F072"/>
            </w:r>
            <w:r w:rsidRPr="003F52FE">
              <w:rPr>
                <w:rFonts w:eastAsia="Times New Roman"/>
                <w:color w:val="000000" w:themeColor="text1"/>
                <w:sz w:val="22"/>
                <w:szCs w:val="22"/>
                <w:vertAlign w:val="superscript"/>
              </w:rPr>
              <w:t>C</w:t>
            </w:r>
          </w:p>
        </w:tc>
        <w:tc>
          <w:tcPr>
            <w:tcW w:w="1660" w:type="dxa"/>
            <w:tcBorders>
              <w:top w:val="single" w:sz="4" w:space="0" w:color="auto"/>
              <w:left w:val="nil"/>
              <w:bottom w:val="single" w:sz="4" w:space="0" w:color="auto"/>
              <w:right w:val="nil"/>
            </w:tcBorders>
            <w:shd w:val="clear" w:color="auto" w:fill="auto"/>
            <w:noWrap/>
            <w:vAlign w:val="bottom"/>
            <w:hideMark/>
          </w:tcPr>
          <w:p w:rsidR="00FA32BC" w:rsidRPr="003F52FE" w:rsidRDefault="00FA32BC"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P</w:t>
            </w:r>
            <w:r w:rsidR="003A1864" w:rsidRPr="003F52FE">
              <w:rPr>
                <w:rFonts w:eastAsia="Times New Roman"/>
                <w:color w:val="000000" w:themeColor="text1"/>
                <w:sz w:val="22"/>
                <w:szCs w:val="22"/>
                <w:vertAlign w:val="subscript"/>
              </w:rPr>
              <w:t>R</w:t>
            </w:r>
          </w:p>
        </w:tc>
        <w:tc>
          <w:tcPr>
            <w:tcW w:w="1660" w:type="dxa"/>
            <w:tcBorders>
              <w:top w:val="single" w:sz="4" w:space="0" w:color="auto"/>
              <w:left w:val="nil"/>
              <w:bottom w:val="single" w:sz="4" w:space="0" w:color="auto"/>
              <w:right w:val="nil"/>
            </w:tcBorders>
            <w:shd w:val="clear" w:color="auto" w:fill="auto"/>
            <w:noWrap/>
            <w:vAlign w:val="bottom"/>
            <w:hideMark/>
          </w:tcPr>
          <w:p w:rsidR="00FA32BC" w:rsidRPr="003F52FE" w:rsidRDefault="00FA32BC"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X</w:t>
            </w:r>
            <w:r w:rsidRPr="003F52FE">
              <w:rPr>
                <w:rFonts w:eastAsia="Times New Roman"/>
                <w:color w:val="000000" w:themeColor="text1"/>
                <w:sz w:val="22"/>
                <w:szCs w:val="22"/>
                <w:vertAlign w:val="subscript"/>
              </w:rPr>
              <w:t>R</w:t>
            </w:r>
          </w:p>
        </w:tc>
        <w:tc>
          <w:tcPr>
            <w:tcW w:w="1660" w:type="dxa"/>
            <w:tcBorders>
              <w:top w:val="single" w:sz="4" w:space="0" w:color="auto"/>
              <w:left w:val="nil"/>
              <w:bottom w:val="single" w:sz="4" w:space="0" w:color="auto"/>
              <w:right w:val="nil"/>
            </w:tcBorders>
            <w:shd w:val="clear" w:color="auto" w:fill="auto"/>
            <w:noWrap/>
            <w:vAlign w:val="bottom"/>
            <w:hideMark/>
          </w:tcPr>
          <w:p w:rsidR="00FA32BC" w:rsidRPr="003F52FE" w:rsidRDefault="00FA32BC" w:rsidP="0083766B">
            <w:pPr>
              <w:widowControl/>
              <w:autoSpaceDE/>
              <w:autoSpaceDN/>
              <w:adjustRightInd/>
              <w:jc w:val="center"/>
              <w:rPr>
                <w:rFonts w:eastAsia="Times New Roman"/>
                <w:color w:val="000000" w:themeColor="text1"/>
              </w:rPr>
            </w:pPr>
            <w:r w:rsidRPr="003F52FE">
              <w:rPr>
                <w:rFonts w:eastAsia="Times New Roman"/>
                <w:color w:val="000000" w:themeColor="text1"/>
                <w:sz w:val="22"/>
                <w:szCs w:val="22"/>
              </w:rPr>
              <w:t>K</w:t>
            </w:r>
          </w:p>
        </w:tc>
      </w:tr>
      <w:tr w:rsidR="00515761" w:rsidRPr="003F52FE" w:rsidTr="00B82B7C">
        <w:trPr>
          <w:trHeight w:val="300"/>
          <w:jc w:val="center"/>
        </w:trPr>
        <w:tc>
          <w:tcPr>
            <w:tcW w:w="1660" w:type="dxa"/>
            <w:tcBorders>
              <w:top w:val="nil"/>
              <w:left w:val="nil"/>
              <w:bottom w:val="nil"/>
              <w:right w:val="nil"/>
            </w:tcBorders>
            <w:shd w:val="clear" w:color="auto" w:fill="auto"/>
            <w:noWrap/>
            <w:vAlign w:val="bottom"/>
            <w:hideMark/>
          </w:tcPr>
          <w:p w:rsidR="00515761" w:rsidRPr="003F52FE" w:rsidRDefault="00515761"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1955-2008</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-2.37</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-0.9</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4.9</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6.37</w:t>
            </w:r>
          </w:p>
        </w:tc>
      </w:tr>
      <w:tr w:rsidR="00515761" w:rsidRPr="003F52FE" w:rsidTr="00B82B7C">
        <w:trPr>
          <w:trHeight w:val="300"/>
          <w:jc w:val="center"/>
        </w:trPr>
        <w:tc>
          <w:tcPr>
            <w:tcW w:w="1660" w:type="dxa"/>
            <w:tcBorders>
              <w:top w:val="nil"/>
              <w:left w:val="nil"/>
              <w:bottom w:val="nil"/>
              <w:right w:val="nil"/>
            </w:tcBorders>
            <w:shd w:val="clear" w:color="auto" w:fill="auto"/>
            <w:noWrap/>
            <w:vAlign w:val="bottom"/>
            <w:hideMark/>
          </w:tcPr>
          <w:p w:rsidR="00515761" w:rsidRPr="003F52FE" w:rsidRDefault="00515761"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1955-1973</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-1.68</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-0.5</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7.44</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8.62</w:t>
            </w:r>
          </w:p>
        </w:tc>
      </w:tr>
      <w:tr w:rsidR="00515761" w:rsidRPr="003F52FE" w:rsidTr="00B82B7C">
        <w:trPr>
          <w:trHeight w:val="300"/>
          <w:jc w:val="center"/>
        </w:trPr>
        <w:tc>
          <w:tcPr>
            <w:tcW w:w="1660" w:type="dxa"/>
            <w:tcBorders>
              <w:top w:val="nil"/>
              <w:left w:val="nil"/>
              <w:bottom w:val="nil"/>
              <w:right w:val="nil"/>
            </w:tcBorders>
            <w:shd w:val="clear" w:color="auto" w:fill="auto"/>
            <w:noWrap/>
            <w:vAlign w:val="bottom"/>
            <w:hideMark/>
          </w:tcPr>
          <w:p w:rsidR="00515761" w:rsidRPr="003F52FE" w:rsidRDefault="00515761"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1955-1962</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-4.57</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-3.26</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7.64</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8.95</w:t>
            </w:r>
          </w:p>
        </w:tc>
      </w:tr>
      <w:tr w:rsidR="00515761" w:rsidRPr="003F52FE" w:rsidTr="00B82B7C">
        <w:trPr>
          <w:trHeight w:val="300"/>
          <w:jc w:val="center"/>
        </w:trPr>
        <w:tc>
          <w:tcPr>
            <w:tcW w:w="1660" w:type="dxa"/>
            <w:tcBorders>
              <w:top w:val="nil"/>
              <w:left w:val="nil"/>
              <w:bottom w:val="nil"/>
              <w:right w:val="nil"/>
            </w:tcBorders>
            <w:shd w:val="clear" w:color="auto" w:fill="auto"/>
            <w:noWrap/>
            <w:vAlign w:val="bottom"/>
            <w:hideMark/>
          </w:tcPr>
          <w:p w:rsidR="00515761" w:rsidRPr="003F52FE" w:rsidRDefault="00515761"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1962-1973</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0.15</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1.26</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7.3</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8.41</w:t>
            </w:r>
          </w:p>
        </w:tc>
      </w:tr>
      <w:tr w:rsidR="00515761" w:rsidRPr="003F52FE" w:rsidTr="00B82B7C">
        <w:trPr>
          <w:trHeight w:val="300"/>
          <w:jc w:val="center"/>
        </w:trPr>
        <w:tc>
          <w:tcPr>
            <w:tcW w:w="1660" w:type="dxa"/>
            <w:tcBorders>
              <w:top w:val="nil"/>
              <w:left w:val="nil"/>
              <w:bottom w:val="nil"/>
              <w:right w:val="nil"/>
            </w:tcBorders>
            <w:shd w:val="clear" w:color="auto" w:fill="auto"/>
            <w:noWrap/>
            <w:vAlign w:val="bottom"/>
            <w:hideMark/>
          </w:tcPr>
          <w:p w:rsidR="00515761" w:rsidRPr="003F52FE" w:rsidRDefault="00515761"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1973-1989</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-7.61</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-3.84</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4.45</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8.22</w:t>
            </w:r>
          </w:p>
        </w:tc>
      </w:tr>
      <w:tr w:rsidR="00515761" w:rsidRPr="003F52FE" w:rsidTr="00B82B7C">
        <w:trPr>
          <w:trHeight w:val="300"/>
          <w:jc w:val="center"/>
        </w:trPr>
        <w:tc>
          <w:tcPr>
            <w:tcW w:w="1660" w:type="dxa"/>
            <w:tcBorders>
              <w:top w:val="nil"/>
              <w:left w:val="nil"/>
              <w:bottom w:val="nil"/>
              <w:right w:val="nil"/>
            </w:tcBorders>
            <w:shd w:val="clear" w:color="auto" w:fill="auto"/>
            <w:noWrap/>
            <w:vAlign w:val="bottom"/>
            <w:hideMark/>
          </w:tcPr>
          <w:p w:rsidR="00515761" w:rsidRPr="003F52FE" w:rsidRDefault="00515761"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1973-1980</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-7.59</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-1.97</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6.81</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12.43</w:t>
            </w:r>
          </w:p>
        </w:tc>
      </w:tr>
      <w:tr w:rsidR="00515761" w:rsidRPr="003F52FE" w:rsidTr="00B82B7C">
        <w:trPr>
          <w:trHeight w:val="300"/>
          <w:jc w:val="center"/>
        </w:trPr>
        <w:tc>
          <w:tcPr>
            <w:tcW w:w="1660" w:type="dxa"/>
            <w:tcBorders>
              <w:top w:val="nil"/>
              <w:left w:val="nil"/>
              <w:bottom w:val="nil"/>
              <w:right w:val="nil"/>
            </w:tcBorders>
            <w:shd w:val="clear" w:color="auto" w:fill="auto"/>
            <w:noWrap/>
            <w:vAlign w:val="bottom"/>
            <w:hideMark/>
          </w:tcPr>
          <w:p w:rsidR="00515761" w:rsidRPr="003F52FE" w:rsidRDefault="00515761"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1980-1989</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-7.62</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-5.3</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2.62</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4.95</w:t>
            </w:r>
          </w:p>
        </w:tc>
      </w:tr>
      <w:tr w:rsidR="00515761" w:rsidRPr="003F52FE" w:rsidTr="00B82B7C">
        <w:trPr>
          <w:trHeight w:val="300"/>
          <w:jc w:val="center"/>
        </w:trPr>
        <w:tc>
          <w:tcPr>
            <w:tcW w:w="1660" w:type="dxa"/>
            <w:tcBorders>
              <w:top w:val="nil"/>
              <w:left w:val="nil"/>
              <w:bottom w:val="nil"/>
              <w:right w:val="nil"/>
            </w:tcBorders>
            <w:shd w:val="clear" w:color="auto" w:fill="auto"/>
            <w:noWrap/>
            <w:vAlign w:val="bottom"/>
            <w:hideMark/>
          </w:tcPr>
          <w:p w:rsidR="00515761" w:rsidRPr="003F52FE" w:rsidRDefault="00515761"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1989-2003</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1.16</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1.53</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2.21</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2.58</w:t>
            </w:r>
          </w:p>
        </w:tc>
      </w:tr>
      <w:tr w:rsidR="00515761" w:rsidRPr="003F52FE" w:rsidTr="00B82B7C">
        <w:trPr>
          <w:trHeight w:val="300"/>
          <w:jc w:val="center"/>
        </w:trPr>
        <w:tc>
          <w:tcPr>
            <w:tcW w:w="1660" w:type="dxa"/>
            <w:tcBorders>
              <w:top w:val="nil"/>
              <w:left w:val="nil"/>
              <w:bottom w:val="nil"/>
              <w:right w:val="nil"/>
            </w:tcBorders>
            <w:shd w:val="clear" w:color="auto" w:fill="auto"/>
            <w:noWrap/>
            <w:vAlign w:val="bottom"/>
            <w:hideMark/>
          </w:tcPr>
          <w:p w:rsidR="00515761" w:rsidRPr="003F52FE" w:rsidRDefault="00515761"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1989-1994</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2.81</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3.1</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2.19</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2.48</w:t>
            </w:r>
          </w:p>
        </w:tc>
      </w:tr>
      <w:tr w:rsidR="00515761" w:rsidRPr="003F52FE" w:rsidTr="00B82B7C">
        <w:trPr>
          <w:trHeight w:val="300"/>
          <w:jc w:val="center"/>
        </w:trPr>
        <w:tc>
          <w:tcPr>
            <w:tcW w:w="1660" w:type="dxa"/>
            <w:tcBorders>
              <w:top w:val="nil"/>
              <w:left w:val="nil"/>
              <w:bottom w:val="nil"/>
              <w:right w:val="nil"/>
            </w:tcBorders>
            <w:shd w:val="clear" w:color="auto" w:fill="auto"/>
            <w:noWrap/>
            <w:vAlign w:val="bottom"/>
            <w:hideMark/>
          </w:tcPr>
          <w:p w:rsidR="00515761" w:rsidRPr="003F52FE" w:rsidRDefault="00515761"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1994-2003</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0.25</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0.66</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2.23</w:t>
            </w:r>
          </w:p>
        </w:tc>
        <w:tc>
          <w:tcPr>
            <w:tcW w:w="1660" w:type="dxa"/>
            <w:tcBorders>
              <w:top w:val="nil"/>
              <w:left w:val="nil"/>
              <w:bottom w:val="nil"/>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2.64</w:t>
            </w:r>
          </w:p>
        </w:tc>
      </w:tr>
      <w:tr w:rsidR="00515761" w:rsidRPr="003F52FE" w:rsidTr="00B82B7C">
        <w:trPr>
          <w:trHeight w:val="300"/>
          <w:jc w:val="center"/>
        </w:trPr>
        <w:tc>
          <w:tcPr>
            <w:tcW w:w="1660" w:type="dxa"/>
            <w:tcBorders>
              <w:top w:val="nil"/>
              <w:left w:val="nil"/>
              <w:bottom w:val="single" w:sz="4" w:space="0" w:color="auto"/>
              <w:right w:val="nil"/>
            </w:tcBorders>
            <w:shd w:val="clear" w:color="auto" w:fill="auto"/>
            <w:noWrap/>
            <w:vAlign w:val="bottom"/>
            <w:hideMark/>
          </w:tcPr>
          <w:p w:rsidR="00515761" w:rsidRPr="003F52FE" w:rsidRDefault="00515761" w:rsidP="0083766B">
            <w:pPr>
              <w:widowControl/>
              <w:autoSpaceDE/>
              <w:autoSpaceDN/>
              <w:adjustRightInd/>
              <w:rPr>
                <w:rFonts w:eastAsia="Times New Roman"/>
                <w:color w:val="000000" w:themeColor="text1"/>
              </w:rPr>
            </w:pPr>
            <w:r w:rsidRPr="003F52FE">
              <w:rPr>
                <w:rFonts w:eastAsia="Times New Roman"/>
                <w:color w:val="000000" w:themeColor="text1"/>
                <w:sz w:val="22"/>
                <w:szCs w:val="22"/>
              </w:rPr>
              <w:t xml:space="preserve">  2003-2008</w:t>
            </w:r>
          </w:p>
        </w:tc>
        <w:tc>
          <w:tcPr>
            <w:tcW w:w="1660" w:type="dxa"/>
            <w:tcBorders>
              <w:top w:val="nil"/>
              <w:left w:val="nil"/>
              <w:bottom w:val="single" w:sz="4" w:space="0" w:color="auto"/>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2.07</w:t>
            </w:r>
          </w:p>
        </w:tc>
        <w:tc>
          <w:tcPr>
            <w:tcW w:w="1660" w:type="dxa"/>
            <w:tcBorders>
              <w:top w:val="nil"/>
              <w:left w:val="nil"/>
              <w:bottom w:val="single" w:sz="4" w:space="0" w:color="auto"/>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0.28</w:t>
            </w:r>
          </w:p>
        </w:tc>
        <w:tc>
          <w:tcPr>
            <w:tcW w:w="1660" w:type="dxa"/>
            <w:tcBorders>
              <w:top w:val="nil"/>
              <w:left w:val="nil"/>
              <w:bottom w:val="single" w:sz="4" w:space="0" w:color="auto"/>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4.7</w:t>
            </w:r>
          </w:p>
        </w:tc>
        <w:tc>
          <w:tcPr>
            <w:tcW w:w="1660" w:type="dxa"/>
            <w:tcBorders>
              <w:top w:val="nil"/>
              <w:left w:val="nil"/>
              <w:bottom w:val="single" w:sz="4" w:space="0" w:color="auto"/>
              <w:right w:val="nil"/>
            </w:tcBorders>
            <w:shd w:val="clear" w:color="auto" w:fill="auto"/>
            <w:noWrap/>
            <w:vAlign w:val="center"/>
            <w:hideMark/>
          </w:tcPr>
          <w:p w:rsidR="00515761" w:rsidRPr="003F52FE" w:rsidRDefault="00515761" w:rsidP="0083766B">
            <w:pPr>
              <w:jc w:val="center"/>
              <w:rPr>
                <w:color w:val="000000" w:themeColor="text1"/>
              </w:rPr>
            </w:pPr>
            <w:r w:rsidRPr="003F52FE">
              <w:rPr>
                <w:color w:val="000000" w:themeColor="text1"/>
                <w:sz w:val="22"/>
                <w:szCs w:val="22"/>
              </w:rPr>
              <w:t>2.91</w:t>
            </w:r>
          </w:p>
        </w:tc>
      </w:tr>
    </w:tbl>
    <w:p w:rsidR="003F5E3C" w:rsidRPr="003F52FE" w:rsidRDefault="007D06C2" w:rsidP="0083766B">
      <w:pPr>
        <w:rPr>
          <w:color w:val="000000" w:themeColor="text1"/>
          <w:sz w:val="22"/>
          <w:lang w:val="en-US"/>
        </w:rPr>
      </w:pPr>
      <w:r w:rsidRPr="003F52FE">
        <w:rPr>
          <w:color w:val="000000" w:themeColor="text1"/>
          <w:sz w:val="22"/>
          <w:lang w:val="en-US"/>
        </w:rPr>
        <w:t xml:space="preserve">   Source: Appendix</w:t>
      </w:r>
    </w:p>
    <w:p w:rsidR="004A417B" w:rsidRPr="003F52FE" w:rsidRDefault="004A417B" w:rsidP="0083766B">
      <w:pPr>
        <w:ind w:firstLine="720"/>
        <w:jc w:val="both"/>
        <w:rPr>
          <w:color w:val="000000" w:themeColor="text1"/>
          <w:lang w:val="en-US"/>
        </w:rPr>
      </w:pPr>
    </w:p>
    <w:p w:rsidR="00B62E31" w:rsidRPr="003F52FE" w:rsidRDefault="000311BA" w:rsidP="0083766B">
      <w:pPr>
        <w:ind w:firstLine="720"/>
        <w:rPr>
          <w:color w:val="000000" w:themeColor="text1"/>
          <w:lang w:val="en-US"/>
        </w:rPr>
      </w:pPr>
      <w:r w:rsidRPr="003F52FE">
        <w:rPr>
          <w:color w:val="000000" w:themeColor="text1"/>
          <w:lang w:val="en-US"/>
        </w:rPr>
        <w:t>Between 1955 and 1962</w:t>
      </w:r>
      <w:r w:rsidR="00EE268C" w:rsidRPr="003F52FE">
        <w:rPr>
          <w:color w:val="000000" w:themeColor="text1"/>
          <w:lang w:val="en-US"/>
        </w:rPr>
        <w:t>,</w:t>
      </w:r>
      <w:r w:rsidR="00E03BEF" w:rsidRPr="003F52FE">
        <w:rPr>
          <w:color w:val="000000" w:themeColor="text1"/>
          <w:lang w:val="en-US"/>
        </w:rPr>
        <w:t xml:space="preserve"> the rate of profit </w:t>
      </w:r>
      <w:r w:rsidR="00D0781D" w:rsidRPr="003F52FE">
        <w:rPr>
          <w:color w:val="000000" w:themeColor="text1"/>
          <w:lang w:val="en-US"/>
        </w:rPr>
        <w:t>at</w:t>
      </w:r>
      <w:r w:rsidRPr="003F52FE">
        <w:rPr>
          <w:color w:val="000000" w:themeColor="text1"/>
          <w:lang w:val="en-US"/>
        </w:rPr>
        <w:t xml:space="preserve"> current cost</w:t>
      </w:r>
      <w:r w:rsidR="00E03BEF" w:rsidRPr="003F52FE">
        <w:rPr>
          <w:color w:val="000000" w:themeColor="text1"/>
          <w:lang w:val="en-US"/>
        </w:rPr>
        <w:t>s</w:t>
      </w:r>
      <w:r w:rsidRPr="003F52FE">
        <w:rPr>
          <w:color w:val="000000" w:themeColor="text1"/>
          <w:lang w:val="en-US"/>
        </w:rPr>
        <w:t xml:space="preserve"> declined 4.24% annually due to a fall of 4.57% of the capital output ratio. These were the construction</w:t>
      </w:r>
      <w:r w:rsidR="00E03BEF" w:rsidRPr="003F52FE">
        <w:rPr>
          <w:color w:val="000000" w:themeColor="text1"/>
          <w:lang w:val="en-US"/>
        </w:rPr>
        <w:t xml:space="preserve"> years</w:t>
      </w:r>
      <w:r w:rsidRPr="003F52FE">
        <w:rPr>
          <w:color w:val="000000" w:themeColor="text1"/>
          <w:lang w:val="en-US"/>
        </w:rPr>
        <w:t xml:space="preserve"> of Brasília and </w:t>
      </w:r>
      <w:r w:rsidR="00E03BEF" w:rsidRPr="003F52FE">
        <w:rPr>
          <w:color w:val="000000" w:themeColor="text1"/>
          <w:lang w:val="en-US"/>
        </w:rPr>
        <w:t xml:space="preserve">the </w:t>
      </w:r>
      <w:r w:rsidR="009979CD" w:rsidRPr="003F52FE">
        <w:rPr>
          <w:color w:val="000000" w:themeColor="text1"/>
          <w:lang w:val="en-US"/>
        </w:rPr>
        <w:t xml:space="preserve">implementation of the </w:t>
      </w:r>
      <w:r w:rsidRPr="003F52FE">
        <w:rPr>
          <w:color w:val="000000" w:themeColor="text1"/>
          <w:lang w:val="en-US"/>
        </w:rPr>
        <w:t>automobile industry</w:t>
      </w:r>
      <w:r w:rsidR="009979CD" w:rsidRPr="003F52FE">
        <w:rPr>
          <w:color w:val="000000" w:themeColor="text1"/>
          <w:lang w:val="en-US"/>
        </w:rPr>
        <w:t xml:space="preserve"> which is reflected in the expansion of </w:t>
      </w:r>
      <w:r w:rsidR="00B62E31" w:rsidRPr="003F52FE">
        <w:rPr>
          <w:color w:val="000000" w:themeColor="text1"/>
          <w:lang w:val="en-US"/>
        </w:rPr>
        <w:t xml:space="preserve">7.64% in GDP and </w:t>
      </w:r>
      <w:r w:rsidR="009979CD" w:rsidRPr="003F52FE">
        <w:rPr>
          <w:color w:val="000000" w:themeColor="text1"/>
          <w:lang w:val="en-US"/>
        </w:rPr>
        <w:t>8.</w:t>
      </w:r>
      <w:r w:rsidR="00925305" w:rsidRPr="003F52FE">
        <w:rPr>
          <w:color w:val="000000" w:themeColor="text1"/>
          <w:lang w:val="en-US"/>
        </w:rPr>
        <w:t>95</w:t>
      </w:r>
      <w:r w:rsidR="009979CD" w:rsidRPr="003F52FE">
        <w:rPr>
          <w:color w:val="000000" w:themeColor="text1"/>
          <w:lang w:val="en-US"/>
        </w:rPr>
        <w:t xml:space="preserve">% </w:t>
      </w:r>
      <w:r w:rsidR="00EE268C" w:rsidRPr="003F52FE">
        <w:rPr>
          <w:color w:val="000000" w:themeColor="text1"/>
          <w:lang w:val="en-US"/>
        </w:rPr>
        <w:t xml:space="preserve">in </w:t>
      </w:r>
      <w:r w:rsidR="009979CD" w:rsidRPr="003F52FE">
        <w:rPr>
          <w:color w:val="000000" w:themeColor="text1"/>
          <w:lang w:val="en-US"/>
        </w:rPr>
        <w:t xml:space="preserve">the real net fixed capital stock.  </w:t>
      </w:r>
      <w:r w:rsidRPr="003F52FE">
        <w:rPr>
          <w:color w:val="000000" w:themeColor="text1"/>
          <w:lang w:val="en-US"/>
        </w:rPr>
        <w:t xml:space="preserve"> </w:t>
      </w:r>
    </w:p>
    <w:p w:rsidR="00EE268C" w:rsidRPr="003F52FE" w:rsidRDefault="00B62E31" w:rsidP="0083766B">
      <w:pPr>
        <w:ind w:firstLine="720"/>
        <w:rPr>
          <w:color w:val="000000" w:themeColor="text1"/>
          <w:lang w:val="en-US"/>
        </w:rPr>
      </w:pPr>
      <w:r w:rsidRPr="003F52FE">
        <w:rPr>
          <w:color w:val="000000" w:themeColor="text1"/>
          <w:lang w:val="en-US"/>
        </w:rPr>
        <w:t xml:space="preserve">The profit </w:t>
      </w:r>
      <w:r w:rsidR="00E03BEF" w:rsidRPr="003F52FE">
        <w:rPr>
          <w:color w:val="000000" w:themeColor="text1"/>
          <w:lang w:val="en-US"/>
        </w:rPr>
        <w:t xml:space="preserve">rate and output capital ratio </w:t>
      </w:r>
      <w:r w:rsidR="00D0781D" w:rsidRPr="003F52FE">
        <w:rPr>
          <w:color w:val="000000" w:themeColor="text1"/>
          <w:lang w:val="en-US"/>
        </w:rPr>
        <w:t>at</w:t>
      </w:r>
      <w:r w:rsidRPr="003F52FE">
        <w:rPr>
          <w:color w:val="000000" w:themeColor="text1"/>
          <w:lang w:val="en-US"/>
        </w:rPr>
        <w:t xml:space="preserve"> current cost</w:t>
      </w:r>
      <w:r w:rsidR="00E03BEF" w:rsidRPr="003F52FE">
        <w:rPr>
          <w:color w:val="000000" w:themeColor="text1"/>
          <w:lang w:val="en-US"/>
        </w:rPr>
        <w:t>s</w:t>
      </w:r>
      <w:r w:rsidRPr="003F52FE">
        <w:rPr>
          <w:color w:val="000000" w:themeColor="text1"/>
          <w:lang w:val="en-US"/>
        </w:rPr>
        <w:t xml:space="preserve"> increased </w:t>
      </w:r>
      <w:r w:rsidR="00E03BEF" w:rsidRPr="003F52FE">
        <w:rPr>
          <w:color w:val="000000" w:themeColor="text1"/>
          <w:lang w:val="en-US"/>
        </w:rPr>
        <w:t>between 1962 and 1973</w:t>
      </w:r>
      <w:r w:rsidRPr="003F52FE">
        <w:rPr>
          <w:color w:val="000000" w:themeColor="text1"/>
          <w:lang w:val="en-US"/>
        </w:rPr>
        <w:t xml:space="preserve">. The process of rapid capital accumulation was similar to the previous </w:t>
      </w:r>
      <w:r w:rsidR="00192414" w:rsidRPr="003F52FE">
        <w:rPr>
          <w:color w:val="000000" w:themeColor="text1"/>
          <w:lang w:val="en-US"/>
        </w:rPr>
        <w:t>cycle;</w:t>
      </w:r>
      <w:r w:rsidRPr="003F52FE">
        <w:rPr>
          <w:color w:val="000000" w:themeColor="text1"/>
          <w:lang w:val="en-US"/>
        </w:rPr>
        <w:t xml:space="preserve"> however, there was an expansion in the relative prices. </w:t>
      </w:r>
      <w:r w:rsidR="00192414" w:rsidRPr="003F52FE">
        <w:rPr>
          <w:color w:val="000000" w:themeColor="text1"/>
          <w:lang w:val="en-US"/>
        </w:rPr>
        <w:t>The military dictatorship implemented a series of institutional reforms in the labor and</w:t>
      </w:r>
      <w:r w:rsidR="00E03BEF" w:rsidRPr="003F52FE">
        <w:rPr>
          <w:color w:val="000000" w:themeColor="text1"/>
          <w:lang w:val="en-US"/>
        </w:rPr>
        <w:t xml:space="preserve"> financial markets to reduce</w:t>
      </w:r>
      <w:r w:rsidR="00192414" w:rsidRPr="003F52FE">
        <w:rPr>
          <w:color w:val="000000" w:themeColor="text1"/>
          <w:lang w:val="en-US"/>
        </w:rPr>
        <w:t xml:space="preserve"> inflation and </w:t>
      </w:r>
      <w:r w:rsidR="00EE268C" w:rsidRPr="003F52FE">
        <w:rPr>
          <w:color w:val="000000" w:themeColor="text1"/>
          <w:lang w:val="en-US"/>
        </w:rPr>
        <w:t xml:space="preserve">to </w:t>
      </w:r>
      <w:r w:rsidR="00192414" w:rsidRPr="003F52FE">
        <w:rPr>
          <w:color w:val="000000" w:themeColor="text1"/>
          <w:lang w:val="en-US"/>
        </w:rPr>
        <w:t>stimulate</w:t>
      </w:r>
      <w:r w:rsidR="00EE268C" w:rsidRPr="003F52FE">
        <w:rPr>
          <w:color w:val="000000" w:themeColor="text1"/>
          <w:lang w:val="en-US"/>
        </w:rPr>
        <w:t xml:space="preserve"> growth. The Brazilian Central Bank was inaugurated in 1964.</w:t>
      </w:r>
      <w:r w:rsidR="004F7458" w:rsidRPr="003F52FE">
        <w:rPr>
          <w:color w:val="000000" w:themeColor="text1"/>
          <w:lang w:val="en-US"/>
        </w:rPr>
        <w:t xml:space="preserve"> The result was a rapid economic growth in late 1960s, early 1970s. </w:t>
      </w:r>
    </w:p>
    <w:p w:rsidR="00BA6378" w:rsidRPr="003F52FE" w:rsidRDefault="004F7458" w:rsidP="0083766B">
      <w:pPr>
        <w:ind w:firstLine="720"/>
        <w:rPr>
          <w:color w:val="000000" w:themeColor="text1"/>
          <w:lang w:val="en-US"/>
        </w:rPr>
      </w:pPr>
      <w:r w:rsidRPr="003F52FE">
        <w:rPr>
          <w:color w:val="000000" w:themeColor="text1"/>
          <w:lang w:val="en-US"/>
        </w:rPr>
        <w:t xml:space="preserve">The end of the Golden Age in 1973 represented </w:t>
      </w:r>
      <w:r w:rsidR="00B520FE" w:rsidRPr="003F52FE">
        <w:rPr>
          <w:color w:val="000000" w:themeColor="text1"/>
          <w:lang w:val="en-US"/>
        </w:rPr>
        <w:t xml:space="preserve">a </w:t>
      </w:r>
      <w:r w:rsidRPr="003F52FE">
        <w:rPr>
          <w:color w:val="000000" w:themeColor="text1"/>
          <w:lang w:val="en-US"/>
        </w:rPr>
        <w:t xml:space="preserve">turning point in the ISI in Brazil. </w:t>
      </w:r>
      <w:r w:rsidR="00B520FE" w:rsidRPr="003F52FE">
        <w:rPr>
          <w:color w:val="000000" w:themeColor="text1"/>
          <w:lang w:val="en-US"/>
        </w:rPr>
        <w:t>During the implementation of mass</w:t>
      </w:r>
      <w:r w:rsidR="00E03BEF" w:rsidRPr="003F52FE">
        <w:rPr>
          <w:color w:val="000000" w:themeColor="text1"/>
          <w:lang w:val="en-US"/>
        </w:rPr>
        <w:t>ive investments of the Second</w:t>
      </w:r>
      <w:r w:rsidR="00B520FE" w:rsidRPr="003F52FE">
        <w:rPr>
          <w:color w:val="000000" w:themeColor="text1"/>
          <w:lang w:val="en-US"/>
        </w:rPr>
        <w:t xml:space="preserve"> National Plan of Development, the profit </w:t>
      </w:r>
      <w:r w:rsidR="00E03BEF" w:rsidRPr="003F52FE">
        <w:rPr>
          <w:color w:val="000000" w:themeColor="text1"/>
          <w:lang w:val="en-US"/>
        </w:rPr>
        <w:t>rate declined sharply due to</w:t>
      </w:r>
      <w:r w:rsidR="00B520FE" w:rsidRPr="003F52FE">
        <w:rPr>
          <w:color w:val="000000" w:themeColor="text1"/>
          <w:lang w:val="en-US"/>
        </w:rPr>
        <w:t xml:space="preserve"> falling output capital ratio. The impressive growth rate of the real net fixed capital stock was the predominant factor of this fall. </w:t>
      </w:r>
      <w:r w:rsidR="00D03BBE" w:rsidRPr="003F52FE">
        <w:rPr>
          <w:color w:val="000000" w:themeColor="text1"/>
          <w:lang w:val="en-US"/>
        </w:rPr>
        <w:t>T</w:t>
      </w:r>
      <w:r w:rsidR="00B520FE" w:rsidRPr="003F52FE">
        <w:rPr>
          <w:color w:val="000000" w:themeColor="text1"/>
          <w:lang w:val="en-US"/>
        </w:rPr>
        <w:t xml:space="preserve">he 1980-1989 years </w:t>
      </w:r>
      <w:r w:rsidR="00D03BBE" w:rsidRPr="003F52FE">
        <w:rPr>
          <w:color w:val="000000" w:themeColor="text1"/>
          <w:lang w:val="en-US"/>
        </w:rPr>
        <w:t xml:space="preserve">marked the end of the military dictatorship. The fall in the profit rate and in the output capital ratio was influenced by the rising prices of capital goods.  </w:t>
      </w:r>
    </w:p>
    <w:p w:rsidR="0039554A" w:rsidRPr="003F52FE" w:rsidRDefault="00BA6378" w:rsidP="0083766B">
      <w:pPr>
        <w:ind w:firstLine="720"/>
        <w:rPr>
          <w:color w:val="000000" w:themeColor="text1"/>
          <w:lang w:val="en-US"/>
        </w:rPr>
      </w:pPr>
      <w:r w:rsidRPr="003F52FE">
        <w:rPr>
          <w:color w:val="000000" w:themeColor="text1"/>
          <w:lang w:val="en-US"/>
        </w:rPr>
        <w:t xml:space="preserve">After 1989, the profit rate expanded due to rising output capital ratio. After the adoption of </w:t>
      </w:r>
      <w:proofErr w:type="spellStart"/>
      <w:r w:rsidRPr="003F52FE">
        <w:rPr>
          <w:color w:val="000000" w:themeColor="text1"/>
          <w:lang w:val="en-US"/>
        </w:rPr>
        <w:t>neoliberalism</w:t>
      </w:r>
      <w:proofErr w:type="spellEnd"/>
      <w:r w:rsidRPr="003F52FE">
        <w:rPr>
          <w:color w:val="000000" w:themeColor="text1"/>
          <w:lang w:val="en-US"/>
        </w:rPr>
        <w:t>, the price of the capital goods declined relative to GDP deflator.</w:t>
      </w:r>
      <w:r w:rsidR="000B747B" w:rsidRPr="003F52FE">
        <w:rPr>
          <w:color w:val="000000" w:themeColor="text1"/>
          <w:lang w:val="en-US"/>
        </w:rPr>
        <w:t xml:space="preserve"> In 1994 the inflation was controlled </w:t>
      </w:r>
      <w:r w:rsidR="00E03BEF" w:rsidRPr="003F52FE">
        <w:rPr>
          <w:color w:val="000000" w:themeColor="text1"/>
          <w:lang w:val="en-US"/>
        </w:rPr>
        <w:t xml:space="preserve">and the </w:t>
      </w:r>
      <w:proofErr w:type="spellStart"/>
      <w:r w:rsidR="00E03BEF" w:rsidRPr="003F52FE">
        <w:rPr>
          <w:color w:val="000000" w:themeColor="text1"/>
          <w:lang w:val="en-US"/>
        </w:rPr>
        <w:t>neoliberalism</w:t>
      </w:r>
      <w:proofErr w:type="spellEnd"/>
      <w:r w:rsidR="00E03BEF" w:rsidRPr="003F52FE">
        <w:rPr>
          <w:color w:val="000000" w:themeColor="text1"/>
          <w:lang w:val="en-US"/>
        </w:rPr>
        <w:t xml:space="preserve"> embarked o</w:t>
      </w:r>
      <w:r w:rsidR="000B747B" w:rsidRPr="003F52FE">
        <w:rPr>
          <w:color w:val="000000" w:themeColor="text1"/>
          <w:lang w:val="en-US"/>
        </w:rPr>
        <w:t>n a new phase. The profit share increased at 0.91% per year. The expansion in the profit rate did not result in higher economic growth</w:t>
      </w:r>
      <w:r w:rsidR="0039554A" w:rsidRPr="003F52FE">
        <w:rPr>
          <w:color w:val="000000" w:themeColor="text1"/>
          <w:lang w:val="en-US"/>
        </w:rPr>
        <w:t>. It is</w:t>
      </w:r>
      <w:r w:rsidR="000B747B" w:rsidRPr="003F52FE">
        <w:rPr>
          <w:color w:val="000000" w:themeColor="text1"/>
          <w:lang w:val="en-US"/>
        </w:rPr>
        <w:t xml:space="preserve"> a characteristic of </w:t>
      </w:r>
      <w:proofErr w:type="spellStart"/>
      <w:r w:rsidR="000B747B" w:rsidRPr="003F52FE">
        <w:rPr>
          <w:color w:val="000000" w:themeColor="text1"/>
          <w:lang w:val="en-US"/>
        </w:rPr>
        <w:t>neoliberalism</w:t>
      </w:r>
      <w:proofErr w:type="spellEnd"/>
      <w:r w:rsidR="000B747B" w:rsidRPr="003F52FE">
        <w:rPr>
          <w:color w:val="000000" w:themeColor="text1"/>
          <w:lang w:val="en-US"/>
        </w:rPr>
        <w:t xml:space="preserve">. The average growth rate of net fixed capital stock in the 1989-2003 </w:t>
      </w:r>
      <w:proofErr w:type="gramStart"/>
      <w:r w:rsidR="000B747B" w:rsidRPr="003F52FE">
        <w:rPr>
          <w:color w:val="000000" w:themeColor="text1"/>
          <w:lang w:val="en-US"/>
        </w:rPr>
        <w:t>period</w:t>
      </w:r>
      <w:proofErr w:type="gramEnd"/>
      <w:r w:rsidR="000B747B" w:rsidRPr="003F52FE">
        <w:rPr>
          <w:color w:val="000000" w:themeColor="text1"/>
          <w:lang w:val="en-US"/>
        </w:rPr>
        <w:t xml:space="preserve"> was lower than in the </w:t>
      </w:r>
      <w:proofErr w:type="spellStart"/>
      <w:r w:rsidR="000B747B" w:rsidRPr="003F52FE">
        <w:rPr>
          <w:color w:val="000000" w:themeColor="text1"/>
          <w:lang w:val="en-US"/>
        </w:rPr>
        <w:t>lost</w:t>
      </w:r>
      <w:proofErr w:type="spellEnd"/>
      <w:r w:rsidR="000B747B" w:rsidRPr="003F52FE">
        <w:rPr>
          <w:color w:val="000000" w:themeColor="text1"/>
          <w:lang w:val="en-US"/>
        </w:rPr>
        <w:t xml:space="preserve"> decade.</w:t>
      </w:r>
    </w:p>
    <w:p w:rsidR="000311BA" w:rsidRPr="003F52FE" w:rsidRDefault="0039554A" w:rsidP="0083766B">
      <w:pPr>
        <w:ind w:firstLine="720"/>
        <w:rPr>
          <w:color w:val="000000" w:themeColor="text1"/>
          <w:lang w:val="en-US"/>
        </w:rPr>
      </w:pPr>
      <w:r w:rsidRPr="003F52FE">
        <w:rPr>
          <w:color w:val="000000" w:themeColor="text1"/>
          <w:lang w:val="en-US"/>
        </w:rPr>
        <w:t>During the 2003-2008 period</w:t>
      </w:r>
      <w:r w:rsidR="00E03BEF" w:rsidRPr="003F52FE">
        <w:rPr>
          <w:color w:val="000000" w:themeColor="text1"/>
          <w:lang w:val="en-US"/>
        </w:rPr>
        <w:t xml:space="preserve"> the profit </w:t>
      </w:r>
      <w:r w:rsidR="00933773" w:rsidRPr="003F52FE">
        <w:rPr>
          <w:color w:val="000000" w:themeColor="text1"/>
          <w:lang w:val="en-US"/>
        </w:rPr>
        <w:t xml:space="preserve">rate at historical </w:t>
      </w:r>
      <w:r w:rsidRPr="003F52FE">
        <w:rPr>
          <w:color w:val="000000" w:themeColor="text1"/>
          <w:lang w:val="en-US"/>
        </w:rPr>
        <w:t>cost</w:t>
      </w:r>
      <w:r w:rsidR="00E03BEF" w:rsidRPr="003F52FE">
        <w:rPr>
          <w:color w:val="000000" w:themeColor="text1"/>
          <w:lang w:val="en-US"/>
        </w:rPr>
        <w:t>s</w:t>
      </w:r>
      <w:r w:rsidRPr="003F52FE">
        <w:rPr>
          <w:color w:val="000000" w:themeColor="text1"/>
          <w:lang w:val="en-US"/>
        </w:rPr>
        <w:t xml:space="preserve"> increased due to the expansion in the output capital ratio; the profit share declined in these years. The </w:t>
      </w:r>
      <w:r w:rsidR="00E03BEF" w:rsidRPr="003F52FE">
        <w:rPr>
          <w:color w:val="000000" w:themeColor="text1"/>
          <w:lang w:val="en-US"/>
        </w:rPr>
        <w:t>rise</w:t>
      </w:r>
      <w:r w:rsidRPr="003F52FE">
        <w:rPr>
          <w:color w:val="000000" w:themeColor="text1"/>
          <w:lang w:val="en-US"/>
        </w:rPr>
        <w:t xml:space="preserve"> in the real GDP was t</w:t>
      </w:r>
      <w:r w:rsidR="00086D6A" w:rsidRPr="003F52FE">
        <w:rPr>
          <w:color w:val="000000" w:themeColor="text1"/>
          <w:lang w:val="en-US"/>
        </w:rPr>
        <w:t>he principal component of the r</w:t>
      </w:r>
      <w:r w:rsidRPr="003F52FE">
        <w:rPr>
          <w:color w:val="000000" w:themeColor="text1"/>
          <w:lang w:val="en-US"/>
        </w:rPr>
        <w:t xml:space="preserve">ising output capital ratio. </w:t>
      </w:r>
      <w:r w:rsidR="00D03BBE" w:rsidRPr="003F52FE">
        <w:rPr>
          <w:color w:val="000000" w:themeColor="text1"/>
          <w:lang w:val="en-US"/>
        </w:rPr>
        <w:t xml:space="preserve"> </w:t>
      </w:r>
    </w:p>
    <w:p w:rsidR="000311BA" w:rsidRPr="003F52FE" w:rsidRDefault="000311BA" w:rsidP="0083766B">
      <w:pPr>
        <w:ind w:firstLine="720"/>
        <w:jc w:val="both"/>
        <w:rPr>
          <w:color w:val="000000" w:themeColor="text1"/>
          <w:lang w:val="en-US"/>
        </w:rPr>
      </w:pPr>
    </w:p>
    <w:p w:rsidR="004709EC" w:rsidRPr="003F52FE" w:rsidRDefault="00104476" w:rsidP="0083766B">
      <w:pPr>
        <w:rPr>
          <w:b/>
          <w:color w:val="000000" w:themeColor="text1"/>
          <w:lang w:val="en-US"/>
        </w:rPr>
      </w:pPr>
      <w:r w:rsidRPr="003F52FE">
        <w:rPr>
          <w:b/>
          <w:color w:val="000000" w:themeColor="text1"/>
          <w:lang w:val="en-US"/>
        </w:rPr>
        <w:t>5</w:t>
      </w:r>
      <w:r w:rsidR="00B83CFA" w:rsidRPr="003F52FE">
        <w:rPr>
          <w:b/>
          <w:color w:val="000000" w:themeColor="text1"/>
          <w:lang w:val="en-US"/>
        </w:rPr>
        <w:t>.</w:t>
      </w:r>
      <w:r w:rsidR="004709EC" w:rsidRPr="003F52FE">
        <w:rPr>
          <w:b/>
          <w:color w:val="000000" w:themeColor="text1"/>
          <w:lang w:val="en-US"/>
        </w:rPr>
        <w:t xml:space="preserve"> Final remarks </w:t>
      </w:r>
    </w:p>
    <w:p w:rsidR="00412790" w:rsidRPr="003F52FE" w:rsidRDefault="00412790" w:rsidP="0083766B">
      <w:pPr>
        <w:rPr>
          <w:color w:val="000000" w:themeColor="text1"/>
          <w:lang w:val="en-US"/>
        </w:rPr>
      </w:pPr>
    </w:p>
    <w:p w:rsidR="007B5017" w:rsidRPr="003F52FE" w:rsidRDefault="00A31FB8" w:rsidP="0083766B">
      <w:pPr>
        <w:rPr>
          <w:color w:val="000000" w:themeColor="text1"/>
          <w:lang w:val="en-US"/>
        </w:rPr>
      </w:pPr>
      <w:r w:rsidRPr="003F52FE">
        <w:rPr>
          <w:color w:val="000000" w:themeColor="text1"/>
          <w:lang w:val="en-US"/>
        </w:rPr>
        <w:t>Th</w:t>
      </w:r>
      <w:r w:rsidR="008401B3" w:rsidRPr="003F52FE">
        <w:rPr>
          <w:color w:val="000000" w:themeColor="text1"/>
          <w:lang w:val="en-US"/>
        </w:rPr>
        <w:t>e</w:t>
      </w:r>
      <w:r w:rsidRPr="003F52FE">
        <w:rPr>
          <w:color w:val="000000" w:themeColor="text1"/>
          <w:lang w:val="en-US"/>
        </w:rPr>
        <w:t xml:space="preserve"> paper discus</w:t>
      </w:r>
      <w:r w:rsidR="00C4623A" w:rsidRPr="003F52FE">
        <w:rPr>
          <w:color w:val="000000" w:themeColor="text1"/>
          <w:lang w:val="en-US"/>
        </w:rPr>
        <w:t>s</w:t>
      </w:r>
      <w:r w:rsidR="00A131D5" w:rsidRPr="003F52FE">
        <w:rPr>
          <w:color w:val="000000" w:themeColor="text1"/>
          <w:lang w:val="en-US"/>
        </w:rPr>
        <w:t>es</w:t>
      </w:r>
      <w:r w:rsidR="00B82B7C" w:rsidRPr="003F52FE">
        <w:rPr>
          <w:color w:val="000000" w:themeColor="text1"/>
          <w:lang w:val="en-US"/>
        </w:rPr>
        <w:t xml:space="preserve"> </w:t>
      </w:r>
      <w:r w:rsidR="00A131D5" w:rsidRPr="003F52FE">
        <w:rPr>
          <w:color w:val="000000" w:themeColor="text1"/>
          <w:lang w:val="en-US"/>
        </w:rPr>
        <w:t xml:space="preserve">the methodology for measuring the profit </w:t>
      </w:r>
      <w:r w:rsidR="00933773" w:rsidRPr="003F52FE">
        <w:rPr>
          <w:color w:val="000000" w:themeColor="text1"/>
          <w:lang w:val="en-US"/>
        </w:rPr>
        <w:t xml:space="preserve">rate at historical </w:t>
      </w:r>
      <w:r w:rsidR="00086D6A" w:rsidRPr="003F52FE">
        <w:rPr>
          <w:color w:val="000000" w:themeColor="text1"/>
          <w:lang w:val="en-US"/>
        </w:rPr>
        <w:t>and current costs in</w:t>
      </w:r>
      <w:r w:rsidR="00A131D5" w:rsidRPr="003F52FE">
        <w:rPr>
          <w:color w:val="000000" w:themeColor="text1"/>
          <w:lang w:val="en-US"/>
        </w:rPr>
        <w:t xml:space="preserve"> Brazil, a country with a history of </w:t>
      </w:r>
      <w:r w:rsidR="00B82B7C" w:rsidRPr="003F52FE">
        <w:rPr>
          <w:color w:val="000000" w:themeColor="text1"/>
          <w:lang w:val="en-US"/>
        </w:rPr>
        <w:t xml:space="preserve">medium to </w:t>
      </w:r>
      <w:r w:rsidR="00086D6A" w:rsidRPr="003F52FE">
        <w:rPr>
          <w:color w:val="000000" w:themeColor="text1"/>
          <w:lang w:val="en-US"/>
        </w:rPr>
        <w:t>high inflation</w:t>
      </w:r>
      <w:r w:rsidR="00A131D5" w:rsidRPr="003F52FE">
        <w:rPr>
          <w:color w:val="000000" w:themeColor="text1"/>
          <w:lang w:val="en-US"/>
        </w:rPr>
        <w:t xml:space="preserve"> in the 1955-2008 </w:t>
      </w:r>
      <w:proofErr w:type="gramStart"/>
      <w:r w:rsidR="00A131D5" w:rsidRPr="003F52FE">
        <w:rPr>
          <w:color w:val="000000" w:themeColor="text1"/>
          <w:lang w:val="en-US"/>
        </w:rPr>
        <w:t>period</w:t>
      </w:r>
      <w:proofErr w:type="gramEnd"/>
      <w:r w:rsidR="00A131D5" w:rsidRPr="003F52FE">
        <w:rPr>
          <w:color w:val="000000" w:themeColor="text1"/>
          <w:lang w:val="en-US"/>
        </w:rPr>
        <w:t xml:space="preserve">. </w:t>
      </w:r>
      <w:bookmarkStart w:id="0" w:name="_GoBack"/>
      <w:bookmarkEnd w:id="0"/>
      <w:r w:rsidR="00B82B7C" w:rsidRPr="003F52FE">
        <w:rPr>
          <w:color w:val="000000" w:themeColor="text1"/>
          <w:lang w:val="en-US"/>
        </w:rPr>
        <w:lastRenderedPageBreak/>
        <w:t xml:space="preserve">From a Marxian perspective, the path of the profit rate is fundamental to understand the performance of the capitalist economies. </w:t>
      </w:r>
    </w:p>
    <w:p w:rsidR="00412790" w:rsidRPr="003F52FE" w:rsidRDefault="00B82B7C" w:rsidP="0083766B">
      <w:pPr>
        <w:ind w:firstLine="720"/>
        <w:rPr>
          <w:color w:val="000000" w:themeColor="text1"/>
          <w:lang w:val="en-US"/>
        </w:rPr>
      </w:pPr>
      <w:r w:rsidRPr="003F52FE">
        <w:rPr>
          <w:color w:val="000000" w:themeColor="text1"/>
          <w:lang w:val="en-US"/>
        </w:rPr>
        <w:t>Section two compares the computation o</w:t>
      </w:r>
      <w:r w:rsidR="00086D6A" w:rsidRPr="003F52FE">
        <w:rPr>
          <w:color w:val="000000" w:themeColor="text1"/>
          <w:lang w:val="en-US"/>
        </w:rPr>
        <w:t xml:space="preserve">f the net fixed capital stock </w:t>
      </w:r>
      <w:r w:rsidR="00D0781D" w:rsidRPr="003F52FE">
        <w:rPr>
          <w:color w:val="000000" w:themeColor="text1"/>
          <w:lang w:val="en-US"/>
        </w:rPr>
        <w:t>at</w:t>
      </w:r>
      <w:r w:rsidRPr="003F52FE">
        <w:rPr>
          <w:color w:val="000000" w:themeColor="text1"/>
          <w:lang w:val="en-US"/>
        </w:rPr>
        <w:t xml:space="preserve"> historical and current cost</w:t>
      </w:r>
      <w:r w:rsidR="00086D6A" w:rsidRPr="003F52FE">
        <w:rPr>
          <w:color w:val="000000" w:themeColor="text1"/>
          <w:lang w:val="en-US"/>
        </w:rPr>
        <w:t>s</w:t>
      </w:r>
      <w:r w:rsidRPr="003F52FE">
        <w:rPr>
          <w:color w:val="000000" w:themeColor="text1"/>
          <w:lang w:val="en-US"/>
        </w:rPr>
        <w:t xml:space="preserve"> and the effects of the inflation rate over the path of the profit rate</w:t>
      </w:r>
      <w:r w:rsidR="00086D6A" w:rsidRPr="003F52FE">
        <w:rPr>
          <w:color w:val="000000" w:themeColor="text1"/>
          <w:lang w:val="en-US"/>
        </w:rPr>
        <w:t xml:space="preserve"> and the output capital ratio </w:t>
      </w:r>
      <w:r w:rsidR="00D0781D" w:rsidRPr="003F52FE">
        <w:rPr>
          <w:color w:val="000000" w:themeColor="text1"/>
          <w:lang w:val="en-US"/>
        </w:rPr>
        <w:t>at</w:t>
      </w:r>
      <w:r w:rsidRPr="003F52FE">
        <w:rPr>
          <w:color w:val="000000" w:themeColor="text1"/>
          <w:lang w:val="en-US"/>
        </w:rPr>
        <w:t xml:space="preserve"> historical and current cost</w:t>
      </w:r>
      <w:r w:rsidR="00086D6A" w:rsidRPr="003F52FE">
        <w:rPr>
          <w:color w:val="000000" w:themeColor="text1"/>
          <w:lang w:val="en-US"/>
        </w:rPr>
        <w:t>s</w:t>
      </w:r>
      <w:r w:rsidRPr="003F52FE">
        <w:rPr>
          <w:color w:val="000000" w:themeColor="text1"/>
          <w:lang w:val="en-US"/>
        </w:rPr>
        <w:t xml:space="preserve">. Section three </w:t>
      </w:r>
      <w:r w:rsidR="007B5017" w:rsidRPr="003F52FE">
        <w:rPr>
          <w:color w:val="000000" w:themeColor="text1"/>
          <w:lang w:val="en-US"/>
        </w:rPr>
        <w:t>summarizes the paths of the Brazilian GDP and inflation in the period of study. The Brazilian historical record on inflation is relevant to understand the effects of inflation in the measu</w:t>
      </w:r>
      <w:r w:rsidR="00086D6A" w:rsidRPr="003F52FE">
        <w:rPr>
          <w:color w:val="000000" w:themeColor="text1"/>
          <w:lang w:val="en-US"/>
        </w:rPr>
        <w:t xml:space="preserve">rement of the profit rate and this can </w:t>
      </w:r>
      <w:r w:rsidR="007B5017" w:rsidRPr="003F52FE">
        <w:rPr>
          <w:color w:val="000000" w:themeColor="text1"/>
          <w:lang w:val="en-US"/>
        </w:rPr>
        <w:t xml:space="preserve">shed light on the debate. </w:t>
      </w:r>
    </w:p>
    <w:p w:rsidR="00B5003A" w:rsidRPr="003F52FE" w:rsidRDefault="00412790" w:rsidP="0083766B">
      <w:pPr>
        <w:ind w:firstLine="720"/>
        <w:rPr>
          <w:color w:val="000000" w:themeColor="text1"/>
          <w:lang w:val="en-US"/>
        </w:rPr>
      </w:pPr>
      <w:r w:rsidRPr="003F52FE">
        <w:rPr>
          <w:color w:val="000000" w:themeColor="text1"/>
          <w:lang w:val="en-US"/>
        </w:rPr>
        <w:t xml:space="preserve">The results on section four </w:t>
      </w:r>
      <w:r w:rsidR="00A31FB8" w:rsidRPr="003F52FE">
        <w:rPr>
          <w:color w:val="000000" w:themeColor="text1"/>
          <w:lang w:val="en-US"/>
        </w:rPr>
        <w:t>support the measur</w:t>
      </w:r>
      <w:r w:rsidRPr="003F52FE">
        <w:rPr>
          <w:color w:val="000000" w:themeColor="text1"/>
          <w:lang w:val="en-US"/>
        </w:rPr>
        <w:t xml:space="preserve">ement of </w:t>
      </w:r>
      <w:r w:rsidR="00A31FB8" w:rsidRPr="003F52FE">
        <w:rPr>
          <w:color w:val="000000" w:themeColor="text1"/>
          <w:lang w:val="en-US"/>
        </w:rPr>
        <w:t xml:space="preserve">the profit </w:t>
      </w:r>
      <w:r w:rsidR="00933773" w:rsidRPr="003F52FE">
        <w:rPr>
          <w:color w:val="000000" w:themeColor="text1"/>
          <w:lang w:val="en-US"/>
        </w:rPr>
        <w:t xml:space="preserve">rate at historical </w:t>
      </w:r>
      <w:r w:rsidRPr="003F52FE">
        <w:rPr>
          <w:color w:val="000000" w:themeColor="text1"/>
          <w:lang w:val="en-US"/>
        </w:rPr>
        <w:t>cost</w:t>
      </w:r>
      <w:r w:rsidR="00086D6A" w:rsidRPr="003F52FE">
        <w:rPr>
          <w:color w:val="000000" w:themeColor="text1"/>
          <w:lang w:val="en-US"/>
        </w:rPr>
        <w:t>s</w:t>
      </w:r>
      <w:r w:rsidRPr="003F52FE">
        <w:rPr>
          <w:color w:val="000000" w:themeColor="text1"/>
          <w:lang w:val="en-US"/>
        </w:rPr>
        <w:t>.</w:t>
      </w:r>
      <w:r w:rsidR="00086D6A" w:rsidRPr="003F52FE">
        <w:rPr>
          <w:color w:val="000000" w:themeColor="text1"/>
          <w:lang w:val="en-US"/>
        </w:rPr>
        <w:t xml:space="preserve">  The path of the profit </w:t>
      </w:r>
      <w:r w:rsidR="00933773" w:rsidRPr="003F52FE">
        <w:rPr>
          <w:color w:val="000000" w:themeColor="text1"/>
          <w:lang w:val="en-US"/>
        </w:rPr>
        <w:t xml:space="preserve">rate at historical </w:t>
      </w:r>
      <w:r w:rsidR="001D3A2C" w:rsidRPr="003F52FE">
        <w:rPr>
          <w:color w:val="000000" w:themeColor="text1"/>
          <w:lang w:val="en-US"/>
        </w:rPr>
        <w:t>cost</w:t>
      </w:r>
      <w:r w:rsidR="00086D6A" w:rsidRPr="003F52FE">
        <w:rPr>
          <w:color w:val="000000" w:themeColor="text1"/>
          <w:lang w:val="en-US"/>
        </w:rPr>
        <w:t>s</w:t>
      </w:r>
      <w:r w:rsidR="001D3A2C" w:rsidRPr="003F52FE">
        <w:rPr>
          <w:color w:val="000000" w:themeColor="text1"/>
          <w:lang w:val="en-US"/>
        </w:rPr>
        <w:t xml:space="preserve"> is at odds with key events in </w:t>
      </w:r>
      <w:r w:rsidR="00086D6A" w:rsidRPr="003F52FE">
        <w:rPr>
          <w:color w:val="000000" w:themeColor="text1"/>
          <w:lang w:val="en-US"/>
        </w:rPr>
        <w:t>Brazilian history. I</w:t>
      </w:r>
      <w:r w:rsidR="001D3A2C" w:rsidRPr="003F52FE">
        <w:rPr>
          <w:color w:val="000000" w:themeColor="text1"/>
          <w:lang w:val="en-US"/>
        </w:rPr>
        <w:t xml:space="preserve">t declined in the first years of the military dictatorship, expanded in the </w:t>
      </w:r>
      <w:proofErr w:type="spellStart"/>
      <w:r w:rsidR="001D3A2C" w:rsidRPr="003F52FE">
        <w:rPr>
          <w:color w:val="000000" w:themeColor="text1"/>
          <w:lang w:val="en-US"/>
        </w:rPr>
        <w:t>lost</w:t>
      </w:r>
      <w:proofErr w:type="spellEnd"/>
      <w:r w:rsidR="001D3A2C" w:rsidRPr="003F52FE">
        <w:rPr>
          <w:color w:val="000000" w:themeColor="text1"/>
          <w:lang w:val="en-US"/>
        </w:rPr>
        <w:t xml:space="preserve"> decade, and fell during the neoliberal years. </w:t>
      </w:r>
      <w:r w:rsidRPr="003F52FE">
        <w:rPr>
          <w:color w:val="000000" w:themeColor="text1"/>
          <w:lang w:val="en-US"/>
        </w:rPr>
        <w:t>T</w:t>
      </w:r>
      <w:r w:rsidR="00B5003A" w:rsidRPr="003F52FE">
        <w:rPr>
          <w:color w:val="000000" w:themeColor="text1"/>
          <w:lang w:val="en-US"/>
        </w:rPr>
        <w:t xml:space="preserve">he main results of the paper </w:t>
      </w:r>
      <w:r w:rsidR="003F7665" w:rsidRPr="003F52FE">
        <w:rPr>
          <w:color w:val="000000" w:themeColor="text1"/>
          <w:lang w:val="en-US"/>
        </w:rPr>
        <w:t xml:space="preserve">can be </w:t>
      </w:r>
      <w:r w:rsidRPr="003F52FE">
        <w:rPr>
          <w:color w:val="000000" w:themeColor="text1"/>
          <w:lang w:val="en-US"/>
        </w:rPr>
        <w:t>summarized as</w:t>
      </w:r>
      <w:r w:rsidR="00B5003A" w:rsidRPr="003F52FE">
        <w:rPr>
          <w:color w:val="000000" w:themeColor="text1"/>
          <w:lang w:val="en-US"/>
        </w:rPr>
        <w:t>:</w:t>
      </w:r>
    </w:p>
    <w:p w:rsidR="00932322" w:rsidRPr="003F52FE" w:rsidRDefault="00932322" w:rsidP="0083766B">
      <w:pPr>
        <w:pStyle w:val="PargrafodaLista"/>
        <w:numPr>
          <w:ilvl w:val="0"/>
          <w:numId w:val="8"/>
        </w:numPr>
        <w:spacing w:line="240" w:lineRule="auto"/>
        <w:rPr>
          <w:rFonts w:ascii="Times New Roman" w:hAnsi="Times New Roman" w:cs="Times New Roman"/>
          <w:color w:val="000000" w:themeColor="text1"/>
          <w:sz w:val="24"/>
          <w:szCs w:val="24"/>
          <w:lang w:val="en-US"/>
        </w:rPr>
      </w:pPr>
      <w:r w:rsidRPr="003F52FE">
        <w:rPr>
          <w:rFonts w:ascii="Times New Roman" w:hAnsi="Times New Roman" w:cs="Times New Roman"/>
          <w:color w:val="000000" w:themeColor="text1"/>
          <w:sz w:val="24"/>
          <w:szCs w:val="24"/>
          <w:lang w:val="en-US"/>
        </w:rPr>
        <w:t>The</w:t>
      </w:r>
      <w:r w:rsidR="00086D6A" w:rsidRPr="003F52FE">
        <w:rPr>
          <w:rFonts w:ascii="Times New Roman" w:hAnsi="Times New Roman" w:cs="Times New Roman"/>
          <w:color w:val="000000" w:themeColor="text1"/>
          <w:sz w:val="24"/>
          <w:szCs w:val="24"/>
          <w:lang w:val="en-US"/>
        </w:rPr>
        <w:t xml:space="preserve"> profit </w:t>
      </w:r>
      <w:r w:rsidR="00933773" w:rsidRPr="003F52FE">
        <w:rPr>
          <w:rFonts w:ascii="Times New Roman" w:hAnsi="Times New Roman" w:cs="Times New Roman"/>
          <w:color w:val="000000" w:themeColor="text1"/>
          <w:sz w:val="24"/>
          <w:szCs w:val="24"/>
          <w:lang w:val="en-US"/>
        </w:rPr>
        <w:t xml:space="preserve">rate at historical </w:t>
      </w:r>
      <w:r w:rsidRPr="003F52FE">
        <w:rPr>
          <w:rFonts w:ascii="Times New Roman" w:hAnsi="Times New Roman" w:cs="Times New Roman"/>
          <w:color w:val="000000" w:themeColor="text1"/>
          <w:sz w:val="24"/>
          <w:szCs w:val="24"/>
          <w:lang w:val="en-US"/>
        </w:rPr>
        <w:t>cost</w:t>
      </w:r>
      <w:r w:rsidR="00086D6A" w:rsidRPr="003F52FE">
        <w:rPr>
          <w:rFonts w:ascii="Times New Roman" w:hAnsi="Times New Roman" w:cs="Times New Roman"/>
          <w:color w:val="000000" w:themeColor="text1"/>
          <w:sz w:val="24"/>
          <w:szCs w:val="24"/>
          <w:lang w:val="en-US"/>
        </w:rPr>
        <w:t xml:space="preserve">s was higher than </w:t>
      </w:r>
      <w:r w:rsidR="00D0781D" w:rsidRPr="003F52FE">
        <w:rPr>
          <w:rFonts w:ascii="Times New Roman" w:hAnsi="Times New Roman" w:cs="Times New Roman"/>
          <w:color w:val="000000" w:themeColor="text1"/>
          <w:sz w:val="24"/>
          <w:szCs w:val="24"/>
          <w:lang w:val="en-US"/>
        </w:rPr>
        <w:t>at</w:t>
      </w:r>
      <w:r w:rsidRPr="003F52FE">
        <w:rPr>
          <w:rFonts w:ascii="Times New Roman" w:hAnsi="Times New Roman" w:cs="Times New Roman"/>
          <w:color w:val="000000" w:themeColor="text1"/>
          <w:sz w:val="24"/>
          <w:szCs w:val="24"/>
          <w:lang w:val="en-US"/>
        </w:rPr>
        <w:t xml:space="preserve"> current cost</w:t>
      </w:r>
      <w:r w:rsidR="00086D6A" w:rsidRPr="003F52FE">
        <w:rPr>
          <w:rFonts w:ascii="Times New Roman" w:hAnsi="Times New Roman" w:cs="Times New Roman"/>
          <w:color w:val="000000" w:themeColor="text1"/>
          <w:sz w:val="24"/>
          <w:szCs w:val="24"/>
          <w:lang w:val="en-US"/>
        </w:rPr>
        <w:t>s</w:t>
      </w:r>
      <w:r w:rsidRPr="003F52FE">
        <w:rPr>
          <w:rFonts w:ascii="Times New Roman" w:hAnsi="Times New Roman" w:cs="Times New Roman"/>
          <w:color w:val="000000" w:themeColor="text1"/>
          <w:sz w:val="24"/>
          <w:szCs w:val="24"/>
          <w:lang w:val="en-US"/>
        </w:rPr>
        <w:t xml:space="preserve">;   </w:t>
      </w:r>
    </w:p>
    <w:p w:rsidR="004A4D05" w:rsidRPr="003F52FE" w:rsidRDefault="004A4D05" w:rsidP="0083766B">
      <w:pPr>
        <w:pStyle w:val="PargrafodaLista"/>
        <w:numPr>
          <w:ilvl w:val="0"/>
          <w:numId w:val="8"/>
        </w:numPr>
        <w:spacing w:line="240" w:lineRule="auto"/>
        <w:rPr>
          <w:rFonts w:ascii="Times New Roman" w:hAnsi="Times New Roman" w:cs="Times New Roman"/>
          <w:b/>
          <w:color w:val="000000" w:themeColor="text1"/>
          <w:sz w:val="24"/>
          <w:szCs w:val="24"/>
          <w:lang w:val="en-US"/>
        </w:rPr>
      </w:pPr>
      <w:r w:rsidRPr="003F52FE">
        <w:rPr>
          <w:rFonts w:ascii="Times New Roman" w:hAnsi="Times New Roman" w:cs="Times New Roman"/>
          <w:color w:val="000000" w:themeColor="text1"/>
          <w:sz w:val="24"/>
          <w:szCs w:val="24"/>
          <w:lang w:val="en-US"/>
        </w:rPr>
        <w:t>T</w:t>
      </w:r>
      <w:r w:rsidR="00932322" w:rsidRPr="003F52FE">
        <w:rPr>
          <w:rFonts w:ascii="Times New Roman" w:hAnsi="Times New Roman" w:cs="Times New Roman"/>
          <w:color w:val="000000" w:themeColor="text1"/>
          <w:sz w:val="24"/>
          <w:szCs w:val="24"/>
          <w:lang w:val="en-US"/>
        </w:rPr>
        <w:t xml:space="preserve">he path of the output capital ratio determines the </w:t>
      </w:r>
      <w:r w:rsidRPr="003F52FE">
        <w:rPr>
          <w:rFonts w:ascii="Times New Roman" w:hAnsi="Times New Roman" w:cs="Times New Roman"/>
          <w:color w:val="000000" w:themeColor="text1"/>
          <w:sz w:val="24"/>
          <w:szCs w:val="24"/>
          <w:lang w:val="en-US"/>
        </w:rPr>
        <w:t>movements of the profit rate</w:t>
      </w:r>
      <w:r w:rsidR="00932322" w:rsidRPr="003F52FE">
        <w:rPr>
          <w:rFonts w:ascii="Times New Roman" w:hAnsi="Times New Roman" w:cs="Times New Roman"/>
          <w:color w:val="000000" w:themeColor="text1"/>
          <w:sz w:val="24"/>
          <w:szCs w:val="24"/>
          <w:lang w:val="en-US"/>
        </w:rPr>
        <w:t>;</w:t>
      </w:r>
    </w:p>
    <w:p w:rsidR="004A4D05" w:rsidRPr="003F52FE" w:rsidRDefault="00932322" w:rsidP="0083766B">
      <w:pPr>
        <w:pStyle w:val="PargrafodaLista"/>
        <w:numPr>
          <w:ilvl w:val="0"/>
          <w:numId w:val="8"/>
        </w:numPr>
        <w:spacing w:line="240" w:lineRule="auto"/>
        <w:rPr>
          <w:rFonts w:ascii="Times New Roman" w:hAnsi="Times New Roman" w:cs="Times New Roman"/>
          <w:b/>
          <w:color w:val="000000" w:themeColor="text1"/>
          <w:sz w:val="24"/>
          <w:szCs w:val="24"/>
          <w:lang w:val="en-US"/>
        </w:rPr>
      </w:pPr>
      <w:r w:rsidRPr="003F52FE">
        <w:rPr>
          <w:rFonts w:ascii="Times New Roman" w:hAnsi="Times New Roman" w:cs="Times New Roman"/>
          <w:color w:val="000000" w:themeColor="text1"/>
          <w:sz w:val="24"/>
          <w:szCs w:val="24"/>
          <w:lang w:val="en-US"/>
        </w:rPr>
        <w:t>The</w:t>
      </w:r>
      <w:r w:rsidR="00077230" w:rsidRPr="003F52FE">
        <w:rPr>
          <w:rFonts w:ascii="Times New Roman" w:hAnsi="Times New Roman" w:cs="Times New Roman"/>
          <w:color w:val="000000" w:themeColor="text1"/>
          <w:sz w:val="24"/>
          <w:szCs w:val="24"/>
          <w:lang w:val="en-US"/>
        </w:rPr>
        <w:t xml:space="preserve"> profit rate </w:t>
      </w:r>
      <w:r w:rsidR="00086D6A" w:rsidRPr="003F52FE">
        <w:rPr>
          <w:rFonts w:ascii="Times New Roman" w:hAnsi="Times New Roman" w:cs="Times New Roman"/>
          <w:color w:val="000000" w:themeColor="text1"/>
          <w:sz w:val="24"/>
          <w:szCs w:val="24"/>
          <w:lang w:val="en-US"/>
        </w:rPr>
        <w:t xml:space="preserve">and the output capital ratio </w:t>
      </w:r>
      <w:r w:rsidR="00D0781D" w:rsidRPr="003F52FE">
        <w:rPr>
          <w:rFonts w:ascii="Times New Roman" w:hAnsi="Times New Roman" w:cs="Times New Roman"/>
          <w:color w:val="000000" w:themeColor="text1"/>
          <w:sz w:val="24"/>
          <w:szCs w:val="24"/>
          <w:lang w:val="en-US"/>
        </w:rPr>
        <w:t>at</w:t>
      </w:r>
      <w:r w:rsidRPr="003F52FE">
        <w:rPr>
          <w:rFonts w:ascii="Times New Roman" w:hAnsi="Times New Roman" w:cs="Times New Roman"/>
          <w:color w:val="000000" w:themeColor="text1"/>
          <w:sz w:val="24"/>
          <w:szCs w:val="24"/>
          <w:lang w:val="en-US"/>
        </w:rPr>
        <w:t xml:space="preserve"> </w:t>
      </w:r>
      <w:r w:rsidR="004A4D05" w:rsidRPr="003F52FE">
        <w:rPr>
          <w:rFonts w:ascii="Times New Roman" w:hAnsi="Times New Roman" w:cs="Times New Roman"/>
          <w:color w:val="000000" w:themeColor="text1"/>
          <w:sz w:val="24"/>
          <w:szCs w:val="24"/>
          <w:lang w:val="en-US"/>
        </w:rPr>
        <w:t xml:space="preserve">historical prices increase </w:t>
      </w:r>
      <w:r w:rsidRPr="003F52FE">
        <w:rPr>
          <w:rFonts w:ascii="Times New Roman" w:hAnsi="Times New Roman" w:cs="Times New Roman"/>
          <w:color w:val="000000" w:themeColor="text1"/>
          <w:sz w:val="24"/>
          <w:szCs w:val="24"/>
          <w:lang w:val="en-US"/>
        </w:rPr>
        <w:t xml:space="preserve">in </w:t>
      </w:r>
      <w:r w:rsidR="00086D6A" w:rsidRPr="003F52FE">
        <w:rPr>
          <w:rFonts w:ascii="Times New Roman" w:hAnsi="Times New Roman" w:cs="Times New Roman"/>
          <w:color w:val="000000" w:themeColor="text1"/>
          <w:sz w:val="24"/>
          <w:szCs w:val="24"/>
          <w:lang w:val="en-US"/>
        </w:rPr>
        <w:t xml:space="preserve">the </w:t>
      </w:r>
      <w:r w:rsidRPr="003F52FE">
        <w:rPr>
          <w:rFonts w:ascii="Times New Roman" w:hAnsi="Times New Roman" w:cs="Times New Roman"/>
          <w:color w:val="000000" w:themeColor="text1"/>
          <w:sz w:val="24"/>
          <w:szCs w:val="24"/>
          <w:lang w:val="en-US"/>
        </w:rPr>
        <w:t xml:space="preserve">years of rising inflation </w:t>
      </w:r>
      <w:r w:rsidR="004A4D05" w:rsidRPr="003F52FE">
        <w:rPr>
          <w:rFonts w:ascii="Times New Roman" w:hAnsi="Times New Roman" w:cs="Times New Roman"/>
          <w:color w:val="000000" w:themeColor="text1"/>
          <w:sz w:val="24"/>
          <w:szCs w:val="24"/>
          <w:lang w:val="en-US"/>
        </w:rPr>
        <w:t xml:space="preserve">and </w:t>
      </w:r>
      <w:r w:rsidRPr="003F52FE">
        <w:rPr>
          <w:rFonts w:ascii="Times New Roman" w:hAnsi="Times New Roman" w:cs="Times New Roman"/>
          <w:color w:val="000000" w:themeColor="text1"/>
          <w:sz w:val="24"/>
          <w:szCs w:val="24"/>
          <w:lang w:val="en-US"/>
        </w:rPr>
        <w:t xml:space="preserve">fall </w:t>
      </w:r>
      <w:r w:rsidR="004A4D05" w:rsidRPr="003F52FE">
        <w:rPr>
          <w:rFonts w:ascii="Times New Roman" w:hAnsi="Times New Roman" w:cs="Times New Roman"/>
          <w:color w:val="000000" w:themeColor="text1"/>
          <w:sz w:val="24"/>
          <w:szCs w:val="24"/>
          <w:lang w:val="en-US"/>
        </w:rPr>
        <w:t xml:space="preserve">in </w:t>
      </w:r>
      <w:r w:rsidR="00086D6A" w:rsidRPr="003F52FE">
        <w:rPr>
          <w:rFonts w:ascii="Times New Roman" w:hAnsi="Times New Roman" w:cs="Times New Roman"/>
          <w:color w:val="000000" w:themeColor="text1"/>
          <w:sz w:val="24"/>
          <w:szCs w:val="24"/>
          <w:lang w:val="en-US"/>
        </w:rPr>
        <w:t xml:space="preserve">the </w:t>
      </w:r>
      <w:r w:rsidRPr="003F52FE">
        <w:rPr>
          <w:rFonts w:ascii="Times New Roman" w:hAnsi="Times New Roman" w:cs="Times New Roman"/>
          <w:color w:val="000000" w:themeColor="text1"/>
          <w:sz w:val="24"/>
          <w:szCs w:val="24"/>
          <w:lang w:val="en-US"/>
        </w:rPr>
        <w:t>years</w:t>
      </w:r>
      <w:r w:rsidR="004A4D05" w:rsidRPr="003F52FE">
        <w:rPr>
          <w:rFonts w:ascii="Times New Roman" w:hAnsi="Times New Roman" w:cs="Times New Roman"/>
          <w:color w:val="000000" w:themeColor="text1"/>
          <w:sz w:val="24"/>
          <w:szCs w:val="24"/>
          <w:lang w:val="en-US"/>
        </w:rPr>
        <w:t xml:space="preserve"> of </w:t>
      </w:r>
      <w:r w:rsidRPr="003F52FE">
        <w:rPr>
          <w:rFonts w:ascii="Times New Roman" w:hAnsi="Times New Roman" w:cs="Times New Roman"/>
          <w:color w:val="000000" w:themeColor="text1"/>
          <w:sz w:val="24"/>
          <w:szCs w:val="24"/>
          <w:lang w:val="en-US"/>
        </w:rPr>
        <w:t xml:space="preserve">declining </w:t>
      </w:r>
      <w:r w:rsidR="004A4D05" w:rsidRPr="003F52FE">
        <w:rPr>
          <w:rFonts w:ascii="Times New Roman" w:hAnsi="Times New Roman" w:cs="Times New Roman"/>
          <w:color w:val="000000" w:themeColor="text1"/>
          <w:sz w:val="24"/>
          <w:szCs w:val="24"/>
          <w:lang w:val="en-US"/>
        </w:rPr>
        <w:t>inflation</w:t>
      </w:r>
      <w:r w:rsidRPr="003F52FE">
        <w:rPr>
          <w:rFonts w:ascii="Times New Roman" w:hAnsi="Times New Roman" w:cs="Times New Roman"/>
          <w:color w:val="000000" w:themeColor="text1"/>
          <w:sz w:val="24"/>
          <w:szCs w:val="24"/>
          <w:lang w:val="en-US"/>
        </w:rPr>
        <w:t>;</w:t>
      </w:r>
    </w:p>
    <w:p w:rsidR="00932322" w:rsidRPr="003F52FE" w:rsidRDefault="004A4D05" w:rsidP="0083766B">
      <w:pPr>
        <w:pStyle w:val="PargrafodaLista"/>
        <w:numPr>
          <w:ilvl w:val="0"/>
          <w:numId w:val="8"/>
        </w:numPr>
        <w:spacing w:line="240" w:lineRule="auto"/>
        <w:rPr>
          <w:rFonts w:ascii="Times New Roman" w:hAnsi="Times New Roman" w:cs="Times New Roman"/>
          <w:b/>
          <w:color w:val="000000" w:themeColor="text1"/>
          <w:sz w:val="24"/>
          <w:szCs w:val="24"/>
          <w:lang w:val="en-US"/>
        </w:rPr>
      </w:pPr>
      <w:r w:rsidRPr="003F52FE">
        <w:rPr>
          <w:rFonts w:ascii="Times New Roman" w:hAnsi="Times New Roman" w:cs="Times New Roman"/>
          <w:color w:val="000000" w:themeColor="text1"/>
          <w:sz w:val="24"/>
          <w:szCs w:val="24"/>
          <w:lang w:val="en-US"/>
        </w:rPr>
        <w:t xml:space="preserve">The inflation rate affects not only the level of the profit rate </w:t>
      </w:r>
      <w:r w:rsidR="00932322" w:rsidRPr="003F52FE">
        <w:rPr>
          <w:rFonts w:ascii="Times New Roman" w:hAnsi="Times New Roman" w:cs="Times New Roman"/>
          <w:color w:val="000000" w:themeColor="text1"/>
          <w:sz w:val="24"/>
          <w:szCs w:val="24"/>
          <w:lang w:val="en-US"/>
        </w:rPr>
        <w:t xml:space="preserve">and the output capital ratio </w:t>
      </w:r>
      <w:r w:rsidR="00D0781D" w:rsidRPr="003F52FE">
        <w:rPr>
          <w:rFonts w:ascii="Times New Roman" w:hAnsi="Times New Roman" w:cs="Times New Roman"/>
          <w:color w:val="000000" w:themeColor="text1"/>
          <w:sz w:val="24"/>
          <w:szCs w:val="24"/>
          <w:lang w:val="en-US"/>
        </w:rPr>
        <w:t>at</w:t>
      </w:r>
      <w:r w:rsidR="00932322" w:rsidRPr="003F52FE">
        <w:rPr>
          <w:rFonts w:ascii="Times New Roman" w:hAnsi="Times New Roman" w:cs="Times New Roman"/>
          <w:color w:val="000000" w:themeColor="text1"/>
          <w:sz w:val="24"/>
          <w:szCs w:val="24"/>
          <w:lang w:val="en-US"/>
        </w:rPr>
        <w:t xml:space="preserve"> historical prices, </w:t>
      </w:r>
      <w:r w:rsidRPr="003F52FE">
        <w:rPr>
          <w:rFonts w:ascii="Times New Roman" w:hAnsi="Times New Roman" w:cs="Times New Roman"/>
          <w:color w:val="000000" w:themeColor="text1"/>
          <w:sz w:val="24"/>
          <w:szCs w:val="24"/>
          <w:lang w:val="en-US"/>
        </w:rPr>
        <w:t xml:space="preserve">but also </w:t>
      </w:r>
      <w:r w:rsidR="00932322" w:rsidRPr="003F52FE">
        <w:rPr>
          <w:rFonts w:ascii="Times New Roman" w:hAnsi="Times New Roman" w:cs="Times New Roman"/>
          <w:color w:val="000000" w:themeColor="text1"/>
          <w:sz w:val="24"/>
          <w:szCs w:val="24"/>
          <w:lang w:val="en-US"/>
        </w:rPr>
        <w:t>their cyclical movements and their trend</w:t>
      </w:r>
      <w:r w:rsidR="00086D6A" w:rsidRPr="003F52FE">
        <w:rPr>
          <w:rFonts w:ascii="Times New Roman" w:hAnsi="Times New Roman" w:cs="Times New Roman"/>
          <w:color w:val="000000" w:themeColor="text1"/>
          <w:sz w:val="24"/>
          <w:szCs w:val="24"/>
          <w:lang w:val="en-US"/>
        </w:rPr>
        <w:t>s</w:t>
      </w:r>
      <w:r w:rsidR="00932322" w:rsidRPr="003F52FE">
        <w:rPr>
          <w:rFonts w:ascii="Times New Roman" w:hAnsi="Times New Roman" w:cs="Times New Roman"/>
          <w:color w:val="000000" w:themeColor="text1"/>
          <w:sz w:val="24"/>
          <w:szCs w:val="24"/>
          <w:lang w:val="en-US"/>
        </w:rPr>
        <w:t>;</w:t>
      </w:r>
    </w:p>
    <w:p w:rsidR="008401B3" w:rsidRPr="003F52FE" w:rsidRDefault="00086D6A" w:rsidP="0083766B">
      <w:pPr>
        <w:pStyle w:val="PargrafodaLista"/>
        <w:numPr>
          <w:ilvl w:val="0"/>
          <w:numId w:val="8"/>
        </w:numPr>
        <w:spacing w:line="240" w:lineRule="auto"/>
        <w:rPr>
          <w:rFonts w:ascii="Times New Roman" w:hAnsi="Times New Roman" w:cs="Times New Roman"/>
          <w:b/>
          <w:color w:val="000000" w:themeColor="text1"/>
          <w:sz w:val="24"/>
          <w:szCs w:val="24"/>
          <w:lang w:val="en-US"/>
        </w:rPr>
      </w:pPr>
      <w:r w:rsidRPr="003F52FE">
        <w:rPr>
          <w:rFonts w:ascii="Times New Roman" w:hAnsi="Times New Roman" w:cs="Times New Roman"/>
          <w:color w:val="000000" w:themeColor="text1"/>
          <w:sz w:val="24"/>
          <w:szCs w:val="24"/>
          <w:lang w:val="en-US"/>
        </w:rPr>
        <w:t xml:space="preserve">The output capital ratio </w:t>
      </w:r>
      <w:r w:rsidR="00D0781D" w:rsidRPr="003F52FE">
        <w:rPr>
          <w:rFonts w:ascii="Times New Roman" w:hAnsi="Times New Roman" w:cs="Times New Roman"/>
          <w:color w:val="000000" w:themeColor="text1"/>
          <w:sz w:val="24"/>
          <w:szCs w:val="24"/>
          <w:lang w:val="en-US"/>
        </w:rPr>
        <w:t>at</w:t>
      </w:r>
      <w:r w:rsidR="008401B3" w:rsidRPr="003F52FE">
        <w:rPr>
          <w:rFonts w:ascii="Times New Roman" w:hAnsi="Times New Roman" w:cs="Times New Roman"/>
          <w:color w:val="000000" w:themeColor="text1"/>
          <w:sz w:val="24"/>
          <w:szCs w:val="24"/>
          <w:lang w:val="en-US"/>
        </w:rPr>
        <w:t xml:space="preserve"> historical cost</w:t>
      </w:r>
      <w:r w:rsidRPr="003F52FE">
        <w:rPr>
          <w:rFonts w:ascii="Times New Roman" w:hAnsi="Times New Roman" w:cs="Times New Roman"/>
          <w:color w:val="000000" w:themeColor="text1"/>
          <w:sz w:val="24"/>
          <w:szCs w:val="24"/>
          <w:lang w:val="en-US"/>
        </w:rPr>
        <w:t>s</w:t>
      </w:r>
      <w:r w:rsidR="008401B3" w:rsidRPr="003F52FE">
        <w:rPr>
          <w:rFonts w:ascii="Times New Roman" w:hAnsi="Times New Roman" w:cs="Times New Roman"/>
          <w:color w:val="000000" w:themeColor="text1"/>
          <w:sz w:val="24"/>
          <w:szCs w:val="24"/>
          <w:lang w:val="en-US"/>
        </w:rPr>
        <w:t xml:space="preserve"> represents the technological variable under very stringent theoretical conditions;   </w:t>
      </w:r>
    </w:p>
    <w:p w:rsidR="001709BF" w:rsidRPr="003F52FE" w:rsidRDefault="004A4D05" w:rsidP="0083766B">
      <w:pPr>
        <w:pStyle w:val="PargrafodaLista"/>
        <w:numPr>
          <w:ilvl w:val="0"/>
          <w:numId w:val="8"/>
        </w:numPr>
        <w:spacing w:line="240" w:lineRule="auto"/>
        <w:rPr>
          <w:rFonts w:ascii="Times New Roman" w:hAnsi="Times New Roman" w:cs="Times New Roman"/>
          <w:b/>
          <w:color w:val="000000" w:themeColor="text1"/>
          <w:sz w:val="24"/>
          <w:szCs w:val="24"/>
          <w:lang w:val="en-US"/>
        </w:rPr>
      </w:pPr>
      <w:r w:rsidRPr="003F52FE">
        <w:rPr>
          <w:rFonts w:ascii="Times New Roman" w:hAnsi="Times New Roman" w:cs="Times New Roman"/>
          <w:color w:val="000000" w:themeColor="text1"/>
          <w:sz w:val="24"/>
          <w:szCs w:val="24"/>
          <w:lang w:val="en-US"/>
        </w:rPr>
        <w:t>The pat</w:t>
      </w:r>
      <w:r w:rsidR="00086D6A" w:rsidRPr="003F52FE">
        <w:rPr>
          <w:rFonts w:ascii="Times New Roman" w:hAnsi="Times New Roman" w:cs="Times New Roman"/>
          <w:color w:val="000000" w:themeColor="text1"/>
          <w:sz w:val="24"/>
          <w:szCs w:val="24"/>
          <w:lang w:val="en-US"/>
        </w:rPr>
        <w:t xml:space="preserve">h of the profit rate measured </w:t>
      </w:r>
      <w:r w:rsidR="00D0781D" w:rsidRPr="003F52FE">
        <w:rPr>
          <w:rFonts w:ascii="Times New Roman" w:hAnsi="Times New Roman" w:cs="Times New Roman"/>
          <w:color w:val="000000" w:themeColor="text1"/>
          <w:sz w:val="24"/>
          <w:szCs w:val="24"/>
          <w:lang w:val="en-US"/>
        </w:rPr>
        <w:t>at</w:t>
      </w:r>
      <w:r w:rsidRPr="003F52FE">
        <w:rPr>
          <w:rFonts w:ascii="Times New Roman" w:hAnsi="Times New Roman" w:cs="Times New Roman"/>
          <w:color w:val="000000" w:themeColor="text1"/>
          <w:sz w:val="24"/>
          <w:szCs w:val="24"/>
          <w:lang w:val="en-US"/>
        </w:rPr>
        <w:t xml:space="preserve"> current prices is not affected by the inflation rate.</w:t>
      </w:r>
      <w:r w:rsidR="00A31FB8" w:rsidRPr="003F52FE">
        <w:rPr>
          <w:rFonts w:ascii="Times New Roman" w:hAnsi="Times New Roman" w:cs="Times New Roman"/>
          <w:color w:val="000000" w:themeColor="text1"/>
          <w:sz w:val="24"/>
          <w:szCs w:val="24"/>
          <w:lang w:val="en-US"/>
        </w:rPr>
        <w:t xml:space="preserve"> </w:t>
      </w:r>
      <w:r w:rsidR="00932322" w:rsidRPr="003F52FE">
        <w:rPr>
          <w:rFonts w:ascii="Times New Roman" w:hAnsi="Times New Roman" w:cs="Times New Roman"/>
          <w:color w:val="000000" w:themeColor="text1"/>
          <w:sz w:val="24"/>
          <w:szCs w:val="24"/>
          <w:lang w:val="en-US"/>
        </w:rPr>
        <w:t>T</w:t>
      </w:r>
      <w:r w:rsidR="00086D6A" w:rsidRPr="003F52FE">
        <w:rPr>
          <w:rFonts w:ascii="Times New Roman" w:hAnsi="Times New Roman" w:cs="Times New Roman"/>
          <w:color w:val="000000" w:themeColor="text1"/>
          <w:sz w:val="24"/>
          <w:szCs w:val="24"/>
          <w:lang w:val="en-US"/>
        </w:rPr>
        <w:t xml:space="preserve">he profit </w:t>
      </w:r>
      <w:r w:rsidR="00933773" w:rsidRPr="003F52FE">
        <w:rPr>
          <w:rFonts w:ascii="Times New Roman" w:hAnsi="Times New Roman" w:cs="Times New Roman"/>
          <w:color w:val="000000" w:themeColor="text1"/>
          <w:sz w:val="24"/>
          <w:szCs w:val="24"/>
          <w:lang w:val="en-US"/>
        </w:rPr>
        <w:t xml:space="preserve">rate at historical </w:t>
      </w:r>
      <w:r w:rsidR="00A31FB8" w:rsidRPr="003F52FE">
        <w:rPr>
          <w:rFonts w:ascii="Times New Roman" w:hAnsi="Times New Roman" w:cs="Times New Roman"/>
          <w:color w:val="000000" w:themeColor="text1"/>
          <w:sz w:val="24"/>
          <w:szCs w:val="24"/>
          <w:lang w:val="en-US"/>
        </w:rPr>
        <w:t xml:space="preserve">prices allows an accurate measurement of the profit rate in the context of high inflation, </w:t>
      </w:r>
      <w:r w:rsidR="00932322" w:rsidRPr="003F52FE">
        <w:rPr>
          <w:rFonts w:ascii="Times New Roman" w:hAnsi="Times New Roman" w:cs="Times New Roman"/>
          <w:color w:val="000000" w:themeColor="text1"/>
          <w:sz w:val="24"/>
          <w:szCs w:val="24"/>
          <w:lang w:val="en-US"/>
        </w:rPr>
        <w:t xml:space="preserve">functioning </w:t>
      </w:r>
      <w:r w:rsidR="00A31FB8" w:rsidRPr="003F52FE">
        <w:rPr>
          <w:rFonts w:ascii="Times New Roman" w:hAnsi="Times New Roman" w:cs="Times New Roman"/>
          <w:color w:val="000000" w:themeColor="text1"/>
          <w:sz w:val="24"/>
          <w:szCs w:val="24"/>
          <w:lang w:val="en-US"/>
        </w:rPr>
        <w:t xml:space="preserve">as </w:t>
      </w:r>
      <w:r w:rsidR="00932322" w:rsidRPr="003F52FE">
        <w:rPr>
          <w:rFonts w:ascii="Times New Roman" w:hAnsi="Times New Roman" w:cs="Times New Roman"/>
          <w:color w:val="000000" w:themeColor="text1"/>
          <w:sz w:val="24"/>
          <w:szCs w:val="24"/>
          <w:lang w:val="en-US"/>
        </w:rPr>
        <w:t xml:space="preserve">the central variable </w:t>
      </w:r>
      <w:r w:rsidR="00086D6A" w:rsidRPr="003F52FE">
        <w:rPr>
          <w:rFonts w:ascii="Times New Roman" w:hAnsi="Times New Roman" w:cs="Times New Roman"/>
          <w:color w:val="000000" w:themeColor="text1"/>
          <w:sz w:val="24"/>
          <w:szCs w:val="24"/>
          <w:lang w:val="en-US"/>
        </w:rPr>
        <w:t>in understanding</w:t>
      </w:r>
      <w:r w:rsidR="00932322" w:rsidRPr="003F52FE">
        <w:rPr>
          <w:rFonts w:ascii="Times New Roman" w:hAnsi="Times New Roman" w:cs="Times New Roman"/>
          <w:color w:val="000000" w:themeColor="text1"/>
          <w:sz w:val="24"/>
          <w:szCs w:val="24"/>
          <w:lang w:val="en-US"/>
        </w:rPr>
        <w:t xml:space="preserve"> </w:t>
      </w:r>
      <w:r w:rsidR="00A31FB8" w:rsidRPr="003F52FE">
        <w:rPr>
          <w:rFonts w:ascii="Times New Roman" w:hAnsi="Times New Roman" w:cs="Times New Roman"/>
          <w:color w:val="000000" w:themeColor="text1"/>
          <w:sz w:val="24"/>
          <w:szCs w:val="24"/>
          <w:lang w:val="en-US"/>
        </w:rPr>
        <w:t>the dynamics of capitalism in developing economies.</w:t>
      </w:r>
    </w:p>
    <w:p w:rsidR="006F22CB" w:rsidRDefault="006F22CB" w:rsidP="0083766B">
      <w:pPr>
        <w:pStyle w:val="PargrafodaLista"/>
        <w:spacing w:after="0" w:line="240" w:lineRule="auto"/>
        <w:ind w:left="0"/>
        <w:rPr>
          <w:rFonts w:ascii="Times New Roman" w:hAnsi="Times New Roman" w:cs="Times New Roman"/>
          <w:color w:val="000000"/>
          <w:sz w:val="24"/>
          <w:szCs w:val="24"/>
          <w:lang w:val="en-US"/>
        </w:rPr>
      </w:pPr>
    </w:p>
    <w:p w:rsidR="004709EC" w:rsidRPr="006F22CB" w:rsidRDefault="00104476" w:rsidP="0083766B">
      <w:pPr>
        <w:pStyle w:val="PargrafodaLista"/>
        <w:spacing w:after="0" w:line="240" w:lineRule="auto"/>
        <w:ind w:left="0"/>
        <w:rPr>
          <w:rFonts w:ascii="Times New Roman" w:hAnsi="Times New Roman" w:cs="Times New Roman"/>
          <w:b/>
          <w:sz w:val="24"/>
          <w:szCs w:val="24"/>
          <w:lang w:val="en-US"/>
        </w:rPr>
      </w:pPr>
      <w:r w:rsidRPr="006F22CB">
        <w:rPr>
          <w:rFonts w:ascii="Times New Roman" w:hAnsi="Times New Roman" w:cs="Times New Roman"/>
          <w:b/>
          <w:sz w:val="24"/>
          <w:szCs w:val="24"/>
          <w:lang w:val="en-US"/>
        </w:rPr>
        <w:t>6</w:t>
      </w:r>
      <w:r w:rsidR="00B83CFA" w:rsidRPr="006F22CB">
        <w:rPr>
          <w:rFonts w:ascii="Times New Roman" w:hAnsi="Times New Roman" w:cs="Times New Roman"/>
          <w:b/>
          <w:sz w:val="24"/>
          <w:szCs w:val="24"/>
          <w:lang w:val="en-US"/>
        </w:rPr>
        <w:t>.</w:t>
      </w:r>
      <w:r w:rsidR="004709EC" w:rsidRPr="006F22CB">
        <w:rPr>
          <w:rFonts w:ascii="Times New Roman" w:hAnsi="Times New Roman" w:cs="Times New Roman"/>
          <w:b/>
          <w:sz w:val="24"/>
          <w:szCs w:val="24"/>
          <w:lang w:val="en-US"/>
        </w:rPr>
        <w:t xml:space="preserve"> References </w:t>
      </w:r>
    </w:p>
    <w:p w:rsidR="006F22CB" w:rsidRDefault="006F22CB" w:rsidP="0083766B">
      <w:pPr>
        <w:rPr>
          <w:lang w:val="en-US"/>
        </w:rPr>
      </w:pPr>
    </w:p>
    <w:p w:rsidR="007D5FE3" w:rsidRPr="007D5FE3" w:rsidRDefault="007D5FE3" w:rsidP="0083766B">
      <w:pPr>
        <w:rPr>
          <w:lang w:val="en-US"/>
        </w:rPr>
      </w:pPr>
      <w:proofErr w:type="spellStart"/>
      <w:r w:rsidRPr="007D5FE3">
        <w:rPr>
          <w:lang w:val="en-US"/>
        </w:rPr>
        <w:t>Basu</w:t>
      </w:r>
      <w:proofErr w:type="spellEnd"/>
      <w:r w:rsidRPr="007D5FE3">
        <w:rPr>
          <w:lang w:val="en-US"/>
        </w:rPr>
        <w:t>, D. 2013. Replacement versus Historical Cost Profit Rates: What is the difference? When does it matter?"</w:t>
      </w:r>
      <w:proofErr w:type="spellStart"/>
      <w:r w:rsidRPr="007D5FE3">
        <w:rPr>
          <w:i/>
          <w:iCs/>
          <w:lang w:val="en-US"/>
        </w:rPr>
        <w:t>Metroeconomica</w:t>
      </w:r>
      <w:proofErr w:type="spellEnd"/>
      <w:r w:rsidRPr="007D5FE3">
        <w:rPr>
          <w:lang w:val="en-US"/>
        </w:rPr>
        <w:t xml:space="preserve">, </w:t>
      </w:r>
      <w:r w:rsidR="001709BF">
        <w:rPr>
          <w:lang w:val="en-US"/>
        </w:rPr>
        <w:t>v.</w:t>
      </w:r>
      <w:r w:rsidRPr="007D5FE3">
        <w:rPr>
          <w:lang w:val="en-US"/>
        </w:rPr>
        <w:t xml:space="preserve"> 64, </w:t>
      </w:r>
      <w:r w:rsidR="001709BF">
        <w:rPr>
          <w:lang w:val="en-US"/>
        </w:rPr>
        <w:t>n.</w:t>
      </w:r>
      <w:r w:rsidRPr="007D5FE3">
        <w:rPr>
          <w:lang w:val="en-US"/>
        </w:rPr>
        <w:t xml:space="preserve"> 2, p. 293–318.</w:t>
      </w:r>
    </w:p>
    <w:p w:rsidR="00115904" w:rsidRDefault="00115904" w:rsidP="0083766B">
      <w:pPr>
        <w:rPr>
          <w:rFonts w:eastAsia="Arial Unicode MS"/>
          <w:color w:val="000000"/>
          <w:shd w:val="clear" w:color="auto" w:fill="FFFFFF"/>
          <w:lang w:val="en-US"/>
        </w:rPr>
      </w:pPr>
    </w:p>
    <w:p w:rsidR="001709BF" w:rsidRDefault="001709BF" w:rsidP="0083766B">
      <w:pPr>
        <w:rPr>
          <w:rFonts w:eastAsia="Arial Unicode MS"/>
          <w:color w:val="000000"/>
          <w:shd w:val="clear" w:color="auto" w:fill="FFFFFF"/>
          <w:lang w:val="en-US"/>
        </w:rPr>
      </w:pPr>
      <w:proofErr w:type="gramStart"/>
      <w:r w:rsidRPr="001709BF">
        <w:rPr>
          <w:rFonts w:eastAsia="Arial Unicode MS"/>
          <w:color w:val="000000"/>
          <w:shd w:val="clear" w:color="auto" w:fill="FFFFFF"/>
          <w:lang w:val="en-US"/>
        </w:rPr>
        <w:t xml:space="preserve">Bakir, E., </w:t>
      </w:r>
      <w:r w:rsidR="00115904">
        <w:rPr>
          <w:rFonts w:eastAsia="Arial Unicode MS"/>
          <w:color w:val="000000"/>
          <w:shd w:val="clear" w:color="auto" w:fill="FFFFFF"/>
          <w:lang w:val="en-US"/>
        </w:rPr>
        <w:t xml:space="preserve">and A. </w:t>
      </w:r>
      <w:r w:rsidRPr="001709BF">
        <w:rPr>
          <w:rFonts w:eastAsia="Arial Unicode MS"/>
          <w:color w:val="000000"/>
          <w:shd w:val="clear" w:color="auto" w:fill="FFFFFF"/>
          <w:lang w:val="en-US"/>
        </w:rPr>
        <w:t>Campbell.</w:t>
      </w:r>
      <w:proofErr w:type="gramEnd"/>
      <w:r w:rsidRPr="001709BF">
        <w:rPr>
          <w:rFonts w:eastAsia="Arial Unicode MS"/>
          <w:color w:val="000000"/>
          <w:shd w:val="clear" w:color="auto" w:fill="FFFFFF"/>
          <w:lang w:val="en-US"/>
        </w:rPr>
        <w:t xml:space="preserve"> 2010.</w:t>
      </w:r>
      <w:r w:rsidRPr="001709BF">
        <w:rPr>
          <w:rStyle w:val="apple-converted-space"/>
          <w:rFonts w:eastAsia="Arial Unicode MS"/>
          <w:color w:val="000000"/>
          <w:shd w:val="clear" w:color="auto" w:fill="FFFFFF"/>
          <w:lang w:val="en-US"/>
        </w:rPr>
        <w:t> </w:t>
      </w:r>
      <w:proofErr w:type="spellStart"/>
      <w:r w:rsidRPr="001709BF">
        <w:rPr>
          <w:rFonts w:eastAsia="Arial Unicode MS"/>
          <w:color w:val="000000"/>
          <w:shd w:val="clear" w:color="auto" w:fill="FFFFFF"/>
          <w:lang w:val="en-US"/>
        </w:rPr>
        <w:t>Neoliberalism</w:t>
      </w:r>
      <w:proofErr w:type="spellEnd"/>
      <w:r w:rsidRPr="001709BF">
        <w:rPr>
          <w:rFonts w:eastAsia="Arial Unicode MS"/>
          <w:color w:val="000000"/>
          <w:shd w:val="clear" w:color="auto" w:fill="FFFFFF"/>
          <w:lang w:val="en-US"/>
        </w:rPr>
        <w:t>, the Rate of Profit and the Rate of Accumulation.</w:t>
      </w:r>
      <w:r w:rsidRPr="001709BF">
        <w:rPr>
          <w:rStyle w:val="apple-converted-space"/>
          <w:rFonts w:eastAsia="Arial Unicode MS"/>
          <w:color w:val="000000"/>
          <w:shd w:val="clear" w:color="auto" w:fill="FFFFFF"/>
          <w:lang w:val="en-US"/>
        </w:rPr>
        <w:t> </w:t>
      </w:r>
      <w:r w:rsidRPr="001709BF">
        <w:rPr>
          <w:rFonts w:eastAsia="Arial Unicode MS"/>
          <w:i/>
          <w:color w:val="000000"/>
          <w:shd w:val="clear" w:color="auto" w:fill="FFFFFF"/>
          <w:lang w:val="en-US"/>
        </w:rPr>
        <w:t>Science &amp; Society</w:t>
      </w:r>
      <w:r>
        <w:rPr>
          <w:rFonts w:eastAsia="Arial Unicode MS"/>
          <w:color w:val="000000"/>
          <w:shd w:val="clear" w:color="auto" w:fill="FFFFFF"/>
          <w:lang w:val="en-US"/>
        </w:rPr>
        <w:t>, v</w:t>
      </w:r>
      <w:r w:rsidRPr="001709BF">
        <w:rPr>
          <w:rFonts w:eastAsia="Arial Unicode MS"/>
          <w:color w:val="000000"/>
          <w:shd w:val="clear" w:color="auto" w:fill="FFFFFF"/>
          <w:lang w:val="en-US"/>
        </w:rPr>
        <w:t>.</w:t>
      </w:r>
      <w:r w:rsidRPr="001709BF">
        <w:rPr>
          <w:rStyle w:val="apple-converted-space"/>
          <w:rFonts w:eastAsia="Arial Unicode MS"/>
          <w:color w:val="000000"/>
          <w:shd w:val="clear" w:color="auto" w:fill="FFFFFF"/>
          <w:lang w:val="en-US"/>
        </w:rPr>
        <w:t> </w:t>
      </w:r>
      <w:r w:rsidRPr="001709BF">
        <w:rPr>
          <w:rFonts w:eastAsia="Arial Unicode MS"/>
          <w:color w:val="000000"/>
          <w:shd w:val="clear" w:color="auto" w:fill="FFFFFF"/>
          <w:lang w:val="en-US"/>
        </w:rPr>
        <w:t>74,</w:t>
      </w:r>
      <w:r>
        <w:rPr>
          <w:rFonts w:eastAsia="Arial Unicode MS"/>
          <w:color w:val="000000"/>
          <w:shd w:val="clear" w:color="auto" w:fill="FFFFFF"/>
          <w:lang w:val="en-US"/>
        </w:rPr>
        <w:t xml:space="preserve"> n. 3,</w:t>
      </w:r>
      <w:r w:rsidRPr="001709BF">
        <w:rPr>
          <w:rFonts w:eastAsia="Arial Unicode MS"/>
          <w:color w:val="000000"/>
          <w:shd w:val="clear" w:color="auto" w:fill="FFFFFF"/>
          <w:lang w:val="en-US"/>
        </w:rPr>
        <w:t xml:space="preserve"> p. 323-342</w:t>
      </w:r>
      <w:r>
        <w:rPr>
          <w:rFonts w:eastAsia="Arial Unicode MS"/>
          <w:color w:val="000000"/>
          <w:shd w:val="clear" w:color="auto" w:fill="FFFFFF"/>
          <w:lang w:val="en-US"/>
        </w:rPr>
        <w:t>.</w:t>
      </w:r>
    </w:p>
    <w:p w:rsidR="00E05AEA" w:rsidRDefault="00E05AEA" w:rsidP="0083766B">
      <w:pPr>
        <w:rPr>
          <w:rFonts w:eastAsia="Arial Unicode MS"/>
          <w:color w:val="000000"/>
          <w:shd w:val="clear" w:color="auto" w:fill="FFFFFF"/>
          <w:lang w:val="en-US"/>
        </w:rPr>
      </w:pPr>
    </w:p>
    <w:p w:rsidR="00576DEF" w:rsidRPr="003546E5" w:rsidRDefault="00576DEF" w:rsidP="0083766B">
      <w:pPr>
        <w:widowControl/>
        <w:rPr>
          <w:lang w:val="en-US"/>
        </w:rPr>
      </w:pPr>
      <w:r>
        <w:rPr>
          <w:color w:val="000000"/>
          <w:lang w:val="en-US"/>
        </w:rPr>
        <w:t xml:space="preserve">Bowles, Gordon and </w:t>
      </w:r>
      <w:proofErr w:type="spellStart"/>
      <w:r w:rsidRPr="003546E5">
        <w:rPr>
          <w:color w:val="000000"/>
          <w:lang w:val="en-US"/>
        </w:rPr>
        <w:t>Weisskopf</w:t>
      </w:r>
      <w:proofErr w:type="spellEnd"/>
      <w:r w:rsidRPr="003546E5">
        <w:rPr>
          <w:color w:val="000000"/>
          <w:lang w:val="en-US"/>
        </w:rPr>
        <w:t xml:space="preserve"> (1986).</w:t>
      </w:r>
      <w:r w:rsidRPr="003546E5">
        <w:rPr>
          <w:lang w:val="en-US"/>
        </w:rPr>
        <w:t>Power and Profits: The Social Structure</w:t>
      </w:r>
    </w:p>
    <w:p w:rsidR="00576DEF" w:rsidRPr="003546E5" w:rsidRDefault="00576DEF" w:rsidP="0083766B">
      <w:pPr>
        <w:rPr>
          <w:lang w:val="en-US"/>
        </w:rPr>
      </w:pPr>
      <w:r w:rsidRPr="003546E5">
        <w:rPr>
          <w:lang w:val="en-US"/>
        </w:rPr>
        <w:t xml:space="preserve">of Accumulation and the Profitability of the Postwar U.S. </w:t>
      </w:r>
      <w:proofErr w:type="spellStart"/>
      <w:r w:rsidRPr="003546E5">
        <w:rPr>
          <w:lang w:val="en-US"/>
        </w:rPr>
        <w:t>Economy,</w:t>
      </w:r>
      <w:r w:rsidR="003546E5" w:rsidRPr="003546E5">
        <w:rPr>
          <w:i/>
          <w:lang w:val="en-US"/>
        </w:rPr>
        <w:t>Review</w:t>
      </w:r>
      <w:proofErr w:type="spellEnd"/>
      <w:r w:rsidR="003546E5" w:rsidRPr="003546E5">
        <w:rPr>
          <w:i/>
          <w:lang w:val="en-US"/>
        </w:rPr>
        <w:t xml:space="preserve"> of Radical Political Economics</w:t>
      </w:r>
      <w:r w:rsidR="003546E5">
        <w:rPr>
          <w:lang w:val="en-US"/>
        </w:rPr>
        <w:t>,</w:t>
      </w:r>
      <w:r w:rsidRPr="003546E5">
        <w:rPr>
          <w:lang w:val="en-US"/>
        </w:rPr>
        <w:t xml:space="preserve"> v</w:t>
      </w:r>
      <w:r w:rsidR="003546E5" w:rsidRPr="003546E5">
        <w:rPr>
          <w:lang w:val="en-US"/>
        </w:rPr>
        <w:t>. 16</w:t>
      </w:r>
      <w:r w:rsidRPr="003546E5">
        <w:rPr>
          <w:lang w:val="en-US"/>
        </w:rPr>
        <w:t>, n</w:t>
      </w:r>
      <w:r w:rsidR="003546E5" w:rsidRPr="003546E5">
        <w:rPr>
          <w:lang w:val="en-US"/>
        </w:rPr>
        <w:t xml:space="preserve">. 1 &amp; 2, p. 132-167. </w:t>
      </w:r>
    </w:p>
    <w:p w:rsidR="00115904" w:rsidRDefault="00115904" w:rsidP="0083766B">
      <w:pPr>
        <w:rPr>
          <w:lang w:val="en-US"/>
        </w:rPr>
      </w:pPr>
    </w:p>
    <w:p w:rsidR="00712B83" w:rsidRDefault="00864211" w:rsidP="0083766B">
      <w:pPr>
        <w:rPr>
          <w:lang w:val="en-US"/>
        </w:rPr>
      </w:pPr>
      <w:proofErr w:type="spellStart"/>
      <w:proofErr w:type="gramStart"/>
      <w:r w:rsidRPr="00864211">
        <w:rPr>
          <w:lang w:val="en-US"/>
        </w:rPr>
        <w:t>Duménil</w:t>
      </w:r>
      <w:proofErr w:type="spellEnd"/>
      <w:r w:rsidRPr="00864211">
        <w:rPr>
          <w:lang w:val="en-US"/>
        </w:rPr>
        <w:t xml:space="preserve">, G., and D. </w:t>
      </w:r>
      <w:proofErr w:type="spellStart"/>
      <w:r w:rsidRPr="00864211">
        <w:rPr>
          <w:lang w:val="en-US"/>
        </w:rPr>
        <w:t>Lévy</w:t>
      </w:r>
      <w:proofErr w:type="spellEnd"/>
      <w:r w:rsidRPr="00864211">
        <w:rPr>
          <w:lang w:val="en-US"/>
        </w:rPr>
        <w:t>.</w:t>
      </w:r>
      <w:proofErr w:type="gramEnd"/>
      <w:r w:rsidRPr="00864211">
        <w:rPr>
          <w:lang w:val="en-US"/>
        </w:rPr>
        <w:t xml:space="preserve"> 1993. </w:t>
      </w:r>
      <w:r w:rsidRPr="00D468A9">
        <w:rPr>
          <w:i/>
          <w:lang w:val="en-US"/>
        </w:rPr>
        <w:t>T</w:t>
      </w:r>
      <w:r w:rsidR="00D468A9" w:rsidRPr="00D468A9">
        <w:rPr>
          <w:i/>
          <w:lang w:val="en-US"/>
        </w:rPr>
        <w:t>he economics of the profit rate</w:t>
      </w:r>
      <w:r w:rsidR="00D468A9">
        <w:rPr>
          <w:lang w:val="en-US"/>
        </w:rPr>
        <w:t xml:space="preserve">: </w:t>
      </w:r>
      <w:r w:rsidRPr="00864211">
        <w:rPr>
          <w:lang w:val="en-US"/>
        </w:rPr>
        <w:t xml:space="preserve">competition, crises and historical tendencies in capitalism. </w:t>
      </w:r>
      <w:proofErr w:type="spellStart"/>
      <w:r w:rsidRPr="001709BF">
        <w:rPr>
          <w:lang w:val="en-US"/>
        </w:rPr>
        <w:t>Aldershot</w:t>
      </w:r>
      <w:proofErr w:type="spellEnd"/>
      <w:r w:rsidRPr="001709BF">
        <w:rPr>
          <w:lang w:val="en-US"/>
        </w:rPr>
        <w:t xml:space="preserve">: Edward Elgar. </w:t>
      </w:r>
    </w:p>
    <w:p w:rsidR="00B218CA" w:rsidRDefault="00B218CA" w:rsidP="0083766B">
      <w:pPr>
        <w:rPr>
          <w:lang w:val="en-US"/>
        </w:rPr>
      </w:pPr>
    </w:p>
    <w:p w:rsidR="001709BF" w:rsidRPr="00115904" w:rsidRDefault="00864211" w:rsidP="0083766B">
      <w:pPr>
        <w:rPr>
          <w:lang w:val="en-US"/>
        </w:rPr>
      </w:pPr>
      <w:proofErr w:type="spellStart"/>
      <w:proofErr w:type="gramStart"/>
      <w:r w:rsidRPr="002F7BAD">
        <w:rPr>
          <w:lang w:val="en-US"/>
        </w:rPr>
        <w:t>Duménil</w:t>
      </w:r>
      <w:proofErr w:type="spellEnd"/>
      <w:r w:rsidRPr="002F7BAD">
        <w:rPr>
          <w:lang w:val="en-US"/>
        </w:rPr>
        <w:t xml:space="preserve">, G., and D. </w:t>
      </w:r>
      <w:proofErr w:type="spellStart"/>
      <w:r w:rsidRPr="002F7BAD">
        <w:rPr>
          <w:lang w:val="en-US"/>
        </w:rPr>
        <w:t>Lévy</w:t>
      </w:r>
      <w:proofErr w:type="spellEnd"/>
      <w:r w:rsidRPr="002F7BAD">
        <w:rPr>
          <w:lang w:val="en-US"/>
        </w:rPr>
        <w:t>.</w:t>
      </w:r>
      <w:proofErr w:type="gramEnd"/>
      <w:r w:rsidRPr="002F7BAD">
        <w:rPr>
          <w:lang w:val="en-US"/>
        </w:rPr>
        <w:t xml:space="preserve"> 20</w:t>
      </w:r>
      <w:r w:rsidR="001709BF">
        <w:rPr>
          <w:lang w:val="en-US"/>
        </w:rPr>
        <w:t>11</w:t>
      </w:r>
      <w:r w:rsidR="00115904">
        <w:rPr>
          <w:lang w:val="en-US"/>
        </w:rPr>
        <w:t xml:space="preserve">. </w:t>
      </w:r>
      <w:r w:rsidR="00D468A9" w:rsidRPr="00D468A9">
        <w:rPr>
          <w:i/>
          <w:lang w:val="en-US"/>
        </w:rPr>
        <w:t xml:space="preserve">The Crisis of </w:t>
      </w:r>
      <w:proofErr w:type="spellStart"/>
      <w:r w:rsidR="00D468A9" w:rsidRPr="00D468A9">
        <w:rPr>
          <w:i/>
          <w:lang w:val="en-US"/>
        </w:rPr>
        <w:t>Neoliberalism</w:t>
      </w:r>
      <w:proofErr w:type="spellEnd"/>
      <w:r w:rsidR="00D468A9">
        <w:rPr>
          <w:lang w:val="en-US"/>
        </w:rPr>
        <w:t xml:space="preserve">. </w:t>
      </w:r>
      <w:r w:rsidR="00115904">
        <w:rPr>
          <w:lang w:val="en-US"/>
        </w:rPr>
        <w:t xml:space="preserve">Cambridge: </w:t>
      </w:r>
      <w:r w:rsidR="00115904" w:rsidRPr="00D468A9">
        <w:rPr>
          <w:color w:val="000000"/>
          <w:shd w:val="clear" w:color="auto" w:fill="FFFFFB"/>
          <w:lang w:val="en-US"/>
        </w:rPr>
        <w:t>Harvard University Press</w:t>
      </w:r>
      <w:r w:rsidR="00D468A9" w:rsidRPr="00D468A9">
        <w:rPr>
          <w:color w:val="000000"/>
          <w:shd w:val="clear" w:color="auto" w:fill="FFFFFB"/>
          <w:lang w:val="en-US"/>
        </w:rPr>
        <w:t xml:space="preserve">. </w:t>
      </w:r>
    </w:p>
    <w:p w:rsidR="00115904" w:rsidRDefault="00115904" w:rsidP="0083766B">
      <w:pPr>
        <w:rPr>
          <w:rStyle w:val="Forte"/>
          <w:b w:val="0"/>
          <w:lang w:val="en-US"/>
        </w:rPr>
      </w:pPr>
    </w:p>
    <w:p w:rsidR="00115904" w:rsidRDefault="00115904" w:rsidP="0083766B">
      <w:pPr>
        <w:rPr>
          <w:rFonts w:ascii="Times" w:hAnsi="Times"/>
        </w:rPr>
      </w:pPr>
      <w:proofErr w:type="spellStart"/>
      <w:proofErr w:type="gramStart"/>
      <w:r>
        <w:rPr>
          <w:rStyle w:val="Forte"/>
          <w:b w:val="0"/>
          <w:lang w:val="en-US"/>
        </w:rPr>
        <w:t>Heston</w:t>
      </w:r>
      <w:proofErr w:type="spellEnd"/>
      <w:r>
        <w:rPr>
          <w:rStyle w:val="Forte"/>
          <w:b w:val="0"/>
          <w:lang w:val="en-US"/>
        </w:rPr>
        <w:t xml:space="preserve">, A., </w:t>
      </w:r>
      <w:proofErr w:type="spellStart"/>
      <w:r>
        <w:rPr>
          <w:rStyle w:val="Forte"/>
          <w:b w:val="0"/>
          <w:lang w:val="en-US"/>
        </w:rPr>
        <w:t>R.Summers</w:t>
      </w:r>
      <w:proofErr w:type="spellEnd"/>
      <w:r>
        <w:rPr>
          <w:rStyle w:val="Forte"/>
          <w:b w:val="0"/>
          <w:lang w:val="en-US"/>
        </w:rPr>
        <w:t xml:space="preserve">, and B. </w:t>
      </w:r>
      <w:proofErr w:type="spellStart"/>
      <w:r w:rsidRPr="00115904">
        <w:rPr>
          <w:rStyle w:val="Forte"/>
          <w:b w:val="0"/>
          <w:lang w:val="en-US"/>
        </w:rPr>
        <w:t>Aten</w:t>
      </w:r>
      <w:proofErr w:type="spellEnd"/>
      <w:r w:rsidRPr="00115904">
        <w:rPr>
          <w:rStyle w:val="Forte"/>
          <w:b w:val="0"/>
          <w:lang w:val="en-US"/>
        </w:rPr>
        <w:t>.</w:t>
      </w:r>
      <w:proofErr w:type="gramEnd"/>
      <w:r w:rsidRPr="00115904">
        <w:rPr>
          <w:rStyle w:val="Forte"/>
          <w:b w:val="0"/>
          <w:lang w:val="en-US"/>
        </w:rPr>
        <w:t xml:space="preserve"> 2006. </w:t>
      </w:r>
      <w:r w:rsidRPr="00115904">
        <w:rPr>
          <w:rStyle w:val="Forte"/>
          <w:b w:val="0"/>
          <w:i/>
          <w:lang w:val="en-US"/>
        </w:rPr>
        <w:t>Penn World Table Version 6.2</w:t>
      </w:r>
      <w:r w:rsidRPr="00115904">
        <w:rPr>
          <w:rStyle w:val="Forte"/>
          <w:b w:val="0"/>
          <w:lang w:val="en-US"/>
        </w:rPr>
        <w:t xml:space="preserve">. </w:t>
      </w:r>
      <w:proofErr w:type="gramStart"/>
      <w:r w:rsidRPr="00115904">
        <w:rPr>
          <w:rStyle w:val="Forte"/>
          <w:b w:val="0"/>
          <w:lang w:val="en-US"/>
        </w:rPr>
        <w:t xml:space="preserve">Center for International Comparisons of Production, Income and Prices at the University of </w:t>
      </w:r>
      <w:proofErr w:type="spellStart"/>
      <w:r w:rsidRPr="00115904">
        <w:rPr>
          <w:rStyle w:val="Forte"/>
          <w:b w:val="0"/>
          <w:lang w:val="en-US"/>
        </w:rPr>
        <w:t>Pennsylvania.</w:t>
      </w:r>
      <w:r w:rsidRPr="00B82B7C">
        <w:rPr>
          <w:rStyle w:val="Forte"/>
          <w:b w:val="0"/>
          <w:lang w:val="en-US"/>
        </w:rPr>
        <w:t>Available</w:t>
      </w:r>
      <w:proofErr w:type="spellEnd"/>
      <w:r w:rsidRPr="00B82B7C">
        <w:rPr>
          <w:rStyle w:val="Forte"/>
          <w:b w:val="0"/>
          <w:lang w:val="en-US"/>
        </w:rPr>
        <w:t xml:space="preserve"> </w:t>
      </w:r>
      <w:proofErr w:type="spellStart"/>
      <w:r w:rsidRPr="00B82B7C">
        <w:rPr>
          <w:rStyle w:val="Forte"/>
          <w:b w:val="0"/>
          <w:lang w:val="en-US"/>
        </w:rPr>
        <w:t>in:</w:t>
      </w:r>
      <w:r w:rsidRPr="00B82B7C">
        <w:rPr>
          <w:rFonts w:ascii="Times" w:hAnsi="Times"/>
          <w:lang w:val="en-US"/>
        </w:rPr>
        <w:t>http</w:t>
      </w:r>
      <w:proofErr w:type="spellEnd"/>
      <w:r w:rsidRPr="00B82B7C">
        <w:rPr>
          <w:rFonts w:ascii="Times" w:hAnsi="Times"/>
          <w:lang w:val="en-US"/>
        </w:rPr>
        <w:t>://pwt.econ.upenn.edu8.</w:t>
      </w:r>
      <w:proofErr w:type="gramEnd"/>
      <w:r w:rsidRPr="00B82B7C">
        <w:rPr>
          <w:rFonts w:ascii="Times" w:hAnsi="Times"/>
          <w:lang w:val="en-US"/>
        </w:rPr>
        <w:t xml:space="preserve"> </w:t>
      </w:r>
      <w:proofErr w:type="spellStart"/>
      <w:r>
        <w:rPr>
          <w:rFonts w:ascii="Times" w:hAnsi="Times"/>
        </w:rPr>
        <w:t>Downloaded</w:t>
      </w:r>
      <w:proofErr w:type="spellEnd"/>
      <w:r>
        <w:rPr>
          <w:rFonts w:ascii="Times" w:hAnsi="Times"/>
        </w:rPr>
        <w:t>: 3/2/2008.</w:t>
      </w:r>
    </w:p>
    <w:p w:rsidR="00115904" w:rsidRDefault="00115904" w:rsidP="0083766B">
      <w:pPr>
        <w:rPr>
          <w:rFonts w:ascii="TimesNewRomanPSMT" w:hAnsi="TimesNewRomanPSMT" w:cs="TimesNewRomanPSMT"/>
        </w:rPr>
      </w:pPr>
    </w:p>
    <w:p w:rsidR="00115904" w:rsidRDefault="00115904" w:rsidP="0083766B">
      <w:pPr>
        <w:rPr>
          <w:rFonts w:ascii="TimesNewRomanPSMT" w:hAnsi="TimesNewRomanPSMT" w:cs="TimesNewRomanPSMT"/>
          <w:sz w:val="20"/>
          <w:szCs w:val="20"/>
        </w:rPr>
      </w:pPr>
      <w:r>
        <w:rPr>
          <w:rFonts w:ascii="TimesNewRomanPSMT" w:hAnsi="TimesNewRomanPSMT" w:cs="TimesNewRomanPSMT"/>
        </w:rPr>
        <w:lastRenderedPageBreak/>
        <w:t xml:space="preserve">IBGE. 1990. </w:t>
      </w:r>
      <w:r>
        <w:rPr>
          <w:rFonts w:ascii="TimesNewRomanPS-ItalicMT" w:hAnsi="TimesNewRomanPS-ItalicMT" w:cs="TimesNewRomanPS-ItalicMT"/>
          <w:i/>
          <w:iCs/>
        </w:rPr>
        <w:t>Estatísticas Históricas do Brasil</w:t>
      </w:r>
      <w:r>
        <w:rPr>
          <w:rFonts w:ascii="TimesNewRomanPSMT" w:hAnsi="TimesNewRomanPSMT" w:cs="TimesNewRomanPSMT"/>
        </w:rPr>
        <w:t xml:space="preserve">: séries econômicas, demográficas e sociais de </w:t>
      </w:r>
      <w:smartTag w:uri="urn:schemas-microsoft-com:office:smarttags" w:element="metricconverter">
        <w:smartTagPr>
          <w:attr w:name="ProductID" w:val="1550 a"/>
        </w:smartTagPr>
        <w:r>
          <w:rPr>
            <w:rFonts w:ascii="TimesNewRomanPSMT" w:hAnsi="TimesNewRomanPSMT" w:cs="TimesNewRomanPSMT"/>
          </w:rPr>
          <w:t>1550 a</w:t>
        </w:r>
      </w:smartTag>
      <w:r>
        <w:rPr>
          <w:rFonts w:ascii="TimesNewRomanPSMT" w:hAnsi="TimesNewRomanPSMT" w:cs="TimesNewRomanPSMT"/>
        </w:rPr>
        <w:t xml:space="preserve"> 1988. Rio de Janeiro: IBGE. </w:t>
      </w:r>
    </w:p>
    <w:p w:rsidR="00115904" w:rsidRDefault="00115904" w:rsidP="0083766B">
      <w:pPr>
        <w:pStyle w:val="DefaultText"/>
        <w:widowControl/>
        <w:autoSpaceDE/>
        <w:adjustRightInd/>
        <w:rPr>
          <w:lang w:val="pt-BR"/>
        </w:rPr>
      </w:pPr>
    </w:p>
    <w:p w:rsidR="00115904" w:rsidRDefault="00115904" w:rsidP="0083766B">
      <w:pPr>
        <w:rPr>
          <w:rFonts w:ascii="TimesNewRomanPSMT" w:hAnsi="TimesNewRomanPSMT" w:cs="TimesNewRomanPSMT"/>
        </w:rPr>
      </w:pPr>
      <w:r>
        <w:t xml:space="preserve">IBGE. 2003. </w:t>
      </w:r>
      <w:r>
        <w:rPr>
          <w:i/>
          <w:iCs/>
        </w:rPr>
        <w:t>Estatísticas do Século XX</w:t>
      </w:r>
      <w:r>
        <w:t xml:space="preserve">. Rio de Janeiro: </w:t>
      </w:r>
      <w:r>
        <w:rPr>
          <w:rFonts w:ascii="TimesNewRomanPSMT" w:hAnsi="TimesNewRomanPSMT" w:cs="TimesNewRomanPSMT"/>
        </w:rPr>
        <w:t xml:space="preserve">IBGE. </w:t>
      </w:r>
      <w:proofErr w:type="spellStart"/>
      <w:r>
        <w:rPr>
          <w:rFonts w:ascii="TimesNewRomanPSMT" w:hAnsi="TimesNewRomanPSMT" w:cs="TimesNewRomanPSMT"/>
        </w:rPr>
        <w:t>CD-Room</w:t>
      </w:r>
      <w:proofErr w:type="spellEnd"/>
      <w:r>
        <w:rPr>
          <w:rFonts w:ascii="TimesNewRomanPSMT" w:hAnsi="TimesNewRomanPSMT" w:cs="TimesNewRomanPSMT"/>
        </w:rPr>
        <w:t>.</w:t>
      </w:r>
    </w:p>
    <w:p w:rsidR="00115904" w:rsidRDefault="00115904" w:rsidP="0083766B">
      <w:pPr>
        <w:rPr>
          <w:rFonts w:ascii="TimesNewRomanPSMT" w:hAnsi="TimesNewRomanPSMT" w:cs="TimesNewRomanPSMT"/>
        </w:rPr>
      </w:pPr>
    </w:p>
    <w:p w:rsidR="00115904" w:rsidRDefault="00115904" w:rsidP="0083766B">
      <w:pPr>
        <w:rPr>
          <w:rFonts w:ascii="TimesNewRomanPSMT" w:hAnsi="TimesNewRomanPSMT" w:cs="TimesNewRomanPSMT"/>
        </w:rPr>
      </w:pPr>
      <w:r>
        <w:rPr>
          <w:rFonts w:ascii="TimesNewRomanPSMT" w:hAnsi="TimesNewRomanPSMT" w:cs="TimesNewRomanPSMT"/>
        </w:rPr>
        <w:t xml:space="preserve">IBGE. 2010. </w:t>
      </w:r>
      <w:r>
        <w:rPr>
          <w:rFonts w:ascii="TimesNewRomanPSMT" w:hAnsi="TimesNewRomanPSMT" w:cs="TimesNewRomanPSMT"/>
          <w:i/>
        </w:rPr>
        <w:t>Sistema de Contas Nacionais – Brasil 2004/2008</w:t>
      </w:r>
      <w:r>
        <w:rPr>
          <w:rFonts w:ascii="TimesNewRomanPSMT" w:hAnsi="TimesNewRomanPSMT" w:cs="TimesNewRomanPSMT"/>
        </w:rPr>
        <w:t xml:space="preserve">.  </w:t>
      </w:r>
      <w:r>
        <w:t xml:space="preserve">Rio de Janeiro: </w:t>
      </w:r>
      <w:r>
        <w:rPr>
          <w:rFonts w:ascii="TimesNewRomanPSMT" w:hAnsi="TimesNewRomanPSMT" w:cs="TimesNewRomanPSMT"/>
        </w:rPr>
        <w:t xml:space="preserve">IBGE. </w:t>
      </w:r>
      <w:proofErr w:type="spellStart"/>
      <w:r>
        <w:rPr>
          <w:rFonts w:ascii="TimesNewRomanPSMT" w:hAnsi="TimesNewRomanPSMT" w:cs="TimesNewRomanPSMT"/>
        </w:rPr>
        <w:t>CD-Room</w:t>
      </w:r>
      <w:proofErr w:type="spellEnd"/>
      <w:r>
        <w:rPr>
          <w:rFonts w:ascii="TimesNewRomanPSMT" w:hAnsi="TimesNewRomanPSMT" w:cs="TimesNewRomanPSMT"/>
        </w:rPr>
        <w:t>.</w:t>
      </w:r>
    </w:p>
    <w:p w:rsidR="00115904" w:rsidRDefault="00115904" w:rsidP="0083766B"/>
    <w:p w:rsidR="00C70CEF" w:rsidRPr="00353CE0" w:rsidRDefault="00C70CEF" w:rsidP="0083766B">
      <w:pPr>
        <w:widowControl/>
      </w:pPr>
      <w:proofErr w:type="spellStart"/>
      <w:r w:rsidRPr="00C70CEF">
        <w:rPr>
          <w:lang w:val="en-US"/>
        </w:rPr>
        <w:t>Kliman</w:t>
      </w:r>
      <w:proofErr w:type="spellEnd"/>
      <w:r w:rsidRPr="00C70CEF">
        <w:rPr>
          <w:lang w:val="en-US"/>
        </w:rPr>
        <w:t>, A. 2011.</w:t>
      </w:r>
      <w:r w:rsidRPr="00C70CEF">
        <w:rPr>
          <w:i/>
          <w:iCs/>
          <w:color w:val="000000"/>
          <w:lang w:val="en-US"/>
        </w:rPr>
        <w:t xml:space="preserve">The failure of capitalist </w:t>
      </w:r>
      <w:proofErr w:type="spellStart"/>
      <w:r w:rsidRPr="00C70CEF">
        <w:rPr>
          <w:i/>
          <w:iCs/>
          <w:color w:val="000000"/>
          <w:lang w:val="en-US"/>
        </w:rPr>
        <w:t>production</w:t>
      </w:r>
      <w:proofErr w:type="gramStart"/>
      <w:r w:rsidRPr="00C70CEF">
        <w:rPr>
          <w:i/>
          <w:iCs/>
          <w:color w:val="000000"/>
          <w:lang w:val="en-US"/>
        </w:rPr>
        <w:t>:</w:t>
      </w:r>
      <w:r w:rsidRPr="00C70CEF">
        <w:rPr>
          <w:iCs/>
          <w:color w:val="000000"/>
          <w:lang w:val="en-US"/>
        </w:rPr>
        <w:t>underlying</w:t>
      </w:r>
      <w:proofErr w:type="spellEnd"/>
      <w:proofErr w:type="gramEnd"/>
      <w:r w:rsidRPr="00C70CEF">
        <w:rPr>
          <w:iCs/>
          <w:color w:val="000000"/>
          <w:lang w:val="en-US"/>
        </w:rPr>
        <w:t xml:space="preserve"> causes of the great recession</w:t>
      </w:r>
      <w:r w:rsidRPr="00C70CEF">
        <w:rPr>
          <w:color w:val="000000"/>
          <w:lang w:val="en-US"/>
        </w:rPr>
        <w:t xml:space="preserve">. </w:t>
      </w:r>
      <w:proofErr w:type="spellStart"/>
      <w:r w:rsidRPr="00353CE0">
        <w:rPr>
          <w:color w:val="000000"/>
        </w:rPr>
        <w:t>London</w:t>
      </w:r>
      <w:proofErr w:type="spellEnd"/>
      <w:r w:rsidRPr="00353CE0">
        <w:rPr>
          <w:color w:val="000000"/>
        </w:rPr>
        <w:t xml:space="preserve">: </w:t>
      </w:r>
      <w:proofErr w:type="spellStart"/>
      <w:r w:rsidRPr="00353CE0">
        <w:rPr>
          <w:color w:val="000000"/>
        </w:rPr>
        <w:t>Pluto</w:t>
      </w:r>
      <w:proofErr w:type="spellEnd"/>
      <w:r w:rsidRPr="00353CE0">
        <w:rPr>
          <w:color w:val="000000"/>
        </w:rPr>
        <w:t xml:space="preserve"> </w:t>
      </w:r>
      <w:proofErr w:type="spellStart"/>
      <w:r w:rsidRPr="00353CE0">
        <w:rPr>
          <w:color w:val="000000"/>
        </w:rPr>
        <w:t>Press</w:t>
      </w:r>
      <w:proofErr w:type="spellEnd"/>
      <w:r w:rsidRPr="00353CE0">
        <w:rPr>
          <w:color w:val="000000"/>
        </w:rPr>
        <w:t>.</w:t>
      </w:r>
    </w:p>
    <w:p w:rsidR="00C70CEF" w:rsidRPr="00353CE0" w:rsidRDefault="00C70CEF" w:rsidP="0083766B"/>
    <w:p w:rsidR="00115904" w:rsidRDefault="00115904" w:rsidP="0083766B">
      <w:pPr>
        <w:rPr>
          <w:szCs w:val="11"/>
        </w:rPr>
      </w:pPr>
      <w:r>
        <w:rPr>
          <w:szCs w:val="12"/>
        </w:rPr>
        <w:t>Marquetti, A.</w:t>
      </w:r>
      <w:r>
        <w:rPr>
          <w:szCs w:val="11"/>
        </w:rPr>
        <w:t xml:space="preserve"> 2000. Estimativa do estoque de riqueza tangível no Brasil, 1950-1998. </w:t>
      </w:r>
      <w:r>
        <w:rPr>
          <w:i/>
          <w:szCs w:val="11"/>
        </w:rPr>
        <w:t>Nova Economia</w:t>
      </w:r>
      <w:r>
        <w:rPr>
          <w:szCs w:val="11"/>
        </w:rPr>
        <w:t>, v. 10, n. 2, p. 11-38.</w:t>
      </w:r>
    </w:p>
    <w:p w:rsidR="00C70CEF" w:rsidRDefault="00C70CEF" w:rsidP="0083766B">
      <w:pPr>
        <w:rPr>
          <w:szCs w:val="11"/>
        </w:rPr>
      </w:pPr>
    </w:p>
    <w:p w:rsidR="00E05AEA" w:rsidRPr="00E05AEA" w:rsidRDefault="00E05AEA" w:rsidP="0083766B">
      <w:pPr>
        <w:rPr>
          <w:szCs w:val="11"/>
          <w:lang w:val="en-US"/>
        </w:rPr>
      </w:pPr>
      <w:r w:rsidRPr="0083766B">
        <w:rPr>
          <w:szCs w:val="11"/>
          <w:lang w:val="en-US"/>
        </w:rPr>
        <w:t xml:space="preserve">Marx. K. 1981. Capital: a critique of political economy. </w:t>
      </w:r>
      <w:r>
        <w:rPr>
          <w:szCs w:val="11"/>
          <w:lang w:val="en-US"/>
        </w:rPr>
        <w:t xml:space="preserve">Volume </w:t>
      </w:r>
      <w:proofErr w:type="spellStart"/>
      <w:r>
        <w:rPr>
          <w:szCs w:val="11"/>
          <w:lang w:val="en-US"/>
        </w:rPr>
        <w:t>III.Harmondsworth</w:t>
      </w:r>
      <w:proofErr w:type="spellEnd"/>
      <w:r>
        <w:rPr>
          <w:szCs w:val="11"/>
          <w:lang w:val="en-US"/>
        </w:rPr>
        <w:t xml:space="preserve">: Penguin. </w:t>
      </w:r>
    </w:p>
    <w:p w:rsidR="00E05AEA" w:rsidRPr="00E05AEA" w:rsidRDefault="00E05AEA" w:rsidP="0083766B">
      <w:pPr>
        <w:rPr>
          <w:szCs w:val="11"/>
          <w:lang w:val="en-US"/>
        </w:rPr>
      </w:pPr>
    </w:p>
    <w:p w:rsidR="00C70CEF" w:rsidRPr="00DE60D5" w:rsidRDefault="00C70CEF" w:rsidP="0083766B">
      <w:pPr>
        <w:widowControl/>
        <w:rPr>
          <w:lang w:val="en-US"/>
        </w:rPr>
      </w:pPr>
      <w:proofErr w:type="gramStart"/>
      <w:r w:rsidRPr="00DE60D5">
        <w:rPr>
          <w:lang w:val="en-US"/>
        </w:rPr>
        <w:t>OECD.</w:t>
      </w:r>
      <w:proofErr w:type="gramEnd"/>
      <w:r w:rsidRPr="00DE60D5">
        <w:rPr>
          <w:lang w:val="en-US"/>
        </w:rPr>
        <w:t xml:space="preserve"> 2001. </w:t>
      </w:r>
      <w:r w:rsidRPr="00DE60D5">
        <w:rPr>
          <w:i/>
          <w:iCs/>
          <w:lang w:val="en-US"/>
        </w:rPr>
        <w:t xml:space="preserve">Measuring Capital: </w:t>
      </w:r>
      <w:r w:rsidRPr="00DE60D5">
        <w:rPr>
          <w:iCs/>
          <w:lang w:val="en-US"/>
        </w:rPr>
        <w:t xml:space="preserve">A Manual on the Measurement of Capital Stocks, Consumption of Fixed Capital and Capital Services. Paris: OECD. </w:t>
      </w:r>
    </w:p>
    <w:p w:rsidR="00C70CEF" w:rsidRPr="00DE60D5" w:rsidRDefault="00C70CEF" w:rsidP="0083766B">
      <w:pPr>
        <w:rPr>
          <w:lang w:val="en-US"/>
        </w:rPr>
      </w:pPr>
    </w:p>
    <w:p w:rsidR="00C70CEF" w:rsidRPr="00DE60D5" w:rsidRDefault="00C70CEF" w:rsidP="0083766B">
      <w:pPr>
        <w:pStyle w:val="Ttulo1"/>
        <w:shd w:val="clear" w:color="auto" w:fill="FFFFFF"/>
        <w:spacing w:before="0"/>
        <w:rPr>
          <w:rFonts w:ascii="Times New Roman" w:hAnsi="Times New Roman" w:cs="Times New Roman"/>
          <w:b w:val="0"/>
          <w:color w:val="auto"/>
          <w:sz w:val="24"/>
          <w:szCs w:val="24"/>
          <w:lang w:val="en-US"/>
        </w:rPr>
      </w:pPr>
      <w:proofErr w:type="gramStart"/>
      <w:r w:rsidRPr="00DE60D5">
        <w:rPr>
          <w:rFonts w:ascii="Times New Roman" w:hAnsi="Times New Roman" w:cs="Times New Roman"/>
          <w:b w:val="0"/>
          <w:color w:val="auto"/>
          <w:sz w:val="24"/>
          <w:szCs w:val="24"/>
          <w:lang w:val="en-US"/>
        </w:rPr>
        <w:t>OECD.</w:t>
      </w:r>
      <w:proofErr w:type="gramEnd"/>
      <w:r w:rsidRPr="00DE60D5">
        <w:rPr>
          <w:rFonts w:ascii="Times New Roman" w:hAnsi="Times New Roman" w:cs="Times New Roman"/>
          <w:b w:val="0"/>
          <w:color w:val="auto"/>
          <w:sz w:val="24"/>
          <w:szCs w:val="24"/>
          <w:lang w:val="en-US"/>
        </w:rPr>
        <w:t xml:space="preserve"> 2009. </w:t>
      </w:r>
      <w:r w:rsidRPr="00DE60D5">
        <w:rPr>
          <w:rFonts w:ascii="Times New Roman" w:hAnsi="Times New Roman" w:cs="Times New Roman"/>
          <w:b w:val="0"/>
          <w:i/>
          <w:color w:val="auto"/>
          <w:sz w:val="24"/>
          <w:szCs w:val="24"/>
          <w:lang w:val="en-US"/>
        </w:rPr>
        <w:t>Measuring Capital</w:t>
      </w:r>
      <w:r w:rsidRPr="00DE60D5">
        <w:rPr>
          <w:rFonts w:ascii="Times New Roman" w:hAnsi="Times New Roman" w:cs="Times New Roman"/>
          <w:b w:val="0"/>
          <w:color w:val="auto"/>
          <w:sz w:val="24"/>
          <w:szCs w:val="24"/>
          <w:lang w:val="en-US"/>
        </w:rPr>
        <w:t>: OECD Manual 2009, Second Edition</w:t>
      </w:r>
      <w:r w:rsidR="00DE60D5" w:rsidRPr="00DE60D5">
        <w:rPr>
          <w:rFonts w:ascii="Times New Roman" w:hAnsi="Times New Roman" w:cs="Times New Roman"/>
          <w:b w:val="0"/>
          <w:color w:val="auto"/>
          <w:sz w:val="24"/>
          <w:szCs w:val="24"/>
          <w:lang w:val="en-US"/>
        </w:rPr>
        <w:t xml:space="preserve">. </w:t>
      </w:r>
      <w:r w:rsidR="00DE60D5" w:rsidRPr="00DE60D5">
        <w:rPr>
          <w:rFonts w:ascii="Times New Roman" w:hAnsi="Times New Roman" w:cs="Times New Roman"/>
          <w:b w:val="0"/>
          <w:iCs/>
          <w:color w:val="auto"/>
          <w:sz w:val="24"/>
          <w:szCs w:val="24"/>
          <w:lang w:val="en-US"/>
        </w:rPr>
        <w:t>Paris: OECD.</w:t>
      </w:r>
    </w:p>
    <w:p w:rsidR="00C70CEF" w:rsidRPr="00DE60D5" w:rsidRDefault="00C70CEF" w:rsidP="0083766B">
      <w:pPr>
        <w:rPr>
          <w:lang w:val="en-US"/>
        </w:rPr>
      </w:pPr>
    </w:p>
    <w:p w:rsidR="00B218CA" w:rsidRPr="00C70CEF" w:rsidRDefault="00B218CA" w:rsidP="0083766B">
      <w:pPr>
        <w:rPr>
          <w:lang w:val="en-US"/>
        </w:rPr>
      </w:pPr>
      <w:r w:rsidRPr="00C70CEF">
        <w:rPr>
          <w:lang w:val="en-US"/>
        </w:rPr>
        <w:t xml:space="preserve">Roberts, M. 2009. </w:t>
      </w:r>
      <w:r w:rsidRPr="00C70CEF">
        <w:rPr>
          <w:i/>
          <w:lang w:val="en-US"/>
        </w:rPr>
        <w:t>The Great Recession</w:t>
      </w:r>
      <w:r w:rsidRPr="00C70CEF">
        <w:rPr>
          <w:lang w:val="en-US"/>
        </w:rPr>
        <w:t xml:space="preserve">: </w:t>
      </w:r>
      <w:r w:rsidR="00EE0F0C" w:rsidRPr="00C70CEF">
        <w:rPr>
          <w:lang w:val="en-US"/>
        </w:rPr>
        <w:t>p</w:t>
      </w:r>
      <w:r w:rsidRPr="00C70CEF">
        <w:rPr>
          <w:lang w:val="en-US"/>
        </w:rPr>
        <w:t xml:space="preserve">rofit </w:t>
      </w:r>
      <w:r w:rsidR="00EE0F0C" w:rsidRPr="00C70CEF">
        <w:rPr>
          <w:lang w:val="en-US"/>
        </w:rPr>
        <w:t>c</w:t>
      </w:r>
      <w:r w:rsidRPr="00C70CEF">
        <w:rPr>
          <w:lang w:val="en-US"/>
        </w:rPr>
        <w:t xml:space="preserve">ycles, </w:t>
      </w:r>
      <w:r w:rsidR="00EE0F0C" w:rsidRPr="00C70CEF">
        <w:rPr>
          <w:lang w:val="en-US"/>
        </w:rPr>
        <w:t>e</w:t>
      </w:r>
      <w:r w:rsidRPr="00C70CEF">
        <w:rPr>
          <w:lang w:val="en-US"/>
        </w:rPr>
        <w:t xml:space="preserve">conomic </w:t>
      </w:r>
      <w:r w:rsidR="00EE0F0C" w:rsidRPr="00C70CEF">
        <w:rPr>
          <w:lang w:val="en-US"/>
        </w:rPr>
        <w:t>c</w:t>
      </w:r>
      <w:r w:rsidRPr="00C70CEF">
        <w:rPr>
          <w:lang w:val="en-US"/>
        </w:rPr>
        <w:t xml:space="preserve">risis - </w:t>
      </w:r>
      <w:r w:rsidR="00EE0F0C" w:rsidRPr="00C70CEF">
        <w:rPr>
          <w:lang w:val="en-US"/>
        </w:rPr>
        <w:t>a</w:t>
      </w:r>
      <w:r w:rsidRPr="00C70CEF">
        <w:rPr>
          <w:lang w:val="en-US"/>
        </w:rPr>
        <w:t xml:space="preserve"> Marxist </w:t>
      </w:r>
      <w:r w:rsidR="00EE0F0C" w:rsidRPr="00C70CEF">
        <w:rPr>
          <w:lang w:val="en-US"/>
        </w:rPr>
        <w:t>v</w:t>
      </w:r>
      <w:r w:rsidRPr="00C70CEF">
        <w:rPr>
          <w:lang w:val="en-US"/>
        </w:rPr>
        <w:t>iew</w:t>
      </w:r>
    </w:p>
    <w:p w:rsidR="00EE0F0C" w:rsidRPr="00353CE0" w:rsidRDefault="00EE0F0C" w:rsidP="0083766B">
      <w:pPr>
        <w:rPr>
          <w:lang w:val="en-US"/>
        </w:rPr>
      </w:pPr>
      <w:r w:rsidRPr="001867AF">
        <w:rPr>
          <w:rStyle w:val="Forte"/>
          <w:b w:val="0"/>
          <w:lang w:val="en-US"/>
        </w:rPr>
        <w:t xml:space="preserve">Available in: </w:t>
      </w:r>
      <w:r w:rsidRPr="001867AF">
        <w:rPr>
          <w:rStyle w:val="A6"/>
          <w:sz w:val="24"/>
          <w:szCs w:val="24"/>
          <w:lang w:val="en-US"/>
        </w:rPr>
        <w:t>&lt;archive.org/details/</w:t>
      </w:r>
      <w:proofErr w:type="spellStart"/>
      <w:r w:rsidRPr="001867AF">
        <w:rPr>
          <w:rStyle w:val="A6"/>
          <w:sz w:val="24"/>
          <w:szCs w:val="24"/>
          <w:lang w:val="en-US"/>
        </w:rPr>
        <w:t>TheGreatRecession</w:t>
      </w:r>
      <w:proofErr w:type="spellEnd"/>
      <w:r w:rsidRPr="001867AF">
        <w:rPr>
          <w:rStyle w:val="A6"/>
          <w:sz w:val="24"/>
          <w:szCs w:val="24"/>
          <w:lang w:val="en-US"/>
        </w:rPr>
        <w:t xml:space="preserve">. </w:t>
      </w:r>
      <w:proofErr w:type="spellStart"/>
      <w:r w:rsidRPr="00353CE0">
        <w:rPr>
          <w:rStyle w:val="A6"/>
          <w:sz w:val="24"/>
          <w:szCs w:val="24"/>
          <w:lang w:val="en-US"/>
        </w:rPr>
        <w:t>ProfitCyclesEconomicCrisisAMarxistView</w:t>
      </w:r>
      <w:proofErr w:type="spellEnd"/>
      <w:r w:rsidRPr="00353CE0">
        <w:rPr>
          <w:rStyle w:val="A6"/>
          <w:sz w:val="24"/>
          <w:szCs w:val="24"/>
          <w:lang w:val="en-US"/>
        </w:rPr>
        <w:t xml:space="preserve">&gt;, </w:t>
      </w:r>
      <w:r w:rsidRPr="00353CE0">
        <w:rPr>
          <w:lang w:val="en-US"/>
        </w:rPr>
        <w:t xml:space="preserve">Downloaded: 5/3/2015. </w:t>
      </w:r>
    </w:p>
    <w:p w:rsidR="001867AF" w:rsidRPr="00353CE0" w:rsidRDefault="001867AF" w:rsidP="0083766B">
      <w:pPr>
        <w:rPr>
          <w:lang w:val="en-US"/>
        </w:rPr>
      </w:pPr>
    </w:p>
    <w:p w:rsidR="001867AF" w:rsidRPr="001867AF" w:rsidRDefault="001867AF" w:rsidP="0083766B">
      <w:pPr>
        <w:widowControl/>
        <w:rPr>
          <w:lang w:val="en-US"/>
        </w:rPr>
      </w:pPr>
      <w:r w:rsidRPr="001867AF">
        <w:rPr>
          <w:noProof/>
          <w:lang w:val="en-US"/>
        </w:rPr>
        <w:t xml:space="preserve">Todsen, S. 1997. </w:t>
      </w:r>
      <w:r w:rsidRPr="001867AF">
        <w:rPr>
          <w:lang w:val="en-US"/>
        </w:rPr>
        <w:t xml:space="preserve">Capital stock and consumption of fixed capital in the Norwegian national </w:t>
      </w:r>
      <w:proofErr w:type="spellStart"/>
      <w:r w:rsidRPr="001867AF">
        <w:rPr>
          <w:lang w:val="en-US"/>
        </w:rPr>
        <w:t>accounts.</w:t>
      </w:r>
      <w:r w:rsidRPr="001867AF">
        <w:rPr>
          <w:i/>
          <w:iCs/>
          <w:lang w:val="en-US"/>
        </w:rPr>
        <w:t>Economic</w:t>
      </w:r>
      <w:proofErr w:type="spellEnd"/>
      <w:r w:rsidRPr="001867AF">
        <w:rPr>
          <w:i/>
          <w:iCs/>
          <w:lang w:val="en-US"/>
        </w:rPr>
        <w:t xml:space="preserve"> Survey, </w:t>
      </w:r>
      <w:r w:rsidRPr="001867AF">
        <w:rPr>
          <w:lang w:val="en-US"/>
        </w:rPr>
        <w:t xml:space="preserve">v. 4, p. 38-43. </w:t>
      </w:r>
    </w:p>
    <w:p w:rsidR="00EE0F0C" w:rsidRPr="001867AF" w:rsidRDefault="00EE0F0C" w:rsidP="0083766B">
      <w:pPr>
        <w:rPr>
          <w:lang w:val="en-US"/>
        </w:rPr>
      </w:pPr>
    </w:p>
    <w:p w:rsidR="00712B83" w:rsidRPr="001867AF" w:rsidRDefault="00712B83" w:rsidP="0083766B">
      <w:pPr>
        <w:rPr>
          <w:lang w:val="en-US"/>
        </w:rPr>
      </w:pPr>
      <w:proofErr w:type="spellStart"/>
      <w:r w:rsidRPr="001867AF">
        <w:rPr>
          <w:lang w:val="en-US"/>
        </w:rPr>
        <w:t>Weisskopf</w:t>
      </w:r>
      <w:proofErr w:type="spellEnd"/>
      <w:r w:rsidRPr="001867AF">
        <w:rPr>
          <w:lang w:val="en-US"/>
        </w:rPr>
        <w:t xml:space="preserve">, T. 1979. </w:t>
      </w:r>
      <w:proofErr w:type="gramStart"/>
      <w:r w:rsidRPr="001867AF">
        <w:rPr>
          <w:lang w:val="en-US"/>
        </w:rPr>
        <w:t xml:space="preserve">Marxian crisis theory and the rate of profit in the postwar US </w:t>
      </w:r>
      <w:proofErr w:type="spellStart"/>
      <w:r w:rsidRPr="001867AF">
        <w:rPr>
          <w:lang w:val="en-US"/>
        </w:rPr>
        <w:t>economy.</w:t>
      </w:r>
      <w:r w:rsidRPr="001867AF">
        <w:rPr>
          <w:i/>
          <w:lang w:val="en-US"/>
        </w:rPr>
        <w:t>Cambridge</w:t>
      </w:r>
      <w:proofErr w:type="spellEnd"/>
      <w:r w:rsidRPr="001867AF">
        <w:rPr>
          <w:i/>
          <w:lang w:val="en-US"/>
        </w:rPr>
        <w:t xml:space="preserve"> Journal of Economics</w:t>
      </w:r>
      <w:r w:rsidR="00115904" w:rsidRPr="001867AF">
        <w:rPr>
          <w:lang w:val="en-US"/>
        </w:rPr>
        <w:t xml:space="preserve">, v. </w:t>
      </w:r>
      <w:r w:rsidRPr="001867AF">
        <w:rPr>
          <w:lang w:val="en-US"/>
        </w:rPr>
        <w:t>3</w:t>
      </w:r>
      <w:r w:rsidR="00115904" w:rsidRPr="001867AF">
        <w:rPr>
          <w:lang w:val="en-US"/>
        </w:rPr>
        <w:t>, n.</w:t>
      </w:r>
      <w:r w:rsidR="00576DEF" w:rsidRPr="001867AF">
        <w:rPr>
          <w:lang w:val="en-US"/>
        </w:rPr>
        <w:t xml:space="preserve"> 4</w:t>
      </w:r>
      <w:r w:rsidR="003546E5" w:rsidRPr="001867AF">
        <w:rPr>
          <w:lang w:val="en-US"/>
        </w:rPr>
        <w:t>,</w:t>
      </w:r>
      <w:r w:rsidR="00115904" w:rsidRPr="001867AF">
        <w:rPr>
          <w:lang w:val="en-US"/>
        </w:rPr>
        <w:t xml:space="preserve"> p.</w:t>
      </w:r>
      <w:r w:rsidRPr="001867AF">
        <w:rPr>
          <w:lang w:val="en-US"/>
        </w:rPr>
        <w:t xml:space="preserve"> 341-78.</w:t>
      </w:r>
      <w:proofErr w:type="gramEnd"/>
      <w:r w:rsidRPr="001867AF">
        <w:rPr>
          <w:lang w:val="en-US"/>
        </w:rPr>
        <w:t xml:space="preserve"> </w:t>
      </w:r>
    </w:p>
    <w:p w:rsidR="00A50E77" w:rsidRDefault="00A50E77" w:rsidP="0083766B">
      <w:pPr>
        <w:rPr>
          <w:lang w:val="en-US"/>
        </w:rPr>
      </w:pPr>
    </w:p>
    <w:p w:rsidR="00427B04" w:rsidRPr="00DB18C2" w:rsidRDefault="00427B04" w:rsidP="0083766B">
      <w:pPr>
        <w:rPr>
          <w:b/>
          <w:lang w:val="en-US"/>
        </w:rPr>
      </w:pPr>
      <w:r w:rsidRPr="00DB18C2">
        <w:rPr>
          <w:b/>
          <w:lang w:val="en-US"/>
        </w:rPr>
        <w:t>Appendix</w:t>
      </w:r>
    </w:p>
    <w:p w:rsidR="0083766B" w:rsidRDefault="0083766B" w:rsidP="0083766B">
      <w:pPr>
        <w:rPr>
          <w:lang w:val="en-US"/>
        </w:rPr>
      </w:pPr>
    </w:p>
    <w:p w:rsidR="00427B04" w:rsidRPr="00427B04" w:rsidRDefault="00427B04" w:rsidP="0083766B">
      <w:pPr>
        <w:rPr>
          <w:lang w:val="en-US"/>
        </w:rPr>
      </w:pPr>
      <w:r w:rsidRPr="00427B04">
        <w:rPr>
          <w:lang w:val="en-US"/>
        </w:rPr>
        <w:t>This appendix presents the information sources and procedure</w:t>
      </w:r>
      <w:r w:rsidR="00CB07C3">
        <w:rPr>
          <w:lang w:val="en-US"/>
        </w:rPr>
        <w:t>s</w:t>
      </w:r>
      <w:r w:rsidRPr="00427B04">
        <w:rPr>
          <w:lang w:val="en-US"/>
        </w:rPr>
        <w:t xml:space="preserve"> used to build the database employed in this article. The main difficulty in conducting long-</w:t>
      </w:r>
      <w:r w:rsidR="00CB07C3">
        <w:rPr>
          <w:lang w:val="en-US"/>
        </w:rPr>
        <w:t>term</w:t>
      </w:r>
      <w:r w:rsidRPr="00427B04">
        <w:rPr>
          <w:lang w:val="en-US"/>
        </w:rPr>
        <w:t xml:space="preserve"> empirical studies of the Brazilian economy is to find a consistent way of organizing information. National accounts began to be published in Brazil in 1947. The last major methodological change in the System of National Accounts took place with the publication of </w:t>
      </w:r>
      <w:proofErr w:type="spellStart"/>
      <w:r w:rsidRPr="00427B04">
        <w:rPr>
          <w:lang w:val="en-US"/>
        </w:rPr>
        <w:t>Sistema</w:t>
      </w:r>
      <w:proofErr w:type="spellEnd"/>
      <w:r w:rsidRPr="00427B04">
        <w:rPr>
          <w:lang w:val="en-US"/>
        </w:rPr>
        <w:t xml:space="preserve"> de </w:t>
      </w:r>
      <w:proofErr w:type="spellStart"/>
      <w:r w:rsidRPr="00427B04">
        <w:rPr>
          <w:lang w:val="en-US"/>
        </w:rPr>
        <w:t>ContasNacionais</w:t>
      </w:r>
      <w:proofErr w:type="spellEnd"/>
      <w:r w:rsidRPr="00427B04">
        <w:rPr>
          <w:lang w:val="en-US"/>
        </w:rPr>
        <w:t xml:space="preserve"> – </w:t>
      </w:r>
      <w:proofErr w:type="spellStart"/>
      <w:r w:rsidRPr="00427B04">
        <w:rPr>
          <w:lang w:val="en-US"/>
        </w:rPr>
        <w:t>Brasil</w:t>
      </w:r>
      <w:proofErr w:type="spellEnd"/>
      <w:r w:rsidRPr="00427B04">
        <w:rPr>
          <w:lang w:val="en-US"/>
        </w:rPr>
        <w:t xml:space="preserve">, </w:t>
      </w:r>
      <w:proofErr w:type="spellStart"/>
      <w:r w:rsidRPr="00427B04">
        <w:rPr>
          <w:lang w:val="en-US"/>
        </w:rPr>
        <w:t>Referência</w:t>
      </w:r>
      <w:proofErr w:type="spellEnd"/>
      <w:r w:rsidRPr="00427B04">
        <w:rPr>
          <w:lang w:val="en-US"/>
        </w:rPr>
        <w:t xml:space="preserve"> 2000. The alterations were made to bring it more into line with the System of National Accounts 1993. In </w:t>
      </w:r>
      <w:r w:rsidR="00CB07C3">
        <w:rPr>
          <w:lang w:val="en-US"/>
        </w:rPr>
        <w:t xml:space="preserve">the </w:t>
      </w:r>
      <w:r w:rsidRPr="00427B04">
        <w:rPr>
          <w:lang w:val="en-US"/>
        </w:rPr>
        <w:t xml:space="preserve">future, there will have to be further amendments to adapt the country’s national accounts to the System of </w:t>
      </w:r>
      <w:proofErr w:type="spellStart"/>
      <w:r w:rsidRPr="00427B04">
        <w:rPr>
          <w:lang w:val="en-US"/>
        </w:rPr>
        <w:t>NationalAccounts</w:t>
      </w:r>
      <w:proofErr w:type="spellEnd"/>
      <w:r w:rsidRPr="00427B04">
        <w:rPr>
          <w:lang w:val="en-US"/>
        </w:rPr>
        <w:t xml:space="preserve"> 2008</w:t>
      </w:r>
      <w:r>
        <w:rPr>
          <w:lang w:val="en-US"/>
        </w:rPr>
        <w:t>.</w:t>
      </w:r>
    </w:p>
    <w:p w:rsidR="00A50E77" w:rsidRDefault="00CB07C3" w:rsidP="0083766B">
      <w:pPr>
        <w:ind w:firstLine="720"/>
        <w:rPr>
          <w:lang w:val="en-US"/>
        </w:rPr>
      </w:pPr>
      <w:r>
        <w:rPr>
          <w:lang w:val="en-US"/>
        </w:rPr>
        <w:t>The data for real GDP</w:t>
      </w:r>
      <w:r w:rsidR="00427B04" w:rsidRPr="00427B04">
        <w:rPr>
          <w:lang w:val="en-US"/>
        </w:rPr>
        <w:t xml:space="preserve"> and the </w:t>
      </w:r>
      <w:r w:rsidR="00427B04">
        <w:rPr>
          <w:lang w:val="en-US"/>
        </w:rPr>
        <w:t>GDP</w:t>
      </w:r>
      <w:r w:rsidR="00427B04" w:rsidRPr="00427B04">
        <w:rPr>
          <w:lang w:val="en-US"/>
        </w:rPr>
        <w:t xml:space="preserve"> deflator were obtained from </w:t>
      </w:r>
      <w:r w:rsidR="00427B04">
        <w:rPr>
          <w:lang w:val="en-US"/>
        </w:rPr>
        <w:t>IBGE</w:t>
      </w:r>
      <w:r w:rsidR="00427B04" w:rsidRPr="00427B04">
        <w:rPr>
          <w:lang w:val="en-US"/>
        </w:rPr>
        <w:t xml:space="preserve"> (1990) and </w:t>
      </w:r>
      <w:r w:rsidR="00427B04">
        <w:rPr>
          <w:lang w:val="en-US"/>
        </w:rPr>
        <w:t>IBGE</w:t>
      </w:r>
      <w:r w:rsidR="00427B04" w:rsidRPr="00427B04">
        <w:rPr>
          <w:lang w:val="en-US"/>
        </w:rPr>
        <w:t xml:space="preserve"> (2003) for the 1952-1985 </w:t>
      </w:r>
      <w:proofErr w:type="gramStart"/>
      <w:r w:rsidR="00427B04" w:rsidRPr="00427B04">
        <w:rPr>
          <w:lang w:val="en-US"/>
        </w:rPr>
        <w:t>period</w:t>
      </w:r>
      <w:proofErr w:type="gramEnd"/>
      <w:r w:rsidR="00427B04" w:rsidRPr="00427B04">
        <w:rPr>
          <w:lang w:val="en-US"/>
        </w:rPr>
        <w:t>. The data for 1995-2008 w</w:t>
      </w:r>
      <w:r>
        <w:rPr>
          <w:lang w:val="en-US"/>
        </w:rPr>
        <w:t>as</w:t>
      </w:r>
      <w:r w:rsidR="00427B04" w:rsidRPr="00427B04">
        <w:rPr>
          <w:lang w:val="en-US"/>
        </w:rPr>
        <w:t xml:space="preserve"> taken from </w:t>
      </w:r>
      <w:r w:rsidR="00427B04">
        <w:rPr>
          <w:lang w:val="en-US"/>
        </w:rPr>
        <w:t>IBGE</w:t>
      </w:r>
      <w:r w:rsidR="00427B04" w:rsidRPr="00427B04">
        <w:rPr>
          <w:lang w:val="en-US"/>
        </w:rPr>
        <w:t xml:space="preserve"> (2010). Owing to changes in methodology, 1995 </w:t>
      </w:r>
      <w:r w:rsidR="00427B04">
        <w:rPr>
          <w:lang w:val="en-US"/>
        </w:rPr>
        <w:t>GDP</w:t>
      </w:r>
      <w:r w:rsidR="00427B04" w:rsidRPr="00427B04">
        <w:rPr>
          <w:lang w:val="en-US"/>
        </w:rPr>
        <w:t xml:space="preserve"> is 8.84% greater in </w:t>
      </w:r>
      <w:r w:rsidR="00427B04">
        <w:rPr>
          <w:lang w:val="en-US"/>
        </w:rPr>
        <w:t>IBGE</w:t>
      </w:r>
      <w:r w:rsidR="00427B04" w:rsidRPr="00427B04">
        <w:rPr>
          <w:lang w:val="en-US"/>
        </w:rPr>
        <w:t xml:space="preserve"> (2010) than in </w:t>
      </w:r>
      <w:r w:rsidR="00427B04">
        <w:rPr>
          <w:lang w:val="en-US"/>
        </w:rPr>
        <w:t>IBGE</w:t>
      </w:r>
      <w:r w:rsidR="00427B04" w:rsidRPr="00427B04">
        <w:rPr>
          <w:lang w:val="en-US"/>
        </w:rPr>
        <w:t xml:space="preserve"> (2003). The data for 1986-1994 w</w:t>
      </w:r>
      <w:r>
        <w:rPr>
          <w:lang w:val="en-US"/>
        </w:rPr>
        <w:t>as</w:t>
      </w:r>
      <w:r w:rsidR="00427B04" w:rsidRPr="00427B04">
        <w:rPr>
          <w:lang w:val="en-US"/>
        </w:rPr>
        <w:t xml:space="preserve"> calculated by taking real </w:t>
      </w:r>
      <w:r>
        <w:rPr>
          <w:lang w:val="en-US"/>
        </w:rPr>
        <w:t>GDP</w:t>
      </w:r>
      <w:r w:rsidR="00427B04" w:rsidRPr="00427B04">
        <w:rPr>
          <w:lang w:val="en-US"/>
        </w:rPr>
        <w:t xml:space="preserve"> growth rates from </w:t>
      </w:r>
      <w:r w:rsidR="00427B04">
        <w:rPr>
          <w:lang w:val="en-US"/>
        </w:rPr>
        <w:t>IBGE</w:t>
      </w:r>
      <w:r w:rsidR="00427B04" w:rsidRPr="00427B04">
        <w:rPr>
          <w:lang w:val="en-US"/>
        </w:rPr>
        <w:t xml:space="preserve"> (2003) and increasing them by distributing that 8.84% over the period. Thus, the </w:t>
      </w:r>
      <w:r w:rsidR="00427B04" w:rsidRPr="00427B04">
        <w:rPr>
          <w:lang w:val="en-US"/>
        </w:rPr>
        <w:lastRenderedPageBreak/>
        <w:t xml:space="preserve">data source for real </w:t>
      </w:r>
      <w:r w:rsidR="00427B04">
        <w:rPr>
          <w:lang w:val="en-US"/>
        </w:rPr>
        <w:t>GDP</w:t>
      </w:r>
      <w:r w:rsidR="00427B04" w:rsidRPr="00427B04">
        <w:rPr>
          <w:lang w:val="en-US"/>
        </w:rPr>
        <w:t xml:space="preserve"> is </w:t>
      </w:r>
      <w:r w:rsidR="00427B04">
        <w:rPr>
          <w:lang w:val="en-US"/>
        </w:rPr>
        <w:t>IBGE</w:t>
      </w:r>
      <w:r w:rsidR="00427B04" w:rsidRPr="00427B04">
        <w:rPr>
          <w:lang w:val="en-US"/>
        </w:rPr>
        <w:t xml:space="preserve"> (2003) for 1985 and </w:t>
      </w:r>
      <w:r w:rsidR="00427B04">
        <w:rPr>
          <w:lang w:val="en-US"/>
        </w:rPr>
        <w:t>IBGE</w:t>
      </w:r>
      <w:r w:rsidR="00427B04" w:rsidRPr="00427B04">
        <w:rPr>
          <w:lang w:val="en-US"/>
        </w:rPr>
        <w:t xml:space="preserve"> (2010) for 1995. The differences between the series were adjusted right across the 1986-1994 period. A similar procedure was used for the other variables. The number of workers for the 1995-2008 </w:t>
      </w:r>
      <w:proofErr w:type="gramStart"/>
      <w:r w:rsidR="00427B04" w:rsidRPr="00427B04">
        <w:rPr>
          <w:lang w:val="en-US"/>
        </w:rPr>
        <w:t>period</w:t>
      </w:r>
      <w:proofErr w:type="gramEnd"/>
      <w:r w:rsidR="00427B04" w:rsidRPr="00427B04">
        <w:rPr>
          <w:lang w:val="en-US"/>
        </w:rPr>
        <w:t xml:space="preserve"> w</w:t>
      </w:r>
      <w:r>
        <w:rPr>
          <w:lang w:val="en-US"/>
        </w:rPr>
        <w:t xml:space="preserve">ere </w:t>
      </w:r>
      <w:r w:rsidR="00427B04" w:rsidRPr="00427B04">
        <w:rPr>
          <w:lang w:val="en-US"/>
        </w:rPr>
        <w:t xml:space="preserve">calculated from </w:t>
      </w:r>
      <w:r w:rsidR="00427B04">
        <w:rPr>
          <w:lang w:val="en-US"/>
        </w:rPr>
        <w:t>IBGE</w:t>
      </w:r>
      <w:r w:rsidR="00427B04" w:rsidRPr="00427B04">
        <w:rPr>
          <w:lang w:val="en-US"/>
        </w:rPr>
        <w:t xml:space="preserve"> (2010). Census year data w</w:t>
      </w:r>
      <w:r>
        <w:rPr>
          <w:lang w:val="en-US"/>
        </w:rPr>
        <w:t>as</w:t>
      </w:r>
      <w:r w:rsidR="00427B04" w:rsidRPr="00427B04">
        <w:rPr>
          <w:lang w:val="en-US"/>
        </w:rPr>
        <w:t xml:space="preserve"> also taken from </w:t>
      </w:r>
      <w:r w:rsidR="00427B04">
        <w:rPr>
          <w:lang w:val="en-US"/>
        </w:rPr>
        <w:t>IBGE</w:t>
      </w:r>
      <w:r w:rsidR="00427B04" w:rsidRPr="00427B04">
        <w:rPr>
          <w:lang w:val="en-US"/>
        </w:rPr>
        <w:t xml:space="preserve"> (1990). The information needed to complete the years without data was taken from </w:t>
      </w:r>
      <w:proofErr w:type="spellStart"/>
      <w:r w:rsidR="00427B04" w:rsidRPr="00427B04">
        <w:rPr>
          <w:lang w:val="en-US"/>
        </w:rPr>
        <w:t>Heston</w:t>
      </w:r>
      <w:proofErr w:type="spellEnd"/>
      <w:r w:rsidR="00427B04" w:rsidRPr="00427B04">
        <w:rPr>
          <w:lang w:val="en-US"/>
        </w:rPr>
        <w:t xml:space="preserve">, </w:t>
      </w:r>
      <w:proofErr w:type="gramStart"/>
      <w:r w:rsidR="00427B04" w:rsidRPr="00427B04">
        <w:rPr>
          <w:lang w:val="en-US"/>
        </w:rPr>
        <w:t>Summers</w:t>
      </w:r>
      <w:proofErr w:type="gramEnd"/>
      <w:r w:rsidR="00427B04" w:rsidRPr="00427B04">
        <w:rPr>
          <w:lang w:val="en-US"/>
        </w:rPr>
        <w:t xml:space="preserve"> and </w:t>
      </w:r>
      <w:proofErr w:type="spellStart"/>
      <w:r w:rsidR="00427B04" w:rsidRPr="00427B04">
        <w:rPr>
          <w:lang w:val="en-US"/>
        </w:rPr>
        <w:t>Atten</w:t>
      </w:r>
      <w:proofErr w:type="spellEnd"/>
      <w:r w:rsidR="00427B04" w:rsidRPr="00427B04">
        <w:rPr>
          <w:lang w:val="en-US"/>
        </w:rPr>
        <w:t xml:space="preserve"> (2006). It should be noted that </w:t>
      </w:r>
      <w:r w:rsidR="00427B04">
        <w:rPr>
          <w:lang w:val="en-US"/>
        </w:rPr>
        <w:t>IBGE</w:t>
      </w:r>
      <w:r w:rsidR="00427B04" w:rsidRPr="00427B04">
        <w:rPr>
          <w:lang w:val="en-US"/>
        </w:rPr>
        <w:t xml:space="preserve"> (2003) gives the number of workers for the years from 1990 to 1995.</w:t>
      </w:r>
    </w:p>
    <w:p w:rsidR="00427B04" w:rsidRPr="00427B04" w:rsidRDefault="00427B04" w:rsidP="0083766B">
      <w:pPr>
        <w:ind w:firstLine="720"/>
        <w:rPr>
          <w:lang w:val="en-US"/>
        </w:rPr>
      </w:pPr>
      <w:r w:rsidRPr="00427B04">
        <w:rPr>
          <w:lang w:val="en-US"/>
        </w:rPr>
        <w:t>Worker</w:t>
      </w:r>
      <w:r w:rsidR="00CB07C3">
        <w:rPr>
          <w:lang w:val="en-US"/>
        </w:rPr>
        <w:t>´s</w:t>
      </w:r>
      <w:r w:rsidRPr="00427B04">
        <w:rPr>
          <w:lang w:val="en-US"/>
        </w:rPr>
        <w:t xml:space="preserve"> wage and wage share data for 1995-2008 were taken from </w:t>
      </w:r>
      <w:r>
        <w:rPr>
          <w:lang w:val="en-US"/>
        </w:rPr>
        <w:t>IBGE</w:t>
      </w:r>
      <w:r w:rsidRPr="00427B04">
        <w:rPr>
          <w:lang w:val="en-US"/>
        </w:rPr>
        <w:t xml:space="preserve"> (2010) and, in the case of census years, from </w:t>
      </w:r>
      <w:r>
        <w:rPr>
          <w:lang w:val="en-US"/>
        </w:rPr>
        <w:t>IBGE</w:t>
      </w:r>
      <w:r w:rsidRPr="00427B04">
        <w:rPr>
          <w:lang w:val="en-US"/>
        </w:rPr>
        <w:t xml:space="preserve"> (2010). Mixed income is divided into two parts, with one being added to wages and the other to the operating surplus. In the years for which no information was available, the average wage was estimated econometrically. The net stock of non-residential fixed capital was estimated using the perpetual inventory method. The source of information on gros</w:t>
      </w:r>
      <w:r>
        <w:rPr>
          <w:lang w:val="en-US"/>
        </w:rPr>
        <w:t>s fixed capital formation</w:t>
      </w:r>
      <w:r w:rsidRPr="00427B04">
        <w:rPr>
          <w:lang w:val="en-US"/>
        </w:rPr>
        <w:t xml:space="preserve"> was </w:t>
      </w:r>
      <w:r>
        <w:rPr>
          <w:lang w:val="en-US"/>
        </w:rPr>
        <w:t>IBGE</w:t>
      </w:r>
      <w:r w:rsidRPr="00427B04">
        <w:rPr>
          <w:lang w:val="en-US"/>
        </w:rPr>
        <w:t xml:space="preserve"> (2003) from 1947 to 1985 and </w:t>
      </w:r>
      <w:r>
        <w:rPr>
          <w:lang w:val="en-US"/>
        </w:rPr>
        <w:t>IBGE</w:t>
      </w:r>
      <w:r w:rsidRPr="00427B04">
        <w:rPr>
          <w:lang w:val="en-US"/>
        </w:rPr>
        <w:t xml:space="preserve"> (2010) from 1995 to 2008. To connect the two series, a procedure similar to the one used to calculate </w:t>
      </w:r>
      <w:r>
        <w:rPr>
          <w:lang w:val="en-US"/>
        </w:rPr>
        <w:t>GDP</w:t>
      </w:r>
      <w:r w:rsidRPr="00427B04">
        <w:rPr>
          <w:lang w:val="en-US"/>
        </w:rPr>
        <w:t xml:space="preserve"> was employed for the years from 1986 to 1994. The data source for the years prior to 1947 is Marquetti (2000). The perpetual inventory method employed in this study is similar to the one used by the Bureau of Economic Analysis. The rate of depreciation is calculated as R / T, where R is the rate at which an asset value declines and T is the lifespan of the asset. There are two main differences </w:t>
      </w:r>
      <w:r w:rsidR="00BA259A">
        <w:rPr>
          <w:lang w:val="en-US"/>
        </w:rPr>
        <w:t xml:space="preserve">with </w:t>
      </w:r>
      <w:r w:rsidRPr="00427B04">
        <w:rPr>
          <w:lang w:val="en-US"/>
        </w:rPr>
        <w:t xml:space="preserve">the methodology of the Bureau of Economic Analysis. First, R is taken as being equal to 2, in line with the double declining balance depreciation method. Second, the asset is withdrawn when it reaches its average lifespan. Because of the enormous differences in gross capital formation in machinery and equipment and non-residential building between </w:t>
      </w:r>
      <w:r>
        <w:rPr>
          <w:lang w:val="en-US"/>
        </w:rPr>
        <w:t>IBGE</w:t>
      </w:r>
      <w:r w:rsidRPr="00427B04">
        <w:rPr>
          <w:lang w:val="en-US"/>
        </w:rPr>
        <w:t xml:space="preserve"> (2003) and </w:t>
      </w:r>
      <w:r>
        <w:rPr>
          <w:lang w:val="en-US"/>
        </w:rPr>
        <w:t>IBGE</w:t>
      </w:r>
      <w:r w:rsidRPr="00427B04">
        <w:rPr>
          <w:lang w:val="en-US"/>
        </w:rPr>
        <w:t xml:space="preserve"> (2010), the capital goods category consists of just one asset. The working life of this asset is </w:t>
      </w:r>
      <w:r>
        <w:rPr>
          <w:lang w:val="en-US"/>
        </w:rPr>
        <w:t>30</w:t>
      </w:r>
      <w:r w:rsidRPr="00427B04">
        <w:rPr>
          <w:lang w:val="en-US"/>
        </w:rPr>
        <w:t xml:space="preserve"> years. Fixed capital consumption is measured as the sum of the net fixed capital stock and g</w:t>
      </w:r>
      <w:r>
        <w:rPr>
          <w:lang w:val="en-US"/>
        </w:rPr>
        <w:t xml:space="preserve">ross </w:t>
      </w:r>
      <w:r w:rsidRPr="00427B04">
        <w:rPr>
          <w:lang w:val="en-US"/>
        </w:rPr>
        <w:t>f</w:t>
      </w:r>
      <w:r>
        <w:rPr>
          <w:lang w:val="en-US"/>
        </w:rPr>
        <w:t xml:space="preserve">ixed </w:t>
      </w:r>
      <w:r w:rsidRPr="00427B04">
        <w:rPr>
          <w:lang w:val="en-US"/>
        </w:rPr>
        <w:t>c</w:t>
      </w:r>
      <w:r>
        <w:rPr>
          <w:lang w:val="en-US"/>
        </w:rPr>
        <w:t xml:space="preserve">apital </w:t>
      </w:r>
      <w:r w:rsidRPr="00427B04">
        <w:rPr>
          <w:lang w:val="en-US"/>
        </w:rPr>
        <w:t>f</w:t>
      </w:r>
      <w:r>
        <w:rPr>
          <w:lang w:val="en-US"/>
        </w:rPr>
        <w:t>ormation</w:t>
      </w:r>
      <w:r w:rsidRPr="00427B04">
        <w:rPr>
          <w:lang w:val="en-US"/>
        </w:rPr>
        <w:t xml:space="preserve"> at the start of the period, minus the net fixed capital stock at the end of the period</w:t>
      </w:r>
    </w:p>
    <w:p w:rsidR="00427B04" w:rsidRPr="00427B04" w:rsidRDefault="00427B04" w:rsidP="00C14876">
      <w:pPr>
        <w:spacing w:line="480" w:lineRule="auto"/>
        <w:rPr>
          <w:lang w:val="en-US"/>
        </w:rPr>
      </w:pPr>
    </w:p>
    <w:sectPr w:rsidR="00427B04" w:rsidRPr="00427B04" w:rsidSect="002B2CDA">
      <w:headerReference w:type="default" r:id="rId63"/>
      <w:pgSz w:w="12240" w:h="15840"/>
      <w:pgMar w:top="1418" w:right="1701" w:bottom="1418" w:left="1701" w:header="720" w:footer="720"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3571" w:rsidRDefault="00433571" w:rsidP="00BA4629">
      <w:r>
        <w:separator/>
      </w:r>
    </w:p>
  </w:endnote>
  <w:endnote w:type="continuationSeparator" w:id="0">
    <w:p w:rsidR="00433571" w:rsidRDefault="0043357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charset w:val="00"/>
    <w:family w:val="roman"/>
    <w:pitch w:val="default"/>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imesNewRomanPS-ItalicMT">
    <w:panose1 w:val="00000000000000000000"/>
    <w:charset w:val="00"/>
    <w:family w:val="roman"/>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3571" w:rsidRDefault="00433571" w:rsidP="00BA4629">
      <w:r>
        <w:separator/>
      </w:r>
    </w:p>
  </w:footnote>
  <w:footnote w:type="continuationSeparator" w:id="0">
    <w:p w:rsidR="00433571" w:rsidRDefault="00433571" w:rsidP="00BA46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60266"/>
      <w:docPartObj>
        <w:docPartGallery w:val="Page Numbers (Top of Page)"/>
        <w:docPartUnique/>
      </w:docPartObj>
    </w:sdtPr>
    <w:sdtContent>
      <w:p w:rsidR="00433571" w:rsidRDefault="006E392C">
        <w:pPr>
          <w:pStyle w:val="Cabealho"/>
          <w:jc w:val="right"/>
        </w:pPr>
        <w:fldSimple w:instr=" PAGE   \* MERGEFORMAT ">
          <w:r w:rsidR="00927F11">
            <w:rPr>
              <w:noProof/>
            </w:rPr>
            <w:t>1</w:t>
          </w:r>
        </w:fldSimple>
      </w:p>
    </w:sdtContent>
  </w:sdt>
  <w:p w:rsidR="00433571" w:rsidRDefault="00433571">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4"/>
    <w:lvl w:ilvl="0">
      <w:start w:val="1"/>
      <w:numFmt w:val="decimal"/>
      <w:lvlText w:val="%1."/>
      <w:lvlJc w:val="left"/>
      <w:pPr>
        <w:ind w:left="360" w:hanging="360"/>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09E53EC"/>
    <w:multiLevelType w:val="hybridMultilevel"/>
    <w:tmpl w:val="C248BC72"/>
    <w:lvl w:ilvl="0" w:tplc="00AE8004">
      <w:start w:val="1"/>
      <w:numFmt w:val="decimal"/>
      <w:lvlText w:val="%1."/>
      <w:lvlJc w:val="left"/>
      <w:pPr>
        <w:ind w:left="720" w:hanging="360"/>
      </w:pPr>
      <w:rPr>
        <w:rFonts w:hint="default"/>
        <w:b w:val="0"/>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C0B0613"/>
    <w:multiLevelType w:val="multilevel"/>
    <w:tmpl w:val="06A2B5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E7F3F7C"/>
    <w:multiLevelType w:val="hybridMultilevel"/>
    <w:tmpl w:val="4CB4E9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40CF0465"/>
    <w:multiLevelType w:val="multilevel"/>
    <w:tmpl w:val="996EB1AA"/>
    <w:lvl w:ilvl="0">
      <w:start w:val="3"/>
      <w:numFmt w:val="decimal"/>
      <w:lvlText w:val="%1"/>
      <w:lvlJc w:val="left"/>
      <w:pPr>
        <w:ind w:left="360" w:hanging="360"/>
      </w:pPr>
      <w:rPr>
        <w:rFonts w:hint="default"/>
      </w:rPr>
    </w:lvl>
    <w:lvl w:ilvl="1">
      <w:start w:val="4"/>
      <w:numFmt w:val="decimal"/>
      <w:lvlText w:val="%1.%2"/>
      <w:lvlJc w:val="left"/>
      <w:pPr>
        <w:ind w:left="928" w:hanging="360"/>
      </w:pPr>
      <w:rPr>
        <w:rFonts w:hint="default"/>
      </w:rPr>
    </w:lvl>
    <w:lvl w:ilvl="2">
      <w:start w:val="1"/>
      <w:numFmt w:val="decimal"/>
      <w:lvlText w:val="%1.%2.%3"/>
      <w:lvlJc w:val="left"/>
      <w:pPr>
        <w:ind w:left="1856" w:hanging="720"/>
      </w:pPr>
      <w:rPr>
        <w:rFonts w:hint="default"/>
      </w:rPr>
    </w:lvl>
    <w:lvl w:ilvl="3">
      <w:start w:val="1"/>
      <w:numFmt w:val="decimal"/>
      <w:lvlText w:val="%1.%2.%3.%4"/>
      <w:lvlJc w:val="left"/>
      <w:pPr>
        <w:ind w:left="2424" w:hanging="720"/>
      </w:pPr>
      <w:rPr>
        <w:rFonts w:hint="default"/>
      </w:rPr>
    </w:lvl>
    <w:lvl w:ilvl="4">
      <w:start w:val="1"/>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5">
    <w:nsid w:val="4D7D0299"/>
    <w:multiLevelType w:val="multilevel"/>
    <w:tmpl w:val="BAB2BA48"/>
    <w:lvl w:ilvl="0">
      <w:start w:val="2"/>
      <w:numFmt w:val="decimal"/>
      <w:lvlText w:val="%1"/>
      <w:lvlJc w:val="left"/>
      <w:pPr>
        <w:ind w:left="360" w:hanging="360"/>
      </w:pPr>
      <w:rPr>
        <w:rFonts w:hint="default"/>
      </w:rPr>
    </w:lvl>
    <w:lvl w:ilvl="1">
      <w:start w:val="4"/>
      <w:numFmt w:val="decimal"/>
      <w:lvlText w:val="%1.%2"/>
      <w:lvlJc w:val="left"/>
      <w:pPr>
        <w:ind w:left="928"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50550C7B"/>
    <w:multiLevelType w:val="multilevel"/>
    <w:tmpl w:val="0D9095A8"/>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7">
    <w:nsid w:val="616B14F2"/>
    <w:multiLevelType w:val="multilevel"/>
    <w:tmpl w:val="A1B299B6"/>
    <w:lvl w:ilvl="0">
      <w:start w:val="3"/>
      <w:numFmt w:val="decimal"/>
      <w:lvlText w:val="%1"/>
      <w:lvlJc w:val="left"/>
      <w:pPr>
        <w:ind w:left="1080" w:hanging="360"/>
      </w:pPr>
      <w:rPr>
        <w:rFonts w:hint="default"/>
      </w:rPr>
    </w:lvl>
    <w:lvl w:ilvl="1">
      <w:start w:val="1"/>
      <w:numFmt w:val="decimal"/>
      <w:isLgl/>
      <w:lvlText w:val="%1.%2"/>
      <w:lvlJc w:val="left"/>
      <w:pPr>
        <w:ind w:left="928"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nsid w:val="63464ED9"/>
    <w:multiLevelType w:val="multilevel"/>
    <w:tmpl w:val="8B3049A0"/>
    <w:lvl w:ilvl="0">
      <w:start w:val="2"/>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3"/>
  </w:num>
  <w:num w:numId="2">
    <w:abstractNumId w:val="2"/>
  </w:num>
  <w:num w:numId="3">
    <w:abstractNumId w:val="6"/>
  </w:num>
  <w:num w:numId="4">
    <w:abstractNumId w:val="8"/>
  </w:num>
  <w:num w:numId="5">
    <w:abstractNumId w:val="5"/>
  </w:num>
  <w:num w:numId="6">
    <w:abstractNumId w:val="7"/>
  </w:num>
  <w:num w:numId="7">
    <w:abstractNumId w:val="4"/>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A4629"/>
    <w:rsid w:val="00004E09"/>
    <w:rsid w:val="00005962"/>
    <w:rsid w:val="00005E9C"/>
    <w:rsid w:val="00012A91"/>
    <w:rsid w:val="00025529"/>
    <w:rsid w:val="00030797"/>
    <w:rsid w:val="000311BA"/>
    <w:rsid w:val="000323E3"/>
    <w:rsid w:val="00040CE2"/>
    <w:rsid w:val="0004171E"/>
    <w:rsid w:val="00042810"/>
    <w:rsid w:val="00044878"/>
    <w:rsid w:val="00046635"/>
    <w:rsid w:val="00053582"/>
    <w:rsid w:val="000552A7"/>
    <w:rsid w:val="000639D9"/>
    <w:rsid w:val="000662CE"/>
    <w:rsid w:val="00066642"/>
    <w:rsid w:val="00067245"/>
    <w:rsid w:val="00067774"/>
    <w:rsid w:val="00071F74"/>
    <w:rsid w:val="00077230"/>
    <w:rsid w:val="00082247"/>
    <w:rsid w:val="00083E88"/>
    <w:rsid w:val="000851E5"/>
    <w:rsid w:val="0008544C"/>
    <w:rsid w:val="00086430"/>
    <w:rsid w:val="00086D6A"/>
    <w:rsid w:val="0009003D"/>
    <w:rsid w:val="00091661"/>
    <w:rsid w:val="0009230A"/>
    <w:rsid w:val="00095966"/>
    <w:rsid w:val="0009782D"/>
    <w:rsid w:val="000A2BB7"/>
    <w:rsid w:val="000A2DD7"/>
    <w:rsid w:val="000A31A1"/>
    <w:rsid w:val="000A76F1"/>
    <w:rsid w:val="000B4BC6"/>
    <w:rsid w:val="000B747B"/>
    <w:rsid w:val="000D57A8"/>
    <w:rsid w:val="000D72FF"/>
    <w:rsid w:val="000D779D"/>
    <w:rsid w:val="000F0EA6"/>
    <w:rsid w:val="000F21F3"/>
    <w:rsid w:val="000F3A75"/>
    <w:rsid w:val="0010138B"/>
    <w:rsid w:val="00104476"/>
    <w:rsid w:val="00104EB9"/>
    <w:rsid w:val="00115528"/>
    <w:rsid w:val="00115904"/>
    <w:rsid w:val="00116B54"/>
    <w:rsid w:val="00116E78"/>
    <w:rsid w:val="00120942"/>
    <w:rsid w:val="0012315C"/>
    <w:rsid w:val="00126426"/>
    <w:rsid w:val="00126E34"/>
    <w:rsid w:val="001279DD"/>
    <w:rsid w:val="001335B7"/>
    <w:rsid w:val="00134EC3"/>
    <w:rsid w:val="001356E3"/>
    <w:rsid w:val="00135B5D"/>
    <w:rsid w:val="00136B0E"/>
    <w:rsid w:val="00140DB0"/>
    <w:rsid w:val="00141780"/>
    <w:rsid w:val="0014353F"/>
    <w:rsid w:val="0014389B"/>
    <w:rsid w:val="00143BE6"/>
    <w:rsid w:val="0014709A"/>
    <w:rsid w:val="00152EAD"/>
    <w:rsid w:val="00154835"/>
    <w:rsid w:val="00157816"/>
    <w:rsid w:val="001579E1"/>
    <w:rsid w:val="00162104"/>
    <w:rsid w:val="001633D0"/>
    <w:rsid w:val="00167681"/>
    <w:rsid w:val="001709BF"/>
    <w:rsid w:val="00171AA2"/>
    <w:rsid w:val="00172535"/>
    <w:rsid w:val="001737AC"/>
    <w:rsid w:val="001765EC"/>
    <w:rsid w:val="00180A13"/>
    <w:rsid w:val="0018339F"/>
    <w:rsid w:val="00185411"/>
    <w:rsid w:val="001855F2"/>
    <w:rsid w:val="00185893"/>
    <w:rsid w:val="00185E72"/>
    <w:rsid w:val="001867AF"/>
    <w:rsid w:val="00187AC6"/>
    <w:rsid w:val="00187C8A"/>
    <w:rsid w:val="00190B49"/>
    <w:rsid w:val="00192414"/>
    <w:rsid w:val="0019347B"/>
    <w:rsid w:val="00193A48"/>
    <w:rsid w:val="0019483F"/>
    <w:rsid w:val="001A197C"/>
    <w:rsid w:val="001A7701"/>
    <w:rsid w:val="001A7872"/>
    <w:rsid w:val="001B2A4C"/>
    <w:rsid w:val="001B76C1"/>
    <w:rsid w:val="001C0D0D"/>
    <w:rsid w:val="001C3B4E"/>
    <w:rsid w:val="001D11EC"/>
    <w:rsid w:val="001D3129"/>
    <w:rsid w:val="001D3A2C"/>
    <w:rsid w:val="001D5DFC"/>
    <w:rsid w:val="001E0DFB"/>
    <w:rsid w:val="001E382C"/>
    <w:rsid w:val="001E4A15"/>
    <w:rsid w:val="001F16F2"/>
    <w:rsid w:val="001F1FCD"/>
    <w:rsid w:val="001F2599"/>
    <w:rsid w:val="001F4EAF"/>
    <w:rsid w:val="00203361"/>
    <w:rsid w:val="0020567F"/>
    <w:rsid w:val="0021171E"/>
    <w:rsid w:val="00221929"/>
    <w:rsid w:val="00221991"/>
    <w:rsid w:val="00225E61"/>
    <w:rsid w:val="00231CDB"/>
    <w:rsid w:val="0023553B"/>
    <w:rsid w:val="00241D91"/>
    <w:rsid w:val="00243091"/>
    <w:rsid w:val="0024324C"/>
    <w:rsid w:val="00243681"/>
    <w:rsid w:val="0024680E"/>
    <w:rsid w:val="00250F58"/>
    <w:rsid w:val="00253223"/>
    <w:rsid w:val="00257459"/>
    <w:rsid w:val="00260DA1"/>
    <w:rsid w:val="00264657"/>
    <w:rsid w:val="002656A4"/>
    <w:rsid w:val="002765EB"/>
    <w:rsid w:val="00282864"/>
    <w:rsid w:val="00284777"/>
    <w:rsid w:val="00285496"/>
    <w:rsid w:val="00295AD9"/>
    <w:rsid w:val="0029787B"/>
    <w:rsid w:val="002A45E8"/>
    <w:rsid w:val="002A7709"/>
    <w:rsid w:val="002B1C7C"/>
    <w:rsid w:val="002B2CDA"/>
    <w:rsid w:val="002B65E5"/>
    <w:rsid w:val="002B69C2"/>
    <w:rsid w:val="002C0477"/>
    <w:rsid w:val="002C0996"/>
    <w:rsid w:val="002C38F6"/>
    <w:rsid w:val="002C494F"/>
    <w:rsid w:val="002C4B6A"/>
    <w:rsid w:val="002D2B31"/>
    <w:rsid w:val="002D30D7"/>
    <w:rsid w:val="002D39A4"/>
    <w:rsid w:val="002D4FB8"/>
    <w:rsid w:val="002D5E30"/>
    <w:rsid w:val="002E287A"/>
    <w:rsid w:val="002E58C5"/>
    <w:rsid w:val="002E7A03"/>
    <w:rsid w:val="002F05C4"/>
    <w:rsid w:val="002F7BAD"/>
    <w:rsid w:val="00302D02"/>
    <w:rsid w:val="00305205"/>
    <w:rsid w:val="00306DFB"/>
    <w:rsid w:val="00307A38"/>
    <w:rsid w:val="0031358B"/>
    <w:rsid w:val="003144FB"/>
    <w:rsid w:val="00317F33"/>
    <w:rsid w:val="00323E1B"/>
    <w:rsid w:val="003246E1"/>
    <w:rsid w:val="00335E31"/>
    <w:rsid w:val="00337D06"/>
    <w:rsid w:val="00347F00"/>
    <w:rsid w:val="003522A8"/>
    <w:rsid w:val="00353CE0"/>
    <w:rsid w:val="003546E5"/>
    <w:rsid w:val="00366FA2"/>
    <w:rsid w:val="003702F4"/>
    <w:rsid w:val="00373678"/>
    <w:rsid w:val="003739E4"/>
    <w:rsid w:val="00377D6F"/>
    <w:rsid w:val="003811B4"/>
    <w:rsid w:val="00383553"/>
    <w:rsid w:val="0038419F"/>
    <w:rsid w:val="003942F4"/>
    <w:rsid w:val="00394B38"/>
    <w:rsid w:val="0039554A"/>
    <w:rsid w:val="003973F9"/>
    <w:rsid w:val="003A0BA5"/>
    <w:rsid w:val="003A1864"/>
    <w:rsid w:val="003A2663"/>
    <w:rsid w:val="003A3371"/>
    <w:rsid w:val="003A7446"/>
    <w:rsid w:val="003A7EBE"/>
    <w:rsid w:val="003A7F12"/>
    <w:rsid w:val="003B0DA5"/>
    <w:rsid w:val="003B225C"/>
    <w:rsid w:val="003B5AD5"/>
    <w:rsid w:val="003C2FA7"/>
    <w:rsid w:val="003C3DCA"/>
    <w:rsid w:val="003C768B"/>
    <w:rsid w:val="003D21D7"/>
    <w:rsid w:val="003D6991"/>
    <w:rsid w:val="003D73F2"/>
    <w:rsid w:val="003E4EAF"/>
    <w:rsid w:val="003E6349"/>
    <w:rsid w:val="003E7CAF"/>
    <w:rsid w:val="003F17BC"/>
    <w:rsid w:val="003F51AF"/>
    <w:rsid w:val="003F52FE"/>
    <w:rsid w:val="003F56E5"/>
    <w:rsid w:val="003F5E3C"/>
    <w:rsid w:val="003F7665"/>
    <w:rsid w:val="0040086F"/>
    <w:rsid w:val="00402AC4"/>
    <w:rsid w:val="00402E88"/>
    <w:rsid w:val="00402F19"/>
    <w:rsid w:val="00404BA3"/>
    <w:rsid w:val="00406F1B"/>
    <w:rsid w:val="00412123"/>
    <w:rsid w:val="00412790"/>
    <w:rsid w:val="004154B7"/>
    <w:rsid w:val="00420DBF"/>
    <w:rsid w:val="00423107"/>
    <w:rsid w:val="00427B04"/>
    <w:rsid w:val="004313AD"/>
    <w:rsid w:val="0043188E"/>
    <w:rsid w:val="00431DA8"/>
    <w:rsid w:val="00433571"/>
    <w:rsid w:val="004338A2"/>
    <w:rsid w:val="00443730"/>
    <w:rsid w:val="00462193"/>
    <w:rsid w:val="0046726A"/>
    <w:rsid w:val="004709EC"/>
    <w:rsid w:val="00471366"/>
    <w:rsid w:val="0048227F"/>
    <w:rsid w:val="0048576E"/>
    <w:rsid w:val="004859C5"/>
    <w:rsid w:val="00486C6C"/>
    <w:rsid w:val="004A046A"/>
    <w:rsid w:val="004A1647"/>
    <w:rsid w:val="004A18C4"/>
    <w:rsid w:val="004A2738"/>
    <w:rsid w:val="004A40A2"/>
    <w:rsid w:val="004A417B"/>
    <w:rsid w:val="004A4D05"/>
    <w:rsid w:val="004A625A"/>
    <w:rsid w:val="004A6957"/>
    <w:rsid w:val="004A7E68"/>
    <w:rsid w:val="004B2F3D"/>
    <w:rsid w:val="004B351B"/>
    <w:rsid w:val="004C1BDB"/>
    <w:rsid w:val="004C3B35"/>
    <w:rsid w:val="004C49C8"/>
    <w:rsid w:val="004C7056"/>
    <w:rsid w:val="004D532C"/>
    <w:rsid w:val="004D7B34"/>
    <w:rsid w:val="004E530A"/>
    <w:rsid w:val="004F19F6"/>
    <w:rsid w:val="004F2672"/>
    <w:rsid w:val="004F6F94"/>
    <w:rsid w:val="004F7458"/>
    <w:rsid w:val="00501D37"/>
    <w:rsid w:val="00502F76"/>
    <w:rsid w:val="00505C2D"/>
    <w:rsid w:val="0050703F"/>
    <w:rsid w:val="0051050C"/>
    <w:rsid w:val="00510F08"/>
    <w:rsid w:val="00511445"/>
    <w:rsid w:val="00515761"/>
    <w:rsid w:val="00522974"/>
    <w:rsid w:val="00524238"/>
    <w:rsid w:val="005328A7"/>
    <w:rsid w:val="00533C35"/>
    <w:rsid w:val="00534C46"/>
    <w:rsid w:val="00541261"/>
    <w:rsid w:val="005442F6"/>
    <w:rsid w:val="0054693F"/>
    <w:rsid w:val="005520A7"/>
    <w:rsid w:val="005524D6"/>
    <w:rsid w:val="00552C5F"/>
    <w:rsid w:val="0055423E"/>
    <w:rsid w:val="005573B8"/>
    <w:rsid w:val="005607F4"/>
    <w:rsid w:val="00565F9D"/>
    <w:rsid w:val="00566995"/>
    <w:rsid w:val="00566BBD"/>
    <w:rsid w:val="00567EE8"/>
    <w:rsid w:val="005717EA"/>
    <w:rsid w:val="00572D97"/>
    <w:rsid w:val="00574188"/>
    <w:rsid w:val="00574189"/>
    <w:rsid w:val="00576DEF"/>
    <w:rsid w:val="00581366"/>
    <w:rsid w:val="005817A1"/>
    <w:rsid w:val="005838BA"/>
    <w:rsid w:val="00585897"/>
    <w:rsid w:val="005916EA"/>
    <w:rsid w:val="00592365"/>
    <w:rsid w:val="00592A07"/>
    <w:rsid w:val="00594557"/>
    <w:rsid w:val="00595316"/>
    <w:rsid w:val="00597881"/>
    <w:rsid w:val="005A45F6"/>
    <w:rsid w:val="005A52B2"/>
    <w:rsid w:val="005A6082"/>
    <w:rsid w:val="005A7524"/>
    <w:rsid w:val="005B3650"/>
    <w:rsid w:val="005B570C"/>
    <w:rsid w:val="005B6248"/>
    <w:rsid w:val="005C045E"/>
    <w:rsid w:val="005C2C2E"/>
    <w:rsid w:val="005D099C"/>
    <w:rsid w:val="005D29B3"/>
    <w:rsid w:val="005D41FC"/>
    <w:rsid w:val="005D4ECA"/>
    <w:rsid w:val="005D6A74"/>
    <w:rsid w:val="005E13F6"/>
    <w:rsid w:val="005E5578"/>
    <w:rsid w:val="005E64E6"/>
    <w:rsid w:val="0060152C"/>
    <w:rsid w:val="006049FD"/>
    <w:rsid w:val="00605311"/>
    <w:rsid w:val="00607589"/>
    <w:rsid w:val="006105B1"/>
    <w:rsid w:val="0062051C"/>
    <w:rsid w:val="006237EA"/>
    <w:rsid w:val="006406FD"/>
    <w:rsid w:val="00641492"/>
    <w:rsid w:val="00642D30"/>
    <w:rsid w:val="00643E0E"/>
    <w:rsid w:val="00644A5A"/>
    <w:rsid w:val="006467FC"/>
    <w:rsid w:val="00647735"/>
    <w:rsid w:val="006532E2"/>
    <w:rsid w:val="006630A2"/>
    <w:rsid w:val="0066617A"/>
    <w:rsid w:val="00666656"/>
    <w:rsid w:val="0066739D"/>
    <w:rsid w:val="00674371"/>
    <w:rsid w:val="00674E8F"/>
    <w:rsid w:val="006756C4"/>
    <w:rsid w:val="006811FA"/>
    <w:rsid w:val="00684206"/>
    <w:rsid w:val="006861BB"/>
    <w:rsid w:val="00692EE9"/>
    <w:rsid w:val="006960E7"/>
    <w:rsid w:val="006966EB"/>
    <w:rsid w:val="00697917"/>
    <w:rsid w:val="006A1F28"/>
    <w:rsid w:val="006A4389"/>
    <w:rsid w:val="006A6276"/>
    <w:rsid w:val="006B582B"/>
    <w:rsid w:val="006B7E45"/>
    <w:rsid w:val="006C059C"/>
    <w:rsid w:val="006C0884"/>
    <w:rsid w:val="006C3B86"/>
    <w:rsid w:val="006C62D2"/>
    <w:rsid w:val="006C7EDB"/>
    <w:rsid w:val="006D1067"/>
    <w:rsid w:val="006D67CB"/>
    <w:rsid w:val="006D717A"/>
    <w:rsid w:val="006E06D8"/>
    <w:rsid w:val="006E392C"/>
    <w:rsid w:val="006E7DD0"/>
    <w:rsid w:val="006F22CB"/>
    <w:rsid w:val="006F294B"/>
    <w:rsid w:val="006F51C4"/>
    <w:rsid w:val="0070077F"/>
    <w:rsid w:val="00702769"/>
    <w:rsid w:val="00702EEA"/>
    <w:rsid w:val="00710565"/>
    <w:rsid w:val="00712B83"/>
    <w:rsid w:val="00716BD3"/>
    <w:rsid w:val="00720EFB"/>
    <w:rsid w:val="00724EAB"/>
    <w:rsid w:val="007258A9"/>
    <w:rsid w:val="007268FB"/>
    <w:rsid w:val="00727879"/>
    <w:rsid w:val="00727BC0"/>
    <w:rsid w:val="00730709"/>
    <w:rsid w:val="0073198B"/>
    <w:rsid w:val="00731D16"/>
    <w:rsid w:val="007324E1"/>
    <w:rsid w:val="00734BE8"/>
    <w:rsid w:val="007352C7"/>
    <w:rsid w:val="00742B8E"/>
    <w:rsid w:val="00743054"/>
    <w:rsid w:val="007438D4"/>
    <w:rsid w:val="007462D6"/>
    <w:rsid w:val="00746F1D"/>
    <w:rsid w:val="00755254"/>
    <w:rsid w:val="00755D46"/>
    <w:rsid w:val="0075721C"/>
    <w:rsid w:val="00757704"/>
    <w:rsid w:val="007630A9"/>
    <w:rsid w:val="00765465"/>
    <w:rsid w:val="00765794"/>
    <w:rsid w:val="007657CF"/>
    <w:rsid w:val="00767A4C"/>
    <w:rsid w:val="00771B20"/>
    <w:rsid w:val="007729FF"/>
    <w:rsid w:val="00775C88"/>
    <w:rsid w:val="00777525"/>
    <w:rsid w:val="00785755"/>
    <w:rsid w:val="00787FA5"/>
    <w:rsid w:val="0079022A"/>
    <w:rsid w:val="00795610"/>
    <w:rsid w:val="00795CF2"/>
    <w:rsid w:val="007975C7"/>
    <w:rsid w:val="007A14A9"/>
    <w:rsid w:val="007A1D32"/>
    <w:rsid w:val="007A278E"/>
    <w:rsid w:val="007A51AB"/>
    <w:rsid w:val="007A6C70"/>
    <w:rsid w:val="007A7D12"/>
    <w:rsid w:val="007B20CB"/>
    <w:rsid w:val="007B2F1C"/>
    <w:rsid w:val="007B3540"/>
    <w:rsid w:val="007B4257"/>
    <w:rsid w:val="007B5017"/>
    <w:rsid w:val="007B5B22"/>
    <w:rsid w:val="007B785E"/>
    <w:rsid w:val="007C2E98"/>
    <w:rsid w:val="007C5FFC"/>
    <w:rsid w:val="007C7882"/>
    <w:rsid w:val="007D06C2"/>
    <w:rsid w:val="007D0B0A"/>
    <w:rsid w:val="007D15D1"/>
    <w:rsid w:val="007D5FE3"/>
    <w:rsid w:val="007E031F"/>
    <w:rsid w:val="007E3669"/>
    <w:rsid w:val="007E4BB0"/>
    <w:rsid w:val="007E4F30"/>
    <w:rsid w:val="007E7457"/>
    <w:rsid w:val="007F664E"/>
    <w:rsid w:val="00806E52"/>
    <w:rsid w:val="00813961"/>
    <w:rsid w:val="008176C9"/>
    <w:rsid w:val="008244B6"/>
    <w:rsid w:val="00825C5D"/>
    <w:rsid w:val="00827C93"/>
    <w:rsid w:val="00830232"/>
    <w:rsid w:val="00830D3C"/>
    <w:rsid w:val="00833A4A"/>
    <w:rsid w:val="00835815"/>
    <w:rsid w:val="0083766B"/>
    <w:rsid w:val="008401B3"/>
    <w:rsid w:val="00840E10"/>
    <w:rsid w:val="0084550D"/>
    <w:rsid w:val="008455F0"/>
    <w:rsid w:val="00850F00"/>
    <w:rsid w:val="00852E27"/>
    <w:rsid w:val="00854757"/>
    <w:rsid w:val="00856B2D"/>
    <w:rsid w:val="00863E6B"/>
    <w:rsid w:val="00864211"/>
    <w:rsid w:val="00866F1E"/>
    <w:rsid w:val="008714C7"/>
    <w:rsid w:val="008863C6"/>
    <w:rsid w:val="008874A3"/>
    <w:rsid w:val="008915B2"/>
    <w:rsid w:val="00893AB7"/>
    <w:rsid w:val="00893AD2"/>
    <w:rsid w:val="00893B60"/>
    <w:rsid w:val="008A0119"/>
    <w:rsid w:val="008A2B76"/>
    <w:rsid w:val="008A33D7"/>
    <w:rsid w:val="008A3E0A"/>
    <w:rsid w:val="008B4FBD"/>
    <w:rsid w:val="008B56BF"/>
    <w:rsid w:val="008C12BC"/>
    <w:rsid w:val="008C3B01"/>
    <w:rsid w:val="008C46B9"/>
    <w:rsid w:val="008C69CC"/>
    <w:rsid w:val="008D21F1"/>
    <w:rsid w:val="008D454F"/>
    <w:rsid w:val="008D4EEE"/>
    <w:rsid w:val="008E26AA"/>
    <w:rsid w:val="008E336C"/>
    <w:rsid w:val="008E3CE0"/>
    <w:rsid w:val="008E6BC1"/>
    <w:rsid w:val="008F090D"/>
    <w:rsid w:val="008F420E"/>
    <w:rsid w:val="008F5320"/>
    <w:rsid w:val="008F73B0"/>
    <w:rsid w:val="009114F1"/>
    <w:rsid w:val="00913005"/>
    <w:rsid w:val="00913623"/>
    <w:rsid w:val="00921106"/>
    <w:rsid w:val="00925305"/>
    <w:rsid w:val="00925798"/>
    <w:rsid w:val="009267B9"/>
    <w:rsid w:val="009268E8"/>
    <w:rsid w:val="00927F11"/>
    <w:rsid w:val="0093008E"/>
    <w:rsid w:val="00931632"/>
    <w:rsid w:val="00932322"/>
    <w:rsid w:val="0093348B"/>
    <w:rsid w:val="00933773"/>
    <w:rsid w:val="00934C85"/>
    <w:rsid w:val="00935662"/>
    <w:rsid w:val="009359DD"/>
    <w:rsid w:val="0093629F"/>
    <w:rsid w:val="009414D9"/>
    <w:rsid w:val="00944082"/>
    <w:rsid w:val="009459BB"/>
    <w:rsid w:val="009459C0"/>
    <w:rsid w:val="00946BBC"/>
    <w:rsid w:val="00953840"/>
    <w:rsid w:val="009564C2"/>
    <w:rsid w:val="009652D7"/>
    <w:rsid w:val="00966C53"/>
    <w:rsid w:val="00967C63"/>
    <w:rsid w:val="0097432D"/>
    <w:rsid w:val="00976FBD"/>
    <w:rsid w:val="0098080F"/>
    <w:rsid w:val="0098166B"/>
    <w:rsid w:val="00990F70"/>
    <w:rsid w:val="00994111"/>
    <w:rsid w:val="00995A6D"/>
    <w:rsid w:val="00995F87"/>
    <w:rsid w:val="009979CD"/>
    <w:rsid w:val="009A1535"/>
    <w:rsid w:val="009A1857"/>
    <w:rsid w:val="009A4ACF"/>
    <w:rsid w:val="009A67EB"/>
    <w:rsid w:val="009C0609"/>
    <w:rsid w:val="009C18EF"/>
    <w:rsid w:val="009C312D"/>
    <w:rsid w:val="009C5C6B"/>
    <w:rsid w:val="009D0F83"/>
    <w:rsid w:val="009D2AFC"/>
    <w:rsid w:val="009D427D"/>
    <w:rsid w:val="009D45B0"/>
    <w:rsid w:val="009D65E9"/>
    <w:rsid w:val="009E2600"/>
    <w:rsid w:val="009E6EC9"/>
    <w:rsid w:val="009F3F4D"/>
    <w:rsid w:val="009F4C81"/>
    <w:rsid w:val="009F69CF"/>
    <w:rsid w:val="00A0022C"/>
    <w:rsid w:val="00A02AE8"/>
    <w:rsid w:val="00A05342"/>
    <w:rsid w:val="00A0658F"/>
    <w:rsid w:val="00A067E2"/>
    <w:rsid w:val="00A10BC4"/>
    <w:rsid w:val="00A131D5"/>
    <w:rsid w:val="00A13616"/>
    <w:rsid w:val="00A142E5"/>
    <w:rsid w:val="00A176DB"/>
    <w:rsid w:val="00A2006B"/>
    <w:rsid w:val="00A20C69"/>
    <w:rsid w:val="00A257CD"/>
    <w:rsid w:val="00A25ABC"/>
    <w:rsid w:val="00A271E5"/>
    <w:rsid w:val="00A30987"/>
    <w:rsid w:val="00A30A1B"/>
    <w:rsid w:val="00A31FB8"/>
    <w:rsid w:val="00A406C5"/>
    <w:rsid w:val="00A41DAD"/>
    <w:rsid w:val="00A439C3"/>
    <w:rsid w:val="00A50607"/>
    <w:rsid w:val="00A50E77"/>
    <w:rsid w:val="00A526EA"/>
    <w:rsid w:val="00A53098"/>
    <w:rsid w:val="00A542C4"/>
    <w:rsid w:val="00A54AA8"/>
    <w:rsid w:val="00A54FE9"/>
    <w:rsid w:val="00A56AF9"/>
    <w:rsid w:val="00A60921"/>
    <w:rsid w:val="00A60F16"/>
    <w:rsid w:val="00A65941"/>
    <w:rsid w:val="00A70EF1"/>
    <w:rsid w:val="00A716B3"/>
    <w:rsid w:val="00A76E0F"/>
    <w:rsid w:val="00A8327D"/>
    <w:rsid w:val="00A85110"/>
    <w:rsid w:val="00A870C5"/>
    <w:rsid w:val="00A92086"/>
    <w:rsid w:val="00A955A3"/>
    <w:rsid w:val="00AA741B"/>
    <w:rsid w:val="00AB6544"/>
    <w:rsid w:val="00AC5CD2"/>
    <w:rsid w:val="00AC6448"/>
    <w:rsid w:val="00AD2472"/>
    <w:rsid w:val="00AD7503"/>
    <w:rsid w:val="00AE06F2"/>
    <w:rsid w:val="00AF0CAF"/>
    <w:rsid w:val="00AF485F"/>
    <w:rsid w:val="00B03348"/>
    <w:rsid w:val="00B051C6"/>
    <w:rsid w:val="00B06462"/>
    <w:rsid w:val="00B07C4A"/>
    <w:rsid w:val="00B1552A"/>
    <w:rsid w:val="00B17DA0"/>
    <w:rsid w:val="00B218CA"/>
    <w:rsid w:val="00B31F62"/>
    <w:rsid w:val="00B37036"/>
    <w:rsid w:val="00B4014D"/>
    <w:rsid w:val="00B42580"/>
    <w:rsid w:val="00B47278"/>
    <w:rsid w:val="00B5003A"/>
    <w:rsid w:val="00B520FE"/>
    <w:rsid w:val="00B540D8"/>
    <w:rsid w:val="00B5449E"/>
    <w:rsid w:val="00B567B5"/>
    <w:rsid w:val="00B56C52"/>
    <w:rsid w:val="00B5744B"/>
    <w:rsid w:val="00B62E31"/>
    <w:rsid w:val="00B70B27"/>
    <w:rsid w:val="00B7172C"/>
    <w:rsid w:val="00B72045"/>
    <w:rsid w:val="00B77607"/>
    <w:rsid w:val="00B81BDC"/>
    <w:rsid w:val="00B82B7C"/>
    <w:rsid w:val="00B83CFA"/>
    <w:rsid w:val="00B85009"/>
    <w:rsid w:val="00B851A7"/>
    <w:rsid w:val="00B861E0"/>
    <w:rsid w:val="00B908B5"/>
    <w:rsid w:val="00B91EAD"/>
    <w:rsid w:val="00BA259A"/>
    <w:rsid w:val="00BA2FEE"/>
    <w:rsid w:val="00BA4629"/>
    <w:rsid w:val="00BA4C83"/>
    <w:rsid w:val="00BA549B"/>
    <w:rsid w:val="00BA6378"/>
    <w:rsid w:val="00BA64D0"/>
    <w:rsid w:val="00BA7C89"/>
    <w:rsid w:val="00BB17EC"/>
    <w:rsid w:val="00BB2090"/>
    <w:rsid w:val="00BB334E"/>
    <w:rsid w:val="00BB51C6"/>
    <w:rsid w:val="00BB5347"/>
    <w:rsid w:val="00BB6620"/>
    <w:rsid w:val="00BC37E9"/>
    <w:rsid w:val="00BC3FC6"/>
    <w:rsid w:val="00BC46AB"/>
    <w:rsid w:val="00BC5E69"/>
    <w:rsid w:val="00BD2266"/>
    <w:rsid w:val="00BD4901"/>
    <w:rsid w:val="00BE1937"/>
    <w:rsid w:val="00BE21A7"/>
    <w:rsid w:val="00BE2699"/>
    <w:rsid w:val="00BE29E5"/>
    <w:rsid w:val="00BE3612"/>
    <w:rsid w:val="00BE757C"/>
    <w:rsid w:val="00BF04C2"/>
    <w:rsid w:val="00BF253E"/>
    <w:rsid w:val="00BF2795"/>
    <w:rsid w:val="00BF4275"/>
    <w:rsid w:val="00C0024D"/>
    <w:rsid w:val="00C0213A"/>
    <w:rsid w:val="00C05687"/>
    <w:rsid w:val="00C1002D"/>
    <w:rsid w:val="00C13F88"/>
    <w:rsid w:val="00C13F9D"/>
    <w:rsid w:val="00C1414E"/>
    <w:rsid w:val="00C145FD"/>
    <w:rsid w:val="00C14876"/>
    <w:rsid w:val="00C21CB5"/>
    <w:rsid w:val="00C22959"/>
    <w:rsid w:val="00C259BF"/>
    <w:rsid w:val="00C26BDA"/>
    <w:rsid w:val="00C33437"/>
    <w:rsid w:val="00C33D47"/>
    <w:rsid w:val="00C3456D"/>
    <w:rsid w:val="00C40DCF"/>
    <w:rsid w:val="00C40EAF"/>
    <w:rsid w:val="00C434FA"/>
    <w:rsid w:val="00C46228"/>
    <w:rsid w:val="00C4623A"/>
    <w:rsid w:val="00C46506"/>
    <w:rsid w:val="00C47B75"/>
    <w:rsid w:val="00C47C6B"/>
    <w:rsid w:val="00C51B4F"/>
    <w:rsid w:val="00C526DB"/>
    <w:rsid w:val="00C57E2D"/>
    <w:rsid w:val="00C61575"/>
    <w:rsid w:val="00C64346"/>
    <w:rsid w:val="00C646C1"/>
    <w:rsid w:val="00C676F4"/>
    <w:rsid w:val="00C67D98"/>
    <w:rsid w:val="00C70CEF"/>
    <w:rsid w:val="00C711AD"/>
    <w:rsid w:val="00C71BD3"/>
    <w:rsid w:val="00C72701"/>
    <w:rsid w:val="00C735DE"/>
    <w:rsid w:val="00C749D6"/>
    <w:rsid w:val="00C74C7F"/>
    <w:rsid w:val="00C75394"/>
    <w:rsid w:val="00C905CA"/>
    <w:rsid w:val="00C90832"/>
    <w:rsid w:val="00C91661"/>
    <w:rsid w:val="00C963E8"/>
    <w:rsid w:val="00C975FB"/>
    <w:rsid w:val="00CB07C3"/>
    <w:rsid w:val="00CB3EE3"/>
    <w:rsid w:val="00CB5CE6"/>
    <w:rsid w:val="00CC187D"/>
    <w:rsid w:val="00CC34A0"/>
    <w:rsid w:val="00CC3730"/>
    <w:rsid w:val="00CC780B"/>
    <w:rsid w:val="00CD1093"/>
    <w:rsid w:val="00CD1ABD"/>
    <w:rsid w:val="00CE0083"/>
    <w:rsid w:val="00CE2330"/>
    <w:rsid w:val="00CE2C69"/>
    <w:rsid w:val="00CE3888"/>
    <w:rsid w:val="00CE4794"/>
    <w:rsid w:val="00CE5AA4"/>
    <w:rsid w:val="00CF105D"/>
    <w:rsid w:val="00CF5520"/>
    <w:rsid w:val="00CF6F96"/>
    <w:rsid w:val="00CF6FE0"/>
    <w:rsid w:val="00D01C4F"/>
    <w:rsid w:val="00D03BBE"/>
    <w:rsid w:val="00D054B0"/>
    <w:rsid w:val="00D0781D"/>
    <w:rsid w:val="00D106D2"/>
    <w:rsid w:val="00D122C9"/>
    <w:rsid w:val="00D2200D"/>
    <w:rsid w:val="00D24E25"/>
    <w:rsid w:val="00D25C3F"/>
    <w:rsid w:val="00D26A4D"/>
    <w:rsid w:val="00D27EB9"/>
    <w:rsid w:val="00D3202B"/>
    <w:rsid w:val="00D34854"/>
    <w:rsid w:val="00D34BA6"/>
    <w:rsid w:val="00D35291"/>
    <w:rsid w:val="00D41134"/>
    <w:rsid w:val="00D443C4"/>
    <w:rsid w:val="00D44454"/>
    <w:rsid w:val="00D468A9"/>
    <w:rsid w:val="00D47C2C"/>
    <w:rsid w:val="00D53478"/>
    <w:rsid w:val="00D5379B"/>
    <w:rsid w:val="00D57539"/>
    <w:rsid w:val="00D63B04"/>
    <w:rsid w:val="00D64ECA"/>
    <w:rsid w:val="00D74491"/>
    <w:rsid w:val="00D76750"/>
    <w:rsid w:val="00D77E2A"/>
    <w:rsid w:val="00D85395"/>
    <w:rsid w:val="00D85BB9"/>
    <w:rsid w:val="00D95107"/>
    <w:rsid w:val="00D95998"/>
    <w:rsid w:val="00D96D94"/>
    <w:rsid w:val="00DA0224"/>
    <w:rsid w:val="00DB04E4"/>
    <w:rsid w:val="00DB0C3A"/>
    <w:rsid w:val="00DB18C2"/>
    <w:rsid w:val="00DB1CE3"/>
    <w:rsid w:val="00DB335C"/>
    <w:rsid w:val="00DB4024"/>
    <w:rsid w:val="00DB610B"/>
    <w:rsid w:val="00DC022D"/>
    <w:rsid w:val="00DC052E"/>
    <w:rsid w:val="00DC3F6C"/>
    <w:rsid w:val="00DC4C63"/>
    <w:rsid w:val="00DC77BB"/>
    <w:rsid w:val="00DD022A"/>
    <w:rsid w:val="00DD19B4"/>
    <w:rsid w:val="00DD57D9"/>
    <w:rsid w:val="00DE3761"/>
    <w:rsid w:val="00DE3B8B"/>
    <w:rsid w:val="00DE42EE"/>
    <w:rsid w:val="00DE43E7"/>
    <w:rsid w:val="00DE60D5"/>
    <w:rsid w:val="00DE626F"/>
    <w:rsid w:val="00DF08D8"/>
    <w:rsid w:val="00DF0ACF"/>
    <w:rsid w:val="00E00045"/>
    <w:rsid w:val="00E036C4"/>
    <w:rsid w:val="00E03BEF"/>
    <w:rsid w:val="00E043B7"/>
    <w:rsid w:val="00E051D7"/>
    <w:rsid w:val="00E05AEA"/>
    <w:rsid w:val="00E122BE"/>
    <w:rsid w:val="00E131C3"/>
    <w:rsid w:val="00E14DD3"/>
    <w:rsid w:val="00E1715A"/>
    <w:rsid w:val="00E26C43"/>
    <w:rsid w:val="00E304AE"/>
    <w:rsid w:val="00E314EC"/>
    <w:rsid w:val="00E31A0A"/>
    <w:rsid w:val="00E3227F"/>
    <w:rsid w:val="00E32E27"/>
    <w:rsid w:val="00E34E4F"/>
    <w:rsid w:val="00E401A9"/>
    <w:rsid w:val="00E40EF0"/>
    <w:rsid w:val="00E4239C"/>
    <w:rsid w:val="00E51C85"/>
    <w:rsid w:val="00E52FFE"/>
    <w:rsid w:val="00E57634"/>
    <w:rsid w:val="00E67D9F"/>
    <w:rsid w:val="00E71667"/>
    <w:rsid w:val="00E73D8F"/>
    <w:rsid w:val="00E75428"/>
    <w:rsid w:val="00E85E8D"/>
    <w:rsid w:val="00E878EF"/>
    <w:rsid w:val="00E9260E"/>
    <w:rsid w:val="00E92FF4"/>
    <w:rsid w:val="00E93017"/>
    <w:rsid w:val="00EA77E1"/>
    <w:rsid w:val="00EA7C01"/>
    <w:rsid w:val="00EB181D"/>
    <w:rsid w:val="00EB4113"/>
    <w:rsid w:val="00EB501E"/>
    <w:rsid w:val="00EC32B6"/>
    <w:rsid w:val="00EC36B1"/>
    <w:rsid w:val="00EC5AFD"/>
    <w:rsid w:val="00EC5CCC"/>
    <w:rsid w:val="00EC7D3A"/>
    <w:rsid w:val="00ED059B"/>
    <w:rsid w:val="00ED0D41"/>
    <w:rsid w:val="00ED71C4"/>
    <w:rsid w:val="00EE0F0C"/>
    <w:rsid w:val="00EE2002"/>
    <w:rsid w:val="00EE268C"/>
    <w:rsid w:val="00EE3B8B"/>
    <w:rsid w:val="00EE5B1A"/>
    <w:rsid w:val="00EE64B4"/>
    <w:rsid w:val="00EF0417"/>
    <w:rsid w:val="00EF173F"/>
    <w:rsid w:val="00EF73FE"/>
    <w:rsid w:val="00F00330"/>
    <w:rsid w:val="00F04C9B"/>
    <w:rsid w:val="00F10A9E"/>
    <w:rsid w:val="00F13BC4"/>
    <w:rsid w:val="00F14373"/>
    <w:rsid w:val="00F14C35"/>
    <w:rsid w:val="00F246EB"/>
    <w:rsid w:val="00F25032"/>
    <w:rsid w:val="00F2542D"/>
    <w:rsid w:val="00F26211"/>
    <w:rsid w:val="00F27CD3"/>
    <w:rsid w:val="00F31ADA"/>
    <w:rsid w:val="00F355DB"/>
    <w:rsid w:val="00F360AA"/>
    <w:rsid w:val="00F36E31"/>
    <w:rsid w:val="00F36F36"/>
    <w:rsid w:val="00F408DA"/>
    <w:rsid w:val="00F42219"/>
    <w:rsid w:val="00F4486E"/>
    <w:rsid w:val="00F45ECA"/>
    <w:rsid w:val="00F51330"/>
    <w:rsid w:val="00F52A11"/>
    <w:rsid w:val="00F53ADC"/>
    <w:rsid w:val="00F60B31"/>
    <w:rsid w:val="00F60E98"/>
    <w:rsid w:val="00F6269C"/>
    <w:rsid w:val="00F63F84"/>
    <w:rsid w:val="00F644FA"/>
    <w:rsid w:val="00F64FA3"/>
    <w:rsid w:val="00F679F6"/>
    <w:rsid w:val="00F75652"/>
    <w:rsid w:val="00F76F2C"/>
    <w:rsid w:val="00F772C1"/>
    <w:rsid w:val="00F810FF"/>
    <w:rsid w:val="00F8153D"/>
    <w:rsid w:val="00F85310"/>
    <w:rsid w:val="00F85CA0"/>
    <w:rsid w:val="00F90D01"/>
    <w:rsid w:val="00F95B8D"/>
    <w:rsid w:val="00FA32BC"/>
    <w:rsid w:val="00FA3B9E"/>
    <w:rsid w:val="00FA6625"/>
    <w:rsid w:val="00FB6673"/>
    <w:rsid w:val="00FB6BC5"/>
    <w:rsid w:val="00FC0209"/>
    <w:rsid w:val="00FC5256"/>
    <w:rsid w:val="00FC57C1"/>
    <w:rsid w:val="00FD2002"/>
    <w:rsid w:val="00FE01C7"/>
    <w:rsid w:val="00FF504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111"/>
    <w:pPr>
      <w:widowControl w:val="0"/>
      <w:autoSpaceDE w:val="0"/>
      <w:autoSpaceDN w:val="0"/>
      <w:adjustRightInd w:val="0"/>
      <w:spacing w:after="0" w:line="240" w:lineRule="auto"/>
    </w:pPr>
    <w:rPr>
      <w:rFonts w:ascii="Times New Roman" w:hAnsi="Times New Roman" w:cs="Times New Roman"/>
      <w:sz w:val="24"/>
      <w:szCs w:val="24"/>
    </w:rPr>
  </w:style>
  <w:style w:type="paragraph" w:styleId="Ttulo1">
    <w:name w:val="heading 1"/>
    <w:basedOn w:val="Normal"/>
    <w:next w:val="Normal"/>
    <w:link w:val="Ttulo1Char"/>
    <w:uiPriority w:val="9"/>
    <w:qFormat/>
    <w:rsid w:val="00C70C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C727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notadefim">
    <w:name w:val="endnote reference"/>
    <w:basedOn w:val="Fontepargpadro"/>
    <w:uiPriority w:val="99"/>
    <w:semiHidden/>
    <w:unhideWhenUsed/>
    <w:rsid w:val="00A439C3"/>
    <w:rPr>
      <w:vertAlign w:val="superscript"/>
    </w:rPr>
  </w:style>
  <w:style w:type="character" w:styleId="Refdenotaderodap">
    <w:name w:val="footnote reference"/>
    <w:basedOn w:val="Fontepargpadro"/>
    <w:semiHidden/>
    <w:unhideWhenUsed/>
    <w:rsid w:val="00A439C3"/>
    <w:rPr>
      <w:vertAlign w:val="superscript"/>
    </w:rPr>
  </w:style>
  <w:style w:type="paragraph" w:customStyle="1" w:styleId="Default">
    <w:name w:val="Default"/>
    <w:rsid w:val="00180A13"/>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3C3DCA"/>
    <w:pPr>
      <w:widowControl/>
      <w:autoSpaceDE/>
      <w:autoSpaceDN/>
      <w:adjustRightInd/>
      <w:spacing w:after="200" w:line="276" w:lineRule="auto"/>
      <w:ind w:left="720"/>
      <w:contextualSpacing/>
    </w:pPr>
    <w:rPr>
      <w:rFonts w:asciiTheme="minorHAnsi" w:eastAsiaTheme="minorHAnsi" w:hAnsiTheme="minorHAnsi" w:cstheme="minorBidi"/>
      <w:sz w:val="22"/>
      <w:szCs w:val="22"/>
      <w:lang w:eastAsia="en-US"/>
    </w:rPr>
  </w:style>
  <w:style w:type="paragraph" w:styleId="Textodenotaderodap">
    <w:name w:val="footnote text"/>
    <w:basedOn w:val="Normal"/>
    <w:link w:val="TextodenotaderodapChar"/>
    <w:semiHidden/>
    <w:unhideWhenUsed/>
    <w:rsid w:val="003C3DCA"/>
    <w:pPr>
      <w:widowControl/>
      <w:autoSpaceDE/>
      <w:autoSpaceDN/>
      <w:adjustRightInd/>
    </w:pPr>
    <w:rPr>
      <w:rFonts w:asciiTheme="minorHAnsi" w:eastAsiaTheme="minorHAnsi" w:hAnsiTheme="minorHAnsi" w:cstheme="minorBidi"/>
      <w:sz w:val="20"/>
      <w:szCs w:val="20"/>
      <w:lang w:eastAsia="en-US"/>
    </w:rPr>
  </w:style>
  <w:style w:type="character" w:customStyle="1" w:styleId="TextodenotaderodapChar">
    <w:name w:val="Texto de nota de rodapé Char"/>
    <w:basedOn w:val="Fontepargpadro"/>
    <w:link w:val="Textodenotaderodap"/>
    <w:semiHidden/>
    <w:rsid w:val="003C3DCA"/>
    <w:rPr>
      <w:rFonts w:eastAsiaTheme="minorHAnsi"/>
      <w:sz w:val="20"/>
      <w:szCs w:val="20"/>
      <w:lang w:eastAsia="en-US"/>
    </w:rPr>
  </w:style>
  <w:style w:type="paragraph" w:styleId="Textodebalo">
    <w:name w:val="Balloon Text"/>
    <w:basedOn w:val="Normal"/>
    <w:link w:val="TextodebaloChar"/>
    <w:uiPriority w:val="99"/>
    <w:semiHidden/>
    <w:unhideWhenUsed/>
    <w:rsid w:val="003C3DCA"/>
    <w:rPr>
      <w:rFonts w:ascii="Tahoma" w:hAnsi="Tahoma" w:cs="Tahoma"/>
      <w:sz w:val="16"/>
      <w:szCs w:val="16"/>
    </w:rPr>
  </w:style>
  <w:style w:type="character" w:customStyle="1" w:styleId="TextodebaloChar">
    <w:name w:val="Texto de balão Char"/>
    <w:basedOn w:val="Fontepargpadro"/>
    <w:link w:val="Textodebalo"/>
    <w:uiPriority w:val="99"/>
    <w:semiHidden/>
    <w:rsid w:val="003C3DCA"/>
    <w:rPr>
      <w:rFonts w:ascii="Tahoma" w:hAnsi="Tahoma" w:cs="Tahoma"/>
      <w:sz w:val="16"/>
      <w:szCs w:val="16"/>
    </w:rPr>
  </w:style>
  <w:style w:type="paragraph" w:customStyle="1" w:styleId="ecxdefault">
    <w:name w:val="ecxdefault"/>
    <w:basedOn w:val="Normal"/>
    <w:rsid w:val="00C646C1"/>
    <w:pPr>
      <w:widowControl/>
      <w:autoSpaceDE/>
      <w:autoSpaceDN/>
      <w:adjustRightInd/>
      <w:spacing w:before="100" w:beforeAutospacing="1" w:after="100" w:afterAutospacing="1"/>
    </w:pPr>
    <w:rPr>
      <w:rFonts w:eastAsia="Times New Roman"/>
    </w:rPr>
  </w:style>
  <w:style w:type="paragraph" w:customStyle="1" w:styleId="DefaultText">
    <w:name w:val="Default Text"/>
    <w:basedOn w:val="Normal"/>
    <w:rsid w:val="00A65941"/>
    <w:rPr>
      <w:rFonts w:eastAsia="Times New Roman"/>
      <w:lang w:val="en-US"/>
    </w:rPr>
  </w:style>
  <w:style w:type="paragraph" w:styleId="Cabealho">
    <w:name w:val="header"/>
    <w:basedOn w:val="Normal"/>
    <w:link w:val="CabealhoChar"/>
    <w:uiPriority w:val="99"/>
    <w:unhideWhenUsed/>
    <w:rsid w:val="006E7DD0"/>
    <w:pPr>
      <w:tabs>
        <w:tab w:val="center" w:pos="4252"/>
        <w:tab w:val="right" w:pos="8504"/>
      </w:tabs>
    </w:pPr>
  </w:style>
  <w:style w:type="character" w:customStyle="1" w:styleId="CabealhoChar">
    <w:name w:val="Cabeçalho Char"/>
    <w:basedOn w:val="Fontepargpadro"/>
    <w:link w:val="Cabealho"/>
    <w:uiPriority w:val="99"/>
    <w:rsid w:val="006E7DD0"/>
    <w:rPr>
      <w:rFonts w:ascii="Times New Roman" w:hAnsi="Times New Roman" w:cs="Times New Roman"/>
      <w:sz w:val="24"/>
      <w:szCs w:val="24"/>
    </w:rPr>
  </w:style>
  <w:style w:type="paragraph" w:styleId="Rodap">
    <w:name w:val="footer"/>
    <w:basedOn w:val="Normal"/>
    <w:link w:val="RodapChar"/>
    <w:uiPriority w:val="99"/>
    <w:unhideWhenUsed/>
    <w:rsid w:val="006E7DD0"/>
    <w:pPr>
      <w:tabs>
        <w:tab w:val="center" w:pos="4252"/>
        <w:tab w:val="right" w:pos="8504"/>
      </w:tabs>
    </w:pPr>
  </w:style>
  <w:style w:type="character" w:customStyle="1" w:styleId="RodapChar">
    <w:name w:val="Rodapé Char"/>
    <w:basedOn w:val="Fontepargpadro"/>
    <w:link w:val="Rodap"/>
    <w:uiPriority w:val="99"/>
    <w:rsid w:val="006E7DD0"/>
    <w:rPr>
      <w:rFonts w:ascii="Times New Roman" w:hAnsi="Times New Roman" w:cs="Times New Roman"/>
      <w:sz w:val="24"/>
      <w:szCs w:val="24"/>
    </w:rPr>
  </w:style>
  <w:style w:type="character" w:customStyle="1" w:styleId="Ttulo2Char">
    <w:name w:val="Título 2 Char"/>
    <w:basedOn w:val="Fontepargpadro"/>
    <w:link w:val="Ttulo2"/>
    <w:uiPriority w:val="9"/>
    <w:rsid w:val="00C72701"/>
    <w:rPr>
      <w:rFonts w:asciiTheme="majorHAnsi" w:eastAsiaTheme="majorEastAsia" w:hAnsiTheme="majorHAnsi" w:cstheme="majorBidi"/>
      <w:b/>
      <w:bCs/>
      <w:color w:val="4F81BD" w:themeColor="accent1"/>
      <w:sz w:val="26"/>
      <w:szCs w:val="26"/>
    </w:rPr>
  </w:style>
  <w:style w:type="character" w:styleId="Hyperlink">
    <w:name w:val="Hyperlink"/>
    <w:basedOn w:val="Fontepargpadro"/>
    <w:uiPriority w:val="99"/>
    <w:unhideWhenUsed/>
    <w:rsid w:val="00893AB7"/>
    <w:rPr>
      <w:color w:val="0000FF" w:themeColor="hyperlink"/>
      <w:u w:val="single"/>
    </w:rPr>
  </w:style>
  <w:style w:type="character" w:customStyle="1" w:styleId="apple-converted-space">
    <w:name w:val="apple-converted-space"/>
    <w:basedOn w:val="Fontepargpadro"/>
    <w:rsid w:val="001709BF"/>
  </w:style>
  <w:style w:type="character" w:styleId="Forte">
    <w:name w:val="Strong"/>
    <w:qFormat/>
    <w:rsid w:val="00115904"/>
    <w:rPr>
      <w:rFonts w:ascii="Times New Roman" w:hAnsi="Times New Roman" w:cs="Times New Roman" w:hint="default"/>
      <w:b/>
      <w:bCs/>
    </w:rPr>
  </w:style>
  <w:style w:type="character" w:customStyle="1" w:styleId="A6">
    <w:name w:val="A6"/>
    <w:uiPriority w:val="99"/>
    <w:rsid w:val="00EE0F0C"/>
    <w:rPr>
      <w:color w:val="000000"/>
      <w:sz w:val="18"/>
      <w:szCs w:val="18"/>
    </w:rPr>
  </w:style>
  <w:style w:type="character" w:customStyle="1" w:styleId="Ttulo1Char">
    <w:name w:val="Título 1 Char"/>
    <w:basedOn w:val="Fontepargpadro"/>
    <w:link w:val="Ttulo1"/>
    <w:uiPriority w:val="9"/>
    <w:rsid w:val="00C70CEF"/>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rsid w:val="000B4BC6"/>
    <w:rPr>
      <w:rFonts w:eastAsia="Arial Unicode MS" w:cs="Tahoma"/>
      <w:color w:val="0000FF"/>
      <w:u w:val="single"/>
      <w:lang w:val="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1610824">
      <w:bodyDiv w:val="1"/>
      <w:marLeft w:val="0"/>
      <w:marRight w:val="0"/>
      <w:marTop w:val="0"/>
      <w:marBottom w:val="0"/>
      <w:divBdr>
        <w:top w:val="none" w:sz="0" w:space="0" w:color="auto"/>
        <w:left w:val="none" w:sz="0" w:space="0" w:color="auto"/>
        <w:bottom w:val="none" w:sz="0" w:space="0" w:color="auto"/>
        <w:right w:val="none" w:sz="0" w:space="0" w:color="auto"/>
      </w:divBdr>
    </w:div>
    <w:div w:id="89086969">
      <w:bodyDiv w:val="1"/>
      <w:marLeft w:val="0"/>
      <w:marRight w:val="0"/>
      <w:marTop w:val="0"/>
      <w:marBottom w:val="0"/>
      <w:divBdr>
        <w:top w:val="none" w:sz="0" w:space="0" w:color="auto"/>
        <w:left w:val="none" w:sz="0" w:space="0" w:color="auto"/>
        <w:bottom w:val="none" w:sz="0" w:space="0" w:color="auto"/>
        <w:right w:val="none" w:sz="0" w:space="0" w:color="auto"/>
      </w:divBdr>
    </w:div>
    <w:div w:id="115829512">
      <w:bodyDiv w:val="1"/>
      <w:marLeft w:val="0"/>
      <w:marRight w:val="0"/>
      <w:marTop w:val="0"/>
      <w:marBottom w:val="0"/>
      <w:divBdr>
        <w:top w:val="none" w:sz="0" w:space="0" w:color="auto"/>
        <w:left w:val="none" w:sz="0" w:space="0" w:color="auto"/>
        <w:bottom w:val="none" w:sz="0" w:space="0" w:color="auto"/>
        <w:right w:val="none" w:sz="0" w:space="0" w:color="auto"/>
      </w:divBdr>
    </w:div>
    <w:div w:id="159270632">
      <w:bodyDiv w:val="1"/>
      <w:marLeft w:val="0"/>
      <w:marRight w:val="0"/>
      <w:marTop w:val="0"/>
      <w:marBottom w:val="0"/>
      <w:divBdr>
        <w:top w:val="none" w:sz="0" w:space="0" w:color="auto"/>
        <w:left w:val="none" w:sz="0" w:space="0" w:color="auto"/>
        <w:bottom w:val="none" w:sz="0" w:space="0" w:color="auto"/>
        <w:right w:val="none" w:sz="0" w:space="0" w:color="auto"/>
      </w:divBdr>
    </w:div>
    <w:div w:id="203829783">
      <w:bodyDiv w:val="1"/>
      <w:marLeft w:val="0"/>
      <w:marRight w:val="0"/>
      <w:marTop w:val="0"/>
      <w:marBottom w:val="0"/>
      <w:divBdr>
        <w:top w:val="none" w:sz="0" w:space="0" w:color="auto"/>
        <w:left w:val="none" w:sz="0" w:space="0" w:color="auto"/>
        <w:bottom w:val="none" w:sz="0" w:space="0" w:color="auto"/>
        <w:right w:val="none" w:sz="0" w:space="0" w:color="auto"/>
      </w:divBdr>
    </w:div>
    <w:div w:id="273178091">
      <w:bodyDiv w:val="1"/>
      <w:marLeft w:val="0"/>
      <w:marRight w:val="0"/>
      <w:marTop w:val="0"/>
      <w:marBottom w:val="0"/>
      <w:divBdr>
        <w:top w:val="none" w:sz="0" w:space="0" w:color="auto"/>
        <w:left w:val="none" w:sz="0" w:space="0" w:color="auto"/>
        <w:bottom w:val="none" w:sz="0" w:space="0" w:color="auto"/>
        <w:right w:val="none" w:sz="0" w:space="0" w:color="auto"/>
      </w:divBdr>
    </w:div>
    <w:div w:id="329480841">
      <w:bodyDiv w:val="1"/>
      <w:marLeft w:val="0"/>
      <w:marRight w:val="0"/>
      <w:marTop w:val="0"/>
      <w:marBottom w:val="0"/>
      <w:divBdr>
        <w:top w:val="none" w:sz="0" w:space="0" w:color="auto"/>
        <w:left w:val="none" w:sz="0" w:space="0" w:color="auto"/>
        <w:bottom w:val="none" w:sz="0" w:space="0" w:color="auto"/>
        <w:right w:val="none" w:sz="0" w:space="0" w:color="auto"/>
      </w:divBdr>
    </w:div>
    <w:div w:id="371617694">
      <w:bodyDiv w:val="1"/>
      <w:marLeft w:val="0"/>
      <w:marRight w:val="0"/>
      <w:marTop w:val="0"/>
      <w:marBottom w:val="0"/>
      <w:divBdr>
        <w:top w:val="none" w:sz="0" w:space="0" w:color="auto"/>
        <w:left w:val="none" w:sz="0" w:space="0" w:color="auto"/>
        <w:bottom w:val="none" w:sz="0" w:space="0" w:color="auto"/>
        <w:right w:val="none" w:sz="0" w:space="0" w:color="auto"/>
      </w:divBdr>
    </w:div>
    <w:div w:id="558782934">
      <w:bodyDiv w:val="1"/>
      <w:marLeft w:val="0"/>
      <w:marRight w:val="0"/>
      <w:marTop w:val="0"/>
      <w:marBottom w:val="0"/>
      <w:divBdr>
        <w:top w:val="none" w:sz="0" w:space="0" w:color="auto"/>
        <w:left w:val="none" w:sz="0" w:space="0" w:color="auto"/>
        <w:bottom w:val="none" w:sz="0" w:space="0" w:color="auto"/>
        <w:right w:val="none" w:sz="0" w:space="0" w:color="auto"/>
      </w:divBdr>
    </w:div>
    <w:div w:id="638459500">
      <w:bodyDiv w:val="1"/>
      <w:marLeft w:val="0"/>
      <w:marRight w:val="0"/>
      <w:marTop w:val="0"/>
      <w:marBottom w:val="0"/>
      <w:divBdr>
        <w:top w:val="none" w:sz="0" w:space="0" w:color="auto"/>
        <w:left w:val="none" w:sz="0" w:space="0" w:color="auto"/>
        <w:bottom w:val="none" w:sz="0" w:space="0" w:color="auto"/>
        <w:right w:val="none" w:sz="0" w:space="0" w:color="auto"/>
      </w:divBdr>
    </w:div>
    <w:div w:id="648100193">
      <w:bodyDiv w:val="1"/>
      <w:marLeft w:val="0"/>
      <w:marRight w:val="0"/>
      <w:marTop w:val="0"/>
      <w:marBottom w:val="0"/>
      <w:divBdr>
        <w:top w:val="none" w:sz="0" w:space="0" w:color="auto"/>
        <w:left w:val="none" w:sz="0" w:space="0" w:color="auto"/>
        <w:bottom w:val="none" w:sz="0" w:space="0" w:color="auto"/>
        <w:right w:val="none" w:sz="0" w:space="0" w:color="auto"/>
      </w:divBdr>
    </w:div>
    <w:div w:id="658995972">
      <w:bodyDiv w:val="1"/>
      <w:marLeft w:val="0"/>
      <w:marRight w:val="0"/>
      <w:marTop w:val="0"/>
      <w:marBottom w:val="0"/>
      <w:divBdr>
        <w:top w:val="none" w:sz="0" w:space="0" w:color="auto"/>
        <w:left w:val="none" w:sz="0" w:space="0" w:color="auto"/>
        <w:bottom w:val="none" w:sz="0" w:space="0" w:color="auto"/>
        <w:right w:val="none" w:sz="0" w:space="0" w:color="auto"/>
      </w:divBdr>
    </w:div>
    <w:div w:id="752773875">
      <w:bodyDiv w:val="1"/>
      <w:marLeft w:val="0"/>
      <w:marRight w:val="0"/>
      <w:marTop w:val="0"/>
      <w:marBottom w:val="0"/>
      <w:divBdr>
        <w:top w:val="none" w:sz="0" w:space="0" w:color="auto"/>
        <w:left w:val="none" w:sz="0" w:space="0" w:color="auto"/>
        <w:bottom w:val="none" w:sz="0" w:space="0" w:color="auto"/>
        <w:right w:val="none" w:sz="0" w:space="0" w:color="auto"/>
      </w:divBdr>
    </w:div>
    <w:div w:id="1097409796">
      <w:bodyDiv w:val="1"/>
      <w:marLeft w:val="0"/>
      <w:marRight w:val="0"/>
      <w:marTop w:val="0"/>
      <w:marBottom w:val="0"/>
      <w:divBdr>
        <w:top w:val="none" w:sz="0" w:space="0" w:color="auto"/>
        <w:left w:val="none" w:sz="0" w:space="0" w:color="auto"/>
        <w:bottom w:val="none" w:sz="0" w:space="0" w:color="auto"/>
        <w:right w:val="none" w:sz="0" w:space="0" w:color="auto"/>
      </w:divBdr>
    </w:div>
    <w:div w:id="1203133817">
      <w:bodyDiv w:val="1"/>
      <w:marLeft w:val="0"/>
      <w:marRight w:val="0"/>
      <w:marTop w:val="0"/>
      <w:marBottom w:val="0"/>
      <w:divBdr>
        <w:top w:val="none" w:sz="0" w:space="0" w:color="auto"/>
        <w:left w:val="none" w:sz="0" w:space="0" w:color="auto"/>
        <w:bottom w:val="none" w:sz="0" w:space="0" w:color="auto"/>
        <w:right w:val="none" w:sz="0" w:space="0" w:color="auto"/>
      </w:divBdr>
    </w:div>
    <w:div w:id="1394233566">
      <w:bodyDiv w:val="1"/>
      <w:marLeft w:val="0"/>
      <w:marRight w:val="0"/>
      <w:marTop w:val="0"/>
      <w:marBottom w:val="0"/>
      <w:divBdr>
        <w:top w:val="none" w:sz="0" w:space="0" w:color="auto"/>
        <w:left w:val="none" w:sz="0" w:space="0" w:color="auto"/>
        <w:bottom w:val="none" w:sz="0" w:space="0" w:color="auto"/>
        <w:right w:val="none" w:sz="0" w:space="0" w:color="auto"/>
      </w:divBdr>
    </w:div>
    <w:div w:id="1456826353">
      <w:bodyDiv w:val="1"/>
      <w:marLeft w:val="0"/>
      <w:marRight w:val="0"/>
      <w:marTop w:val="0"/>
      <w:marBottom w:val="0"/>
      <w:divBdr>
        <w:top w:val="none" w:sz="0" w:space="0" w:color="auto"/>
        <w:left w:val="none" w:sz="0" w:space="0" w:color="auto"/>
        <w:bottom w:val="none" w:sz="0" w:space="0" w:color="auto"/>
        <w:right w:val="none" w:sz="0" w:space="0" w:color="auto"/>
      </w:divBdr>
    </w:div>
    <w:div w:id="1555193730">
      <w:bodyDiv w:val="1"/>
      <w:marLeft w:val="0"/>
      <w:marRight w:val="0"/>
      <w:marTop w:val="0"/>
      <w:marBottom w:val="0"/>
      <w:divBdr>
        <w:top w:val="none" w:sz="0" w:space="0" w:color="auto"/>
        <w:left w:val="none" w:sz="0" w:space="0" w:color="auto"/>
        <w:bottom w:val="none" w:sz="0" w:space="0" w:color="auto"/>
        <w:right w:val="none" w:sz="0" w:space="0" w:color="auto"/>
      </w:divBdr>
    </w:div>
    <w:div w:id="1574241613">
      <w:bodyDiv w:val="1"/>
      <w:marLeft w:val="0"/>
      <w:marRight w:val="0"/>
      <w:marTop w:val="0"/>
      <w:marBottom w:val="0"/>
      <w:divBdr>
        <w:top w:val="none" w:sz="0" w:space="0" w:color="auto"/>
        <w:left w:val="none" w:sz="0" w:space="0" w:color="auto"/>
        <w:bottom w:val="none" w:sz="0" w:space="0" w:color="auto"/>
        <w:right w:val="none" w:sz="0" w:space="0" w:color="auto"/>
      </w:divBdr>
    </w:div>
    <w:div w:id="1675494011">
      <w:bodyDiv w:val="1"/>
      <w:marLeft w:val="0"/>
      <w:marRight w:val="0"/>
      <w:marTop w:val="0"/>
      <w:marBottom w:val="0"/>
      <w:divBdr>
        <w:top w:val="none" w:sz="0" w:space="0" w:color="auto"/>
        <w:left w:val="none" w:sz="0" w:space="0" w:color="auto"/>
        <w:bottom w:val="none" w:sz="0" w:space="0" w:color="auto"/>
        <w:right w:val="none" w:sz="0" w:space="0" w:color="auto"/>
      </w:divBdr>
    </w:div>
    <w:div w:id="1742634297">
      <w:bodyDiv w:val="1"/>
      <w:marLeft w:val="0"/>
      <w:marRight w:val="0"/>
      <w:marTop w:val="0"/>
      <w:marBottom w:val="0"/>
      <w:divBdr>
        <w:top w:val="none" w:sz="0" w:space="0" w:color="auto"/>
        <w:left w:val="none" w:sz="0" w:space="0" w:color="auto"/>
        <w:bottom w:val="none" w:sz="0" w:space="0" w:color="auto"/>
        <w:right w:val="none" w:sz="0" w:space="0" w:color="auto"/>
      </w:divBdr>
    </w:div>
    <w:div w:id="1759909077">
      <w:bodyDiv w:val="1"/>
      <w:marLeft w:val="0"/>
      <w:marRight w:val="0"/>
      <w:marTop w:val="0"/>
      <w:marBottom w:val="0"/>
      <w:divBdr>
        <w:top w:val="none" w:sz="0" w:space="0" w:color="auto"/>
        <w:left w:val="none" w:sz="0" w:space="0" w:color="auto"/>
        <w:bottom w:val="none" w:sz="0" w:space="0" w:color="auto"/>
        <w:right w:val="none" w:sz="0" w:space="0" w:color="auto"/>
      </w:divBdr>
    </w:div>
    <w:div w:id="192082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9.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0.bin"/><Relationship Id="rId50" Type="http://schemas.openxmlformats.org/officeDocument/2006/relationships/image" Target="media/image21.wmf"/><Relationship Id="rId55" Type="http://schemas.openxmlformats.org/officeDocument/2006/relationships/oleObject" Target="embeddings/oleObject24.bin"/><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image" Target="media/image23.wmf"/><Relationship Id="rId62" Type="http://schemas.openxmlformats.org/officeDocument/2006/relationships/image" Target="media/image2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5.bin"/><Relationship Id="rId40" Type="http://schemas.openxmlformats.org/officeDocument/2006/relationships/image" Target="media/image16.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5.wmf"/><Relationship Id="rId66"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8.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1.bin"/><Relationship Id="rId57" Type="http://schemas.openxmlformats.org/officeDocument/2006/relationships/oleObject" Target="embeddings/oleObject25.bin"/><Relationship Id="rId61" Type="http://schemas.openxmlformats.org/officeDocument/2006/relationships/image" Target="media/image27.emf"/><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oleObject" Target="embeddings/oleObject12.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emf"/><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7.wmf"/><Relationship Id="rId27" Type="http://schemas.openxmlformats.org/officeDocument/2006/relationships/oleObject" Target="embeddings/oleObject10.bin"/><Relationship Id="rId30" Type="http://schemas.openxmlformats.org/officeDocument/2006/relationships/image" Target="media/image11.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fontTable" Target="fontTable.xml"/><Relationship Id="rId8" Type="http://schemas.openxmlformats.org/officeDocument/2006/relationships/hyperlink" Target="mailto:aam@pucrs.br" TargetMode="External"/><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6.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6E22B3-302C-457D-8774-42A70C039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15</Pages>
  <Words>5589</Words>
  <Characters>30129</Characters>
  <Application>Microsoft Office Word</Application>
  <DocSecurity>0</DocSecurity>
  <Lines>251</Lines>
  <Paragraphs>71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35647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GTIT</cp:lastModifiedBy>
  <cp:revision>8</cp:revision>
  <cp:lastPrinted>2015-07-14T22:08:00Z</cp:lastPrinted>
  <dcterms:created xsi:type="dcterms:W3CDTF">2015-07-14T21:22:00Z</dcterms:created>
  <dcterms:modified xsi:type="dcterms:W3CDTF">2015-07-14T22:13:00Z</dcterms:modified>
</cp:coreProperties>
</file>