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16" w:rsidRDefault="00BD5183" w:rsidP="00784AF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r w:rsidR="00BA624A">
        <w:rPr>
          <w:rFonts w:ascii="Times New Roman" w:hAnsi="Times New Roman" w:cs="Times New Roman"/>
          <w:b/>
          <w:sz w:val="28"/>
          <w:szCs w:val="28"/>
          <w:lang w:val="en-US"/>
        </w:rPr>
        <w:t>n Empirical Test of the</w:t>
      </w:r>
      <w:r>
        <w:rPr>
          <w:rFonts w:ascii="Times New Roman" w:hAnsi="Times New Roman" w:cs="Times New Roman"/>
          <w:b/>
          <w:sz w:val="28"/>
          <w:szCs w:val="28"/>
          <w:lang w:val="en-US"/>
        </w:rPr>
        <w:t xml:space="preserve"> </w:t>
      </w:r>
      <w:r w:rsidR="00C77EDC">
        <w:rPr>
          <w:rFonts w:ascii="Times New Roman" w:hAnsi="Times New Roman" w:cs="Times New Roman"/>
          <w:b/>
          <w:sz w:val="28"/>
          <w:szCs w:val="28"/>
          <w:lang w:val="en-US"/>
        </w:rPr>
        <w:t>P</w:t>
      </w:r>
      <w:r w:rsidR="00BA624A">
        <w:rPr>
          <w:rFonts w:ascii="Times New Roman" w:hAnsi="Times New Roman" w:cs="Times New Roman"/>
          <w:b/>
          <w:sz w:val="28"/>
          <w:szCs w:val="28"/>
          <w:lang w:val="en-US"/>
        </w:rPr>
        <w:t>ost-Kaleckian Model applied to f</w:t>
      </w:r>
      <w:r w:rsidR="00B24A16">
        <w:rPr>
          <w:rFonts w:ascii="Times New Roman" w:hAnsi="Times New Roman" w:cs="Times New Roman"/>
          <w:b/>
          <w:sz w:val="28"/>
          <w:szCs w:val="28"/>
          <w:lang w:val="en-US"/>
        </w:rPr>
        <w:t>unctional income distribution and long-run growth regime in Brazil</w:t>
      </w:r>
      <w:r>
        <w:rPr>
          <w:rFonts w:ascii="Times New Roman" w:hAnsi="Times New Roman" w:cs="Times New Roman"/>
          <w:b/>
          <w:sz w:val="28"/>
          <w:szCs w:val="28"/>
          <w:lang w:val="en-US"/>
        </w:rPr>
        <w:t xml:space="preserve"> </w:t>
      </w:r>
    </w:p>
    <w:p w:rsidR="00B24A16" w:rsidRDefault="00B24A16" w:rsidP="00784AF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Cleiton Silva de Jesus (UEFS)</w:t>
      </w:r>
    </w:p>
    <w:p w:rsidR="00B24A16" w:rsidRDefault="00B24A16" w:rsidP="00784AF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Ricardo Azevedo </w:t>
      </w:r>
      <w:proofErr w:type="spellStart"/>
      <w:r>
        <w:rPr>
          <w:rFonts w:ascii="Times New Roman" w:hAnsi="Times New Roman" w:cs="Times New Roman"/>
          <w:sz w:val="24"/>
          <w:szCs w:val="24"/>
        </w:rPr>
        <w:t>Araujo</w:t>
      </w:r>
      <w:proofErr w:type="spellEnd"/>
      <w:r>
        <w:rPr>
          <w:rFonts w:ascii="Times New Roman" w:hAnsi="Times New Roman" w:cs="Times New Roman"/>
          <w:sz w:val="24"/>
          <w:szCs w:val="24"/>
        </w:rPr>
        <w:t xml:space="preserve"> (UnB)</w:t>
      </w:r>
    </w:p>
    <w:p w:rsidR="00B24A16" w:rsidRDefault="00B24A16" w:rsidP="00784AF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Carlos Eduardo Drumond (UESC) </w:t>
      </w:r>
    </w:p>
    <w:p w:rsidR="008C22BC" w:rsidRPr="008C22BC" w:rsidRDefault="008C22BC" w:rsidP="008C22BC">
      <w:pPr>
        <w:spacing w:line="240" w:lineRule="auto"/>
        <w:jc w:val="both"/>
        <w:rPr>
          <w:rFonts w:ascii="Times New Roman" w:hAnsi="Times New Roman" w:cs="Times New Roman"/>
          <w:b/>
          <w:sz w:val="24"/>
          <w:szCs w:val="24"/>
          <w:shd w:val="clear" w:color="auto" w:fill="FEFEFE"/>
        </w:rPr>
      </w:pPr>
      <w:r w:rsidRPr="008C22BC">
        <w:rPr>
          <w:rFonts w:ascii="Times New Roman" w:hAnsi="Times New Roman" w:cs="Times New Roman"/>
          <w:b/>
          <w:sz w:val="24"/>
          <w:szCs w:val="24"/>
          <w:shd w:val="clear" w:color="auto" w:fill="FEFEFE"/>
        </w:rPr>
        <w:t xml:space="preserve">Resumo </w:t>
      </w:r>
    </w:p>
    <w:p w:rsidR="00EA3FCE" w:rsidRDefault="008C22BC" w:rsidP="008C22BC">
      <w:pPr>
        <w:spacing w:line="240" w:lineRule="auto"/>
        <w:jc w:val="both"/>
        <w:rPr>
          <w:rFonts w:ascii="Times New Roman" w:hAnsi="Times New Roman" w:cs="Times New Roman"/>
          <w:sz w:val="24"/>
          <w:szCs w:val="24"/>
          <w:shd w:val="clear" w:color="auto" w:fill="FEFEFE"/>
        </w:rPr>
      </w:pPr>
      <w:r w:rsidRPr="008C22BC">
        <w:rPr>
          <w:rFonts w:ascii="Times New Roman" w:hAnsi="Times New Roman" w:cs="Times New Roman"/>
          <w:sz w:val="24"/>
          <w:szCs w:val="24"/>
          <w:shd w:val="clear" w:color="auto" w:fill="FEFEFE"/>
        </w:rPr>
        <w:t>O objetivo principal deste trabalho é investigar empiricamente se economia brasileira teve, no período 1970-2008, um regime de crescimento puxado pelos salários ou pelos lucros. Com base em um modelo de crescimento pós-</w:t>
      </w:r>
      <w:proofErr w:type="spellStart"/>
      <w:r w:rsidRPr="008C22BC">
        <w:rPr>
          <w:rFonts w:ascii="Times New Roman" w:hAnsi="Times New Roman" w:cs="Times New Roman"/>
          <w:sz w:val="24"/>
          <w:szCs w:val="24"/>
          <w:shd w:val="clear" w:color="auto" w:fill="FEFEFE"/>
        </w:rPr>
        <w:t>kaleckiano</w:t>
      </w:r>
      <w:proofErr w:type="spellEnd"/>
      <w:r w:rsidRPr="008C22BC">
        <w:rPr>
          <w:rFonts w:ascii="Times New Roman" w:hAnsi="Times New Roman" w:cs="Times New Roman"/>
          <w:sz w:val="24"/>
          <w:szCs w:val="24"/>
          <w:shd w:val="clear" w:color="auto" w:fill="FEFEFE"/>
        </w:rPr>
        <w:t xml:space="preserve"> canônico, foram estimados alguns modelos vetores auto regressivos (VAR). São três os principais resultados extraídos das funções de impulso-resposta generalizadas fornecid</w:t>
      </w:r>
      <w:r>
        <w:rPr>
          <w:rFonts w:ascii="Times New Roman" w:hAnsi="Times New Roman" w:cs="Times New Roman"/>
          <w:sz w:val="24"/>
          <w:szCs w:val="24"/>
          <w:shd w:val="clear" w:color="auto" w:fill="FEFEFE"/>
        </w:rPr>
        <w:t>a</w:t>
      </w:r>
      <w:r w:rsidRPr="008C22BC">
        <w:rPr>
          <w:rFonts w:ascii="Times New Roman" w:hAnsi="Times New Roman" w:cs="Times New Roman"/>
          <w:sz w:val="24"/>
          <w:szCs w:val="24"/>
          <w:shd w:val="clear" w:color="auto" w:fill="FEFEFE"/>
        </w:rPr>
        <w:t xml:space="preserve">s pelos modelos VAR. Em primeiro lugar, um aumento da participação dos lucros na renda tem efeitos positivos, tanto sobre o crescimento econômico quanto sobre a taxa de utilização da capacidade instalada, o que sugere um regime de crescimento puxado pelos lucros. Em segundo lugar, um aumento da participação dos lucros na renda afeta positivamente tanto a relação entre </w:t>
      </w:r>
      <w:r>
        <w:rPr>
          <w:rFonts w:ascii="Times New Roman" w:hAnsi="Times New Roman" w:cs="Times New Roman"/>
          <w:sz w:val="24"/>
          <w:szCs w:val="24"/>
          <w:shd w:val="clear" w:color="auto" w:fill="FEFEFE"/>
        </w:rPr>
        <w:t>o</w:t>
      </w:r>
      <w:r w:rsidRPr="008C22BC">
        <w:rPr>
          <w:rFonts w:ascii="Times New Roman" w:hAnsi="Times New Roman" w:cs="Times New Roman"/>
          <w:sz w:val="24"/>
          <w:szCs w:val="24"/>
          <w:shd w:val="clear" w:color="auto" w:fill="FEFEFE"/>
        </w:rPr>
        <w:t xml:space="preserve"> produ</w:t>
      </w:r>
      <w:r>
        <w:rPr>
          <w:rFonts w:ascii="Times New Roman" w:hAnsi="Times New Roman" w:cs="Times New Roman"/>
          <w:sz w:val="24"/>
          <w:szCs w:val="24"/>
          <w:shd w:val="clear" w:color="auto" w:fill="FEFEFE"/>
        </w:rPr>
        <w:t>to observado</w:t>
      </w:r>
      <w:r w:rsidRPr="008C22BC">
        <w:rPr>
          <w:rFonts w:ascii="Times New Roman" w:hAnsi="Times New Roman" w:cs="Times New Roman"/>
          <w:sz w:val="24"/>
          <w:szCs w:val="24"/>
          <w:shd w:val="clear" w:color="auto" w:fill="FEFEFE"/>
        </w:rPr>
        <w:t xml:space="preserve"> e o produto potencial quanto a acumulação de capital, o que reforça o resultado anterior. Em terceiro lugar, choques positivos na taxa de utilização da capacidade instalada afetam positivamente tanto o crescimento econômico quanto a acumulação de capital através do efeito acelerador. </w:t>
      </w:r>
    </w:p>
    <w:p w:rsidR="008C22BC" w:rsidRPr="008C22BC" w:rsidRDefault="008C22BC" w:rsidP="008C22BC">
      <w:pPr>
        <w:spacing w:line="240" w:lineRule="auto"/>
        <w:jc w:val="both"/>
        <w:rPr>
          <w:rFonts w:ascii="Times New Roman" w:hAnsi="Times New Roman" w:cs="Times New Roman"/>
          <w:b/>
          <w:sz w:val="24"/>
          <w:szCs w:val="24"/>
        </w:rPr>
      </w:pPr>
      <w:r w:rsidRPr="00EA3FCE">
        <w:rPr>
          <w:rFonts w:ascii="Times New Roman" w:hAnsi="Times New Roman" w:cs="Times New Roman"/>
          <w:b/>
          <w:sz w:val="24"/>
          <w:szCs w:val="24"/>
          <w:shd w:val="clear" w:color="auto" w:fill="FEFEFE"/>
        </w:rPr>
        <w:t xml:space="preserve">Palavras-chave: </w:t>
      </w:r>
      <w:r w:rsidRPr="008C22BC">
        <w:rPr>
          <w:rFonts w:ascii="Times New Roman" w:hAnsi="Times New Roman" w:cs="Times New Roman"/>
          <w:sz w:val="24"/>
          <w:szCs w:val="24"/>
          <w:shd w:val="clear" w:color="auto" w:fill="FEFEFE"/>
        </w:rPr>
        <w:t>distribuição de renda, regimes de crescimento, economia brasileira.</w:t>
      </w:r>
    </w:p>
    <w:p w:rsidR="00B24A16" w:rsidRDefault="00B24A16" w:rsidP="00784AF0">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B24A16" w:rsidRDefault="00B24A16" w:rsidP="00784AF0">
      <w:pPr>
        <w:spacing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pt-BR"/>
        </w:rPr>
        <w:t xml:space="preserve">The main purpose of this paper is to investigate </w:t>
      </w:r>
      <w:r w:rsidR="003A2631">
        <w:rPr>
          <w:rFonts w:ascii="Times New Roman" w:eastAsia="Times New Roman" w:hAnsi="Times New Roman" w:cs="Times New Roman"/>
          <w:sz w:val="24"/>
          <w:szCs w:val="24"/>
          <w:lang w:val="en-US" w:eastAsia="pt-BR"/>
        </w:rPr>
        <w:t xml:space="preserve">empirically </w:t>
      </w:r>
      <w:r>
        <w:rPr>
          <w:rFonts w:ascii="Times New Roman" w:eastAsia="Times New Roman" w:hAnsi="Times New Roman" w:cs="Times New Roman"/>
          <w:sz w:val="24"/>
          <w:szCs w:val="24"/>
          <w:lang w:val="en-US" w:eastAsia="pt-BR"/>
        </w:rPr>
        <w:t xml:space="preserve">whether the Brazilian economy was profit-led or wage-led in the period 1970-2008. To this end, a canonical </w:t>
      </w:r>
      <w:r w:rsidR="00C77EDC">
        <w:rPr>
          <w:rFonts w:ascii="Times New Roman" w:eastAsia="Times New Roman" w:hAnsi="Times New Roman" w:cs="Times New Roman"/>
          <w:sz w:val="24"/>
          <w:szCs w:val="24"/>
          <w:lang w:val="en-US" w:eastAsia="pt-BR"/>
        </w:rPr>
        <w:t>P</w:t>
      </w:r>
      <w:r>
        <w:rPr>
          <w:rFonts w:ascii="Times New Roman" w:eastAsia="Times New Roman" w:hAnsi="Times New Roman" w:cs="Times New Roman"/>
          <w:sz w:val="24"/>
          <w:szCs w:val="24"/>
          <w:lang w:val="en-US" w:eastAsia="pt-BR"/>
        </w:rPr>
        <w:t>ost-Kaleckian macro model is presented and</w:t>
      </w:r>
      <w:r w:rsidR="00B66642">
        <w:rPr>
          <w:rFonts w:ascii="Times New Roman" w:eastAsia="Times New Roman" w:hAnsi="Times New Roman" w:cs="Times New Roman"/>
          <w:sz w:val="24"/>
          <w:szCs w:val="24"/>
          <w:lang w:val="en-US" w:eastAsia="pt-BR"/>
        </w:rPr>
        <w:t xml:space="preserve">, based on this </w:t>
      </w:r>
      <w:proofErr w:type="gramStart"/>
      <w:r w:rsidR="00B66642">
        <w:rPr>
          <w:rFonts w:ascii="Times New Roman" w:eastAsia="Times New Roman" w:hAnsi="Times New Roman" w:cs="Times New Roman"/>
          <w:sz w:val="24"/>
          <w:szCs w:val="24"/>
          <w:lang w:val="en-US" w:eastAsia="pt-BR"/>
        </w:rPr>
        <w:t>framework,</w:t>
      </w:r>
      <w:proofErr w:type="gramEnd"/>
      <w:r>
        <w:rPr>
          <w:rFonts w:ascii="Times New Roman" w:eastAsia="Times New Roman" w:hAnsi="Times New Roman" w:cs="Times New Roman"/>
          <w:sz w:val="24"/>
          <w:szCs w:val="24"/>
          <w:lang w:val="en-US" w:eastAsia="pt-BR"/>
        </w:rPr>
        <w:t xml:space="preserve"> some vector autoregressive (VAR) models are estimated. The main results extracted from the generalized impulse-response functions provided by the VAR models are three. First, </w:t>
      </w:r>
      <w:r>
        <w:rPr>
          <w:rFonts w:ascii="Times New Roman" w:hAnsi="Times New Roman" w:cs="Times New Roman"/>
          <w:sz w:val="24"/>
          <w:szCs w:val="24"/>
          <w:lang w:val="en-US"/>
        </w:rPr>
        <w:t>a positive profit share innovation affect</w:t>
      </w:r>
      <w:r w:rsidR="00C05EDA">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same direction, both economic growth and </w:t>
      </w:r>
      <w:r w:rsidR="009F1ABB">
        <w:rPr>
          <w:rFonts w:ascii="Times New Roman" w:hAnsi="Times New Roman" w:cs="Times New Roman"/>
          <w:sz w:val="24"/>
          <w:szCs w:val="24"/>
          <w:lang w:val="en-US"/>
        </w:rPr>
        <w:t>rate</w:t>
      </w:r>
      <w:r>
        <w:rPr>
          <w:rFonts w:ascii="Times New Roman" w:hAnsi="Times New Roman" w:cs="Times New Roman"/>
          <w:sz w:val="24"/>
          <w:szCs w:val="24"/>
          <w:lang w:val="en-US"/>
        </w:rPr>
        <w:t xml:space="preserve"> of capacity utilization, suggesting a profit-led pattern. Second, a profit share shock affect</w:t>
      </w:r>
      <w:r w:rsidR="003A2631">
        <w:rPr>
          <w:rFonts w:ascii="Times New Roman" w:hAnsi="Times New Roman" w:cs="Times New Roman"/>
          <w:sz w:val="24"/>
          <w:szCs w:val="24"/>
          <w:lang w:val="en-US"/>
        </w:rPr>
        <w:t>s</w:t>
      </w:r>
      <w:r>
        <w:rPr>
          <w:rFonts w:ascii="Times New Roman" w:hAnsi="Times New Roman" w:cs="Times New Roman"/>
          <w:sz w:val="24"/>
          <w:szCs w:val="24"/>
          <w:lang w:val="en-US"/>
        </w:rPr>
        <w:t xml:space="preserve"> positively both the ratio between actual and potential output and the capital accumulation, which reinforce the previous result. Third, a capacity utilization shock</w:t>
      </w:r>
      <w:r w:rsidR="00562788">
        <w:rPr>
          <w:rFonts w:ascii="Times New Roman" w:hAnsi="Times New Roman" w:cs="Times New Roman"/>
          <w:sz w:val="24"/>
          <w:szCs w:val="24"/>
          <w:lang w:val="en-US"/>
        </w:rPr>
        <w:t xml:space="preserve"> is shown to positively affect both the output growth and the capital accumulation </w:t>
      </w:r>
      <w:r>
        <w:rPr>
          <w:rFonts w:ascii="Times New Roman" w:hAnsi="Times New Roman" w:cs="Times New Roman"/>
          <w:sz w:val="24"/>
          <w:szCs w:val="24"/>
          <w:lang w:val="en-US"/>
        </w:rPr>
        <w:t xml:space="preserve">through </w:t>
      </w:r>
      <w:r w:rsidR="00BD518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accelerator effect. </w:t>
      </w:r>
    </w:p>
    <w:p w:rsidR="00B24A16" w:rsidRDefault="00B24A16" w:rsidP="00784AF0">
      <w:pPr>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income distribution, growth regime, Brazilian economy.   </w:t>
      </w:r>
    </w:p>
    <w:p w:rsidR="00B24A16" w:rsidRDefault="00B24A16" w:rsidP="00784AF0">
      <w:pPr>
        <w:spacing w:line="240" w:lineRule="auto"/>
        <w:rPr>
          <w:rFonts w:ascii="Times New Roman" w:hAnsi="Times New Roman" w:cs="Times New Roman"/>
          <w:b/>
          <w:sz w:val="24"/>
          <w:szCs w:val="24"/>
        </w:rPr>
      </w:pPr>
      <w:r>
        <w:rPr>
          <w:rFonts w:ascii="Times New Roman" w:hAnsi="Times New Roman" w:cs="Times New Roman"/>
          <w:b/>
          <w:sz w:val="24"/>
          <w:szCs w:val="24"/>
        </w:rPr>
        <w:t>JEL classification:</w:t>
      </w:r>
      <w:r>
        <w:rPr>
          <w:rFonts w:ascii="Times New Roman" w:hAnsi="Times New Roman" w:cs="Times New Roman"/>
          <w:sz w:val="24"/>
          <w:szCs w:val="24"/>
        </w:rPr>
        <w:t xml:space="preserve"> E12; D33; O11.</w:t>
      </w:r>
      <w:r>
        <w:rPr>
          <w:rFonts w:ascii="Times New Roman" w:hAnsi="Times New Roman" w:cs="Times New Roman"/>
          <w:b/>
          <w:sz w:val="24"/>
          <w:szCs w:val="24"/>
        </w:rPr>
        <w:t xml:space="preserve"> </w:t>
      </w:r>
    </w:p>
    <w:p w:rsidR="00EA3FCE" w:rsidRDefault="00EA3FCE" w:rsidP="00EA3FCE">
      <w:pPr>
        <w:spacing w:line="240" w:lineRule="auto"/>
        <w:jc w:val="center"/>
        <w:rPr>
          <w:rStyle w:val="Forte"/>
          <w:rFonts w:ascii="Times New Roman" w:hAnsi="Times New Roman" w:cs="Times New Roman"/>
          <w:color w:val="2B2B2B"/>
          <w:sz w:val="24"/>
          <w:szCs w:val="24"/>
          <w:shd w:val="clear" w:color="auto" w:fill="FFFFFF"/>
        </w:rPr>
      </w:pPr>
    </w:p>
    <w:p w:rsidR="00BA624A" w:rsidRPr="00EA3FCE" w:rsidRDefault="00EA3FCE" w:rsidP="00EA3FCE">
      <w:pPr>
        <w:spacing w:line="240" w:lineRule="auto"/>
        <w:jc w:val="center"/>
        <w:rPr>
          <w:rFonts w:ascii="Times New Roman" w:hAnsi="Times New Roman" w:cs="Times New Roman"/>
          <w:b/>
          <w:sz w:val="24"/>
          <w:szCs w:val="24"/>
        </w:rPr>
      </w:pPr>
      <w:r w:rsidRPr="00EA3FCE">
        <w:rPr>
          <w:rStyle w:val="Forte"/>
          <w:rFonts w:ascii="Times New Roman" w:hAnsi="Times New Roman" w:cs="Times New Roman"/>
          <w:color w:val="2B2B2B"/>
          <w:sz w:val="24"/>
          <w:szCs w:val="24"/>
          <w:shd w:val="clear" w:color="auto" w:fill="FFFFFF"/>
        </w:rPr>
        <w:t>Área 4 -</w:t>
      </w:r>
      <w:r w:rsidRPr="00EA3FCE">
        <w:rPr>
          <w:rStyle w:val="apple-converted-space"/>
          <w:rFonts w:ascii="Times New Roman" w:hAnsi="Times New Roman" w:cs="Times New Roman"/>
          <w:color w:val="2B2B2B"/>
          <w:sz w:val="24"/>
          <w:szCs w:val="24"/>
          <w:shd w:val="clear" w:color="auto" w:fill="FFFFFF"/>
        </w:rPr>
        <w:t> </w:t>
      </w:r>
      <w:r w:rsidRPr="00EA3FCE">
        <w:rPr>
          <w:rFonts w:ascii="Times New Roman" w:hAnsi="Times New Roman" w:cs="Times New Roman"/>
          <w:color w:val="2B2B2B"/>
          <w:sz w:val="24"/>
          <w:szCs w:val="24"/>
          <w:shd w:val="clear" w:color="auto" w:fill="FFFFFF"/>
        </w:rPr>
        <w:t>Macroeconomia, Economia Monetária e Finanças</w:t>
      </w:r>
      <w:r w:rsidR="00BA624A" w:rsidRPr="00EA3FCE">
        <w:rPr>
          <w:rFonts w:ascii="Times New Roman" w:hAnsi="Times New Roman" w:cs="Times New Roman"/>
          <w:b/>
          <w:sz w:val="24"/>
          <w:szCs w:val="24"/>
        </w:rPr>
        <w:br w:type="page"/>
      </w:r>
    </w:p>
    <w:p w:rsidR="00B24A16" w:rsidRDefault="00B24A16" w:rsidP="00784AF0">
      <w:pPr>
        <w:pStyle w:val="PargrafodaLista"/>
        <w:spacing w:line="240" w:lineRule="auto"/>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 Introduction</w:t>
      </w:r>
    </w:p>
    <w:p w:rsidR="00BD5183" w:rsidRDefault="00B24A16" w:rsidP="00784AF0">
      <w:pPr>
        <w:spacing w:line="240" w:lineRule="auto"/>
        <w:jc w:val="both"/>
        <w:rPr>
          <w:rFonts w:ascii="Times New Roman" w:eastAsia="Calibri" w:hAnsi="Times New Roman" w:cs="Times New Roman"/>
          <w:sz w:val="24"/>
          <w:szCs w:val="24"/>
          <w:lang w:val="en-US"/>
        </w:rPr>
      </w:pPr>
      <w:r>
        <w:rPr>
          <w:rFonts w:ascii="Times New Roman" w:hAnsi="Times New Roman" w:cs="Times New Roman"/>
          <w:sz w:val="24"/>
          <w:szCs w:val="24"/>
          <w:lang w:val="en-US"/>
        </w:rPr>
        <w:t>If the recent economic crisis has renewed the interest in issues of income distribution and economic growth in different academic circles</w:t>
      </w:r>
      <w:r w:rsidRPr="00DF0DC6">
        <w:rPr>
          <w:rFonts w:ascii="Times New Roman" w:eastAsia="Calibri" w:hAnsi="Times New Roman" w:cs="Times New Roman"/>
          <w:szCs w:val="24"/>
          <w:vertAlign w:val="superscript"/>
          <w:lang w:val="en-US"/>
        </w:rPr>
        <w:footnoteReference w:id="1"/>
      </w:r>
      <w:r>
        <w:rPr>
          <w:rFonts w:ascii="Times New Roman" w:hAnsi="Times New Roman" w:cs="Times New Roman"/>
          <w:sz w:val="24"/>
          <w:szCs w:val="24"/>
          <w:lang w:val="en-US"/>
        </w:rPr>
        <w:t xml:space="preserve">, such themes are hallmarks of the Post-Keynesian tradition. </w:t>
      </w:r>
      <w:r>
        <w:rPr>
          <w:rFonts w:ascii="Times-Roman" w:hAnsi="Times-Roman" w:cs="Times-Roman"/>
          <w:sz w:val="24"/>
          <w:szCs w:val="24"/>
          <w:lang w:val="en-US" w:eastAsia="pt-BR"/>
        </w:rPr>
        <w:t xml:space="preserve">The Kaleckian growth model – KGM hereafter – designates the growth model that was initially coined by </w:t>
      </w:r>
      <w:proofErr w:type="spellStart"/>
      <w:r>
        <w:rPr>
          <w:rFonts w:ascii="Times-Roman" w:hAnsi="Times-Roman" w:cs="Times-Roman"/>
          <w:sz w:val="24"/>
          <w:szCs w:val="24"/>
          <w:lang w:val="en-US" w:eastAsia="pt-BR"/>
        </w:rPr>
        <w:t>Kaldor</w:t>
      </w:r>
      <w:proofErr w:type="spellEnd"/>
      <w:r>
        <w:rPr>
          <w:rFonts w:ascii="Times-Roman" w:hAnsi="Times-Roman" w:cs="Times-Roman"/>
          <w:sz w:val="24"/>
          <w:szCs w:val="24"/>
          <w:lang w:val="en-US" w:eastAsia="pt-BR"/>
        </w:rPr>
        <w:t xml:space="preserve"> (1956) and Robinson (1956, 1962) and extended by Dutt (1984), Rowthorn (1982) as well as by </w:t>
      </w:r>
      <w:proofErr w:type="spellStart"/>
      <w:r>
        <w:rPr>
          <w:rFonts w:ascii="Times-Roman" w:hAnsi="Times-Roman" w:cs="Times-Roman"/>
          <w:sz w:val="24"/>
          <w:szCs w:val="24"/>
          <w:lang w:val="en-US" w:eastAsia="pt-BR"/>
        </w:rPr>
        <w:t>Bhaduri</w:t>
      </w:r>
      <w:proofErr w:type="spellEnd"/>
      <w:r>
        <w:rPr>
          <w:rFonts w:ascii="Times-Roman" w:hAnsi="Times-Roman" w:cs="Times-Roman"/>
          <w:sz w:val="24"/>
          <w:szCs w:val="24"/>
          <w:lang w:val="en-US" w:eastAsia="pt-BR"/>
        </w:rPr>
        <w:t xml:space="preserve"> and </w:t>
      </w:r>
      <w:proofErr w:type="spellStart"/>
      <w:r>
        <w:rPr>
          <w:rFonts w:ascii="Times-Roman" w:hAnsi="Times-Roman" w:cs="Times-Roman"/>
          <w:sz w:val="24"/>
          <w:szCs w:val="24"/>
          <w:lang w:val="en-US" w:eastAsia="pt-BR"/>
        </w:rPr>
        <w:t>Marglin</w:t>
      </w:r>
      <w:proofErr w:type="spellEnd"/>
      <w:r>
        <w:rPr>
          <w:rFonts w:ascii="Times-Roman" w:hAnsi="Times-Roman" w:cs="Times-Roman"/>
          <w:sz w:val="24"/>
          <w:szCs w:val="24"/>
          <w:lang w:val="en-US" w:eastAsia="pt-BR"/>
        </w:rPr>
        <w:t xml:space="preserve"> (1990). </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 xml:space="preserve">The KGM passes through three main phases that are labeled as ‘generations’. </w:t>
      </w:r>
    </w:p>
    <w:p w:rsidR="00B24A16" w:rsidRDefault="00B24A16" w:rsidP="00784AF0">
      <w:pPr>
        <w:spacing w:line="240" w:lineRule="auto"/>
        <w:ind w:firstLine="708"/>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eastAsia="pt-BR"/>
        </w:rPr>
        <w:t xml:space="preserve">Although </w:t>
      </w:r>
      <w:proofErr w:type="spellStart"/>
      <w:r>
        <w:rPr>
          <w:rFonts w:ascii="Times New Roman" w:eastAsia="Calibri" w:hAnsi="Times New Roman" w:cs="Times New Roman"/>
          <w:sz w:val="24"/>
          <w:szCs w:val="24"/>
          <w:lang w:val="en-US" w:eastAsia="pt-BR"/>
        </w:rPr>
        <w:t>Kaldor</w:t>
      </w:r>
      <w:proofErr w:type="spellEnd"/>
      <w:r>
        <w:rPr>
          <w:rFonts w:ascii="Times New Roman" w:eastAsia="Calibri" w:hAnsi="Times New Roman" w:cs="Times New Roman"/>
          <w:sz w:val="24"/>
          <w:szCs w:val="24"/>
          <w:lang w:val="en-US" w:eastAsia="pt-BR"/>
        </w:rPr>
        <w:t xml:space="preserve"> (1956) has built his seminal model on the notion of full capacity utilization,</w:t>
      </w:r>
      <w:r>
        <w:rPr>
          <w:rFonts w:ascii="Times New Roman" w:eastAsia="Calibri" w:hAnsi="Times New Roman" w:cs="Times New Roman"/>
          <w:sz w:val="24"/>
          <w:szCs w:val="24"/>
          <w:lang w:val="en-US"/>
        </w:rPr>
        <w:t xml:space="preserve"> Dutt (1984) and Rowthorn (1982), working independently, have built what is known as the second generation of the KGM by </w:t>
      </w:r>
      <w:proofErr w:type="spellStart"/>
      <w:r>
        <w:rPr>
          <w:rFonts w:ascii="Times New Roman" w:eastAsia="Calibri" w:hAnsi="Times New Roman" w:cs="Times New Roman"/>
          <w:sz w:val="24"/>
          <w:szCs w:val="24"/>
          <w:lang w:val="en-US"/>
        </w:rPr>
        <w:t>endogenizing</w:t>
      </w:r>
      <w:proofErr w:type="spellEnd"/>
      <w:r>
        <w:rPr>
          <w:rFonts w:ascii="Times New Roman" w:eastAsia="Calibri" w:hAnsi="Times New Roman" w:cs="Times New Roman"/>
          <w:sz w:val="24"/>
          <w:szCs w:val="24"/>
          <w:lang w:val="en-US"/>
        </w:rPr>
        <w:t xml:space="preserve"> the rate of capacity utilization in the lines of </w:t>
      </w:r>
      <w:proofErr w:type="spellStart"/>
      <w:r>
        <w:rPr>
          <w:rFonts w:ascii="Times New Roman" w:eastAsia="Calibri" w:hAnsi="Times New Roman" w:cs="Times New Roman"/>
          <w:sz w:val="24"/>
          <w:szCs w:val="24"/>
          <w:lang w:val="en-US"/>
        </w:rPr>
        <w:t>Steindl</w:t>
      </w:r>
      <w:proofErr w:type="spellEnd"/>
      <w:r>
        <w:rPr>
          <w:rFonts w:ascii="Times New Roman" w:eastAsia="Calibri" w:hAnsi="Times New Roman" w:cs="Times New Roman"/>
          <w:sz w:val="24"/>
          <w:szCs w:val="24"/>
          <w:lang w:val="en-US"/>
        </w:rPr>
        <w:t xml:space="preserve"> (1952). One of the main contributions of this generation is the possibility of a ‘stagnationist’ or wage-led regime in which an increase in the profit share implies a reduction in the rate of accumulation. The key assumption behind this result is that the growth rate of investment is a function of the profit rate </w:t>
      </w:r>
      <w:r w:rsidR="003A2631">
        <w:rPr>
          <w:rFonts w:ascii="Times New Roman" w:eastAsia="Calibri" w:hAnsi="Times New Roman" w:cs="Times New Roman"/>
          <w:sz w:val="24"/>
          <w:szCs w:val="24"/>
          <w:lang w:val="en-US"/>
        </w:rPr>
        <w:t>as well as</w:t>
      </w:r>
      <w:r>
        <w:rPr>
          <w:rFonts w:ascii="Times New Roman" w:eastAsia="Calibri" w:hAnsi="Times New Roman" w:cs="Times New Roman"/>
          <w:sz w:val="24"/>
          <w:szCs w:val="24"/>
          <w:lang w:val="en-US"/>
        </w:rPr>
        <w:t xml:space="preserve"> of the rate of capacity utilization.</w:t>
      </w:r>
    </w:p>
    <w:p w:rsidR="00B24A16" w:rsidRPr="00E04A86" w:rsidRDefault="00B24A16" w:rsidP="00784AF0">
      <w:pPr>
        <w:spacing w:line="240" w:lineRule="auto"/>
        <w:ind w:firstLine="708"/>
        <w:jc w:val="both"/>
        <w:rPr>
          <w:rFonts w:ascii="Times New Roman" w:eastAsia="Times New Roman" w:hAnsi="Times New Roman" w:cs="Times New Roman"/>
          <w:sz w:val="24"/>
          <w:szCs w:val="24"/>
          <w:lang w:val="en-US" w:eastAsia="pt-BR"/>
        </w:rPr>
      </w:pPr>
      <w:proofErr w:type="spellStart"/>
      <w:r>
        <w:rPr>
          <w:rFonts w:ascii="Times New Roman" w:eastAsia="Times New Roman" w:hAnsi="Times New Roman" w:cs="Times New Roman"/>
          <w:sz w:val="24"/>
          <w:szCs w:val="24"/>
          <w:lang w:val="en-US" w:eastAsia="pt-BR"/>
        </w:rPr>
        <w:t>Bhaduri</w:t>
      </w:r>
      <w:proofErr w:type="spellEnd"/>
      <w:r>
        <w:rPr>
          <w:rFonts w:ascii="Times New Roman" w:eastAsia="Times New Roman" w:hAnsi="Times New Roman" w:cs="Times New Roman"/>
          <w:sz w:val="24"/>
          <w:szCs w:val="24"/>
          <w:lang w:val="en-US" w:eastAsia="pt-BR"/>
        </w:rPr>
        <w:t xml:space="preserve"> and </w:t>
      </w:r>
      <w:proofErr w:type="spellStart"/>
      <w:r>
        <w:rPr>
          <w:rFonts w:ascii="Times New Roman" w:eastAsia="Times New Roman" w:hAnsi="Times New Roman" w:cs="Times New Roman"/>
          <w:sz w:val="24"/>
          <w:szCs w:val="24"/>
          <w:lang w:val="en-US" w:eastAsia="pt-BR"/>
        </w:rPr>
        <w:t>Marglin</w:t>
      </w:r>
      <w:proofErr w:type="spellEnd"/>
      <w:r>
        <w:rPr>
          <w:rFonts w:ascii="Times New Roman" w:eastAsia="Times New Roman" w:hAnsi="Times New Roman" w:cs="Times New Roman"/>
          <w:sz w:val="24"/>
          <w:szCs w:val="24"/>
          <w:lang w:val="en-US" w:eastAsia="pt-BR"/>
        </w:rPr>
        <w:t xml:space="preserve"> (1990) have extended this view by envisaging the possibility of an ‘</w:t>
      </w:r>
      <w:proofErr w:type="spellStart"/>
      <w:r>
        <w:rPr>
          <w:rFonts w:ascii="Times New Roman" w:eastAsia="Times New Roman" w:hAnsi="Times New Roman" w:cs="Times New Roman"/>
          <w:sz w:val="24"/>
          <w:szCs w:val="24"/>
          <w:lang w:val="en-US" w:eastAsia="pt-BR"/>
        </w:rPr>
        <w:t>exhilaritionist</w:t>
      </w:r>
      <w:proofErr w:type="spellEnd"/>
      <w:r>
        <w:rPr>
          <w:rFonts w:ascii="Times New Roman" w:eastAsia="Times New Roman" w:hAnsi="Times New Roman" w:cs="Times New Roman"/>
          <w:sz w:val="24"/>
          <w:szCs w:val="24"/>
          <w:lang w:val="en-US" w:eastAsia="pt-BR"/>
        </w:rPr>
        <w:t>’ or profit-led regime that can be obtained by substituting the profit rate by the profit share in the investment equation. One of the properties of the third generation model, as it became known, is the possibility of a ‘non-stagnationist’, or profit-led regime in which eventual</w:t>
      </w:r>
      <w:r w:rsidR="00C05EDA">
        <w:rPr>
          <w:rFonts w:ascii="Times New Roman" w:eastAsia="Times New Roman" w:hAnsi="Times New Roman" w:cs="Times New Roman"/>
          <w:sz w:val="24"/>
          <w:szCs w:val="24"/>
          <w:lang w:val="en-US" w:eastAsia="pt-BR"/>
        </w:rPr>
        <w:t>ly</w:t>
      </w:r>
      <w:r>
        <w:rPr>
          <w:rFonts w:ascii="Times New Roman" w:eastAsia="Times New Roman" w:hAnsi="Times New Roman" w:cs="Times New Roman"/>
          <w:sz w:val="24"/>
          <w:szCs w:val="24"/>
          <w:lang w:val="en-US" w:eastAsia="pt-BR"/>
        </w:rPr>
        <w:t xml:space="preserve"> falls in consumption due to a lower real wage are overcompensated by an increase in investment led by a profit share expansion. </w:t>
      </w:r>
    </w:p>
    <w:p w:rsidR="00B24A16" w:rsidRDefault="00B24A16" w:rsidP="00784AF0">
      <w:pPr>
        <w:autoSpaceDE w:val="0"/>
        <w:autoSpaceDN w:val="0"/>
        <w:adjustRightInd w:val="0"/>
        <w:spacing w:after="0" w:line="240" w:lineRule="auto"/>
        <w:ind w:firstLine="708"/>
        <w:jc w:val="both"/>
        <w:rPr>
          <w:rFonts w:ascii="Times New Roman" w:hAnsi="Times New Roman"/>
          <w:sz w:val="24"/>
          <w:szCs w:val="24"/>
          <w:lang w:val="en-US"/>
        </w:rPr>
      </w:pPr>
      <w:r>
        <w:rPr>
          <w:rFonts w:ascii="Times New Roman" w:hAnsi="Times New Roman" w:cs="Times New Roman"/>
          <w:sz w:val="24"/>
          <w:szCs w:val="24"/>
          <w:lang w:val="en-US"/>
        </w:rPr>
        <w:t xml:space="preserve">Meanwhile, on the empirical front, a bourgeoning literature documenting a stagnation trend accompanied by an increase in the profit share has been observed in many economies worldwide, which shows that </w:t>
      </w:r>
      <w:r>
        <w:rPr>
          <w:rFonts w:ascii="TimesNewRomanPSMT" w:hAnsi="TimesNewRomanPSMT" w:cs="TimesNewRomanPSMT"/>
          <w:sz w:val="24"/>
          <w:szCs w:val="24"/>
          <w:lang w:val="en-US"/>
        </w:rPr>
        <w:t>a decrease in the wage share may be behind the deceleration of growth in many countries</w:t>
      </w:r>
      <w:r w:rsidR="003A2631">
        <w:rPr>
          <w:rFonts w:ascii="TimesNewRomanPSMT" w:hAnsi="TimesNewRomanPSMT" w:cs="TimesNewRomanPSMT"/>
          <w:sz w:val="24"/>
          <w:szCs w:val="24"/>
          <w:lang w:val="en-US"/>
        </w:rPr>
        <w:t xml:space="preserve"> [see </w:t>
      </w:r>
      <w:r w:rsidR="003A2631" w:rsidRPr="003A2631">
        <w:rPr>
          <w:rFonts w:ascii="TimesNewRomanPSMT" w:hAnsi="TimesNewRomanPSMT" w:cs="TimesNewRomanPSMT"/>
          <w:sz w:val="24"/>
          <w:szCs w:val="24"/>
          <w:lang w:val="en-GB"/>
        </w:rPr>
        <w:t xml:space="preserve">among others, </w:t>
      </w:r>
      <w:proofErr w:type="spellStart"/>
      <w:r w:rsidR="003A2631" w:rsidRPr="003A2631">
        <w:rPr>
          <w:rFonts w:ascii="TimesNewRomanPSMT" w:hAnsi="TimesNewRomanPSMT" w:cs="TimesNewRomanPSMT"/>
          <w:sz w:val="24"/>
          <w:szCs w:val="24"/>
          <w:lang w:val="en-GB"/>
        </w:rPr>
        <w:t>Stockhammer</w:t>
      </w:r>
      <w:proofErr w:type="spellEnd"/>
      <w:r w:rsidR="003A2631">
        <w:rPr>
          <w:rFonts w:ascii="TimesNewRomanPSMT" w:hAnsi="TimesNewRomanPSMT" w:cs="TimesNewRomanPSMT"/>
          <w:sz w:val="24"/>
          <w:szCs w:val="24"/>
          <w:lang w:val="en-GB"/>
        </w:rPr>
        <w:t xml:space="preserve"> (</w:t>
      </w:r>
      <w:r w:rsidR="003A2631" w:rsidRPr="003A2631">
        <w:rPr>
          <w:rFonts w:ascii="TimesNewRomanPSMT" w:hAnsi="TimesNewRomanPSMT" w:cs="TimesNewRomanPSMT"/>
          <w:sz w:val="24"/>
          <w:szCs w:val="24"/>
          <w:lang w:val="en-GB"/>
        </w:rPr>
        <w:t>2009</w:t>
      </w:r>
      <w:r w:rsidR="003A2631">
        <w:rPr>
          <w:rFonts w:ascii="TimesNewRomanPSMT" w:hAnsi="TimesNewRomanPSMT" w:cs="TimesNewRomanPSMT"/>
          <w:sz w:val="24"/>
          <w:szCs w:val="24"/>
          <w:lang w:val="en-GB"/>
        </w:rPr>
        <w:t>),</w:t>
      </w:r>
      <w:r w:rsidR="003A2631" w:rsidRPr="003A2631">
        <w:rPr>
          <w:rFonts w:ascii="TimesNewRomanPSMT" w:hAnsi="TimesNewRomanPSMT" w:cs="TimesNewRomanPSMT"/>
          <w:sz w:val="24"/>
          <w:szCs w:val="24"/>
          <w:lang w:val="en-GB"/>
        </w:rPr>
        <w:t xml:space="preserve"> Storm and </w:t>
      </w:r>
      <w:proofErr w:type="spellStart"/>
      <w:r w:rsidR="003A2631" w:rsidRPr="003A2631">
        <w:rPr>
          <w:rFonts w:ascii="TimesNewRomanPSMT" w:hAnsi="TimesNewRomanPSMT" w:cs="TimesNewRomanPSMT"/>
          <w:sz w:val="24"/>
          <w:szCs w:val="24"/>
          <w:lang w:val="en-GB"/>
        </w:rPr>
        <w:t>Naastepad</w:t>
      </w:r>
      <w:proofErr w:type="spellEnd"/>
      <w:r w:rsidR="00DF0DC6">
        <w:rPr>
          <w:rFonts w:ascii="TimesNewRomanPSMT" w:hAnsi="TimesNewRomanPSMT" w:cs="TimesNewRomanPSMT"/>
          <w:sz w:val="24"/>
          <w:szCs w:val="24"/>
          <w:lang w:val="en-GB"/>
        </w:rPr>
        <w:t xml:space="preserve"> </w:t>
      </w:r>
      <w:r w:rsidR="003A2631">
        <w:rPr>
          <w:rFonts w:ascii="TimesNewRomanPSMT" w:hAnsi="TimesNewRomanPSMT" w:cs="TimesNewRomanPSMT"/>
          <w:sz w:val="24"/>
          <w:szCs w:val="24"/>
          <w:lang w:val="en-GB"/>
        </w:rPr>
        <w:t>(</w:t>
      </w:r>
      <w:r w:rsidR="003A2631" w:rsidRPr="003A2631">
        <w:rPr>
          <w:rFonts w:ascii="TimesNewRomanPSMT" w:hAnsi="TimesNewRomanPSMT" w:cs="TimesNewRomanPSMT"/>
          <w:sz w:val="24"/>
          <w:szCs w:val="24"/>
          <w:lang w:val="en-GB"/>
        </w:rPr>
        <w:t>2012</w:t>
      </w:r>
      <w:r w:rsidR="003A2631">
        <w:rPr>
          <w:rFonts w:ascii="TimesNewRomanPSMT" w:hAnsi="TimesNewRomanPSMT" w:cs="TimesNewRomanPSMT"/>
          <w:sz w:val="24"/>
          <w:szCs w:val="24"/>
          <w:lang w:val="en-GB"/>
        </w:rPr>
        <w:t>) and</w:t>
      </w:r>
      <w:r w:rsidR="003A2631" w:rsidRPr="003A2631">
        <w:rPr>
          <w:rFonts w:ascii="TimesNewRomanPSMT" w:hAnsi="TimesNewRomanPSMT" w:cs="TimesNewRomanPSMT"/>
          <w:sz w:val="24"/>
          <w:szCs w:val="24"/>
          <w:lang w:val="en-GB"/>
        </w:rPr>
        <w:t xml:space="preserve"> Hein </w:t>
      </w:r>
      <w:r w:rsidR="003A2631">
        <w:rPr>
          <w:rFonts w:ascii="TimesNewRomanPSMT" w:hAnsi="TimesNewRomanPSMT" w:cs="TimesNewRomanPSMT"/>
          <w:sz w:val="24"/>
          <w:szCs w:val="24"/>
          <w:lang w:val="en-GB"/>
        </w:rPr>
        <w:t>(</w:t>
      </w:r>
      <w:r w:rsidR="003A2631" w:rsidRPr="003A2631">
        <w:rPr>
          <w:rFonts w:ascii="TimesNewRomanPSMT" w:hAnsi="TimesNewRomanPSMT" w:cs="TimesNewRomanPSMT"/>
          <w:sz w:val="24"/>
          <w:szCs w:val="24"/>
          <w:lang w:val="en-GB"/>
        </w:rPr>
        <w:t>2012)</w:t>
      </w:r>
      <w:r w:rsidR="003A2631">
        <w:rPr>
          <w:rFonts w:ascii="TimesNewRomanPSMT" w:hAnsi="TimesNewRomanPSMT" w:cs="TimesNewRomanPSMT"/>
          <w:sz w:val="24"/>
          <w:szCs w:val="24"/>
          <w:lang w:val="en-GB"/>
        </w:rPr>
        <w:t>]</w:t>
      </w:r>
      <w:r>
        <w:rPr>
          <w:rFonts w:ascii="TimesNewRomanPSMT" w:hAnsi="TimesNewRomanPSMT" w:cs="TimesNewRomanPSMT"/>
          <w:sz w:val="24"/>
          <w:szCs w:val="24"/>
          <w:lang w:val="en-US"/>
        </w:rPr>
        <w:t xml:space="preserve">. But </w:t>
      </w:r>
      <w:r w:rsidR="00DF0DC6" w:rsidRPr="003A2631">
        <w:rPr>
          <w:rFonts w:ascii="Times New Roman" w:hAnsi="Times New Roman" w:cs="Times New Roman"/>
          <w:sz w:val="24"/>
          <w:szCs w:val="24"/>
          <w:lang w:val="en-GB"/>
        </w:rPr>
        <w:t xml:space="preserve">we cannot say beforehand that a higher profit share may </w:t>
      </w:r>
      <w:r w:rsidR="00DF0DC6">
        <w:rPr>
          <w:rFonts w:ascii="Times New Roman" w:hAnsi="Times New Roman" w:cs="Times New Roman"/>
          <w:sz w:val="24"/>
          <w:szCs w:val="24"/>
          <w:lang w:val="en-GB"/>
        </w:rPr>
        <w:t>be harmful to e</w:t>
      </w:r>
      <w:r w:rsidR="00DF0DC6" w:rsidRPr="003A2631">
        <w:rPr>
          <w:rFonts w:ascii="Times New Roman" w:hAnsi="Times New Roman" w:cs="Times New Roman"/>
          <w:sz w:val="24"/>
          <w:szCs w:val="24"/>
          <w:lang w:val="en-GB"/>
        </w:rPr>
        <w:t>conomic growth</w:t>
      </w:r>
      <w:r w:rsidR="00DF0DC6">
        <w:rPr>
          <w:rFonts w:ascii="Times New Roman" w:hAnsi="Times New Roman" w:cs="Times New Roman"/>
          <w:sz w:val="24"/>
          <w:szCs w:val="24"/>
          <w:lang w:val="en-US"/>
        </w:rPr>
        <w:t xml:space="preserve"> and </w:t>
      </w:r>
      <w:r>
        <w:rPr>
          <w:rFonts w:ascii="Times New Roman" w:hAnsi="Times New Roman" w:cs="Times New Roman"/>
          <w:sz w:val="24"/>
          <w:szCs w:val="24"/>
          <w:lang w:val="en-US"/>
        </w:rPr>
        <w:t>in last in</w:t>
      </w:r>
      <w:r w:rsidR="003B4E17">
        <w:rPr>
          <w:rFonts w:ascii="Times New Roman" w:hAnsi="Times New Roman" w:cs="Times New Roman"/>
          <w:sz w:val="24"/>
          <w:szCs w:val="24"/>
          <w:lang w:val="en-US"/>
        </w:rPr>
        <w:t>stance the prevalence of wage-l</w:t>
      </w:r>
      <w:r>
        <w:rPr>
          <w:rFonts w:ascii="Times New Roman" w:hAnsi="Times New Roman" w:cs="Times New Roman"/>
          <w:sz w:val="24"/>
          <w:szCs w:val="24"/>
          <w:lang w:val="en-US"/>
        </w:rPr>
        <w:t>ed or profit-led regimes in particular economies is an empirical question</w:t>
      </w:r>
      <w:r w:rsidR="003A2631" w:rsidRPr="003A2631">
        <w:rPr>
          <w:rFonts w:ascii="Times New Roman" w:hAnsi="Times New Roman" w:cs="Times New Roman"/>
          <w:sz w:val="24"/>
          <w:szCs w:val="24"/>
          <w:lang w:val="en-GB"/>
        </w:rPr>
        <w:t>.</w:t>
      </w:r>
      <w:r w:rsidR="00DF0DC6">
        <w:rPr>
          <w:rFonts w:ascii="Times New Roman" w:hAnsi="Times New Roman" w:cs="Times New Roman"/>
          <w:sz w:val="24"/>
          <w:szCs w:val="24"/>
          <w:lang w:val="en-GB"/>
        </w:rPr>
        <w:t xml:space="preserve"> What we know is that l</w:t>
      </w:r>
      <w:proofErr w:type="spellStart"/>
      <w:r>
        <w:rPr>
          <w:rFonts w:ascii="Times New Roman" w:hAnsi="Times New Roman" w:cs="Times New Roman"/>
          <w:sz w:val="24"/>
          <w:szCs w:val="24"/>
          <w:lang w:val="en-US"/>
        </w:rPr>
        <w:t>arger</w:t>
      </w:r>
      <w:proofErr w:type="spellEnd"/>
      <w:r>
        <w:rPr>
          <w:rFonts w:ascii="Times New Roman" w:hAnsi="Times New Roman" w:cs="Times New Roman"/>
          <w:sz w:val="24"/>
          <w:szCs w:val="24"/>
          <w:lang w:val="en-US"/>
        </w:rPr>
        <w:t xml:space="preserve"> </w:t>
      </w:r>
      <w:r>
        <w:rPr>
          <w:rFonts w:ascii="Times New Roman" w:hAnsi="Times New Roman"/>
          <w:sz w:val="24"/>
          <w:szCs w:val="24"/>
          <w:lang w:val="en-US"/>
        </w:rPr>
        <w:t xml:space="preserve">economies such as Germany, France and US are more prone to be wage-led according to the empirical evidence presented by a number of authors such as Hein and Vogel (2008), </w:t>
      </w:r>
      <w:proofErr w:type="spellStart"/>
      <w:r>
        <w:rPr>
          <w:rFonts w:ascii="Times New Roman" w:hAnsi="Times New Roman"/>
          <w:sz w:val="24"/>
          <w:szCs w:val="24"/>
          <w:lang w:val="en-US"/>
        </w:rPr>
        <w:t>Ederer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Onaran</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Stockhammer</w:t>
      </w:r>
      <w:proofErr w:type="spellEnd"/>
      <w:r>
        <w:rPr>
          <w:rFonts w:ascii="Times New Roman" w:hAnsi="Times New Roman"/>
          <w:sz w:val="24"/>
          <w:szCs w:val="24"/>
          <w:lang w:val="en-US"/>
        </w:rPr>
        <w:t xml:space="preserve"> (2009), </w:t>
      </w:r>
      <w:proofErr w:type="spellStart"/>
      <w:r>
        <w:rPr>
          <w:rFonts w:ascii="Times New Roman" w:hAnsi="Times New Roman"/>
          <w:sz w:val="24"/>
          <w:szCs w:val="24"/>
          <w:lang w:val="en-US"/>
        </w:rPr>
        <w:t>Naastepad</w:t>
      </w:r>
      <w:proofErr w:type="spellEnd"/>
      <w:r>
        <w:rPr>
          <w:rFonts w:ascii="Times New Roman" w:hAnsi="Times New Roman"/>
          <w:sz w:val="24"/>
          <w:szCs w:val="24"/>
          <w:lang w:val="en-US"/>
        </w:rPr>
        <w:t xml:space="preserve"> and Storm (2007) and Elder and </w:t>
      </w:r>
      <w:proofErr w:type="spellStart"/>
      <w:r>
        <w:rPr>
          <w:rFonts w:ascii="Times New Roman" w:hAnsi="Times New Roman"/>
          <w:sz w:val="24"/>
          <w:szCs w:val="24"/>
          <w:lang w:val="en-US"/>
        </w:rPr>
        <w:t>Stockhammer</w:t>
      </w:r>
      <w:proofErr w:type="spellEnd"/>
      <w:r>
        <w:rPr>
          <w:rFonts w:ascii="Times New Roman" w:hAnsi="Times New Roman"/>
          <w:sz w:val="24"/>
          <w:szCs w:val="24"/>
          <w:lang w:val="en-US"/>
        </w:rPr>
        <w:t xml:space="preserve"> (2008). But the prevalence of profit-led regime is also found in smaller and more open economies such as </w:t>
      </w:r>
      <w:r>
        <w:rPr>
          <w:rFonts w:ascii="TimesNewRomanPSMT" w:hAnsi="TimesNewRomanPSMT" w:cs="TimesNewRomanPSMT"/>
          <w:sz w:val="23"/>
          <w:szCs w:val="23"/>
          <w:lang w:val="en-US"/>
        </w:rPr>
        <w:t>Austria or Netherlands</w:t>
      </w:r>
      <w:r>
        <w:rPr>
          <w:rFonts w:ascii="Times New Roman" w:hAnsi="Times New Roman"/>
          <w:sz w:val="24"/>
          <w:szCs w:val="24"/>
          <w:lang w:val="en-US"/>
        </w:rPr>
        <w:t xml:space="preserve">. </w:t>
      </w:r>
    </w:p>
    <w:p w:rsidR="00B24A16" w:rsidRDefault="00B24A16"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These results can be explained in terms of the fact that for the components of aggregate demand we have that the consumption is wage-led, while investment and net exports are profit-led. The degree of openness of an economy can determine if the profit-led component</w:t>
      </w:r>
      <w:r w:rsidR="00BD5183">
        <w:rPr>
          <w:rFonts w:ascii="Times New Roman" w:hAnsi="Times New Roman"/>
          <w:sz w:val="24"/>
          <w:szCs w:val="24"/>
          <w:lang w:val="en-US"/>
        </w:rPr>
        <w:t>s</w:t>
      </w:r>
      <w:r>
        <w:rPr>
          <w:rFonts w:ascii="Times New Roman" w:hAnsi="Times New Roman"/>
          <w:sz w:val="24"/>
          <w:szCs w:val="24"/>
          <w:lang w:val="en-US"/>
        </w:rPr>
        <w:t xml:space="preserve">, namely investment and net exports, is larger than the wage-led component, namely consumption. In larger economies, such as US, Germany and France the domestic component is large enough to offset the influence of the external sector thus giving rising to a wage-led regime. In smaller and more open economies, the influence of the external sector is sufficient to offset that of the domestic demand thus giving rise to a </w:t>
      </w:r>
      <w:r w:rsidR="00B74F7B" w:rsidRPr="00801B05">
        <w:rPr>
          <w:rFonts w:ascii="Times New Roman" w:hAnsi="Times New Roman"/>
          <w:sz w:val="24"/>
          <w:szCs w:val="24"/>
          <w:lang w:val="en-US"/>
        </w:rPr>
        <w:t>profit</w:t>
      </w:r>
      <w:r w:rsidRPr="00801B05">
        <w:rPr>
          <w:rFonts w:ascii="Times New Roman" w:hAnsi="Times New Roman"/>
          <w:sz w:val="24"/>
          <w:szCs w:val="24"/>
          <w:lang w:val="en-US"/>
        </w:rPr>
        <w:t xml:space="preserve">-led </w:t>
      </w:r>
      <w:r>
        <w:rPr>
          <w:rFonts w:ascii="Times New Roman" w:hAnsi="Times New Roman"/>
          <w:sz w:val="24"/>
          <w:szCs w:val="24"/>
          <w:lang w:val="en-US"/>
        </w:rPr>
        <w:t xml:space="preserve">regime.  </w:t>
      </w:r>
    </w:p>
    <w:p w:rsidR="00B24A16" w:rsidRDefault="00B24A16" w:rsidP="00784AF0">
      <w:pPr>
        <w:spacing w:line="24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Focusing on different effects that particular distributive set ups have on particular components on aggregate demand, Blecker (2016) shows that an increase in wages leading to a higher wage share has a two sided-effect on the economic performance. On the one hand, it has a negative effect on domestic competitiveness that may lower aggregate demand due to its </w:t>
      </w:r>
      <w:r>
        <w:rPr>
          <w:rFonts w:ascii="Times New Roman" w:eastAsia="Times New Roman" w:hAnsi="Times New Roman" w:cs="Times New Roman"/>
          <w:sz w:val="24"/>
          <w:szCs w:val="24"/>
          <w:lang w:val="en-US" w:eastAsia="pt-BR"/>
        </w:rPr>
        <w:lastRenderedPageBreak/>
        <w:t xml:space="preserve">negative effect on net exports. On the other hand, higher wages imply higher purchasing power of the class with </w:t>
      </w:r>
      <w:r w:rsidR="00C05EDA">
        <w:rPr>
          <w:rFonts w:ascii="Times New Roman" w:eastAsia="Times New Roman" w:hAnsi="Times New Roman" w:cs="Times New Roman"/>
          <w:sz w:val="24"/>
          <w:szCs w:val="24"/>
          <w:lang w:val="en-US" w:eastAsia="pt-BR"/>
        </w:rPr>
        <w:t xml:space="preserve">the </w:t>
      </w:r>
      <w:r>
        <w:rPr>
          <w:rFonts w:ascii="Times New Roman" w:eastAsia="Times New Roman" w:hAnsi="Times New Roman" w:cs="Times New Roman"/>
          <w:sz w:val="24"/>
          <w:szCs w:val="24"/>
          <w:lang w:val="en-US" w:eastAsia="pt-BR"/>
        </w:rPr>
        <w:t>higher propensity to consume, thus leading to higher</w:t>
      </w:r>
      <w:r w:rsidR="00BD51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aggregate demand. According to the author, the first effect tends to prevail in the short run while the second in the long run. In this vein, the most probable outcome in the short run is a profit-led regime and a wage-led regime in the long run</w:t>
      </w:r>
      <w:r w:rsidR="007407CB" w:rsidRPr="00DF0DC6">
        <w:rPr>
          <w:rFonts w:ascii="Times New Roman" w:eastAsia="Calibri" w:hAnsi="Times New Roman" w:cs="Times New Roman"/>
          <w:szCs w:val="24"/>
          <w:vertAlign w:val="superscript"/>
          <w:lang w:val="en-US"/>
        </w:rPr>
        <w:footnoteReference w:id="2"/>
      </w:r>
      <w:r>
        <w:rPr>
          <w:rFonts w:ascii="Times New Roman" w:eastAsia="Times New Roman" w:hAnsi="Times New Roman" w:cs="Times New Roman"/>
          <w:sz w:val="24"/>
          <w:szCs w:val="24"/>
          <w:lang w:val="en-US" w:eastAsia="pt-BR"/>
        </w:rPr>
        <w:t xml:space="preserve">. </w:t>
      </w:r>
    </w:p>
    <w:p w:rsidR="00B24A16" w:rsidRDefault="00B24A16" w:rsidP="00784AF0">
      <w:pPr>
        <w:spacing w:line="24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Although we consider this classification of key importance, some authors such as </w:t>
      </w:r>
      <w:proofErr w:type="spellStart"/>
      <w:r>
        <w:rPr>
          <w:rFonts w:ascii="Times New Roman" w:eastAsia="Times New Roman" w:hAnsi="Times New Roman" w:cs="Times New Roman"/>
          <w:sz w:val="24"/>
          <w:szCs w:val="24"/>
          <w:lang w:val="en-US" w:eastAsia="pt-BR"/>
        </w:rPr>
        <w:t>Skott</w:t>
      </w:r>
      <w:proofErr w:type="spellEnd"/>
      <w:r>
        <w:rPr>
          <w:rFonts w:ascii="Times New Roman" w:eastAsia="Times New Roman" w:hAnsi="Times New Roman" w:cs="Times New Roman"/>
          <w:sz w:val="24"/>
          <w:szCs w:val="24"/>
          <w:lang w:val="en-US" w:eastAsia="pt-BR"/>
        </w:rPr>
        <w:t xml:space="preserve"> (2015) and </w:t>
      </w:r>
      <w:proofErr w:type="spellStart"/>
      <w:r>
        <w:rPr>
          <w:rFonts w:ascii="Times New Roman" w:eastAsia="Times New Roman" w:hAnsi="Times New Roman" w:cs="Times New Roman"/>
          <w:sz w:val="24"/>
          <w:szCs w:val="24"/>
          <w:lang w:val="en-US" w:eastAsia="pt-BR"/>
        </w:rPr>
        <w:t>Razmi</w:t>
      </w:r>
      <w:proofErr w:type="spellEnd"/>
      <w:r>
        <w:rPr>
          <w:rFonts w:ascii="Times New Roman" w:eastAsia="Times New Roman" w:hAnsi="Times New Roman" w:cs="Times New Roman"/>
          <w:sz w:val="24"/>
          <w:szCs w:val="24"/>
          <w:lang w:val="en-US" w:eastAsia="pt-BR"/>
        </w:rPr>
        <w:t xml:space="preserve"> (2016) consider that much attention has been place</w:t>
      </w:r>
      <w:r w:rsidR="00C05EDA">
        <w:rPr>
          <w:rFonts w:ascii="Times New Roman" w:eastAsia="Times New Roman" w:hAnsi="Times New Roman" w:cs="Times New Roman"/>
          <w:sz w:val="24"/>
          <w:szCs w:val="24"/>
          <w:lang w:val="en-US" w:eastAsia="pt-BR"/>
        </w:rPr>
        <w:t>d</w:t>
      </w:r>
      <w:r>
        <w:rPr>
          <w:rFonts w:ascii="Times New Roman" w:eastAsia="Times New Roman" w:hAnsi="Times New Roman" w:cs="Times New Roman"/>
          <w:sz w:val="24"/>
          <w:szCs w:val="24"/>
          <w:lang w:val="en-US" w:eastAsia="pt-BR"/>
        </w:rPr>
        <w:t xml:space="preserve"> on the profit-led and wage-led regimes while, in fact, such classification disregards some other key aspects of economic growth. </w:t>
      </w:r>
      <w:proofErr w:type="spellStart"/>
      <w:r>
        <w:rPr>
          <w:rFonts w:ascii="Times New Roman" w:eastAsia="Times New Roman" w:hAnsi="Times New Roman" w:cs="Times New Roman"/>
          <w:sz w:val="24"/>
          <w:szCs w:val="24"/>
          <w:lang w:val="en-US" w:eastAsia="pt-BR"/>
        </w:rPr>
        <w:t>Skott</w:t>
      </w:r>
      <w:proofErr w:type="spellEnd"/>
      <w:r>
        <w:rPr>
          <w:rFonts w:ascii="Times New Roman" w:eastAsia="Times New Roman" w:hAnsi="Times New Roman" w:cs="Times New Roman"/>
          <w:sz w:val="24"/>
          <w:szCs w:val="24"/>
          <w:lang w:val="en-US" w:eastAsia="pt-BR"/>
        </w:rPr>
        <w:t xml:space="preserve"> (2015) for instance considers that the emphasis on determining the growth regime may not be appropriate insofar as variables such as profit share are not exogenous but endogenous to the growth process, and thus not under </w:t>
      </w:r>
      <w:r w:rsidR="00C05EDA">
        <w:rPr>
          <w:rFonts w:ascii="Times New Roman" w:eastAsia="Times New Roman" w:hAnsi="Times New Roman" w:cs="Times New Roman"/>
          <w:sz w:val="24"/>
          <w:szCs w:val="24"/>
          <w:lang w:val="en-US" w:eastAsia="pt-BR"/>
        </w:rPr>
        <w:t xml:space="preserve">the </w:t>
      </w:r>
      <w:r>
        <w:rPr>
          <w:rFonts w:ascii="Times New Roman" w:eastAsia="Times New Roman" w:hAnsi="Times New Roman" w:cs="Times New Roman"/>
          <w:sz w:val="24"/>
          <w:szCs w:val="24"/>
          <w:lang w:val="en-US" w:eastAsia="pt-BR"/>
        </w:rPr>
        <w:t>control of policy makers. He also claims that there would not be a unidirectional causation between profit share and economic growth, with exogenous shocks having either negative or positive effect on the correlation between the two variables. For Razmi (2016) the inadequacy of this debate when applied to low</w:t>
      </w:r>
      <w:r w:rsidR="00C05EDA">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income countries rests on the fact that it ignores some aspects o</w:t>
      </w:r>
      <w:r w:rsidR="00C05EDA">
        <w:rPr>
          <w:rFonts w:ascii="Times New Roman" w:eastAsia="Times New Roman" w:hAnsi="Times New Roman" w:cs="Times New Roman"/>
          <w:sz w:val="24"/>
          <w:szCs w:val="24"/>
          <w:lang w:val="en-US" w:eastAsia="pt-BR"/>
        </w:rPr>
        <w:t>f</w:t>
      </w:r>
      <w:r>
        <w:rPr>
          <w:rFonts w:ascii="Times New Roman" w:eastAsia="Times New Roman" w:hAnsi="Times New Roman" w:cs="Times New Roman"/>
          <w:sz w:val="24"/>
          <w:szCs w:val="24"/>
          <w:lang w:val="en-US" w:eastAsia="pt-BR"/>
        </w:rPr>
        <w:t xml:space="preserve"> the structure of the economy, namely the existence of non-tradable goods and shortage of capital goods. According to him, when such aspects are</w:t>
      </w:r>
      <w:r w:rsidR="00DF0DC6">
        <w:rPr>
          <w:rFonts w:ascii="Times New Roman" w:eastAsia="Times New Roman" w:hAnsi="Times New Roman" w:cs="Times New Roman"/>
          <w:sz w:val="24"/>
          <w:szCs w:val="24"/>
          <w:lang w:val="en-US" w:eastAsia="pt-BR"/>
        </w:rPr>
        <w:t xml:space="preserve"> properly</w:t>
      </w:r>
      <w:r>
        <w:rPr>
          <w:rFonts w:ascii="Times New Roman" w:eastAsia="Times New Roman" w:hAnsi="Times New Roman" w:cs="Times New Roman"/>
          <w:sz w:val="24"/>
          <w:szCs w:val="24"/>
          <w:lang w:val="en-US" w:eastAsia="pt-BR"/>
        </w:rPr>
        <w:t xml:space="preserve"> taken into account in the model the scope for wage-</w:t>
      </w:r>
      <w:proofErr w:type="spellStart"/>
      <w:r>
        <w:rPr>
          <w:rFonts w:ascii="Times New Roman" w:eastAsia="Times New Roman" w:hAnsi="Times New Roman" w:cs="Times New Roman"/>
          <w:sz w:val="24"/>
          <w:szCs w:val="24"/>
          <w:lang w:val="en-US" w:eastAsia="pt-BR"/>
        </w:rPr>
        <w:t>ledness</w:t>
      </w:r>
      <w:proofErr w:type="spellEnd"/>
      <w:r>
        <w:rPr>
          <w:rFonts w:ascii="Times New Roman" w:eastAsia="Times New Roman" w:hAnsi="Times New Roman" w:cs="Times New Roman"/>
          <w:sz w:val="24"/>
          <w:szCs w:val="24"/>
          <w:lang w:val="en-US" w:eastAsia="pt-BR"/>
        </w:rPr>
        <w:t xml:space="preserve"> vanishes. </w:t>
      </w:r>
    </w:p>
    <w:p w:rsidR="008867B8" w:rsidRPr="008867B8" w:rsidRDefault="00B24A16" w:rsidP="00784AF0">
      <w:pPr>
        <w:spacing w:line="240" w:lineRule="auto"/>
        <w:ind w:firstLine="708"/>
        <w:jc w:val="both"/>
        <w:rPr>
          <w:rFonts w:ascii="Times New Roman" w:eastAsia="Times New Roman" w:hAnsi="Times New Roman" w:cs="Times New Roman"/>
          <w:sz w:val="24"/>
          <w:szCs w:val="24"/>
          <w:lang w:val="en-GB" w:eastAsia="pt-BR"/>
        </w:rPr>
      </w:pPr>
      <w:r>
        <w:rPr>
          <w:rFonts w:ascii="Times New Roman" w:eastAsia="Times New Roman" w:hAnsi="Times New Roman" w:cs="Times New Roman"/>
          <w:sz w:val="24"/>
          <w:szCs w:val="24"/>
          <w:lang w:val="en-US" w:eastAsia="pt-BR"/>
        </w:rPr>
        <w:t>Although recognizing the relevance of such criticisms</w:t>
      </w:r>
      <w:r w:rsidR="004F5105">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the present paper intends to show that the </w:t>
      </w:r>
      <w:r w:rsidR="008867B8">
        <w:rPr>
          <w:rFonts w:ascii="Times New Roman" w:eastAsia="Times New Roman" w:hAnsi="Times New Roman" w:cs="Times New Roman"/>
          <w:sz w:val="24"/>
          <w:szCs w:val="24"/>
          <w:lang w:val="en-US" w:eastAsia="pt-BR"/>
        </w:rPr>
        <w:t>adoption of a VAR methodology to determine the growth regime of the Brazilian economy from 1970 to 2008 overcome</w:t>
      </w:r>
      <w:r w:rsidR="000D6691">
        <w:rPr>
          <w:rFonts w:ascii="Times New Roman" w:eastAsia="Times New Roman" w:hAnsi="Times New Roman" w:cs="Times New Roman"/>
          <w:sz w:val="24"/>
          <w:szCs w:val="24"/>
          <w:lang w:val="en-US" w:eastAsia="pt-BR"/>
        </w:rPr>
        <w:t>s</w:t>
      </w:r>
      <w:r w:rsidR="008867B8">
        <w:rPr>
          <w:rFonts w:ascii="Times New Roman" w:eastAsia="Times New Roman" w:hAnsi="Times New Roman" w:cs="Times New Roman"/>
          <w:sz w:val="24"/>
          <w:szCs w:val="24"/>
          <w:lang w:val="en-US" w:eastAsia="pt-BR"/>
        </w:rPr>
        <w:t xml:space="preserve"> some of the criticisms raised above. </w:t>
      </w:r>
      <w:r w:rsidR="003B2985">
        <w:rPr>
          <w:rFonts w:ascii="Times New Roman" w:eastAsia="Times New Roman" w:hAnsi="Times New Roman" w:cs="Times New Roman"/>
          <w:sz w:val="24"/>
          <w:szCs w:val="24"/>
          <w:lang w:val="en-US" w:eastAsia="pt-BR"/>
        </w:rPr>
        <w:t>This</w:t>
      </w:r>
      <w:r w:rsidR="008867B8">
        <w:rPr>
          <w:rFonts w:ascii="Times New Roman" w:eastAsia="Times New Roman" w:hAnsi="Times New Roman" w:cs="Times New Roman"/>
          <w:sz w:val="24"/>
          <w:szCs w:val="24"/>
          <w:lang w:val="en-US" w:eastAsia="pt-BR"/>
        </w:rPr>
        <w:t xml:space="preserve"> methodology</w:t>
      </w:r>
      <w:r w:rsidR="003B2985">
        <w:rPr>
          <w:rFonts w:ascii="Times New Roman" w:eastAsia="TimesNewRoman" w:hAnsi="Times New Roman" w:cs="Times New Roman"/>
          <w:sz w:val="24"/>
          <w:szCs w:val="24"/>
          <w:lang w:val="en-GB"/>
        </w:rPr>
        <w:t xml:space="preserve"> was also </w:t>
      </w:r>
      <w:r w:rsidR="000D6691">
        <w:rPr>
          <w:rFonts w:ascii="Times New Roman" w:eastAsia="TimesNewRoman" w:hAnsi="Times New Roman" w:cs="Times New Roman"/>
          <w:sz w:val="24"/>
          <w:szCs w:val="24"/>
          <w:lang w:val="en-GB"/>
        </w:rPr>
        <w:t xml:space="preserve">adopted by </w:t>
      </w:r>
      <w:proofErr w:type="spellStart"/>
      <w:r w:rsidR="000D6691">
        <w:rPr>
          <w:rFonts w:ascii="Times New Roman" w:eastAsia="TimesNewRoman" w:hAnsi="Times New Roman" w:cs="Times New Roman"/>
          <w:sz w:val="24"/>
          <w:szCs w:val="24"/>
          <w:lang w:val="en-GB"/>
        </w:rPr>
        <w:t>Onaram</w:t>
      </w:r>
      <w:proofErr w:type="spellEnd"/>
      <w:r w:rsidR="000D6691">
        <w:rPr>
          <w:rFonts w:ascii="Times New Roman" w:eastAsia="TimesNewRoman" w:hAnsi="Times New Roman" w:cs="Times New Roman"/>
          <w:sz w:val="24"/>
          <w:szCs w:val="24"/>
          <w:lang w:val="en-GB"/>
        </w:rPr>
        <w:t xml:space="preserve"> and </w:t>
      </w:r>
      <w:proofErr w:type="spellStart"/>
      <w:r w:rsidR="000D6691">
        <w:rPr>
          <w:rFonts w:ascii="Times New Roman" w:eastAsia="TimesNewRoman" w:hAnsi="Times New Roman" w:cs="Times New Roman"/>
          <w:sz w:val="24"/>
          <w:szCs w:val="24"/>
          <w:lang w:val="en-GB"/>
        </w:rPr>
        <w:t>Stockhammer</w:t>
      </w:r>
      <w:proofErr w:type="spellEnd"/>
      <w:r w:rsidR="000D6691">
        <w:rPr>
          <w:rFonts w:ascii="Times New Roman" w:eastAsia="TimesNewRoman" w:hAnsi="Times New Roman" w:cs="Times New Roman"/>
          <w:sz w:val="24"/>
          <w:szCs w:val="24"/>
          <w:lang w:val="en-GB"/>
        </w:rPr>
        <w:t xml:space="preserve"> (2004, 2006)</w:t>
      </w:r>
      <w:r w:rsidR="003B2985" w:rsidRPr="00DF0DC6">
        <w:rPr>
          <w:rFonts w:ascii="Times New Roman" w:eastAsia="Calibri" w:hAnsi="Times New Roman" w:cs="Times New Roman"/>
          <w:szCs w:val="24"/>
          <w:vertAlign w:val="superscript"/>
          <w:lang w:val="en-US"/>
        </w:rPr>
        <w:footnoteReference w:id="3"/>
      </w:r>
      <w:r w:rsidR="008867B8">
        <w:rPr>
          <w:rFonts w:ascii="Times New Roman" w:eastAsia="Times New Roman" w:hAnsi="Times New Roman" w:cs="Times New Roman"/>
          <w:sz w:val="24"/>
          <w:szCs w:val="24"/>
          <w:lang w:val="en-US" w:eastAsia="pt-BR"/>
        </w:rPr>
        <w:t xml:space="preserve"> </w:t>
      </w:r>
      <w:r w:rsidR="003B2985">
        <w:rPr>
          <w:rFonts w:ascii="Times New Roman" w:eastAsia="Times New Roman" w:hAnsi="Times New Roman" w:cs="Times New Roman"/>
          <w:sz w:val="24"/>
          <w:szCs w:val="24"/>
          <w:lang w:val="en-US" w:eastAsia="pt-BR"/>
        </w:rPr>
        <w:t xml:space="preserve">and </w:t>
      </w:r>
      <w:r w:rsidR="008867B8">
        <w:rPr>
          <w:rFonts w:ascii="Times New Roman" w:eastAsia="Times New Roman" w:hAnsi="Times New Roman" w:cs="Times New Roman"/>
          <w:sz w:val="24"/>
          <w:szCs w:val="24"/>
          <w:lang w:val="en-US" w:eastAsia="pt-BR"/>
        </w:rPr>
        <w:t xml:space="preserve">allows us to consider that </w:t>
      </w:r>
      <w:r w:rsidR="008867B8" w:rsidRPr="008867B8">
        <w:rPr>
          <w:rFonts w:ascii="Times New Roman" w:eastAsia="TimesNewRoman" w:hAnsi="Times New Roman" w:cs="Times New Roman"/>
          <w:sz w:val="24"/>
          <w:szCs w:val="24"/>
          <w:lang w:val="en-GB"/>
        </w:rPr>
        <w:t xml:space="preserve">not only demand and capital accumulation but also distribution </w:t>
      </w:r>
      <w:r w:rsidR="008867B8">
        <w:rPr>
          <w:rFonts w:ascii="Times New Roman" w:eastAsia="TimesNewRoman" w:hAnsi="Times New Roman" w:cs="Times New Roman"/>
          <w:sz w:val="24"/>
          <w:szCs w:val="24"/>
          <w:lang w:val="en-GB"/>
        </w:rPr>
        <w:t>are</w:t>
      </w:r>
      <w:r w:rsidR="008867B8" w:rsidRPr="008867B8">
        <w:rPr>
          <w:rFonts w:ascii="Times New Roman" w:eastAsia="TimesNewRoman" w:hAnsi="Times New Roman" w:cs="Times New Roman"/>
          <w:sz w:val="24"/>
          <w:szCs w:val="24"/>
          <w:lang w:val="en-GB"/>
        </w:rPr>
        <w:t xml:space="preserve"> endogenous variables</w:t>
      </w:r>
      <w:r w:rsidR="000D6691">
        <w:rPr>
          <w:rFonts w:ascii="Times New Roman" w:eastAsia="TimesNewRoman" w:hAnsi="Times New Roman" w:cs="Times New Roman"/>
          <w:sz w:val="24"/>
          <w:szCs w:val="24"/>
          <w:lang w:val="en-GB"/>
        </w:rPr>
        <w:t xml:space="preserve">, thus avoiding the </w:t>
      </w:r>
      <w:proofErr w:type="spellStart"/>
      <w:r w:rsidR="000D6691">
        <w:rPr>
          <w:rFonts w:ascii="Times New Roman" w:eastAsia="TimesNewRoman" w:hAnsi="Times New Roman" w:cs="Times New Roman"/>
          <w:sz w:val="24"/>
          <w:szCs w:val="24"/>
          <w:lang w:val="en-GB"/>
        </w:rPr>
        <w:t>Skott</w:t>
      </w:r>
      <w:proofErr w:type="spellEnd"/>
      <w:r w:rsidR="000D6691">
        <w:rPr>
          <w:rFonts w:ascii="Times New Roman" w:eastAsia="TimesNewRoman" w:hAnsi="Times New Roman" w:cs="Times New Roman"/>
          <w:sz w:val="24"/>
          <w:szCs w:val="24"/>
          <w:lang w:val="en-GB"/>
        </w:rPr>
        <w:t xml:space="preserve"> (2015) </w:t>
      </w:r>
      <w:r w:rsidR="00AC6A54">
        <w:rPr>
          <w:rFonts w:ascii="Times New Roman" w:eastAsia="TimesNewRoman" w:hAnsi="Times New Roman" w:cs="Times New Roman"/>
          <w:sz w:val="24"/>
          <w:szCs w:val="24"/>
          <w:lang w:val="en-GB"/>
        </w:rPr>
        <w:t>criticism</w:t>
      </w:r>
      <w:r w:rsidR="000D6691">
        <w:rPr>
          <w:rFonts w:ascii="Times New Roman" w:eastAsia="TimesNewRoman" w:hAnsi="Times New Roman" w:cs="Times New Roman"/>
          <w:sz w:val="24"/>
          <w:szCs w:val="24"/>
          <w:lang w:val="en-GB"/>
        </w:rPr>
        <w:t xml:space="preserve">. Besides, the Brazilian economy is better characterized as an emerging economy </w:t>
      </w:r>
      <w:r w:rsidR="003B2985">
        <w:rPr>
          <w:rFonts w:ascii="Times New Roman" w:eastAsia="TimesNewRoman" w:hAnsi="Times New Roman" w:cs="Times New Roman"/>
          <w:sz w:val="24"/>
          <w:szCs w:val="24"/>
          <w:lang w:val="en-GB"/>
        </w:rPr>
        <w:t>with important differences from the low</w:t>
      </w:r>
      <w:r w:rsidR="004F5105">
        <w:rPr>
          <w:rFonts w:ascii="Times New Roman" w:eastAsia="TimesNewRoman" w:hAnsi="Times New Roman" w:cs="Times New Roman"/>
          <w:sz w:val="24"/>
          <w:szCs w:val="24"/>
          <w:lang w:val="en-GB"/>
        </w:rPr>
        <w:t>-</w:t>
      </w:r>
      <w:r w:rsidR="003B2985">
        <w:rPr>
          <w:rFonts w:ascii="Times New Roman" w:eastAsia="TimesNewRoman" w:hAnsi="Times New Roman" w:cs="Times New Roman"/>
          <w:sz w:val="24"/>
          <w:szCs w:val="24"/>
          <w:lang w:val="en-GB"/>
        </w:rPr>
        <w:t>income economy depicted by Razmi (2016)</w:t>
      </w:r>
      <w:r w:rsidR="00AC6A54">
        <w:rPr>
          <w:rFonts w:ascii="Times New Roman" w:eastAsia="TimesNewRoman" w:hAnsi="Times New Roman" w:cs="Times New Roman"/>
          <w:sz w:val="24"/>
          <w:szCs w:val="24"/>
          <w:lang w:val="en-GB"/>
        </w:rPr>
        <w:t xml:space="preserve">. </w:t>
      </w:r>
    </w:p>
    <w:p w:rsidR="00B24A16" w:rsidRDefault="00651453" w:rsidP="00784AF0">
      <w:pPr>
        <w:spacing w:line="24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In this vein</w:t>
      </w:r>
      <w:r w:rsidR="004F5105">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t>
      </w:r>
      <w:r w:rsidR="00AC6A54">
        <w:rPr>
          <w:rFonts w:ascii="Times New Roman" w:eastAsia="Times New Roman" w:hAnsi="Times New Roman" w:cs="Times New Roman"/>
          <w:sz w:val="24"/>
          <w:szCs w:val="24"/>
          <w:lang w:val="en-US" w:eastAsia="pt-BR"/>
        </w:rPr>
        <w:t xml:space="preserve">we believe that the </w:t>
      </w:r>
      <w:r w:rsidR="00B24A16">
        <w:rPr>
          <w:rFonts w:ascii="Times New Roman" w:eastAsia="Times New Roman" w:hAnsi="Times New Roman" w:cs="Times New Roman"/>
          <w:sz w:val="24"/>
          <w:szCs w:val="24"/>
          <w:lang w:val="en-US" w:eastAsia="pt-BR"/>
        </w:rPr>
        <w:t xml:space="preserve">debate between profit-led and wage-led regimes is crucial to understand the Brazilian growth experience since 1970 until 2008. </w:t>
      </w:r>
      <w:r w:rsidR="00B24A16">
        <w:rPr>
          <w:rFonts w:ascii="Times New Roman" w:hAnsi="Times New Roman" w:cs="Times New Roman"/>
          <w:sz w:val="24"/>
          <w:szCs w:val="24"/>
          <w:lang w:val="en-US"/>
        </w:rPr>
        <w:t xml:space="preserve">During this period, the real GDP grew on average 4.55% (6.4% in the 1970-1985 period and 3.2% in the 1986-2008 period) and the labor productivity grew on average 1.75% (3.33% in the 1970-1985 period and 0.65% in the 1986-2008 period). The </w:t>
      </w:r>
      <w:r w:rsidR="00F749F4">
        <w:rPr>
          <w:rFonts w:ascii="Times New Roman" w:hAnsi="Times New Roman" w:cs="Times New Roman"/>
          <w:sz w:val="24"/>
          <w:szCs w:val="24"/>
          <w:lang w:val="en-US"/>
        </w:rPr>
        <w:t>degree</w:t>
      </w:r>
      <w:r w:rsidR="00B24A16">
        <w:rPr>
          <w:rFonts w:ascii="Times New Roman" w:hAnsi="Times New Roman" w:cs="Times New Roman"/>
          <w:sz w:val="24"/>
          <w:szCs w:val="24"/>
          <w:lang w:val="en-US"/>
        </w:rPr>
        <w:t xml:space="preserve"> of industrial capacity utilization and the profit-share float around 81.5% and 57.8%, respectively.</w:t>
      </w:r>
      <w:r w:rsidR="00B24A16">
        <w:rPr>
          <w:rFonts w:ascii="Times New Roman" w:eastAsia="Times New Roman" w:hAnsi="Times New Roman" w:cs="Times New Roman"/>
          <w:sz w:val="24"/>
          <w:szCs w:val="24"/>
          <w:lang w:val="en-US" w:eastAsia="pt-BR"/>
        </w:rPr>
        <w:t xml:space="preserve">  </w:t>
      </w:r>
    </w:p>
    <w:p w:rsidR="009F190D" w:rsidRPr="009F190D" w:rsidRDefault="009F190D" w:rsidP="00784AF0">
      <w:pPr>
        <w:spacing w:after="120" w:line="240" w:lineRule="auto"/>
        <w:ind w:firstLine="708"/>
        <w:jc w:val="both"/>
        <w:rPr>
          <w:rFonts w:ascii="Times New Roman" w:eastAsia="Calibri" w:hAnsi="Times New Roman" w:cs="Times New Roman"/>
          <w:sz w:val="24"/>
          <w:szCs w:val="24"/>
          <w:shd w:val="clear" w:color="auto" w:fill="FFFFFF"/>
          <w:lang w:val="en-GB"/>
        </w:rPr>
      </w:pPr>
      <w:r>
        <w:rPr>
          <w:rFonts w:ascii="Times New Roman" w:eastAsia="Times New Roman" w:hAnsi="Times New Roman" w:cs="Times New Roman"/>
          <w:sz w:val="24"/>
          <w:szCs w:val="24"/>
          <w:lang w:val="en-US" w:eastAsia="pt-BR"/>
        </w:rPr>
        <w:t>It is important to take into account th</w:t>
      </w:r>
      <w:r w:rsidR="00BD5183">
        <w:rPr>
          <w:rFonts w:ascii="Times New Roman" w:eastAsia="Times New Roman" w:hAnsi="Times New Roman" w:cs="Times New Roman"/>
          <w:sz w:val="24"/>
          <w:szCs w:val="24"/>
          <w:lang w:val="en-US" w:eastAsia="pt-BR"/>
        </w:rPr>
        <w:t>at during the period under consideration, the Brazilian economy faced a transition from a closed to a more open economy due to the</w:t>
      </w:r>
      <w:r>
        <w:rPr>
          <w:rFonts w:ascii="Times New Roman" w:eastAsia="Times New Roman" w:hAnsi="Times New Roman" w:cs="Times New Roman"/>
          <w:sz w:val="24"/>
          <w:szCs w:val="24"/>
          <w:lang w:val="en-US" w:eastAsia="pt-BR"/>
        </w:rPr>
        <w:t xml:space="preserve"> </w:t>
      </w:r>
      <w:r w:rsidR="007E1117" w:rsidRPr="009F190D">
        <w:rPr>
          <w:rFonts w:ascii="Times New Roman" w:eastAsia="Times New Roman" w:hAnsi="Times New Roman" w:cs="Times New Roman"/>
          <w:sz w:val="24"/>
          <w:szCs w:val="24"/>
          <w:lang w:val="en-US" w:eastAsia="pt-BR"/>
        </w:rPr>
        <w:t xml:space="preserve">trade liberalization process that </w:t>
      </w:r>
      <w:r w:rsidR="00FE1913" w:rsidRPr="009F190D">
        <w:rPr>
          <w:rFonts w:ascii="Times New Roman" w:eastAsia="Times New Roman" w:hAnsi="Times New Roman" w:cs="Times New Roman"/>
          <w:sz w:val="24"/>
          <w:szCs w:val="24"/>
          <w:lang w:val="en-US" w:eastAsia="pt-BR"/>
        </w:rPr>
        <w:t>began</w:t>
      </w:r>
      <w:r w:rsidR="007E1117" w:rsidRPr="009F190D">
        <w:rPr>
          <w:rFonts w:ascii="Times New Roman" w:eastAsia="Times New Roman" w:hAnsi="Times New Roman" w:cs="Times New Roman"/>
          <w:sz w:val="24"/>
          <w:szCs w:val="24"/>
          <w:lang w:val="en-US" w:eastAsia="pt-BR"/>
        </w:rPr>
        <w:t xml:space="preserve"> </w:t>
      </w:r>
      <w:r w:rsidR="00FE1913" w:rsidRPr="009F190D">
        <w:rPr>
          <w:rFonts w:ascii="Times New Roman" w:eastAsia="Times New Roman" w:hAnsi="Times New Roman" w:cs="Times New Roman"/>
          <w:sz w:val="24"/>
          <w:szCs w:val="24"/>
          <w:lang w:val="en-US" w:eastAsia="pt-BR"/>
        </w:rPr>
        <w:t xml:space="preserve">in the end of eighties but that took place </w:t>
      </w:r>
      <w:r w:rsidR="007E1117" w:rsidRPr="009F190D">
        <w:rPr>
          <w:rFonts w:ascii="Times New Roman" w:eastAsia="Times New Roman" w:hAnsi="Times New Roman" w:cs="Times New Roman"/>
          <w:sz w:val="24"/>
          <w:szCs w:val="24"/>
          <w:lang w:val="en-US" w:eastAsia="pt-BR"/>
        </w:rPr>
        <w:t>mainly in the nineties</w:t>
      </w:r>
      <w:r w:rsidR="00FE1913" w:rsidRPr="009F190D">
        <w:rPr>
          <w:rFonts w:ascii="Times New Roman" w:eastAsia="Times New Roman" w:hAnsi="Times New Roman" w:cs="Times New Roman"/>
          <w:sz w:val="24"/>
          <w:szCs w:val="24"/>
          <w:lang w:val="en-US" w:eastAsia="pt-BR"/>
        </w:rPr>
        <w:t xml:space="preserve">. Before that, namely from 1970-1988, </w:t>
      </w:r>
      <w:r w:rsidR="00FE1913" w:rsidRPr="009F190D">
        <w:rPr>
          <w:rFonts w:ascii="Times New Roman" w:hAnsi="Times New Roman" w:cs="Times New Roman"/>
          <w:sz w:val="24"/>
          <w:szCs w:val="24"/>
          <w:lang w:val="en-US"/>
        </w:rPr>
        <w:t>the import substitution and protection of infant industries were the springboards of the Brazilian strategy of economic growth</w:t>
      </w:r>
      <w:r w:rsidR="003B54F3">
        <w:rPr>
          <w:rFonts w:ascii="Times New Roman" w:hAnsi="Times New Roman" w:cs="Times New Roman"/>
          <w:sz w:val="24"/>
          <w:szCs w:val="24"/>
          <w:lang w:val="en-US"/>
        </w:rPr>
        <w:t xml:space="preserve"> [</w:t>
      </w:r>
      <w:r w:rsidR="003B54F3" w:rsidRPr="003B54F3">
        <w:rPr>
          <w:rFonts w:ascii="Times New Roman" w:hAnsi="Times New Roman" w:cs="Times New Roman"/>
          <w:sz w:val="24"/>
          <w:szCs w:val="24"/>
          <w:lang w:val="en-US"/>
        </w:rPr>
        <w:t>see</w:t>
      </w:r>
      <w:r w:rsidR="003B54F3">
        <w:rPr>
          <w:rFonts w:ascii="Times New Roman" w:hAnsi="Times New Roman" w:cs="Times New Roman"/>
          <w:sz w:val="24"/>
          <w:szCs w:val="24"/>
          <w:lang w:val="en-US"/>
        </w:rPr>
        <w:t xml:space="preserve"> Araujo et. al (2015)]</w:t>
      </w:r>
      <w:r w:rsidR="00FE1913" w:rsidRPr="009F190D">
        <w:rPr>
          <w:rFonts w:ascii="Times New Roman" w:hAnsi="Times New Roman" w:cs="Times New Roman"/>
          <w:sz w:val="24"/>
          <w:szCs w:val="24"/>
          <w:lang w:val="en-US"/>
        </w:rPr>
        <w:t xml:space="preserve">. From 1989-2002, a period post-liberalization was characterized by </w:t>
      </w:r>
      <w:r w:rsidR="00FE1913" w:rsidRPr="009F190D">
        <w:rPr>
          <w:rFonts w:ascii="Times New Roman" w:hAnsi="Times New Roman" w:cs="Times New Roman"/>
          <w:sz w:val="24"/>
          <w:szCs w:val="24"/>
          <w:shd w:val="clear" w:color="auto" w:fill="FFFFFF"/>
          <w:lang w:val="en-GB"/>
        </w:rPr>
        <w:t>low and unstable growth rates and poor performance in terms of exports.</w:t>
      </w:r>
      <w:r w:rsidR="00FE1913" w:rsidRPr="009F190D">
        <w:rPr>
          <w:rFonts w:ascii="Times New Roman" w:eastAsia="Calibri" w:hAnsi="Times New Roman" w:cs="Times New Roman"/>
          <w:sz w:val="24"/>
          <w:szCs w:val="24"/>
          <w:shd w:val="clear" w:color="auto" w:fill="FFFFFF"/>
          <w:lang w:val="en-GB"/>
        </w:rPr>
        <w:t xml:space="preserve"> This scenario contrasts with the period from 2002-2008, </w:t>
      </w:r>
      <w:r w:rsidRPr="009F190D">
        <w:rPr>
          <w:rFonts w:ascii="Times New Roman" w:eastAsia="Calibri" w:hAnsi="Times New Roman" w:cs="Times New Roman"/>
          <w:sz w:val="24"/>
          <w:szCs w:val="24"/>
          <w:shd w:val="clear" w:color="auto" w:fill="FFFFFF"/>
          <w:lang w:val="en-GB"/>
        </w:rPr>
        <w:t xml:space="preserve">when terms of trade soared and the current account was in surplus. </w:t>
      </w:r>
      <w:r w:rsidR="003B54F3">
        <w:rPr>
          <w:rFonts w:ascii="Times New Roman" w:eastAsia="Calibri" w:hAnsi="Times New Roman" w:cs="Times New Roman"/>
          <w:sz w:val="24"/>
          <w:szCs w:val="24"/>
          <w:shd w:val="clear" w:color="auto" w:fill="FFFFFF"/>
          <w:lang w:val="en-GB"/>
        </w:rPr>
        <w:t>Although</w:t>
      </w:r>
      <w:r w:rsidRPr="009F190D">
        <w:rPr>
          <w:rFonts w:ascii="Times New Roman" w:eastAsia="Calibri" w:hAnsi="Times New Roman" w:cs="Times New Roman"/>
          <w:sz w:val="24"/>
          <w:szCs w:val="24"/>
          <w:shd w:val="clear" w:color="auto" w:fill="FFFFFF"/>
          <w:lang w:val="en-GB"/>
        </w:rPr>
        <w:t xml:space="preserve"> exports may be an important aspect to understand the Brazilian growth experience in the 2000’s, </w:t>
      </w:r>
      <w:r w:rsidRPr="009F190D">
        <w:rPr>
          <w:rFonts w:ascii="Times New Roman" w:eastAsia="Calibri" w:hAnsi="Times New Roman" w:cs="Times New Roman"/>
          <w:sz w:val="24"/>
          <w:szCs w:val="24"/>
          <w:shd w:val="clear" w:color="auto" w:fill="FFFFFF"/>
          <w:lang w:val="en-GB"/>
        </w:rPr>
        <w:lastRenderedPageBreak/>
        <w:t>it should be also taken into account that during this period the main role in spurring growth was played by an increase in internal demand due to the redistribution of income that accrue</w:t>
      </w:r>
      <w:r w:rsidR="00CB4BAD">
        <w:rPr>
          <w:rFonts w:ascii="Times New Roman" w:eastAsia="Calibri" w:hAnsi="Times New Roman" w:cs="Times New Roman"/>
          <w:sz w:val="24"/>
          <w:szCs w:val="24"/>
          <w:shd w:val="clear" w:color="auto" w:fill="FFFFFF"/>
          <w:lang w:val="en-GB"/>
        </w:rPr>
        <w:t>s</w:t>
      </w:r>
      <w:r w:rsidRPr="009F190D">
        <w:rPr>
          <w:rFonts w:ascii="Times New Roman" w:eastAsia="Calibri" w:hAnsi="Times New Roman" w:cs="Times New Roman"/>
          <w:sz w:val="24"/>
          <w:szCs w:val="24"/>
          <w:shd w:val="clear" w:color="auto" w:fill="FFFFFF"/>
          <w:lang w:val="en-GB"/>
        </w:rPr>
        <w:t xml:space="preserve"> </w:t>
      </w:r>
      <w:r w:rsidR="004917BC">
        <w:rPr>
          <w:rFonts w:ascii="Times New Roman" w:eastAsia="Calibri" w:hAnsi="Times New Roman" w:cs="Times New Roman"/>
          <w:sz w:val="24"/>
          <w:szCs w:val="24"/>
          <w:shd w:val="clear" w:color="auto" w:fill="FFFFFF"/>
          <w:lang w:val="en-GB"/>
        </w:rPr>
        <w:t xml:space="preserve">both </w:t>
      </w:r>
      <w:r w:rsidRPr="009F190D">
        <w:rPr>
          <w:rFonts w:ascii="Times New Roman" w:eastAsia="Calibri" w:hAnsi="Times New Roman" w:cs="Times New Roman"/>
          <w:sz w:val="24"/>
          <w:szCs w:val="24"/>
          <w:shd w:val="clear" w:color="auto" w:fill="FFFFFF"/>
          <w:lang w:val="en-GB"/>
        </w:rPr>
        <w:t>from the social programmes</w:t>
      </w:r>
      <w:r w:rsidR="004917BC">
        <w:rPr>
          <w:rFonts w:ascii="Times New Roman" w:eastAsia="Calibri" w:hAnsi="Times New Roman" w:cs="Times New Roman"/>
          <w:sz w:val="24"/>
          <w:szCs w:val="24"/>
          <w:shd w:val="clear" w:color="auto" w:fill="FFFFFF"/>
          <w:lang w:val="en-GB"/>
        </w:rPr>
        <w:t>,</w:t>
      </w:r>
      <w:r w:rsidRPr="009F190D">
        <w:rPr>
          <w:rFonts w:ascii="Times New Roman" w:eastAsia="Calibri" w:hAnsi="Times New Roman" w:cs="Times New Roman"/>
          <w:sz w:val="24"/>
          <w:szCs w:val="24"/>
          <w:shd w:val="clear" w:color="auto" w:fill="FFFFFF"/>
          <w:lang w:val="en-GB"/>
        </w:rPr>
        <w:t xml:space="preserve"> such as </w:t>
      </w:r>
      <w:r>
        <w:rPr>
          <w:rFonts w:ascii="Times New Roman" w:eastAsia="Calibri" w:hAnsi="Times New Roman" w:cs="Times New Roman"/>
          <w:sz w:val="24"/>
          <w:szCs w:val="24"/>
          <w:shd w:val="clear" w:color="auto" w:fill="FFFFFF"/>
          <w:lang w:val="en-GB"/>
        </w:rPr>
        <w:t>‘</w:t>
      </w:r>
      <w:proofErr w:type="spellStart"/>
      <w:r w:rsidRPr="009F190D">
        <w:rPr>
          <w:rFonts w:ascii="Times New Roman" w:eastAsia="Calibri" w:hAnsi="Times New Roman" w:cs="Times New Roman"/>
          <w:sz w:val="24"/>
          <w:szCs w:val="24"/>
          <w:shd w:val="clear" w:color="auto" w:fill="FFFFFF"/>
          <w:lang w:val="en-GB"/>
        </w:rPr>
        <w:t>Bolsa</w:t>
      </w:r>
      <w:proofErr w:type="spellEnd"/>
      <w:r w:rsidRPr="009F190D">
        <w:rPr>
          <w:rFonts w:ascii="Times New Roman" w:eastAsia="Calibri" w:hAnsi="Times New Roman" w:cs="Times New Roman"/>
          <w:sz w:val="24"/>
          <w:szCs w:val="24"/>
          <w:shd w:val="clear" w:color="auto" w:fill="FFFFFF"/>
          <w:lang w:val="en-GB"/>
        </w:rPr>
        <w:t xml:space="preserve"> </w:t>
      </w:r>
      <w:proofErr w:type="spellStart"/>
      <w:r w:rsidRPr="009F190D">
        <w:rPr>
          <w:rFonts w:ascii="Times New Roman" w:eastAsia="Calibri" w:hAnsi="Times New Roman" w:cs="Times New Roman"/>
          <w:sz w:val="24"/>
          <w:szCs w:val="24"/>
          <w:shd w:val="clear" w:color="auto" w:fill="FFFFFF"/>
          <w:lang w:val="en-GB"/>
        </w:rPr>
        <w:t>Família</w:t>
      </w:r>
      <w:proofErr w:type="spellEnd"/>
      <w:r>
        <w:rPr>
          <w:rFonts w:ascii="Times New Roman" w:eastAsia="Calibri" w:hAnsi="Times New Roman" w:cs="Times New Roman"/>
          <w:sz w:val="24"/>
          <w:szCs w:val="24"/>
          <w:shd w:val="clear" w:color="auto" w:fill="FFFFFF"/>
          <w:lang w:val="en-GB"/>
        </w:rPr>
        <w:t>’</w:t>
      </w:r>
      <w:r w:rsidR="004917BC">
        <w:rPr>
          <w:rFonts w:ascii="Times New Roman" w:eastAsia="Calibri" w:hAnsi="Times New Roman" w:cs="Times New Roman"/>
          <w:sz w:val="24"/>
          <w:szCs w:val="24"/>
          <w:shd w:val="clear" w:color="auto" w:fill="FFFFFF"/>
          <w:lang w:val="en-GB"/>
        </w:rPr>
        <w:t xml:space="preserve">, and the </w:t>
      </w:r>
      <w:r w:rsidR="00562788">
        <w:rPr>
          <w:rFonts w:ascii="Times New Roman" w:eastAsia="Calibri" w:hAnsi="Times New Roman" w:cs="Times New Roman"/>
          <w:sz w:val="24"/>
          <w:szCs w:val="24"/>
          <w:shd w:val="clear" w:color="auto" w:fill="FFFFFF"/>
          <w:lang w:val="en-GB"/>
        </w:rPr>
        <w:t>strong</w:t>
      </w:r>
      <w:r w:rsidR="004917BC">
        <w:rPr>
          <w:rFonts w:ascii="Times New Roman" w:eastAsia="Calibri" w:hAnsi="Times New Roman" w:cs="Times New Roman"/>
          <w:sz w:val="24"/>
          <w:szCs w:val="24"/>
          <w:shd w:val="clear" w:color="auto" w:fill="FFFFFF"/>
          <w:lang w:val="en-GB"/>
        </w:rPr>
        <w:t xml:space="preserve"> minimum wage policy</w:t>
      </w:r>
      <w:r w:rsidRPr="009F190D">
        <w:rPr>
          <w:rFonts w:ascii="Times New Roman" w:eastAsia="Calibri" w:hAnsi="Times New Roman" w:cs="Times New Roman"/>
          <w:sz w:val="24"/>
          <w:szCs w:val="24"/>
          <w:shd w:val="clear" w:color="auto" w:fill="FFFFFF"/>
          <w:lang w:val="en-GB"/>
        </w:rPr>
        <w:t xml:space="preserve">. </w:t>
      </w:r>
      <w:r w:rsidR="004F6964">
        <w:rPr>
          <w:rFonts w:ascii="Times New Roman" w:eastAsia="Calibri" w:hAnsi="Times New Roman" w:cs="Times New Roman"/>
          <w:sz w:val="24"/>
          <w:szCs w:val="24"/>
          <w:shd w:val="clear" w:color="auto" w:fill="FFFFFF"/>
          <w:lang w:val="en-GB"/>
        </w:rPr>
        <w:t>In this sense</w:t>
      </w:r>
      <w:r w:rsidR="00CB4BAD">
        <w:rPr>
          <w:rFonts w:ascii="Times New Roman" w:eastAsia="Calibri" w:hAnsi="Times New Roman" w:cs="Times New Roman"/>
          <w:sz w:val="24"/>
          <w:szCs w:val="24"/>
          <w:shd w:val="clear" w:color="auto" w:fill="FFFFFF"/>
          <w:lang w:val="en-GB"/>
        </w:rPr>
        <w:t>,</w:t>
      </w:r>
      <w:r w:rsidR="004F6964">
        <w:rPr>
          <w:rFonts w:ascii="Times New Roman" w:eastAsia="Calibri" w:hAnsi="Times New Roman" w:cs="Times New Roman"/>
          <w:sz w:val="24"/>
          <w:szCs w:val="24"/>
          <w:shd w:val="clear" w:color="auto" w:fill="FFFFFF"/>
          <w:lang w:val="en-GB"/>
        </w:rPr>
        <w:t xml:space="preserve"> we consider that both internal and external demand has played an important role to explain the Brazilian growth experience in the period under consideration.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pt-BR"/>
        </w:rPr>
        <w:t>In order to make this assessment</w:t>
      </w:r>
      <w:r w:rsidR="00CB4BAD">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we use a VAR model that takes into account three variables that are key to understand the Brazilian growth experience, namely </w:t>
      </w:r>
      <w:r w:rsidR="00CB4BAD">
        <w:rPr>
          <w:rFonts w:ascii="Times New Roman" w:eastAsia="Times New Roman" w:hAnsi="Times New Roman" w:cs="Times New Roman"/>
          <w:sz w:val="24"/>
          <w:szCs w:val="24"/>
          <w:lang w:val="en-US" w:eastAsia="pt-BR"/>
        </w:rPr>
        <w:t xml:space="preserve">the </w:t>
      </w:r>
      <w:r>
        <w:rPr>
          <w:rFonts w:ascii="Times New Roman" w:eastAsia="Times New Roman" w:hAnsi="Times New Roman" w:cs="Times New Roman"/>
          <w:sz w:val="24"/>
          <w:szCs w:val="24"/>
          <w:lang w:val="en-US" w:eastAsia="pt-BR"/>
        </w:rPr>
        <w:t xml:space="preserve">profit share, </w:t>
      </w:r>
      <w:r w:rsidR="00CB4BAD">
        <w:rPr>
          <w:rFonts w:ascii="Times New Roman" w:eastAsia="Times New Roman" w:hAnsi="Times New Roman" w:cs="Times New Roman"/>
          <w:sz w:val="24"/>
          <w:szCs w:val="24"/>
          <w:lang w:val="en-US" w:eastAsia="pt-BR"/>
        </w:rPr>
        <w:t xml:space="preserve">the </w:t>
      </w:r>
      <w:r>
        <w:rPr>
          <w:rFonts w:ascii="Times New Roman" w:eastAsia="Times New Roman" w:hAnsi="Times New Roman" w:cs="Times New Roman"/>
          <w:sz w:val="24"/>
          <w:szCs w:val="24"/>
          <w:lang w:val="en-US" w:eastAsia="pt-BR"/>
        </w:rPr>
        <w:t xml:space="preserve">growth rate of output and </w:t>
      </w:r>
      <w:r w:rsidR="00CB4BAD">
        <w:rPr>
          <w:rFonts w:ascii="Times New Roman" w:eastAsia="Times New Roman" w:hAnsi="Times New Roman" w:cs="Times New Roman"/>
          <w:sz w:val="24"/>
          <w:szCs w:val="24"/>
          <w:lang w:val="en-US" w:eastAsia="pt-BR"/>
        </w:rPr>
        <w:t xml:space="preserve">the </w:t>
      </w:r>
      <w:r w:rsidR="00562788">
        <w:rPr>
          <w:rFonts w:ascii="Times New Roman" w:eastAsia="Times New Roman" w:hAnsi="Times New Roman" w:cs="Times New Roman"/>
          <w:sz w:val="24"/>
          <w:szCs w:val="24"/>
          <w:lang w:val="en-US" w:eastAsia="pt-BR"/>
        </w:rPr>
        <w:t xml:space="preserve">rate of </w:t>
      </w:r>
      <w:r>
        <w:rPr>
          <w:rFonts w:ascii="Times New Roman" w:eastAsia="Times New Roman" w:hAnsi="Times New Roman" w:cs="Times New Roman"/>
          <w:sz w:val="24"/>
          <w:szCs w:val="24"/>
          <w:lang w:val="en-US" w:eastAsia="pt-BR"/>
        </w:rPr>
        <w:t xml:space="preserve">capacity utilization. </w:t>
      </w:r>
      <w:r w:rsidRPr="008B78D6">
        <w:rPr>
          <w:rFonts w:ascii="Times New Roman" w:eastAsia="Times New Roman" w:hAnsi="Times New Roman" w:cs="Times New Roman"/>
          <w:sz w:val="24"/>
          <w:szCs w:val="24"/>
          <w:lang w:val="en-US" w:eastAsia="pt-BR"/>
        </w:rPr>
        <w:t>In alternative specifications,</w:t>
      </w:r>
      <w:r>
        <w:rPr>
          <w:rFonts w:ascii="Times New Roman" w:eastAsia="Times New Roman" w:hAnsi="Times New Roman" w:cs="Times New Roman"/>
          <w:sz w:val="24"/>
          <w:szCs w:val="24"/>
          <w:lang w:val="en-US" w:eastAsia="pt-BR"/>
        </w:rPr>
        <w:t xml:space="preserve"> we also used the ratio between actual and potential output, accumulation rate and terms of trade. Three important results we</w:t>
      </w:r>
      <w:r w:rsidR="00CB4BAD">
        <w:rPr>
          <w:rFonts w:ascii="Times New Roman" w:eastAsia="Times New Roman" w:hAnsi="Times New Roman" w:cs="Times New Roman"/>
          <w:sz w:val="24"/>
          <w:szCs w:val="24"/>
          <w:lang w:val="en-US" w:eastAsia="pt-BR"/>
        </w:rPr>
        <w:t>re</w:t>
      </w:r>
      <w:r>
        <w:rPr>
          <w:rFonts w:ascii="Times New Roman" w:eastAsia="Times New Roman" w:hAnsi="Times New Roman" w:cs="Times New Roman"/>
          <w:sz w:val="24"/>
          <w:szCs w:val="24"/>
          <w:lang w:val="en-US" w:eastAsia="pt-BR"/>
        </w:rPr>
        <w:t xml:space="preserve"> f</w:t>
      </w:r>
      <w:r w:rsidR="00CB4BAD">
        <w:rPr>
          <w:rFonts w:ascii="Times New Roman" w:eastAsia="Times New Roman" w:hAnsi="Times New Roman" w:cs="Times New Roman"/>
          <w:sz w:val="24"/>
          <w:szCs w:val="24"/>
          <w:lang w:val="en-US" w:eastAsia="pt-BR"/>
        </w:rPr>
        <w:t>ou</w:t>
      </w:r>
      <w:r>
        <w:rPr>
          <w:rFonts w:ascii="Times New Roman" w:eastAsia="Times New Roman" w:hAnsi="Times New Roman" w:cs="Times New Roman"/>
          <w:sz w:val="24"/>
          <w:szCs w:val="24"/>
          <w:lang w:val="en-US" w:eastAsia="pt-BR"/>
        </w:rPr>
        <w:t xml:space="preserve">nd: First, </w:t>
      </w:r>
      <w:r>
        <w:rPr>
          <w:rFonts w:ascii="Times New Roman" w:hAnsi="Times New Roman" w:cs="Times New Roman"/>
          <w:sz w:val="24"/>
          <w:szCs w:val="24"/>
          <w:lang w:val="en-US"/>
        </w:rPr>
        <w:t>a positive profit share innovation affect</w:t>
      </w:r>
      <w:r w:rsidR="00CB4BAD">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same direction, both economic growth and </w:t>
      </w:r>
      <w:r w:rsidR="00F749F4">
        <w:rPr>
          <w:rFonts w:ascii="Times New Roman" w:hAnsi="Times New Roman" w:cs="Times New Roman"/>
          <w:sz w:val="24"/>
          <w:szCs w:val="24"/>
          <w:lang w:val="en-US"/>
        </w:rPr>
        <w:t>the degree</w:t>
      </w:r>
      <w:r>
        <w:rPr>
          <w:rFonts w:ascii="Times New Roman" w:hAnsi="Times New Roman" w:cs="Times New Roman"/>
          <w:sz w:val="24"/>
          <w:szCs w:val="24"/>
          <w:lang w:val="en-US"/>
        </w:rPr>
        <w:t xml:space="preserve"> of capacity utilization. Second, a profit share shocks affect positively both the ratio between actual and potential output and the capital accumulation. Third, a capacity utilization shock </w:t>
      </w:r>
      <w:r w:rsidR="00BD5183">
        <w:rPr>
          <w:rFonts w:ascii="Times New Roman" w:hAnsi="Times New Roman" w:cs="Times New Roman"/>
          <w:sz w:val="24"/>
          <w:szCs w:val="24"/>
          <w:lang w:val="en-US"/>
        </w:rPr>
        <w:t xml:space="preserve">is shown to positively </w:t>
      </w:r>
      <w:r>
        <w:rPr>
          <w:rFonts w:ascii="Times New Roman" w:hAnsi="Times New Roman" w:cs="Times New Roman"/>
          <w:sz w:val="24"/>
          <w:szCs w:val="24"/>
          <w:lang w:val="en-US"/>
        </w:rPr>
        <w:t xml:space="preserve">affect both the output growth and the capital accumulation. </w:t>
      </w:r>
    </w:p>
    <w:p w:rsidR="00B24A16" w:rsidRDefault="00B24A16" w:rsidP="00784AF0">
      <w:pPr>
        <w:spacing w:line="24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paper is structured as follows: the second section presents formally the </w:t>
      </w:r>
      <w:proofErr w:type="spellStart"/>
      <w:r>
        <w:rPr>
          <w:rFonts w:ascii="Times New Roman" w:hAnsi="Times New Roman"/>
          <w:sz w:val="24"/>
          <w:szCs w:val="24"/>
          <w:lang w:val="en-US"/>
        </w:rPr>
        <w:t>Bhaduri-Marglin’s</w:t>
      </w:r>
      <w:proofErr w:type="spellEnd"/>
      <w:r>
        <w:rPr>
          <w:rFonts w:ascii="Times New Roman" w:hAnsi="Times New Roman"/>
          <w:sz w:val="24"/>
          <w:szCs w:val="24"/>
          <w:lang w:val="en-US"/>
        </w:rPr>
        <w:t xml:space="preserve"> </w:t>
      </w:r>
      <w:r>
        <w:rPr>
          <w:rFonts w:ascii="Times New Roman" w:eastAsia="Times New Roman" w:hAnsi="Times New Roman" w:cs="Times New Roman"/>
          <w:sz w:val="24"/>
          <w:szCs w:val="24"/>
          <w:lang w:val="en-US" w:eastAsia="pt-BR"/>
        </w:rPr>
        <w:t>model, the third section presents a review of the empirical literature on income distribution and economic growth, and the fourth section presents the econometric model as well as the empirical results. Finally, the fifth section summarize</w:t>
      </w:r>
      <w:r w:rsidR="00AC6A54">
        <w:rPr>
          <w:rFonts w:ascii="Times New Roman" w:eastAsia="Times New Roman" w:hAnsi="Times New Roman" w:cs="Times New Roman"/>
          <w:sz w:val="24"/>
          <w:szCs w:val="24"/>
          <w:lang w:val="en-US" w:eastAsia="pt-BR"/>
        </w:rPr>
        <w:t>s</w:t>
      </w:r>
      <w:r>
        <w:rPr>
          <w:rFonts w:ascii="Times New Roman" w:eastAsia="Times New Roman" w:hAnsi="Times New Roman" w:cs="Times New Roman"/>
          <w:sz w:val="24"/>
          <w:szCs w:val="24"/>
          <w:lang w:val="en-US" w:eastAsia="pt-BR"/>
        </w:rPr>
        <w:t xml:space="preserve"> the conclusions.</w:t>
      </w:r>
      <w:r w:rsidR="001F401A">
        <w:rPr>
          <w:rFonts w:ascii="Times New Roman" w:eastAsia="Times New Roman" w:hAnsi="Times New Roman" w:cs="Times New Roman"/>
          <w:sz w:val="24"/>
          <w:szCs w:val="24"/>
          <w:lang w:val="en-US" w:eastAsia="pt-BR"/>
        </w:rPr>
        <w:t xml:space="preserve"> </w:t>
      </w:r>
    </w:p>
    <w:p w:rsidR="00B24A16" w:rsidRDefault="00B24A16" w:rsidP="00784AF0">
      <w:pPr>
        <w:spacing w:line="240" w:lineRule="auto"/>
        <w:jc w:val="both"/>
        <w:rPr>
          <w:rFonts w:ascii="Times New Roman" w:eastAsia="Times New Roman" w:hAnsi="Times New Roman" w:cs="Times New Roman"/>
          <w:sz w:val="24"/>
          <w:szCs w:val="24"/>
          <w:lang w:val="en-US" w:eastAsia="pt-BR"/>
        </w:rPr>
      </w:pPr>
      <w:r>
        <w:rPr>
          <w:rFonts w:ascii="Times New Roman" w:hAnsi="Times New Roman"/>
          <w:b/>
          <w:sz w:val="24"/>
          <w:szCs w:val="24"/>
          <w:lang w:val="en-US"/>
        </w:rPr>
        <w:t>2</w:t>
      </w:r>
      <w:r w:rsidR="00801B05">
        <w:rPr>
          <w:rFonts w:ascii="Times New Roman" w:hAnsi="Times New Roman"/>
          <w:b/>
          <w:sz w:val="24"/>
          <w:szCs w:val="24"/>
          <w:lang w:val="en-US"/>
        </w:rPr>
        <w:t xml:space="preserve">. </w:t>
      </w:r>
      <w:r>
        <w:rPr>
          <w:rFonts w:ascii="Times New Roman" w:hAnsi="Times New Roman"/>
          <w:b/>
          <w:sz w:val="24"/>
          <w:szCs w:val="24"/>
          <w:lang w:val="en-US"/>
        </w:rPr>
        <w:t xml:space="preserve">The </w:t>
      </w:r>
      <w:r w:rsidR="00C77EDC">
        <w:rPr>
          <w:rFonts w:ascii="Times New Roman" w:hAnsi="Times New Roman"/>
          <w:b/>
          <w:sz w:val="24"/>
          <w:szCs w:val="24"/>
          <w:lang w:val="en-US"/>
        </w:rPr>
        <w:t>P</w:t>
      </w:r>
      <w:r>
        <w:rPr>
          <w:rFonts w:ascii="Times New Roman" w:hAnsi="Times New Roman"/>
          <w:b/>
          <w:sz w:val="24"/>
          <w:szCs w:val="24"/>
          <w:lang w:val="en-US"/>
        </w:rPr>
        <w:t>ost-Kaleckian Growth Model</w:t>
      </w:r>
    </w:p>
    <w:p w:rsidR="00B24A16" w:rsidRDefault="00B24A16"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what follows let us consider the </w:t>
      </w:r>
      <w:r w:rsidR="00C77EDC">
        <w:rPr>
          <w:rFonts w:ascii="Times New Roman" w:hAnsi="Times New Roman"/>
          <w:sz w:val="24"/>
          <w:szCs w:val="24"/>
          <w:lang w:val="en-US"/>
        </w:rPr>
        <w:t>P</w:t>
      </w:r>
      <w:r>
        <w:rPr>
          <w:rFonts w:ascii="Times New Roman" w:hAnsi="Times New Roman"/>
          <w:sz w:val="24"/>
          <w:szCs w:val="24"/>
          <w:lang w:val="en-US"/>
        </w:rPr>
        <w:t>ost-Kaleckian</w:t>
      </w:r>
      <w:r>
        <w:rPr>
          <w:rStyle w:val="Refdenotaderodap"/>
          <w:rFonts w:ascii="Times New Roman" w:hAnsi="Times New Roman"/>
          <w:sz w:val="24"/>
          <w:szCs w:val="24"/>
          <w:lang w:val="en-US"/>
        </w:rPr>
        <w:footnoteReference w:id="4"/>
      </w:r>
      <w:r>
        <w:rPr>
          <w:rFonts w:ascii="Times New Roman" w:hAnsi="Times New Roman"/>
          <w:sz w:val="24"/>
          <w:szCs w:val="24"/>
          <w:lang w:val="en-US"/>
        </w:rPr>
        <w:t xml:space="preserve"> model of growth and distribution as the benchmark of our analysis. Such model is due to </w:t>
      </w:r>
      <w:proofErr w:type="spellStart"/>
      <w:r>
        <w:rPr>
          <w:rFonts w:ascii="Times New Roman" w:hAnsi="Times New Roman"/>
          <w:sz w:val="24"/>
          <w:szCs w:val="24"/>
          <w:lang w:val="en-US"/>
        </w:rPr>
        <w:t>Bhaduri-Marglin</w:t>
      </w:r>
      <w:proofErr w:type="spellEnd"/>
      <w:r>
        <w:rPr>
          <w:rFonts w:ascii="Times New Roman" w:hAnsi="Times New Roman"/>
          <w:sz w:val="24"/>
          <w:szCs w:val="24"/>
          <w:lang w:val="en-US"/>
        </w:rPr>
        <w:t xml:space="preserve"> (1990) and considers that the investment function reacts positively to profits and capacity utilization, namely </w:t>
      </w:r>
      <w:r>
        <w:rPr>
          <w:rFonts w:ascii="Times New Roman" w:hAnsi="Times New Roman"/>
          <w:i/>
          <w:sz w:val="24"/>
          <w:szCs w:val="24"/>
          <w:lang w:val="en-US"/>
        </w:rPr>
        <w:t>u</w:t>
      </w:r>
      <w:r>
        <w:rPr>
          <w:rFonts w:ascii="Times New Roman" w:hAnsi="Times New Roman"/>
          <w:sz w:val="24"/>
          <w:szCs w:val="24"/>
          <w:lang w:val="en-US"/>
        </w:rPr>
        <w:t xml:space="preserve">, given that the profit-share, namely </w:t>
      </w:r>
      <w:r>
        <w:rPr>
          <w:rFonts w:ascii="Times New Roman" w:hAnsi="Times New Roman"/>
          <w:i/>
          <w:sz w:val="24"/>
          <w:szCs w:val="24"/>
          <w:lang w:val="en-US"/>
        </w:rPr>
        <w:t>π</w:t>
      </w:r>
      <w:r>
        <w:rPr>
          <w:rFonts w:ascii="Times New Roman" w:hAnsi="Times New Roman"/>
          <w:sz w:val="24"/>
          <w:szCs w:val="24"/>
          <w:lang w:val="en-US"/>
        </w:rPr>
        <w:t xml:space="preserve">, is used as a measure of profitability. </w:t>
      </w:r>
      <w:r>
        <w:rPr>
          <w:rFonts w:ascii="Times New Roman" w:eastAsia="Times New Roman" w:hAnsi="Times New Roman" w:cs="Times New Roman"/>
          <w:sz w:val="24"/>
          <w:szCs w:val="24"/>
          <w:lang w:val="en-US" w:eastAsia="pt-BR"/>
        </w:rPr>
        <w:t xml:space="preserve">According to Lavoie (2010), the rationale for this specification rests on the fact that the profit rate that should enter the investment equation is the profit rate computed at normal prices, namely the normal profit rate, and not the actual profit rate. By considering the well-known relation between these variables, namely </w:t>
      </w:r>
      <w:r>
        <w:rPr>
          <w:rFonts w:ascii="Times New Roman" w:eastAsia="Times New Roman" w:hAnsi="Times New Roman" w:cs="Times New Roman"/>
          <w:i/>
          <w:sz w:val="24"/>
          <w:szCs w:val="24"/>
          <w:lang w:val="en-US" w:eastAsia="pt-BR"/>
        </w:rPr>
        <w:t>r</w:t>
      </w:r>
      <w:r>
        <w:rPr>
          <w:rFonts w:ascii="Times New Roman" w:eastAsia="Times New Roman" w:hAnsi="Times New Roman" w:cs="Times New Roman"/>
          <w:sz w:val="24"/>
          <w:szCs w:val="24"/>
          <w:lang w:val="en-US" w:eastAsia="pt-BR"/>
        </w:rPr>
        <w:t xml:space="preserve"> = </w:t>
      </w:r>
      <w:r>
        <w:rPr>
          <w:rFonts w:ascii="Times New Roman" w:eastAsia="Times New Roman" w:hAnsi="Times New Roman" w:cs="Times New Roman"/>
          <w:i/>
          <w:sz w:val="24"/>
          <w:szCs w:val="24"/>
          <w:lang w:val="en-US" w:eastAsia="pt-BR"/>
        </w:rPr>
        <w:t>π</w:t>
      </w:r>
      <w:r>
        <w:rPr>
          <w:rFonts w:ascii="Times New Roman" w:eastAsia="Times New Roman" w:hAnsi="Times New Roman" w:cs="Times New Roman"/>
          <w:sz w:val="24"/>
          <w:szCs w:val="24"/>
          <w:lang w:val="en-US" w:eastAsia="pt-BR"/>
        </w:rPr>
        <w:t>.</w:t>
      </w:r>
      <w:r>
        <w:rPr>
          <w:rFonts w:ascii="Times New Roman" w:eastAsia="Times New Roman" w:hAnsi="Times New Roman" w:cs="Times New Roman"/>
          <w:i/>
          <w:sz w:val="24"/>
          <w:szCs w:val="24"/>
          <w:lang w:val="en-US" w:eastAsia="pt-BR"/>
        </w:rPr>
        <w:t>u</w:t>
      </w:r>
      <w:r>
        <w:rPr>
          <w:rFonts w:ascii="Times New Roman" w:eastAsia="Times New Roman" w:hAnsi="Times New Roman" w:cs="Times New Roman"/>
          <w:sz w:val="24"/>
          <w:szCs w:val="24"/>
          <w:lang w:val="en-US" w:eastAsia="pt-BR"/>
        </w:rPr>
        <w:t xml:space="preserve">, where </w:t>
      </w:r>
      <w:r>
        <w:rPr>
          <w:rFonts w:ascii="Times New Roman" w:eastAsia="Times New Roman" w:hAnsi="Times New Roman" w:cs="Times New Roman"/>
          <w:i/>
          <w:sz w:val="24"/>
          <w:szCs w:val="24"/>
          <w:lang w:val="en-US" w:eastAsia="pt-BR"/>
        </w:rPr>
        <w:t>r</w:t>
      </w:r>
      <w:r>
        <w:rPr>
          <w:rFonts w:ascii="Times New Roman" w:eastAsia="Times New Roman" w:hAnsi="Times New Roman" w:cs="Times New Roman"/>
          <w:sz w:val="24"/>
          <w:szCs w:val="24"/>
          <w:lang w:val="en-US" w:eastAsia="pt-BR"/>
        </w:rPr>
        <w:t xml:space="preserve"> is the profit rate, </w:t>
      </w:r>
      <w:r>
        <w:rPr>
          <w:rFonts w:ascii="Times New Roman" w:eastAsia="Times New Roman" w:hAnsi="Times New Roman" w:cs="Times New Roman"/>
          <w:i/>
          <w:sz w:val="24"/>
          <w:szCs w:val="24"/>
          <w:lang w:val="en-US" w:eastAsia="pt-BR"/>
        </w:rPr>
        <w:t>π</w:t>
      </w:r>
      <w:r>
        <w:rPr>
          <w:rFonts w:ascii="Times New Roman" w:eastAsia="Times New Roman" w:hAnsi="Times New Roman" w:cs="Times New Roman"/>
          <w:sz w:val="24"/>
          <w:szCs w:val="24"/>
          <w:lang w:val="en-US" w:eastAsia="pt-BR"/>
        </w:rPr>
        <w:t xml:space="preserve"> is the profit share and </w:t>
      </w:r>
      <w:r>
        <w:rPr>
          <w:rFonts w:ascii="Times New Roman" w:eastAsia="Times New Roman" w:hAnsi="Times New Roman" w:cs="Times New Roman"/>
          <w:i/>
          <w:sz w:val="24"/>
          <w:szCs w:val="24"/>
          <w:lang w:val="en-US" w:eastAsia="pt-BR"/>
        </w:rPr>
        <w:t>u</w:t>
      </w:r>
      <w:r>
        <w:rPr>
          <w:rFonts w:ascii="Times New Roman" w:eastAsia="Times New Roman" w:hAnsi="Times New Roman" w:cs="Times New Roman"/>
          <w:sz w:val="24"/>
          <w:szCs w:val="24"/>
          <w:lang w:val="en-US" w:eastAsia="pt-BR"/>
        </w:rPr>
        <w:t xml:space="preserve"> is the rate of capacity utilization, and that the normal rate of capacity utilization is constant and can be normalized to one, we conclude that  </w:t>
      </w:r>
      <w:proofErr w:type="spellStart"/>
      <w:r>
        <w:rPr>
          <w:rFonts w:ascii="Times New Roman" w:eastAsia="Times New Roman" w:hAnsi="Times New Roman" w:cs="Times New Roman"/>
          <w:i/>
          <w:sz w:val="24"/>
          <w:szCs w:val="24"/>
          <w:lang w:val="en-US" w:eastAsia="pt-BR"/>
        </w:rPr>
        <w:t>r</w:t>
      </w:r>
      <w:r>
        <w:rPr>
          <w:rFonts w:ascii="Times New Roman" w:eastAsia="Times New Roman" w:hAnsi="Times New Roman" w:cs="Times New Roman"/>
          <w:i/>
          <w:sz w:val="24"/>
          <w:szCs w:val="24"/>
          <w:vertAlign w:val="subscript"/>
          <w:lang w:val="en-US" w:eastAsia="pt-BR"/>
        </w:rPr>
        <w:t>n</w:t>
      </w:r>
      <w:proofErr w:type="spellEnd"/>
      <w:r>
        <w:rPr>
          <w:rFonts w:ascii="Times New Roman" w:eastAsia="Times New Roman" w:hAnsi="Times New Roman" w:cs="Times New Roman"/>
          <w:sz w:val="24"/>
          <w:szCs w:val="24"/>
          <w:lang w:val="en-US" w:eastAsia="pt-BR"/>
        </w:rPr>
        <w:t xml:space="preserve"> = </w:t>
      </w:r>
      <w:r>
        <w:rPr>
          <w:rFonts w:ascii="Times New Roman" w:eastAsia="Times New Roman" w:hAnsi="Times New Roman" w:cs="Times New Roman"/>
          <w:i/>
          <w:sz w:val="24"/>
          <w:szCs w:val="24"/>
          <w:lang w:val="en-US" w:eastAsia="pt-BR"/>
        </w:rPr>
        <w:t>π</w:t>
      </w:r>
      <w:r>
        <w:rPr>
          <w:rFonts w:ascii="Times New Roman" w:eastAsia="Times New Roman" w:hAnsi="Times New Roman" w:cs="Times New Roman"/>
          <w:sz w:val="24"/>
          <w:szCs w:val="24"/>
          <w:lang w:val="en-US" w:eastAsia="pt-BR"/>
        </w:rPr>
        <w:t xml:space="preserve">, where </w:t>
      </w:r>
      <w:proofErr w:type="spellStart"/>
      <w:r>
        <w:rPr>
          <w:rFonts w:ascii="Times New Roman" w:eastAsia="Times New Roman" w:hAnsi="Times New Roman" w:cs="Times New Roman"/>
          <w:i/>
          <w:sz w:val="24"/>
          <w:szCs w:val="24"/>
          <w:lang w:val="en-US" w:eastAsia="pt-BR"/>
        </w:rPr>
        <w:t>r</w:t>
      </w:r>
      <w:r>
        <w:rPr>
          <w:rFonts w:ascii="Times New Roman" w:eastAsia="Times New Roman" w:hAnsi="Times New Roman" w:cs="Times New Roman"/>
          <w:i/>
          <w:sz w:val="24"/>
          <w:szCs w:val="24"/>
          <w:vertAlign w:val="subscript"/>
          <w:lang w:val="en-US" w:eastAsia="pt-BR"/>
        </w:rPr>
        <w:t>n</w:t>
      </w:r>
      <w:proofErr w:type="spellEnd"/>
      <w:r>
        <w:rPr>
          <w:rFonts w:ascii="Times New Roman" w:eastAsia="Times New Roman" w:hAnsi="Times New Roman" w:cs="Times New Roman"/>
          <w:sz w:val="24"/>
          <w:szCs w:val="24"/>
          <w:lang w:val="en-US" w:eastAsia="pt-BR"/>
        </w:rPr>
        <w:t xml:space="preserve"> is the normal profit rate. </w:t>
      </w:r>
      <w:r>
        <w:rPr>
          <w:rFonts w:ascii="Times New Roman" w:hAnsi="Times New Roman"/>
          <w:sz w:val="24"/>
          <w:szCs w:val="24"/>
          <w:lang w:val="en-US"/>
        </w:rPr>
        <w:t xml:space="preserve">In this case, the investment function, </w:t>
      </w:r>
      <w:r>
        <w:rPr>
          <w:rFonts w:ascii="Times New Roman" w:hAnsi="Times New Roman"/>
          <w:i/>
          <w:sz w:val="24"/>
          <w:szCs w:val="24"/>
          <w:lang w:val="en-US"/>
        </w:rPr>
        <w:t>I</w:t>
      </w:r>
      <w:r>
        <w:rPr>
          <w:rFonts w:ascii="Times New Roman" w:hAnsi="Times New Roman"/>
          <w:sz w:val="24"/>
          <w:szCs w:val="24"/>
          <w:lang w:val="en-US"/>
        </w:rPr>
        <w:t xml:space="preserve">, normalized by the stock of capital, </w:t>
      </w:r>
      <w:r>
        <w:rPr>
          <w:rFonts w:ascii="Times New Roman" w:hAnsi="Times New Roman"/>
          <w:i/>
          <w:sz w:val="24"/>
          <w:szCs w:val="24"/>
          <w:lang w:val="en-US"/>
        </w:rPr>
        <w:t>K</w:t>
      </w:r>
      <w:r>
        <w:rPr>
          <w:rFonts w:ascii="Times New Roman" w:hAnsi="Times New Roman"/>
          <w:sz w:val="24"/>
          <w:szCs w:val="24"/>
          <w:lang w:val="en-US"/>
        </w:rPr>
        <w:t>, may be written as:</w:t>
      </w:r>
    </w:p>
    <w:p w:rsidR="00B24A16" w:rsidRDefault="00FD1A6F" w:rsidP="00784AF0">
      <w:pPr>
        <w:spacing w:line="240" w:lineRule="auto"/>
        <w:ind w:left="360" w:firstLine="2901"/>
        <w:jc w:val="both"/>
        <w:rPr>
          <w:rFonts w:ascii="Times New Roman" w:hAnsi="Times New Roman"/>
          <w:b/>
          <w:sz w:val="24"/>
          <w:szCs w:val="24"/>
          <w:lang w:val="en-US"/>
        </w:rPr>
      </w:pPr>
      <w:r>
        <w:rPr>
          <w:sz w:val="24"/>
          <w:szCs w:val="24"/>
          <w:lang w:val="en-US"/>
        </w:rPr>
        <w:t xml:space="preserve">              </w:t>
      </w:r>
      <w:r w:rsidR="00B24A16">
        <w:rPr>
          <w:position w:val="-24"/>
          <w:sz w:val="24"/>
          <w:szCs w:val="24"/>
          <w:lang w:val="en-US"/>
        </w:rPr>
        <w:object w:dxaOrig="1215"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1.5pt" o:ole="" fillcolor="window">
            <v:imagedata r:id="rId7" o:title=""/>
          </v:shape>
          <o:OLEObject Type="Embed" ProgID="Equation.3" ShapeID="_x0000_i1025" DrawAspect="Content" ObjectID="_1530554925" r:id="rId8"/>
        </w:object>
      </w:r>
      <w:r w:rsidR="00B24A16">
        <w:rPr>
          <w:rFonts w:ascii="Times New Roman" w:hAnsi="Times New Roman"/>
          <w:sz w:val="24"/>
          <w:szCs w:val="24"/>
          <w:lang w:val="en-US"/>
        </w:rPr>
        <w:t xml:space="preserve">                   </w:t>
      </w:r>
      <w:r>
        <w:rPr>
          <w:rFonts w:ascii="Times New Roman" w:hAnsi="Times New Roman"/>
          <w:sz w:val="24"/>
          <w:szCs w:val="24"/>
          <w:lang w:val="en-US"/>
        </w:rPr>
        <w:t xml:space="preserve">  </w:t>
      </w:r>
      <w:r w:rsidR="00B24A16">
        <w:rPr>
          <w:rFonts w:ascii="Times New Roman" w:hAnsi="Times New Roman"/>
          <w:sz w:val="24"/>
          <w:szCs w:val="24"/>
          <w:lang w:val="en-US"/>
        </w:rPr>
        <w:t xml:space="preserve">                                     (1).</w:t>
      </w:r>
    </w:p>
    <w:p w:rsidR="00B24A16" w:rsidRDefault="00B24A16" w:rsidP="00784AF0">
      <w:pPr>
        <w:spacing w:line="240" w:lineRule="auto"/>
        <w:jc w:val="both"/>
        <w:rPr>
          <w:rFonts w:ascii="Times New Roman" w:hAnsi="Times New Roman"/>
          <w:sz w:val="24"/>
          <w:szCs w:val="24"/>
          <w:lang w:val="en-US"/>
        </w:rPr>
      </w:pPr>
      <w:r>
        <w:rPr>
          <w:rFonts w:ascii="Times New Roman" w:hAnsi="Times New Roman"/>
          <w:sz w:val="24"/>
          <w:szCs w:val="24"/>
          <w:lang w:val="en-US"/>
        </w:rPr>
        <w:t xml:space="preserve">With partial derivatives </w:t>
      </w:r>
      <w:r>
        <w:rPr>
          <w:position w:val="-12"/>
          <w:sz w:val="24"/>
          <w:szCs w:val="24"/>
          <w:lang w:val="en-US"/>
        </w:rPr>
        <w:object w:dxaOrig="1200" w:dyaOrig="375">
          <v:shape id="_x0000_i1026" type="#_x0000_t75" style="width:60pt;height:18.75pt" o:ole="" fillcolor="window">
            <v:imagedata r:id="rId9" o:title=""/>
          </v:shape>
          <o:OLEObject Type="Embed" ProgID="Equation.3" ShapeID="_x0000_i1026" DrawAspect="Content" ObjectID="_1530554926" r:id="rId10"/>
        </w:object>
      </w:r>
      <w:r>
        <w:rPr>
          <w:rFonts w:ascii="Times New Roman" w:hAnsi="Times New Roman"/>
          <w:sz w:val="24"/>
          <w:szCs w:val="24"/>
          <w:lang w:val="en-US"/>
        </w:rPr>
        <w:t xml:space="preserve"> </w:t>
      </w:r>
      <w:proofErr w:type="gramStart"/>
      <w:r>
        <w:rPr>
          <w:rFonts w:ascii="Times New Roman" w:hAnsi="Times New Roman"/>
          <w:sz w:val="24"/>
          <w:szCs w:val="24"/>
          <w:lang w:val="en-US"/>
        </w:rPr>
        <w:t xml:space="preserve">and </w:t>
      </w:r>
      <w:proofErr w:type="gramEnd"/>
      <w:r>
        <w:rPr>
          <w:position w:val="-12"/>
          <w:sz w:val="24"/>
          <w:szCs w:val="24"/>
          <w:lang w:val="en-US"/>
        </w:rPr>
        <w:object w:dxaOrig="1185" w:dyaOrig="375">
          <v:shape id="_x0000_i1027" type="#_x0000_t75" style="width:59.25pt;height:18.75pt" o:ole="" fillcolor="window">
            <v:imagedata r:id="rId11" o:title=""/>
          </v:shape>
          <o:OLEObject Type="Embed" ProgID="Equation.3" ShapeID="_x0000_i1027" DrawAspect="Content" ObjectID="_1530554927" r:id="rId12"/>
        </w:object>
      </w:r>
      <w:r>
        <w:rPr>
          <w:rFonts w:ascii="Times New Roman" w:hAnsi="Times New Roman"/>
          <w:sz w:val="24"/>
          <w:szCs w:val="24"/>
          <w:lang w:val="en-US"/>
        </w:rPr>
        <w:t xml:space="preserve">. According to </w:t>
      </w:r>
      <w:proofErr w:type="spellStart"/>
      <w:r>
        <w:rPr>
          <w:rFonts w:ascii="Times New Roman" w:hAnsi="Times New Roman"/>
          <w:sz w:val="24"/>
          <w:szCs w:val="24"/>
          <w:lang w:val="en-US"/>
        </w:rPr>
        <w:t>Bhaduri</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Marglin</w:t>
      </w:r>
      <w:proofErr w:type="spellEnd"/>
      <w:r>
        <w:rPr>
          <w:rFonts w:ascii="Times New Roman" w:hAnsi="Times New Roman"/>
          <w:sz w:val="24"/>
          <w:szCs w:val="24"/>
          <w:lang w:val="en-US"/>
        </w:rPr>
        <w:t xml:space="preserve"> (1990, p. 380), influences of existing capacity on investment cannot be captured satisfactorily by simply introducing a term for capacity utilization. The investment function should also consider profit share and capacity utilization as independent and separate variables in the lines of expression (1). Following Blecker (2002, p. 137) let us assume for the sake of convenience only a linear investment function: </w:t>
      </w:r>
    </w:p>
    <w:p w:rsidR="00B24A16" w:rsidRDefault="00B24A16" w:rsidP="00784AF0">
      <w:pPr>
        <w:spacing w:line="240" w:lineRule="auto"/>
        <w:ind w:left="360" w:firstLine="2759"/>
        <w:jc w:val="both"/>
        <w:rPr>
          <w:rFonts w:ascii="Times New Roman" w:hAnsi="Times New Roman"/>
          <w:b/>
          <w:sz w:val="24"/>
          <w:szCs w:val="24"/>
          <w:lang w:val="en-US"/>
        </w:rPr>
      </w:pPr>
      <w:r>
        <w:rPr>
          <w:position w:val="-24"/>
          <w:sz w:val="24"/>
          <w:szCs w:val="24"/>
          <w:lang w:val="en-US"/>
        </w:rPr>
        <w:object w:dxaOrig="1725" w:dyaOrig="615">
          <v:shape id="_x0000_i1028" type="#_x0000_t75" style="width:86.25pt;height:30.75pt" o:ole="" fillcolor="window">
            <v:imagedata r:id="rId13" o:title=""/>
          </v:shape>
          <o:OLEObject Type="Embed" ProgID="Equation.3" ShapeID="_x0000_i1028" DrawAspect="Content" ObjectID="_1530554928" r:id="rId14"/>
        </w:object>
      </w:r>
      <w:r>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 xml:space="preserve">           (1)</w:t>
      </w:r>
      <w:r w:rsidR="007407CB">
        <w:rPr>
          <w:rFonts w:ascii="Times New Roman" w:hAnsi="Times New Roman"/>
          <w:sz w:val="24"/>
          <w:szCs w:val="24"/>
          <w:lang w:val="en-US"/>
        </w:rPr>
        <w:t>’</w:t>
      </w:r>
      <w:r w:rsidR="00BD5183">
        <w:rPr>
          <w:rFonts w:ascii="Times New Roman" w:hAnsi="Times New Roman"/>
          <w:sz w:val="24"/>
          <w:szCs w:val="24"/>
          <w:lang w:val="en-US"/>
        </w:rPr>
        <w:t>.</w:t>
      </w:r>
    </w:p>
    <w:p w:rsidR="00B24A16" w:rsidRDefault="00B24A16" w:rsidP="00784AF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Where </w:t>
      </w:r>
      <w:r>
        <w:rPr>
          <w:rFonts w:ascii="Times New Roman" w:hAnsi="Times New Roman" w:cs="Times New Roman"/>
          <w:i/>
          <w:sz w:val="24"/>
          <w:szCs w:val="24"/>
          <w:lang w:val="en-US"/>
        </w:rPr>
        <w:t>α</w:t>
      </w:r>
      <w:r>
        <w:rPr>
          <w:rFonts w:ascii="Times New Roman" w:hAnsi="Times New Roman" w:cs="Times New Roman"/>
          <w:sz w:val="24"/>
          <w:szCs w:val="24"/>
          <w:lang w:val="en-US"/>
        </w:rPr>
        <w:t xml:space="preserve"> is a measure of the animal spirits, </w:t>
      </w:r>
      <w:r>
        <w:rPr>
          <w:rFonts w:ascii="Times New Roman" w:hAnsi="Times New Roman" w:cs="Times New Roman"/>
          <w:position w:val="-10"/>
          <w:sz w:val="24"/>
          <w:szCs w:val="24"/>
          <w:lang w:val="en-US"/>
        </w:rPr>
        <w:object w:dxaOrig="240" w:dyaOrig="330">
          <v:shape id="_x0000_i1029" type="#_x0000_t75" style="width:12pt;height:16.5pt" o:ole="" fillcolor="window">
            <v:imagedata r:id="rId15" o:title=""/>
          </v:shape>
          <o:OLEObject Type="Embed" ProgID="Equation.3" ShapeID="_x0000_i1029" DrawAspect="Content" ObjectID="_1530554929" r:id="rId16"/>
        </w:object>
      </w:r>
      <w:r>
        <w:rPr>
          <w:rFonts w:ascii="Times New Roman" w:hAnsi="Times New Roman" w:cs="Times New Roman"/>
          <w:iCs/>
          <w:sz w:val="24"/>
          <w:szCs w:val="24"/>
          <w:lang w:val="en-US"/>
        </w:rPr>
        <w:t xml:space="preserve"> &gt; 0 measures the sensibility of the investment to the profit share and </w:t>
      </w:r>
      <w:r>
        <w:rPr>
          <w:rFonts w:ascii="Times New Roman" w:hAnsi="Times New Roman" w:cs="Times New Roman"/>
          <w:position w:val="-10"/>
          <w:sz w:val="24"/>
          <w:szCs w:val="24"/>
          <w:lang w:val="en-US"/>
        </w:rPr>
        <w:object w:dxaOrig="570" w:dyaOrig="330">
          <v:shape id="_x0000_i1030" type="#_x0000_t75" style="width:28.5pt;height:16.5pt" o:ole="" fillcolor="window">
            <v:imagedata r:id="rId17" o:title=""/>
          </v:shape>
          <o:OLEObject Type="Embed" ProgID="Equation.3" ShapeID="_x0000_i1030" DrawAspect="Content" ObjectID="_1530554930" r:id="rId18"/>
        </w:object>
      </w:r>
      <w:r>
        <w:rPr>
          <w:rFonts w:ascii="Times New Roman" w:hAnsi="Times New Roman" w:cs="Times New Roman"/>
          <w:sz w:val="24"/>
          <w:szCs w:val="24"/>
          <w:lang w:val="en-US"/>
        </w:rPr>
        <w:t xml:space="preserve">measures the sensibility of the investment to the capacity utilization, which captures the accelerator effect. </w:t>
      </w:r>
      <w:r>
        <w:rPr>
          <w:rFonts w:ascii="Times New Roman" w:hAnsi="Times New Roman"/>
          <w:sz w:val="24"/>
          <w:szCs w:val="24"/>
          <w:lang w:val="en-US"/>
        </w:rPr>
        <w:t xml:space="preserve">We consider that the saving </w:t>
      </w:r>
      <w:r w:rsidR="003C6714">
        <w:rPr>
          <w:rFonts w:ascii="Times New Roman" w:hAnsi="Times New Roman"/>
          <w:sz w:val="24"/>
          <w:szCs w:val="24"/>
          <w:lang w:val="en-US"/>
        </w:rPr>
        <w:t>behavior</w:t>
      </w:r>
      <w:r>
        <w:rPr>
          <w:rFonts w:ascii="Times New Roman" w:hAnsi="Times New Roman"/>
          <w:sz w:val="24"/>
          <w:szCs w:val="24"/>
          <w:lang w:val="en-US"/>
        </w:rPr>
        <w:t xml:space="preserve"> </w:t>
      </w:r>
      <w:proofErr w:type="gramStart"/>
      <w:r>
        <w:rPr>
          <w:rFonts w:ascii="Times New Roman" w:hAnsi="Times New Roman"/>
          <w:sz w:val="24"/>
          <w:szCs w:val="24"/>
          <w:lang w:val="en-US"/>
        </w:rPr>
        <w:t>is given</w:t>
      </w:r>
      <w:proofErr w:type="gramEnd"/>
      <w:r>
        <w:rPr>
          <w:rFonts w:ascii="Times New Roman" w:hAnsi="Times New Roman"/>
          <w:sz w:val="24"/>
          <w:szCs w:val="24"/>
          <w:lang w:val="en-US"/>
        </w:rPr>
        <w:t xml:space="preserve"> by a modified version of the Cambridge Equation in which we assume that the propensity to save out of wages, </w:t>
      </w:r>
      <w:r>
        <w:rPr>
          <w:rFonts w:ascii="Times New Roman" w:hAnsi="Times New Roman" w:cs="Times New Roman"/>
          <w:sz w:val="24"/>
          <w:szCs w:val="24"/>
          <w:lang w:val="en-US"/>
        </w:rPr>
        <w:t xml:space="preserve">given by </w:t>
      </w:r>
      <w:r>
        <w:rPr>
          <w:rFonts w:ascii="Times New Roman" w:hAnsi="Times New Roman" w:cs="Times New Roman"/>
          <w:position w:val="-12"/>
          <w:sz w:val="24"/>
          <w:szCs w:val="24"/>
          <w:lang w:val="en-US"/>
        </w:rPr>
        <w:object w:dxaOrig="270" w:dyaOrig="375">
          <v:shape id="_x0000_i1031" type="#_x0000_t75" style="width:13.5pt;height:18.75pt" o:ole="" fillcolor="window">
            <v:imagedata r:id="rId19" o:title=""/>
          </v:shape>
          <o:OLEObject Type="Embed" ProgID="Equation.3" ShapeID="_x0000_i1031" DrawAspect="Content" ObjectID="_1530554931" r:id="rId20"/>
        </w:object>
      </w:r>
      <w:r>
        <w:rPr>
          <w:rFonts w:ascii="Times New Roman" w:hAnsi="Times New Roman" w:cs="Times New Roman"/>
          <w:sz w:val="24"/>
          <w:szCs w:val="24"/>
          <w:lang w:val="en-US"/>
        </w:rPr>
        <w:t xml:space="preserve"> is different from zero, meaning that worker</w:t>
      </w:r>
      <w:r w:rsidR="004E0869">
        <w:rPr>
          <w:rFonts w:ascii="Times New Roman" w:hAnsi="Times New Roman" w:cs="Times New Roman"/>
          <w:sz w:val="24"/>
          <w:szCs w:val="24"/>
          <w:lang w:val="en-US"/>
        </w:rPr>
        <w:t>s save a fraction of their labo</w:t>
      </w:r>
      <w:r>
        <w:rPr>
          <w:rFonts w:ascii="Times New Roman" w:hAnsi="Times New Roman" w:cs="Times New Roman"/>
          <w:sz w:val="24"/>
          <w:szCs w:val="24"/>
          <w:lang w:val="en-US"/>
        </w:rPr>
        <w:t xml:space="preserve">r income. Following Hein (2014) let us assume that the propensity to save out of profits, </w:t>
      </w:r>
      <w:proofErr w:type="gramStart"/>
      <w:r>
        <w:rPr>
          <w:rFonts w:ascii="Times New Roman" w:hAnsi="Times New Roman" w:cs="Times New Roman"/>
          <w:sz w:val="24"/>
          <w:szCs w:val="24"/>
          <w:lang w:val="en-US"/>
        </w:rPr>
        <w:t>namely</w:t>
      </w:r>
      <w:r w:rsidR="004E0869">
        <w:rPr>
          <w:rFonts w:ascii="Times New Roman" w:hAnsi="Times New Roman" w:cs="Times New Roman"/>
          <w:sz w:val="24"/>
          <w:szCs w:val="24"/>
          <w:lang w:val="en-US"/>
        </w:rPr>
        <w:t xml:space="preserve"> </w:t>
      </w:r>
      <w:proofErr w:type="gramEnd"/>
      <w:r>
        <w:rPr>
          <w:rFonts w:ascii="Times New Roman" w:hAnsi="Times New Roman" w:cs="Times New Roman"/>
          <w:position w:val="-12"/>
          <w:sz w:val="24"/>
          <w:szCs w:val="24"/>
          <w:lang w:val="en-US"/>
        </w:rPr>
        <w:object w:dxaOrig="270" w:dyaOrig="375">
          <v:shape id="_x0000_i1032" type="#_x0000_t75" style="width:13.5pt;height:18.75pt" o:ole="" fillcolor="window">
            <v:imagedata r:id="rId21" o:title=""/>
          </v:shape>
          <o:OLEObject Type="Embed" ProgID="Equation.3" ShapeID="_x0000_i1032" DrawAspect="Content" ObjectID="_1530554932" r:id="rId22"/>
        </w:object>
      </w:r>
      <w:r>
        <w:rPr>
          <w:rFonts w:ascii="Times New Roman" w:hAnsi="Times New Roman" w:cs="Times New Roman"/>
          <w:sz w:val="24"/>
          <w:szCs w:val="24"/>
          <w:lang w:val="en-US"/>
        </w:rPr>
        <w:t>, is equal for both social classes. In face of these assumptions, the saving function normalized by the stock of capital can be written as:</w:t>
      </w:r>
    </w:p>
    <w:p w:rsidR="00B24A16" w:rsidRDefault="00B24A16" w:rsidP="00784AF0">
      <w:pPr>
        <w:spacing w:line="240" w:lineRule="auto"/>
        <w:ind w:firstLine="2835"/>
        <w:jc w:val="both"/>
        <w:rPr>
          <w:rFonts w:ascii="Times New Roman" w:hAnsi="Times New Roman" w:cs="Times New Roman"/>
          <w:sz w:val="24"/>
          <w:szCs w:val="24"/>
          <w:lang w:val="en-US"/>
        </w:rPr>
      </w:pPr>
      <w:r>
        <w:rPr>
          <w:rFonts w:ascii="Times New Roman" w:hAnsi="Times New Roman" w:cs="Times New Roman"/>
          <w:position w:val="-24"/>
          <w:sz w:val="24"/>
          <w:szCs w:val="24"/>
          <w:lang w:val="en-US"/>
        </w:rPr>
        <w:object w:dxaOrig="2070" w:dyaOrig="615">
          <v:shape id="_x0000_i1033" type="#_x0000_t75" style="width:103.5pt;height:30.75pt" o:ole="" fillcolor="window">
            <v:imagedata r:id="rId23" o:title=""/>
          </v:shape>
          <o:OLEObject Type="Embed" ProgID="Equation.3" ShapeID="_x0000_i1033" DrawAspect="Content" ObjectID="_1530554933" r:id="rId24"/>
        </w:object>
      </w:r>
      <w:r>
        <w:rPr>
          <w:rFonts w:ascii="Times New Roman" w:hAnsi="Times New Roman" w:cs="Times New Roman"/>
          <w:sz w:val="24"/>
          <w:szCs w:val="24"/>
          <w:lang w:val="en-US"/>
        </w:rPr>
        <w:t xml:space="preserve">                                                   </w:t>
      </w:r>
      <w:r w:rsidR="00182A9C">
        <w:rPr>
          <w:rFonts w:ascii="Times New Roman" w:hAnsi="Times New Roman" w:cs="Times New Roman"/>
          <w:sz w:val="24"/>
          <w:szCs w:val="24"/>
          <w:lang w:val="en-US"/>
        </w:rPr>
        <w:t xml:space="preserve">         </w:t>
      </w:r>
      <w:r w:rsidR="00C379F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(2).</w:t>
      </w:r>
    </w:p>
    <w:p w:rsidR="00B24A16" w:rsidRDefault="00B24A16"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By equalizing (1)</w:t>
      </w:r>
      <w:r w:rsidR="004C6D89">
        <w:rPr>
          <w:rFonts w:ascii="Times New Roman" w:hAnsi="Times New Roman"/>
          <w:sz w:val="24"/>
          <w:szCs w:val="24"/>
          <w:lang w:val="en-US"/>
        </w:rPr>
        <w:t>’</w:t>
      </w:r>
      <w:r>
        <w:rPr>
          <w:rFonts w:ascii="Times New Roman" w:hAnsi="Times New Roman"/>
          <w:sz w:val="24"/>
          <w:szCs w:val="24"/>
          <w:lang w:val="en-US"/>
        </w:rPr>
        <w:t xml:space="preserve"> to (2), and considering </w:t>
      </w:r>
      <w:proofErr w:type="gramStart"/>
      <w:r>
        <w:rPr>
          <w:rFonts w:ascii="Times New Roman" w:hAnsi="Times New Roman"/>
          <w:sz w:val="24"/>
          <w:szCs w:val="24"/>
          <w:lang w:val="en-US"/>
        </w:rPr>
        <w:t xml:space="preserve">that </w:t>
      </w:r>
      <w:proofErr w:type="gramEnd"/>
      <w:r w:rsidR="00A80419">
        <w:rPr>
          <w:rFonts w:ascii="Times New Roman" w:hAnsi="Times New Roman" w:cs="Times New Roman"/>
          <w:position w:val="-6"/>
          <w:sz w:val="24"/>
          <w:szCs w:val="24"/>
          <w:lang w:val="en-US"/>
        </w:rPr>
        <w:object w:dxaOrig="740" w:dyaOrig="220">
          <v:shape id="_x0000_i1034" type="#_x0000_t75" style="width:36.75pt;height:11.25pt" o:ole="" fillcolor="window">
            <v:imagedata r:id="rId25" o:title=""/>
          </v:shape>
          <o:OLEObject Type="Embed" ProgID="Equation.3" ShapeID="_x0000_i1034" DrawAspect="Content" ObjectID="_1530554934" r:id="rId26"/>
        </w:object>
      </w:r>
      <w:r>
        <w:rPr>
          <w:rFonts w:ascii="Times New Roman" w:hAnsi="Times New Roman" w:cs="Times New Roman"/>
          <w:sz w:val="24"/>
          <w:szCs w:val="24"/>
          <w:lang w:val="en-US"/>
        </w:rPr>
        <w:t xml:space="preserve">, we obtain after some </w:t>
      </w:r>
      <w:r>
        <w:rPr>
          <w:rFonts w:ascii="Times New Roman" w:hAnsi="Times New Roman"/>
          <w:sz w:val="24"/>
          <w:szCs w:val="24"/>
          <w:lang w:val="en-US"/>
        </w:rPr>
        <w:t xml:space="preserve">algebraic manipulation, the </w:t>
      </w:r>
      <w:r w:rsidR="004102F2">
        <w:rPr>
          <w:rFonts w:ascii="Times New Roman" w:eastAsia="Times New Roman" w:hAnsi="Times New Roman" w:cs="Times New Roman"/>
          <w:sz w:val="24"/>
          <w:szCs w:val="24"/>
          <w:lang w:val="en-US" w:eastAsia="pt-BR"/>
        </w:rPr>
        <w:t>profit rate</w:t>
      </w:r>
      <w:r w:rsidR="004102F2">
        <w:rPr>
          <w:rFonts w:ascii="Times New Roman" w:hAnsi="Times New Roman"/>
          <w:sz w:val="24"/>
          <w:szCs w:val="24"/>
          <w:lang w:val="en-US"/>
        </w:rPr>
        <w:t xml:space="preserve"> </w:t>
      </w:r>
      <w:r>
        <w:rPr>
          <w:rFonts w:ascii="Times New Roman" w:hAnsi="Times New Roman"/>
          <w:sz w:val="24"/>
          <w:szCs w:val="24"/>
          <w:lang w:val="en-US"/>
        </w:rPr>
        <w:t>that equalizes savings and investment:</w:t>
      </w:r>
    </w:p>
    <w:p w:rsidR="00B24A16" w:rsidRDefault="00B24A16" w:rsidP="00784AF0">
      <w:pPr>
        <w:spacing w:line="240" w:lineRule="auto"/>
        <w:ind w:firstLine="3119"/>
        <w:jc w:val="both"/>
        <w:rPr>
          <w:rFonts w:ascii="Times New Roman" w:hAnsi="Times New Roman"/>
          <w:sz w:val="24"/>
          <w:szCs w:val="24"/>
          <w:lang w:val="en-US"/>
        </w:rPr>
      </w:pPr>
      <w:r>
        <w:rPr>
          <w:rFonts w:ascii="Times New Roman" w:hAnsi="Times New Roman"/>
          <w:position w:val="-30"/>
          <w:sz w:val="24"/>
          <w:szCs w:val="24"/>
          <w:lang w:val="en-US"/>
        </w:rPr>
        <w:object w:dxaOrig="2355" w:dyaOrig="690">
          <v:shape id="_x0000_i1035" type="#_x0000_t75" style="width:117.75pt;height:34.5pt" o:ole="" fillcolor="window">
            <v:imagedata r:id="rId27" o:title=""/>
          </v:shape>
          <o:OLEObject Type="Embed" ProgID="Equation.3" ShapeID="_x0000_i1035" DrawAspect="Content" ObjectID="_1530554935" r:id="rId28"/>
        </w:objec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 xml:space="preserve">(3).   </w:t>
      </w:r>
    </w:p>
    <w:p w:rsidR="00B24A16" w:rsidRDefault="00B24A16"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By substituting (3) </w:t>
      </w:r>
      <w:proofErr w:type="gramStart"/>
      <w:r>
        <w:rPr>
          <w:rFonts w:ascii="Times New Roman" w:hAnsi="Times New Roman"/>
          <w:sz w:val="24"/>
          <w:szCs w:val="24"/>
          <w:lang w:val="en-US"/>
        </w:rPr>
        <w:t xml:space="preserve">into </w:t>
      </w:r>
      <w:proofErr w:type="gramEnd"/>
      <w:r w:rsidR="000E0876">
        <w:rPr>
          <w:rFonts w:ascii="Times New Roman" w:hAnsi="Times New Roman" w:cs="Times New Roman"/>
          <w:position w:val="-6"/>
          <w:sz w:val="24"/>
          <w:szCs w:val="24"/>
          <w:lang w:val="en-US"/>
        </w:rPr>
        <w:object w:dxaOrig="980" w:dyaOrig="279">
          <v:shape id="_x0000_i1036" type="#_x0000_t75" style="width:48.75pt;height:13.5pt" o:ole="" fillcolor="window">
            <v:imagedata r:id="rId29" o:title=""/>
          </v:shape>
          <o:OLEObject Type="Embed" ProgID="Equation.3" ShapeID="_x0000_i1036" DrawAspect="Content" ObjectID="_1530554936" r:id="rId30"/>
        </w:object>
      </w:r>
      <w:r>
        <w:rPr>
          <w:rFonts w:ascii="Times New Roman" w:hAnsi="Times New Roman" w:cs="Times New Roman"/>
          <w:sz w:val="24"/>
          <w:szCs w:val="24"/>
          <w:lang w:val="en-US"/>
        </w:rPr>
        <w:t>, we obtain the</w:t>
      </w:r>
      <w:r>
        <w:rPr>
          <w:rFonts w:ascii="Times New Roman" w:hAnsi="Times New Roman"/>
          <w:sz w:val="24"/>
          <w:szCs w:val="24"/>
          <w:lang w:val="en-US"/>
        </w:rPr>
        <w:t xml:space="preserve"> rate of capacity utilization as a function of the profit share:</w:t>
      </w:r>
      <w:r w:rsidR="000202EF">
        <w:rPr>
          <w:rFonts w:ascii="Times New Roman" w:hAnsi="Times New Roman"/>
          <w:sz w:val="24"/>
          <w:szCs w:val="24"/>
          <w:lang w:val="en-US"/>
        </w:rPr>
        <w:t xml:space="preserve"> </w:t>
      </w:r>
    </w:p>
    <w:p w:rsidR="00B24A16" w:rsidRDefault="00B24A16" w:rsidP="00784AF0">
      <w:pPr>
        <w:spacing w:line="240" w:lineRule="auto"/>
        <w:ind w:left="360" w:firstLine="2617"/>
        <w:jc w:val="both"/>
        <w:rPr>
          <w:rFonts w:ascii="Times New Roman" w:hAnsi="Times New Roman"/>
          <w:sz w:val="24"/>
          <w:szCs w:val="24"/>
          <w:lang w:val="en-US"/>
        </w:rPr>
      </w:pPr>
      <w:r>
        <w:rPr>
          <w:rFonts w:ascii="Times New Roman" w:hAnsi="Times New Roman"/>
          <w:position w:val="-30"/>
          <w:sz w:val="24"/>
          <w:szCs w:val="24"/>
          <w:lang w:val="en-US"/>
        </w:rPr>
        <w:object w:dxaOrig="2430" w:dyaOrig="690">
          <v:shape id="_x0000_i1037" type="#_x0000_t75" style="width:121.5pt;height:34.5pt" o:ole="" fillcolor="window">
            <v:imagedata r:id="rId31" o:title=""/>
          </v:shape>
          <o:OLEObject Type="Embed" ProgID="Equation.3" ShapeID="_x0000_i1037" DrawAspect="Content" ObjectID="_1530554937" r:id="rId32"/>
        </w:objec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(4).</w:t>
      </w:r>
    </w:p>
    <w:p w:rsidR="00B24A16" w:rsidRDefault="00B24A16" w:rsidP="00784AF0">
      <w:pPr>
        <w:spacing w:line="240" w:lineRule="auto"/>
        <w:ind w:firstLine="709"/>
        <w:jc w:val="both"/>
        <w:rPr>
          <w:rFonts w:ascii="Times New Roman" w:hAnsi="Times New Roman"/>
          <w:sz w:val="24"/>
          <w:szCs w:val="24"/>
          <w:lang w:val="en-US"/>
        </w:rPr>
      </w:pPr>
      <w:r>
        <w:rPr>
          <w:rFonts w:ascii="Times New Roman" w:hAnsi="Times New Roman"/>
          <w:sz w:val="24"/>
          <w:szCs w:val="24"/>
          <w:lang w:val="en-US"/>
        </w:rPr>
        <w:t xml:space="preserve">Note that a necessary condition for a positive rate of capacity utilization and </w:t>
      </w:r>
      <w:r w:rsidR="000E0876" w:rsidRPr="000E0876">
        <w:rPr>
          <w:rFonts w:ascii="Times New Roman" w:hAnsi="Times New Roman"/>
          <w:sz w:val="24"/>
          <w:szCs w:val="24"/>
          <w:lang w:val="en-US"/>
        </w:rPr>
        <w:t xml:space="preserve">profit </w:t>
      </w:r>
      <w:r w:rsidRPr="000E0876">
        <w:rPr>
          <w:rFonts w:ascii="Times New Roman" w:hAnsi="Times New Roman"/>
          <w:sz w:val="24"/>
          <w:szCs w:val="24"/>
          <w:lang w:val="en-US"/>
        </w:rPr>
        <w:t>rate</w:t>
      </w:r>
      <w:r>
        <w:rPr>
          <w:rFonts w:ascii="Times New Roman" w:hAnsi="Times New Roman"/>
          <w:sz w:val="24"/>
          <w:szCs w:val="24"/>
          <w:lang w:val="en-US"/>
        </w:rPr>
        <w:t xml:space="preserve"> is that the denominator of the right hand side of expressions (3) and (4) be positive, namely: </w:t>
      </w:r>
      <w:r>
        <w:rPr>
          <w:rFonts w:ascii="Times New Roman" w:hAnsi="Times New Roman"/>
          <w:position w:val="-12"/>
          <w:sz w:val="24"/>
          <w:szCs w:val="24"/>
          <w:lang w:val="en-US"/>
        </w:rPr>
        <w:object w:dxaOrig="2220" w:dyaOrig="345">
          <v:shape id="_x0000_i1038" type="#_x0000_t75" style="width:111pt;height:17.25pt" o:ole="" fillcolor="window">
            <v:imagedata r:id="rId33" o:title=""/>
          </v:shape>
          <o:OLEObject Type="Embed" ProgID="Equation.3" ShapeID="_x0000_i1038" DrawAspect="Content" ObjectID="_1530554938" r:id="rId34"/>
        </w:object>
      </w:r>
      <w:r>
        <w:rPr>
          <w:rFonts w:ascii="Times New Roman" w:hAnsi="Times New Roman"/>
          <w:sz w:val="24"/>
          <w:szCs w:val="24"/>
          <w:lang w:val="en-US"/>
        </w:rPr>
        <w:t xml:space="preserve">. From expression (4) it is possible to conclude that: </w:t>
      </w:r>
    </w:p>
    <w:p w:rsidR="00B24A16" w:rsidRDefault="00B24A16" w:rsidP="00784AF0">
      <w:pPr>
        <w:spacing w:line="240" w:lineRule="auto"/>
        <w:ind w:firstLine="2977"/>
        <w:jc w:val="both"/>
        <w:rPr>
          <w:rFonts w:ascii="Times New Roman" w:hAnsi="Times New Roman"/>
          <w:sz w:val="24"/>
          <w:szCs w:val="24"/>
          <w:lang w:val="en-US"/>
        </w:rPr>
      </w:pPr>
      <w:r>
        <w:rPr>
          <w:rFonts w:ascii="Times New Roman" w:hAnsi="Times New Roman"/>
          <w:position w:val="-30"/>
          <w:sz w:val="24"/>
          <w:szCs w:val="24"/>
          <w:lang w:val="en-US"/>
        </w:rPr>
        <w:object w:dxaOrig="3045" w:dyaOrig="705">
          <v:shape id="_x0000_i1039" type="#_x0000_t75" style="width:152.25pt;height:35.25pt" o:ole="" fillcolor="window">
            <v:imagedata r:id="rId35" o:title=""/>
          </v:shape>
          <o:OLEObject Type="Embed" ProgID="Equation.3" ShapeID="_x0000_i1039" DrawAspect="Content" ObjectID="_1530554939" r:id="rId36"/>
        </w:objec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(5).</w:t>
      </w:r>
    </w:p>
    <w:p w:rsidR="00B24A16" w:rsidRDefault="00B24A16" w:rsidP="00784AF0">
      <w:pPr>
        <w:spacing w:line="240" w:lineRule="auto"/>
        <w:ind w:firstLine="709"/>
        <w:jc w:val="both"/>
        <w:rPr>
          <w:rFonts w:ascii="Times New Roman" w:hAnsi="Times New Roman"/>
          <w:sz w:val="24"/>
          <w:szCs w:val="24"/>
          <w:lang w:val="en-US"/>
        </w:rPr>
      </w:pPr>
      <w:r>
        <w:rPr>
          <w:rFonts w:ascii="Times New Roman" w:hAnsi="Times New Roman"/>
          <w:sz w:val="24"/>
          <w:szCs w:val="24"/>
          <w:lang w:val="en-US"/>
        </w:rPr>
        <w:t xml:space="preserve">Since the denominator is positive, the sign of the derivative depends on the sign of the numerator. If </w:t>
      </w:r>
      <w:r>
        <w:rPr>
          <w:rFonts w:ascii="Times New Roman" w:hAnsi="Times New Roman"/>
          <w:position w:val="-28"/>
          <w:sz w:val="24"/>
          <w:szCs w:val="24"/>
          <w:lang w:val="en-US"/>
        </w:rPr>
        <w:object w:dxaOrig="1560" w:dyaOrig="675">
          <v:shape id="_x0000_i1040" type="#_x0000_t75" style="width:78pt;height:33.75pt" o:ole="" fillcolor="window">
            <v:imagedata r:id="rId37" o:title=""/>
          </v:shape>
          <o:OLEObject Type="Embed" ProgID="Equation.3" ShapeID="_x0000_i1040" DrawAspect="Content" ObjectID="_1530554940" r:id="rId38"/>
        </w:object>
      </w:r>
      <w:r>
        <w:rPr>
          <w:rFonts w:ascii="Times New Roman" w:hAnsi="Times New Roman"/>
          <w:sz w:val="24"/>
          <w:szCs w:val="24"/>
          <w:lang w:val="en-US"/>
        </w:rPr>
        <w:t xml:space="preserve"> then the sign of the derivative is positive (negative), meaning that the rate of capacity utilization is positively (negatively) affected by an increase in the profit-share, which yields a</w:t>
      </w:r>
      <w:r w:rsidR="00801B05">
        <w:rPr>
          <w:rFonts w:ascii="Times New Roman" w:hAnsi="Times New Roman"/>
          <w:sz w:val="24"/>
          <w:szCs w:val="24"/>
          <w:lang w:val="en-US"/>
        </w:rPr>
        <w:t>n</w:t>
      </w:r>
      <w:r>
        <w:rPr>
          <w:rFonts w:ascii="Times New Roman" w:hAnsi="Times New Roman"/>
          <w:sz w:val="24"/>
          <w:szCs w:val="24"/>
          <w:lang w:val="en-US"/>
        </w:rPr>
        <w:t xml:space="preserve"> </w:t>
      </w:r>
      <w:r>
        <w:rPr>
          <w:rFonts w:ascii="Times New Roman" w:eastAsia="Times New Roman" w:hAnsi="Times New Roman" w:cs="Times New Roman"/>
          <w:sz w:val="24"/>
          <w:szCs w:val="24"/>
          <w:lang w:val="en-US" w:eastAsia="pt-BR"/>
        </w:rPr>
        <w:t>‘</w:t>
      </w:r>
      <w:proofErr w:type="spellStart"/>
      <w:r>
        <w:rPr>
          <w:rFonts w:ascii="Times New Roman" w:eastAsia="Times New Roman" w:hAnsi="Times New Roman" w:cs="Times New Roman"/>
          <w:sz w:val="24"/>
          <w:szCs w:val="24"/>
          <w:lang w:val="en-US" w:eastAsia="pt-BR"/>
        </w:rPr>
        <w:t>exhilaritionist</w:t>
      </w:r>
      <w:proofErr w:type="spellEnd"/>
      <w:r>
        <w:rPr>
          <w:rFonts w:ascii="Times New Roman" w:eastAsia="Times New Roman" w:hAnsi="Times New Roman" w:cs="Times New Roman"/>
          <w:sz w:val="24"/>
          <w:szCs w:val="24"/>
          <w:lang w:val="en-US" w:eastAsia="pt-BR"/>
        </w:rPr>
        <w:t>’</w:t>
      </w:r>
      <w:r>
        <w:rPr>
          <w:rFonts w:ascii="Times New Roman" w:hAnsi="Times New Roman"/>
          <w:sz w:val="24"/>
          <w:szCs w:val="24"/>
          <w:lang w:val="en-US"/>
        </w:rPr>
        <w:t xml:space="preserve"> (‘stagnationist’). This result shows that the difference between the propensities to save out of profits and wages plays an important role in this analysis. On the one hand, by considering the stylized </w:t>
      </w:r>
      <w:proofErr w:type="gramStart"/>
      <w:r>
        <w:rPr>
          <w:rFonts w:ascii="Times New Roman" w:hAnsi="Times New Roman"/>
          <w:sz w:val="24"/>
          <w:szCs w:val="24"/>
          <w:lang w:val="en-US"/>
        </w:rPr>
        <w:t>fact</w:t>
      </w:r>
      <w:r w:rsidR="00801B05">
        <w:rPr>
          <w:rFonts w:ascii="Times New Roman" w:hAnsi="Times New Roman"/>
          <w:sz w:val="24"/>
          <w:szCs w:val="24"/>
          <w:lang w:val="en-US"/>
        </w:rPr>
        <w:t xml:space="preserve"> </w:t>
      </w:r>
      <w:r>
        <w:rPr>
          <w:rFonts w:ascii="Times New Roman" w:hAnsi="Times New Roman"/>
          <w:position w:val="-12"/>
          <w:sz w:val="24"/>
          <w:szCs w:val="24"/>
          <w:lang w:val="en-US"/>
        </w:rPr>
        <w:object w:dxaOrig="765" w:dyaOrig="375">
          <v:shape id="_x0000_i1041" type="#_x0000_t75" style="width:38.25pt;height:18.75pt" o:ole="" fillcolor="window">
            <v:imagedata r:id="rId39" o:title=""/>
          </v:shape>
          <o:OLEObject Type="Embed" ProgID="Equation.3" ShapeID="_x0000_i1041" DrawAspect="Content" ObjectID="_1530554941" r:id="rId40"/>
        </w:object>
      </w:r>
      <w:r>
        <w:rPr>
          <w:rFonts w:ascii="Times New Roman" w:hAnsi="Times New Roman"/>
          <w:sz w:val="24"/>
          <w:szCs w:val="24"/>
          <w:lang w:val="en-US"/>
        </w:rPr>
        <w:t xml:space="preserve"> , if the difference between </w:t>
      </w:r>
      <w:r>
        <w:rPr>
          <w:rFonts w:ascii="Times New Roman" w:hAnsi="Times New Roman"/>
          <w:position w:val="-12"/>
          <w:sz w:val="24"/>
          <w:szCs w:val="24"/>
          <w:lang w:val="en-US"/>
        </w:rPr>
        <w:object w:dxaOrig="270" w:dyaOrig="375">
          <v:shape id="_x0000_i1042" type="#_x0000_t75" style="width:13.5pt;height:18.75pt" o:ole="" fillcolor="window">
            <v:imagedata r:id="rId41" o:title=""/>
          </v:shape>
          <o:OLEObject Type="Embed" ProgID="Equation.3" ShapeID="_x0000_i1042" DrawAspect="Content" ObjectID="_1530554942" r:id="rId42"/>
        </w:object>
      </w:r>
      <w:r>
        <w:rPr>
          <w:rFonts w:ascii="Times New Roman" w:hAnsi="Times New Roman"/>
          <w:sz w:val="24"/>
          <w:szCs w:val="24"/>
          <w:lang w:val="en-US"/>
        </w:rPr>
        <w:t xml:space="preserve"> and </w:t>
      </w:r>
      <w:r>
        <w:rPr>
          <w:rFonts w:ascii="Times New Roman" w:hAnsi="Times New Roman"/>
          <w:position w:val="-12"/>
          <w:sz w:val="24"/>
          <w:szCs w:val="24"/>
          <w:lang w:val="en-US"/>
        </w:rPr>
        <w:object w:dxaOrig="270" w:dyaOrig="375">
          <v:shape id="_x0000_i1043" type="#_x0000_t75" style="width:13.5pt;height:18.75pt" o:ole="" fillcolor="window">
            <v:imagedata r:id="rId43" o:title=""/>
          </v:shape>
          <o:OLEObject Type="Embed" ProgID="Equation.3" ShapeID="_x0000_i1043" DrawAspect="Content" ObjectID="_1530554943" r:id="rId44"/>
        </w:object>
      </w:r>
      <w:r>
        <w:rPr>
          <w:rFonts w:ascii="Times New Roman" w:hAnsi="Times New Roman"/>
          <w:sz w:val="24"/>
          <w:szCs w:val="24"/>
          <w:lang w:val="en-US"/>
        </w:rPr>
        <w:t xml:space="preserve"> is sufficiently large in order to make </w:t>
      </w:r>
      <w:r>
        <w:rPr>
          <w:rFonts w:ascii="Times New Roman" w:hAnsi="Times New Roman"/>
          <w:position w:val="-12"/>
          <w:sz w:val="24"/>
          <w:szCs w:val="24"/>
          <w:lang w:val="en-US"/>
        </w:rPr>
        <w:object w:dxaOrig="1620" w:dyaOrig="375">
          <v:shape id="_x0000_i1044" type="#_x0000_t75" style="width:81pt;height:18.75pt" o:ole="" fillcolor="window">
            <v:imagedata r:id="rId45" o:title=""/>
          </v:shape>
          <o:OLEObject Type="Embed" ProgID="Equation.3" ShapeID="_x0000_i1044" DrawAspect="Content" ObjectID="_1530554944" r:id="rId46"/>
        </w:object>
      </w:r>
      <w:r>
        <w:rPr>
          <w:rFonts w:ascii="Times New Roman" w:hAnsi="Times New Roman"/>
          <w:sz w:val="24"/>
          <w:szCs w:val="24"/>
          <w:lang w:val="en-US"/>
        </w:rPr>
        <w:t xml:space="preserve">, then the most probable outcome is a ‘stagnationist’ regime. On the other hand, if the difference between </w:t>
      </w:r>
      <w:r>
        <w:rPr>
          <w:rFonts w:ascii="Times New Roman" w:hAnsi="Times New Roman"/>
          <w:position w:val="-12"/>
          <w:sz w:val="24"/>
          <w:szCs w:val="24"/>
          <w:lang w:val="en-US"/>
        </w:rPr>
        <w:object w:dxaOrig="270" w:dyaOrig="375">
          <v:shape id="_x0000_i1045" type="#_x0000_t75" style="width:13.5pt;height:18.75pt" o:ole="" fillcolor="window">
            <v:imagedata r:id="rId41" o:title=""/>
          </v:shape>
          <o:OLEObject Type="Embed" ProgID="Equation.3" ShapeID="_x0000_i1045" DrawAspect="Content" ObjectID="_1530554945" r:id="rId47"/>
        </w:object>
      </w:r>
      <w:r>
        <w:rPr>
          <w:rFonts w:ascii="Times New Roman" w:hAnsi="Times New Roman"/>
          <w:sz w:val="24"/>
          <w:szCs w:val="24"/>
          <w:lang w:val="en-US"/>
        </w:rPr>
        <w:t xml:space="preserve"> and </w:t>
      </w:r>
      <w:r>
        <w:rPr>
          <w:rFonts w:ascii="Times New Roman" w:hAnsi="Times New Roman"/>
          <w:position w:val="-12"/>
          <w:sz w:val="24"/>
          <w:szCs w:val="24"/>
          <w:lang w:val="en-US"/>
        </w:rPr>
        <w:object w:dxaOrig="270" w:dyaOrig="375">
          <v:shape id="_x0000_i1046" type="#_x0000_t75" style="width:13.5pt;height:18.75pt" o:ole="" fillcolor="window">
            <v:imagedata r:id="rId43" o:title=""/>
          </v:shape>
          <o:OLEObject Type="Embed" ProgID="Equation.3" ShapeID="_x0000_i1046" DrawAspect="Content" ObjectID="_1530554946" r:id="rId48"/>
        </w:object>
      </w:r>
      <w:r>
        <w:rPr>
          <w:rFonts w:ascii="Times New Roman" w:hAnsi="Times New Roman"/>
          <w:sz w:val="24"/>
          <w:szCs w:val="24"/>
          <w:lang w:val="en-US"/>
        </w:rPr>
        <w:t xml:space="preserve"> is sufficiently small that </w:t>
      </w:r>
      <w:r>
        <w:rPr>
          <w:rFonts w:ascii="Times New Roman" w:hAnsi="Times New Roman"/>
          <w:position w:val="-12"/>
          <w:sz w:val="24"/>
          <w:szCs w:val="24"/>
          <w:lang w:val="en-US"/>
        </w:rPr>
        <w:object w:dxaOrig="1620" w:dyaOrig="375">
          <v:shape id="_x0000_i1047" type="#_x0000_t75" style="width:81pt;height:18.75pt" o:ole="" fillcolor="window">
            <v:imagedata r:id="rId49" o:title=""/>
          </v:shape>
          <o:OLEObject Type="Embed" ProgID="Equation.3" ShapeID="_x0000_i1047" DrawAspect="Content" ObjectID="_1530554947" r:id="rId50"/>
        </w:object>
      </w:r>
      <w:r>
        <w:rPr>
          <w:rFonts w:ascii="Times New Roman" w:hAnsi="Times New Roman"/>
          <w:sz w:val="24"/>
          <w:szCs w:val="24"/>
          <w:lang w:val="en-US"/>
        </w:rPr>
        <w:t xml:space="preserve"> then an </w:t>
      </w:r>
      <w:r>
        <w:rPr>
          <w:rFonts w:ascii="Times New Roman" w:eastAsia="Times New Roman" w:hAnsi="Times New Roman" w:cs="Times New Roman"/>
          <w:sz w:val="24"/>
          <w:szCs w:val="24"/>
          <w:lang w:val="en-US" w:eastAsia="pt-BR"/>
        </w:rPr>
        <w:t>‘</w:t>
      </w:r>
      <w:proofErr w:type="spellStart"/>
      <w:r>
        <w:rPr>
          <w:rFonts w:ascii="Times New Roman" w:eastAsia="Times New Roman" w:hAnsi="Times New Roman" w:cs="Times New Roman"/>
          <w:sz w:val="24"/>
          <w:szCs w:val="24"/>
          <w:lang w:val="en-US" w:eastAsia="pt-BR"/>
        </w:rPr>
        <w:t>exhilaritionist</w:t>
      </w:r>
      <w:proofErr w:type="spellEnd"/>
      <w:r>
        <w:rPr>
          <w:rFonts w:ascii="Times New Roman" w:eastAsia="Times New Roman" w:hAnsi="Times New Roman" w:cs="Times New Roman"/>
          <w:sz w:val="24"/>
          <w:szCs w:val="24"/>
          <w:lang w:val="en-US" w:eastAsia="pt-BR"/>
        </w:rPr>
        <w:t xml:space="preserve">’ </w:t>
      </w:r>
      <w:r>
        <w:rPr>
          <w:rFonts w:ascii="Times New Roman" w:hAnsi="Times New Roman"/>
          <w:sz w:val="24"/>
          <w:szCs w:val="24"/>
          <w:lang w:val="en-US"/>
        </w:rPr>
        <w:t xml:space="preserve">outcome may be obtained. The insight for this result is straight: if the propensity to save out of profit is not much different the propensity of save out of wages, then an increase in the profit share may have a positive effect on the rate of capacity utilization due to its positive effect on aggregate consumption. The balanced growth rate of the economy, </w:t>
      </w:r>
      <w:r>
        <w:rPr>
          <w:rFonts w:ascii="Times New Roman" w:hAnsi="Times New Roman"/>
          <w:i/>
          <w:sz w:val="24"/>
          <w:szCs w:val="24"/>
          <w:lang w:val="en-US"/>
        </w:rPr>
        <w:t>g*</w:t>
      </w:r>
      <w:r>
        <w:rPr>
          <w:rFonts w:ascii="Times New Roman" w:hAnsi="Times New Roman"/>
          <w:sz w:val="24"/>
          <w:szCs w:val="24"/>
          <w:lang w:val="en-US"/>
        </w:rPr>
        <w:t>, is then obtained by replacing expressions (3) and (4) into (2), which yields:</w:t>
      </w:r>
    </w:p>
    <w:p w:rsidR="00B24A16" w:rsidRDefault="00B24A16" w:rsidP="00784AF0">
      <w:pPr>
        <w:spacing w:line="24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w:t>
      </w:r>
      <w:r w:rsidR="00182A9C">
        <w:rPr>
          <w:rFonts w:ascii="Times New Roman" w:hAnsi="Times New Roman"/>
          <w:sz w:val="24"/>
          <w:szCs w:val="24"/>
          <w:lang w:val="en-US"/>
        </w:rPr>
        <w:t xml:space="preserve">       </w:t>
      </w:r>
      <w:r>
        <w:rPr>
          <w:rFonts w:ascii="Times New Roman" w:hAnsi="Times New Roman"/>
          <w:sz w:val="24"/>
          <w:szCs w:val="24"/>
          <w:lang w:val="en-US"/>
        </w:rPr>
        <w:t xml:space="preserve">             </w:t>
      </w:r>
      <w:r>
        <w:rPr>
          <w:rFonts w:ascii="Times New Roman" w:hAnsi="Times New Roman"/>
          <w:position w:val="-30"/>
          <w:sz w:val="24"/>
          <w:szCs w:val="24"/>
          <w:lang w:val="en-US"/>
        </w:rPr>
        <w:object w:dxaOrig="3165" w:dyaOrig="705">
          <v:shape id="_x0000_i1048" type="#_x0000_t75" style="width:158.25pt;height:35.25pt" o:ole="" fillcolor="window">
            <v:imagedata r:id="rId51" o:title=""/>
          </v:shape>
          <o:OLEObject Type="Embed" ProgID="Equation.3" ShapeID="_x0000_i1048" DrawAspect="Content" ObjectID="_1530554948" r:id="rId52"/>
        </w:object>
      </w:r>
      <w:r>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 xml:space="preserve">(6).   </w:t>
      </w:r>
    </w:p>
    <w:p w:rsidR="00B24A16" w:rsidRDefault="00B24A16"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Taking the derivative of expression (6) in relation to the profit share, </w:t>
      </w:r>
      <w:r>
        <w:rPr>
          <w:rFonts w:ascii="Times New Roman" w:hAnsi="Times New Roman"/>
          <w:i/>
          <w:sz w:val="24"/>
          <w:szCs w:val="24"/>
          <w:lang w:val="en-US"/>
        </w:rPr>
        <w:t>π</w:t>
      </w:r>
      <w:r>
        <w:rPr>
          <w:rFonts w:ascii="Times New Roman" w:hAnsi="Times New Roman"/>
          <w:sz w:val="24"/>
          <w:szCs w:val="24"/>
          <w:lang w:val="en-US"/>
        </w:rPr>
        <w:t xml:space="preserve">, </w:t>
      </w:r>
      <w:proofErr w:type="gramStart"/>
      <w:r>
        <w:rPr>
          <w:rFonts w:ascii="Times New Roman" w:hAnsi="Times New Roman"/>
          <w:sz w:val="24"/>
          <w:szCs w:val="24"/>
          <w:lang w:val="en-US"/>
        </w:rPr>
        <w:t>one</w:t>
      </w:r>
      <w:proofErr w:type="gramEnd"/>
      <w:r>
        <w:rPr>
          <w:rFonts w:ascii="Times New Roman" w:hAnsi="Times New Roman"/>
          <w:sz w:val="24"/>
          <w:szCs w:val="24"/>
          <w:lang w:val="en-US"/>
        </w:rPr>
        <w:t xml:space="preserve"> obtains:</w:t>
      </w:r>
    </w:p>
    <w:p w:rsidR="00B24A16" w:rsidRDefault="00B24A16" w:rsidP="00784AF0">
      <w:pPr>
        <w:spacing w:line="240" w:lineRule="auto"/>
        <w:ind w:firstLine="2268"/>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position w:val="-30"/>
          <w:sz w:val="24"/>
          <w:szCs w:val="24"/>
          <w:lang w:val="en-US"/>
        </w:rPr>
        <w:object w:dxaOrig="3600" w:dyaOrig="705">
          <v:shape id="_x0000_i1049" type="#_x0000_t75" style="width:180pt;height:35.25pt" o:ole="" fillcolor="window">
            <v:imagedata r:id="rId53" o:title=""/>
          </v:shape>
          <o:OLEObject Type="Embed" ProgID="Equation.3" ShapeID="_x0000_i1049" DrawAspect="Content" ObjectID="_1530554949" r:id="rId54"/>
        </w:object>
      </w:r>
      <w:r>
        <w:rPr>
          <w:rFonts w:ascii="Times New Roman" w:hAnsi="Times New Roman"/>
          <w:sz w:val="24"/>
          <w:szCs w:val="24"/>
          <w:lang w:val="en-US"/>
        </w:rPr>
        <w:t xml:space="preserve">                             </w:t>
      </w:r>
      <w:r w:rsidR="00C379FD">
        <w:rPr>
          <w:rFonts w:ascii="Times New Roman" w:hAnsi="Times New Roman"/>
          <w:sz w:val="24"/>
          <w:szCs w:val="24"/>
          <w:lang w:val="en-US"/>
        </w:rPr>
        <w:t xml:space="preserve">     </w:t>
      </w:r>
      <w:r>
        <w:rPr>
          <w:rFonts w:ascii="Times New Roman" w:hAnsi="Times New Roman"/>
          <w:sz w:val="24"/>
          <w:szCs w:val="24"/>
          <w:lang w:val="en-US"/>
        </w:rPr>
        <w:t xml:space="preserve">      </w:t>
      </w:r>
      <w:r w:rsidR="00182A9C">
        <w:rPr>
          <w:rFonts w:ascii="Times New Roman" w:hAnsi="Times New Roman"/>
          <w:sz w:val="24"/>
          <w:szCs w:val="24"/>
          <w:lang w:val="en-US"/>
        </w:rPr>
        <w:t xml:space="preserve">      </w:t>
      </w:r>
      <w:r>
        <w:rPr>
          <w:rFonts w:ascii="Times New Roman" w:hAnsi="Times New Roman"/>
          <w:sz w:val="24"/>
          <w:szCs w:val="24"/>
          <w:lang w:val="en-US"/>
        </w:rPr>
        <w:t xml:space="preserve">(7).                     </w:t>
      </w:r>
    </w:p>
    <w:p w:rsidR="000C4E7E" w:rsidRDefault="00B24A16" w:rsidP="00784AF0">
      <w:pPr>
        <w:spacing w:line="240" w:lineRule="auto"/>
        <w:ind w:firstLine="709"/>
        <w:jc w:val="both"/>
        <w:rPr>
          <w:rFonts w:ascii="Times New Roman" w:hAnsi="Times New Roman"/>
          <w:sz w:val="24"/>
          <w:szCs w:val="24"/>
          <w:lang w:val="en-US"/>
        </w:rPr>
      </w:pPr>
      <w:r>
        <w:rPr>
          <w:rFonts w:ascii="Times New Roman" w:hAnsi="Times New Roman"/>
          <w:sz w:val="24"/>
          <w:szCs w:val="24"/>
          <w:lang w:val="en-US"/>
        </w:rPr>
        <w:t xml:space="preserve">By rearranging terms, it is possible to conclude that the sign of the derivative depends on the sign of the numerator. By considering the stylized </w:t>
      </w:r>
      <w:proofErr w:type="gramStart"/>
      <w:r>
        <w:rPr>
          <w:rFonts w:ascii="Times New Roman" w:hAnsi="Times New Roman"/>
          <w:sz w:val="24"/>
          <w:szCs w:val="24"/>
          <w:lang w:val="en-US"/>
        </w:rPr>
        <w:t xml:space="preserve">fact </w:t>
      </w:r>
      <w:proofErr w:type="gramEnd"/>
      <w:r>
        <w:rPr>
          <w:rFonts w:ascii="Times New Roman" w:hAnsi="Times New Roman"/>
          <w:position w:val="-12"/>
          <w:sz w:val="24"/>
          <w:szCs w:val="24"/>
          <w:lang w:val="en-US"/>
        </w:rPr>
        <w:object w:dxaOrig="765" w:dyaOrig="375">
          <v:shape id="_x0000_i1050" type="#_x0000_t75" style="width:38.25pt;height:18.75pt" o:ole="" fillcolor="window">
            <v:imagedata r:id="rId39" o:title=""/>
          </v:shape>
          <o:OLEObject Type="Embed" ProgID="Equation.3" ShapeID="_x0000_i1050" DrawAspect="Content" ObjectID="_1530554950" r:id="rId55"/>
        </w:object>
      </w:r>
      <w:r>
        <w:rPr>
          <w:rFonts w:ascii="Times New Roman" w:hAnsi="Times New Roman"/>
          <w:sz w:val="24"/>
          <w:szCs w:val="24"/>
          <w:lang w:val="en-US"/>
        </w:rPr>
        <w:t xml:space="preserve">, if the profit effect is stronger than the capacity effect, meaning that </w:t>
      </w:r>
      <w:r>
        <w:rPr>
          <w:rFonts w:ascii="Times New Roman" w:hAnsi="Times New Roman"/>
          <w:position w:val="-10"/>
          <w:sz w:val="24"/>
          <w:szCs w:val="24"/>
          <w:lang w:val="en-US"/>
        </w:rPr>
        <w:object w:dxaOrig="1290" w:dyaOrig="315">
          <v:shape id="_x0000_i1051" type="#_x0000_t75" style="width:64.5pt;height:15.75pt" o:ole="" fillcolor="window">
            <v:imagedata r:id="rId56" o:title=""/>
          </v:shape>
          <o:OLEObject Type="Embed" ProgID="Equation.3" ShapeID="_x0000_i1051" DrawAspect="Content" ObjectID="_1530554951" r:id="rId57"/>
        </w:object>
      </w:r>
      <w:r>
        <w:rPr>
          <w:rFonts w:ascii="Times New Roman" w:hAnsi="Times New Roman"/>
          <w:sz w:val="24"/>
          <w:szCs w:val="24"/>
          <w:lang w:val="en-US"/>
        </w:rPr>
        <w:t xml:space="preserve">, growth is profit-led since the numerator will be unambiguously positive. </w:t>
      </w:r>
      <w:proofErr w:type="gramStart"/>
      <w:r>
        <w:rPr>
          <w:rFonts w:ascii="Times New Roman" w:hAnsi="Times New Roman"/>
          <w:sz w:val="24"/>
          <w:szCs w:val="24"/>
          <w:lang w:val="en-US"/>
        </w:rPr>
        <w:t xml:space="preserve">If </w:t>
      </w:r>
      <w:proofErr w:type="gramEnd"/>
      <w:r>
        <w:rPr>
          <w:rFonts w:ascii="Times New Roman" w:hAnsi="Times New Roman"/>
          <w:position w:val="-10"/>
          <w:sz w:val="24"/>
          <w:szCs w:val="24"/>
          <w:lang w:val="en-US"/>
        </w:rPr>
        <w:object w:dxaOrig="1290" w:dyaOrig="315">
          <v:shape id="_x0000_i1052" type="#_x0000_t75" style="width:64.5pt;height:15.75pt" o:ole="" fillcolor="window">
            <v:imagedata r:id="rId58" o:title=""/>
          </v:shape>
          <o:OLEObject Type="Embed" ProgID="Equation.3" ShapeID="_x0000_i1052" DrawAspect="Content" ObjectID="_1530554952" r:id="rId59"/>
        </w:object>
      </w:r>
      <w:r>
        <w:rPr>
          <w:rFonts w:ascii="Times New Roman" w:hAnsi="Times New Roman"/>
          <w:sz w:val="24"/>
          <w:szCs w:val="24"/>
          <w:lang w:val="en-US"/>
        </w:rPr>
        <w:t xml:space="preserve">, the sign of the numerator will depend both on the magnitude of the difference between </w:t>
      </w:r>
      <w:r>
        <w:rPr>
          <w:rFonts w:ascii="Times New Roman" w:hAnsi="Times New Roman"/>
          <w:position w:val="-12"/>
          <w:sz w:val="24"/>
          <w:szCs w:val="24"/>
          <w:lang w:val="en-US"/>
        </w:rPr>
        <w:object w:dxaOrig="270" w:dyaOrig="375">
          <v:shape id="_x0000_i1053" type="#_x0000_t75" style="width:13.5pt;height:18.75pt" o:ole="" fillcolor="window">
            <v:imagedata r:id="rId41" o:title=""/>
          </v:shape>
          <o:OLEObject Type="Embed" ProgID="Equation.3" ShapeID="_x0000_i1053" DrawAspect="Content" ObjectID="_1530554953" r:id="rId60"/>
        </w:object>
      </w:r>
      <w:r>
        <w:rPr>
          <w:rFonts w:ascii="Times New Roman" w:hAnsi="Times New Roman"/>
          <w:sz w:val="24"/>
          <w:szCs w:val="24"/>
          <w:lang w:val="en-US"/>
        </w:rPr>
        <w:t xml:space="preserve"> and </w:t>
      </w:r>
      <w:r>
        <w:rPr>
          <w:rFonts w:ascii="Times New Roman" w:hAnsi="Times New Roman"/>
          <w:position w:val="-12"/>
          <w:sz w:val="24"/>
          <w:szCs w:val="24"/>
          <w:lang w:val="en-US"/>
        </w:rPr>
        <w:object w:dxaOrig="270" w:dyaOrig="375">
          <v:shape id="_x0000_i1054" type="#_x0000_t75" style="width:13.5pt;height:18.75pt" o:ole="" fillcolor="window">
            <v:imagedata r:id="rId43" o:title=""/>
          </v:shape>
          <o:OLEObject Type="Embed" ProgID="Equation.3" ShapeID="_x0000_i1054" DrawAspect="Content" ObjectID="_1530554954" r:id="rId61"/>
        </w:object>
      </w:r>
      <w:r>
        <w:rPr>
          <w:rFonts w:ascii="Times New Roman" w:hAnsi="Times New Roman"/>
          <w:sz w:val="24"/>
          <w:szCs w:val="24"/>
          <w:lang w:val="en-US"/>
        </w:rPr>
        <w:t xml:space="preserve"> </w:t>
      </w:r>
      <w:proofErr w:type="spellStart"/>
      <w:r>
        <w:rPr>
          <w:rFonts w:ascii="Times New Roman" w:hAnsi="Times New Roman"/>
          <w:sz w:val="24"/>
          <w:szCs w:val="24"/>
          <w:lang w:val="en-US"/>
        </w:rPr>
        <w:t>and</w:t>
      </w:r>
      <w:proofErr w:type="spellEnd"/>
      <w:r>
        <w:rPr>
          <w:rFonts w:ascii="Times New Roman" w:hAnsi="Times New Roman"/>
          <w:sz w:val="24"/>
          <w:szCs w:val="24"/>
          <w:lang w:val="en-US"/>
        </w:rPr>
        <w:t xml:space="preserve"> on the term </w:t>
      </w:r>
      <w:r>
        <w:rPr>
          <w:rFonts w:ascii="Times New Roman" w:hAnsi="Times New Roman"/>
          <w:position w:val="-12"/>
          <w:sz w:val="24"/>
          <w:szCs w:val="24"/>
          <w:lang w:val="en-US"/>
        </w:rPr>
        <w:object w:dxaOrig="405" w:dyaOrig="375">
          <v:shape id="_x0000_i1055" type="#_x0000_t75" style="width:20.25pt;height:18.75pt" o:ole="" fillcolor="window">
            <v:imagedata r:id="rId62" o:title=""/>
          </v:shape>
          <o:OLEObject Type="Embed" ProgID="Equation.3" ShapeID="_x0000_i1055" DrawAspect="Content" ObjectID="_1530554955" r:id="rId63"/>
        </w:object>
      </w:r>
      <w:r>
        <w:rPr>
          <w:rFonts w:ascii="Times New Roman" w:hAnsi="Times New Roman"/>
          <w:sz w:val="24"/>
          <w:szCs w:val="24"/>
          <w:lang w:val="en-US"/>
        </w:rPr>
        <w:t xml:space="preserve">. If </w:t>
      </w:r>
      <w:r>
        <w:rPr>
          <w:rFonts w:ascii="Times New Roman" w:hAnsi="Times New Roman"/>
          <w:position w:val="-14"/>
          <w:sz w:val="24"/>
          <w:szCs w:val="24"/>
          <w:lang w:val="en-US"/>
        </w:rPr>
        <w:object w:dxaOrig="2565" w:dyaOrig="405">
          <v:shape id="_x0000_i1056" type="#_x0000_t75" style="width:128.25pt;height:20.25pt" o:ole="" fillcolor="window">
            <v:imagedata r:id="rId64" o:title=""/>
          </v:shape>
          <o:OLEObject Type="Embed" ProgID="Equation.3" ShapeID="_x0000_i1056" DrawAspect="Content" ObjectID="_1530554956" r:id="rId65"/>
        </w:object>
      </w:r>
      <w:r>
        <w:rPr>
          <w:rFonts w:ascii="Times New Roman" w:hAnsi="Times New Roman"/>
          <w:sz w:val="24"/>
          <w:szCs w:val="24"/>
          <w:lang w:val="en-US"/>
        </w:rPr>
        <w:t xml:space="preserve"> then the regime is still profit-led but if </w:t>
      </w:r>
      <w:r>
        <w:rPr>
          <w:rFonts w:ascii="Times New Roman" w:hAnsi="Times New Roman"/>
          <w:position w:val="-14"/>
          <w:sz w:val="24"/>
          <w:szCs w:val="24"/>
          <w:lang w:val="en-US"/>
        </w:rPr>
        <w:object w:dxaOrig="2565" w:dyaOrig="405">
          <v:shape id="_x0000_i1057" type="#_x0000_t75" style="width:128.25pt;height:20.25pt" o:ole="" fillcolor="window">
            <v:imagedata r:id="rId66" o:title=""/>
          </v:shape>
          <o:OLEObject Type="Embed" ProgID="Equation.3" ShapeID="_x0000_i1057" DrawAspect="Content" ObjectID="_1530554957" r:id="rId67"/>
        </w:object>
      </w:r>
      <w:r>
        <w:rPr>
          <w:rFonts w:ascii="Times New Roman" w:hAnsi="Times New Roman"/>
          <w:sz w:val="24"/>
          <w:szCs w:val="24"/>
          <w:lang w:val="en-US"/>
        </w:rPr>
        <w:t xml:space="preserve"> then the regime will be wage-led. </w:t>
      </w:r>
      <w:r w:rsidR="000C4E7E">
        <w:rPr>
          <w:rFonts w:ascii="Times New Roman" w:hAnsi="Times New Roman"/>
          <w:sz w:val="24"/>
          <w:szCs w:val="24"/>
          <w:lang w:val="en-US"/>
        </w:rPr>
        <w:t>These results emphasized the point raised by Blecker (2002) and Hein (2014) that the scope for wage-</w:t>
      </w:r>
      <w:proofErr w:type="spellStart"/>
      <w:r w:rsidR="000C4E7E">
        <w:rPr>
          <w:rFonts w:ascii="Times New Roman" w:hAnsi="Times New Roman"/>
          <w:sz w:val="24"/>
          <w:szCs w:val="24"/>
          <w:lang w:val="en-US"/>
        </w:rPr>
        <w:t>ledness</w:t>
      </w:r>
      <w:proofErr w:type="spellEnd"/>
      <w:r w:rsidR="000C4E7E">
        <w:rPr>
          <w:rFonts w:ascii="Times New Roman" w:hAnsi="Times New Roman"/>
          <w:sz w:val="24"/>
          <w:szCs w:val="24"/>
          <w:lang w:val="en-US"/>
        </w:rPr>
        <w:t xml:space="preserve"> is reduced when the possibility of savings out of wages</w:t>
      </w:r>
      <w:r w:rsidR="00AD1BA4">
        <w:rPr>
          <w:rFonts w:ascii="Times New Roman" w:hAnsi="Times New Roman"/>
          <w:sz w:val="24"/>
          <w:szCs w:val="24"/>
          <w:lang w:val="en-US"/>
        </w:rPr>
        <w:t xml:space="preserve"> is taken into account</w:t>
      </w:r>
      <w:r w:rsidR="000C4E7E">
        <w:rPr>
          <w:rFonts w:ascii="Times New Roman" w:hAnsi="Times New Roman"/>
          <w:sz w:val="24"/>
          <w:szCs w:val="24"/>
          <w:lang w:val="en-US"/>
        </w:rPr>
        <w:t xml:space="preserve">, since a wage-led regime requires a high differential between the propensities to save form profits and wages. </w:t>
      </w:r>
    </w:p>
    <w:p w:rsidR="009A722A" w:rsidRDefault="00AD1BA4" w:rsidP="00784AF0">
      <w:pPr>
        <w:spacing w:line="240" w:lineRule="auto"/>
        <w:ind w:firstLine="709"/>
        <w:jc w:val="both"/>
        <w:rPr>
          <w:rFonts w:ascii="Times New Roman" w:hAnsi="Times New Roman"/>
          <w:sz w:val="24"/>
          <w:szCs w:val="24"/>
          <w:lang w:val="en-US"/>
        </w:rPr>
      </w:pPr>
      <w:r>
        <w:rPr>
          <w:rFonts w:ascii="Times New Roman" w:hAnsi="Times New Roman"/>
          <w:sz w:val="24"/>
          <w:szCs w:val="24"/>
          <w:lang w:val="en-US"/>
        </w:rPr>
        <w:t>As highlighted by Hein (2014), i</w:t>
      </w:r>
      <w:r w:rsidR="00C92D6D">
        <w:rPr>
          <w:rFonts w:ascii="Times New Roman" w:hAnsi="Times New Roman"/>
          <w:sz w:val="24"/>
          <w:szCs w:val="24"/>
          <w:lang w:val="en-US"/>
        </w:rPr>
        <w:t xml:space="preserve">n this set-up it is also possible to obtain an intermediate regime that corresponds to the case in which the demand is wage-led and accumulation </w:t>
      </w:r>
      <w:r w:rsidR="003E00E5">
        <w:rPr>
          <w:rFonts w:ascii="Times New Roman" w:hAnsi="Times New Roman"/>
          <w:sz w:val="24"/>
          <w:szCs w:val="24"/>
          <w:lang w:val="en-US"/>
        </w:rPr>
        <w:t xml:space="preserve">(and </w:t>
      </w:r>
      <w:r w:rsidR="008C3139">
        <w:rPr>
          <w:rFonts w:ascii="Times New Roman" w:hAnsi="Times New Roman"/>
          <w:sz w:val="24"/>
          <w:szCs w:val="24"/>
          <w:lang w:val="en-US"/>
        </w:rPr>
        <w:t xml:space="preserve">thus </w:t>
      </w:r>
      <w:r w:rsidR="003E00E5">
        <w:rPr>
          <w:rFonts w:ascii="Times New Roman" w:hAnsi="Times New Roman"/>
          <w:sz w:val="24"/>
          <w:szCs w:val="24"/>
          <w:lang w:val="en-US"/>
        </w:rPr>
        <w:t xml:space="preserve">growth) </w:t>
      </w:r>
      <w:r w:rsidR="00C92D6D">
        <w:rPr>
          <w:rFonts w:ascii="Times New Roman" w:hAnsi="Times New Roman"/>
          <w:sz w:val="24"/>
          <w:szCs w:val="24"/>
          <w:lang w:val="en-US"/>
        </w:rPr>
        <w:t>is profit-led, namely</w:t>
      </w:r>
      <w:r w:rsidR="003E00E5">
        <w:rPr>
          <w:rFonts w:ascii="Times New Roman" w:hAnsi="Times New Roman"/>
          <w:sz w:val="24"/>
          <w:szCs w:val="24"/>
          <w:lang w:val="en-US"/>
        </w:rPr>
        <w:t xml:space="preserve"> </w:t>
      </w:r>
      <w:r w:rsidR="00C92D6D" w:rsidRPr="00C92D6D">
        <w:rPr>
          <w:rFonts w:ascii="Times New Roman" w:hAnsi="Times New Roman"/>
          <w:position w:val="-24"/>
          <w:sz w:val="24"/>
          <w:szCs w:val="24"/>
          <w:lang w:val="en-US"/>
        </w:rPr>
        <w:object w:dxaOrig="840" w:dyaOrig="620">
          <v:shape id="_x0000_i1058" type="#_x0000_t75" style="width:42pt;height:31.5pt" o:ole="" fillcolor="window">
            <v:imagedata r:id="rId68" o:title=""/>
          </v:shape>
          <o:OLEObject Type="Embed" ProgID="Equation.3" ShapeID="_x0000_i1058" DrawAspect="Content" ObjectID="_1530554958" r:id="rId69"/>
        </w:object>
      </w:r>
      <w:r w:rsidR="003E00E5">
        <w:rPr>
          <w:rFonts w:ascii="Times New Roman" w:hAnsi="Times New Roman"/>
          <w:sz w:val="24"/>
          <w:szCs w:val="24"/>
          <w:lang w:val="en-US"/>
        </w:rPr>
        <w:t xml:space="preserve"> </w:t>
      </w:r>
      <w:r w:rsidR="00C92D6D">
        <w:rPr>
          <w:rFonts w:ascii="Times New Roman" w:hAnsi="Times New Roman"/>
          <w:sz w:val="24"/>
          <w:szCs w:val="24"/>
          <w:lang w:val="en-US"/>
        </w:rPr>
        <w:t>and</w:t>
      </w:r>
      <w:r w:rsidR="003E00E5">
        <w:rPr>
          <w:rFonts w:ascii="Times New Roman" w:hAnsi="Times New Roman"/>
          <w:sz w:val="24"/>
          <w:szCs w:val="24"/>
          <w:lang w:val="en-US"/>
        </w:rPr>
        <w:t xml:space="preserve"> </w:t>
      </w:r>
      <w:r w:rsidR="00C92D6D" w:rsidRPr="00C92D6D">
        <w:rPr>
          <w:rFonts w:ascii="Times New Roman" w:hAnsi="Times New Roman"/>
          <w:position w:val="-24"/>
          <w:sz w:val="24"/>
          <w:szCs w:val="24"/>
          <w:lang w:val="en-US"/>
        </w:rPr>
        <w:object w:dxaOrig="840" w:dyaOrig="620">
          <v:shape id="_x0000_i1059" type="#_x0000_t75" style="width:42pt;height:31.5pt" o:ole="" fillcolor="window">
            <v:imagedata r:id="rId70" o:title=""/>
          </v:shape>
          <o:OLEObject Type="Embed" ProgID="Equation.3" ShapeID="_x0000_i1059" DrawAspect="Content" ObjectID="_1530554959" r:id="rId71"/>
        </w:object>
      </w:r>
      <w:r w:rsidR="00C92D6D">
        <w:rPr>
          <w:rFonts w:ascii="Times New Roman" w:hAnsi="Times New Roman"/>
          <w:sz w:val="24"/>
          <w:szCs w:val="24"/>
          <w:lang w:val="en-US"/>
        </w:rPr>
        <w:t xml:space="preserve"> respectively. This regime occurs if </w:t>
      </w:r>
      <w:r w:rsidR="00C92D6D" w:rsidRPr="00C92D6D">
        <w:rPr>
          <w:rFonts w:ascii="Times New Roman" w:hAnsi="Times New Roman"/>
          <w:position w:val="-12"/>
          <w:sz w:val="24"/>
          <w:szCs w:val="24"/>
          <w:lang w:val="en-US"/>
        </w:rPr>
        <w:object w:dxaOrig="1579" w:dyaOrig="360">
          <v:shape id="_x0000_i1060" type="#_x0000_t75" style="width:78.75pt;height:18pt" o:ole="" fillcolor="window">
            <v:imagedata r:id="rId72" o:title=""/>
          </v:shape>
          <o:OLEObject Type="Embed" ProgID="Equation.3" ShapeID="_x0000_i1060" DrawAspect="Content" ObjectID="_1530554960" r:id="rId73"/>
        </w:object>
      </w:r>
      <w:proofErr w:type="spellStart"/>
      <w:r w:rsidR="00C92D6D">
        <w:rPr>
          <w:rFonts w:ascii="Times New Roman" w:hAnsi="Times New Roman"/>
          <w:sz w:val="24"/>
          <w:szCs w:val="24"/>
          <w:lang w:val="en-US"/>
        </w:rPr>
        <w:t>and</w:t>
      </w:r>
      <w:proofErr w:type="spellEnd"/>
      <w:r w:rsidR="00C92D6D">
        <w:rPr>
          <w:rFonts w:ascii="Times New Roman" w:hAnsi="Times New Roman"/>
          <w:position w:val="-14"/>
          <w:sz w:val="24"/>
          <w:szCs w:val="24"/>
          <w:lang w:val="en-US"/>
        </w:rPr>
        <w:object w:dxaOrig="2565" w:dyaOrig="405">
          <v:shape id="_x0000_i1061" type="#_x0000_t75" style="width:128.25pt;height:20.25pt" o:ole="" fillcolor="window">
            <v:imagedata r:id="rId66" o:title=""/>
          </v:shape>
          <o:OLEObject Type="Embed" ProgID="Equation.3" ShapeID="_x0000_i1061" DrawAspect="Content" ObjectID="_1530554961" r:id="rId74"/>
        </w:object>
      </w:r>
      <w:r w:rsidR="008C3139">
        <w:rPr>
          <w:rFonts w:ascii="Times New Roman" w:hAnsi="Times New Roman"/>
          <w:sz w:val="24"/>
          <w:szCs w:val="24"/>
          <w:lang w:val="en-US"/>
        </w:rPr>
        <w:t>. In this case, a</w:t>
      </w:r>
      <w:r w:rsidR="007F6A54">
        <w:rPr>
          <w:rFonts w:ascii="Times New Roman" w:eastAsia="TimesNewRoman" w:hAnsi="Times New Roman" w:cs="Times New Roman"/>
          <w:sz w:val="24"/>
          <w:szCs w:val="24"/>
          <w:lang w:val="en-GB"/>
        </w:rPr>
        <w:t xml:space="preserve">ccording to </w:t>
      </w:r>
      <w:r w:rsidR="007F6A54">
        <w:rPr>
          <w:rFonts w:ascii="Times New Roman" w:hAnsi="Times New Roman"/>
          <w:sz w:val="24"/>
          <w:szCs w:val="24"/>
          <w:lang w:val="en-US"/>
        </w:rPr>
        <w:t>Hein (2014, p. 2</w:t>
      </w:r>
      <w:r w:rsidR="008C3139">
        <w:rPr>
          <w:rFonts w:ascii="Times New Roman" w:hAnsi="Times New Roman"/>
          <w:sz w:val="24"/>
          <w:szCs w:val="24"/>
          <w:lang w:val="en-US"/>
        </w:rPr>
        <w:t>62</w:t>
      </w:r>
      <w:r w:rsidR="007F6A54">
        <w:rPr>
          <w:rFonts w:ascii="Times New Roman" w:hAnsi="Times New Roman"/>
          <w:sz w:val="24"/>
          <w:szCs w:val="24"/>
          <w:lang w:val="en-US"/>
        </w:rPr>
        <w:t>), “a</w:t>
      </w:r>
      <w:r w:rsidR="007F6A54" w:rsidRPr="007F6A54">
        <w:rPr>
          <w:rFonts w:ascii="Times New Roman" w:hAnsi="Times New Roman"/>
          <w:sz w:val="24"/>
          <w:szCs w:val="24"/>
          <w:lang w:val="en-US"/>
        </w:rPr>
        <w:t>lthough redistribution in favor of wages is expansionary with respect to aggregate demand and capacity utilization, it will not be supported by capitalists because it will mean a lower rate of profit to them</w:t>
      </w:r>
      <w:r w:rsidR="007F6A54">
        <w:rPr>
          <w:rFonts w:ascii="Times New Roman" w:hAnsi="Times New Roman"/>
          <w:sz w:val="24"/>
          <w:szCs w:val="24"/>
          <w:lang w:val="en-US"/>
        </w:rPr>
        <w:t>”</w:t>
      </w:r>
      <w:r w:rsidR="00C92D6D">
        <w:rPr>
          <w:rFonts w:ascii="Times New Roman" w:hAnsi="Times New Roman"/>
          <w:sz w:val="24"/>
          <w:szCs w:val="24"/>
          <w:lang w:val="en-US"/>
        </w:rPr>
        <w:t xml:space="preserve">. </w:t>
      </w:r>
    </w:p>
    <w:p w:rsidR="00B24A16" w:rsidRDefault="008C3139" w:rsidP="00784AF0">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In summary</w:t>
      </w:r>
      <w:r w:rsidR="00B24A16">
        <w:rPr>
          <w:rFonts w:ascii="Times New Roman" w:hAnsi="Times New Roman"/>
          <w:sz w:val="24"/>
          <w:szCs w:val="24"/>
          <w:lang w:val="en-US"/>
        </w:rPr>
        <w:t>, t</w:t>
      </w:r>
      <w:r w:rsidR="00C92D6D">
        <w:rPr>
          <w:rFonts w:ascii="Times New Roman" w:hAnsi="Times New Roman"/>
          <w:sz w:val="24"/>
          <w:szCs w:val="24"/>
          <w:lang w:val="en-US"/>
        </w:rPr>
        <w:t>hree</w:t>
      </w:r>
      <w:r w:rsidR="00B24A16">
        <w:rPr>
          <w:rFonts w:ascii="Times New Roman" w:hAnsi="Times New Roman"/>
          <w:sz w:val="24"/>
          <w:szCs w:val="24"/>
          <w:lang w:val="en-US"/>
        </w:rPr>
        <w:t xml:space="preserve"> regimes are possible</w:t>
      </w:r>
      <w:r w:rsidR="00AD1BA4">
        <w:rPr>
          <w:rFonts w:ascii="Times New Roman" w:hAnsi="Times New Roman"/>
          <w:sz w:val="24"/>
          <w:szCs w:val="24"/>
          <w:lang w:val="en-US"/>
        </w:rPr>
        <w:t xml:space="preserve"> in the </w:t>
      </w:r>
      <w:r w:rsidR="00E04A86">
        <w:rPr>
          <w:rFonts w:ascii="Times New Roman" w:hAnsi="Times New Roman"/>
          <w:sz w:val="24"/>
          <w:szCs w:val="24"/>
          <w:lang w:val="en-US"/>
        </w:rPr>
        <w:t xml:space="preserve">canonical </w:t>
      </w:r>
      <w:proofErr w:type="spellStart"/>
      <w:r w:rsidR="001F401A">
        <w:rPr>
          <w:rFonts w:ascii="Times New Roman" w:hAnsi="Times New Roman"/>
          <w:sz w:val="24"/>
          <w:szCs w:val="24"/>
          <w:lang w:val="en-US"/>
        </w:rPr>
        <w:t>Bhaduri-Marglin</w:t>
      </w:r>
      <w:proofErr w:type="spellEnd"/>
      <w:r w:rsidR="001F401A">
        <w:rPr>
          <w:rFonts w:ascii="Times New Roman" w:hAnsi="Times New Roman"/>
          <w:sz w:val="24"/>
          <w:szCs w:val="24"/>
          <w:lang w:val="en-US"/>
        </w:rPr>
        <w:t xml:space="preserve"> </w:t>
      </w:r>
      <w:r w:rsidR="00C77EDC">
        <w:rPr>
          <w:rFonts w:ascii="Times New Roman" w:hAnsi="Times New Roman"/>
          <w:sz w:val="24"/>
          <w:szCs w:val="24"/>
          <w:lang w:val="en-US"/>
        </w:rPr>
        <w:t>P</w:t>
      </w:r>
      <w:r w:rsidR="00AD1BA4">
        <w:rPr>
          <w:rFonts w:ascii="Times New Roman" w:hAnsi="Times New Roman"/>
          <w:sz w:val="24"/>
          <w:szCs w:val="24"/>
          <w:lang w:val="en-US"/>
        </w:rPr>
        <w:t>ost-Kaleckian model when we allow savings out of wages</w:t>
      </w:r>
      <w:r w:rsidR="00E04A86">
        <w:rPr>
          <w:rFonts w:ascii="Times New Roman" w:hAnsi="Times New Roman"/>
          <w:sz w:val="24"/>
          <w:szCs w:val="24"/>
          <w:lang w:val="en-US"/>
        </w:rPr>
        <w:t>,</w:t>
      </w:r>
      <w:r w:rsidR="00AD1BA4">
        <w:rPr>
          <w:rFonts w:ascii="Times New Roman" w:hAnsi="Times New Roman"/>
          <w:sz w:val="24"/>
          <w:szCs w:val="24"/>
          <w:lang w:val="en-US"/>
        </w:rPr>
        <w:t xml:space="preserve"> and they</w:t>
      </w:r>
      <w:r w:rsidR="00B24A16">
        <w:rPr>
          <w:rFonts w:ascii="Times New Roman" w:hAnsi="Times New Roman"/>
          <w:sz w:val="24"/>
          <w:szCs w:val="24"/>
          <w:lang w:val="en-US"/>
        </w:rPr>
        <w:t xml:space="preserve"> depend</w:t>
      </w:r>
      <w:r w:rsidR="00AD1BA4">
        <w:rPr>
          <w:rFonts w:ascii="Times New Roman" w:hAnsi="Times New Roman"/>
          <w:sz w:val="24"/>
          <w:szCs w:val="24"/>
          <w:lang w:val="en-US"/>
        </w:rPr>
        <w:t xml:space="preserve"> </w:t>
      </w:r>
      <w:r w:rsidR="00B24A16">
        <w:rPr>
          <w:rFonts w:ascii="Times New Roman" w:hAnsi="Times New Roman"/>
          <w:sz w:val="24"/>
          <w:szCs w:val="24"/>
          <w:lang w:val="en-US"/>
        </w:rPr>
        <w:t>not only on the relative magnitudes of capacity utilization and profit share effects in the investment function but also on the</w:t>
      </w:r>
      <w:r w:rsidR="00AD1BA4">
        <w:rPr>
          <w:rFonts w:ascii="Times New Roman" w:hAnsi="Times New Roman"/>
          <w:sz w:val="24"/>
          <w:szCs w:val="24"/>
          <w:lang w:val="en-US"/>
        </w:rPr>
        <w:t xml:space="preserve"> magnitudes of</w:t>
      </w:r>
      <w:r w:rsidR="00B24A16">
        <w:rPr>
          <w:rFonts w:ascii="Times New Roman" w:hAnsi="Times New Roman"/>
          <w:sz w:val="24"/>
          <w:szCs w:val="24"/>
          <w:lang w:val="en-US"/>
        </w:rPr>
        <w:t xml:space="preserve"> propensities to save out of wages and profits</w:t>
      </w:r>
      <w:r w:rsidR="00784AF0">
        <w:rPr>
          <w:rFonts w:ascii="Times New Roman" w:hAnsi="Times New Roman"/>
          <w:sz w:val="24"/>
          <w:szCs w:val="24"/>
          <w:lang w:val="en-US"/>
        </w:rPr>
        <w:t xml:space="preserve"> (and these are empirical questions)</w:t>
      </w:r>
      <w:r w:rsidR="00B24A16">
        <w:rPr>
          <w:rFonts w:ascii="Times New Roman" w:hAnsi="Times New Roman"/>
          <w:sz w:val="24"/>
          <w:szCs w:val="24"/>
          <w:lang w:val="en-US"/>
        </w:rPr>
        <w:t xml:space="preserve">.  </w:t>
      </w:r>
      <w:r>
        <w:rPr>
          <w:rFonts w:ascii="Times New Roman" w:hAnsi="Times New Roman"/>
          <w:sz w:val="24"/>
          <w:szCs w:val="24"/>
          <w:lang w:val="en-US"/>
        </w:rPr>
        <w:t xml:space="preserve"> </w:t>
      </w:r>
    </w:p>
    <w:p w:rsidR="00B24A16" w:rsidRDefault="00B24A16" w:rsidP="00784AF0">
      <w:pPr>
        <w:spacing w:line="240" w:lineRule="auto"/>
        <w:rPr>
          <w:rFonts w:ascii="Times New Roman" w:hAnsi="Times New Roman" w:cs="Times New Roman"/>
          <w:b/>
          <w:sz w:val="24"/>
          <w:szCs w:val="24"/>
          <w:lang w:val="en-US"/>
        </w:rPr>
      </w:pPr>
      <w:r>
        <w:rPr>
          <w:rFonts w:ascii="Times New Roman" w:hAnsi="Times New Roman"/>
          <w:b/>
          <w:sz w:val="24"/>
          <w:szCs w:val="24"/>
          <w:lang w:val="en-US"/>
        </w:rPr>
        <w:t xml:space="preserve">3. </w:t>
      </w:r>
      <w:r>
        <w:rPr>
          <w:rFonts w:ascii="Times New Roman" w:hAnsi="Times New Roman" w:cs="Times New Roman"/>
          <w:b/>
          <w:sz w:val="24"/>
          <w:szCs w:val="24"/>
          <w:lang w:val="en-US"/>
        </w:rPr>
        <w:t xml:space="preserve">Review of the Empirical Literature </w:t>
      </w:r>
    </w:p>
    <w:p w:rsidR="00852D7D" w:rsidRPr="00142908" w:rsidRDefault="00B24A16" w:rsidP="00784AF0">
      <w:pPr>
        <w:autoSpaceDE w:val="0"/>
        <w:autoSpaceDN w:val="0"/>
        <w:adjustRightInd w:val="0"/>
        <w:spacing w:after="0" w:line="240" w:lineRule="auto"/>
        <w:jc w:val="both"/>
        <w:rPr>
          <w:rFonts w:ascii="Times New Roman" w:hAnsi="Times New Roman" w:cs="Times New Roman"/>
          <w:sz w:val="24"/>
          <w:szCs w:val="24"/>
          <w:lang w:val="en-US"/>
        </w:rPr>
      </w:pPr>
      <w:r w:rsidRPr="00142908">
        <w:rPr>
          <w:rFonts w:ascii="Times New Roman" w:hAnsi="Times New Roman" w:cs="Times New Roman"/>
          <w:sz w:val="24"/>
          <w:szCs w:val="24"/>
          <w:lang w:val="en-US"/>
        </w:rPr>
        <w:t xml:space="preserve">The seminal </w:t>
      </w:r>
      <w:proofErr w:type="spellStart"/>
      <w:r w:rsidRPr="00142908">
        <w:rPr>
          <w:rFonts w:ascii="Times New Roman" w:hAnsi="Times New Roman" w:cs="Times New Roman"/>
          <w:sz w:val="24"/>
          <w:szCs w:val="24"/>
          <w:lang w:val="en-US"/>
        </w:rPr>
        <w:t>Bhaduri-Marglin’s</w:t>
      </w:r>
      <w:proofErr w:type="spellEnd"/>
      <w:r w:rsidRPr="00142908">
        <w:rPr>
          <w:rFonts w:ascii="Times New Roman" w:hAnsi="Times New Roman" w:cs="Times New Roman"/>
          <w:sz w:val="24"/>
          <w:szCs w:val="24"/>
          <w:lang w:val="en-US"/>
        </w:rPr>
        <w:t xml:space="preserve"> model has motivated a series of empirical works </w:t>
      </w:r>
      <w:r w:rsidRPr="00142908">
        <w:rPr>
          <w:rFonts w:ascii="Times New Roman" w:hAnsi="Times New Roman" w:cs="Times New Roman"/>
          <w:color w:val="000000"/>
          <w:sz w:val="24"/>
          <w:szCs w:val="24"/>
          <w:shd w:val="clear" w:color="auto" w:fill="FFFFFF"/>
          <w:lang w:val="en-US"/>
        </w:rPr>
        <w:t>related to growth regimes and functional income distribution. Since the contribution of Bowl</w:t>
      </w:r>
      <w:r w:rsidR="00754366" w:rsidRPr="00142908">
        <w:rPr>
          <w:rFonts w:ascii="Times New Roman" w:hAnsi="Times New Roman" w:cs="Times New Roman"/>
          <w:color w:val="000000"/>
          <w:sz w:val="24"/>
          <w:szCs w:val="24"/>
          <w:shd w:val="clear" w:color="auto" w:fill="FFFFFF"/>
          <w:lang w:val="en-US"/>
        </w:rPr>
        <w:t>e</w:t>
      </w:r>
      <w:r w:rsidRPr="00142908">
        <w:rPr>
          <w:rFonts w:ascii="Times New Roman" w:hAnsi="Times New Roman" w:cs="Times New Roman"/>
          <w:color w:val="000000"/>
          <w:sz w:val="24"/>
          <w:szCs w:val="24"/>
          <w:shd w:val="clear" w:color="auto" w:fill="FFFFFF"/>
          <w:lang w:val="en-US"/>
        </w:rPr>
        <w:t xml:space="preserve">s and Boyer (1995), the empirical research on </w:t>
      </w:r>
      <w:r w:rsidR="00C77EDC">
        <w:rPr>
          <w:rFonts w:ascii="Times New Roman" w:hAnsi="Times New Roman" w:cs="Times New Roman"/>
          <w:color w:val="000000"/>
          <w:sz w:val="24"/>
          <w:szCs w:val="24"/>
          <w:shd w:val="clear" w:color="auto" w:fill="FFFFFF"/>
          <w:lang w:val="en-US"/>
        </w:rPr>
        <w:t>P</w:t>
      </w:r>
      <w:r w:rsidRPr="00142908">
        <w:rPr>
          <w:rFonts w:ascii="Times New Roman" w:hAnsi="Times New Roman" w:cs="Times New Roman"/>
          <w:color w:val="000000"/>
          <w:sz w:val="24"/>
          <w:szCs w:val="24"/>
          <w:shd w:val="clear" w:color="auto" w:fill="FFFFFF"/>
          <w:lang w:val="en-US"/>
        </w:rPr>
        <w:t>ost-</w:t>
      </w:r>
      <w:r w:rsidR="004C6D89">
        <w:rPr>
          <w:rFonts w:ascii="Times New Roman" w:hAnsi="Times New Roman" w:cs="Times New Roman"/>
          <w:color w:val="000000"/>
          <w:sz w:val="24"/>
          <w:szCs w:val="24"/>
          <w:shd w:val="clear" w:color="auto" w:fill="FFFFFF"/>
          <w:lang w:val="en-US"/>
        </w:rPr>
        <w:t>K</w:t>
      </w:r>
      <w:r w:rsidRPr="00142908">
        <w:rPr>
          <w:rFonts w:ascii="Times New Roman" w:hAnsi="Times New Roman" w:cs="Times New Roman"/>
          <w:color w:val="000000"/>
          <w:sz w:val="24"/>
          <w:szCs w:val="24"/>
          <w:shd w:val="clear" w:color="auto" w:fill="FFFFFF"/>
          <w:lang w:val="en-US"/>
        </w:rPr>
        <w:t xml:space="preserve">aleckian literature has </w:t>
      </w:r>
      <w:r w:rsidR="004C6D89">
        <w:rPr>
          <w:rFonts w:ascii="Times New Roman" w:hAnsi="Times New Roman" w:cs="Times New Roman"/>
          <w:color w:val="000000"/>
          <w:sz w:val="24"/>
          <w:szCs w:val="24"/>
          <w:shd w:val="clear" w:color="auto" w:fill="FFFFFF"/>
          <w:lang w:val="en-US"/>
        </w:rPr>
        <w:t>become</w:t>
      </w:r>
      <w:r w:rsidRPr="00142908">
        <w:rPr>
          <w:rFonts w:ascii="Times New Roman" w:hAnsi="Times New Roman" w:cs="Times New Roman"/>
          <w:color w:val="000000"/>
          <w:sz w:val="24"/>
          <w:szCs w:val="24"/>
          <w:shd w:val="clear" w:color="auto" w:fill="FFFFFF"/>
          <w:lang w:val="en-US"/>
        </w:rPr>
        <w:t xml:space="preserve"> fruitful, especially for </w:t>
      </w:r>
      <w:r w:rsidR="00551129" w:rsidRPr="00142908">
        <w:rPr>
          <w:rFonts w:ascii="Times New Roman" w:hAnsi="Times New Roman" w:cs="Times New Roman"/>
          <w:color w:val="000000"/>
          <w:sz w:val="24"/>
          <w:szCs w:val="24"/>
          <w:shd w:val="clear" w:color="auto" w:fill="FFFFFF"/>
          <w:lang w:val="en-US"/>
        </w:rPr>
        <w:t xml:space="preserve">the case of </w:t>
      </w:r>
      <w:r w:rsidRPr="00142908">
        <w:rPr>
          <w:rFonts w:ascii="Times New Roman" w:hAnsi="Times New Roman" w:cs="Times New Roman"/>
          <w:color w:val="000000"/>
          <w:sz w:val="24"/>
          <w:szCs w:val="24"/>
          <w:shd w:val="clear" w:color="auto" w:fill="FFFFFF"/>
          <w:lang w:val="en-US"/>
        </w:rPr>
        <w:t xml:space="preserve">advanced capitalist countries. As pointed by Blecker (2016), two empirical strategies had been used to test the wage-led/profit-led hypothesis: the structural </w:t>
      </w:r>
      <w:r w:rsidR="00650416" w:rsidRPr="00142908">
        <w:rPr>
          <w:rFonts w:ascii="Times New Roman" w:hAnsi="Times New Roman" w:cs="Times New Roman"/>
          <w:color w:val="000000"/>
          <w:sz w:val="24"/>
          <w:szCs w:val="24"/>
          <w:shd w:val="clear" w:color="auto" w:fill="FFFFFF"/>
          <w:lang w:val="en-US"/>
        </w:rPr>
        <w:t xml:space="preserve">approach </w:t>
      </w:r>
      <w:r w:rsidRPr="00142908">
        <w:rPr>
          <w:rFonts w:ascii="Times New Roman" w:hAnsi="Times New Roman" w:cs="Times New Roman"/>
          <w:color w:val="000000"/>
          <w:sz w:val="24"/>
          <w:szCs w:val="24"/>
          <w:shd w:val="clear" w:color="auto" w:fill="FFFFFF"/>
          <w:lang w:val="en-US"/>
        </w:rPr>
        <w:t>(</w:t>
      </w:r>
      <w:r w:rsidR="00650416" w:rsidRPr="00142908">
        <w:rPr>
          <w:rFonts w:ascii="Times New Roman" w:hAnsi="Times New Roman" w:cs="Times New Roman"/>
          <w:color w:val="000000"/>
          <w:sz w:val="24"/>
          <w:szCs w:val="24"/>
          <w:shd w:val="clear" w:color="auto" w:fill="FFFFFF"/>
          <w:lang w:val="en-US"/>
        </w:rPr>
        <w:t xml:space="preserve">or </w:t>
      </w:r>
      <w:r w:rsidRPr="00142908">
        <w:rPr>
          <w:rFonts w:ascii="Times New Roman" w:hAnsi="Times New Roman" w:cs="Times New Roman"/>
          <w:color w:val="000000"/>
          <w:sz w:val="24"/>
          <w:szCs w:val="24"/>
          <w:shd w:val="clear" w:color="auto" w:fill="FFFFFF"/>
          <w:lang w:val="en-US"/>
        </w:rPr>
        <w:t>single-equation</w:t>
      </w:r>
      <w:r w:rsidR="00650416" w:rsidRPr="00142908">
        <w:rPr>
          <w:rFonts w:ascii="Times New Roman" w:hAnsi="Times New Roman" w:cs="Times New Roman"/>
          <w:color w:val="000000"/>
          <w:sz w:val="24"/>
          <w:szCs w:val="24"/>
          <w:shd w:val="clear" w:color="auto" w:fill="FFFFFF"/>
          <w:lang w:val="en-US"/>
        </w:rPr>
        <w:t xml:space="preserve"> approach</w:t>
      </w:r>
      <w:r w:rsidRPr="00142908">
        <w:rPr>
          <w:rFonts w:ascii="Times New Roman" w:hAnsi="Times New Roman" w:cs="Times New Roman"/>
          <w:color w:val="000000"/>
          <w:sz w:val="24"/>
          <w:szCs w:val="24"/>
          <w:shd w:val="clear" w:color="auto" w:fill="FFFFFF"/>
          <w:lang w:val="en-US"/>
        </w:rPr>
        <w:t xml:space="preserve">) and the aggregative </w:t>
      </w:r>
      <w:r w:rsidR="00650416" w:rsidRPr="00142908">
        <w:rPr>
          <w:rFonts w:ascii="Times New Roman" w:hAnsi="Times New Roman" w:cs="Times New Roman"/>
          <w:color w:val="000000"/>
          <w:sz w:val="24"/>
          <w:szCs w:val="24"/>
          <w:shd w:val="clear" w:color="auto" w:fill="FFFFFF"/>
          <w:lang w:val="en-US"/>
        </w:rPr>
        <w:t xml:space="preserve">approach </w:t>
      </w:r>
      <w:r w:rsidRPr="00142908">
        <w:rPr>
          <w:rFonts w:ascii="Times New Roman" w:hAnsi="Times New Roman" w:cs="Times New Roman"/>
          <w:color w:val="000000"/>
          <w:sz w:val="24"/>
          <w:szCs w:val="24"/>
          <w:shd w:val="clear" w:color="auto" w:fill="FFFFFF"/>
          <w:lang w:val="en-US"/>
        </w:rPr>
        <w:t>(</w:t>
      </w:r>
      <w:r w:rsidR="00650416" w:rsidRPr="00142908">
        <w:rPr>
          <w:rFonts w:ascii="Times New Roman" w:hAnsi="Times New Roman" w:cs="Times New Roman"/>
          <w:color w:val="000000"/>
          <w:sz w:val="24"/>
          <w:szCs w:val="24"/>
          <w:shd w:val="clear" w:color="auto" w:fill="FFFFFF"/>
          <w:lang w:val="en-US"/>
        </w:rPr>
        <w:t xml:space="preserve">or </w:t>
      </w:r>
      <w:r w:rsidRPr="00142908">
        <w:rPr>
          <w:rFonts w:ascii="Times New Roman" w:hAnsi="Times New Roman" w:cs="Times New Roman"/>
          <w:color w:val="000000"/>
          <w:sz w:val="24"/>
          <w:szCs w:val="24"/>
          <w:shd w:val="clear" w:color="auto" w:fill="FFFFFF"/>
          <w:lang w:val="en-US"/>
        </w:rPr>
        <w:t xml:space="preserve">system approach). The first strategy </w:t>
      </w:r>
      <w:r w:rsidR="00142908" w:rsidRPr="00142908">
        <w:rPr>
          <w:rFonts w:ascii="Times New Roman" w:eastAsia="TimesNewRoman" w:hAnsi="Times New Roman" w:cs="Times New Roman"/>
          <w:sz w:val="24"/>
          <w:szCs w:val="24"/>
          <w:lang w:val="en-GB"/>
        </w:rPr>
        <w:t xml:space="preserve">takes income distribution as exogenous, and </w:t>
      </w:r>
      <w:r w:rsidRPr="00142908">
        <w:rPr>
          <w:rFonts w:ascii="Times New Roman" w:hAnsi="Times New Roman" w:cs="Times New Roman"/>
          <w:color w:val="000000"/>
          <w:sz w:val="24"/>
          <w:szCs w:val="24"/>
          <w:shd w:val="clear" w:color="auto" w:fill="FFFFFF"/>
          <w:lang w:val="en-US"/>
        </w:rPr>
        <w:t>is based on estimating separated equations to consumption, investment and net exports</w:t>
      </w:r>
      <w:r w:rsidR="00142908" w:rsidRPr="00142908">
        <w:rPr>
          <w:rFonts w:ascii="Times New Roman" w:hAnsi="Times New Roman" w:cs="Times New Roman"/>
          <w:color w:val="000000"/>
          <w:sz w:val="24"/>
          <w:szCs w:val="24"/>
          <w:shd w:val="clear" w:color="auto" w:fill="FFFFFF"/>
          <w:lang w:val="en-US"/>
        </w:rPr>
        <w:t xml:space="preserve">. The </w:t>
      </w:r>
      <w:r w:rsidRPr="00142908">
        <w:rPr>
          <w:rFonts w:ascii="Times New Roman" w:hAnsi="Times New Roman" w:cs="Times New Roman"/>
          <w:color w:val="000000"/>
          <w:sz w:val="24"/>
          <w:szCs w:val="24"/>
          <w:shd w:val="clear" w:color="auto" w:fill="FFFFFF"/>
          <w:lang w:val="en-US"/>
        </w:rPr>
        <w:t xml:space="preserve">growth regime </w:t>
      </w:r>
      <w:r w:rsidR="00142908" w:rsidRPr="00142908">
        <w:rPr>
          <w:rFonts w:ascii="Times New Roman" w:hAnsi="Times New Roman" w:cs="Times New Roman"/>
          <w:color w:val="000000"/>
          <w:sz w:val="24"/>
          <w:szCs w:val="24"/>
          <w:shd w:val="clear" w:color="auto" w:fill="FFFFFF"/>
          <w:lang w:val="en-US"/>
        </w:rPr>
        <w:t xml:space="preserve">in this case </w:t>
      </w:r>
      <w:r w:rsidRPr="00142908">
        <w:rPr>
          <w:rFonts w:ascii="Times New Roman" w:hAnsi="Times New Roman" w:cs="Times New Roman"/>
          <w:color w:val="000000"/>
          <w:sz w:val="24"/>
          <w:szCs w:val="24"/>
          <w:shd w:val="clear" w:color="auto" w:fill="FFFFFF"/>
          <w:lang w:val="en-US"/>
        </w:rPr>
        <w:t>depend</w:t>
      </w:r>
      <w:r w:rsidR="00142908" w:rsidRPr="00142908">
        <w:rPr>
          <w:rFonts w:ascii="Times New Roman" w:hAnsi="Times New Roman" w:cs="Times New Roman"/>
          <w:color w:val="000000"/>
          <w:sz w:val="24"/>
          <w:szCs w:val="24"/>
          <w:shd w:val="clear" w:color="auto" w:fill="FFFFFF"/>
          <w:lang w:val="en-US"/>
        </w:rPr>
        <w:t>s</w:t>
      </w:r>
      <w:r w:rsidRPr="00142908">
        <w:rPr>
          <w:rFonts w:ascii="Times New Roman" w:hAnsi="Times New Roman" w:cs="Times New Roman"/>
          <w:color w:val="000000"/>
          <w:sz w:val="24"/>
          <w:szCs w:val="24"/>
          <w:shd w:val="clear" w:color="auto" w:fill="FFFFFF"/>
          <w:lang w:val="en-US"/>
        </w:rPr>
        <w:t xml:space="preserve"> on the </w:t>
      </w:r>
      <w:r w:rsidRPr="00142908">
        <w:rPr>
          <w:rFonts w:ascii="Times New Roman" w:hAnsi="Times New Roman" w:cs="Times New Roman"/>
          <w:color w:val="000000"/>
          <w:sz w:val="24"/>
          <w:szCs w:val="24"/>
          <w:shd w:val="clear" w:color="auto" w:fill="FFFFFF"/>
          <w:lang w:val="en-US"/>
        </w:rPr>
        <w:lastRenderedPageBreak/>
        <w:t>magnitude of parameters related to income distribution in each equation</w:t>
      </w:r>
      <w:r w:rsidRPr="00142908">
        <w:rPr>
          <w:rStyle w:val="Refdenotaderodap"/>
          <w:rFonts w:ascii="Times New Roman" w:hAnsi="Times New Roman" w:cs="Times New Roman"/>
          <w:color w:val="000000"/>
          <w:sz w:val="24"/>
          <w:szCs w:val="24"/>
          <w:shd w:val="clear" w:color="auto" w:fill="FFFFFF"/>
          <w:lang w:val="en-US"/>
        </w:rPr>
        <w:footnoteReference w:id="5"/>
      </w:r>
      <w:r w:rsidRPr="00142908">
        <w:rPr>
          <w:rFonts w:ascii="Times New Roman" w:hAnsi="Times New Roman" w:cs="Times New Roman"/>
          <w:color w:val="000000"/>
          <w:sz w:val="24"/>
          <w:szCs w:val="24"/>
          <w:shd w:val="clear" w:color="auto" w:fill="FFFFFF"/>
          <w:lang w:val="en-US"/>
        </w:rPr>
        <w:t xml:space="preserve">. The second one (the strategy that we will use in this paper) is </w:t>
      </w:r>
      <w:r w:rsidR="00142908" w:rsidRPr="00142908">
        <w:rPr>
          <w:rFonts w:ascii="Times New Roman" w:hAnsi="Times New Roman" w:cs="Times New Roman"/>
          <w:color w:val="000000"/>
          <w:sz w:val="24"/>
          <w:szCs w:val="24"/>
          <w:shd w:val="clear" w:color="auto" w:fill="FFFFFF"/>
          <w:lang w:val="en-US"/>
        </w:rPr>
        <w:t xml:space="preserve">a </w:t>
      </w:r>
      <w:r w:rsidR="00142908" w:rsidRPr="00142908">
        <w:rPr>
          <w:rFonts w:ascii="Times New Roman" w:eastAsia="TimesNewRoman" w:hAnsi="Times New Roman" w:cs="Times New Roman"/>
          <w:sz w:val="24"/>
          <w:szCs w:val="24"/>
          <w:lang w:val="en-GB"/>
        </w:rPr>
        <w:t xml:space="preserve">simultaneous approach </w:t>
      </w:r>
      <w:r w:rsidRPr="00142908">
        <w:rPr>
          <w:rFonts w:ascii="Times New Roman" w:hAnsi="Times New Roman" w:cs="Times New Roman"/>
          <w:color w:val="000000"/>
          <w:sz w:val="24"/>
          <w:szCs w:val="24"/>
          <w:shd w:val="clear" w:color="auto" w:fill="FFFFFF"/>
          <w:lang w:val="en-US"/>
        </w:rPr>
        <w:t>based on VAR analysis,</w:t>
      </w:r>
      <w:r w:rsidR="00142908" w:rsidRPr="00142908">
        <w:rPr>
          <w:rFonts w:ascii="Times New Roman" w:hAnsi="Times New Roman" w:cs="Times New Roman"/>
          <w:color w:val="000000"/>
          <w:sz w:val="24"/>
          <w:szCs w:val="24"/>
          <w:shd w:val="clear" w:color="auto" w:fill="FFFFFF"/>
          <w:lang w:val="en-US"/>
        </w:rPr>
        <w:t xml:space="preserve"> and considers that income distribution is endogenous. Hence the</w:t>
      </w:r>
      <w:r w:rsidRPr="00142908">
        <w:rPr>
          <w:rFonts w:ascii="Times New Roman" w:hAnsi="Times New Roman" w:cs="Times New Roman"/>
          <w:color w:val="000000"/>
          <w:sz w:val="24"/>
          <w:szCs w:val="24"/>
          <w:shd w:val="clear" w:color="auto" w:fill="FFFFFF"/>
          <w:lang w:val="en-US"/>
        </w:rPr>
        <w:t xml:space="preserve"> growth regime depend</w:t>
      </w:r>
      <w:r w:rsidR="00142908" w:rsidRPr="00142908">
        <w:rPr>
          <w:rFonts w:ascii="Times New Roman" w:hAnsi="Times New Roman" w:cs="Times New Roman"/>
          <w:color w:val="000000"/>
          <w:sz w:val="24"/>
          <w:szCs w:val="24"/>
          <w:shd w:val="clear" w:color="auto" w:fill="FFFFFF"/>
          <w:lang w:val="en-US"/>
        </w:rPr>
        <w:t>s</w:t>
      </w:r>
      <w:r w:rsidRPr="00142908">
        <w:rPr>
          <w:rFonts w:ascii="Times New Roman" w:hAnsi="Times New Roman" w:cs="Times New Roman"/>
          <w:color w:val="000000"/>
          <w:sz w:val="24"/>
          <w:szCs w:val="24"/>
          <w:shd w:val="clear" w:color="auto" w:fill="FFFFFF"/>
          <w:lang w:val="en-US"/>
        </w:rPr>
        <w:t xml:space="preserve"> on the response o</w:t>
      </w:r>
      <w:r w:rsidR="004C6D89">
        <w:rPr>
          <w:rFonts w:ascii="Times New Roman" w:hAnsi="Times New Roman" w:cs="Times New Roman"/>
          <w:color w:val="000000"/>
          <w:sz w:val="24"/>
          <w:szCs w:val="24"/>
          <w:shd w:val="clear" w:color="auto" w:fill="FFFFFF"/>
          <w:lang w:val="en-US"/>
        </w:rPr>
        <w:t xml:space="preserve">f </w:t>
      </w:r>
      <w:r w:rsidRPr="00142908">
        <w:rPr>
          <w:rFonts w:ascii="Times New Roman" w:hAnsi="Times New Roman" w:cs="Times New Roman"/>
          <w:color w:val="000000"/>
          <w:sz w:val="24"/>
          <w:szCs w:val="24"/>
          <w:shd w:val="clear" w:color="auto" w:fill="FFFFFF"/>
          <w:lang w:val="en-US"/>
        </w:rPr>
        <w:t xml:space="preserve">growth, capital accumulation rate or capacity utilization to income distribution shocks. In this literature review we will focus </w:t>
      </w:r>
      <w:r w:rsidR="004C6D89">
        <w:rPr>
          <w:rFonts w:ascii="Times New Roman" w:hAnsi="Times New Roman" w:cs="Times New Roman"/>
          <w:color w:val="000000"/>
          <w:sz w:val="24"/>
          <w:szCs w:val="24"/>
          <w:shd w:val="clear" w:color="auto" w:fill="FFFFFF"/>
          <w:lang w:val="en-US"/>
        </w:rPr>
        <w:t>on</w:t>
      </w:r>
      <w:r w:rsidRPr="00142908">
        <w:rPr>
          <w:rFonts w:ascii="Times New Roman" w:hAnsi="Times New Roman" w:cs="Times New Roman"/>
          <w:color w:val="000000"/>
          <w:sz w:val="24"/>
          <w:szCs w:val="24"/>
          <w:shd w:val="clear" w:color="auto" w:fill="FFFFFF"/>
          <w:lang w:val="en-US"/>
        </w:rPr>
        <w:t xml:space="preserve"> two group of studies: </w:t>
      </w:r>
      <w:proofErr w:type="spellStart"/>
      <w:r w:rsidRPr="00142908">
        <w:rPr>
          <w:rFonts w:ascii="Times New Roman" w:hAnsi="Times New Roman" w:cs="Times New Roman"/>
          <w:color w:val="000000"/>
          <w:sz w:val="24"/>
          <w:szCs w:val="24"/>
          <w:shd w:val="clear" w:color="auto" w:fill="FFFFFF"/>
          <w:lang w:val="en-US"/>
        </w:rPr>
        <w:t>i</w:t>
      </w:r>
      <w:proofErr w:type="spellEnd"/>
      <w:r w:rsidRPr="00142908">
        <w:rPr>
          <w:rFonts w:ascii="Times New Roman" w:hAnsi="Times New Roman" w:cs="Times New Roman"/>
          <w:color w:val="000000"/>
          <w:sz w:val="24"/>
          <w:szCs w:val="24"/>
          <w:shd w:val="clear" w:color="auto" w:fill="FFFFFF"/>
          <w:lang w:val="en-US"/>
        </w:rPr>
        <w:t xml:space="preserve">) in the estimates based on system approach </w:t>
      </w:r>
      <w:r w:rsidR="00852D7D" w:rsidRPr="00142908">
        <w:rPr>
          <w:rFonts w:ascii="Times New Roman" w:hAnsi="Times New Roman" w:cs="Times New Roman"/>
          <w:color w:val="000000"/>
          <w:sz w:val="24"/>
          <w:szCs w:val="24"/>
          <w:shd w:val="clear" w:color="auto" w:fill="FFFFFF"/>
          <w:lang w:val="en-US"/>
        </w:rPr>
        <w:t xml:space="preserve">considering the international literature </w:t>
      </w:r>
      <w:r w:rsidRPr="00142908">
        <w:rPr>
          <w:rFonts w:ascii="Times New Roman" w:hAnsi="Times New Roman" w:cs="Times New Roman"/>
          <w:color w:val="000000"/>
          <w:sz w:val="24"/>
          <w:szCs w:val="24"/>
          <w:shd w:val="clear" w:color="auto" w:fill="FFFFFF"/>
          <w:lang w:val="en-US"/>
        </w:rPr>
        <w:t xml:space="preserve">and ii) in the available empirical works related to </w:t>
      </w:r>
      <w:r w:rsidR="00A017ED">
        <w:rPr>
          <w:rFonts w:ascii="Times New Roman" w:hAnsi="Times New Roman" w:cs="Times New Roman"/>
          <w:color w:val="000000"/>
          <w:sz w:val="24"/>
          <w:szCs w:val="24"/>
          <w:shd w:val="clear" w:color="auto" w:fill="FFFFFF"/>
          <w:lang w:val="en-US"/>
        </w:rPr>
        <w:t xml:space="preserve">the </w:t>
      </w:r>
      <w:r w:rsidRPr="00142908">
        <w:rPr>
          <w:rFonts w:ascii="Times New Roman" w:hAnsi="Times New Roman" w:cs="Times New Roman"/>
          <w:color w:val="000000"/>
          <w:sz w:val="24"/>
          <w:szCs w:val="24"/>
          <w:shd w:val="clear" w:color="auto" w:fill="FFFFFF"/>
          <w:lang w:val="en-US"/>
        </w:rPr>
        <w:t>Brazilian economy</w:t>
      </w:r>
      <w:r w:rsidR="00852D7D" w:rsidRPr="00142908">
        <w:rPr>
          <w:rFonts w:ascii="Times New Roman" w:hAnsi="Times New Roman" w:cs="Times New Roman"/>
          <w:sz w:val="24"/>
          <w:szCs w:val="24"/>
          <w:lang w:val="en-US"/>
        </w:rPr>
        <w:t xml:space="preserve">, regardless of the empirical methodology used.     </w:t>
      </w:r>
    </w:p>
    <w:p w:rsidR="00852D7D" w:rsidRPr="00B24A16" w:rsidRDefault="00852D7D" w:rsidP="00784AF0">
      <w:pPr>
        <w:spacing w:before="120" w:after="120" w:line="240" w:lineRule="auto"/>
        <w:jc w:val="both"/>
        <w:rPr>
          <w:rFonts w:ascii="Times New Roman" w:hAnsi="Times New Roman" w:cs="Times New Roman"/>
          <w:i/>
          <w:sz w:val="24"/>
          <w:szCs w:val="24"/>
          <w:lang w:val="en-US"/>
        </w:rPr>
      </w:pPr>
      <w:r w:rsidRPr="00B24A16">
        <w:rPr>
          <w:rFonts w:ascii="Times New Roman" w:hAnsi="Times New Roman" w:cs="Times New Roman"/>
          <w:i/>
          <w:sz w:val="24"/>
          <w:szCs w:val="24"/>
          <w:lang w:val="en-US"/>
        </w:rPr>
        <w:t xml:space="preserve">3.1 International literature </w:t>
      </w:r>
    </w:p>
    <w:p w:rsidR="00AB3045" w:rsidRDefault="00852D7D" w:rsidP="00784AF0">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roofErr w:type="spellStart"/>
      <w:r w:rsidRPr="004C6D89">
        <w:rPr>
          <w:rFonts w:ascii="Times New Roman" w:hAnsi="Times New Roman" w:cs="Times New Roman"/>
          <w:color w:val="000000"/>
          <w:sz w:val="24"/>
          <w:szCs w:val="24"/>
          <w:shd w:val="clear" w:color="auto" w:fill="FFFFFF"/>
          <w:lang w:val="en-US"/>
        </w:rPr>
        <w:t>S</w:t>
      </w:r>
      <w:r w:rsidR="00B24A16" w:rsidRPr="004C6D89">
        <w:rPr>
          <w:rFonts w:ascii="Times New Roman" w:hAnsi="Times New Roman" w:cs="Times New Roman"/>
          <w:color w:val="000000"/>
          <w:sz w:val="24"/>
          <w:szCs w:val="24"/>
          <w:shd w:val="clear" w:color="auto" w:fill="FFFFFF"/>
          <w:lang w:val="en-US"/>
        </w:rPr>
        <w:t>tockhammer</w:t>
      </w:r>
      <w:proofErr w:type="spellEnd"/>
      <w:r w:rsidR="00B24A16" w:rsidRPr="004C6D89">
        <w:rPr>
          <w:rFonts w:ascii="Times New Roman" w:hAnsi="Times New Roman" w:cs="Times New Roman"/>
          <w:color w:val="000000"/>
          <w:sz w:val="24"/>
          <w:szCs w:val="24"/>
          <w:shd w:val="clear" w:color="auto" w:fill="FFFFFF"/>
          <w:lang w:val="en-US"/>
        </w:rPr>
        <w:t xml:space="preserve"> and </w:t>
      </w:r>
      <w:proofErr w:type="spellStart"/>
      <w:r w:rsidR="00B24A16" w:rsidRPr="004C6D89">
        <w:rPr>
          <w:rFonts w:ascii="Times New Roman" w:hAnsi="Times New Roman" w:cs="Times New Roman"/>
          <w:color w:val="000000"/>
          <w:sz w:val="24"/>
          <w:szCs w:val="24"/>
          <w:shd w:val="clear" w:color="auto" w:fill="FFFFFF"/>
          <w:lang w:val="en-US"/>
        </w:rPr>
        <w:t>Onaran</w:t>
      </w:r>
      <w:proofErr w:type="spellEnd"/>
      <w:r w:rsidR="00B24A16" w:rsidRPr="004C6D89">
        <w:rPr>
          <w:rFonts w:ascii="Times New Roman" w:hAnsi="Times New Roman" w:cs="Times New Roman"/>
          <w:color w:val="000000"/>
          <w:sz w:val="24"/>
          <w:szCs w:val="24"/>
          <w:shd w:val="clear" w:color="auto" w:fill="FFFFFF"/>
          <w:lang w:val="en-US"/>
        </w:rPr>
        <w:t xml:space="preserve"> (2004) are pioneer</w:t>
      </w:r>
      <w:r w:rsidR="004C6D89" w:rsidRPr="004C6D89">
        <w:rPr>
          <w:rFonts w:ascii="Times New Roman" w:hAnsi="Times New Roman" w:cs="Times New Roman"/>
          <w:color w:val="000000"/>
          <w:sz w:val="24"/>
          <w:szCs w:val="24"/>
          <w:shd w:val="clear" w:color="auto" w:fill="FFFFFF"/>
          <w:lang w:val="en-US"/>
        </w:rPr>
        <w:t>s</w:t>
      </w:r>
      <w:r w:rsidR="00B24A16" w:rsidRPr="004C6D89">
        <w:rPr>
          <w:rFonts w:ascii="Times New Roman" w:hAnsi="Times New Roman" w:cs="Times New Roman"/>
          <w:color w:val="000000"/>
          <w:sz w:val="24"/>
          <w:szCs w:val="24"/>
          <w:shd w:val="clear" w:color="auto" w:fill="FFFFFF"/>
          <w:lang w:val="en-US"/>
        </w:rPr>
        <w:t xml:space="preserve"> in the use of VAR models in the </w:t>
      </w:r>
      <w:r w:rsidR="00C77EDC">
        <w:rPr>
          <w:rFonts w:ascii="Times New Roman" w:hAnsi="Times New Roman" w:cs="Times New Roman"/>
          <w:color w:val="000000"/>
          <w:sz w:val="24"/>
          <w:szCs w:val="24"/>
          <w:shd w:val="clear" w:color="auto" w:fill="FFFFFF"/>
          <w:lang w:val="en-US"/>
        </w:rPr>
        <w:t>P</w:t>
      </w:r>
      <w:r w:rsidR="00B24A16" w:rsidRPr="004C6D89">
        <w:rPr>
          <w:rFonts w:ascii="Times New Roman" w:hAnsi="Times New Roman" w:cs="Times New Roman"/>
          <w:color w:val="000000"/>
          <w:sz w:val="24"/>
          <w:szCs w:val="24"/>
          <w:shd w:val="clear" w:color="auto" w:fill="FFFFFF"/>
          <w:lang w:val="en-US"/>
        </w:rPr>
        <w:t>ost-</w:t>
      </w:r>
      <w:r w:rsidR="00C77EDC">
        <w:rPr>
          <w:rFonts w:ascii="Times New Roman" w:hAnsi="Times New Roman" w:cs="Times New Roman"/>
          <w:color w:val="000000"/>
          <w:sz w:val="24"/>
          <w:szCs w:val="24"/>
          <w:shd w:val="clear" w:color="auto" w:fill="FFFFFF"/>
          <w:lang w:val="en-US"/>
        </w:rPr>
        <w:t>K</w:t>
      </w:r>
      <w:r w:rsidR="00B24A16" w:rsidRPr="004C6D89">
        <w:rPr>
          <w:rFonts w:ascii="Times New Roman" w:hAnsi="Times New Roman" w:cs="Times New Roman"/>
          <w:color w:val="000000"/>
          <w:sz w:val="24"/>
          <w:szCs w:val="24"/>
          <w:shd w:val="clear" w:color="auto" w:fill="FFFFFF"/>
          <w:lang w:val="en-US"/>
        </w:rPr>
        <w:t>aleckian tradition</w:t>
      </w:r>
      <w:r w:rsidR="00B24A16" w:rsidRPr="004C6D89">
        <w:rPr>
          <w:rFonts w:ascii="Times New Roman" w:hAnsi="Times New Roman" w:cs="Times New Roman"/>
          <w:sz w:val="24"/>
          <w:szCs w:val="24"/>
          <w:lang w:val="en-US"/>
        </w:rPr>
        <w:t xml:space="preserve">. </w:t>
      </w:r>
      <w:r w:rsidR="00B24A16" w:rsidRPr="004C6D89">
        <w:rPr>
          <w:rFonts w:ascii="Times New Roman" w:hAnsi="Times New Roman" w:cs="Times New Roman"/>
          <w:color w:val="000000"/>
          <w:sz w:val="24"/>
          <w:szCs w:val="24"/>
          <w:shd w:val="clear" w:color="auto" w:fill="FFFFFF"/>
          <w:lang w:val="en-US"/>
        </w:rPr>
        <w:t>Using a structural VAR approach with data</w:t>
      </w:r>
      <w:r w:rsidR="008749FC" w:rsidRPr="004C6D89">
        <w:rPr>
          <w:rFonts w:ascii="Times New Roman" w:hAnsi="Times New Roman" w:cs="Times New Roman"/>
          <w:color w:val="000000"/>
          <w:sz w:val="24"/>
          <w:szCs w:val="24"/>
          <w:shd w:val="clear" w:color="auto" w:fill="FFFFFF"/>
          <w:lang w:val="en-US"/>
        </w:rPr>
        <w:t xml:space="preserve"> (semiannual)</w:t>
      </w:r>
      <w:r w:rsidR="00B24A16" w:rsidRPr="004C6D89">
        <w:rPr>
          <w:rFonts w:ascii="Times New Roman" w:hAnsi="Times New Roman" w:cs="Times New Roman"/>
          <w:color w:val="000000"/>
          <w:sz w:val="24"/>
          <w:szCs w:val="24"/>
          <w:shd w:val="clear" w:color="auto" w:fill="FFFFFF"/>
          <w:lang w:val="en-US"/>
        </w:rPr>
        <w:t xml:space="preserve"> </w:t>
      </w:r>
      <w:r w:rsidR="00B24A16" w:rsidRPr="004C6D89">
        <w:rPr>
          <w:rFonts w:ascii="Times New Roman" w:hAnsi="Times New Roman" w:cs="Times New Roman"/>
          <w:sz w:val="24"/>
          <w:szCs w:val="24"/>
          <w:lang w:val="en-US"/>
        </w:rPr>
        <w:t>from the early 1960s to the late 1990s for the USA, UK and France</w:t>
      </w:r>
      <w:r w:rsidR="00B24A16" w:rsidRPr="004C6D89">
        <w:rPr>
          <w:rFonts w:ascii="Times New Roman" w:hAnsi="Times New Roman" w:cs="Times New Roman"/>
          <w:color w:val="000000"/>
          <w:sz w:val="24"/>
          <w:szCs w:val="24"/>
          <w:shd w:val="clear" w:color="auto" w:fill="FFFFFF"/>
          <w:lang w:val="en-US"/>
        </w:rPr>
        <w:t xml:space="preserve">, </w:t>
      </w:r>
      <w:proofErr w:type="spellStart"/>
      <w:r w:rsidR="00B24A16" w:rsidRPr="004C6D89">
        <w:rPr>
          <w:rFonts w:ascii="Times New Roman" w:hAnsi="Times New Roman" w:cs="Times New Roman"/>
          <w:color w:val="000000"/>
          <w:sz w:val="24"/>
          <w:szCs w:val="24"/>
          <w:shd w:val="clear" w:color="auto" w:fill="FFFFFF"/>
          <w:lang w:val="en-US"/>
        </w:rPr>
        <w:t>Stockhammer</w:t>
      </w:r>
      <w:proofErr w:type="spellEnd"/>
      <w:r w:rsidR="00B24A16" w:rsidRPr="004C6D89">
        <w:rPr>
          <w:rFonts w:ascii="Times New Roman" w:hAnsi="Times New Roman" w:cs="Times New Roman"/>
          <w:color w:val="000000"/>
          <w:sz w:val="24"/>
          <w:szCs w:val="24"/>
          <w:shd w:val="clear" w:color="auto" w:fill="FFFFFF"/>
          <w:lang w:val="en-US"/>
        </w:rPr>
        <w:t xml:space="preserve"> and </w:t>
      </w:r>
      <w:proofErr w:type="spellStart"/>
      <w:r w:rsidR="00B24A16" w:rsidRPr="004C6D89">
        <w:rPr>
          <w:rFonts w:ascii="Times New Roman" w:hAnsi="Times New Roman" w:cs="Times New Roman"/>
          <w:color w:val="000000"/>
          <w:sz w:val="24"/>
          <w:szCs w:val="24"/>
          <w:shd w:val="clear" w:color="auto" w:fill="FFFFFF"/>
          <w:lang w:val="en-US"/>
        </w:rPr>
        <w:t>Onaran</w:t>
      </w:r>
      <w:proofErr w:type="spellEnd"/>
      <w:r w:rsidR="00B24A16" w:rsidRPr="004C6D89">
        <w:rPr>
          <w:rFonts w:ascii="Times New Roman" w:hAnsi="Times New Roman" w:cs="Times New Roman"/>
          <w:color w:val="000000"/>
          <w:sz w:val="24"/>
          <w:szCs w:val="24"/>
          <w:shd w:val="clear" w:color="auto" w:fill="FFFFFF"/>
          <w:lang w:val="en-US"/>
        </w:rPr>
        <w:t xml:space="preserve"> (2004) investigated the relation between capital accumulations, capacity utilization, profit share, unemployment and labor productivity growth.</w:t>
      </w:r>
      <w:r w:rsidR="004C6D89" w:rsidRPr="004C6D89">
        <w:rPr>
          <w:rFonts w:ascii="Times New Roman" w:eastAsia="TimesNewRoman" w:hAnsi="Times New Roman" w:cs="Times New Roman"/>
          <w:sz w:val="24"/>
          <w:szCs w:val="24"/>
          <w:lang w:val="en-GB"/>
        </w:rPr>
        <w:t xml:space="preserve"> </w:t>
      </w:r>
      <w:r w:rsidR="004C6D89">
        <w:rPr>
          <w:rFonts w:ascii="Times New Roman" w:eastAsia="TimesNewRoman" w:hAnsi="Times New Roman" w:cs="Times New Roman"/>
          <w:sz w:val="24"/>
          <w:szCs w:val="24"/>
          <w:lang w:val="en-GB"/>
        </w:rPr>
        <w:t xml:space="preserve">The main point of </w:t>
      </w:r>
      <w:r w:rsidR="004C6D89" w:rsidRPr="004C6D89">
        <w:rPr>
          <w:rFonts w:ascii="Times New Roman" w:eastAsia="TimesNewRoman" w:hAnsi="Times New Roman" w:cs="Times New Roman"/>
          <w:sz w:val="24"/>
          <w:szCs w:val="24"/>
          <w:lang w:val="en-GB"/>
        </w:rPr>
        <w:t>th</w:t>
      </w:r>
      <w:r w:rsidR="008B78D6">
        <w:rPr>
          <w:rFonts w:ascii="Times New Roman" w:eastAsia="TimesNewRoman" w:hAnsi="Times New Roman" w:cs="Times New Roman"/>
          <w:sz w:val="24"/>
          <w:szCs w:val="24"/>
          <w:lang w:val="en-GB"/>
        </w:rPr>
        <w:t>is</w:t>
      </w:r>
      <w:r w:rsidR="004C6D89">
        <w:rPr>
          <w:rFonts w:ascii="Times New Roman" w:eastAsia="TimesNewRoman" w:hAnsi="Times New Roman" w:cs="Times New Roman"/>
          <w:sz w:val="24"/>
          <w:szCs w:val="24"/>
          <w:lang w:val="en-GB"/>
        </w:rPr>
        <w:t xml:space="preserve"> paper is to question the </w:t>
      </w:r>
      <w:proofErr w:type="spellStart"/>
      <w:r w:rsidR="004C6D89" w:rsidRPr="004C6D89">
        <w:rPr>
          <w:rFonts w:ascii="Times New Roman" w:eastAsia="TimesNewRoman" w:hAnsi="Times New Roman" w:cs="Times New Roman"/>
          <w:sz w:val="24"/>
          <w:szCs w:val="24"/>
          <w:lang w:val="en-GB"/>
        </w:rPr>
        <w:t>exogen</w:t>
      </w:r>
      <w:r w:rsidR="00A017ED">
        <w:rPr>
          <w:rFonts w:ascii="Times New Roman" w:eastAsia="TimesNewRoman" w:hAnsi="Times New Roman" w:cs="Times New Roman"/>
          <w:sz w:val="24"/>
          <w:szCs w:val="24"/>
          <w:lang w:val="en-GB"/>
        </w:rPr>
        <w:t>eity</w:t>
      </w:r>
      <w:proofErr w:type="spellEnd"/>
      <w:r w:rsidR="004C6D89" w:rsidRPr="004C6D89">
        <w:rPr>
          <w:rFonts w:ascii="Times New Roman" w:eastAsia="TimesNewRoman" w:hAnsi="Times New Roman" w:cs="Times New Roman"/>
          <w:sz w:val="24"/>
          <w:szCs w:val="24"/>
          <w:lang w:val="en-GB"/>
        </w:rPr>
        <w:t xml:space="preserve"> of </w:t>
      </w:r>
      <w:r w:rsidR="00A017ED">
        <w:rPr>
          <w:rFonts w:ascii="Times New Roman" w:eastAsia="TimesNewRoman" w:hAnsi="Times New Roman" w:cs="Times New Roman"/>
          <w:sz w:val="24"/>
          <w:szCs w:val="24"/>
          <w:lang w:val="en-GB"/>
        </w:rPr>
        <w:t xml:space="preserve">income distribution, by considering </w:t>
      </w:r>
      <w:r w:rsidR="004C6D89" w:rsidRPr="004C6D89">
        <w:rPr>
          <w:rFonts w:ascii="Times New Roman" w:eastAsia="TimesNewRoman" w:hAnsi="Times New Roman" w:cs="Times New Roman"/>
          <w:sz w:val="24"/>
          <w:szCs w:val="24"/>
          <w:lang w:val="en-GB"/>
        </w:rPr>
        <w:t xml:space="preserve">a simultaneous approach </w:t>
      </w:r>
      <w:r w:rsidR="00A017ED">
        <w:rPr>
          <w:rFonts w:ascii="Times New Roman" w:eastAsia="TimesNewRoman" w:hAnsi="Times New Roman" w:cs="Times New Roman"/>
          <w:sz w:val="24"/>
          <w:szCs w:val="24"/>
          <w:lang w:val="en-GB"/>
        </w:rPr>
        <w:t>in which</w:t>
      </w:r>
      <w:r w:rsidR="004C6D89" w:rsidRPr="004C6D89">
        <w:rPr>
          <w:rFonts w:ascii="Times New Roman" w:eastAsia="TimesNewRoman" w:hAnsi="Times New Roman" w:cs="Times New Roman"/>
          <w:sz w:val="24"/>
          <w:szCs w:val="24"/>
          <w:lang w:val="en-GB"/>
        </w:rPr>
        <w:t xml:space="preserve"> distribution, demand and capital accumulation are all endogenous variables.</w:t>
      </w:r>
      <w:r w:rsidR="00B24A16" w:rsidRPr="004C6D89">
        <w:rPr>
          <w:rFonts w:ascii="Times New Roman" w:hAnsi="Times New Roman" w:cs="Times New Roman"/>
          <w:color w:val="000000"/>
          <w:sz w:val="24"/>
          <w:szCs w:val="24"/>
          <w:shd w:val="clear" w:color="auto" w:fill="FFFFFF"/>
          <w:lang w:val="en-US"/>
        </w:rPr>
        <w:t xml:space="preserve"> </w:t>
      </w:r>
      <w:r w:rsidR="00A017ED">
        <w:rPr>
          <w:rFonts w:ascii="Times New Roman" w:hAnsi="Times New Roman" w:cs="Times New Roman"/>
          <w:color w:val="000000"/>
          <w:sz w:val="24"/>
          <w:szCs w:val="24"/>
          <w:shd w:val="clear" w:color="auto" w:fill="FFFFFF"/>
          <w:lang w:val="en-US"/>
        </w:rPr>
        <w:t>The main finding of the</w:t>
      </w:r>
      <w:r w:rsidR="008B78D6">
        <w:rPr>
          <w:rFonts w:ascii="Times New Roman" w:hAnsi="Times New Roman" w:cs="Times New Roman"/>
          <w:color w:val="000000"/>
          <w:sz w:val="24"/>
          <w:szCs w:val="24"/>
          <w:shd w:val="clear" w:color="auto" w:fill="FFFFFF"/>
          <w:lang w:val="en-US"/>
        </w:rPr>
        <w:t xml:space="preserve"> </w:t>
      </w:r>
      <w:proofErr w:type="spellStart"/>
      <w:r w:rsidR="008B78D6" w:rsidRPr="004C6D89">
        <w:rPr>
          <w:rFonts w:ascii="Times New Roman" w:hAnsi="Times New Roman" w:cs="Times New Roman"/>
          <w:color w:val="000000"/>
          <w:sz w:val="24"/>
          <w:szCs w:val="24"/>
          <w:shd w:val="clear" w:color="auto" w:fill="FFFFFF"/>
          <w:lang w:val="en-US"/>
        </w:rPr>
        <w:t>Stockhammer</w:t>
      </w:r>
      <w:proofErr w:type="spellEnd"/>
      <w:r w:rsidR="008B78D6" w:rsidRPr="004C6D89">
        <w:rPr>
          <w:rFonts w:ascii="Times New Roman" w:hAnsi="Times New Roman" w:cs="Times New Roman"/>
          <w:color w:val="000000"/>
          <w:sz w:val="24"/>
          <w:szCs w:val="24"/>
          <w:shd w:val="clear" w:color="auto" w:fill="FFFFFF"/>
          <w:lang w:val="en-US"/>
        </w:rPr>
        <w:t xml:space="preserve"> and </w:t>
      </w:r>
      <w:proofErr w:type="spellStart"/>
      <w:r w:rsidR="008B78D6" w:rsidRPr="004C6D89">
        <w:rPr>
          <w:rFonts w:ascii="Times New Roman" w:hAnsi="Times New Roman" w:cs="Times New Roman"/>
          <w:color w:val="000000"/>
          <w:sz w:val="24"/>
          <w:szCs w:val="24"/>
          <w:shd w:val="clear" w:color="auto" w:fill="FFFFFF"/>
          <w:lang w:val="en-US"/>
        </w:rPr>
        <w:t>Onaran</w:t>
      </w:r>
      <w:r w:rsidR="008B78D6">
        <w:rPr>
          <w:rFonts w:ascii="Times New Roman" w:hAnsi="Times New Roman" w:cs="Times New Roman"/>
          <w:color w:val="000000"/>
          <w:sz w:val="24"/>
          <w:szCs w:val="24"/>
          <w:shd w:val="clear" w:color="auto" w:fill="FFFFFF"/>
          <w:lang w:val="en-US"/>
        </w:rPr>
        <w:t>’s</w:t>
      </w:r>
      <w:proofErr w:type="spellEnd"/>
      <w:r w:rsidR="008B78D6">
        <w:rPr>
          <w:rFonts w:ascii="Times New Roman" w:hAnsi="Times New Roman" w:cs="Times New Roman"/>
          <w:color w:val="000000"/>
          <w:sz w:val="24"/>
          <w:szCs w:val="24"/>
          <w:shd w:val="clear" w:color="auto" w:fill="FFFFFF"/>
          <w:lang w:val="en-US"/>
        </w:rPr>
        <w:t xml:space="preserve"> </w:t>
      </w:r>
      <w:r w:rsidR="00B24A16" w:rsidRPr="004C6D89">
        <w:rPr>
          <w:rFonts w:ascii="Times New Roman" w:hAnsi="Times New Roman" w:cs="Times New Roman"/>
          <w:color w:val="000000"/>
          <w:sz w:val="24"/>
          <w:szCs w:val="24"/>
          <w:shd w:val="clear" w:color="auto" w:fill="FFFFFF"/>
          <w:lang w:val="en-US"/>
        </w:rPr>
        <w:t xml:space="preserve">paper is that the impact of </w:t>
      </w:r>
      <w:r w:rsidR="00B24A16" w:rsidRPr="004C6D89">
        <w:rPr>
          <w:rFonts w:ascii="Times New Roman" w:hAnsi="Times New Roman" w:cs="Times New Roman"/>
          <w:sz w:val="24"/>
          <w:szCs w:val="24"/>
          <w:lang w:val="en-US"/>
        </w:rPr>
        <w:t>profit share on demand and employment is</w:t>
      </w:r>
      <w:r w:rsidR="004C6D89" w:rsidRPr="004C6D89">
        <w:rPr>
          <w:rFonts w:ascii="Times New Roman" w:hAnsi="Times New Roman" w:cs="Times New Roman"/>
          <w:sz w:val="24"/>
          <w:szCs w:val="24"/>
          <w:lang w:val="en-US"/>
        </w:rPr>
        <w:t xml:space="preserve"> not</w:t>
      </w:r>
      <w:r w:rsidR="00B24A16" w:rsidRPr="004C6D89">
        <w:rPr>
          <w:rFonts w:ascii="Times New Roman" w:hAnsi="Times New Roman" w:cs="Times New Roman"/>
          <w:sz w:val="24"/>
          <w:szCs w:val="24"/>
          <w:lang w:val="en-US"/>
        </w:rPr>
        <w:t xml:space="preserve"> statistically significant </w:t>
      </w:r>
      <w:r w:rsidR="004C6D89" w:rsidRPr="004C6D89">
        <w:rPr>
          <w:rFonts w:ascii="Times New Roman" w:hAnsi="Times New Roman" w:cs="Times New Roman"/>
          <w:sz w:val="24"/>
          <w:szCs w:val="24"/>
          <w:lang w:val="en-US"/>
        </w:rPr>
        <w:t>for</w:t>
      </w:r>
      <w:r w:rsidR="00B24A16" w:rsidRPr="004C6D89">
        <w:rPr>
          <w:rFonts w:ascii="Times New Roman" w:hAnsi="Times New Roman" w:cs="Times New Roman"/>
          <w:sz w:val="24"/>
          <w:szCs w:val="24"/>
          <w:lang w:val="en-US"/>
        </w:rPr>
        <w:t xml:space="preserve"> the US, UK and France. Although the</w:t>
      </w:r>
      <w:r w:rsidR="00B24A16">
        <w:rPr>
          <w:rFonts w:ascii="Times New Roman" w:hAnsi="Times New Roman" w:cs="Times New Roman"/>
          <w:sz w:val="24"/>
          <w:szCs w:val="24"/>
          <w:lang w:val="en-US"/>
        </w:rPr>
        <w:t xml:space="preserve"> advantages of the use of VAR approach compared to the simple structural estimations</w:t>
      </w:r>
      <w:r w:rsidR="00C85414">
        <w:rPr>
          <w:rFonts w:ascii="Times New Roman" w:hAnsi="Times New Roman" w:cs="Times New Roman"/>
          <w:sz w:val="24"/>
          <w:szCs w:val="24"/>
          <w:lang w:val="en-US"/>
        </w:rPr>
        <w:t>,</w:t>
      </w:r>
      <w:r w:rsidR="00B24A16">
        <w:rPr>
          <w:rFonts w:ascii="Times New Roman" w:hAnsi="Times New Roman" w:cs="Times New Roman"/>
          <w:sz w:val="24"/>
          <w:szCs w:val="24"/>
          <w:lang w:val="en-US"/>
        </w:rPr>
        <w:t xml:space="preserve"> </w:t>
      </w:r>
      <w:r w:rsidR="00C85414">
        <w:rPr>
          <w:rFonts w:ascii="Times New Roman" w:hAnsi="Times New Roman" w:cs="Times New Roman"/>
          <w:sz w:val="24"/>
          <w:szCs w:val="24"/>
          <w:lang w:val="en-US"/>
        </w:rPr>
        <w:t>e</w:t>
      </w:r>
      <w:r w:rsidR="00B24A16">
        <w:rPr>
          <w:rFonts w:ascii="Times New Roman" w:hAnsi="Times New Roman" w:cs="Times New Roman"/>
          <w:sz w:val="24"/>
          <w:szCs w:val="24"/>
          <w:lang w:val="en-US"/>
        </w:rPr>
        <w:t xml:space="preserve">specially the absence of endogeneity problems, </w:t>
      </w:r>
      <w:proofErr w:type="spellStart"/>
      <w:r w:rsidR="00B24A16">
        <w:rPr>
          <w:rFonts w:ascii="Times New Roman" w:hAnsi="Times New Roman" w:cs="Times New Roman"/>
          <w:color w:val="000000"/>
          <w:sz w:val="24"/>
          <w:szCs w:val="24"/>
          <w:shd w:val="clear" w:color="auto" w:fill="FFFFFF"/>
          <w:lang w:val="en-US"/>
        </w:rPr>
        <w:t>Stockhammer</w:t>
      </w:r>
      <w:proofErr w:type="spellEnd"/>
      <w:r w:rsidR="00B24A16">
        <w:rPr>
          <w:rFonts w:ascii="Times New Roman" w:hAnsi="Times New Roman" w:cs="Times New Roman"/>
          <w:color w:val="000000"/>
          <w:sz w:val="24"/>
          <w:szCs w:val="24"/>
          <w:shd w:val="clear" w:color="auto" w:fill="FFFFFF"/>
          <w:lang w:val="en-US"/>
        </w:rPr>
        <w:t xml:space="preserve"> and </w:t>
      </w:r>
      <w:proofErr w:type="spellStart"/>
      <w:r w:rsidR="00B24A16">
        <w:rPr>
          <w:rFonts w:ascii="Times New Roman" w:hAnsi="Times New Roman" w:cs="Times New Roman"/>
          <w:color w:val="000000"/>
          <w:sz w:val="24"/>
          <w:szCs w:val="24"/>
          <w:shd w:val="clear" w:color="auto" w:fill="FFFFFF"/>
          <w:lang w:val="en-US"/>
        </w:rPr>
        <w:t>Onaran’s</w:t>
      </w:r>
      <w:proofErr w:type="spellEnd"/>
      <w:r w:rsidR="00B24A16">
        <w:rPr>
          <w:rFonts w:ascii="Times New Roman" w:hAnsi="Times New Roman" w:cs="Times New Roman"/>
          <w:color w:val="000000"/>
          <w:sz w:val="24"/>
          <w:szCs w:val="24"/>
          <w:shd w:val="clear" w:color="auto" w:fill="FFFFFF"/>
          <w:lang w:val="en-US"/>
        </w:rPr>
        <w:t xml:space="preserve"> model has many variables</w:t>
      </w:r>
      <w:r w:rsidR="00C85414">
        <w:rPr>
          <w:rFonts w:ascii="Times New Roman" w:hAnsi="Times New Roman" w:cs="Times New Roman"/>
          <w:color w:val="000000"/>
          <w:sz w:val="24"/>
          <w:szCs w:val="24"/>
          <w:shd w:val="clear" w:color="auto" w:fill="FFFFFF"/>
          <w:lang w:val="en-US"/>
        </w:rPr>
        <w:t xml:space="preserve"> (five)</w:t>
      </w:r>
      <w:r w:rsidR="00B24A16">
        <w:rPr>
          <w:rFonts w:ascii="Times New Roman" w:hAnsi="Times New Roman" w:cs="Times New Roman"/>
          <w:color w:val="000000"/>
          <w:sz w:val="24"/>
          <w:szCs w:val="24"/>
          <w:shd w:val="clear" w:color="auto" w:fill="FFFFFF"/>
          <w:lang w:val="en-US"/>
        </w:rPr>
        <w:t xml:space="preserve"> and lags </w:t>
      </w:r>
      <w:r w:rsidR="00C85414">
        <w:rPr>
          <w:rFonts w:ascii="Times New Roman" w:hAnsi="Times New Roman" w:cs="Times New Roman"/>
          <w:color w:val="000000"/>
          <w:sz w:val="24"/>
          <w:szCs w:val="24"/>
          <w:shd w:val="clear" w:color="auto" w:fill="FFFFFF"/>
          <w:lang w:val="en-US"/>
        </w:rPr>
        <w:t>(four)</w:t>
      </w:r>
      <w:r w:rsidR="00A017ED">
        <w:rPr>
          <w:rFonts w:ascii="Times New Roman" w:hAnsi="Times New Roman" w:cs="Times New Roman"/>
          <w:color w:val="000000"/>
          <w:sz w:val="24"/>
          <w:szCs w:val="24"/>
          <w:shd w:val="clear" w:color="auto" w:fill="FFFFFF"/>
          <w:lang w:val="en-US"/>
        </w:rPr>
        <w:t xml:space="preserve">, thus raising </w:t>
      </w:r>
      <w:r w:rsidR="00B24A16">
        <w:rPr>
          <w:rFonts w:ascii="Times New Roman" w:hAnsi="Times New Roman" w:cs="Times New Roman"/>
          <w:color w:val="000000"/>
          <w:sz w:val="24"/>
          <w:szCs w:val="24"/>
          <w:shd w:val="clear" w:color="auto" w:fill="FFFFFF"/>
          <w:lang w:val="en-US"/>
        </w:rPr>
        <w:t>problems related to low degree of freedom</w:t>
      </w:r>
      <w:r w:rsidR="00C85414">
        <w:rPr>
          <w:rFonts w:ascii="Times New Roman" w:hAnsi="Times New Roman" w:cs="Times New Roman"/>
          <w:color w:val="000000"/>
          <w:sz w:val="24"/>
          <w:szCs w:val="24"/>
          <w:shd w:val="clear" w:color="auto" w:fill="FFFFFF"/>
          <w:lang w:val="en-US"/>
        </w:rPr>
        <w:t xml:space="preserve"> (the number parameters estimated </w:t>
      </w:r>
      <w:r w:rsidR="008749FC">
        <w:rPr>
          <w:rFonts w:ascii="Times New Roman" w:hAnsi="Times New Roman" w:cs="Times New Roman"/>
          <w:color w:val="000000"/>
          <w:sz w:val="24"/>
          <w:szCs w:val="24"/>
          <w:shd w:val="clear" w:color="auto" w:fill="FFFFFF"/>
          <w:lang w:val="en-US"/>
        </w:rPr>
        <w:t>in the model exceeds the size of the sample)</w:t>
      </w:r>
      <w:r w:rsidR="00B24A16">
        <w:rPr>
          <w:rFonts w:ascii="Times New Roman" w:hAnsi="Times New Roman" w:cs="Times New Roman"/>
          <w:color w:val="000000"/>
          <w:sz w:val="24"/>
          <w:szCs w:val="24"/>
          <w:shd w:val="clear" w:color="auto" w:fill="FFFFFF"/>
          <w:lang w:val="en-US"/>
        </w:rPr>
        <w:t xml:space="preserve">. </w:t>
      </w:r>
    </w:p>
    <w:p w:rsidR="00E465D5" w:rsidRDefault="00576BA2" w:rsidP="00784AF0">
      <w:pPr>
        <w:autoSpaceDE w:val="0"/>
        <w:autoSpaceDN w:val="0"/>
        <w:adjustRightInd w:val="0"/>
        <w:spacing w:line="240" w:lineRule="auto"/>
        <w:ind w:firstLine="708"/>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This same approach </w:t>
      </w:r>
      <w:r w:rsidR="00AB3045">
        <w:rPr>
          <w:rFonts w:ascii="Times New Roman" w:hAnsi="Times New Roman" w:cs="Times New Roman"/>
          <w:color w:val="000000"/>
          <w:sz w:val="24"/>
          <w:szCs w:val="24"/>
          <w:shd w:val="clear" w:color="auto" w:fill="FFFFFF"/>
          <w:lang w:val="en-US"/>
        </w:rPr>
        <w:t xml:space="preserve">employed by </w:t>
      </w:r>
      <w:proofErr w:type="spellStart"/>
      <w:r w:rsidR="00AB3045">
        <w:rPr>
          <w:rFonts w:ascii="Times New Roman" w:hAnsi="Times New Roman" w:cs="Times New Roman"/>
          <w:color w:val="000000"/>
          <w:sz w:val="24"/>
          <w:szCs w:val="24"/>
          <w:shd w:val="clear" w:color="auto" w:fill="FFFFFF"/>
          <w:lang w:val="en-US"/>
        </w:rPr>
        <w:t>Stockhammer</w:t>
      </w:r>
      <w:proofErr w:type="spellEnd"/>
      <w:r w:rsidR="00AB3045">
        <w:rPr>
          <w:rFonts w:ascii="Times New Roman" w:hAnsi="Times New Roman" w:cs="Times New Roman"/>
          <w:color w:val="000000"/>
          <w:sz w:val="24"/>
          <w:szCs w:val="24"/>
          <w:shd w:val="clear" w:color="auto" w:fill="FFFFFF"/>
          <w:lang w:val="en-US"/>
        </w:rPr>
        <w:t xml:space="preserve"> and </w:t>
      </w:r>
      <w:proofErr w:type="spellStart"/>
      <w:r w:rsidR="00AB3045">
        <w:rPr>
          <w:rFonts w:ascii="Times New Roman" w:hAnsi="Times New Roman" w:cs="Times New Roman"/>
          <w:color w:val="000000"/>
          <w:sz w:val="24"/>
          <w:szCs w:val="24"/>
          <w:shd w:val="clear" w:color="auto" w:fill="FFFFFF"/>
          <w:lang w:val="en-US"/>
        </w:rPr>
        <w:t>Onaran</w:t>
      </w:r>
      <w:proofErr w:type="spellEnd"/>
      <w:r w:rsidR="00AB3045">
        <w:rPr>
          <w:rFonts w:ascii="Times New Roman" w:hAnsi="Times New Roman" w:cs="Times New Roman"/>
          <w:color w:val="000000"/>
          <w:sz w:val="24"/>
          <w:szCs w:val="24"/>
          <w:shd w:val="clear" w:color="auto" w:fill="FFFFFF"/>
          <w:lang w:val="en-US"/>
        </w:rPr>
        <w:t xml:space="preserve"> (2004) w</w:t>
      </w:r>
      <w:r>
        <w:rPr>
          <w:rFonts w:ascii="Times New Roman" w:hAnsi="Times New Roman" w:cs="Times New Roman"/>
          <w:color w:val="000000"/>
          <w:sz w:val="24"/>
          <w:szCs w:val="24"/>
          <w:shd w:val="clear" w:color="auto" w:fill="FFFFFF"/>
          <w:lang w:val="en-US"/>
        </w:rPr>
        <w:t xml:space="preserve">as used in </w:t>
      </w:r>
      <w:proofErr w:type="spellStart"/>
      <w:r w:rsidR="003B5387">
        <w:rPr>
          <w:rFonts w:ascii="Times New Roman" w:hAnsi="Times New Roman" w:cs="Times New Roman"/>
          <w:color w:val="000000"/>
          <w:sz w:val="24"/>
          <w:szCs w:val="24"/>
          <w:shd w:val="clear" w:color="auto" w:fill="FFFFFF"/>
          <w:lang w:val="en-US"/>
        </w:rPr>
        <w:t>Onaran</w:t>
      </w:r>
      <w:proofErr w:type="spellEnd"/>
      <w:r w:rsidR="003B5387">
        <w:rPr>
          <w:rFonts w:ascii="Times New Roman" w:hAnsi="Times New Roman" w:cs="Times New Roman"/>
          <w:color w:val="000000"/>
          <w:sz w:val="24"/>
          <w:szCs w:val="24"/>
          <w:shd w:val="clear" w:color="auto" w:fill="FFFFFF"/>
          <w:lang w:val="en-US"/>
        </w:rPr>
        <w:t xml:space="preserve"> and </w:t>
      </w:r>
      <w:proofErr w:type="spellStart"/>
      <w:r w:rsidR="003B5387" w:rsidRPr="00576BA2">
        <w:rPr>
          <w:rFonts w:ascii="Times New Roman" w:hAnsi="Times New Roman" w:cs="Times New Roman"/>
          <w:color w:val="000000"/>
          <w:sz w:val="24"/>
          <w:szCs w:val="24"/>
          <w:shd w:val="clear" w:color="auto" w:fill="FFFFFF"/>
          <w:lang w:val="en-US"/>
        </w:rPr>
        <w:t>Stockhammer</w:t>
      </w:r>
      <w:proofErr w:type="spellEnd"/>
      <w:r w:rsidR="003B5387" w:rsidRPr="00576BA2">
        <w:rPr>
          <w:rFonts w:ascii="Times New Roman" w:hAnsi="Times New Roman" w:cs="Times New Roman"/>
          <w:color w:val="000000"/>
          <w:sz w:val="24"/>
          <w:szCs w:val="24"/>
          <w:shd w:val="clear" w:color="auto" w:fill="FFFFFF"/>
          <w:lang w:val="en-US"/>
        </w:rPr>
        <w:t xml:space="preserve"> (2004)</w:t>
      </w:r>
      <w:r w:rsidR="00E465D5" w:rsidRPr="00576BA2">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to study</w:t>
      </w:r>
      <w:r w:rsidR="00E465D5" w:rsidRPr="00576BA2">
        <w:rPr>
          <w:rFonts w:ascii="Times New Roman" w:hAnsi="Times New Roman" w:cs="Times New Roman"/>
          <w:color w:val="000000"/>
          <w:sz w:val="24"/>
          <w:szCs w:val="24"/>
          <w:shd w:val="clear" w:color="auto" w:fill="FFFFFF"/>
          <w:lang w:val="en-US"/>
        </w:rPr>
        <w:t xml:space="preserve"> the growth experience </w:t>
      </w:r>
      <w:r w:rsidR="00AB3045">
        <w:rPr>
          <w:rFonts w:ascii="Times New Roman" w:hAnsi="Times New Roman" w:cs="Times New Roman"/>
          <w:color w:val="000000"/>
          <w:sz w:val="24"/>
          <w:szCs w:val="24"/>
          <w:shd w:val="clear" w:color="auto" w:fill="FFFFFF"/>
          <w:lang w:val="en-US"/>
        </w:rPr>
        <w:t>in two developing countries:</w:t>
      </w:r>
      <w:r w:rsidR="00E465D5" w:rsidRPr="00576BA2">
        <w:rPr>
          <w:rFonts w:ascii="Times New Roman" w:hAnsi="Times New Roman" w:cs="Times New Roman"/>
          <w:color w:val="000000"/>
          <w:sz w:val="24"/>
          <w:szCs w:val="24"/>
          <w:shd w:val="clear" w:color="auto" w:fill="FFFFFF"/>
          <w:lang w:val="en-US"/>
        </w:rPr>
        <w:t xml:space="preserve"> </w:t>
      </w:r>
      <w:r w:rsidR="00E465D5" w:rsidRPr="00576BA2">
        <w:rPr>
          <w:rFonts w:ascii="Times New Roman" w:hAnsi="Times New Roman" w:cs="Times New Roman"/>
          <w:sz w:val="24"/>
          <w:szCs w:val="24"/>
          <w:lang w:val="en-US"/>
        </w:rPr>
        <w:t>Turkey</w:t>
      </w:r>
      <w:r w:rsidR="00AB3045">
        <w:rPr>
          <w:rFonts w:ascii="Times New Roman" w:hAnsi="Times New Roman" w:cs="Times New Roman"/>
          <w:sz w:val="24"/>
          <w:szCs w:val="24"/>
          <w:lang w:val="en-US"/>
        </w:rPr>
        <w:t xml:space="preserve"> (1965-1997)</w:t>
      </w:r>
      <w:r w:rsidR="00E465D5" w:rsidRPr="00576BA2">
        <w:rPr>
          <w:rFonts w:ascii="Times New Roman" w:hAnsi="Times New Roman" w:cs="Times New Roman"/>
          <w:sz w:val="24"/>
          <w:szCs w:val="24"/>
          <w:lang w:val="en-US"/>
        </w:rPr>
        <w:t xml:space="preserve"> and South Korea</w:t>
      </w:r>
      <w:r w:rsidR="00AB3045">
        <w:rPr>
          <w:rFonts w:ascii="Times New Roman" w:hAnsi="Times New Roman" w:cs="Times New Roman"/>
          <w:sz w:val="24"/>
          <w:szCs w:val="24"/>
          <w:lang w:val="en-US"/>
        </w:rPr>
        <w:t xml:space="preserve"> (1970-2000)</w:t>
      </w:r>
      <w:r w:rsidR="00E465D5" w:rsidRPr="00576BA2">
        <w:rPr>
          <w:rFonts w:ascii="Times New Roman" w:hAnsi="Times New Roman" w:cs="Times New Roman"/>
          <w:sz w:val="24"/>
          <w:szCs w:val="24"/>
          <w:lang w:val="en-US"/>
        </w:rPr>
        <w:t>.</w:t>
      </w:r>
      <w:r w:rsidR="00AB3045">
        <w:rPr>
          <w:rFonts w:ascii="Times New Roman" w:hAnsi="Times New Roman" w:cs="Times New Roman"/>
          <w:sz w:val="24"/>
          <w:szCs w:val="24"/>
          <w:lang w:val="en-US"/>
        </w:rPr>
        <w:t xml:space="preserve">  </w:t>
      </w:r>
      <w:r>
        <w:rPr>
          <w:rFonts w:ascii="Times New Roman" w:hAnsi="Times New Roman" w:cs="Times New Roman"/>
          <w:sz w:val="24"/>
          <w:szCs w:val="24"/>
          <w:lang w:val="en-US"/>
        </w:rPr>
        <w:t>In this work, t</w:t>
      </w:r>
      <w:r w:rsidRPr="00576BA2">
        <w:rPr>
          <w:rFonts w:ascii="Times New Roman" w:hAnsi="Times New Roman" w:cs="Times New Roman"/>
          <w:sz w:val="24"/>
          <w:szCs w:val="24"/>
          <w:lang w:val="en-US"/>
        </w:rPr>
        <w:t xml:space="preserve">hey used data of income distribution, accumulation, growth, and employment. </w:t>
      </w:r>
      <w:r w:rsidR="00AB3045">
        <w:rPr>
          <w:rFonts w:ascii="Times New Roman" w:hAnsi="Times New Roman" w:cs="Times New Roman"/>
          <w:sz w:val="24"/>
          <w:szCs w:val="24"/>
          <w:lang w:val="en-US"/>
        </w:rPr>
        <w:t>The VA</w:t>
      </w:r>
      <w:r w:rsidR="00AB3045" w:rsidRPr="00AB3045">
        <w:rPr>
          <w:rFonts w:ascii="Times New Roman" w:hAnsi="Times New Roman" w:cs="Times New Roman"/>
          <w:sz w:val="24"/>
          <w:szCs w:val="24"/>
          <w:lang w:val="en-US"/>
        </w:rPr>
        <w:t>R model is estimated with two lags to, according to authors</w:t>
      </w:r>
      <w:r w:rsidR="00C85414">
        <w:rPr>
          <w:rFonts w:ascii="Times New Roman" w:hAnsi="Times New Roman" w:cs="Times New Roman"/>
          <w:sz w:val="24"/>
          <w:szCs w:val="24"/>
          <w:lang w:val="en-US"/>
        </w:rPr>
        <w:t xml:space="preserve"> (p. 77)</w:t>
      </w:r>
      <w:r w:rsidR="00AB3045" w:rsidRPr="00AB3045">
        <w:rPr>
          <w:rFonts w:ascii="Times New Roman" w:hAnsi="Times New Roman" w:cs="Times New Roman"/>
          <w:sz w:val="24"/>
          <w:szCs w:val="24"/>
          <w:lang w:val="en-US"/>
        </w:rPr>
        <w:t xml:space="preserve"> “control for the problems that might arise from autocorrelation and </w:t>
      </w:r>
      <w:proofErr w:type="spellStart"/>
      <w:r w:rsidR="00AB3045" w:rsidRPr="00AB3045">
        <w:rPr>
          <w:rFonts w:ascii="Times New Roman" w:hAnsi="Times New Roman" w:cs="Times New Roman"/>
          <w:sz w:val="24"/>
          <w:szCs w:val="24"/>
          <w:lang w:val="en-US"/>
        </w:rPr>
        <w:t>nonstationarities</w:t>
      </w:r>
      <w:proofErr w:type="spellEnd"/>
      <w:r w:rsidR="00AB3045" w:rsidRPr="00AB3045">
        <w:rPr>
          <w:rFonts w:ascii="Times New Roman" w:hAnsi="Times New Roman" w:cs="Times New Roman"/>
          <w:sz w:val="24"/>
          <w:szCs w:val="24"/>
          <w:lang w:val="en-US"/>
        </w:rPr>
        <w:t xml:space="preserve"> in the time series”. In fact, the estimated model</w:t>
      </w:r>
      <w:r w:rsidR="00C85414">
        <w:rPr>
          <w:rFonts w:ascii="Times New Roman" w:hAnsi="Times New Roman" w:cs="Times New Roman"/>
          <w:sz w:val="24"/>
          <w:szCs w:val="24"/>
          <w:lang w:val="en-US"/>
        </w:rPr>
        <w:t>s</w:t>
      </w:r>
      <w:r w:rsidR="00AB3045" w:rsidRPr="00AB3045">
        <w:rPr>
          <w:rFonts w:ascii="Times New Roman" w:hAnsi="Times New Roman" w:cs="Times New Roman"/>
          <w:sz w:val="24"/>
          <w:szCs w:val="24"/>
          <w:lang w:val="en-US"/>
        </w:rPr>
        <w:t xml:space="preserve"> </w:t>
      </w:r>
      <w:r w:rsidR="00C85414">
        <w:rPr>
          <w:rFonts w:ascii="Times New Roman" w:hAnsi="Times New Roman" w:cs="Times New Roman"/>
          <w:sz w:val="24"/>
          <w:szCs w:val="24"/>
          <w:lang w:val="en-US"/>
        </w:rPr>
        <w:t>are</w:t>
      </w:r>
      <w:r w:rsidR="00AB3045" w:rsidRPr="00AB3045">
        <w:rPr>
          <w:rFonts w:ascii="Times New Roman" w:hAnsi="Times New Roman" w:cs="Times New Roman"/>
          <w:sz w:val="24"/>
          <w:szCs w:val="24"/>
          <w:lang w:val="en-US"/>
        </w:rPr>
        <w:t xml:space="preserve"> stable and the L</w:t>
      </w:r>
      <w:r w:rsidR="008749FC">
        <w:rPr>
          <w:rFonts w:ascii="Times New Roman" w:hAnsi="Times New Roman" w:cs="Times New Roman"/>
          <w:sz w:val="24"/>
          <w:szCs w:val="24"/>
          <w:lang w:val="en-US"/>
        </w:rPr>
        <w:t xml:space="preserve">agrange </w:t>
      </w:r>
      <w:r w:rsidR="00AB3045" w:rsidRPr="00AB3045">
        <w:rPr>
          <w:rFonts w:ascii="Times New Roman" w:hAnsi="Times New Roman" w:cs="Times New Roman"/>
          <w:sz w:val="24"/>
          <w:szCs w:val="24"/>
          <w:lang w:val="en-US"/>
        </w:rPr>
        <w:t>M</w:t>
      </w:r>
      <w:r w:rsidR="008749FC">
        <w:rPr>
          <w:rFonts w:ascii="Times New Roman" w:hAnsi="Times New Roman" w:cs="Times New Roman"/>
          <w:sz w:val="24"/>
          <w:szCs w:val="24"/>
          <w:lang w:val="en-US"/>
        </w:rPr>
        <w:t>ultiplier</w:t>
      </w:r>
      <w:r w:rsidR="00AB3045" w:rsidRPr="00AB3045">
        <w:rPr>
          <w:rFonts w:ascii="Times New Roman" w:hAnsi="Times New Roman" w:cs="Times New Roman"/>
          <w:sz w:val="24"/>
          <w:szCs w:val="24"/>
          <w:lang w:val="en-US"/>
        </w:rPr>
        <w:t xml:space="preserve"> test showed that autocorrelation is not a problem. </w:t>
      </w:r>
      <w:r w:rsidRPr="00576BA2">
        <w:rPr>
          <w:rFonts w:ascii="Times New Roman" w:hAnsi="Times New Roman" w:cs="Times New Roman"/>
          <w:sz w:val="24"/>
          <w:szCs w:val="24"/>
          <w:lang w:val="en-US"/>
        </w:rPr>
        <w:t>The results provided by the empirical analysis</w:t>
      </w:r>
      <w:r w:rsidR="00C85414">
        <w:rPr>
          <w:rFonts w:ascii="Times New Roman" w:hAnsi="Times New Roman" w:cs="Times New Roman"/>
          <w:sz w:val="24"/>
          <w:szCs w:val="24"/>
          <w:lang w:val="en-US"/>
        </w:rPr>
        <w:t xml:space="preserve"> (impulse response functions)</w:t>
      </w:r>
      <w:r w:rsidRPr="00576BA2">
        <w:rPr>
          <w:rFonts w:ascii="Times New Roman" w:hAnsi="Times New Roman" w:cs="Times New Roman"/>
          <w:sz w:val="24"/>
          <w:szCs w:val="24"/>
          <w:lang w:val="en-US"/>
        </w:rPr>
        <w:t xml:space="preserve"> showed that decreasing the wage share does not stimulate accumulation, growth, and employment</w:t>
      </w:r>
      <w:r w:rsidR="00C85414">
        <w:rPr>
          <w:rFonts w:ascii="Times New Roman" w:hAnsi="Times New Roman" w:cs="Times New Roman"/>
          <w:sz w:val="24"/>
          <w:szCs w:val="24"/>
          <w:lang w:val="en-US"/>
        </w:rPr>
        <w:t>,</w:t>
      </w:r>
      <w:r w:rsidRPr="00576BA2">
        <w:rPr>
          <w:rFonts w:ascii="Times New Roman" w:hAnsi="Times New Roman" w:cs="Times New Roman"/>
          <w:sz w:val="24"/>
          <w:szCs w:val="24"/>
          <w:lang w:val="en-US"/>
        </w:rPr>
        <w:t xml:space="preserve"> both in Turkey as in South Korea.</w:t>
      </w:r>
      <w:r>
        <w:rPr>
          <w:lang w:val="en-US"/>
        </w:rPr>
        <w:t xml:space="preserve">  </w:t>
      </w:r>
    </w:p>
    <w:p w:rsidR="003B5387" w:rsidRDefault="00B24A16" w:rsidP="00784AF0">
      <w:pPr>
        <w:autoSpaceDE w:val="0"/>
        <w:autoSpaceDN w:val="0"/>
        <w:adjustRightInd w:val="0"/>
        <w:spacing w:line="240" w:lineRule="auto"/>
        <w:ind w:firstLine="709"/>
        <w:jc w:val="both"/>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lang w:val="en-US"/>
        </w:rPr>
        <w:t xml:space="preserve">Barbosa-Filho and Taylor (2006) also use a VAR model to test the relation between capacity utilization and profit-share for the US economy with quarterly data from 1948.Q1 to 2002.Q4. The authors found evidences that the USA economy was profit-led during the period, but the estimated VAR model has been criticized. First, </w:t>
      </w:r>
      <w:proofErr w:type="spellStart"/>
      <w:r>
        <w:rPr>
          <w:rFonts w:ascii="Times New Roman" w:hAnsi="Times New Roman" w:cs="Times New Roman"/>
          <w:color w:val="000000"/>
          <w:sz w:val="24"/>
          <w:szCs w:val="24"/>
          <w:shd w:val="clear" w:color="auto" w:fill="FFFFFF"/>
          <w:lang w:val="en-US"/>
        </w:rPr>
        <w:t>Stockhammer</w:t>
      </w:r>
      <w:proofErr w:type="spellEnd"/>
      <w:r>
        <w:rPr>
          <w:rFonts w:ascii="Times New Roman" w:hAnsi="Times New Roman" w:cs="Times New Roman"/>
          <w:color w:val="000000"/>
          <w:sz w:val="24"/>
          <w:szCs w:val="24"/>
          <w:shd w:val="clear" w:color="auto" w:fill="FFFFFF"/>
          <w:lang w:val="en-US"/>
        </w:rPr>
        <w:t xml:space="preserve"> and </w:t>
      </w:r>
      <w:proofErr w:type="spellStart"/>
      <w:r>
        <w:rPr>
          <w:rFonts w:ascii="Times New Roman" w:hAnsi="Times New Roman" w:cs="Times New Roman"/>
          <w:color w:val="000000"/>
          <w:sz w:val="24"/>
          <w:szCs w:val="24"/>
          <w:shd w:val="clear" w:color="auto" w:fill="FFFFFF"/>
          <w:lang w:val="en-US"/>
        </w:rPr>
        <w:t>Stehrer</w:t>
      </w:r>
      <w:proofErr w:type="spellEnd"/>
      <w:r>
        <w:rPr>
          <w:rFonts w:ascii="Times New Roman" w:hAnsi="Times New Roman" w:cs="Times New Roman"/>
          <w:color w:val="000000"/>
          <w:sz w:val="24"/>
          <w:szCs w:val="24"/>
          <w:shd w:val="clear" w:color="auto" w:fill="FFFFFF"/>
          <w:lang w:val="en-US"/>
        </w:rPr>
        <w:t xml:space="preserve"> (2011) pointed that the Barbosa-Filho and Taylor’s model suffer autocorrelation and their main result is very sensitive to the lag length. Second, Blecker (2016) argued that the use of the </w:t>
      </w:r>
      <w:proofErr w:type="spellStart"/>
      <w:r>
        <w:rPr>
          <w:rFonts w:ascii="Times New Roman" w:hAnsi="Times New Roman" w:cs="Times New Roman"/>
          <w:bCs/>
          <w:iCs/>
          <w:sz w:val="24"/>
          <w:szCs w:val="24"/>
          <w:shd w:val="clear" w:color="auto" w:fill="FFFFFF"/>
          <w:lang w:val="en-US"/>
        </w:rPr>
        <w:t>Hodrick</w:t>
      </w:r>
      <w:proofErr w:type="spellEnd"/>
      <w:r>
        <w:rPr>
          <w:rFonts w:ascii="Times New Roman" w:hAnsi="Times New Roman" w:cs="Times New Roman"/>
          <w:sz w:val="24"/>
          <w:szCs w:val="24"/>
          <w:shd w:val="clear" w:color="auto" w:fill="FFFFFF"/>
          <w:lang w:val="en-US"/>
        </w:rPr>
        <w:t>-Prescott</w:t>
      </w:r>
      <w:r>
        <w:rPr>
          <w:rFonts w:ascii="Times New Roman" w:hAnsi="Times New Roman" w:cs="Times New Roman"/>
          <w:sz w:val="24"/>
          <w:szCs w:val="24"/>
          <w:lang w:val="en-US"/>
        </w:rPr>
        <w:t xml:space="preserve"> filter in </w:t>
      </w:r>
      <w:r>
        <w:rPr>
          <w:rFonts w:ascii="Times New Roman" w:hAnsi="Times New Roman" w:cs="Times New Roman"/>
          <w:color w:val="000000"/>
          <w:sz w:val="24"/>
          <w:szCs w:val="24"/>
          <w:shd w:val="clear" w:color="auto" w:fill="FFFFFF"/>
          <w:lang w:val="en-US"/>
        </w:rPr>
        <w:t>Barbosa-</w:t>
      </w:r>
      <w:proofErr w:type="spellStart"/>
      <w:r>
        <w:rPr>
          <w:rFonts w:ascii="Times New Roman" w:hAnsi="Times New Roman" w:cs="Times New Roman"/>
          <w:color w:val="000000"/>
          <w:sz w:val="24"/>
          <w:szCs w:val="24"/>
          <w:shd w:val="clear" w:color="auto" w:fill="FFFFFF"/>
          <w:lang w:val="en-US"/>
        </w:rPr>
        <w:t>Filho</w:t>
      </w:r>
      <w:proofErr w:type="spellEnd"/>
      <w:r>
        <w:rPr>
          <w:rFonts w:ascii="Times New Roman" w:hAnsi="Times New Roman" w:cs="Times New Roman"/>
          <w:color w:val="000000"/>
          <w:sz w:val="24"/>
          <w:szCs w:val="24"/>
          <w:shd w:val="clear" w:color="auto" w:fill="FFFFFF"/>
          <w:lang w:val="en-US"/>
        </w:rPr>
        <w:t xml:space="preserve"> and Taylor’s model </w:t>
      </w:r>
      <w:r>
        <w:rPr>
          <w:rFonts w:ascii="Times New Roman" w:hAnsi="Times New Roman" w:cs="Times New Roman"/>
          <w:sz w:val="24"/>
          <w:szCs w:val="24"/>
          <w:lang w:val="en-US"/>
        </w:rPr>
        <w:t>is a problematic way to measure the utilization rate for long-term purposes.</w:t>
      </w:r>
    </w:p>
    <w:p w:rsidR="003B5387" w:rsidRDefault="003B5387" w:rsidP="00784AF0">
      <w:pPr>
        <w:autoSpaceDE w:val="0"/>
        <w:autoSpaceDN w:val="0"/>
        <w:adjustRightInd w:val="0"/>
        <w:spacing w:line="240" w:lineRule="auto"/>
        <w:ind w:firstLine="709"/>
        <w:jc w:val="both"/>
        <w:rPr>
          <w:rFonts w:ascii="Times New Roman" w:hAnsi="Times New Roman" w:cs="Times New Roman"/>
          <w:sz w:val="24"/>
          <w:szCs w:val="24"/>
          <w:lang w:val="en-US"/>
        </w:rPr>
      </w:pPr>
      <w:r w:rsidRPr="003D2740">
        <w:rPr>
          <w:rFonts w:ascii="Times New Roman" w:eastAsia="Times New Roman" w:hAnsi="Times New Roman" w:cs="Times New Roman"/>
          <w:sz w:val="24"/>
          <w:szCs w:val="24"/>
          <w:lang w:val="en-US" w:eastAsia="pt-BR"/>
        </w:rPr>
        <w:t xml:space="preserve">In order to </w:t>
      </w:r>
      <w:r w:rsidRPr="003D2740">
        <w:rPr>
          <w:rFonts w:ascii="Times New Roman" w:hAnsi="Times New Roman" w:cs="Times New Roman"/>
          <w:sz w:val="24"/>
          <w:szCs w:val="24"/>
          <w:lang w:val="en-US"/>
        </w:rPr>
        <w:t xml:space="preserve">evaluate the performance of the Japanese economy </w:t>
      </w:r>
      <w:r>
        <w:rPr>
          <w:rFonts w:ascii="Times New Roman" w:hAnsi="Times New Roman" w:cs="Times New Roman"/>
          <w:sz w:val="24"/>
          <w:szCs w:val="24"/>
          <w:lang w:val="en-US"/>
        </w:rPr>
        <w:t>in the</w:t>
      </w:r>
      <w:r w:rsidRPr="003D2740">
        <w:rPr>
          <w:rFonts w:ascii="Times New Roman" w:hAnsi="Times New Roman" w:cs="Times New Roman"/>
          <w:sz w:val="24"/>
          <w:szCs w:val="24"/>
          <w:lang w:val="en-US"/>
        </w:rPr>
        <w:t xml:space="preserve"> 1990s</w:t>
      </w:r>
      <w:r>
        <w:rPr>
          <w:rFonts w:ascii="Times New Roman" w:hAnsi="Times New Roman" w:cs="Times New Roman"/>
          <w:sz w:val="24"/>
          <w:szCs w:val="24"/>
          <w:lang w:val="en-US"/>
        </w:rPr>
        <w:t xml:space="preserve"> and 2000s decades</w:t>
      </w:r>
      <w:r w:rsidRPr="003D2740">
        <w:rPr>
          <w:rFonts w:ascii="Times New Roman" w:hAnsi="Times New Roman" w:cs="Times New Roman"/>
          <w:sz w:val="24"/>
          <w:szCs w:val="24"/>
          <w:lang w:val="en-US"/>
        </w:rPr>
        <w:t xml:space="preserve">, </w:t>
      </w:r>
      <w:r w:rsidRPr="003D2740">
        <w:rPr>
          <w:rFonts w:ascii="Times New Roman" w:eastAsia="Times New Roman" w:hAnsi="Times New Roman" w:cs="Times New Roman"/>
          <w:sz w:val="24"/>
          <w:szCs w:val="24"/>
          <w:lang w:val="en-US" w:eastAsia="pt-BR"/>
        </w:rPr>
        <w:t xml:space="preserve">Nishi (2012) used </w:t>
      </w:r>
      <w:r>
        <w:rPr>
          <w:rFonts w:ascii="Times New Roman" w:eastAsia="Times New Roman" w:hAnsi="Times New Roman" w:cs="Times New Roman"/>
          <w:sz w:val="24"/>
          <w:szCs w:val="24"/>
          <w:lang w:val="en-US" w:eastAsia="pt-BR"/>
        </w:rPr>
        <w:t xml:space="preserve">quarterly </w:t>
      </w:r>
      <w:r w:rsidRPr="003D2740">
        <w:rPr>
          <w:rFonts w:ascii="Times New Roman" w:eastAsia="Times New Roman" w:hAnsi="Times New Roman" w:cs="Times New Roman"/>
          <w:sz w:val="24"/>
          <w:szCs w:val="24"/>
          <w:lang w:val="en-US" w:eastAsia="pt-BR"/>
        </w:rPr>
        <w:t xml:space="preserve">data of </w:t>
      </w:r>
      <w:r>
        <w:rPr>
          <w:rFonts w:ascii="Times New Roman" w:hAnsi="Times New Roman" w:cs="Times New Roman"/>
          <w:sz w:val="24"/>
          <w:szCs w:val="24"/>
          <w:lang w:val="en-US"/>
        </w:rPr>
        <w:t>profit share</w:t>
      </w:r>
      <w:r w:rsidRPr="003D2740">
        <w:rPr>
          <w:rFonts w:ascii="Times New Roman" w:hAnsi="Times New Roman" w:cs="Times New Roman"/>
          <w:sz w:val="24"/>
          <w:szCs w:val="24"/>
          <w:lang w:val="en-US"/>
        </w:rPr>
        <w:t>, debt ratio, and capital accumulation</w:t>
      </w:r>
      <w:r>
        <w:rPr>
          <w:rFonts w:ascii="Times New Roman" w:hAnsi="Times New Roman" w:cs="Times New Roman"/>
          <w:sz w:val="24"/>
          <w:szCs w:val="24"/>
          <w:lang w:val="en-US"/>
        </w:rPr>
        <w:t>,</w:t>
      </w:r>
      <w:r w:rsidRPr="003D2740">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3D2740">
        <w:rPr>
          <w:rFonts w:ascii="Times New Roman" w:hAnsi="Times New Roman" w:cs="Times New Roman"/>
          <w:sz w:val="24"/>
          <w:szCs w:val="24"/>
          <w:lang w:val="en-US"/>
        </w:rPr>
        <w:t xml:space="preserve"> estimate</w:t>
      </w:r>
      <w:r>
        <w:rPr>
          <w:rFonts w:ascii="Times New Roman" w:hAnsi="Times New Roman" w:cs="Times New Roman"/>
          <w:sz w:val="24"/>
          <w:szCs w:val="24"/>
          <w:lang w:val="en-US"/>
        </w:rPr>
        <w:t>d</w:t>
      </w:r>
      <w:r w:rsidRPr="003D2740">
        <w:rPr>
          <w:rFonts w:ascii="Times New Roman" w:hAnsi="Times New Roman" w:cs="Times New Roman"/>
          <w:sz w:val="24"/>
          <w:szCs w:val="24"/>
          <w:lang w:val="en-US"/>
        </w:rPr>
        <w:t xml:space="preserve"> a structural VAR model</w:t>
      </w:r>
      <w:r>
        <w:rPr>
          <w:rFonts w:ascii="Times New Roman" w:hAnsi="Times New Roman" w:cs="Times New Roman"/>
          <w:sz w:val="24"/>
          <w:szCs w:val="24"/>
          <w:lang w:val="en-US"/>
        </w:rPr>
        <w:t xml:space="preserve"> with th</w:t>
      </w:r>
      <w:r w:rsidR="00A017ED">
        <w:rPr>
          <w:rFonts w:ascii="Times New Roman" w:hAnsi="Times New Roman" w:cs="Times New Roman"/>
          <w:sz w:val="24"/>
          <w:szCs w:val="24"/>
          <w:lang w:val="en-US"/>
        </w:rPr>
        <w:t>e</w:t>
      </w:r>
      <w:r>
        <w:rPr>
          <w:rFonts w:ascii="Times New Roman" w:hAnsi="Times New Roman" w:cs="Times New Roman"/>
          <w:sz w:val="24"/>
          <w:szCs w:val="24"/>
          <w:lang w:val="en-US"/>
        </w:rPr>
        <w:t>s</w:t>
      </w:r>
      <w:r w:rsidR="00A017ED">
        <w:rPr>
          <w:rFonts w:ascii="Times New Roman" w:hAnsi="Times New Roman" w:cs="Times New Roman"/>
          <w:sz w:val="24"/>
          <w:szCs w:val="24"/>
          <w:lang w:val="en-US"/>
        </w:rPr>
        <w:t>e</w:t>
      </w:r>
      <w:r>
        <w:rPr>
          <w:rFonts w:ascii="Times New Roman" w:hAnsi="Times New Roman" w:cs="Times New Roman"/>
          <w:sz w:val="24"/>
          <w:szCs w:val="24"/>
          <w:lang w:val="en-US"/>
        </w:rPr>
        <w:t xml:space="preserve"> variable</w:t>
      </w:r>
      <w:r w:rsidR="00A017ED">
        <w:rPr>
          <w:rFonts w:ascii="Times New Roman" w:hAnsi="Times New Roman" w:cs="Times New Roman"/>
          <w:sz w:val="24"/>
          <w:szCs w:val="24"/>
          <w:lang w:val="en-US"/>
        </w:rPr>
        <w:t>s</w:t>
      </w:r>
      <w:r w:rsidRPr="003D274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pt-BR"/>
        </w:rPr>
        <w:t xml:space="preserve">Although the </w:t>
      </w:r>
      <w:r>
        <w:rPr>
          <w:rFonts w:ascii="Times New Roman" w:hAnsi="Times New Roman" w:cs="Times New Roman"/>
          <w:sz w:val="24"/>
          <w:szCs w:val="24"/>
          <w:lang w:val="en-US"/>
        </w:rPr>
        <w:t xml:space="preserve">unit root test suggested that just the profit share </w:t>
      </w:r>
      <w:r w:rsidR="00A017ED">
        <w:rPr>
          <w:rFonts w:ascii="Times New Roman" w:hAnsi="Times New Roman" w:cs="Times New Roman"/>
          <w:sz w:val="24"/>
          <w:szCs w:val="24"/>
          <w:lang w:val="en-US"/>
        </w:rPr>
        <w:t xml:space="preserve">series </w:t>
      </w:r>
      <w:r>
        <w:rPr>
          <w:rFonts w:ascii="Times New Roman" w:hAnsi="Times New Roman" w:cs="Times New Roman"/>
          <w:sz w:val="24"/>
          <w:szCs w:val="24"/>
          <w:lang w:val="en-US"/>
        </w:rPr>
        <w:t xml:space="preserve">is stationary, the author used the argument of Sims et al (1990) and estimated the model with </w:t>
      </w:r>
      <w:r w:rsidRPr="009C5067">
        <w:rPr>
          <w:rFonts w:ascii="Times New Roman" w:hAnsi="Times New Roman" w:cs="Times New Roman"/>
          <w:sz w:val="24"/>
          <w:szCs w:val="24"/>
          <w:lang w:val="en-US"/>
        </w:rPr>
        <w:t>nonstationary series</w:t>
      </w:r>
      <w:r>
        <w:rPr>
          <w:rFonts w:ascii="Times New Roman" w:hAnsi="Times New Roman" w:cs="Times New Roman"/>
          <w:sz w:val="24"/>
          <w:szCs w:val="24"/>
          <w:lang w:val="en-US"/>
        </w:rPr>
        <w:t>. Following the Akaike an</w:t>
      </w:r>
      <w:r w:rsidRPr="00E233B8">
        <w:rPr>
          <w:rFonts w:ascii="Times New Roman" w:hAnsi="Times New Roman" w:cs="Times New Roman"/>
          <w:sz w:val="24"/>
          <w:szCs w:val="24"/>
          <w:lang w:val="en-US"/>
        </w:rPr>
        <w:t xml:space="preserve">d Schwarz </w:t>
      </w:r>
      <w:r>
        <w:rPr>
          <w:rFonts w:ascii="Times New Roman" w:hAnsi="Times New Roman" w:cs="Times New Roman"/>
          <w:sz w:val="24"/>
          <w:szCs w:val="24"/>
          <w:lang w:val="en-US"/>
        </w:rPr>
        <w:t xml:space="preserve">information criteria, two VAR models are estimated: one with five lags and other with one lag. </w:t>
      </w:r>
      <w:r>
        <w:rPr>
          <w:rFonts w:ascii="Times New Roman" w:hAnsi="Times New Roman" w:cs="Times New Roman"/>
          <w:sz w:val="24"/>
          <w:szCs w:val="24"/>
          <w:lang w:val="en-US"/>
        </w:rPr>
        <w:lastRenderedPageBreak/>
        <w:t xml:space="preserve">The </w:t>
      </w:r>
      <w:r w:rsidRPr="009C5067">
        <w:rPr>
          <w:rFonts w:ascii="Times New Roman" w:hAnsi="Times New Roman" w:cs="Times New Roman"/>
          <w:sz w:val="24"/>
          <w:szCs w:val="24"/>
          <w:lang w:val="en-US"/>
        </w:rPr>
        <w:t>accumulated impulse response functio</w:t>
      </w:r>
      <w:r w:rsidRPr="008D0751">
        <w:rPr>
          <w:rFonts w:ascii="Times New Roman" w:hAnsi="Times New Roman" w:cs="Times New Roman"/>
          <w:sz w:val="24"/>
          <w:szCs w:val="24"/>
          <w:lang w:val="en-US"/>
        </w:rPr>
        <w:t xml:space="preserve">ns derived from the VAR model showed that a positive shock on the profit share continuously stimulates capital accumulation rate and, at the same time, an increase in the debt ratio restrains the capital accumulation rate. </w:t>
      </w:r>
      <w:r>
        <w:rPr>
          <w:rFonts w:ascii="Times New Roman" w:hAnsi="Times New Roman" w:cs="Times New Roman"/>
          <w:sz w:val="24"/>
          <w:szCs w:val="24"/>
          <w:lang w:val="en-US"/>
        </w:rPr>
        <w:t xml:space="preserve">It is important to </w:t>
      </w:r>
      <w:r w:rsidRPr="00E233B8">
        <w:rPr>
          <w:rFonts w:ascii="Times New Roman" w:hAnsi="Times New Roman" w:cs="Times New Roman"/>
          <w:sz w:val="24"/>
          <w:szCs w:val="24"/>
          <w:lang w:val="en-US"/>
        </w:rPr>
        <w:t>highlight</w:t>
      </w:r>
      <w:r>
        <w:rPr>
          <w:rFonts w:ascii="Times New Roman" w:hAnsi="Times New Roman" w:cs="Times New Roman"/>
          <w:sz w:val="24"/>
          <w:szCs w:val="24"/>
          <w:lang w:val="en-US"/>
        </w:rPr>
        <w:t xml:space="preserve"> that the author did not perform autocorrelation and stability test, and this makes the VAR model susceptible to criticisms. </w:t>
      </w:r>
    </w:p>
    <w:p w:rsidR="00D32A40" w:rsidRDefault="00B24A16" w:rsidP="00784AF0">
      <w:pPr>
        <w:autoSpaceDE w:val="0"/>
        <w:autoSpaceDN w:val="0"/>
        <w:adjustRightInd w:val="0"/>
        <w:spacing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 innovative approach, Carvalho and </w:t>
      </w:r>
      <w:proofErr w:type="spellStart"/>
      <w:r>
        <w:rPr>
          <w:rFonts w:ascii="Times New Roman" w:hAnsi="Times New Roman" w:cs="Times New Roman"/>
          <w:sz w:val="24"/>
          <w:szCs w:val="24"/>
          <w:lang w:val="en-US"/>
        </w:rPr>
        <w:t>Rezai</w:t>
      </w:r>
      <w:proofErr w:type="spellEnd"/>
      <w:r>
        <w:rPr>
          <w:rFonts w:ascii="Times New Roman" w:hAnsi="Times New Roman" w:cs="Times New Roman"/>
          <w:sz w:val="24"/>
          <w:szCs w:val="24"/>
          <w:lang w:val="en-US"/>
        </w:rPr>
        <w:t xml:space="preserve"> (2016) investigated the effects of changes in the personal income distribution on demand growth regime in the USA economy (1967-2010). To this end, they estimated a two-dimensional threshold VAR model for labor share and capacity utilization, using the Gini coefficient as the threshold variable. This strategy is used to investigate whether the level of income inequality affects the growth regime. Following Barbosa-Filho and Taylor (2006), Carvalho and </w:t>
      </w:r>
      <w:proofErr w:type="spellStart"/>
      <w:r>
        <w:rPr>
          <w:rFonts w:ascii="Times New Roman" w:hAnsi="Times New Roman" w:cs="Times New Roman"/>
          <w:sz w:val="24"/>
          <w:szCs w:val="24"/>
          <w:lang w:val="en-US"/>
        </w:rPr>
        <w:t>Rezai</w:t>
      </w:r>
      <w:proofErr w:type="spellEnd"/>
      <w:r>
        <w:rPr>
          <w:rFonts w:ascii="Times New Roman" w:hAnsi="Times New Roman" w:cs="Times New Roman"/>
          <w:sz w:val="24"/>
          <w:szCs w:val="24"/>
          <w:lang w:val="en-US"/>
        </w:rPr>
        <w:t xml:space="preserve"> (2016) utilized Hodrik-Prescott filter to construct the series of capacity utilization. Two linear accumulated impulse-response functions were calculated: one to high-inequality regime and other </w:t>
      </w:r>
      <w:proofErr w:type="spellStart"/>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low-inequality regime. The authors show that the impact of wage share innovation on capacity utilization is negative in both </w:t>
      </w:r>
      <w:r w:rsidR="008F34E8">
        <w:rPr>
          <w:rFonts w:ascii="Times New Roman" w:hAnsi="Times New Roman" w:cs="Times New Roman"/>
          <w:sz w:val="24"/>
          <w:szCs w:val="24"/>
          <w:lang w:val="en-US"/>
        </w:rPr>
        <w:t xml:space="preserve">accumulated </w:t>
      </w:r>
      <w:r>
        <w:rPr>
          <w:rFonts w:ascii="Times New Roman" w:hAnsi="Times New Roman" w:cs="Times New Roman"/>
          <w:sz w:val="24"/>
          <w:szCs w:val="24"/>
          <w:lang w:val="en-US"/>
        </w:rPr>
        <w:t xml:space="preserve">impulse-response functions, but in the high-inequality regime this impact is more negative. According to the authors interpretation, this suggest that the increase in income inequality has turned the USA economy more profit-led, and the main result of Barbosa-Filho and Taylor (2006) is due to the high-inequality level after 1981.  </w:t>
      </w:r>
    </w:p>
    <w:p w:rsidR="00B24A16" w:rsidRPr="00D32A40" w:rsidRDefault="00B24A16" w:rsidP="00784AF0">
      <w:pPr>
        <w:autoSpaceDE w:val="0"/>
        <w:autoSpaceDN w:val="0"/>
        <w:adjustRightInd w:val="0"/>
        <w:spacing w:before="120" w:after="120" w:line="240" w:lineRule="auto"/>
        <w:jc w:val="both"/>
        <w:rPr>
          <w:rFonts w:ascii="Times New Roman" w:hAnsi="Times New Roman" w:cs="Times New Roman"/>
          <w:sz w:val="24"/>
          <w:szCs w:val="24"/>
          <w:lang w:val="en-US"/>
        </w:rPr>
      </w:pPr>
      <w:r w:rsidRPr="00B24A16">
        <w:rPr>
          <w:rFonts w:ascii="Times New Roman" w:hAnsi="Times New Roman" w:cs="Times New Roman"/>
          <w:i/>
          <w:sz w:val="24"/>
          <w:szCs w:val="24"/>
          <w:lang w:val="en-US"/>
        </w:rPr>
        <w:t>3.</w:t>
      </w:r>
      <w:r>
        <w:rPr>
          <w:rFonts w:ascii="Times New Roman" w:hAnsi="Times New Roman" w:cs="Times New Roman"/>
          <w:i/>
          <w:sz w:val="24"/>
          <w:szCs w:val="24"/>
          <w:lang w:val="en-US"/>
        </w:rPr>
        <w:t>2</w:t>
      </w:r>
      <w:r w:rsidRPr="00B24A16">
        <w:rPr>
          <w:rFonts w:ascii="Times New Roman" w:hAnsi="Times New Roman" w:cs="Times New Roman"/>
          <w:i/>
          <w:sz w:val="24"/>
          <w:szCs w:val="24"/>
          <w:lang w:val="en-US"/>
        </w:rPr>
        <w:t xml:space="preserve"> </w:t>
      </w:r>
      <w:r>
        <w:rPr>
          <w:rFonts w:ascii="Times New Roman" w:hAnsi="Times New Roman" w:cs="Times New Roman"/>
          <w:i/>
          <w:sz w:val="24"/>
          <w:szCs w:val="24"/>
          <w:lang w:val="en-US"/>
        </w:rPr>
        <w:t>Brazilian</w:t>
      </w:r>
      <w:r w:rsidRPr="00B24A16">
        <w:rPr>
          <w:rFonts w:ascii="Times New Roman" w:hAnsi="Times New Roman" w:cs="Times New Roman"/>
          <w:i/>
          <w:sz w:val="24"/>
          <w:szCs w:val="24"/>
          <w:lang w:val="en-US"/>
        </w:rPr>
        <w:t xml:space="preserve"> literature </w:t>
      </w:r>
    </w:p>
    <w:p w:rsidR="00031AF6" w:rsidRDefault="00790EF4" w:rsidP="00784AF0">
      <w:pPr>
        <w:autoSpaceDE w:val="0"/>
        <w:autoSpaceDN w:val="0"/>
        <w:adjustRightInd w:val="0"/>
        <w:spacing w:after="0" w:line="240" w:lineRule="auto"/>
        <w:jc w:val="both"/>
        <w:rPr>
          <w:rFonts w:ascii="Times New Roman" w:eastAsia="TimesNewRoman" w:hAnsi="Times New Roman" w:cs="Times New Roman"/>
          <w:sz w:val="24"/>
          <w:szCs w:val="24"/>
          <w:lang w:val="en-GB"/>
        </w:rPr>
      </w:pPr>
      <w:r w:rsidRPr="00963F47">
        <w:rPr>
          <w:rFonts w:ascii="Times New Roman" w:eastAsia="TimesNewRoman" w:hAnsi="Times New Roman" w:cs="Times New Roman"/>
          <w:sz w:val="24"/>
          <w:szCs w:val="24"/>
          <w:lang w:val="en-US"/>
        </w:rPr>
        <w:t>The relation between distribution and growth is part of the Brazilian economists’ agenda for a long time</w:t>
      </w:r>
      <w:r w:rsidR="00E0492D">
        <w:rPr>
          <w:rFonts w:ascii="Times New Roman" w:eastAsia="TimesNewRoman" w:hAnsi="Times New Roman" w:cs="Times New Roman"/>
          <w:sz w:val="24"/>
          <w:szCs w:val="24"/>
          <w:lang w:val="en-US"/>
        </w:rPr>
        <w:t xml:space="preserve"> [</w:t>
      </w:r>
      <w:r w:rsidR="00E0492D">
        <w:rPr>
          <w:rFonts w:ascii="TimesNewRomanPSMT" w:hAnsi="TimesNewRomanPSMT" w:cs="TimesNewRomanPSMT"/>
          <w:sz w:val="24"/>
          <w:szCs w:val="24"/>
          <w:lang w:val="en-US"/>
        </w:rPr>
        <w:t xml:space="preserve">see </w:t>
      </w:r>
      <w:r w:rsidR="00E0492D" w:rsidRPr="003A2631">
        <w:rPr>
          <w:rFonts w:ascii="TimesNewRomanPSMT" w:hAnsi="TimesNewRomanPSMT" w:cs="TimesNewRomanPSMT"/>
          <w:sz w:val="24"/>
          <w:szCs w:val="24"/>
          <w:lang w:val="en-GB"/>
        </w:rPr>
        <w:t>among others,</w:t>
      </w:r>
      <w:r w:rsidR="00E0492D">
        <w:rPr>
          <w:rFonts w:ascii="TimesNewRomanPSMT" w:hAnsi="TimesNewRomanPSMT" w:cs="TimesNewRomanPSMT"/>
          <w:sz w:val="24"/>
          <w:szCs w:val="24"/>
          <w:lang w:val="en-GB"/>
        </w:rPr>
        <w:t xml:space="preserve"> </w:t>
      </w:r>
      <w:r w:rsidR="001B33CE" w:rsidRPr="00420DEE">
        <w:rPr>
          <w:rFonts w:ascii="Times New Roman" w:hAnsi="Times New Roman" w:cs="Times New Roman"/>
          <w:sz w:val="24"/>
          <w:szCs w:val="24"/>
          <w:lang w:val="en-US"/>
        </w:rPr>
        <w:t>Tavares and Serra</w:t>
      </w:r>
      <w:r w:rsidR="001B33CE">
        <w:rPr>
          <w:rFonts w:ascii="Times New Roman" w:hAnsi="Times New Roman" w:cs="Times New Roman"/>
          <w:sz w:val="24"/>
          <w:szCs w:val="24"/>
          <w:lang w:val="en-US"/>
        </w:rPr>
        <w:t xml:space="preserve"> (1</w:t>
      </w:r>
      <w:r w:rsidR="001B33CE" w:rsidRPr="00420DEE">
        <w:rPr>
          <w:rFonts w:ascii="Times New Roman" w:hAnsi="Times New Roman" w:cs="Times New Roman"/>
          <w:sz w:val="24"/>
          <w:szCs w:val="24"/>
          <w:lang w:val="en-US"/>
        </w:rPr>
        <w:t>971</w:t>
      </w:r>
      <w:r w:rsidR="001B33CE">
        <w:rPr>
          <w:rFonts w:ascii="Times New Roman" w:hAnsi="Times New Roman" w:cs="Times New Roman"/>
          <w:sz w:val="24"/>
          <w:szCs w:val="24"/>
          <w:lang w:val="en-US"/>
        </w:rPr>
        <w:t>),</w:t>
      </w:r>
      <w:r w:rsidR="001B33CE" w:rsidRPr="00420DEE">
        <w:rPr>
          <w:rFonts w:ascii="Times New Roman" w:hAnsi="Times New Roman" w:cs="Times New Roman"/>
          <w:sz w:val="24"/>
          <w:szCs w:val="24"/>
          <w:lang w:val="en-US"/>
        </w:rPr>
        <w:t xml:space="preserve"> Hoffmann and Duarte</w:t>
      </w:r>
      <w:r w:rsidR="001B33CE">
        <w:rPr>
          <w:rFonts w:ascii="Times New Roman" w:hAnsi="Times New Roman" w:cs="Times New Roman"/>
          <w:sz w:val="24"/>
          <w:szCs w:val="24"/>
          <w:lang w:val="en-US"/>
        </w:rPr>
        <w:t xml:space="preserve"> (</w:t>
      </w:r>
      <w:r w:rsidR="001B33CE" w:rsidRPr="00420DEE">
        <w:rPr>
          <w:rFonts w:ascii="Times New Roman" w:hAnsi="Times New Roman" w:cs="Times New Roman"/>
          <w:sz w:val="24"/>
          <w:szCs w:val="24"/>
          <w:lang w:val="en-US"/>
        </w:rPr>
        <w:t>1972</w:t>
      </w:r>
      <w:r w:rsidR="001B33CE">
        <w:rPr>
          <w:rFonts w:ascii="Times New Roman" w:hAnsi="Times New Roman" w:cs="Times New Roman"/>
          <w:sz w:val="24"/>
          <w:szCs w:val="24"/>
          <w:lang w:val="en-US"/>
        </w:rPr>
        <w:t>),</w:t>
      </w:r>
      <w:r w:rsidR="001B33CE" w:rsidRPr="00420DEE">
        <w:rPr>
          <w:rFonts w:ascii="Times New Roman" w:hAnsi="Times New Roman" w:cs="Times New Roman"/>
          <w:sz w:val="24"/>
          <w:szCs w:val="24"/>
          <w:lang w:val="en-US"/>
        </w:rPr>
        <w:t xml:space="preserve"> </w:t>
      </w:r>
      <w:proofErr w:type="spellStart"/>
      <w:r w:rsidR="001B33CE" w:rsidRPr="00420DEE">
        <w:rPr>
          <w:rFonts w:ascii="Times New Roman" w:hAnsi="Times New Roman" w:cs="Times New Roman"/>
          <w:sz w:val="24"/>
          <w:szCs w:val="24"/>
          <w:lang w:val="en-US"/>
        </w:rPr>
        <w:t>Fishlow</w:t>
      </w:r>
      <w:proofErr w:type="spellEnd"/>
      <w:r w:rsidR="001B33CE">
        <w:rPr>
          <w:rFonts w:ascii="Times New Roman" w:hAnsi="Times New Roman" w:cs="Times New Roman"/>
          <w:sz w:val="24"/>
          <w:szCs w:val="24"/>
          <w:lang w:val="en-US"/>
        </w:rPr>
        <w:t xml:space="preserve"> (</w:t>
      </w:r>
      <w:r w:rsidR="001B33CE" w:rsidRPr="00420DEE">
        <w:rPr>
          <w:rFonts w:ascii="Times New Roman" w:hAnsi="Times New Roman" w:cs="Times New Roman"/>
          <w:sz w:val="24"/>
          <w:szCs w:val="24"/>
          <w:lang w:val="en-US"/>
        </w:rPr>
        <w:t>1972</w:t>
      </w:r>
      <w:r w:rsidR="001B33CE">
        <w:rPr>
          <w:rFonts w:ascii="Times New Roman" w:hAnsi="Times New Roman" w:cs="Times New Roman"/>
          <w:sz w:val="24"/>
          <w:szCs w:val="24"/>
          <w:lang w:val="en-US"/>
        </w:rPr>
        <w:t>)</w:t>
      </w:r>
      <w:r w:rsidR="004B2C39">
        <w:rPr>
          <w:rFonts w:ascii="Times New Roman" w:hAnsi="Times New Roman" w:cs="Times New Roman"/>
          <w:sz w:val="24"/>
          <w:szCs w:val="24"/>
          <w:lang w:val="en-US"/>
        </w:rPr>
        <w:t xml:space="preserve"> and</w:t>
      </w:r>
      <w:r w:rsidR="001B33CE" w:rsidRPr="00420DEE">
        <w:rPr>
          <w:rFonts w:ascii="Times New Roman" w:hAnsi="Times New Roman" w:cs="Times New Roman"/>
          <w:sz w:val="24"/>
          <w:szCs w:val="24"/>
          <w:lang w:val="en-US"/>
        </w:rPr>
        <w:t xml:space="preserve"> </w:t>
      </w:r>
      <w:proofErr w:type="spellStart"/>
      <w:r w:rsidR="001B33CE" w:rsidRPr="00420DEE">
        <w:rPr>
          <w:rFonts w:ascii="Times New Roman" w:hAnsi="Times New Roman" w:cs="Times New Roman"/>
          <w:sz w:val="24"/>
          <w:szCs w:val="24"/>
          <w:lang w:val="en-US"/>
        </w:rPr>
        <w:t>Langoni</w:t>
      </w:r>
      <w:proofErr w:type="spellEnd"/>
      <w:r w:rsidR="001B33CE">
        <w:rPr>
          <w:rFonts w:ascii="Times New Roman" w:hAnsi="Times New Roman" w:cs="Times New Roman"/>
          <w:sz w:val="24"/>
          <w:szCs w:val="24"/>
          <w:lang w:val="en-US"/>
        </w:rPr>
        <w:t xml:space="preserve"> (</w:t>
      </w:r>
      <w:r w:rsidR="001B33CE" w:rsidRPr="00420DEE">
        <w:rPr>
          <w:rFonts w:ascii="Times New Roman" w:hAnsi="Times New Roman" w:cs="Times New Roman"/>
          <w:sz w:val="24"/>
          <w:szCs w:val="24"/>
          <w:lang w:val="en-US"/>
        </w:rPr>
        <w:t>1973</w:t>
      </w:r>
      <w:r w:rsidR="001B33CE">
        <w:rPr>
          <w:rFonts w:ascii="Times New Roman" w:hAnsi="Times New Roman" w:cs="Times New Roman"/>
          <w:sz w:val="24"/>
          <w:szCs w:val="24"/>
          <w:lang w:val="en-US"/>
        </w:rPr>
        <w:t>)]</w:t>
      </w:r>
      <w:r w:rsidRPr="00963F47">
        <w:rPr>
          <w:rFonts w:ascii="Times New Roman" w:eastAsia="TimesNewRoman" w:hAnsi="Times New Roman" w:cs="Times New Roman"/>
          <w:sz w:val="24"/>
          <w:szCs w:val="24"/>
          <w:lang w:val="en-US"/>
        </w:rPr>
        <w:t xml:space="preserve">. A well-known dictum coined by </w:t>
      </w:r>
      <w:proofErr w:type="spellStart"/>
      <w:r w:rsidRPr="00963F47">
        <w:rPr>
          <w:rFonts w:ascii="Times New Roman" w:eastAsia="TimesNewRoman" w:hAnsi="Times New Roman" w:cs="Times New Roman"/>
          <w:sz w:val="24"/>
          <w:szCs w:val="24"/>
          <w:lang w:val="en-US"/>
        </w:rPr>
        <w:t>Delfim</w:t>
      </w:r>
      <w:proofErr w:type="spellEnd"/>
      <w:r w:rsidRPr="00963F47">
        <w:rPr>
          <w:rFonts w:ascii="Times New Roman" w:eastAsia="TimesNewRoman" w:hAnsi="Times New Roman" w:cs="Times New Roman"/>
          <w:sz w:val="24"/>
          <w:szCs w:val="24"/>
          <w:lang w:val="en-US"/>
        </w:rPr>
        <w:t xml:space="preserve"> </w:t>
      </w:r>
      <w:proofErr w:type="spellStart"/>
      <w:r w:rsidRPr="00963F47">
        <w:rPr>
          <w:rFonts w:ascii="Times New Roman" w:eastAsia="TimesNewRoman" w:hAnsi="Times New Roman" w:cs="Times New Roman"/>
          <w:sz w:val="24"/>
          <w:szCs w:val="24"/>
          <w:lang w:val="en-US"/>
        </w:rPr>
        <w:t>Netto</w:t>
      </w:r>
      <w:proofErr w:type="spellEnd"/>
      <w:r w:rsidRPr="00963F47">
        <w:rPr>
          <w:rFonts w:ascii="Times New Roman" w:eastAsia="TimesNewRoman" w:hAnsi="Times New Roman" w:cs="Times New Roman"/>
          <w:sz w:val="24"/>
          <w:szCs w:val="24"/>
          <w:lang w:val="en-US"/>
        </w:rPr>
        <w:t xml:space="preserve">, </w:t>
      </w:r>
      <w:r w:rsidR="00963F47">
        <w:rPr>
          <w:rFonts w:ascii="Times New Roman" w:eastAsia="TimesNewRoman" w:hAnsi="Times New Roman" w:cs="Times New Roman"/>
          <w:sz w:val="24"/>
          <w:szCs w:val="24"/>
          <w:lang w:val="en-US"/>
        </w:rPr>
        <w:t>a former</w:t>
      </w:r>
      <w:r w:rsidR="00963F47" w:rsidRPr="00963F47">
        <w:rPr>
          <w:rFonts w:ascii="Times New Roman" w:eastAsia="TimesNewRoman" w:hAnsi="Times New Roman" w:cs="Times New Roman"/>
          <w:sz w:val="24"/>
          <w:szCs w:val="24"/>
          <w:lang w:val="en-US"/>
        </w:rPr>
        <w:t xml:space="preserve"> </w:t>
      </w:r>
      <w:r w:rsidRPr="00963F47">
        <w:rPr>
          <w:rFonts w:ascii="Times New Roman" w:eastAsia="TimesNewRoman" w:hAnsi="Times New Roman" w:cs="Times New Roman"/>
          <w:sz w:val="24"/>
          <w:szCs w:val="24"/>
          <w:lang w:val="en-US"/>
        </w:rPr>
        <w:t xml:space="preserve">minister of </w:t>
      </w:r>
      <w:r w:rsidR="00963F47">
        <w:rPr>
          <w:rFonts w:ascii="Times New Roman" w:eastAsia="TimesNewRoman" w:hAnsi="Times New Roman" w:cs="Times New Roman"/>
          <w:sz w:val="24"/>
          <w:szCs w:val="24"/>
          <w:lang w:val="en-US"/>
        </w:rPr>
        <w:t>F</w:t>
      </w:r>
      <w:r w:rsidRPr="00963F47">
        <w:rPr>
          <w:rFonts w:ascii="Times New Roman" w:eastAsia="TimesNewRoman" w:hAnsi="Times New Roman" w:cs="Times New Roman"/>
          <w:sz w:val="24"/>
          <w:szCs w:val="24"/>
          <w:lang w:val="en-US"/>
        </w:rPr>
        <w:t xml:space="preserve">inance </w:t>
      </w:r>
      <w:r w:rsidR="00963F47">
        <w:rPr>
          <w:rFonts w:ascii="Times New Roman" w:eastAsia="TimesNewRoman" w:hAnsi="Times New Roman" w:cs="Times New Roman"/>
          <w:sz w:val="24"/>
          <w:szCs w:val="24"/>
          <w:lang w:val="en-US"/>
        </w:rPr>
        <w:t xml:space="preserve">and Planning during the </w:t>
      </w:r>
      <w:r w:rsidRPr="00963F47">
        <w:rPr>
          <w:rFonts w:ascii="Times New Roman" w:eastAsia="TimesNewRoman" w:hAnsi="Times New Roman" w:cs="Times New Roman"/>
          <w:sz w:val="24"/>
          <w:szCs w:val="24"/>
          <w:lang w:val="en-US"/>
        </w:rPr>
        <w:t xml:space="preserve">military </w:t>
      </w:r>
      <w:r w:rsidR="00963F47" w:rsidRPr="00963F47">
        <w:rPr>
          <w:rFonts w:ascii="Times New Roman" w:eastAsia="TimesNewRoman" w:hAnsi="Times New Roman" w:cs="Times New Roman"/>
          <w:sz w:val="24"/>
          <w:szCs w:val="24"/>
          <w:lang w:val="en-US"/>
        </w:rPr>
        <w:t>government</w:t>
      </w:r>
      <w:r w:rsidRPr="00963F47">
        <w:rPr>
          <w:rFonts w:ascii="Times New Roman" w:eastAsia="TimesNewRoman" w:hAnsi="Times New Roman" w:cs="Times New Roman"/>
          <w:sz w:val="24"/>
          <w:szCs w:val="24"/>
          <w:lang w:val="en-US"/>
        </w:rPr>
        <w:t xml:space="preserve"> is a good example of such connections. According to him</w:t>
      </w:r>
      <w:r w:rsidR="00963F47">
        <w:rPr>
          <w:rFonts w:ascii="Times New Roman" w:eastAsia="TimesNewRoman" w:hAnsi="Times New Roman" w:cs="Times New Roman"/>
          <w:sz w:val="24"/>
          <w:szCs w:val="24"/>
          <w:lang w:val="en-US"/>
        </w:rPr>
        <w:t>,</w:t>
      </w:r>
      <w:r w:rsidRPr="00963F47">
        <w:rPr>
          <w:rFonts w:ascii="Times New Roman" w:eastAsia="TimesNewRoman" w:hAnsi="Times New Roman" w:cs="Times New Roman"/>
          <w:sz w:val="24"/>
          <w:szCs w:val="24"/>
          <w:lang w:val="en-US"/>
        </w:rPr>
        <w:t xml:space="preserve"> it was necessary to ‘make the cake grow to distribute it’</w:t>
      </w:r>
      <w:r w:rsidR="00142908" w:rsidRPr="00963F47">
        <w:rPr>
          <w:rFonts w:ascii="Times New Roman" w:eastAsia="TimesNewRoman" w:hAnsi="Times New Roman" w:cs="Times New Roman"/>
          <w:sz w:val="24"/>
          <w:szCs w:val="24"/>
          <w:lang w:val="en-GB"/>
        </w:rPr>
        <w:t xml:space="preserve">. </w:t>
      </w:r>
      <w:r w:rsidR="00963F47">
        <w:rPr>
          <w:rFonts w:ascii="Times New Roman" w:eastAsia="TimesNewRoman" w:hAnsi="Times New Roman" w:cs="Times New Roman"/>
          <w:sz w:val="24"/>
          <w:szCs w:val="24"/>
          <w:lang w:val="en-GB"/>
        </w:rPr>
        <w:t>With t</w:t>
      </w:r>
      <w:r w:rsidR="00963F47" w:rsidRPr="00963F47">
        <w:rPr>
          <w:rFonts w:ascii="Times New Roman" w:eastAsia="TimesNewRoman" w:hAnsi="Times New Roman" w:cs="Times New Roman"/>
          <w:sz w:val="24"/>
          <w:szCs w:val="24"/>
          <w:lang w:val="en-GB"/>
        </w:rPr>
        <w:t xml:space="preserve">his statement </w:t>
      </w:r>
      <w:r w:rsidR="00963F47">
        <w:rPr>
          <w:rFonts w:ascii="Times New Roman" w:eastAsia="TimesNewRoman" w:hAnsi="Times New Roman" w:cs="Times New Roman"/>
          <w:sz w:val="24"/>
          <w:szCs w:val="24"/>
          <w:lang w:val="en-GB"/>
        </w:rPr>
        <w:t>he intended to justify the increase in the profit share of the Brazilian economy during the military dictatorship</w:t>
      </w:r>
      <w:r w:rsidR="00A46BC7">
        <w:rPr>
          <w:rFonts w:ascii="Times New Roman" w:eastAsia="TimesNewRoman" w:hAnsi="Times New Roman" w:cs="Times New Roman"/>
          <w:sz w:val="24"/>
          <w:szCs w:val="24"/>
          <w:lang w:val="en-GB"/>
        </w:rPr>
        <w:t xml:space="preserve"> in the seventies</w:t>
      </w:r>
      <w:r w:rsidR="00963F47">
        <w:rPr>
          <w:rFonts w:ascii="Times New Roman" w:eastAsia="TimesNewRoman" w:hAnsi="Times New Roman" w:cs="Times New Roman"/>
          <w:sz w:val="24"/>
          <w:szCs w:val="24"/>
          <w:lang w:val="en-GB"/>
        </w:rPr>
        <w:t xml:space="preserve"> </w:t>
      </w:r>
      <w:r w:rsidR="00A46BC7">
        <w:rPr>
          <w:rFonts w:ascii="Times New Roman" w:eastAsia="TimesNewRoman" w:hAnsi="Times New Roman" w:cs="Times New Roman"/>
          <w:sz w:val="24"/>
          <w:szCs w:val="24"/>
          <w:lang w:val="en-GB"/>
        </w:rPr>
        <w:t>when unions were repressed and became unable to fight for wage indexation in an environment of high inflation</w:t>
      </w:r>
      <w:r w:rsidR="00031AF6" w:rsidRPr="00142908">
        <w:rPr>
          <w:rStyle w:val="Refdenotaderodap"/>
          <w:rFonts w:ascii="Times New Roman" w:hAnsi="Times New Roman" w:cs="Times New Roman"/>
          <w:color w:val="000000"/>
          <w:sz w:val="24"/>
          <w:szCs w:val="24"/>
          <w:shd w:val="clear" w:color="auto" w:fill="FFFFFF"/>
          <w:lang w:val="en-US"/>
        </w:rPr>
        <w:footnoteReference w:id="6"/>
      </w:r>
      <w:r w:rsidR="00A46BC7">
        <w:rPr>
          <w:rFonts w:ascii="Times New Roman" w:eastAsia="TimesNewRoman" w:hAnsi="Times New Roman" w:cs="Times New Roman"/>
          <w:sz w:val="24"/>
          <w:szCs w:val="24"/>
          <w:lang w:val="en-GB"/>
        </w:rPr>
        <w:t xml:space="preserve">. </w:t>
      </w:r>
      <w:r w:rsidR="00031AF6">
        <w:rPr>
          <w:rFonts w:ascii="Times New Roman" w:eastAsia="TimesNewRoman" w:hAnsi="Times New Roman" w:cs="Times New Roman"/>
          <w:sz w:val="24"/>
          <w:szCs w:val="24"/>
          <w:lang w:val="en-GB"/>
        </w:rPr>
        <w:t>According to Baer (2001, p. 81) “[o]ne traditional justification for a concentration in the distribution of income has been that the upper income groups have a greater propensity to save than the lower income group. Thus, to increase investment and future productivity, income concentration must be tolerated for a while”</w:t>
      </w:r>
      <w:r w:rsidR="007F6A54">
        <w:rPr>
          <w:rFonts w:ascii="Times New Roman" w:eastAsia="TimesNewRoman" w:hAnsi="Times New Roman" w:cs="Times New Roman"/>
          <w:sz w:val="24"/>
          <w:szCs w:val="24"/>
          <w:lang w:val="en-GB"/>
        </w:rPr>
        <w:t>.</w:t>
      </w:r>
      <w:r w:rsidR="00031AF6">
        <w:rPr>
          <w:rFonts w:ascii="Times New Roman" w:eastAsia="TimesNewRoman" w:hAnsi="Times New Roman" w:cs="Times New Roman"/>
          <w:sz w:val="24"/>
          <w:szCs w:val="24"/>
          <w:lang w:val="en-GB"/>
        </w:rPr>
        <w:t xml:space="preserve"> </w:t>
      </w:r>
      <w:r w:rsidR="00A46BC7">
        <w:rPr>
          <w:rFonts w:ascii="Times New Roman" w:eastAsia="TimesNewRoman" w:hAnsi="Times New Roman" w:cs="Times New Roman"/>
          <w:sz w:val="24"/>
          <w:szCs w:val="24"/>
          <w:lang w:val="en-GB"/>
        </w:rPr>
        <w:t>This</w:t>
      </w:r>
      <w:r w:rsidR="005F4A91">
        <w:rPr>
          <w:rFonts w:ascii="Times New Roman" w:eastAsia="TimesNewRoman" w:hAnsi="Times New Roman" w:cs="Times New Roman"/>
          <w:sz w:val="24"/>
          <w:szCs w:val="24"/>
          <w:lang w:val="en-GB"/>
        </w:rPr>
        <w:t xml:space="preserve"> </w:t>
      </w:r>
      <w:r w:rsidR="00963F47" w:rsidRPr="00963F47">
        <w:rPr>
          <w:rFonts w:ascii="Times New Roman" w:eastAsia="TimesNewRoman" w:hAnsi="Times New Roman" w:cs="Times New Roman"/>
          <w:sz w:val="24"/>
          <w:szCs w:val="24"/>
          <w:lang w:val="en-GB"/>
        </w:rPr>
        <w:t xml:space="preserve">shows clearly that the effects of income distribution on growth are recognized by scholars </w:t>
      </w:r>
      <w:r w:rsidR="00963F47">
        <w:rPr>
          <w:rFonts w:ascii="Times New Roman" w:eastAsia="TimesNewRoman" w:hAnsi="Times New Roman" w:cs="Times New Roman"/>
          <w:sz w:val="24"/>
          <w:szCs w:val="24"/>
          <w:lang w:val="en-GB"/>
        </w:rPr>
        <w:t>w</w:t>
      </w:r>
      <w:r w:rsidR="00963F47" w:rsidRPr="00963F47">
        <w:rPr>
          <w:rFonts w:ascii="Times New Roman" w:eastAsia="TimesNewRoman" w:hAnsi="Times New Roman" w:cs="Times New Roman"/>
          <w:sz w:val="24"/>
          <w:szCs w:val="24"/>
          <w:lang w:val="en-GB"/>
        </w:rPr>
        <w:t xml:space="preserve">ho focused on the Brazilian economy. </w:t>
      </w:r>
    </w:p>
    <w:p w:rsidR="00D24868" w:rsidRDefault="00142908" w:rsidP="00784AF0">
      <w:pPr>
        <w:autoSpaceDE w:val="0"/>
        <w:autoSpaceDN w:val="0"/>
        <w:adjustRightInd w:val="0"/>
        <w:spacing w:after="0" w:line="240" w:lineRule="auto"/>
        <w:ind w:firstLine="708"/>
        <w:jc w:val="both"/>
        <w:rPr>
          <w:rFonts w:ascii="Times New Roman" w:hAnsi="Times New Roman" w:cs="Times New Roman"/>
          <w:sz w:val="24"/>
          <w:szCs w:val="24"/>
          <w:lang w:val="en-US"/>
        </w:rPr>
      </w:pPr>
      <w:r w:rsidRPr="00963F47">
        <w:rPr>
          <w:rFonts w:ascii="Times New Roman" w:eastAsia="TimesNewRoman" w:hAnsi="Times New Roman" w:cs="Times New Roman"/>
          <w:sz w:val="24"/>
          <w:szCs w:val="24"/>
          <w:lang w:val="en-GB"/>
        </w:rPr>
        <w:t xml:space="preserve">However, only recently </w:t>
      </w:r>
      <w:r w:rsidR="00B24A16" w:rsidRPr="00963F47">
        <w:rPr>
          <w:rFonts w:ascii="Times New Roman" w:hAnsi="Times New Roman" w:cs="Times New Roman"/>
          <w:sz w:val="24"/>
          <w:szCs w:val="24"/>
          <w:lang w:val="en-US"/>
        </w:rPr>
        <w:t>a few papers employed econometric methodologies to test the growth regime in Brazil starting</w:t>
      </w:r>
      <w:r w:rsidR="00B24A16" w:rsidRPr="00790EF4">
        <w:rPr>
          <w:rFonts w:ascii="Times New Roman" w:hAnsi="Times New Roman" w:cs="Times New Roman"/>
          <w:sz w:val="24"/>
          <w:szCs w:val="24"/>
          <w:lang w:val="en-US"/>
        </w:rPr>
        <w:t xml:space="preserve"> from a </w:t>
      </w:r>
      <w:r w:rsidR="00C77EDC">
        <w:rPr>
          <w:rFonts w:ascii="Times New Roman" w:hAnsi="Times New Roman" w:cs="Times New Roman"/>
          <w:sz w:val="24"/>
          <w:szCs w:val="24"/>
          <w:lang w:val="en-US"/>
        </w:rPr>
        <w:t>P</w:t>
      </w:r>
      <w:r w:rsidR="00B24A16" w:rsidRPr="00790EF4">
        <w:rPr>
          <w:rFonts w:ascii="Times New Roman" w:hAnsi="Times New Roman" w:cs="Times New Roman"/>
          <w:sz w:val="24"/>
          <w:szCs w:val="24"/>
          <w:lang w:val="en-US"/>
        </w:rPr>
        <w:t xml:space="preserve">ost-Kaleckian structure (Araujo and Gala, 2012; Oreiro and Araujo, 2013; Marrone, 2015 and </w:t>
      </w:r>
      <w:proofErr w:type="spellStart"/>
      <w:r w:rsidR="00B24A16" w:rsidRPr="00790EF4">
        <w:rPr>
          <w:rFonts w:ascii="Times New Roman" w:hAnsi="Times New Roman" w:cs="Times New Roman"/>
          <w:sz w:val="24"/>
          <w:szCs w:val="24"/>
          <w:lang w:val="en-US"/>
        </w:rPr>
        <w:t>Feijó</w:t>
      </w:r>
      <w:proofErr w:type="spellEnd"/>
      <w:r w:rsidR="00B24A16" w:rsidRPr="00790EF4">
        <w:rPr>
          <w:rFonts w:ascii="Times New Roman" w:hAnsi="Times New Roman" w:cs="Times New Roman"/>
          <w:sz w:val="24"/>
          <w:szCs w:val="24"/>
          <w:lang w:val="en-US"/>
        </w:rPr>
        <w:t xml:space="preserve"> et al, 2015</w:t>
      </w:r>
      <w:r w:rsidR="00276B15" w:rsidRPr="00790EF4">
        <w:rPr>
          <w:rFonts w:ascii="Times New Roman" w:hAnsi="Times New Roman" w:cs="Times New Roman"/>
          <w:sz w:val="24"/>
          <w:szCs w:val="24"/>
          <w:lang w:val="en-US"/>
        </w:rPr>
        <w:t>a</w:t>
      </w:r>
      <w:r w:rsidR="00B24A16" w:rsidRPr="00790EF4">
        <w:rPr>
          <w:rFonts w:ascii="Times New Roman" w:hAnsi="Times New Roman" w:cs="Times New Roman"/>
          <w:sz w:val="24"/>
          <w:szCs w:val="24"/>
          <w:lang w:val="en-US"/>
        </w:rPr>
        <w:t xml:space="preserve"> and 201</w:t>
      </w:r>
      <w:r w:rsidR="00666658" w:rsidRPr="00790EF4">
        <w:rPr>
          <w:rFonts w:ascii="Times New Roman" w:hAnsi="Times New Roman" w:cs="Times New Roman"/>
          <w:sz w:val="24"/>
          <w:szCs w:val="24"/>
          <w:lang w:val="en-US"/>
        </w:rPr>
        <w:t>5</w:t>
      </w:r>
      <w:r w:rsidR="00276B15" w:rsidRPr="00790EF4">
        <w:rPr>
          <w:rFonts w:ascii="Times New Roman" w:hAnsi="Times New Roman" w:cs="Times New Roman"/>
          <w:sz w:val="24"/>
          <w:szCs w:val="24"/>
          <w:lang w:val="en-US"/>
        </w:rPr>
        <w:t>b</w:t>
      </w:r>
      <w:r w:rsidR="00B24A16" w:rsidRPr="00790EF4">
        <w:rPr>
          <w:rFonts w:ascii="Times New Roman" w:hAnsi="Times New Roman" w:cs="Times New Roman"/>
          <w:sz w:val="24"/>
          <w:szCs w:val="24"/>
          <w:lang w:val="en-US"/>
        </w:rPr>
        <w:t xml:space="preserve">). Table 1 summarizes this literature and show that the global result provided by the authors is not unambiguous: it is difficult to define the Brazilian economy as profit-led or wage-led just looking at these works. </w:t>
      </w:r>
      <w:r w:rsidR="00B24A16" w:rsidRPr="00790EF4">
        <w:rPr>
          <w:rFonts w:ascii="Times New Roman" w:hAnsi="Times New Roman" w:cs="Times New Roman"/>
          <w:color w:val="000000"/>
          <w:sz w:val="24"/>
          <w:szCs w:val="24"/>
          <w:shd w:val="clear" w:color="auto" w:fill="FFFFFF"/>
          <w:lang w:val="en-US"/>
        </w:rPr>
        <w:t xml:space="preserve">    </w:t>
      </w:r>
      <w:r w:rsidR="00B24A16" w:rsidRPr="00790EF4">
        <w:rPr>
          <w:rFonts w:ascii="Times New Roman" w:hAnsi="Times New Roman" w:cs="Times New Roman"/>
          <w:sz w:val="24"/>
          <w:szCs w:val="24"/>
          <w:lang w:val="en-US"/>
        </w:rPr>
        <w:t xml:space="preserve"> </w:t>
      </w:r>
    </w:p>
    <w:p w:rsidR="00784AF0" w:rsidRDefault="00784AF0" w:rsidP="00784AF0">
      <w:pPr>
        <w:autoSpaceDE w:val="0"/>
        <w:autoSpaceDN w:val="0"/>
        <w:adjustRightInd w:val="0"/>
        <w:spacing w:after="0" w:line="240" w:lineRule="auto"/>
        <w:ind w:firstLine="708"/>
        <w:jc w:val="both"/>
        <w:rPr>
          <w:rFonts w:ascii="Times New Roman" w:hAnsi="Times New Roman" w:cs="Times New Roman"/>
          <w:sz w:val="24"/>
          <w:szCs w:val="24"/>
          <w:lang w:val="en-US"/>
        </w:rPr>
      </w:pPr>
    </w:p>
    <w:p w:rsidR="00784AF0" w:rsidRDefault="00784AF0" w:rsidP="00784AF0">
      <w:pPr>
        <w:autoSpaceDE w:val="0"/>
        <w:autoSpaceDN w:val="0"/>
        <w:adjustRightInd w:val="0"/>
        <w:spacing w:after="0" w:line="240" w:lineRule="auto"/>
        <w:ind w:firstLine="708"/>
        <w:jc w:val="both"/>
        <w:rPr>
          <w:rFonts w:ascii="Times New Roman" w:hAnsi="Times New Roman" w:cs="Times New Roman"/>
          <w:sz w:val="24"/>
          <w:szCs w:val="24"/>
          <w:lang w:val="en-US"/>
        </w:rPr>
      </w:pPr>
    </w:p>
    <w:p w:rsidR="00784AF0" w:rsidRDefault="00784AF0" w:rsidP="00784AF0">
      <w:pPr>
        <w:autoSpaceDE w:val="0"/>
        <w:autoSpaceDN w:val="0"/>
        <w:adjustRightInd w:val="0"/>
        <w:spacing w:after="0" w:line="240" w:lineRule="auto"/>
        <w:ind w:firstLine="708"/>
        <w:jc w:val="both"/>
        <w:rPr>
          <w:rFonts w:ascii="Times New Roman" w:hAnsi="Times New Roman" w:cs="Times New Roman"/>
          <w:sz w:val="24"/>
          <w:szCs w:val="24"/>
          <w:lang w:val="en-US"/>
        </w:rPr>
      </w:pPr>
    </w:p>
    <w:p w:rsidR="00B24A16" w:rsidRPr="00C379FD" w:rsidRDefault="00A429E0" w:rsidP="00784AF0">
      <w:pPr>
        <w:spacing w:line="240" w:lineRule="auto"/>
        <w:jc w:val="both"/>
        <w:rPr>
          <w:rFonts w:ascii="Times New Roman" w:hAnsi="Times New Roman" w:cs="Times New Roman"/>
          <w:lang w:val="en-US"/>
        </w:rPr>
      </w:pPr>
      <w:r w:rsidRPr="00C379FD">
        <w:rPr>
          <w:rFonts w:ascii="Times New Roman" w:hAnsi="Times New Roman" w:cs="Times New Roman"/>
          <w:b/>
          <w:lang w:val="en-US"/>
        </w:rPr>
        <w:t xml:space="preserve"> </w:t>
      </w:r>
      <w:r w:rsidR="00B24A16" w:rsidRPr="00C379FD">
        <w:rPr>
          <w:rFonts w:ascii="Times New Roman" w:hAnsi="Times New Roman" w:cs="Times New Roman"/>
          <w:b/>
          <w:lang w:val="en-US"/>
        </w:rPr>
        <w:t>Table 1.</w:t>
      </w:r>
      <w:r w:rsidR="00B24A16" w:rsidRPr="00790EF4">
        <w:rPr>
          <w:rFonts w:ascii="Times New Roman" w:hAnsi="Times New Roman" w:cs="Times New Roman"/>
          <w:sz w:val="24"/>
          <w:szCs w:val="24"/>
          <w:lang w:val="en-US"/>
        </w:rPr>
        <w:t xml:space="preserve"> </w:t>
      </w:r>
      <w:r w:rsidRPr="00C379FD">
        <w:rPr>
          <w:rFonts w:ascii="Times New Roman" w:hAnsi="Times New Roman" w:cs="Times New Roman"/>
          <w:lang w:val="en-US"/>
        </w:rPr>
        <w:t>Summary</w:t>
      </w:r>
      <w:r w:rsidR="00B24A16" w:rsidRPr="00C379FD">
        <w:rPr>
          <w:rFonts w:ascii="Times New Roman" w:hAnsi="Times New Roman" w:cs="Times New Roman"/>
          <w:lang w:val="en-US"/>
        </w:rPr>
        <w:t xml:space="preserve"> of the empirical literature on </w:t>
      </w:r>
      <w:r w:rsidRPr="00C379FD">
        <w:rPr>
          <w:rFonts w:ascii="Times New Roman" w:hAnsi="Times New Roman" w:cs="Times New Roman"/>
          <w:lang w:val="en-US"/>
        </w:rPr>
        <w:t xml:space="preserve">demand </w:t>
      </w:r>
      <w:r w:rsidR="00B24A16" w:rsidRPr="00C379FD">
        <w:rPr>
          <w:rFonts w:ascii="Times New Roman" w:hAnsi="Times New Roman" w:cs="Times New Roman"/>
          <w:lang w:val="en-US"/>
        </w:rPr>
        <w:t xml:space="preserve">growth regime </w:t>
      </w:r>
      <w:r w:rsidRPr="00C379FD">
        <w:rPr>
          <w:rFonts w:ascii="Times New Roman" w:hAnsi="Times New Roman" w:cs="Times New Roman"/>
          <w:lang w:val="en-US"/>
        </w:rPr>
        <w:t>to</w:t>
      </w:r>
      <w:r w:rsidR="00B24A16" w:rsidRPr="00C379FD">
        <w:rPr>
          <w:rFonts w:ascii="Times New Roman" w:hAnsi="Times New Roman" w:cs="Times New Roman"/>
          <w:lang w:val="en-US"/>
        </w:rPr>
        <w:t xml:space="preserve"> Brazilian </w:t>
      </w:r>
      <w:r w:rsidRPr="00C379FD">
        <w:rPr>
          <w:rFonts w:ascii="Times New Roman" w:hAnsi="Times New Roman" w:cs="Times New Roman"/>
          <w:lang w:val="en-US"/>
        </w:rPr>
        <w:t>economy</w:t>
      </w:r>
      <w:r w:rsidR="00B24A16" w:rsidRPr="00C379FD">
        <w:rPr>
          <w:rFonts w:ascii="Times New Roman" w:hAnsi="Times New Roman" w:cs="Times New Roman"/>
          <w:lang w:val="en-US"/>
        </w:rPr>
        <w:t>.</w:t>
      </w:r>
    </w:p>
    <w:tbl>
      <w:tblPr>
        <w:tblW w:w="8312"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216"/>
        <w:gridCol w:w="1703"/>
        <w:gridCol w:w="1914"/>
        <w:gridCol w:w="494"/>
        <w:gridCol w:w="1985"/>
      </w:tblGrid>
      <w:tr w:rsidR="00B24A16" w:rsidTr="00AE3139">
        <w:trPr>
          <w:trHeight w:val="254"/>
          <w:jc w:val="center"/>
        </w:trPr>
        <w:tc>
          <w:tcPr>
            <w:tcW w:w="2216"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b/>
                <w:bCs/>
                <w:color w:val="000000"/>
                <w:sz w:val="20"/>
                <w:szCs w:val="20"/>
                <w:lang w:val="en-US" w:eastAsia="pt-BR"/>
              </w:rPr>
            </w:pPr>
            <w:r w:rsidRPr="00533D22">
              <w:rPr>
                <w:rFonts w:ascii="Times New Roman" w:eastAsia="Times New Roman" w:hAnsi="Times New Roman" w:cs="Times New Roman"/>
                <w:b/>
                <w:bCs/>
                <w:color w:val="000000"/>
                <w:sz w:val="20"/>
                <w:szCs w:val="20"/>
                <w:lang w:val="en-US" w:eastAsia="pt-BR"/>
              </w:rPr>
              <w:t>Paper</w:t>
            </w:r>
          </w:p>
        </w:tc>
        <w:tc>
          <w:tcPr>
            <w:tcW w:w="1703"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b/>
                <w:bCs/>
                <w:color w:val="000000"/>
                <w:sz w:val="20"/>
                <w:szCs w:val="20"/>
                <w:lang w:val="en-US" w:eastAsia="pt-BR"/>
              </w:rPr>
            </w:pPr>
            <w:r w:rsidRPr="00533D22">
              <w:rPr>
                <w:rFonts w:ascii="Times New Roman" w:eastAsia="Times New Roman" w:hAnsi="Times New Roman" w:cs="Times New Roman"/>
                <w:b/>
                <w:bCs/>
                <w:color w:val="000000"/>
                <w:sz w:val="20"/>
                <w:szCs w:val="20"/>
                <w:lang w:val="en-US" w:eastAsia="pt-BR"/>
              </w:rPr>
              <w:t>Methodology</w:t>
            </w:r>
          </w:p>
        </w:tc>
        <w:tc>
          <w:tcPr>
            <w:tcW w:w="191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b/>
                <w:bCs/>
                <w:color w:val="000000"/>
                <w:sz w:val="20"/>
                <w:szCs w:val="20"/>
                <w:lang w:val="en-US" w:eastAsia="pt-BR"/>
              </w:rPr>
            </w:pPr>
            <w:r w:rsidRPr="00533D22">
              <w:rPr>
                <w:rFonts w:ascii="Times New Roman" w:eastAsia="Times New Roman" w:hAnsi="Times New Roman" w:cs="Times New Roman"/>
                <w:b/>
                <w:bCs/>
                <w:color w:val="000000"/>
                <w:sz w:val="20"/>
                <w:szCs w:val="20"/>
                <w:lang w:val="en-US" w:eastAsia="pt-BR"/>
              </w:rPr>
              <w:t>Sample</w:t>
            </w:r>
          </w:p>
        </w:tc>
        <w:tc>
          <w:tcPr>
            <w:tcW w:w="49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b/>
                <w:bCs/>
                <w:color w:val="000000"/>
                <w:sz w:val="20"/>
                <w:szCs w:val="20"/>
                <w:lang w:val="en-US" w:eastAsia="pt-BR"/>
              </w:rPr>
            </w:pPr>
            <w:proofErr w:type="spellStart"/>
            <w:r w:rsidRPr="00533D22">
              <w:rPr>
                <w:rFonts w:ascii="Times New Roman" w:eastAsia="Times New Roman" w:hAnsi="Times New Roman" w:cs="Times New Roman"/>
                <w:b/>
                <w:bCs/>
                <w:color w:val="000000"/>
                <w:sz w:val="20"/>
                <w:szCs w:val="20"/>
                <w:lang w:val="en-US" w:eastAsia="pt-BR"/>
              </w:rPr>
              <w:t>Obs</w:t>
            </w:r>
            <w:proofErr w:type="spellEnd"/>
          </w:p>
        </w:tc>
        <w:tc>
          <w:tcPr>
            <w:tcW w:w="1985"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b/>
                <w:bCs/>
                <w:color w:val="000000"/>
                <w:sz w:val="20"/>
                <w:szCs w:val="20"/>
                <w:lang w:val="en-US" w:eastAsia="pt-BR"/>
              </w:rPr>
            </w:pPr>
            <w:r w:rsidRPr="00533D22">
              <w:rPr>
                <w:rFonts w:ascii="Times New Roman" w:eastAsia="Times New Roman" w:hAnsi="Times New Roman" w:cs="Times New Roman"/>
                <w:b/>
                <w:bCs/>
                <w:color w:val="000000"/>
                <w:sz w:val="20"/>
                <w:szCs w:val="20"/>
                <w:lang w:val="en-US" w:eastAsia="pt-BR"/>
              </w:rPr>
              <w:t>Total demand regime</w:t>
            </w:r>
          </w:p>
        </w:tc>
      </w:tr>
      <w:tr w:rsidR="00B24A16" w:rsidTr="00AE3139">
        <w:trPr>
          <w:trHeight w:val="254"/>
          <w:jc w:val="center"/>
        </w:trPr>
        <w:tc>
          <w:tcPr>
            <w:tcW w:w="2216"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 xml:space="preserve">Araujo and Gala (2012) </w:t>
            </w:r>
          </w:p>
        </w:tc>
        <w:tc>
          <w:tcPr>
            <w:tcW w:w="1703"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OLS</w:t>
            </w:r>
          </w:p>
        </w:tc>
        <w:tc>
          <w:tcPr>
            <w:tcW w:w="191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2002.Q1 to 2008.Q4</w:t>
            </w:r>
          </w:p>
        </w:tc>
        <w:tc>
          <w:tcPr>
            <w:tcW w:w="49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28</w:t>
            </w:r>
          </w:p>
        </w:tc>
        <w:tc>
          <w:tcPr>
            <w:tcW w:w="1985"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 xml:space="preserve"> Profit-led </w:t>
            </w:r>
          </w:p>
        </w:tc>
      </w:tr>
      <w:tr w:rsidR="00B24A16" w:rsidRPr="00F37985" w:rsidTr="00AE3139">
        <w:trPr>
          <w:trHeight w:val="254"/>
          <w:jc w:val="center"/>
        </w:trPr>
        <w:tc>
          <w:tcPr>
            <w:tcW w:w="2216"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 xml:space="preserve">Oreiro and Araujo (2013) </w:t>
            </w:r>
          </w:p>
        </w:tc>
        <w:tc>
          <w:tcPr>
            <w:tcW w:w="1703"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OLS</w:t>
            </w:r>
          </w:p>
        </w:tc>
        <w:tc>
          <w:tcPr>
            <w:tcW w:w="191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1994.Q3 to 2008.Q4</w:t>
            </w:r>
          </w:p>
        </w:tc>
        <w:tc>
          <w:tcPr>
            <w:tcW w:w="49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56</w:t>
            </w:r>
          </w:p>
        </w:tc>
        <w:tc>
          <w:tcPr>
            <w:tcW w:w="1985"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Wage-led or Profit-led</w:t>
            </w:r>
          </w:p>
        </w:tc>
      </w:tr>
      <w:tr w:rsidR="00B24A16" w:rsidTr="00AE3139">
        <w:trPr>
          <w:trHeight w:val="254"/>
          <w:jc w:val="center"/>
        </w:trPr>
        <w:tc>
          <w:tcPr>
            <w:tcW w:w="2216"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lastRenderedPageBreak/>
              <w:t>Marrone (2015)</w:t>
            </w:r>
          </w:p>
        </w:tc>
        <w:tc>
          <w:tcPr>
            <w:tcW w:w="1703"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Granger Causality</w:t>
            </w:r>
          </w:p>
        </w:tc>
        <w:tc>
          <w:tcPr>
            <w:tcW w:w="191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1950 to 2008</w:t>
            </w:r>
          </w:p>
        </w:tc>
        <w:tc>
          <w:tcPr>
            <w:tcW w:w="49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59</w:t>
            </w:r>
          </w:p>
        </w:tc>
        <w:tc>
          <w:tcPr>
            <w:tcW w:w="1985"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Ambiguous</w:t>
            </w:r>
          </w:p>
        </w:tc>
      </w:tr>
      <w:tr w:rsidR="00B24A16" w:rsidTr="00AE3139">
        <w:trPr>
          <w:trHeight w:val="254"/>
          <w:jc w:val="center"/>
        </w:trPr>
        <w:tc>
          <w:tcPr>
            <w:tcW w:w="2216"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proofErr w:type="spellStart"/>
            <w:r w:rsidRPr="00533D22">
              <w:rPr>
                <w:rFonts w:ascii="Times New Roman" w:eastAsia="Times New Roman" w:hAnsi="Times New Roman" w:cs="Times New Roman"/>
                <w:color w:val="000000"/>
                <w:sz w:val="20"/>
                <w:szCs w:val="20"/>
                <w:lang w:val="en-US" w:eastAsia="pt-BR"/>
              </w:rPr>
              <w:t>Feijó</w:t>
            </w:r>
            <w:proofErr w:type="spellEnd"/>
            <w:r w:rsidRPr="00533D22">
              <w:rPr>
                <w:rFonts w:ascii="Times New Roman" w:eastAsia="Times New Roman" w:hAnsi="Times New Roman" w:cs="Times New Roman"/>
                <w:color w:val="000000"/>
                <w:sz w:val="20"/>
                <w:szCs w:val="20"/>
                <w:lang w:val="en-US" w:eastAsia="pt-BR"/>
              </w:rPr>
              <w:t xml:space="preserve"> et al. (2015</w:t>
            </w:r>
            <w:r w:rsidR="00276B15" w:rsidRPr="00533D22">
              <w:rPr>
                <w:rFonts w:ascii="Times New Roman" w:eastAsia="Times New Roman" w:hAnsi="Times New Roman" w:cs="Times New Roman"/>
                <w:color w:val="000000"/>
                <w:sz w:val="20"/>
                <w:szCs w:val="20"/>
                <w:lang w:val="en-US" w:eastAsia="pt-BR"/>
              </w:rPr>
              <w:t>a</w:t>
            </w:r>
            <w:r w:rsidRPr="00533D22">
              <w:rPr>
                <w:rFonts w:ascii="Times New Roman" w:eastAsia="Times New Roman" w:hAnsi="Times New Roman" w:cs="Times New Roman"/>
                <w:color w:val="000000"/>
                <w:sz w:val="20"/>
                <w:szCs w:val="20"/>
                <w:lang w:val="en-US" w:eastAsia="pt-BR"/>
              </w:rPr>
              <w:t>)</w:t>
            </w:r>
          </w:p>
        </w:tc>
        <w:tc>
          <w:tcPr>
            <w:tcW w:w="1703"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SVAR</w:t>
            </w:r>
          </w:p>
        </w:tc>
        <w:tc>
          <w:tcPr>
            <w:tcW w:w="191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1995</w:t>
            </w:r>
            <w:r w:rsidR="00533D22">
              <w:rPr>
                <w:rFonts w:ascii="Times New Roman" w:eastAsia="Times New Roman" w:hAnsi="Times New Roman" w:cs="Times New Roman"/>
                <w:color w:val="000000"/>
                <w:sz w:val="20"/>
                <w:szCs w:val="20"/>
                <w:lang w:val="en-US" w:eastAsia="pt-BR"/>
              </w:rPr>
              <w:t>.</w:t>
            </w:r>
            <w:r w:rsidRPr="00533D22">
              <w:rPr>
                <w:rFonts w:ascii="Times New Roman" w:eastAsia="Times New Roman" w:hAnsi="Times New Roman" w:cs="Times New Roman"/>
                <w:color w:val="000000"/>
                <w:sz w:val="20"/>
                <w:szCs w:val="20"/>
                <w:lang w:val="en-US" w:eastAsia="pt-BR"/>
              </w:rPr>
              <w:t>Q1 to 2009</w:t>
            </w:r>
            <w:r w:rsidR="00533D22">
              <w:rPr>
                <w:rFonts w:ascii="Times New Roman" w:eastAsia="Times New Roman" w:hAnsi="Times New Roman" w:cs="Times New Roman"/>
                <w:color w:val="000000"/>
                <w:sz w:val="20"/>
                <w:szCs w:val="20"/>
                <w:lang w:val="en-US" w:eastAsia="pt-BR"/>
              </w:rPr>
              <w:t>.</w:t>
            </w:r>
            <w:r w:rsidRPr="00533D22">
              <w:rPr>
                <w:rFonts w:ascii="Times New Roman" w:eastAsia="Times New Roman" w:hAnsi="Times New Roman" w:cs="Times New Roman"/>
                <w:color w:val="000000"/>
                <w:sz w:val="20"/>
                <w:szCs w:val="20"/>
                <w:lang w:val="en-US" w:eastAsia="pt-BR"/>
              </w:rPr>
              <w:t>Q4</w:t>
            </w:r>
          </w:p>
        </w:tc>
        <w:tc>
          <w:tcPr>
            <w:tcW w:w="494"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60</w:t>
            </w:r>
          </w:p>
        </w:tc>
        <w:tc>
          <w:tcPr>
            <w:tcW w:w="1985" w:type="dxa"/>
            <w:noWrap/>
            <w:vAlign w:val="bottom"/>
            <w:hideMark/>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Wage-led</w:t>
            </w:r>
          </w:p>
        </w:tc>
      </w:tr>
      <w:tr w:rsidR="00B24A16" w:rsidTr="00AE3139">
        <w:trPr>
          <w:trHeight w:val="254"/>
          <w:jc w:val="center"/>
        </w:trPr>
        <w:tc>
          <w:tcPr>
            <w:tcW w:w="2216" w:type="dxa"/>
            <w:noWrap/>
            <w:vAlign w:val="bottom"/>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proofErr w:type="spellStart"/>
            <w:r w:rsidRPr="00533D22">
              <w:rPr>
                <w:rFonts w:ascii="Times New Roman" w:eastAsia="Times New Roman" w:hAnsi="Times New Roman" w:cs="Times New Roman"/>
                <w:color w:val="000000"/>
                <w:sz w:val="20"/>
                <w:szCs w:val="20"/>
                <w:lang w:val="en-US" w:eastAsia="pt-BR"/>
              </w:rPr>
              <w:t>Feijó</w:t>
            </w:r>
            <w:proofErr w:type="spellEnd"/>
            <w:r w:rsidRPr="00533D22">
              <w:rPr>
                <w:rFonts w:ascii="Times New Roman" w:eastAsia="Times New Roman" w:hAnsi="Times New Roman" w:cs="Times New Roman"/>
                <w:color w:val="000000"/>
                <w:sz w:val="20"/>
                <w:szCs w:val="20"/>
                <w:lang w:val="en-US" w:eastAsia="pt-BR"/>
              </w:rPr>
              <w:t xml:space="preserve"> et al. (2015</w:t>
            </w:r>
            <w:r w:rsidR="00276B15" w:rsidRPr="00533D22">
              <w:rPr>
                <w:rFonts w:ascii="Times New Roman" w:eastAsia="Times New Roman" w:hAnsi="Times New Roman" w:cs="Times New Roman"/>
                <w:color w:val="000000"/>
                <w:sz w:val="20"/>
                <w:szCs w:val="20"/>
                <w:lang w:val="en-US" w:eastAsia="pt-BR"/>
              </w:rPr>
              <w:t>b</w:t>
            </w:r>
            <w:r w:rsidRPr="00533D22">
              <w:rPr>
                <w:rFonts w:ascii="Times New Roman" w:eastAsia="Times New Roman" w:hAnsi="Times New Roman" w:cs="Times New Roman"/>
                <w:color w:val="000000"/>
                <w:sz w:val="20"/>
                <w:szCs w:val="20"/>
                <w:lang w:val="en-US" w:eastAsia="pt-BR"/>
              </w:rPr>
              <w:t>)</w:t>
            </w:r>
          </w:p>
        </w:tc>
        <w:tc>
          <w:tcPr>
            <w:tcW w:w="1703" w:type="dxa"/>
            <w:noWrap/>
            <w:vAlign w:val="bottom"/>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DGLS</w:t>
            </w:r>
          </w:p>
        </w:tc>
        <w:tc>
          <w:tcPr>
            <w:tcW w:w="1914" w:type="dxa"/>
            <w:noWrap/>
            <w:vAlign w:val="bottom"/>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1951 to 1989</w:t>
            </w:r>
          </w:p>
        </w:tc>
        <w:tc>
          <w:tcPr>
            <w:tcW w:w="494" w:type="dxa"/>
            <w:noWrap/>
            <w:vAlign w:val="bottom"/>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38</w:t>
            </w:r>
          </w:p>
        </w:tc>
        <w:tc>
          <w:tcPr>
            <w:tcW w:w="1985" w:type="dxa"/>
            <w:noWrap/>
            <w:vAlign w:val="bottom"/>
          </w:tcPr>
          <w:p w:rsidR="00B24A16" w:rsidRPr="00533D22" w:rsidRDefault="00B24A16" w:rsidP="00784AF0">
            <w:pPr>
              <w:spacing w:after="0" w:line="240" w:lineRule="auto"/>
              <w:jc w:val="center"/>
              <w:rPr>
                <w:rFonts w:ascii="Times New Roman" w:eastAsia="Times New Roman" w:hAnsi="Times New Roman" w:cs="Times New Roman"/>
                <w:color w:val="000000"/>
                <w:sz w:val="20"/>
                <w:szCs w:val="20"/>
                <w:lang w:val="en-US" w:eastAsia="pt-BR"/>
              </w:rPr>
            </w:pPr>
            <w:r w:rsidRPr="00533D22">
              <w:rPr>
                <w:rFonts w:ascii="Times New Roman" w:eastAsia="Times New Roman" w:hAnsi="Times New Roman" w:cs="Times New Roman"/>
                <w:color w:val="000000"/>
                <w:sz w:val="20"/>
                <w:szCs w:val="20"/>
                <w:lang w:val="en-US" w:eastAsia="pt-BR"/>
              </w:rPr>
              <w:t>Profit-led</w:t>
            </w:r>
          </w:p>
        </w:tc>
      </w:tr>
    </w:tbl>
    <w:p w:rsidR="00B24A16" w:rsidRDefault="00C379FD" w:rsidP="00784AF0">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24A16">
        <w:rPr>
          <w:rFonts w:ascii="Times New Roman" w:hAnsi="Times New Roman" w:cs="Times New Roman"/>
          <w:sz w:val="20"/>
          <w:szCs w:val="20"/>
          <w:lang w:val="en-US"/>
        </w:rPr>
        <w:t xml:space="preserve">Source: Own elaboration. </w:t>
      </w:r>
    </w:p>
    <w:p w:rsidR="00B24A16" w:rsidRDefault="00B24A16" w:rsidP="00784AF0">
      <w:pPr>
        <w:autoSpaceDE w:val="0"/>
        <w:autoSpaceDN w:val="0"/>
        <w:adjustRightInd w:val="0"/>
        <w:spacing w:line="240" w:lineRule="auto"/>
        <w:ind w:firstLine="708"/>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Araujo and Gala (2012) used quarterly data from 2002.Q1 to 2008.Q4 and found a wage-led regime, when considered the case of a closed economy, but they found a profit-led regime when considered the total demand regime (when the net exports function is included in the empirical model). Besides of this work has been turned seminal in the Brazilian literature, Araujo and Gala did not performed any unit root or diagnostic tests, and the sample cover is short. This means that the results reported by the authors cannot be robust. </w:t>
      </w:r>
    </w:p>
    <w:p w:rsidR="00B24A16" w:rsidRDefault="00B24A16" w:rsidP="00784AF0">
      <w:pPr>
        <w:autoSpaceDE w:val="0"/>
        <w:autoSpaceDN w:val="0"/>
        <w:adjustRightInd w:val="0"/>
        <w:spacing w:line="24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Oreiro and Araujo (2013) utilized quarterly data from 1994.Q3-2008.Q4 in order to analyze the relation between economic growth, income distribution and real exchange rate in a non-linear macrodynamic model. In the theoretical model, they assume that the accumulation rate depend not just of the capacity utilization and profit-share, but also of the exchange rate and the square of the exchange rate. Based on th</w:t>
      </w:r>
      <w:r w:rsidR="00754366">
        <w:rPr>
          <w:rFonts w:ascii="Times New Roman" w:eastAsia="Times New Roman" w:hAnsi="Times New Roman" w:cs="Times New Roman"/>
          <w:sz w:val="24"/>
          <w:szCs w:val="24"/>
          <w:lang w:val="en-US" w:eastAsia="pt-BR"/>
        </w:rPr>
        <w:t>e</w:t>
      </w:r>
      <w:r>
        <w:rPr>
          <w:rFonts w:ascii="Times New Roman" w:eastAsia="Times New Roman" w:hAnsi="Times New Roman" w:cs="Times New Roman"/>
          <w:sz w:val="24"/>
          <w:szCs w:val="24"/>
          <w:lang w:val="en-US" w:eastAsia="pt-BR"/>
        </w:rPr>
        <w:t>s</w:t>
      </w:r>
      <w:r w:rsidR="00754366">
        <w:rPr>
          <w:rFonts w:ascii="Times New Roman" w:eastAsia="Times New Roman" w:hAnsi="Times New Roman" w:cs="Times New Roman"/>
          <w:sz w:val="24"/>
          <w:szCs w:val="24"/>
          <w:lang w:val="en-US" w:eastAsia="pt-BR"/>
        </w:rPr>
        <w:t>e</w:t>
      </w:r>
      <w:r>
        <w:rPr>
          <w:rFonts w:ascii="Times New Roman" w:eastAsia="Times New Roman" w:hAnsi="Times New Roman" w:cs="Times New Roman"/>
          <w:sz w:val="24"/>
          <w:szCs w:val="24"/>
          <w:lang w:val="en-US" w:eastAsia="pt-BR"/>
        </w:rPr>
        <w:t xml:space="preserve"> assumptions, </w:t>
      </w:r>
      <w:r w:rsidR="002C2EC4">
        <w:rPr>
          <w:rFonts w:ascii="Times New Roman" w:eastAsia="Times New Roman" w:hAnsi="Times New Roman" w:cs="Times New Roman"/>
          <w:sz w:val="24"/>
          <w:szCs w:val="24"/>
          <w:lang w:val="en-US" w:eastAsia="pt-BR"/>
        </w:rPr>
        <w:t xml:space="preserve">it </w:t>
      </w:r>
      <w:r>
        <w:rPr>
          <w:rFonts w:ascii="Times New Roman" w:eastAsia="Times New Roman" w:hAnsi="Times New Roman" w:cs="Times New Roman"/>
          <w:sz w:val="24"/>
          <w:szCs w:val="24"/>
          <w:lang w:val="en-US" w:eastAsia="pt-BR"/>
        </w:rPr>
        <w:t>is possible to estimate the real exchange rate that maximize</w:t>
      </w:r>
      <w:r w:rsidR="002C2EC4">
        <w:rPr>
          <w:rFonts w:ascii="Times New Roman" w:eastAsia="Times New Roman" w:hAnsi="Times New Roman" w:cs="Times New Roman"/>
          <w:sz w:val="24"/>
          <w:szCs w:val="24"/>
          <w:lang w:val="en-US" w:eastAsia="pt-BR"/>
        </w:rPr>
        <w:t>s</w:t>
      </w:r>
      <w:r>
        <w:rPr>
          <w:rFonts w:ascii="Times New Roman" w:eastAsia="Times New Roman" w:hAnsi="Times New Roman" w:cs="Times New Roman"/>
          <w:sz w:val="24"/>
          <w:szCs w:val="24"/>
          <w:lang w:val="en-US" w:eastAsia="pt-BR"/>
        </w:rPr>
        <w:t xml:space="preserve"> the accumulation rate (named optimal exchange rate). After </w:t>
      </w:r>
      <w:r w:rsidR="00754366">
        <w:rPr>
          <w:rFonts w:ascii="Times New Roman" w:eastAsia="Times New Roman" w:hAnsi="Times New Roman" w:cs="Times New Roman"/>
          <w:sz w:val="24"/>
          <w:szCs w:val="24"/>
          <w:lang w:val="en-US" w:eastAsia="pt-BR"/>
        </w:rPr>
        <w:t>perfoming</w:t>
      </w:r>
      <w:r>
        <w:rPr>
          <w:rFonts w:ascii="Times New Roman" w:eastAsia="Times New Roman" w:hAnsi="Times New Roman" w:cs="Times New Roman"/>
          <w:sz w:val="24"/>
          <w:szCs w:val="24"/>
          <w:lang w:val="en-US" w:eastAsia="pt-BR"/>
        </w:rPr>
        <w:t xml:space="preserve"> unit root and cointegration tests, Oreiro and Araujo (2013) estimated, by ordinary last square methodology, equations to profit share and capacity utilization. The authors concluded that the optimal exchange rate was 2.03 during the period. Exploring this result and looking at the exchange rate time series, it is possible to identify two sub-periods of exchange rate overvaluation (1994</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Q3-2001</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Q1 and 2005</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Q4-2008</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Q4) and one period of exchange rate undervaluation (2001</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Q2-2005</w:t>
      </w:r>
      <w:r w:rsidR="002866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Q3). According to the definition proposed in the theoretical model presented by the authors, in the period of exchange rate undervaluation, the accumulation regime was wage-led, but in the others two periods of exchange rate overvaluation, the accumulation regime was profit-led. </w:t>
      </w:r>
    </w:p>
    <w:p w:rsidR="00B24A16" w:rsidRDefault="00B24A16" w:rsidP="00784AF0">
      <w:pPr>
        <w:autoSpaceDE w:val="0"/>
        <w:autoSpaceDN w:val="0"/>
        <w:adjustRightInd w:val="0"/>
        <w:spacing w:line="240" w:lineRule="auto"/>
        <w:ind w:firstLine="708"/>
        <w:jc w:val="both"/>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Morrone</w:t>
      </w:r>
      <w:proofErr w:type="spellEnd"/>
      <w:r>
        <w:rPr>
          <w:rFonts w:ascii="Times New Roman" w:hAnsi="Times New Roman" w:cs="Times New Roman"/>
          <w:color w:val="000000"/>
          <w:sz w:val="24"/>
          <w:szCs w:val="24"/>
          <w:shd w:val="clear" w:color="auto" w:fill="FFFFFF"/>
          <w:lang w:val="en-US"/>
        </w:rPr>
        <w:t xml:space="preserve"> (2015) </w:t>
      </w:r>
      <w:r w:rsidR="00E04A86">
        <w:rPr>
          <w:rFonts w:ascii="Times New Roman" w:hAnsi="Times New Roman" w:cs="Times New Roman"/>
          <w:sz w:val="24"/>
          <w:szCs w:val="24"/>
          <w:lang w:val="en-US"/>
        </w:rPr>
        <w:t>employed</w:t>
      </w:r>
      <w:r>
        <w:rPr>
          <w:rFonts w:ascii="Times New Roman" w:hAnsi="Times New Roman" w:cs="Times New Roman"/>
          <w:sz w:val="24"/>
          <w:szCs w:val="24"/>
          <w:lang w:val="en-US"/>
        </w:rPr>
        <w:t xml:space="preserve"> </w:t>
      </w:r>
      <w:r w:rsidR="00E04A86">
        <w:rPr>
          <w:rFonts w:ascii="Times New Roman" w:hAnsi="Times New Roman" w:cs="Times New Roman"/>
          <w:sz w:val="24"/>
          <w:szCs w:val="24"/>
          <w:lang w:val="en-US"/>
        </w:rPr>
        <w:t xml:space="preserve">the </w:t>
      </w:r>
      <w:r>
        <w:rPr>
          <w:rFonts w:ascii="Times New Roman" w:hAnsi="Times New Roman" w:cs="Times New Roman"/>
          <w:sz w:val="24"/>
          <w:szCs w:val="24"/>
          <w:lang w:val="en-US"/>
        </w:rPr>
        <w:t>Toda-Yamamoto approach to Granger causality test in order to verify whether profit share and capacity utilization (the inverse of the ratio capital/output) temporally precedes capital accumulation and whether profit share temporally precedes capacity utilization in the Brazilian economy. He considered the period 1950-2008 (annual data) and employed unit root tests before the statistical causality analysis. According to the author, the main result indicated the existence of both wage-led and profit-led regimes in Brazil, so that profit share do</w:t>
      </w:r>
      <w:r w:rsidR="002C2EC4">
        <w:rPr>
          <w:rFonts w:ascii="Times New Roman" w:hAnsi="Times New Roman" w:cs="Times New Roman"/>
          <w:sz w:val="24"/>
          <w:szCs w:val="24"/>
          <w:lang w:val="en-US"/>
        </w:rPr>
        <w:t xml:space="preserve"> not</w:t>
      </w:r>
      <w:r>
        <w:rPr>
          <w:rFonts w:ascii="Times New Roman" w:hAnsi="Times New Roman" w:cs="Times New Roman"/>
          <w:sz w:val="24"/>
          <w:szCs w:val="24"/>
          <w:lang w:val="en-US"/>
        </w:rPr>
        <w:t xml:space="preserve"> cause, in the Grange sense, both capital accumulation and capacity utilization. Here, two </w:t>
      </w:r>
      <w:r w:rsidR="002C2EC4">
        <w:rPr>
          <w:rFonts w:ascii="Times New Roman" w:hAnsi="Times New Roman" w:cs="Times New Roman"/>
          <w:sz w:val="24"/>
          <w:szCs w:val="24"/>
          <w:lang w:val="en-US"/>
        </w:rPr>
        <w:t>points should be taken into account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the Granger causality test has not been used to test the growth regime in the empirical literature specially because this test is not able to determine the direction of contemporaneous causality and ii) the interpretation of the results provided by the Granger causality test </w:t>
      </w:r>
      <w:r w:rsidR="002C2EC4">
        <w:rPr>
          <w:rFonts w:ascii="Times New Roman" w:hAnsi="Times New Roman" w:cs="Times New Roman"/>
          <w:sz w:val="24"/>
          <w:szCs w:val="24"/>
          <w:lang w:val="en-US"/>
        </w:rPr>
        <w:t>is</w:t>
      </w:r>
      <w:r>
        <w:rPr>
          <w:rFonts w:ascii="Times New Roman" w:hAnsi="Times New Roman" w:cs="Times New Roman"/>
          <w:sz w:val="24"/>
          <w:szCs w:val="24"/>
          <w:lang w:val="en-US"/>
        </w:rPr>
        <w:t xml:space="preserve"> not clear and causes misunderstandings.</w:t>
      </w:r>
    </w:p>
    <w:p w:rsidR="00B24A16" w:rsidRDefault="00B24A16" w:rsidP="00784AF0">
      <w:pPr>
        <w:autoSpaceDE w:val="0"/>
        <w:autoSpaceDN w:val="0"/>
        <w:adjustRightInd w:val="0"/>
        <w:spacing w:line="240" w:lineRule="auto"/>
        <w:ind w:firstLine="708"/>
        <w:jc w:val="both"/>
        <w:rPr>
          <w:rFonts w:ascii="Times New Roman" w:eastAsia="Times New Roman" w:hAnsi="Times New Roman" w:cs="Times New Roman"/>
          <w:sz w:val="24"/>
          <w:szCs w:val="24"/>
          <w:lang w:val="en-US" w:eastAsia="pt-BR"/>
        </w:rPr>
      </w:pPr>
      <w:proofErr w:type="spellStart"/>
      <w:r>
        <w:rPr>
          <w:rFonts w:ascii="Times New Roman" w:eastAsia="Times New Roman" w:hAnsi="Times New Roman" w:cs="Times New Roman"/>
          <w:sz w:val="24"/>
          <w:szCs w:val="24"/>
          <w:lang w:val="en-US" w:eastAsia="pt-BR"/>
        </w:rPr>
        <w:t>Feijó</w:t>
      </w:r>
      <w:proofErr w:type="spellEnd"/>
      <w:r>
        <w:rPr>
          <w:rFonts w:ascii="Times New Roman" w:eastAsia="Times New Roman" w:hAnsi="Times New Roman" w:cs="Times New Roman"/>
          <w:sz w:val="24"/>
          <w:szCs w:val="24"/>
          <w:lang w:val="en-US" w:eastAsia="pt-BR"/>
        </w:rPr>
        <w:t xml:space="preserve"> et al (2015</w:t>
      </w:r>
      <w:r w:rsidR="00276B15">
        <w:rPr>
          <w:rFonts w:ascii="Times New Roman" w:eastAsia="Times New Roman" w:hAnsi="Times New Roman" w:cs="Times New Roman"/>
          <w:sz w:val="24"/>
          <w:szCs w:val="24"/>
          <w:lang w:val="en-US" w:eastAsia="pt-BR"/>
        </w:rPr>
        <w:t>a</w:t>
      </w:r>
      <w:r>
        <w:rPr>
          <w:rFonts w:ascii="Times New Roman" w:eastAsia="Times New Roman" w:hAnsi="Times New Roman" w:cs="Times New Roman"/>
          <w:sz w:val="24"/>
          <w:szCs w:val="24"/>
          <w:lang w:val="en-US" w:eastAsia="pt-BR"/>
        </w:rPr>
        <w:t xml:space="preserve">) utilized quarterly data from </w:t>
      </w:r>
      <w:r>
        <w:rPr>
          <w:rFonts w:ascii="Times New Roman" w:eastAsia="Times New Roman" w:hAnsi="Times New Roman" w:cs="Times New Roman"/>
          <w:color w:val="000000"/>
          <w:sz w:val="24"/>
          <w:szCs w:val="24"/>
          <w:lang w:val="en-US" w:eastAsia="pt-BR"/>
        </w:rPr>
        <w:t>1995Q1-2009Q4</w:t>
      </w:r>
      <w:r>
        <w:rPr>
          <w:rFonts w:ascii="Times New Roman" w:eastAsia="Times New Roman" w:hAnsi="Times New Roman" w:cs="Times New Roman"/>
          <w:sz w:val="24"/>
          <w:szCs w:val="24"/>
          <w:lang w:val="en-US" w:eastAsia="pt-BR"/>
        </w:rPr>
        <w:t xml:space="preserve"> in order to investigate both the dynamic relationship among income distribution and capital accumulation, and whether there is a debt-burdened pattern of capital accumulation in the Brazilian economy. The theoretical model utilized by the authors comes from a </w:t>
      </w:r>
      <w:r w:rsidR="002C2EC4">
        <w:rPr>
          <w:rFonts w:ascii="Times New Roman" w:eastAsia="Times New Roman" w:hAnsi="Times New Roman" w:cs="Times New Roman"/>
          <w:sz w:val="24"/>
          <w:szCs w:val="24"/>
          <w:lang w:val="en-US" w:eastAsia="pt-BR"/>
        </w:rPr>
        <w:t>K</w:t>
      </w:r>
      <w:r>
        <w:rPr>
          <w:rFonts w:ascii="Times New Roman" w:eastAsia="Times New Roman" w:hAnsi="Times New Roman" w:cs="Times New Roman"/>
          <w:sz w:val="24"/>
          <w:szCs w:val="24"/>
          <w:lang w:val="en-US" w:eastAsia="pt-BR"/>
        </w:rPr>
        <w:t>aleckian-</w:t>
      </w:r>
      <w:proofErr w:type="spellStart"/>
      <w:r w:rsidR="002C2EC4">
        <w:rPr>
          <w:rFonts w:ascii="Times New Roman" w:eastAsia="Times New Roman" w:hAnsi="Times New Roman" w:cs="Times New Roman"/>
          <w:sz w:val="24"/>
          <w:szCs w:val="24"/>
          <w:lang w:val="en-US" w:eastAsia="pt-BR"/>
        </w:rPr>
        <w:t>M</w:t>
      </w:r>
      <w:r>
        <w:rPr>
          <w:rFonts w:ascii="Times New Roman" w:eastAsia="Times New Roman" w:hAnsi="Times New Roman" w:cs="Times New Roman"/>
          <w:sz w:val="24"/>
          <w:szCs w:val="24"/>
          <w:lang w:val="en-US" w:eastAsia="pt-BR"/>
        </w:rPr>
        <w:t>inskian</w:t>
      </w:r>
      <w:proofErr w:type="spellEnd"/>
      <w:r>
        <w:rPr>
          <w:rFonts w:ascii="Times New Roman" w:eastAsia="Times New Roman" w:hAnsi="Times New Roman" w:cs="Times New Roman"/>
          <w:sz w:val="24"/>
          <w:szCs w:val="24"/>
          <w:lang w:val="en-US" w:eastAsia="pt-BR"/>
        </w:rPr>
        <w:t xml:space="preserve"> structure, so that beyond the variables profit share and capital accumulation rate (defined as the ratio between gross ﬁxed capital formation and GDP) the authors incorporated, such as in the empirical model of Nishi (2012), the variable debt ratio (defined as the evolution of the supply of loans to private ﬁrms). The empirical analysis was </w:t>
      </w:r>
      <w:r w:rsidR="002C2EC4">
        <w:rPr>
          <w:rFonts w:ascii="Times New Roman" w:eastAsia="Times New Roman" w:hAnsi="Times New Roman" w:cs="Times New Roman"/>
          <w:sz w:val="24"/>
          <w:szCs w:val="24"/>
          <w:lang w:val="en-US" w:eastAsia="pt-BR"/>
        </w:rPr>
        <w:t>carried out</w:t>
      </w:r>
      <w:r>
        <w:rPr>
          <w:rFonts w:ascii="Times New Roman" w:eastAsia="Times New Roman" w:hAnsi="Times New Roman" w:cs="Times New Roman"/>
          <w:sz w:val="24"/>
          <w:szCs w:val="24"/>
          <w:lang w:val="en-US" w:eastAsia="pt-BR"/>
        </w:rPr>
        <w:t xml:space="preserve"> thought accumulated impulse-response functions. These functions were generated from a structural VAR model estimated with all variables in level, but both the definition of the VAR lag order and the stability of the system are not clear in the model. Indeed, besides that the accumulated response on capital accumulation to profit share shocks was not statistically significant and the authors did not provide any robustness </w:t>
      </w:r>
      <w:r>
        <w:rPr>
          <w:rFonts w:ascii="Times New Roman" w:eastAsia="Times New Roman" w:hAnsi="Times New Roman" w:cs="Times New Roman"/>
          <w:sz w:val="24"/>
          <w:szCs w:val="24"/>
          <w:lang w:val="en-US" w:eastAsia="pt-BR"/>
        </w:rPr>
        <w:lastRenderedPageBreak/>
        <w:t xml:space="preserve">test, they concluded that there is a wage-led pattern in the Brazilian economy and, at the same time, it presents a debt-burdened pattern of capital accumulation.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another work, </w:t>
      </w:r>
      <w:proofErr w:type="spellStart"/>
      <w:r w:rsidRPr="00804F62">
        <w:rPr>
          <w:rFonts w:ascii="Times New Roman" w:hAnsi="Times New Roman" w:cs="Times New Roman"/>
          <w:sz w:val="24"/>
          <w:szCs w:val="24"/>
          <w:lang w:val="en-US"/>
        </w:rPr>
        <w:t>Feijó</w:t>
      </w:r>
      <w:proofErr w:type="spellEnd"/>
      <w:r w:rsidRPr="00804F62">
        <w:rPr>
          <w:rFonts w:ascii="Times New Roman" w:hAnsi="Times New Roman" w:cs="Times New Roman"/>
          <w:sz w:val="24"/>
          <w:szCs w:val="24"/>
          <w:lang w:val="en-US"/>
        </w:rPr>
        <w:t xml:space="preserve"> et al (2015</w:t>
      </w:r>
      <w:r w:rsidR="00276B15">
        <w:rPr>
          <w:rFonts w:ascii="Times New Roman" w:hAnsi="Times New Roman" w:cs="Times New Roman"/>
          <w:sz w:val="24"/>
          <w:szCs w:val="24"/>
          <w:lang w:val="en-US"/>
        </w:rPr>
        <w:t>b</w:t>
      </w:r>
      <w:r w:rsidRPr="00804F62">
        <w:rPr>
          <w:rFonts w:ascii="Times New Roman" w:hAnsi="Times New Roman" w:cs="Times New Roman"/>
          <w:sz w:val="24"/>
          <w:szCs w:val="24"/>
          <w:lang w:val="en-US"/>
        </w:rPr>
        <w:t xml:space="preserve">) </w:t>
      </w:r>
      <w:r w:rsidR="00E04A86">
        <w:rPr>
          <w:rFonts w:ascii="Times New Roman" w:hAnsi="Times New Roman" w:cs="Times New Roman"/>
          <w:sz w:val="24"/>
          <w:szCs w:val="24"/>
          <w:lang w:val="en-US"/>
        </w:rPr>
        <w:t>employed</w:t>
      </w:r>
      <w:r w:rsidRPr="00804F62">
        <w:rPr>
          <w:rFonts w:ascii="Times New Roman" w:hAnsi="Times New Roman" w:cs="Times New Roman"/>
          <w:sz w:val="24"/>
          <w:szCs w:val="24"/>
          <w:lang w:val="en-US"/>
        </w:rPr>
        <w:t xml:space="preserve"> the structural approach </w:t>
      </w:r>
      <w:r>
        <w:rPr>
          <w:rFonts w:ascii="Times New Roman" w:hAnsi="Times New Roman" w:cs="Times New Roman"/>
          <w:sz w:val="24"/>
          <w:szCs w:val="24"/>
          <w:lang w:val="en-US"/>
        </w:rPr>
        <w:t xml:space="preserve">to investigate the interaction between functional income distribution and growth of aggregate demand in Brazil. In this study, they considered the period before economic opening (1951-89) and performed formal tests of endogenous structural breaks, unit root and cointegration. After estimated linear functions to private consume, investment (total and private) and exports to USA, the authors calculated partial elasticities of aggregate demand components to changes in wage share. The empirical exercise suggested that the Brazilian economy was profit-led, and this profile was </w:t>
      </w:r>
      <w:r w:rsidR="002C2EC4">
        <w:rPr>
          <w:rFonts w:ascii="Times New Roman" w:hAnsi="Times New Roman" w:cs="Times New Roman"/>
          <w:sz w:val="24"/>
          <w:szCs w:val="24"/>
          <w:lang w:val="en-US"/>
        </w:rPr>
        <w:t>strengthened</w:t>
      </w:r>
      <w:r>
        <w:rPr>
          <w:rFonts w:ascii="Times New Roman" w:hAnsi="Times New Roman" w:cs="Times New Roman"/>
          <w:sz w:val="24"/>
          <w:szCs w:val="24"/>
          <w:lang w:val="en-US"/>
        </w:rPr>
        <w:t xml:space="preserve"> after 1968. According to the authors, two specificities of the Brazilian economy are useful to explain the emergence of a profit-led regime in a relatively open economy with a large share of consumption in GDP: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the period of high and persistent inflation “inhibited the development of a long-term credit market” and it made firms dependent on internal funds; ii) the industrialization and urbanization processes favored the consumption patter</w:t>
      </w:r>
      <w:r w:rsidR="002C2EC4">
        <w:rPr>
          <w:rFonts w:ascii="Times New Roman" w:hAnsi="Times New Roman" w:cs="Times New Roman"/>
          <w:sz w:val="24"/>
          <w:szCs w:val="24"/>
          <w:lang w:val="en-US"/>
        </w:rPr>
        <w:t>n</w:t>
      </w:r>
      <w:r>
        <w:rPr>
          <w:rFonts w:ascii="Times New Roman" w:hAnsi="Times New Roman" w:cs="Times New Roman"/>
          <w:sz w:val="24"/>
          <w:szCs w:val="24"/>
          <w:lang w:val="en-US"/>
        </w:rPr>
        <w:t xml:space="preserve"> of the middle class based on demand for durable goods, so that “concentration of income allowed for a low-wage industrialization strategy”.  </w:t>
      </w:r>
    </w:p>
    <w:p w:rsidR="00B24A16" w:rsidRDefault="00B24A16" w:rsidP="00784AF0">
      <w:pPr>
        <w:autoSpaceDE w:val="0"/>
        <w:autoSpaceDN w:val="0"/>
        <w:adjustRightInd w:val="0"/>
        <w:spacing w:line="240" w:lineRule="auto"/>
        <w:jc w:val="both"/>
        <w:rPr>
          <w:rFonts w:ascii="Times New Roman" w:hAnsi="Times New Roman" w:cs="Times New Roman"/>
          <w:sz w:val="24"/>
          <w:szCs w:val="24"/>
          <w:lang w:val="en-US"/>
        </w:rPr>
      </w:pPr>
      <w:r>
        <w:rPr>
          <w:rFonts w:ascii="Times New Roman" w:hAnsi="Times New Roman" w:cs="Times New Roman"/>
          <w:b/>
          <w:color w:val="000000"/>
          <w:sz w:val="24"/>
          <w:szCs w:val="24"/>
          <w:shd w:val="clear" w:color="auto" w:fill="FFFFFF"/>
          <w:lang w:val="en-US"/>
        </w:rPr>
        <w:t xml:space="preserve">4. Econometric Model and </w:t>
      </w:r>
      <w:r>
        <w:rPr>
          <w:rFonts w:ascii="Times New Roman" w:hAnsi="Times New Roman" w:cs="Times New Roman"/>
          <w:b/>
          <w:sz w:val="24"/>
          <w:szCs w:val="24"/>
          <w:lang w:val="en-US"/>
        </w:rPr>
        <w:t xml:space="preserve">Empirical Evidence </w:t>
      </w:r>
    </w:p>
    <w:p w:rsidR="00B24A16" w:rsidRDefault="00B24A16" w:rsidP="00784AF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Sims’ (1980) seminal paper, VAR models have been used in a range of multivariate macroeconometric analysis. Based on this approach, we estimate the following dynamic system: </w:t>
      </w:r>
    </w:p>
    <w:p w:rsidR="00B24A16" w:rsidRDefault="00B24A16" w:rsidP="00784AF0">
      <w:pPr>
        <w:spacing w:line="240" w:lineRule="auto"/>
        <w:jc w:val="center"/>
        <w:rPr>
          <w:rFonts w:ascii="Times New Roman" w:hAnsi="Times New Roman" w:cs="Times New Roman"/>
          <w:lang w:val="en-US"/>
        </w:rPr>
      </w:pPr>
      <w:r>
        <w:rPr>
          <w:rFonts w:ascii="Times New Roman" w:hAnsi="Times New Roman" w:cs="Times New Roman"/>
          <w:lang w:val="en-US"/>
        </w:rPr>
        <w:t xml:space="preserve">                               </w:t>
      </w:r>
      <w:r w:rsidR="00C379FD">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position w:val="-28"/>
          <w:lang w:val="en-US"/>
        </w:rPr>
        <w:object w:dxaOrig="4200" w:dyaOrig="660">
          <v:shape id="_x0000_i1062" type="#_x0000_t75" style="width:210pt;height:33pt" o:ole="">
            <v:imagedata r:id="rId75" o:title=""/>
          </v:shape>
          <o:OLEObject Type="Embed" ProgID="Equation.3" ShapeID="_x0000_i1062" DrawAspect="Content" ObjectID="_1530554962" r:id="rId76"/>
        </w:object>
      </w:r>
      <w:r>
        <w:rPr>
          <w:rFonts w:ascii="Times New Roman" w:hAnsi="Times New Roman" w:cs="Times New Roman"/>
          <w:lang w:val="en-US"/>
        </w:rPr>
        <w:t xml:space="preserve">       </w:t>
      </w:r>
      <w:r w:rsidR="00C379FD">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sz w:val="24"/>
          <w:szCs w:val="24"/>
          <w:lang w:val="en-US"/>
        </w:rPr>
        <w:t>(8)</w:t>
      </w:r>
      <w:r w:rsidR="004F18CF">
        <w:rPr>
          <w:rFonts w:ascii="Times New Roman" w:hAnsi="Times New Roman" w:cs="Times New Roman"/>
          <w:sz w:val="24"/>
          <w:szCs w:val="24"/>
          <w:lang w:val="en-US"/>
        </w:rPr>
        <w:t>.</w:t>
      </w:r>
    </w:p>
    <w:p w:rsidR="00B24A16" w:rsidRDefault="008B78D6" w:rsidP="00784AF0">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B24A16">
        <w:rPr>
          <w:rFonts w:ascii="Times New Roman" w:hAnsi="Times New Roman" w:cs="Times New Roman"/>
          <w:sz w:val="24"/>
          <w:szCs w:val="24"/>
          <w:lang w:val="en-US"/>
        </w:rPr>
        <w:t>here</w:t>
      </w:r>
      <w:proofErr w:type="gramEnd"/>
      <w:r w:rsidR="00B24A16">
        <w:rPr>
          <w:rFonts w:ascii="Times New Roman" w:hAnsi="Times New Roman" w:cs="Times New Roman"/>
          <w:sz w:val="24"/>
          <w:szCs w:val="24"/>
          <w:lang w:val="en-US"/>
        </w:rPr>
        <w:t xml:space="preserve"> </w:t>
      </w:r>
      <w:r w:rsidR="00B24A16">
        <w:rPr>
          <w:position w:val="-12"/>
          <w:lang w:val="en-US"/>
        </w:rPr>
        <w:object w:dxaOrig="300" w:dyaOrig="375">
          <v:shape id="_x0000_i1063" type="#_x0000_t75" style="width:15pt;height:18.75pt" o:ole="">
            <v:imagedata r:id="rId77" o:title=""/>
          </v:shape>
          <o:OLEObject Type="Embed" ProgID="Equation.3" ShapeID="_x0000_i1063" DrawAspect="Content" ObjectID="_1530554963" r:id="rId78"/>
        </w:object>
      </w:r>
      <w:r w:rsidR="00B24A16">
        <w:rPr>
          <w:rFonts w:ascii="Times New Roman" w:hAnsi="Times New Roman" w:cs="Times New Roman"/>
          <w:sz w:val="24"/>
          <w:szCs w:val="24"/>
          <w:lang w:val="en-US"/>
        </w:rPr>
        <w:t xml:space="preserve">is an (n x 1) vector of intercept terms, </w:t>
      </w:r>
      <w:r w:rsidR="00B24A16">
        <w:rPr>
          <w:rFonts w:ascii="Times New Roman" w:hAnsi="Times New Roman" w:cs="Times New Roman"/>
          <w:position w:val="-12"/>
          <w:sz w:val="24"/>
          <w:szCs w:val="24"/>
          <w:lang w:val="en-US"/>
        </w:rPr>
        <w:object w:dxaOrig="255" w:dyaOrig="375">
          <v:shape id="_x0000_i1064" type="#_x0000_t75" style="width:12.75pt;height:18.75pt" o:ole="">
            <v:imagedata r:id="rId79" o:title=""/>
          </v:shape>
          <o:OLEObject Type="Embed" ProgID="Equation.3" ShapeID="_x0000_i1064" DrawAspect="Content" ObjectID="_1530554964" r:id="rId80"/>
        </w:object>
      </w:r>
      <w:r w:rsidR="00B24A16">
        <w:rPr>
          <w:rFonts w:ascii="Times New Roman" w:hAnsi="Times New Roman" w:cs="Times New Roman"/>
          <w:sz w:val="24"/>
          <w:szCs w:val="24"/>
          <w:lang w:val="en-US"/>
        </w:rPr>
        <w:t xml:space="preserve"> is an (n x n) coefficient matrix,</w:t>
      </w:r>
      <w:r w:rsidR="00B24A16">
        <w:rPr>
          <w:position w:val="-12"/>
          <w:lang w:val="en-US"/>
        </w:rPr>
        <w:object w:dxaOrig="270" w:dyaOrig="375">
          <v:shape id="_x0000_i1065" type="#_x0000_t75" style="width:13.5pt;height:18.75pt" o:ole="">
            <v:imagedata r:id="rId81" o:title=""/>
          </v:shape>
          <o:OLEObject Type="Embed" ProgID="Equation.3" ShapeID="_x0000_i1065" DrawAspect="Content" ObjectID="_1530554965" r:id="rId82"/>
        </w:object>
      </w:r>
      <w:r w:rsidR="00B24A16">
        <w:rPr>
          <w:rFonts w:ascii="Times New Roman" w:hAnsi="Times New Roman" w:cs="Times New Roman"/>
          <w:sz w:val="24"/>
          <w:szCs w:val="24"/>
          <w:lang w:val="en-US"/>
        </w:rPr>
        <w:t xml:space="preserve">is an (n x 1) vector with each variable included in the model and </w:t>
      </w:r>
      <w:r w:rsidR="00B24A16">
        <w:rPr>
          <w:rFonts w:ascii="Times New Roman" w:hAnsi="Times New Roman" w:cs="Times New Roman"/>
          <w:position w:val="-12"/>
          <w:sz w:val="24"/>
          <w:szCs w:val="24"/>
          <w:lang w:val="en-US"/>
        </w:rPr>
        <w:object w:dxaOrig="255" w:dyaOrig="375">
          <v:shape id="_x0000_i1066" type="#_x0000_t75" style="width:12.75pt;height:18.75pt" o:ole="">
            <v:imagedata r:id="rId83" o:title=""/>
          </v:shape>
          <o:OLEObject Type="Embed" ProgID="Equation.3" ShapeID="_x0000_i1066" DrawAspect="Content" ObjectID="_1530554966" r:id="rId84"/>
        </w:object>
      </w:r>
      <w:r w:rsidR="00B24A16">
        <w:rPr>
          <w:rFonts w:ascii="Times New Roman" w:hAnsi="Times New Roman" w:cs="Times New Roman"/>
          <w:sz w:val="24"/>
          <w:szCs w:val="24"/>
          <w:lang w:val="en-US"/>
        </w:rPr>
        <w:t xml:space="preserve"> is an (n x 1) vector of error terms (serially uncorrelated with constant variance). The </w:t>
      </w:r>
      <w:r w:rsidR="00852D7D">
        <w:rPr>
          <w:rFonts w:ascii="Times New Roman" w:hAnsi="Times New Roman" w:cs="Times New Roman"/>
          <w:sz w:val="24"/>
          <w:szCs w:val="24"/>
          <w:lang w:val="en-US"/>
        </w:rPr>
        <w:t xml:space="preserve">basic </w:t>
      </w:r>
      <w:r w:rsidR="00B24A16">
        <w:rPr>
          <w:rFonts w:ascii="Times New Roman" w:hAnsi="Times New Roman" w:cs="Times New Roman"/>
          <w:sz w:val="24"/>
          <w:szCs w:val="24"/>
          <w:lang w:val="en-US"/>
        </w:rPr>
        <w:t xml:space="preserve">model has three macroeconomic variables related to the canonical </w:t>
      </w:r>
      <w:r w:rsidR="00C77EDC">
        <w:rPr>
          <w:rFonts w:ascii="Times New Roman" w:hAnsi="Times New Roman" w:cs="Times New Roman"/>
          <w:sz w:val="24"/>
          <w:szCs w:val="24"/>
          <w:lang w:val="en-US"/>
        </w:rPr>
        <w:t>P</w:t>
      </w:r>
      <w:r w:rsidR="00B24A16">
        <w:rPr>
          <w:rFonts w:ascii="Times New Roman" w:hAnsi="Times New Roman" w:cs="Times New Roman"/>
          <w:sz w:val="24"/>
          <w:szCs w:val="24"/>
          <w:lang w:val="en-US"/>
        </w:rPr>
        <w:t xml:space="preserve">ost-Kaleckian macro model of growth and distribution: </w:t>
      </w:r>
      <w:proofErr w:type="spellStart"/>
      <w:r w:rsidR="00B24A16">
        <w:rPr>
          <w:rFonts w:ascii="Times New Roman" w:hAnsi="Times New Roman" w:cs="Times New Roman"/>
          <w:sz w:val="24"/>
          <w:szCs w:val="24"/>
          <w:lang w:val="en-US"/>
        </w:rPr>
        <w:t>i</w:t>
      </w:r>
      <w:proofErr w:type="spellEnd"/>
      <w:r w:rsidR="00B24A16">
        <w:rPr>
          <w:rFonts w:ascii="Times New Roman" w:hAnsi="Times New Roman" w:cs="Times New Roman"/>
          <w:sz w:val="24"/>
          <w:szCs w:val="24"/>
          <w:lang w:val="en-US"/>
        </w:rPr>
        <w:t>) the growth rate of real GDP</w:t>
      </w:r>
      <w:proofErr w:type="gramStart"/>
      <w:r w:rsidR="00B24A16">
        <w:rPr>
          <w:rFonts w:ascii="Times New Roman" w:hAnsi="Times New Roman" w:cs="Times New Roman"/>
          <w:sz w:val="24"/>
          <w:szCs w:val="24"/>
          <w:lang w:val="en-US"/>
        </w:rPr>
        <w:t xml:space="preserve">, </w:t>
      </w:r>
      <w:proofErr w:type="gramEnd"/>
      <w:r w:rsidR="00B24A16">
        <w:rPr>
          <w:rFonts w:ascii="Times New Roman" w:hAnsi="Times New Roman" w:cs="Times New Roman"/>
          <w:position w:val="-10"/>
          <w:sz w:val="24"/>
          <w:szCs w:val="24"/>
          <w:lang w:val="en-US"/>
        </w:rPr>
        <w:object w:dxaOrig="225" w:dyaOrig="255">
          <v:shape id="_x0000_i1067" type="#_x0000_t75" style="width:11.25pt;height:12.75pt" o:ole="">
            <v:imagedata r:id="rId85" o:title=""/>
          </v:shape>
          <o:OLEObject Type="Embed" ProgID="Equation.3" ShapeID="_x0000_i1067" DrawAspect="Content" ObjectID="_1530554967" r:id="rId86"/>
        </w:object>
      </w:r>
      <w:r w:rsidR="00B24A16">
        <w:rPr>
          <w:rFonts w:ascii="Times New Roman" w:hAnsi="Times New Roman" w:cs="Times New Roman"/>
          <w:sz w:val="24"/>
          <w:szCs w:val="24"/>
          <w:lang w:val="en-US"/>
        </w:rPr>
        <w:t xml:space="preserve">; ii) the </w:t>
      </w:r>
      <w:r w:rsidR="009F1ABB">
        <w:rPr>
          <w:rFonts w:ascii="Times New Roman" w:hAnsi="Times New Roman" w:cs="Times New Roman"/>
          <w:sz w:val="24"/>
          <w:szCs w:val="24"/>
          <w:lang w:val="en-US"/>
        </w:rPr>
        <w:t>rate</w:t>
      </w:r>
      <w:r w:rsidR="00B24A16">
        <w:rPr>
          <w:rFonts w:ascii="Times New Roman" w:hAnsi="Times New Roman" w:cs="Times New Roman"/>
          <w:sz w:val="24"/>
          <w:szCs w:val="24"/>
          <w:lang w:val="en-US"/>
        </w:rPr>
        <w:t xml:space="preserve"> of capacity utilization, </w:t>
      </w:r>
      <w:r w:rsidR="00B24A16">
        <w:rPr>
          <w:rFonts w:ascii="Times New Roman" w:hAnsi="Times New Roman" w:cs="Times New Roman"/>
          <w:position w:val="-6"/>
          <w:sz w:val="24"/>
          <w:szCs w:val="24"/>
          <w:lang w:val="en-US"/>
        </w:rPr>
        <w:object w:dxaOrig="195" w:dyaOrig="225">
          <v:shape id="_x0000_i1068" type="#_x0000_t75" style="width:9.75pt;height:11.25pt" o:ole="">
            <v:imagedata r:id="rId87" o:title=""/>
          </v:shape>
          <o:OLEObject Type="Embed" ProgID="Equation.3" ShapeID="_x0000_i1068" DrawAspect="Content" ObjectID="_1530554968" r:id="rId88"/>
        </w:object>
      </w:r>
      <w:r w:rsidR="00B24A16">
        <w:rPr>
          <w:rFonts w:ascii="Times New Roman" w:hAnsi="Times New Roman" w:cs="Times New Roman"/>
          <w:sz w:val="24"/>
          <w:szCs w:val="24"/>
          <w:lang w:val="en-US"/>
        </w:rPr>
        <w:t xml:space="preserve"> and the profit-share, </w:t>
      </w:r>
      <w:r w:rsidR="00B24A16">
        <w:rPr>
          <w:position w:val="-6"/>
          <w:lang w:val="en-US"/>
        </w:rPr>
        <w:object w:dxaOrig="225" w:dyaOrig="225">
          <v:shape id="_x0000_i1069" type="#_x0000_t75" style="width:11.25pt;height:11.25pt" o:ole="">
            <v:imagedata r:id="rId89" o:title=""/>
          </v:shape>
          <o:OLEObject Type="Embed" ProgID="Equation.3" ShapeID="_x0000_i1069" DrawAspect="Content" ObjectID="_1530554969" r:id="rId90"/>
        </w:object>
      </w:r>
      <w:r w:rsidR="00B24A16">
        <w:rPr>
          <w:rFonts w:ascii="Times New Roman" w:hAnsi="Times New Roman" w:cs="Times New Roman"/>
          <w:sz w:val="24"/>
          <w:szCs w:val="24"/>
          <w:lang w:val="en-US"/>
        </w:rPr>
        <w:t xml:space="preserve"> - a proxy to functional income distribution. The real GDP data are available at Brazilian Institute of Geography and Statistics (IBGE) so that we consider </w:t>
      </w:r>
      <w:r w:rsidR="00B24A16">
        <w:rPr>
          <w:rFonts w:ascii="Times New Roman" w:hAnsi="Times New Roman" w:cs="Times New Roman"/>
          <w:position w:val="-30"/>
          <w:lang w:val="en-US"/>
        </w:rPr>
        <w:object w:dxaOrig="2100" w:dyaOrig="675">
          <v:shape id="_x0000_i1070" type="#_x0000_t75" style="width:105pt;height:33.75pt" o:ole="">
            <v:imagedata r:id="rId91" o:title=""/>
          </v:shape>
          <o:OLEObject Type="Embed" ProgID="Equation.3" ShapeID="_x0000_i1070" DrawAspect="Content" ObjectID="_1530554970" r:id="rId92"/>
        </w:object>
      </w:r>
      <w:proofErr w:type="gramStart"/>
      <w:r w:rsidR="00B24A16">
        <w:rPr>
          <w:rFonts w:ascii="Times New Roman" w:hAnsi="Times New Roman" w:cs="Times New Roman"/>
          <w:sz w:val="24"/>
          <w:szCs w:val="24"/>
          <w:lang w:val="en-US"/>
        </w:rPr>
        <w:t>The</w:t>
      </w:r>
      <w:proofErr w:type="gramEnd"/>
      <w:r w:rsidR="00B24A16">
        <w:rPr>
          <w:rFonts w:ascii="Times New Roman" w:hAnsi="Times New Roman" w:cs="Times New Roman"/>
          <w:sz w:val="24"/>
          <w:szCs w:val="24"/>
          <w:lang w:val="en-US"/>
        </w:rPr>
        <w:t xml:space="preserve"> </w:t>
      </w:r>
      <w:r w:rsidR="009F1ABB">
        <w:rPr>
          <w:rFonts w:ascii="Times New Roman" w:hAnsi="Times New Roman" w:cs="Times New Roman"/>
          <w:sz w:val="24"/>
          <w:szCs w:val="24"/>
          <w:lang w:val="en-US"/>
        </w:rPr>
        <w:t>rate</w:t>
      </w:r>
      <w:r w:rsidR="00B24A16">
        <w:rPr>
          <w:rFonts w:ascii="Times New Roman" w:hAnsi="Times New Roman" w:cs="Times New Roman"/>
          <w:sz w:val="24"/>
          <w:szCs w:val="24"/>
          <w:lang w:val="en-US"/>
        </w:rPr>
        <w:t xml:space="preserve"> of capacity utilization has been calculated by </w:t>
      </w:r>
      <w:proofErr w:type="spellStart"/>
      <w:r w:rsidR="00B24A16">
        <w:rPr>
          <w:rFonts w:ascii="Times New Roman" w:hAnsi="Times New Roman" w:cs="Times New Roman"/>
          <w:sz w:val="24"/>
          <w:szCs w:val="24"/>
          <w:lang w:val="en-US"/>
        </w:rPr>
        <w:t>Getúlio</w:t>
      </w:r>
      <w:proofErr w:type="spellEnd"/>
      <w:r w:rsidR="00B24A16">
        <w:rPr>
          <w:rFonts w:ascii="Times New Roman" w:hAnsi="Times New Roman" w:cs="Times New Roman"/>
          <w:sz w:val="24"/>
          <w:szCs w:val="24"/>
          <w:lang w:val="en-US"/>
        </w:rPr>
        <w:t xml:space="preserve"> Vargas Foundation (FGV) since 1970 and was downloaded from the Institute of Applied Economic Research (IPEA) website. The profit-share data are extracted from Marquetti and </w:t>
      </w:r>
      <w:proofErr w:type="spellStart"/>
      <w:r w:rsidR="00B24A16">
        <w:rPr>
          <w:rFonts w:ascii="Times New Roman" w:hAnsi="Times New Roman" w:cs="Times New Roman"/>
          <w:sz w:val="24"/>
          <w:szCs w:val="24"/>
          <w:lang w:val="en-US"/>
        </w:rPr>
        <w:t>Porsse</w:t>
      </w:r>
      <w:proofErr w:type="spellEnd"/>
      <w:r w:rsidR="00B24A16">
        <w:rPr>
          <w:rFonts w:ascii="Times New Roman" w:hAnsi="Times New Roman" w:cs="Times New Roman"/>
          <w:sz w:val="24"/>
          <w:szCs w:val="24"/>
          <w:lang w:val="en-US"/>
        </w:rPr>
        <w:t xml:space="preserve"> (2014) database. The dataset used in the empirical analysis has annual frequency and covers the period from 1970 to 2008</w:t>
      </w:r>
      <w:r w:rsidR="00B24A16">
        <w:rPr>
          <w:rStyle w:val="Refdenotaderodap"/>
          <w:rFonts w:ascii="Times New Roman" w:hAnsi="Times New Roman" w:cs="Times New Roman"/>
          <w:sz w:val="24"/>
          <w:szCs w:val="24"/>
          <w:lang w:val="en-US"/>
        </w:rPr>
        <w:footnoteReference w:id="7"/>
      </w:r>
      <w:r w:rsidR="00B24A16">
        <w:rPr>
          <w:rFonts w:ascii="Times New Roman" w:hAnsi="Times New Roman" w:cs="Times New Roman"/>
          <w:sz w:val="24"/>
          <w:szCs w:val="24"/>
          <w:lang w:val="en-US"/>
        </w:rPr>
        <w:t xml:space="preserve">. </w:t>
      </w:r>
      <w:r w:rsidR="005F5810">
        <w:rPr>
          <w:rFonts w:ascii="Times New Roman" w:hAnsi="Times New Roman" w:cs="Times New Roman"/>
          <w:sz w:val="24"/>
          <w:szCs w:val="24"/>
          <w:lang w:val="en-US"/>
        </w:rPr>
        <w:t xml:space="preserve">The simple correlations between the variables </w:t>
      </w:r>
      <w:r w:rsidR="005F5810">
        <w:rPr>
          <w:position w:val="-6"/>
          <w:lang w:val="en-US"/>
        </w:rPr>
        <w:object w:dxaOrig="225" w:dyaOrig="225">
          <v:shape id="_x0000_i1071" type="#_x0000_t75" style="width:11.25pt;height:11.25pt" o:ole="">
            <v:imagedata r:id="rId89" o:title=""/>
          </v:shape>
          <o:OLEObject Type="Embed" ProgID="Equation.3" ShapeID="_x0000_i1071" DrawAspect="Content" ObjectID="_1530554971" r:id="rId93"/>
        </w:object>
      </w:r>
      <w:r w:rsidR="005F5810">
        <w:rPr>
          <w:lang w:val="en-US"/>
        </w:rPr>
        <w:t xml:space="preserve"> </w:t>
      </w:r>
      <w:r w:rsidR="005F5810" w:rsidRPr="005F5810">
        <w:rPr>
          <w:rFonts w:ascii="Times New Roman" w:hAnsi="Times New Roman" w:cs="Times New Roman"/>
          <w:sz w:val="24"/>
          <w:szCs w:val="24"/>
          <w:lang w:val="en-US"/>
        </w:rPr>
        <w:t xml:space="preserve">and </w:t>
      </w:r>
      <w:r w:rsidR="005F5810" w:rsidRPr="005F5810">
        <w:rPr>
          <w:rFonts w:ascii="Times New Roman" w:hAnsi="Times New Roman" w:cs="Times New Roman"/>
          <w:i/>
          <w:sz w:val="24"/>
          <w:szCs w:val="24"/>
          <w:lang w:val="en-US"/>
        </w:rPr>
        <w:t>g</w:t>
      </w:r>
      <w:r w:rsidR="005F5810">
        <w:rPr>
          <w:rFonts w:ascii="Times New Roman" w:hAnsi="Times New Roman" w:cs="Times New Roman"/>
          <w:sz w:val="24"/>
          <w:szCs w:val="24"/>
          <w:lang w:val="en-US"/>
        </w:rPr>
        <w:t xml:space="preserve">, </w:t>
      </w:r>
      <w:r w:rsidR="005F5810">
        <w:rPr>
          <w:position w:val="-6"/>
          <w:lang w:val="en-US"/>
        </w:rPr>
        <w:object w:dxaOrig="225" w:dyaOrig="225">
          <v:shape id="_x0000_i1072" type="#_x0000_t75" style="width:11.25pt;height:11.25pt" o:ole="">
            <v:imagedata r:id="rId89" o:title=""/>
          </v:shape>
          <o:OLEObject Type="Embed" ProgID="Equation.3" ShapeID="_x0000_i1072" DrawAspect="Content" ObjectID="_1530554972" r:id="rId94"/>
        </w:object>
      </w:r>
      <w:r w:rsidR="005F5810">
        <w:rPr>
          <w:lang w:val="en-US"/>
        </w:rPr>
        <w:t xml:space="preserve"> </w:t>
      </w:r>
      <w:r w:rsidR="005F5810" w:rsidRPr="005F5810">
        <w:rPr>
          <w:rFonts w:ascii="Times New Roman" w:hAnsi="Times New Roman" w:cs="Times New Roman"/>
          <w:sz w:val="24"/>
          <w:szCs w:val="24"/>
          <w:lang w:val="en-US"/>
        </w:rPr>
        <w:t xml:space="preserve">and </w:t>
      </w:r>
      <w:r w:rsidR="005F5810" w:rsidRPr="005F5810">
        <w:rPr>
          <w:rFonts w:ascii="Times New Roman" w:hAnsi="Times New Roman" w:cs="Times New Roman"/>
          <w:i/>
          <w:sz w:val="24"/>
          <w:szCs w:val="24"/>
          <w:lang w:val="en-US"/>
        </w:rPr>
        <w:t>u</w:t>
      </w:r>
      <w:r w:rsidR="005F5810" w:rsidRPr="005F5810">
        <w:rPr>
          <w:rFonts w:ascii="Times New Roman" w:hAnsi="Times New Roman" w:cs="Times New Roman"/>
          <w:sz w:val="24"/>
          <w:szCs w:val="24"/>
          <w:lang w:val="en-US"/>
        </w:rPr>
        <w:t>,</w:t>
      </w:r>
      <w:r w:rsidR="005F5810">
        <w:rPr>
          <w:lang w:val="en-US"/>
        </w:rPr>
        <w:t xml:space="preserve"> </w:t>
      </w:r>
      <w:r w:rsidR="005F5810" w:rsidRPr="005F5810">
        <w:rPr>
          <w:rFonts w:ascii="Times New Roman" w:hAnsi="Times New Roman" w:cs="Times New Roman"/>
          <w:sz w:val="24"/>
          <w:szCs w:val="24"/>
          <w:lang w:val="en-US"/>
        </w:rPr>
        <w:t xml:space="preserve">and </w:t>
      </w:r>
      <w:r w:rsidR="005F5810" w:rsidRPr="005F5810">
        <w:rPr>
          <w:rFonts w:ascii="Times New Roman" w:hAnsi="Times New Roman" w:cs="Times New Roman"/>
          <w:i/>
          <w:sz w:val="24"/>
          <w:szCs w:val="24"/>
          <w:lang w:val="en-US"/>
        </w:rPr>
        <w:t>u</w:t>
      </w:r>
      <w:r w:rsidR="005F5810" w:rsidRPr="005F5810">
        <w:rPr>
          <w:rFonts w:ascii="Times New Roman" w:hAnsi="Times New Roman" w:cs="Times New Roman"/>
          <w:sz w:val="24"/>
          <w:szCs w:val="24"/>
          <w:lang w:val="en-US"/>
        </w:rPr>
        <w:t xml:space="preserve"> and </w:t>
      </w:r>
      <w:r w:rsidR="005F5810" w:rsidRPr="005F5810">
        <w:rPr>
          <w:rFonts w:ascii="Times New Roman" w:hAnsi="Times New Roman" w:cs="Times New Roman"/>
          <w:i/>
          <w:sz w:val="24"/>
          <w:szCs w:val="24"/>
          <w:lang w:val="en-US"/>
        </w:rPr>
        <w:t>g</w:t>
      </w:r>
      <w:r w:rsidR="005F5810" w:rsidRPr="005F5810">
        <w:rPr>
          <w:rFonts w:ascii="Times New Roman" w:hAnsi="Times New Roman" w:cs="Times New Roman"/>
          <w:sz w:val="24"/>
          <w:szCs w:val="24"/>
          <w:lang w:val="en-US"/>
        </w:rPr>
        <w:t xml:space="preserve"> </w:t>
      </w:r>
      <w:r w:rsidR="005F5810">
        <w:rPr>
          <w:rFonts w:ascii="Times New Roman" w:hAnsi="Times New Roman" w:cs="Times New Roman"/>
          <w:sz w:val="24"/>
          <w:szCs w:val="24"/>
          <w:lang w:val="en-US"/>
        </w:rPr>
        <w:t xml:space="preserve">in this period </w:t>
      </w:r>
      <w:r w:rsidR="005F5810" w:rsidRPr="005F5810">
        <w:rPr>
          <w:rFonts w:ascii="Times New Roman" w:hAnsi="Times New Roman" w:cs="Times New Roman"/>
          <w:sz w:val="24"/>
          <w:szCs w:val="24"/>
          <w:lang w:val="en-US"/>
        </w:rPr>
        <w:t>are positive</w:t>
      </w:r>
      <w:r w:rsidR="005F5810">
        <w:rPr>
          <w:rFonts w:ascii="Times New Roman" w:hAnsi="Times New Roman" w:cs="Times New Roman"/>
          <w:sz w:val="24"/>
          <w:szCs w:val="24"/>
          <w:lang w:val="en-US"/>
        </w:rPr>
        <w:t xml:space="preserve"> (21.9%, 55.7% and 71.6%, respectively).  </w:t>
      </w:r>
      <w:r w:rsidR="005F5810" w:rsidRPr="005F5810">
        <w:rPr>
          <w:rFonts w:ascii="Times New Roman" w:hAnsi="Times New Roman" w:cs="Times New Roman"/>
          <w:sz w:val="24"/>
          <w:szCs w:val="24"/>
          <w:lang w:val="en-US"/>
        </w:rPr>
        <w:t xml:space="preserve"> </w:t>
      </w:r>
      <w:r w:rsidR="005F5810">
        <w:rPr>
          <w:lang w:val="en-US"/>
        </w:rPr>
        <w:t xml:space="preserve"> </w:t>
      </w:r>
      <w:r w:rsidR="005F5810">
        <w:rPr>
          <w:rFonts w:ascii="Times New Roman" w:hAnsi="Times New Roman" w:cs="Times New Roman"/>
          <w:sz w:val="24"/>
          <w:szCs w:val="24"/>
          <w:lang w:val="en-US"/>
        </w:rPr>
        <w:t xml:space="preserve"> </w:t>
      </w:r>
      <w:r w:rsidR="005F5810" w:rsidRPr="005F5810">
        <w:rPr>
          <w:rFonts w:ascii="Times New Roman" w:hAnsi="Times New Roman" w:cs="Times New Roman"/>
          <w:sz w:val="24"/>
          <w:szCs w:val="24"/>
          <w:lang w:val="en-US"/>
        </w:rPr>
        <w:t xml:space="preserve"> </w:t>
      </w:r>
      <w:r w:rsidR="00B24A16">
        <w:rPr>
          <w:rFonts w:ascii="Times New Roman" w:hAnsi="Times New Roman" w:cs="Times New Roman"/>
          <w:sz w:val="24"/>
          <w:szCs w:val="24"/>
          <w:lang w:val="en-US"/>
        </w:rPr>
        <w:t xml:space="preserve">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traditional VAR approach assumes that all series in the model are stationary (see Enders, 2014). In this sense, the first step in the </w:t>
      </w:r>
      <w:r w:rsidR="005F5810">
        <w:rPr>
          <w:rFonts w:ascii="Times New Roman" w:hAnsi="Times New Roman" w:cs="Times New Roman"/>
          <w:sz w:val="24"/>
          <w:szCs w:val="24"/>
          <w:lang w:val="en-US"/>
        </w:rPr>
        <w:t xml:space="preserve">econometric </w:t>
      </w:r>
      <w:r>
        <w:rPr>
          <w:rFonts w:ascii="Times New Roman" w:hAnsi="Times New Roman" w:cs="Times New Roman"/>
          <w:sz w:val="24"/>
          <w:szCs w:val="24"/>
          <w:lang w:val="en-US"/>
        </w:rPr>
        <w:t xml:space="preserve">analysis is to check whether the series contain a unit root. To this end, the Kwiatkowski-Phillips-Schmidt-Shin (KPSS) test is performed. The null hypothesis of the KPSS test is that the series is stationary, and the </w:t>
      </w:r>
      <w:r>
        <w:rPr>
          <w:rFonts w:ascii="Times New Roman" w:hAnsi="Times New Roman" w:cs="Times New Roman"/>
          <w:sz w:val="24"/>
          <w:szCs w:val="24"/>
          <w:lang w:val="en-US"/>
        </w:rPr>
        <w:lastRenderedPageBreak/>
        <w:t xml:space="preserve">alternative hypothesis is unit root. The outcome of this test (see Appendix) indicated that the three macroeconomic time series are </w:t>
      </w:r>
      <w:proofErr w:type="gramStart"/>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 xml:space="preserve">0).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step is to determine the appropriate lag length employing the Akaike (AIC), Schwartz (SC) and Hannan-Quinn (HQ) information criteria. All these criteria suggest that </w:t>
      </w:r>
      <w:proofErr w:type="gramStart"/>
      <w:r>
        <w:rPr>
          <w:rFonts w:ascii="Times New Roman" w:hAnsi="Times New Roman" w:cs="Times New Roman"/>
          <w:sz w:val="24"/>
          <w:szCs w:val="24"/>
          <w:lang w:val="en-US"/>
        </w:rPr>
        <w:t>VAR(</w:t>
      </w:r>
      <w:proofErr w:type="gramEnd"/>
      <w:r>
        <w:rPr>
          <w:rFonts w:ascii="Times New Roman" w:hAnsi="Times New Roman" w:cs="Times New Roman"/>
          <w:sz w:val="24"/>
          <w:szCs w:val="24"/>
          <w:lang w:val="en-US"/>
        </w:rPr>
        <w:t>1) is the best model (see Appendix). In this sense, our benchmark specification with three variables</w:t>
      </w:r>
      <w:r w:rsidR="009B21E8">
        <w:rPr>
          <w:rFonts w:ascii="Times New Roman" w:hAnsi="Times New Roman" w:cs="Times New Roman"/>
          <w:sz w:val="24"/>
          <w:szCs w:val="24"/>
          <w:lang w:val="en-US"/>
        </w:rPr>
        <w:t>, one constant</w:t>
      </w:r>
      <w:r>
        <w:rPr>
          <w:rFonts w:ascii="Times New Roman" w:hAnsi="Times New Roman" w:cs="Times New Roman"/>
          <w:sz w:val="24"/>
          <w:szCs w:val="24"/>
          <w:lang w:val="en-US"/>
        </w:rPr>
        <w:t xml:space="preserve"> and one lag provides a parsimonious model, so that just </w:t>
      </w:r>
      <w:r w:rsidR="009B21E8">
        <w:rPr>
          <w:rFonts w:ascii="Times New Roman" w:hAnsi="Times New Roman" w:cs="Times New Roman"/>
          <w:sz w:val="24"/>
          <w:szCs w:val="24"/>
          <w:lang w:val="en-US"/>
        </w:rPr>
        <w:t>twelve</w:t>
      </w:r>
      <w:r>
        <w:rPr>
          <w:rFonts w:ascii="Times New Roman" w:hAnsi="Times New Roman" w:cs="Times New Roman"/>
          <w:sz w:val="24"/>
          <w:szCs w:val="24"/>
          <w:lang w:val="en-US"/>
        </w:rPr>
        <w:t xml:space="preserve"> parameters need to be estimated. Parsimony is important because if we include more lags and endogenous variables in the model, the degree of freedom largely decreases.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parameters of the VAR model are estimated by OLS method</w:t>
      </w:r>
      <w:r>
        <w:rPr>
          <w:rStyle w:val="Refdenotaderodap"/>
          <w:rFonts w:ascii="Times New Roman" w:hAnsi="Times New Roman" w:cs="Times New Roman"/>
          <w:sz w:val="24"/>
          <w:szCs w:val="24"/>
          <w:lang w:val="en-US"/>
        </w:rPr>
        <w:footnoteReference w:id="8"/>
      </w:r>
      <w:r>
        <w:rPr>
          <w:rFonts w:ascii="Times New Roman" w:hAnsi="Times New Roman" w:cs="Times New Roman"/>
          <w:sz w:val="24"/>
          <w:szCs w:val="24"/>
          <w:lang w:val="en-US"/>
        </w:rPr>
        <w:t xml:space="preserve"> and two diagnostic tests are performed (see Appendix). The first one indicates that the VAR model with one lag is stable, since the inverse roots of AR characteristic polynomial have modulus less than one and lie inside the unit circle. The second one is performed to check the hypothesis of autocorrelation. Since the p-value of the Lagrange Multiplier test is 0.55 on the first lag, there is no evidence of autocorrelation in the benchmark model specification.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well-known that the parameters estimated by VAR models are hard to be interpreted (the t-tests on individual coefficients are not valid because the </w:t>
      </w:r>
      <w:proofErr w:type="spellStart"/>
      <w:r>
        <w:rPr>
          <w:rFonts w:ascii="Times New Roman" w:hAnsi="Times New Roman" w:cs="Times New Roman"/>
          <w:sz w:val="24"/>
          <w:szCs w:val="24"/>
          <w:lang w:val="en-US"/>
        </w:rPr>
        <w:t>regressor</w:t>
      </w:r>
      <w:r w:rsidR="00E04A86">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in general, are highly collinear). Considering this, we follow the standard literature on time series econometrics and focus only on the impulse-response functions. However, since it is difficult to order the variables rigorously, we utilize the generalized impulse-response functions (see Pesaran and Shin, 1998). This approach is useful because it eliminates potential problems caused by different orderings in the traditional Cholesky decomposition. </w:t>
      </w:r>
      <w:r w:rsidR="00852D7D">
        <w:rPr>
          <w:rFonts w:ascii="Times New Roman" w:hAnsi="Times New Roman" w:cs="Times New Roman"/>
          <w:sz w:val="24"/>
          <w:szCs w:val="24"/>
          <w:lang w:val="en-US"/>
        </w:rPr>
        <w:t xml:space="preserve"> </w:t>
      </w:r>
    </w:p>
    <w:p w:rsidR="00B24A16" w:rsidRDefault="00B24A16" w:rsidP="00784AF0">
      <w:pPr>
        <w:autoSpaceDE w:val="0"/>
        <w:autoSpaceDN w:val="0"/>
        <w:adjustRightInd w:val="0"/>
        <w:spacing w:after="0" w:line="240" w:lineRule="auto"/>
        <w:ind w:firstLine="708"/>
        <w:jc w:val="both"/>
        <w:rPr>
          <w:rFonts w:ascii="Times New Roman" w:hAnsi="Times New Roman" w:cs="Times New Roman"/>
          <w:b/>
          <w:sz w:val="20"/>
          <w:szCs w:val="20"/>
          <w:lang w:val="en-US"/>
        </w:rPr>
      </w:pPr>
      <w:r>
        <w:rPr>
          <w:rFonts w:ascii="Times New Roman" w:hAnsi="Times New Roman" w:cs="Times New Roman"/>
          <w:sz w:val="24"/>
          <w:szCs w:val="24"/>
          <w:lang w:val="en-US"/>
        </w:rPr>
        <w:t>The main generalized impulse-responses</w:t>
      </w:r>
      <w:r>
        <w:rPr>
          <w:rFonts w:ascii="Times New Roman" w:hAnsi="Times New Roman" w:cs="Times New Roman"/>
          <w:lang w:val="en-US"/>
        </w:rPr>
        <w:t xml:space="preserve"> </w:t>
      </w:r>
      <w:r>
        <w:rPr>
          <w:rFonts w:ascii="Times New Roman" w:hAnsi="Times New Roman" w:cs="Times New Roman"/>
          <w:sz w:val="24"/>
          <w:szCs w:val="24"/>
          <w:lang w:val="en-US"/>
        </w:rPr>
        <w:t>functions obtained by the VAR model can be seen on figures 1, 2 and 3 (</w:t>
      </w:r>
      <w:r>
        <w:rPr>
          <w:rFonts w:ascii="Times New Roman" w:hAnsi="Times New Roman" w:cs="Times New Roman"/>
          <w:position w:val="-6"/>
          <w:lang w:val="en-US"/>
        </w:rPr>
        <w:object w:dxaOrig="780" w:dyaOrig="240">
          <v:shape id="_x0000_i1073" type="#_x0000_t75" style="width:39pt;height:12pt" o:ole="">
            <v:imagedata r:id="rId95" o:title=""/>
          </v:shape>
          <o:OLEObject Type="Embed" ProgID="Equation.3" ShapeID="_x0000_i1073" DrawAspect="Content" ObjectID="_1530554973" r:id="rId96"/>
        </w:object>
      </w:r>
      <w:r>
        <w:rPr>
          <w:rFonts w:ascii="Times New Roman" w:hAnsi="Times New Roman" w:cs="Times New Roman"/>
          <w:lang w:val="en-US"/>
        </w:rPr>
        <w:t xml:space="preserve">, </w:t>
      </w:r>
      <w:r>
        <w:rPr>
          <w:rFonts w:ascii="Times New Roman" w:hAnsi="Times New Roman" w:cs="Times New Roman"/>
          <w:position w:val="-10"/>
          <w:lang w:val="en-US"/>
        </w:rPr>
        <w:object w:dxaOrig="705" w:dyaOrig="255">
          <v:shape id="_x0000_i1074" type="#_x0000_t75" style="width:35.25pt;height:12.75pt" o:ole="">
            <v:imagedata r:id="rId97" o:title=""/>
          </v:shape>
          <o:OLEObject Type="Embed" ProgID="Equation.3" ShapeID="_x0000_i1074" DrawAspect="Content" ObjectID="_1530554974" r:id="rId98"/>
        </w:object>
      </w:r>
      <w:r>
        <w:rPr>
          <w:rFonts w:ascii="Times New Roman" w:hAnsi="Times New Roman" w:cs="Times New Roman"/>
          <w:lang w:val="en-US"/>
        </w:rPr>
        <w:t xml:space="preserve"> </w:t>
      </w:r>
      <w:proofErr w:type="gramStart"/>
      <w:r>
        <w:rPr>
          <w:rFonts w:ascii="Times New Roman" w:hAnsi="Times New Roman" w:cs="Times New Roman"/>
          <w:sz w:val="24"/>
          <w:szCs w:val="24"/>
          <w:lang w:val="en-US"/>
        </w:rPr>
        <w:t>and</w:t>
      </w:r>
      <w:r>
        <w:rPr>
          <w:rFonts w:ascii="Times New Roman" w:hAnsi="Times New Roman" w:cs="Times New Roman"/>
          <w:lang w:val="en-US"/>
        </w:rPr>
        <w:t xml:space="preserve"> </w:t>
      </w:r>
      <w:proofErr w:type="gramEnd"/>
      <w:r>
        <w:rPr>
          <w:rFonts w:ascii="Times New Roman" w:hAnsi="Times New Roman" w:cs="Times New Roman"/>
          <w:position w:val="-10"/>
          <w:lang w:val="en-US"/>
        </w:rPr>
        <w:object w:dxaOrig="690" w:dyaOrig="255">
          <v:shape id="_x0000_i1075" type="#_x0000_t75" style="width:34.5pt;height:12.75pt" o:ole="">
            <v:imagedata r:id="rId99" o:title=""/>
          </v:shape>
          <o:OLEObject Type="Embed" ProgID="Equation.3" ShapeID="_x0000_i1075" DrawAspect="Content" ObjectID="_1530554975" r:id="rId100"/>
        </w:object>
      </w:r>
      <w:r>
        <w:rPr>
          <w:rFonts w:ascii="Times New Roman" w:hAnsi="Times New Roman" w:cs="Times New Roman"/>
          <w:lang w:val="en-US"/>
        </w:rPr>
        <w:t>)</w:t>
      </w:r>
      <w:r>
        <w:rPr>
          <w:rFonts w:ascii="Times New Roman" w:hAnsi="Times New Roman" w:cs="Times New Roman"/>
          <w:sz w:val="24"/>
          <w:szCs w:val="24"/>
          <w:lang w:val="en-US"/>
        </w:rPr>
        <w:t xml:space="preserve">. Eight periods </w:t>
      </w:r>
      <w:proofErr w:type="spellStart"/>
      <w:r>
        <w:rPr>
          <w:rFonts w:ascii="Times New Roman" w:hAnsi="Times New Roman" w:cs="Times New Roman"/>
          <w:sz w:val="24"/>
          <w:szCs w:val="24"/>
          <w:lang w:val="en-US"/>
        </w:rPr>
        <w:t>after shocks</w:t>
      </w:r>
      <w:proofErr w:type="spellEnd"/>
      <w:r>
        <w:rPr>
          <w:rFonts w:ascii="Times New Roman" w:hAnsi="Times New Roman" w:cs="Times New Roman"/>
          <w:sz w:val="24"/>
          <w:szCs w:val="24"/>
          <w:lang w:val="en-US"/>
        </w:rPr>
        <w:t xml:space="preserve"> are considered in the simulations. Solid lines show the punctual responses and dashed lines represent their two standard error bands. The 95% confidence interval is calculated by the Monte Carlo approach with 10.000 repetitions. The generalized impulse-responses show how an innovation to one variable affect the entire system. Then, through this moving average representation of the VAR model we can test the theoretical hypothesis presented on section two.      </w:t>
      </w:r>
    </w:p>
    <w:p w:rsidR="00B24A16" w:rsidRDefault="00551129" w:rsidP="00784AF0">
      <w:pPr>
        <w:spacing w:after="0" w:line="240" w:lineRule="auto"/>
        <w:jc w:val="center"/>
        <w:rPr>
          <w:lang w:val="en-US"/>
        </w:rPr>
      </w:pPr>
      <w:r>
        <w:object w:dxaOrig="4845" w:dyaOrig="3015">
          <v:shape id="_x0000_i1076" type="#_x0000_t75" style="width:227.25pt;height:141pt" o:ole="">
            <v:imagedata r:id="rId101" o:title=""/>
          </v:shape>
          <o:OLEObject Type="Embed" ProgID="EViews.Workfile.2" ShapeID="_x0000_i1076" DrawAspect="Content" ObjectID="_1530554976" r:id="rId102"/>
        </w:object>
      </w:r>
    </w:p>
    <w:p w:rsidR="00B24A16" w:rsidRDefault="00B24A16" w:rsidP="00784AF0">
      <w:pPr>
        <w:spacing w:after="0" w:line="240" w:lineRule="auto"/>
        <w:jc w:val="center"/>
        <w:rPr>
          <w:rFonts w:ascii="Times New Roman" w:hAnsi="Times New Roman" w:cs="Times New Roman"/>
          <w:sz w:val="20"/>
          <w:szCs w:val="20"/>
          <w:lang w:val="en-US"/>
        </w:rPr>
      </w:pPr>
      <w:r>
        <w:rPr>
          <w:rFonts w:ascii="Times New Roman" w:hAnsi="Times New Roman" w:cs="Times New Roman"/>
          <w:b/>
          <w:sz w:val="20"/>
          <w:szCs w:val="20"/>
          <w:lang w:val="en-US"/>
        </w:rPr>
        <w:t>Fig. 1:</w:t>
      </w:r>
      <w:r>
        <w:rPr>
          <w:rFonts w:ascii="Times New Roman" w:hAnsi="Times New Roman" w:cs="Times New Roman"/>
          <w:sz w:val="20"/>
          <w:szCs w:val="20"/>
          <w:lang w:val="en-US"/>
        </w:rPr>
        <w:t xml:space="preserve"> Generalized response-impulse function. Response of </w:t>
      </w:r>
      <w:r>
        <w:rPr>
          <w:rFonts w:ascii="Times New Roman" w:hAnsi="Times New Roman" w:cs="Times New Roman"/>
          <w:i/>
          <w:sz w:val="20"/>
          <w:szCs w:val="20"/>
          <w:lang w:val="en-US"/>
        </w:rPr>
        <w:t>u</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p>
    <w:p w:rsidR="00CD5096" w:rsidRDefault="00CD5096" w:rsidP="00784AF0">
      <w:pPr>
        <w:spacing w:after="0" w:line="240" w:lineRule="auto"/>
        <w:jc w:val="center"/>
        <w:rPr>
          <w:lang w:val="en-US"/>
        </w:rPr>
      </w:pPr>
    </w:p>
    <w:p w:rsidR="00B24A16" w:rsidRDefault="00551129" w:rsidP="00784AF0">
      <w:pPr>
        <w:spacing w:after="0" w:line="240" w:lineRule="auto"/>
        <w:jc w:val="center"/>
        <w:rPr>
          <w:lang w:val="en-US"/>
        </w:rPr>
      </w:pPr>
      <w:r>
        <w:rPr>
          <w:lang w:val="en-US"/>
        </w:rPr>
        <w:object w:dxaOrig="4830" w:dyaOrig="3000">
          <v:shape id="_x0000_i1077" type="#_x0000_t75" style="width:225.75pt;height:140.25pt" o:ole="">
            <v:imagedata r:id="rId103" o:title=""/>
          </v:shape>
          <o:OLEObject Type="Embed" ProgID="EViews.Workfile.2" ShapeID="_x0000_i1077" DrawAspect="Content" ObjectID="_1530554977" r:id="rId104"/>
        </w:object>
      </w:r>
    </w:p>
    <w:p w:rsidR="00B24A16" w:rsidRDefault="00B24A16" w:rsidP="00784AF0">
      <w:pPr>
        <w:spacing w:after="0" w:line="240" w:lineRule="auto"/>
        <w:jc w:val="center"/>
        <w:rPr>
          <w:rFonts w:ascii="Times New Roman" w:hAnsi="Times New Roman" w:cs="Times New Roman"/>
          <w:sz w:val="20"/>
          <w:szCs w:val="20"/>
          <w:lang w:val="en-US"/>
        </w:rPr>
      </w:pPr>
      <w:r>
        <w:rPr>
          <w:rFonts w:ascii="Times New Roman" w:hAnsi="Times New Roman" w:cs="Times New Roman"/>
          <w:b/>
          <w:sz w:val="20"/>
          <w:szCs w:val="20"/>
          <w:lang w:val="en-US"/>
        </w:rPr>
        <w:t>Fig. 2:</w:t>
      </w:r>
      <w:r>
        <w:rPr>
          <w:rFonts w:ascii="Times New Roman" w:hAnsi="Times New Roman" w:cs="Times New Roman"/>
          <w:sz w:val="20"/>
          <w:szCs w:val="20"/>
          <w:lang w:val="en-US"/>
        </w:rPr>
        <w:t xml:space="preserve"> Generalized response-impulse function. Response of </w:t>
      </w:r>
      <w:r>
        <w:rPr>
          <w:rFonts w:ascii="Times New Roman" w:hAnsi="Times New Roman" w:cs="Times New Roman"/>
          <w:i/>
          <w:sz w:val="20"/>
          <w:szCs w:val="20"/>
          <w:lang w:val="en-US"/>
        </w:rPr>
        <w:t>g</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p>
    <w:p w:rsidR="00CD5096" w:rsidRDefault="00CD5096" w:rsidP="00784AF0">
      <w:pPr>
        <w:spacing w:after="0" w:line="240" w:lineRule="auto"/>
        <w:jc w:val="center"/>
        <w:rPr>
          <w:lang w:val="en-US"/>
        </w:rPr>
      </w:pPr>
    </w:p>
    <w:p w:rsidR="00B24A16" w:rsidRDefault="00551129" w:rsidP="00784AF0">
      <w:pPr>
        <w:spacing w:after="0" w:line="240" w:lineRule="auto"/>
        <w:ind w:firstLine="708"/>
        <w:rPr>
          <w:lang w:val="en-US"/>
        </w:rPr>
      </w:pPr>
      <w:r>
        <w:rPr>
          <w:lang w:val="en-US"/>
        </w:rPr>
        <w:t xml:space="preserve">        </w:t>
      </w:r>
      <w:r w:rsidR="007C7DBB">
        <w:rPr>
          <w:lang w:val="en-US"/>
        </w:rPr>
        <w:t xml:space="preserve">        </w:t>
      </w:r>
      <w:r>
        <w:rPr>
          <w:lang w:val="en-US"/>
        </w:rPr>
        <w:t xml:space="preserve">               </w:t>
      </w:r>
      <w:r>
        <w:rPr>
          <w:lang w:val="en-US"/>
        </w:rPr>
        <w:object w:dxaOrig="4815" w:dyaOrig="2985">
          <v:shape id="_x0000_i1078" type="#_x0000_t75" style="width:228.75pt;height:141pt" o:ole="">
            <v:imagedata r:id="rId105" o:title=""/>
          </v:shape>
          <o:OLEObject Type="Embed" ProgID="EViews.Workfile.2" ShapeID="_x0000_i1078" DrawAspect="Content" ObjectID="_1530554978" r:id="rId106"/>
        </w:object>
      </w:r>
    </w:p>
    <w:p w:rsidR="00B24A16" w:rsidRDefault="00B24A16" w:rsidP="00784AF0">
      <w:pPr>
        <w:spacing w:after="0" w:line="240" w:lineRule="auto"/>
        <w:jc w:val="center"/>
        <w:rPr>
          <w:lang w:val="en-US"/>
        </w:rPr>
      </w:pPr>
      <w:r>
        <w:rPr>
          <w:rFonts w:ascii="Times New Roman" w:hAnsi="Times New Roman" w:cs="Times New Roman"/>
          <w:b/>
          <w:sz w:val="20"/>
          <w:szCs w:val="20"/>
          <w:lang w:val="en-US"/>
        </w:rPr>
        <w:t xml:space="preserve">  Fig. 3:</w:t>
      </w:r>
      <w:r>
        <w:rPr>
          <w:rFonts w:ascii="Times New Roman" w:hAnsi="Times New Roman" w:cs="Times New Roman"/>
          <w:sz w:val="20"/>
          <w:szCs w:val="20"/>
          <w:lang w:val="en-US"/>
        </w:rPr>
        <w:t xml:space="preserve"> Generalized response-impulse function. Response of </w:t>
      </w:r>
      <w:r>
        <w:rPr>
          <w:rFonts w:ascii="Times New Roman" w:hAnsi="Times New Roman" w:cs="Times New Roman"/>
          <w:i/>
          <w:sz w:val="20"/>
          <w:szCs w:val="20"/>
          <w:lang w:val="en-US"/>
        </w:rPr>
        <w:t>g</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u</w:t>
      </w:r>
      <w:r>
        <w:rPr>
          <w:rFonts w:ascii="Times New Roman" w:hAnsi="Times New Roman" w:cs="Times New Roman"/>
          <w:sz w:val="20"/>
          <w:szCs w:val="20"/>
          <w:lang w:val="en-US"/>
        </w:rPr>
        <w:t xml:space="preserve"> shocks.  </w:t>
      </w:r>
    </w:p>
    <w:p w:rsidR="00B24A16" w:rsidRDefault="00B24A16" w:rsidP="00784AF0">
      <w:pPr>
        <w:spacing w:line="240" w:lineRule="auto"/>
        <w:ind w:firstLine="708"/>
        <w:jc w:val="center"/>
        <w:rPr>
          <w:rFonts w:ascii="Times New Roman" w:hAnsi="Times New Roman" w:cs="Times New Roman"/>
          <w:sz w:val="24"/>
          <w:szCs w:val="24"/>
          <w:lang w:val="en-US"/>
        </w:rPr>
      </w:pP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main results </w:t>
      </w:r>
      <w:r w:rsidR="00CD5096">
        <w:rPr>
          <w:rFonts w:ascii="Times New Roman" w:hAnsi="Times New Roman" w:cs="Times New Roman"/>
          <w:sz w:val="24"/>
          <w:szCs w:val="24"/>
          <w:lang w:val="en-US"/>
        </w:rPr>
        <w:t>emerge</w:t>
      </w:r>
      <w:r>
        <w:rPr>
          <w:rFonts w:ascii="Times New Roman" w:hAnsi="Times New Roman" w:cs="Times New Roman"/>
          <w:sz w:val="24"/>
          <w:szCs w:val="24"/>
          <w:lang w:val="en-US"/>
        </w:rPr>
        <w:t xml:space="preserve"> from this aggregative model. First, profit share shocks provoke a positive and significant impact on economic growth at the time that shocks occur. From the second year and after, however, the impact of profit-share shocks on economic growth becomes statistically null. This result suggests that when the income distribution improves (</w:t>
      </w:r>
      <w:r w:rsidR="00BB44BD">
        <w:rPr>
          <w:rFonts w:ascii="Times New Roman" w:hAnsi="Times New Roman" w:cs="Times New Roman"/>
          <w:sz w:val="24"/>
          <w:szCs w:val="24"/>
          <w:lang w:val="en-US"/>
        </w:rPr>
        <w:t>towards</w:t>
      </w:r>
      <w:r>
        <w:rPr>
          <w:rFonts w:ascii="Times New Roman" w:hAnsi="Times New Roman" w:cs="Times New Roman"/>
          <w:sz w:val="24"/>
          <w:szCs w:val="24"/>
          <w:lang w:val="en-US"/>
        </w:rPr>
        <w:t xml:space="preserve"> wages) the rate of economic growth decrease. In this sense, according to the definition exposed on section two, we conclude that the </w:t>
      </w:r>
      <w:r w:rsidR="009B21E8">
        <w:rPr>
          <w:rFonts w:ascii="Times New Roman" w:hAnsi="Times New Roman" w:cs="Times New Roman"/>
          <w:sz w:val="24"/>
          <w:szCs w:val="24"/>
          <w:lang w:val="en-US"/>
        </w:rPr>
        <w:t xml:space="preserve">growth regime of the </w:t>
      </w:r>
      <w:r>
        <w:rPr>
          <w:rFonts w:ascii="Times New Roman" w:hAnsi="Times New Roman" w:cs="Times New Roman"/>
          <w:sz w:val="24"/>
          <w:szCs w:val="24"/>
          <w:lang w:val="en-US"/>
        </w:rPr>
        <w:t xml:space="preserve">Brazilian economy can be defined as profit-led. The second result shows a positive response on the </w:t>
      </w:r>
      <w:r w:rsidR="009F1ABB">
        <w:rPr>
          <w:rFonts w:ascii="Times New Roman" w:hAnsi="Times New Roman" w:cs="Times New Roman"/>
          <w:sz w:val="24"/>
          <w:szCs w:val="24"/>
          <w:lang w:val="en-US"/>
        </w:rPr>
        <w:t>rate</w:t>
      </w:r>
      <w:r>
        <w:rPr>
          <w:rFonts w:ascii="Times New Roman" w:hAnsi="Times New Roman" w:cs="Times New Roman"/>
          <w:sz w:val="24"/>
          <w:szCs w:val="24"/>
          <w:lang w:val="en-US"/>
        </w:rPr>
        <w:t xml:space="preserve"> of capacity utilization to profit share shocks, and this response is statistically significant until the second period. According to the definition presented in the section two, this result provide</w:t>
      </w:r>
      <w:r w:rsidR="00A017ED">
        <w:rPr>
          <w:rFonts w:ascii="Times New Roman" w:hAnsi="Times New Roman" w:cs="Times New Roman"/>
          <w:sz w:val="24"/>
          <w:szCs w:val="24"/>
          <w:lang w:val="en-US"/>
        </w:rPr>
        <w:t>s</w:t>
      </w:r>
      <w:r>
        <w:rPr>
          <w:rFonts w:ascii="Times New Roman" w:hAnsi="Times New Roman" w:cs="Times New Roman"/>
          <w:sz w:val="24"/>
          <w:szCs w:val="24"/>
          <w:lang w:val="en-US"/>
        </w:rPr>
        <w:t xml:space="preserve"> evidence in favor to a</w:t>
      </w:r>
      <w:r w:rsidR="007C7DBB">
        <w:rPr>
          <w:rFonts w:ascii="Times New Roman" w:hAnsi="Times New Roman" w:cs="Times New Roman"/>
          <w:sz w:val="24"/>
          <w:szCs w:val="24"/>
          <w:lang w:val="en-US"/>
        </w:rPr>
        <w:t xml:space="preserve"> </w:t>
      </w:r>
      <w:r w:rsidR="007C7DBB">
        <w:rPr>
          <w:rFonts w:ascii="Times New Roman" w:eastAsia="Times New Roman" w:hAnsi="Times New Roman" w:cs="Times New Roman"/>
          <w:sz w:val="24"/>
          <w:szCs w:val="24"/>
          <w:lang w:val="en-US" w:eastAsia="pt-BR"/>
        </w:rPr>
        <w:t xml:space="preserve">‘non-stagnationist’ </w:t>
      </w:r>
      <w:r>
        <w:rPr>
          <w:rFonts w:ascii="Times New Roman" w:eastAsia="Times New Roman" w:hAnsi="Times New Roman" w:cs="Times New Roman"/>
          <w:sz w:val="24"/>
          <w:szCs w:val="24"/>
          <w:lang w:val="en-US" w:eastAsia="pt-BR"/>
        </w:rPr>
        <w:t xml:space="preserve">pattern in the Brazilian economy. The third result shows the existence of accelerator effect in the Brazilian economy, so that the effect on output growth due to capacity utilization shocks is positive and statistically significant until the second period. Here is important to note that the effect on output growth due to capacity utilization shocks is twice stronger than that due to profit share shocks.     </w:t>
      </w:r>
      <w:r>
        <w:rPr>
          <w:rFonts w:ascii="Times New Roman" w:hAnsi="Times New Roman" w:cs="Times New Roman"/>
          <w:sz w:val="24"/>
          <w:szCs w:val="24"/>
          <w:lang w:val="en-US"/>
        </w:rPr>
        <w:t xml:space="preserve">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verify whether </w:t>
      </w:r>
      <w:r w:rsidR="00CD5096">
        <w:rPr>
          <w:rFonts w:ascii="Times New Roman" w:hAnsi="Times New Roman" w:cs="Times New Roman"/>
          <w:sz w:val="24"/>
          <w:szCs w:val="24"/>
          <w:lang w:val="en-US"/>
        </w:rPr>
        <w:t>the</w:t>
      </w:r>
      <w:r>
        <w:rPr>
          <w:rFonts w:ascii="Times New Roman" w:hAnsi="Times New Roman" w:cs="Times New Roman"/>
          <w:sz w:val="24"/>
          <w:szCs w:val="24"/>
          <w:lang w:val="en-US"/>
        </w:rPr>
        <w:t xml:space="preserve"> results showed previously are robust, we also have considered nine alternative specifications: ROB1) one bivariate VAR with </w:t>
      </w:r>
      <w:r>
        <w:rPr>
          <w:rFonts w:ascii="Times New Roman" w:hAnsi="Times New Roman" w:cs="Times New Roman"/>
          <w:i/>
          <w:sz w:val="24"/>
          <w:szCs w:val="24"/>
          <w:lang w:val="en-US"/>
        </w:rPr>
        <w:t>π</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g</w:t>
      </w:r>
      <w:r>
        <w:rPr>
          <w:rFonts w:ascii="Times New Roman" w:hAnsi="Times New Roman" w:cs="Times New Roman"/>
          <w:sz w:val="24"/>
          <w:szCs w:val="24"/>
          <w:lang w:val="en-US"/>
        </w:rPr>
        <w:t xml:space="preserve">; ROB2) one bivariate VAR with </w:t>
      </w:r>
      <w:r>
        <w:rPr>
          <w:rFonts w:ascii="Times New Roman" w:hAnsi="Times New Roman" w:cs="Times New Roman"/>
          <w:i/>
          <w:sz w:val="24"/>
          <w:szCs w:val="24"/>
          <w:lang w:val="en-US"/>
        </w:rPr>
        <w:t>π</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u</w:t>
      </w:r>
      <w:r>
        <w:rPr>
          <w:rFonts w:ascii="Times New Roman" w:hAnsi="Times New Roman" w:cs="Times New Roman"/>
          <w:sz w:val="24"/>
          <w:szCs w:val="24"/>
          <w:lang w:val="en-US"/>
        </w:rPr>
        <w:t>; ROB3) a Bayesian VAR with the Litterman-Minnesota prior</w:t>
      </w:r>
      <w:r>
        <w:rPr>
          <w:rStyle w:val="Refdenotaderodap"/>
          <w:rFonts w:ascii="Times New Roman" w:hAnsi="Times New Roman" w:cs="Times New Roman"/>
          <w:sz w:val="24"/>
          <w:szCs w:val="24"/>
          <w:lang w:val="en-US"/>
        </w:rPr>
        <w:footnoteReference w:id="9"/>
      </w:r>
      <w:r>
        <w:rPr>
          <w:rFonts w:ascii="Times New Roman" w:hAnsi="Times New Roman" w:cs="Times New Roman"/>
          <w:sz w:val="24"/>
          <w:szCs w:val="24"/>
          <w:lang w:val="en-US"/>
        </w:rPr>
        <w:t xml:space="preserve">; ROB4) a model with </w:t>
      </w:r>
      <w:r>
        <w:rPr>
          <w:rFonts w:ascii="Times New Roman" w:hAnsi="Times New Roman" w:cs="Times New Roman"/>
          <w:i/>
          <w:sz w:val="24"/>
          <w:szCs w:val="24"/>
          <w:lang w:val="en-US"/>
        </w:rPr>
        <w:t>π</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u</w:t>
      </w:r>
      <w:r>
        <w:rPr>
          <w:rFonts w:ascii="Times New Roman" w:hAnsi="Times New Roman" w:cs="Times New Roman"/>
          <w:sz w:val="24"/>
          <w:szCs w:val="24"/>
          <w:lang w:val="en-US"/>
        </w:rPr>
        <w:t xml:space="preserve"> and capital accumulation</w:t>
      </w:r>
      <w:r>
        <w:rPr>
          <w:rStyle w:val="Refdenotaderodap"/>
          <w:rFonts w:ascii="Times New Roman" w:hAnsi="Times New Roman" w:cs="Times New Roman"/>
          <w:sz w:val="24"/>
          <w:szCs w:val="24"/>
          <w:lang w:val="en-US"/>
        </w:rPr>
        <w:footnoteReference w:id="10"/>
      </w:r>
      <w:r>
        <w:rPr>
          <w:rFonts w:ascii="Times New Roman" w:hAnsi="Times New Roman" w:cs="Times New Roman"/>
          <w:sz w:val="24"/>
          <w:szCs w:val="24"/>
          <w:lang w:val="en-US"/>
        </w:rPr>
        <w:t xml:space="preserve"> (defined as </w:t>
      </w:r>
      <w:r>
        <w:rPr>
          <w:rFonts w:ascii="Times New Roman" w:hAnsi="Times New Roman" w:cs="Times New Roman"/>
          <w:i/>
          <w:sz w:val="24"/>
          <w:szCs w:val="24"/>
          <w:lang w:val="en-US"/>
        </w:rPr>
        <w:t>I/K</w:t>
      </w:r>
      <w:r>
        <w:rPr>
          <w:rFonts w:ascii="Times New Roman" w:hAnsi="Times New Roman" w:cs="Times New Roman"/>
          <w:sz w:val="24"/>
          <w:szCs w:val="24"/>
          <w:lang w:val="en-US"/>
        </w:rPr>
        <w:t xml:space="preserve">); ROB5) one bivariate VAR with </w:t>
      </w:r>
      <w:r>
        <w:rPr>
          <w:rFonts w:ascii="Times New Roman" w:hAnsi="Times New Roman" w:cs="Times New Roman"/>
          <w:i/>
          <w:sz w:val="24"/>
          <w:szCs w:val="24"/>
          <w:lang w:val="en-US"/>
        </w:rPr>
        <w:t>π</w:t>
      </w:r>
      <w:r>
        <w:rPr>
          <w:rFonts w:ascii="Times New Roman" w:hAnsi="Times New Roman" w:cs="Times New Roman"/>
          <w:sz w:val="24"/>
          <w:szCs w:val="24"/>
          <w:lang w:val="en-US"/>
        </w:rPr>
        <w:t xml:space="preserve"> and capital accumulation; ROB6) the standard specification with two lags; ROB7) a model with </w:t>
      </w:r>
      <w:r>
        <w:rPr>
          <w:rFonts w:ascii="Times New Roman" w:hAnsi="Times New Roman" w:cs="Times New Roman"/>
          <w:i/>
          <w:sz w:val="24"/>
          <w:szCs w:val="24"/>
          <w:lang w:val="en-US"/>
        </w:rPr>
        <w:t>π</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w:t>
      </w:r>
      <w:r>
        <w:rPr>
          <w:rFonts w:ascii="Times New Roman" w:hAnsi="Times New Roman" w:cs="Times New Roman"/>
          <w:sz w:val="24"/>
          <w:szCs w:val="24"/>
          <w:lang w:val="en-US"/>
        </w:rPr>
        <w:t xml:space="preserve"> and the ratio between actual output and potential output</w:t>
      </w:r>
      <w:r>
        <w:rPr>
          <w:rStyle w:val="Refdenotaderodap"/>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ROB8) the previous </w:t>
      </w:r>
      <w:r>
        <w:rPr>
          <w:rFonts w:ascii="Times New Roman" w:hAnsi="Times New Roman" w:cs="Times New Roman"/>
          <w:sz w:val="24"/>
          <w:szCs w:val="24"/>
          <w:lang w:val="en-US"/>
        </w:rPr>
        <w:lastRenderedPageBreak/>
        <w:t xml:space="preserve">model, but with the potential output based on </w:t>
      </w:r>
      <w:proofErr w:type="spellStart"/>
      <w:r>
        <w:rPr>
          <w:rFonts w:ascii="Times New Roman" w:hAnsi="Times New Roman" w:cs="Times New Roman"/>
          <w:sz w:val="24"/>
          <w:szCs w:val="24"/>
          <w:lang w:val="en-US"/>
        </w:rPr>
        <w:t>Hodrick</w:t>
      </w:r>
      <w:proofErr w:type="spellEnd"/>
      <w:r>
        <w:rPr>
          <w:rFonts w:ascii="Times New Roman" w:hAnsi="Times New Roman" w:cs="Times New Roman"/>
          <w:sz w:val="24"/>
          <w:szCs w:val="24"/>
          <w:lang w:val="en-US"/>
        </w:rPr>
        <w:t>-Prescott filter (λ=100); ROB9) the standard specification with the terms of trade</w:t>
      </w:r>
      <w:r>
        <w:rPr>
          <w:rStyle w:val="Refdenotaderodap"/>
          <w:rFonts w:ascii="Times New Roman" w:hAnsi="Times New Roman" w:cs="Times New Roman"/>
          <w:sz w:val="24"/>
          <w:szCs w:val="24"/>
          <w:lang w:val="en-US"/>
        </w:rPr>
        <w:footnoteReference w:id="12"/>
      </w:r>
      <w:r>
        <w:rPr>
          <w:rFonts w:ascii="Times New Roman" w:hAnsi="Times New Roman" w:cs="Times New Roman"/>
          <w:sz w:val="24"/>
          <w:szCs w:val="24"/>
          <w:lang w:val="en-US"/>
        </w:rPr>
        <w:t xml:space="preserve"> as a exogenous variable.  </w:t>
      </w:r>
    </w:p>
    <w:p w:rsidR="00B24A16"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main results provided by the standard specification can be verified in all alternative models</w:t>
      </w:r>
      <w:r>
        <w:rPr>
          <w:rStyle w:val="Refdenotaderodap"/>
          <w:rFonts w:ascii="Times New Roman" w:hAnsi="Times New Roman" w:cs="Times New Roman"/>
          <w:sz w:val="24"/>
          <w:szCs w:val="24"/>
          <w:lang w:val="en-US"/>
        </w:rPr>
        <w:footnoteReference w:id="13"/>
      </w:r>
      <w:r>
        <w:rPr>
          <w:rFonts w:ascii="Times New Roman" w:hAnsi="Times New Roman" w:cs="Times New Roman"/>
          <w:sz w:val="24"/>
          <w:szCs w:val="24"/>
          <w:lang w:val="en-US"/>
        </w:rPr>
        <w:t>, both in terms of punctual responses and in terms of statistical significance</w:t>
      </w:r>
      <w:r w:rsidR="00D27E10">
        <w:rPr>
          <w:rFonts w:ascii="Times New Roman" w:hAnsi="Times New Roman" w:cs="Times New Roman"/>
          <w:sz w:val="24"/>
          <w:szCs w:val="24"/>
          <w:lang w:val="en-US"/>
        </w:rPr>
        <w:t>. This suggests that our empirical model is robust</w:t>
      </w:r>
      <w:r>
        <w:rPr>
          <w:rFonts w:ascii="Times New Roman" w:hAnsi="Times New Roman" w:cs="Times New Roman"/>
          <w:sz w:val="24"/>
          <w:szCs w:val="24"/>
          <w:lang w:val="en-US"/>
        </w:rPr>
        <w:t xml:space="preserve">. Furthermore, three other interesting results can be verified. First, in the ROB4 and ROB5 models we can note that profit share shocks affect the capital accumulation positively, but this impact is not statistically significant in both models. Second, in the ROB7 and ROB8 models we verify that profit share shocks affect positively the ratio between actual output and potential output at the moment that the shock occurs. In the ROB8 model the impact of profit share shock converge to zero faster than in the ROB7 model, but in both models the profit share shock becomes statistically null in the third period and after that. Third, in the models that we considered the variable </w:t>
      </w:r>
      <w:r>
        <w:rPr>
          <w:rFonts w:ascii="Times New Roman" w:hAnsi="Times New Roman" w:cs="Times New Roman"/>
          <w:i/>
          <w:sz w:val="24"/>
          <w:szCs w:val="24"/>
          <w:lang w:val="en-US"/>
        </w:rPr>
        <w:t xml:space="preserve">u </w:t>
      </w:r>
      <w:r w:rsidR="009B21E8">
        <w:rPr>
          <w:rFonts w:ascii="Times New Roman" w:hAnsi="Times New Roman" w:cs="Times New Roman"/>
          <w:sz w:val="24"/>
          <w:szCs w:val="24"/>
          <w:lang w:val="en-US"/>
        </w:rPr>
        <w:t>it i</w:t>
      </w:r>
      <w:r>
        <w:rPr>
          <w:rFonts w:ascii="Times New Roman" w:hAnsi="Times New Roman" w:cs="Times New Roman"/>
          <w:sz w:val="24"/>
          <w:szCs w:val="24"/>
          <w:lang w:val="en-US"/>
        </w:rPr>
        <w:t xml:space="preserve">s possible to note that capacity utilization shock affect positively both the output growth and the capital accumulation (validating the accelerator effect).  </w:t>
      </w:r>
    </w:p>
    <w:p w:rsidR="00B24A16" w:rsidRDefault="00B24A16" w:rsidP="00784AF0">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5. Conclu</w:t>
      </w:r>
      <w:r w:rsidR="00533D22">
        <w:rPr>
          <w:rFonts w:ascii="Times New Roman" w:hAnsi="Times New Roman" w:cs="Times New Roman"/>
          <w:b/>
          <w:sz w:val="24"/>
          <w:szCs w:val="24"/>
          <w:lang w:val="en-US"/>
        </w:rPr>
        <w:t xml:space="preserve">ding Remarks </w:t>
      </w:r>
    </w:p>
    <w:p w:rsidR="00B24A16" w:rsidRDefault="003B54F3" w:rsidP="00784AF0">
      <w:pPr>
        <w:spacing w:line="240" w:lineRule="auto"/>
        <w:jc w:val="both"/>
        <w:rPr>
          <w:rFonts w:ascii="Times New Roman" w:hAnsi="Times New Roman" w:cs="Times New Roman"/>
          <w:b/>
          <w:sz w:val="24"/>
          <w:szCs w:val="24"/>
          <w:lang w:val="en-US"/>
        </w:rPr>
      </w:pPr>
      <w:r w:rsidRPr="008B7B52">
        <w:rPr>
          <w:rFonts w:ascii="Times New Roman" w:eastAsia="Times New Roman" w:hAnsi="Times New Roman" w:cs="Times New Roman"/>
          <w:sz w:val="24"/>
          <w:szCs w:val="24"/>
          <w:lang w:val="en-GB" w:eastAsia="pt-BR"/>
        </w:rPr>
        <w:t xml:space="preserve">The </w:t>
      </w:r>
      <w:r>
        <w:rPr>
          <w:rFonts w:ascii="Times New Roman" w:eastAsia="Times New Roman" w:hAnsi="Times New Roman" w:cs="Times New Roman"/>
          <w:sz w:val="24"/>
          <w:szCs w:val="24"/>
          <w:lang w:val="en-GB" w:eastAsia="pt-BR"/>
        </w:rPr>
        <w:t>aim</w:t>
      </w:r>
      <w:r w:rsidRPr="008B7B52">
        <w:rPr>
          <w:rFonts w:ascii="Times New Roman" w:eastAsia="Times New Roman" w:hAnsi="Times New Roman" w:cs="Times New Roman"/>
          <w:sz w:val="24"/>
          <w:szCs w:val="24"/>
          <w:lang w:val="en-GB" w:eastAsia="pt-BR"/>
        </w:rPr>
        <w:t xml:space="preserve"> of this paper was to empirically </w:t>
      </w:r>
      <w:r>
        <w:rPr>
          <w:rFonts w:ascii="Times New Roman" w:eastAsia="Times New Roman" w:hAnsi="Times New Roman" w:cs="Times New Roman"/>
          <w:sz w:val="24"/>
          <w:szCs w:val="24"/>
          <w:lang w:val="en-GB" w:eastAsia="pt-BR"/>
        </w:rPr>
        <w:t>test</w:t>
      </w:r>
      <w:r w:rsidRPr="008B7B52">
        <w:rPr>
          <w:rFonts w:ascii="Times New Roman" w:eastAsia="Times New Roman" w:hAnsi="Times New Roman" w:cs="Times New Roman"/>
          <w:sz w:val="24"/>
          <w:szCs w:val="24"/>
          <w:lang w:val="en-GB" w:eastAsia="pt-BR"/>
        </w:rPr>
        <w:t xml:space="preserve"> for the </w:t>
      </w:r>
      <w:r>
        <w:rPr>
          <w:rFonts w:ascii="Times New Roman" w:eastAsia="Times New Roman" w:hAnsi="Times New Roman" w:cs="Times New Roman"/>
          <w:sz w:val="24"/>
          <w:szCs w:val="24"/>
          <w:lang w:val="en-GB" w:eastAsia="pt-BR"/>
        </w:rPr>
        <w:t>Brazilian</w:t>
      </w:r>
      <w:r w:rsidRPr="008B7B52">
        <w:rPr>
          <w:rFonts w:ascii="Times New Roman" w:eastAsia="Times New Roman" w:hAnsi="Times New Roman" w:cs="Times New Roman"/>
          <w:sz w:val="24"/>
          <w:szCs w:val="24"/>
          <w:lang w:val="en-GB" w:eastAsia="pt-BR"/>
        </w:rPr>
        <w:t xml:space="preserve"> economy,</w:t>
      </w:r>
      <w:r>
        <w:rPr>
          <w:rFonts w:ascii="Times New Roman" w:eastAsia="Times New Roman" w:hAnsi="Times New Roman" w:cs="Times New Roman"/>
          <w:sz w:val="24"/>
          <w:szCs w:val="24"/>
          <w:lang w:val="en-GB" w:eastAsia="pt-BR"/>
        </w:rPr>
        <w:t xml:space="preserve"> the</w:t>
      </w:r>
      <w:r w:rsidRPr="008B7B52">
        <w:rPr>
          <w:rFonts w:ascii="Times New Roman" w:eastAsia="Times New Roman" w:hAnsi="Times New Roman" w:cs="Times New Roman"/>
          <w:sz w:val="24"/>
          <w:szCs w:val="24"/>
          <w:lang w:val="en-GB" w:eastAsia="pt-BR"/>
        </w:rPr>
        <w:t xml:space="preserve"> </w:t>
      </w:r>
      <w:r w:rsidR="00C77EDC">
        <w:rPr>
          <w:rFonts w:ascii="Times New Roman" w:eastAsia="Times New Roman" w:hAnsi="Times New Roman" w:cs="Times New Roman"/>
          <w:sz w:val="24"/>
          <w:szCs w:val="24"/>
          <w:lang w:val="en-GB" w:eastAsia="pt-BR"/>
        </w:rPr>
        <w:t>P</w:t>
      </w:r>
      <w:r>
        <w:rPr>
          <w:rFonts w:ascii="Times New Roman" w:eastAsia="Times New Roman" w:hAnsi="Times New Roman" w:cs="Times New Roman"/>
          <w:sz w:val="24"/>
          <w:szCs w:val="24"/>
          <w:lang w:val="en-GB" w:eastAsia="pt-BR"/>
        </w:rPr>
        <w:t>ost-</w:t>
      </w:r>
      <w:r w:rsidRPr="008B7B52">
        <w:rPr>
          <w:rFonts w:ascii="Times New Roman" w:eastAsia="Times New Roman" w:hAnsi="Times New Roman" w:cs="Times New Roman"/>
          <w:sz w:val="24"/>
          <w:szCs w:val="24"/>
          <w:lang w:val="en-GB" w:eastAsia="pt-BR"/>
        </w:rPr>
        <w:t>Kaleckian growth</w:t>
      </w:r>
      <w:r>
        <w:rPr>
          <w:rFonts w:ascii="Times New Roman" w:eastAsia="Times New Roman" w:hAnsi="Times New Roman" w:cs="Times New Roman"/>
          <w:sz w:val="24"/>
          <w:szCs w:val="24"/>
          <w:lang w:val="en-GB" w:eastAsia="pt-BR"/>
        </w:rPr>
        <w:t xml:space="preserve"> model</w:t>
      </w:r>
      <w:r w:rsidRPr="008B7B52">
        <w:rPr>
          <w:rFonts w:ascii="Times New Roman" w:eastAsia="Times New Roman" w:hAnsi="Times New Roman" w:cs="Times New Roman"/>
          <w:sz w:val="24"/>
          <w:szCs w:val="24"/>
          <w:lang w:val="en-GB" w:eastAsia="pt-BR"/>
        </w:rPr>
        <w:t xml:space="preserve"> that have been widely used to</w:t>
      </w:r>
      <w:r>
        <w:rPr>
          <w:rFonts w:ascii="Times New Roman" w:eastAsia="Times New Roman" w:hAnsi="Times New Roman" w:cs="Times New Roman"/>
          <w:sz w:val="24"/>
          <w:szCs w:val="24"/>
          <w:lang w:val="en-GB" w:eastAsia="pt-BR"/>
        </w:rPr>
        <w:t xml:space="preserve"> </w:t>
      </w:r>
      <w:r w:rsidRPr="008B7B52">
        <w:rPr>
          <w:rFonts w:ascii="Times New Roman" w:eastAsia="Times New Roman" w:hAnsi="Times New Roman" w:cs="Times New Roman"/>
          <w:sz w:val="24"/>
          <w:szCs w:val="24"/>
          <w:lang w:val="en-GB" w:eastAsia="pt-BR"/>
        </w:rPr>
        <w:t>assess the impact of different patterns of income distribution on economic performance.</w:t>
      </w:r>
      <w:r>
        <w:rPr>
          <w:rFonts w:ascii="Times New Roman" w:eastAsia="Times New Roman" w:hAnsi="Times New Roman" w:cs="Times New Roman"/>
          <w:sz w:val="24"/>
          <w:szCs w:val="24"/>
          <w:lang w:val="en-GB" w:eastAsia="pt-BR"/>
        </w:rPr>
        <w:t xml:space="preserve"> </w:t>
      </w:r>
      <w:r w:rsidR="00B24A16">
        <w:rPr>
          <w:rFonts w:ascii="Times New Roman" w:eastAsia="Times New Roman" w:hAnsi="Times New Roman" w:cs="Times New Roman"/>
          <w:sz w:val="24"/>
          <w:szCs w:val="24"/>
          <w:lang w:val="en-US" w:eastAsia="pt-BR"/>
        </w:rPr>
        <w:t xml:space="preserve">Starting </w:t>
      </w:r>
      <w:r w:rsidR="00BD5183">
        <w:rPr>
          <w:rFonts w:ascii="Times New Roman" w:eastAsia="Times New Roman" w:hAnsi="Times New Roman" w:cs="Times New Roman"/>
          <w:sz w:val="24"/>
          <w:szCs w:val="24"/>
          <w:lang w:val="en-US" w:eastAsia="pt-BR"/>
        </w:rPr>
        <w:t xml:space="preserve">from </w:t>
      </w:r>
      <w:r w:rsidR="00DD7620">
        <w:rPr>
          <w:rFonts w:ascii="Times New Roman" w:eastAsia="Times New Roman" w:hAnsi="Times New Roman" w:cs="Times New Roman"/>
          <w:sz w:val="24"/>
          <w:szCs w:val="24"/>
          <w:lang w:val="en-US" w:eastAsia="pt-BR"/>
        </w:rPr>
        <w:t xml:space="preserve">the </w:t>
      </w:r>
      <w:proofErr w:type="spellStart"/>
      <w:r w:rsidR="00DD7620">
        <w:rPr>
          <w:rFonts w:ascii="Times New Roman" w:hAnsi="Times New Roman"/>
          <w:sz w:val="24"/>
          <w:szCs w:val="24"/>
          <w:lang w:val="en-US"/>
        </w:rPr>
        <w:t>Bhaduri-Marglin</w:t>
      </w:r>
      <w:proofErr w:type="spellEnd"/>
      <w:r w:rsidR="00DD7620">
        <w:rPr>
          <w:rFonts w:ascii="Times New Roman" w:hAnsi="Times New Roman"/>
          <w:sz w:val="24"/>
          <w:szCs w:val="24"/>
          <w:lang w:val="en-US"/>
        </w:rPr>
        <w:t xml:space="preserve"> </w:t>
      </w:r>
      <w:r w:rsidR="00B24A16">
        <w:rPr>
          <w:rFonts w:ascii="Times New Roman" w:eastAsia="Times New Roman" w:hAnsi="Times New Roman" w:cs="Times New Roman"/>
          <w:sz w:val="24"/>
          <w:szCs w:val="24"/>
          <w:lang w:val="en-US" w:eastAsia="pt-BR"/>
        </w:rPr>
        <w:t xml:space="preserve">framework we </w:t>
      </w:r>
      <w:r w:rsidR="00DD7620">
        <w:rPr>
          <w:rFonts w:ascii="Times New Roman" w:eastAsia="Times New Roman" w:hAnsi="Times New Roman" w:cs="Times New Roman"/>
          <w:sz w:val="24"/>
          <w:szCs w:val="24"/>
          <w:lang w:val="en-US" w:eastAsia="pt-BR"/>
        </w:rPr>
        <w:t>estimated</w:t>
      </w:r>
      <w:r w:rsidR="00B24A16">
        <w:rPr>
          <w:rFonts w:ascii="Times New Roman" w:eastAsia="Times New Roman" w:hAnsi="Times New Roman" w:cs="Times New Roman"/>
          <w:sz w:val="24"/>
          <w:szCs w:val="24"/>
          <w:lang w:val="en-US" w:eastAsia="pt-BR"/>
        </w:rPr>
        <w:t xml:space="preserve"> a VAR model to investigate whether the Brazilian economy was profit-led or wage-led during the period 1970-2008. In this perspective, we follow some empirical works that used a </w:t>
      </w:r>
      <w:r w:rsidR="00C77EDC">
        <w:rPr>
          <w:rFonts w:ascii="Times New Roman" w:eastAsia="Times New Roman" w:hAnsi="Times New Roman" w:cs="Times New Roman"/>
          <w:sz w:val="24"/>
          <w:szCs w:val="24"/>
          <w:lang w:val="en-US" w:eastAsia="pt-BR"/>
        </w:rPr>
        <w:t>P</w:t>
      </w:r>
      <w:r w:rsidR="00B24A16">
        <w:rPr>
          <w:rFonts w:ascii="Times New Roman" w:eastAsia="Times New Roman" w:hAnsi="Times New Roman" w:cs="Times New Roman"/>
          <w:sz w:val="24"/>
          <w:szCs w:val="24"/>
          <w:lang w:val="en-US" w:eastAsia="pt-BR"/>
        </w:rPr>
        <w:t xml:space="preserve">ost-Kaleckian structure </w:t>
      </w:r>
      <w:r w:rsidR="009F1ABB">
        <w:rPr>
          <w:rFonts w:ascii="Times New Roman" w:eastAsia="Times New Roman" w:hAnsi="Times New Roman" w:cs="Times New Roman"/>
          <w:sz w:val="24"/>
          <w:szCs w:val="24"/>
          <w:lang w:val="en-US" w:eastAsia="pt-BR"/>
        </w:rPr>
        <w:t>that have been provided</w:t>
      </w:r>
      <w:r w:rsidR="00B24A16">
        <w:rPr>
          <w:rFonts w:ascii="Times New Roman" w:eastAsia="Times New Roman" w:hAnsi="Times New Roman" w:cs="Times New Roman"/>
          <w:sz w:val="24"/>
          <w:szCs w:val="24"/>
          <w:lang w:val="en-US" w:eastAsia="pt-BR"/>
        </w:rPr>
        <w:t xml:space="preserve"> some insights about t</w:t>
      </w:r>
      <w:r w:rsidR="00784AF0">
        <w:rPr>
          <w:rFonts w:ascii="Times New Roman" w:eastAsia="Times New Roman" w:hAnsi="Times New Roman" w:cs="Times New Roman"/>
          <w:sz w:val="24"/>
          <w:szCs w:val="24"/>
          <w:lang w:val="en-US" w:eastAsia="pt-BR"/>
        </w:rPr>
        <w:t>he Brazilian growth experience [</w:t>
      </w:r>
      <w:proofErr w:type="spellStart"/>
      <w:r w:rsidR="00B24A16">
        <w:rPr>
          <w:rFonts w:ascii="Times New Roman" w:hAnsi="Times New Roman" w:cs="Times New Roman"/>
          <w:color w:val="000000"/>
          <w:sz w:val="24"/>
          <w:szCs w:val="24"/>
          <w:shd w:val="clear" w:color="auto" w:fill="FFFFFF"/>
          <w:lang w:val="en-US"/>
        </w:rPr>
        <w:t>Araújo</w:t>
      </w:r>
      <w:proofErr w:type="spellEnd"/>
      <w:r w:rsidR="00B24A16">
        <w:rPr>
          <w:rFonts w:ascii="Times New Roman" w:hAnsi="Times New Roman" w:cs="Times New Roman"/>
          <w:color w:val="000000"/>
          <w:sz w:val="24"/>
          <w:szCs w:val="24"/>
          <w:shd w:val="clear" w:color="auto" w:fill="FFFFFF"/>
          <w:lang w:val="en-US"/>
        </w:rPr>
        <w:t xml:space="preserve"> and Gala </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2012</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 xml:space="preserve"> Oreiro</w:t>
      </w:r>
      <w:r w:rsidR="00533D22">
        <w:rPr>
          <w:rFonts w:ascii="Times New Roman" w:hAnsi="Times New Roman" w:cs="Times New Roman"/>
          <w:color w:val="000000"/>
          <w:sz w:val="24"/>
          <w:szCs w:val="24"/>
          <w:shd w:val="clear" w:color="auto" w:fill="FFFFFF"/>
          <w:lang w:val="en-US"/>
        </w:rPr>
        <w:t xml:space="preserve"> and</w:t>
      </w:r>
      <w:r w:rsidR="00B24A16">
        <w:rPr>
          <w:rFonts w:ascii="Times New Roman" w:hAnsi="Times New Roman" w:cs="Times New Roman"/>
          <w:color w:val="000000"/>
          <w:sz w:val="24"/>
          <w:szCs w:val="24"/>
          <w:shd w:val="clear" w:color="auto" w:fill="FFFFFF"/>
          <w:lang w:val="en-US"/>
        </w:rPr>
        <w:t xml:space="preserve"> Araujo </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2013</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 xml:space="preserve"> </w:t>
      </w:r>
      <w:proofErr w:type="spellStart"/>
      <w:r w:rsidR="00B24A16">
        <w:rPr>
          <w:rFonts w:ascii="Times New Roman" w:hAnsi="Times New Roman" w:cs="Times New Roman"/>
          <w:color w:val="000000"/>
          <w:sz w:val="24"/>
          <w:szCs w:val="24"/>
          <w:shd w:val="clear" w:color="auto" w:fill="FFFFFF"/>
          <w:lang w:val="en-US"/>
        </w:rPr>
        <w:t>Morrone</w:t>
      </w:r>
      <w:proofErr w:type="spellEnd"/>
      <w:r w:rsidR="00B24A16">
        <w:rPr>
          <w:rFonts w:ascii="Times New Roman" w:hAnsi="Times New Roman" w:cs="Times New Roman"/>
          <w:color w:val="000000"/>
          <w:sz w:val="24"/>
          <w:szCs w:val="24"/>
          <w:shd w:val="clear" w:color="auto" w:fill="FFFFFF"/>
          <w:lang w:val="en-US"/>
        </w:rPr>
        <w:t xml:space="preserve"> </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2015</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 xml:space="preserve"> and </w:t>
      </w:r>
      <w:proofErr w:type="spellStart"/>
      <w:r w:rsidR="00B24A16">
        <w:rPr>
          <w:rFonts w:ascii="Times New Roman" w:hAnsi="Times New Roman" w:cs="Times New Roman"/>
          <w:color w:val="000000"/>
          <w:sz w:val="24"/>
          <w:szCs w:val="24"/>
          <w:shd w:val="clear" w:color="auto" w:fill="FFFFFF"/>
          <w:lang w:val="en-US"/>
        </w:rPr>
        <w:t>Feijó</w:t>
      </w:r>
      <w:proofErr w:type="spellEnd"/>
      <w:r w:rsidR="00B24A16">
        <w:rPr>
          <w:rFonts w:ascii="Times New Roman" w:hAnsi="Times New Roman" w:cs="Times New Roman"/>
          <w:color w:val="000000"/>
          <w:sz w:val="24"/>
          <w:szCs w:val="24"/>
          <w:shd w:val="clear" w:color="auto" w:fill="FFFFFF"/>
          <w:lang w:val="en-US"/>
        </w:rPr>
        <w:t xml:space="preserve"> et al </w:t>
      </w:r>
      <w:r w:rsidR="00784AF0">
        <w:rPr>
          <w:rFonts w:ascii="Times New Roman" w:hAnsi="Times New Roman" w:cs="Times New Roman"/>
          <w:color w:val="000000"/>
          <w:sz w:val="24"/>
          <w:szCs w:val="24"/>
          <w:shd w:val="clear" w:color="auto" w:fill="FFFFFF"/>
          <w:lang w:val="en-US"/>
        </w:rPr>
        <w:t>(</w:t>
      </w:r>
      <w:r w:rsidR="00B24A16">
        <w:rPr>
          <w:rFonts w:ascii="Times New Roman" w:hAnsi="Times New Roman" w:cs="Times New Roman"/>
          <w:color w:val="000000"/>
          <w:sz w:val="24"/>
          <w:szCs w:val="24"/>
          <w:shd w:val="clear" w:color="auto" w:fill="FFFFFF"/>
          <w:lang w:val="en-US"/>
        </w:rPr>
        <w:t>2015</w:t>
      </w:r>
      <w:r w:rsidR="00276B15">
        <w:rPr>
          <w:rFonts w:ascii="Times New Roman" w:hAnsi="Times New Roman" w:cs="Times New Roman"/>
          <w:color w:val="000000"/>
          <w:sz w:val="24"/>
          <w:szCs w:val="24"/>
          <w:shd w:val="clear" w:color="auto" w:fill="FFFFFF"/>
          <w:lang w:val="en-US"/>
        </w:rPr>
        <w:t>a</w:t>
      </w:r>
      <w:r w:rsidR="00784AF0">
        <w:rPr>
          <w:rFonts w:ascii="Times New Roman" w:hAnsi="Times New Roman" w:cs="Times New Roman"/>
          <w:color w:val="000000"/>
          <w:sz w:val="24"/>
          <w:szCs w:val="24"/>
          <w:shd w:val="clear" w:color="auto" w:fill="FFFFFF"/>
          <w:lang w:val="en-US"/>
        </w:rPr>
        <w:t>)</w:t>
      </w:r>
      <w:r w:rsidR="00DC4902">
        <w:rPr>
          <w:rFonts w:ascii="Times New Roman" w:hAnsi="Times New Roman" w:cs="Times New Roman"/>
          <w:color w:val="000000"/>
          <w:sz w:val="24"/>
          <w:szCs w:val="24"/>
          <w:shd w:val="clear" w:color="auto" w:fill="FFFFFF"/>
          <w:lang w:val="en-US"/>
        </w:rPr>
        <w:t xml:space="preserve"> and </w:t>
      </w:r>
      <w:r w:rsidR="00784AF0">
        <w:rPr>
          <w:rFonts w:ascii="Times New Roman" w:hAnsi="Times New Roman" w:cs="Times New Roman"/>
          <w:color w:val="000000"/>
          <w:sz w:val="24"/>
          <w:szCs w:val="24"/>
          <w:shd w:val="clear" w:color="auto" w:fill="FFFFFF"/>
          <w:lang w:val="en-US"/>
        </w:rPr>
        <w:t>(</w:t>
      </w:r>
      <w:r w:rsidR="00DC4902">
        <w:rPr>
          <w:rFonts w:ascii="Times New Roman" w:hAnsi="Times New Roman" w:cs="Times New Roman"/>
          <w:color w:val="000000"/>
          <w:sz w:val="24"/>
          <w:szCs w:val="24"/>
          <w:shd w:val="clear" w:color="auto" w:fill="FFFFFF"/>
          <w:lang w:val="en-US"/>
        </w:rPr>
        <w:t>2015</w:t>
      </w:r>
      <w:r w:rsidR="00276B15">
        <w:rPr>
          <w:rFonts w:ascii="Times New Roman" w:hAnsi="Times New Roman" w:cs="Times New Roman"/>
          <w:color w:val="000000"/>
          <w:sz w:val="24"/>
          <w:szCs w:val="24"/>
          <w:shd w:val="clear" w:color="auto" w:fill="FFFFFF"/>
          <w:lang w:val="en-US"/>
        </w:rPr>
        <w:t>b</w:t>
      </w:r>
      <w:r w:rsidR="00784AF0">
        <w:rPr>
          <w:rFonts w:ascii="Times New Roman" w:hAnsi="Times New Roman" w:cs="Times New Roman"/>
          <w:color w:val="000000"/>
          <w:sz w:val="24"/>
          <w:szCs w:val="24"/>
          <w:shd w:val="clear" w:color="auto" w:fill="FFFFFF"/>
          <w:lang w:val="en-US"/>
        </w:rPr>
        <w:t>)]</w:t>
      </w:r>
      <w:r w:rsidR="00B24A16">
        <w:rPr>
          <w:rFonts w:ascii="Times New Roman" w:eastAsia="Times New Roman" w:hAnsi="Times New Roman" w:cs="Times New Roman"/>
          <w:sz w:val="24"/>
          <w:szCs w:val="24"/>
          <w:lang w:val="en-US" w:eastAsia="pt-BR"/>
        </w:rPr>
        <w:t>.</w:t>
      </w:r>
      <w:r w:rsidR="00B24A16">
        <w:rPr>
          <w:rFonts w:ascii="Times New Roman" w:eastAsia="Times New Roman" w:hAnsi="Times New Roman" w:cs="Times New Roman"/>
          <w:color w:val="FF0000"/>
          <w:sz w:val="24"/>
          <w:szCs w:val="24"/>
          <w:lang w:val="en-US" w:eastAsia="pt-BR"/>
        </w:rPr>
        <w:t xml:space="preserve"> </w:t>
      </w:r>
      <w:r w:rsidR="00784AF0">
        <w:rPr>
          <w:rFonts w:ascii="Times New Roman" w:eastAsia="Times New Roman" w:hAnsi="Times New Roman" w:cs="Times New Roman"/>
          <w:color w:val="FF0000"/>
          <w:sz w:val="24"/>
          <w:szCs w:val="24"/>
          <w:lang w:val="en-US" w:eastAsia="pt-BR"/>
        </w:rPr>
        <w:t xml:space="preserve"> </w:t>
      </w:r>
    </w:p>
    <w:p w:rsidR="00562788" w:rsidRDefault="00B24A16" w:rsidP="00784AF0">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standard VAR model specification provided strong evidence to conclude that </w:t>
      </w:r>
      <w:r w:rsidR="00866BB4">
        <w:rPr>
          <w:rFonts w:ascii="Times New Roman" w:hAnsi="Times New Roman" w:cs="Times New Roman"/>
          <w:sz w:val="24"/>
          <w:szCs w:val="24"/>
          <w:lang w:val="en-US"/>
        </w:rPr>
        <w:t xml:space="preserve">both </w:t>
      </w:r>
      <w:r>
        <w:rPr>
          <w:rFonts w:ascii="Times New Roman" w:hAnsi="Times New Roman" w:cs="Times New Roman"/>
          <w:sz w:val="24"/>
          <w:szCs w:val="24"/>
          <w:lang w:val="en-US"/>
        </w:rPr>
        <w:t xml:space="preserve">the growth regime </w:t>
      </w:r>
      <w:r w:rsidR="00866BB4">
        <w:rPr>
          <w:rFonts w:ascii="Times New Roman" w:hAnsi="Times New Roman" w:cs="Times New Roman"/>
          <w:sz w:val="24"/>
          <w:szCs w:val="24"/>
          <w:lang w:val="en-US"/>
        </w:rPr>
        <w:t xml:space="preserve">and the demand regime </w:t>
      </w:r>
      <w:r>
        <w:rPr>
          <w:rFonts w:ascii="Times New Roman" w:hAnsi="Times New Roman" w:cs="Times New Roman"/>
          <w:sz w:val="24"/>
          <w:szCs w:val="24"/>
          <w:lang w:val="en-US"/>
        </w:rPr>
        <w:t xml:space="preserve">of the Brazilian economy </w:t>
      </w:r>
      <w:r w:rsidR="00866BB4">
        <w:rPr>
          <w:rFonts w:ascii="Times New Roman" w:hAnsi="Times New Roman" w:cs="Times New Roman"/>
          <w:sz w:val="24"/>
          <w:szCs w:val="24"/>
          <w:lang w:val="en-US"/>
        </w:rPr>
        <w:t>have been</w:t>
      </w:r>
      <w:r>
        <w:rPr>
          <w:rFonts w:ascii="Times New Roman" w:hAnsi="Times New Roman" w:cs="Times New Roman"/>
          <w:sz w:val="24"/>
          <w:szCs w:val="24"/>
          <w:lang w:val="en-US"/>
        </w:rPr>
        <w:t xml:space="preserve"> profit-led in the considered period, so that a positive profit-share innovations affect, in the same direction, both economic growth and </w:t>
      </w:r>
      <w:r w:rsidR="009F1ABB">
        <w:rPr>
          <w:rFonts w:ascii="Times New Roman" w:hAnsi="Times New Roman" w:cs="Times New Roman"/>
          <w:sz w:val="24"/>
          <w:szCs w:val="24"/>
          <w:lang w:val="en-US"/>
        </w:rPr>
        <w:t>rate</w:t>
      </w:r>
      <w:r>
        <w:rPr>
          <w:rFonts w:ascii="Times New Roman" w:hAnsi="Times New Roman" w:cs="Times New Roman"/>
          <w:sz w:val="24"/>
          <w:szCs w:val="24"/>
          <w:lang w:val="en-US"/>
        </w:rPr>
        <w:t xml:space="preserve"> of capacity utilization. Furthermore, in the alternative specifications, these results did not change and we could observe that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profit share shocks affect positively both the ratio between actual output and potential output (regardless the estimates to potential output we use) and capital accumulation and ii) a capacity utilization shock </w:t>
      </w:r>
      <w:r w:rsidR="00562788">
        <w:rPr>
          <w:rFonts w:ascii="Times New Roman" w:hAnsi="Times New Roman" w:cs="Times New Roman"/>
          <w:sz w:val="24"/>
          <w:szCs w:val="24"/>
          <w:lang w:val="en-US"/>
        </w:rPr>
        <w:t xml:space="preserve">is shown to positively affect both the output growth and the capital accumulation </w:t>
      </w:r>
      <w:r>
        <w:rPr>
          <w:rFonts w:ascii="Times New Roman" w:hAnsi="Times New Roman" w:cs="Times New Roman"/>
          <w:sz w:val="24"/>
          <w:szCs w:val="24"/>
          <w:lang w:val="en-US"/>
        </w:rPr>
        <w:t xml:space="preserve">through accelerator effect. </w:t>
      </w:r>
    </w:p>
    <w:p w:rsidR="00B24A16" w:rsidRDefault="00B24A16" w:rsidP="00784AF0">
      <w:pPr>
        <w:spacing w:line="240" w:lineRule="auto"/>
        <w:ind w:firstLine="708"/>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In future empirical </w:t>
      </w:r>
      <w:r w:rsidR="00A017ED">
        <w:rPr>
          <w:rFonts w:ascii="Times New Roman" w:hAnsi="Times New Roman" w:cs="Times New Roman"/>
          <w:sz w:val="24"/>
          <w:szCs w:val="24"/>
          <w:lang w:val="en-US"/>
        </w:rPr>
        <w:t>investigations</w:t>
      </w:r>
      <w:r>
        <w:rPr>
          <w:rFonts w:ascii="Times New Roman" w:hAnsi="Times New Roman" w:cs="Times New Roman"/>
          <w:sz w:val="24"/>
          <w:szCs w:val="24"/>
          <w:lang w:val="en-US"/>
        </w:rPr>
        <w:t xml:space="preserve"> on income distribution and long-run growth regime in the Brazilian economy</w:t>
      </w:r>
      <w:r w:rsidR="00BF434F">
        <w:rPr>
          <w:rFonts w:ascii="Times New Roman" w:hAnsi="Times New Roman" w:cs="Times New Roman"/>
          <w:sz w:val="24"/>
          <w:szCs w:val="24"/>
          <w:lang w:val="en-US"/>
        </w:rPr>
        <w:t>,</w:t>
      </w:r>
      <w:r>
        <w:rPr>
          <w:rFonts w:ascii="Times New Roman" w:hAnsi="Times New Roman" w:cs="Times New Roman"/>
          <w:sz w:val="24"/>
          <w:szCs w:val="24"/>
          <w:lang w:val="en-US"/>
        </w:rPr>
        <w:t xml:space="preserve"> one should consider financial variables (such as</w:t>
      </w:r>
      <w:r w:rsidR="00DC6D58">
        <w:rPr>
          <w:rFonts w:ascii="Times New Roman" w:hAnsi="Times New Roman" w:cs="Times New Roman"/>
          <w:sz w:val="24"/>
          <w:szCs w:val="24"/>
          <w:lang w:val="en-US"/>
        </w:rPr>
        <w:t xml:space="preserve"> credit to GDP ratio,</w:t>
      </w:r>
      <w:r>
        <w:rPr>
          <w:rFonts w:ascii="Times New Roman" w:hAnsi="Times New Roman" w:cs="Times New Roman"/>
          <w:sz w:val="24"/>
          <w:szCs w:val="24"/>
          <w:lang w:val="en-US"/>
        </w:rPr>
        <w:t xml:space="preserve"> corporate </w:t>
      </w:r>
      <w:r w:rsidR="00B66642">
        <w:rPr>
          <w:rFonts w:ascii="Times New Roman" w:hAnsi="Times New Roman" w:cs="Times New Roman"/>
          <w:sz w:val="24"/>
          <w:szCs w:val="24"/>
          <w:lang w:val="en-US"/>
        </w:rPr>
        <w:t xml:space="preserve">and </w:t>
      </w:r>
      <w:r>
        <w:rPr>
          <w:rFonts w:ascii="Times New Roman" w:hAnsi="Times New Roman" w:cs="Times New Roman"/>
          <w:sz w:val="24"/>
          <w:szCs w:val="24"/>
          <w:lang w:val="en-US"/>
        </w:rPr>
        <w:t>household debt, financial and housing wealth) and personal income distribution (such as Gini coefficient, top 10% versus bottom 10%)</w:t>
      </w:r>
      <w:r w:rsidR="00727D51">
        <w:rPr>
          <w:rFonts w:ascii="Times New Roman" w:hAnsi="Times New Roman" w:cs="Times New Roman"/>
          <w:sz w:val="24"/>
          <w:szCs w:val="24"/>
          <w:lang w:val="en-US"/>
        </w:rPr>
        <w:t xml:space="preserve"> in the model</w:t>
      </w:r>
      <w:r>
        <w:rPr>
          <w:rFonts w:ascii="Times New Roman" w:hAnsi="Times New Roman" w:cs="Times New Roman"/>
          <w:sz w:val="24"/>
          <w:szCs w:val="24"/>
          <w:lang w:val="en-US"/>
        </w:rPr>
        <w:t xml:space="preserve">. We also think that is important to distinguish the effects of change in the functional income distribution on aggregate demand components, </w:t>
      </w:r>
      <w:r w:rsidR="00BF434F">
        <w:rPr>
          <w:rFonts w:ascii="Times New Roman" w:hAnsi="Times New Roman" w:cs="Times New Roman"/>
          <w:sz w:val="24"/>
          <w:szCs w:val="24"/>
          <w:lang w:val="en-US"/>
        </w:rPr>
        <w:t>including with disaggregate data</w:t>
      </w:r>
      <w:r>
        <w:rPr>
          <w:rFonts w:ascii="Times New Roman" w:hAnsi="Times New Roman" w:cs="Times New Roman"/>
          <w:sz w:val="24"/>
          <w:szCs w:val="24"/>
          <w:lang w:val="en-US"/>
        </w:rPr>
        <w:t xml:space="preserve">. </w:t>
      </w:r>
    </w:p>
    <w:p w:rsidR="00B24A16" w:rsidRDefault="00B24A16" w:rsidP="00784AF0">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References</w:t>
      </w:r>
      <w:proofErr w:type="spellEnd"/>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eastAsia="pt-BR"/>
        </w:rPr>
        <w:t>Araújo, E.; Gala, P. (2012)</w:t>
      </w:r>
      <w:r w:rsidR="00B3635C">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Regimes de crescimento econômico no Brasil: evidências empíricas e implicações de política. </w:t>
      </w:r>
      <w:proofErr w:type="spellStart"/>
      <w:r>
        <w:rPr>
          <w:rFonts w:ascii="Times New Roman" w:eastAsia="Times New Roman" w:hAnsi="Times New Roman" w:cs="Times New Roman"/>
          <w:i/>
          <w:sz w:val="24"/>
          <w:szCs w:val="24"/>
          <w:lang w:val="en-US" w:eastAsia="pt-BR"/>
        </w:rPr>
        <w:t>Estudos</w:t>
      </w:r>
      <w:proofErr w:type="spellEnd"/>
      <w:r>
        <w:rPr>
          <w:rFonts w:ascii="Times New Roman" w:eastAsia="Times New Roman" w:hAnsi="Times New Roman" w:cs="Times New Roman"/>
          <w:i/>
          <w:sz w:val="24"/>
          <w:szCs w:val="24"/>
          <w:lang w:val="en-US" w:eastAsia="pt-BR"/>
        </w:rPr>
        <w:t xml:space="preserve"> </w:t>
      </w:r>
      <w:proofErr w:type="spellStart"/>
      <w:r>
        <w:rPr>
          <w:rFonts w:ascii="Times New Roman" w:eastAsia="Times New Roman" w:hAnsi="Times New Roman" w:cs="Times New Roman"/>
          <w:i/>
          <w:sz w:val="24"/>
          <w:szCs w:val="24"/>
          <w:lang w:val="en-US" w:eastAsia="pt-BR"/>
        </w:rPr>
        <w:t>Avançados</w:t>
      </w:r>
      <w:proofErr w:type="spellEnd"/>
      <w:r>
        <w:rPr>
          <w:rFonts w:ascii="Times New Roman" w:eastAsia="Times New Roman" w:hAnsi="Times New Roman" w:cs="Times New Roman"/>
          <w:sz w:val="24"/>
          <w:szCs w:val="24"/>
          <w:lang w:val="en-US" w:eastAsia="pt-BR"/>
        </w:rPr>
        <w:t>, 26, (75).</w:t>
      </w:r>
    </w:p>
    <w:p w:rsidR="003B54F3" w:rsidRPr="004F18CF" w:rsidRDefault="003B54F3" w:rsidP="00784AF0">
      <w:pPr>
        <w:spacing w:after="120" w:line="240" w:lineRule="auto"/>
        <w:jc w:val="both"/>
        <w:rPr>
          <w:rFonts w:ascii="Times New Roman" w:eastAsia="Times New Roman" w:hAnsi="Times New Roman" w:cs="Times New Roman"/>
          <w:sz w:val="24"/>
          <w:szCs w:val="24"/>
          <w:lang w:val="en-GB" w:eastAsia="pt-BR"/>
        </w:rPr>
      </w:pPr>
      <w:r w:rsidRPr="00F37985">
        <w:rPr>
          <w:rFonts w:ascii="Times New Roman" w:eastAsia="Times New Roman" w:hAnsi="Times New Roman" w:cs="Times New Roman"/>
          <w:sz w:val="24"/>
          <w:szCs w:val="24"/>
          <w:lang w:val="en-US" w:eastAsia="pt-BR"/>
        </w:rPr>
        <w:lastRenderedPageBreak/>
        <w:t>Araujo, R. Teixeira, J.</w:t>
      </w:r>
      <w:r w:rsidR="00C379FD" w:rsidRPr="00F37985">
        <w:rPr>
          <w:rFonts w:ascii="Times New Roman" w:eastAsia="Times New Roman" w:hAnsi="Times New Roman" w:cs="Times New Roman"/>
          <w:sz w:val="24"/>
          <w:szCs w:val="24"/>
          <w:lang w:val="en-US" w:eastAsia="pt-BR"/>
        </w:rPr>
        <w:t>;</w:t>
      </w:r>
      <w:r w:rsidRPr="00F37985">
        <w:rPr>
          <w:rFonts w:ascii="Times New Roman" w:eastAsia="Times New Roman" w:hAnsi="Times New Roman" w:cs="Times New Roman"/>
          <w:sz w:val="24"/>
          <w:szCs w:val="24"/>
          <w:lang w:val="en-US" w:eastAsia="pt-BR"/>
        </w:rPr>
        <w:t xml:space="preserve"> </w:t>
      </w:r>
      <w:proofErr w:type="spellStart"/>
      <w:r w:rsidRPr="00F37985">
        <w:rPr>
          <w:rFonts w:ascii="Times New Roman" w:eastAsia="Times New Roman" w:hAnsi="Times New Roman" w:cs="Times New Roman"/>
          <w:sz w:val="24"/>
          <w:szCs w:val="24"/>
          <w:lang w:val="en-US" w:eastAsia="pt-BR"/>
        </w:rPr>
        <w:t>Soares</w:t>
      </w:r>
      <w:proofErr w:type="spellEnd"/>
      <w:r w:rsidRPr="00F37985">
        <w:rPr>
          <w:rFonts w:ascii="Times New Roman" w:eastAsia="Times New Roman" w:hAnsi="Times New Roman" w:cs="Times New Roman"/>
          <w:sz w:val="24"/>
          <w:szCs w:val="24"/>
          <w:lang w:val="en-US" w:eastAsia="pt-BR"/>
        </w:rPr>
        <w:t xml:space="preserve">, C. (2015). </w:t>
      </w:r>
      <w:r w:rsidRPr="003B54F3">
        <w:rPr>
          <w:rFonts w:ascii="Times New Roman" w:eastAsia="Times New Roman" w:hAnsi="Times New Roman" w:cs="Times New Roman"/>
          <w:sz w:val="24"/>
          <w:szCs w:val="24"/>
          <w:lang w:val="en-US" w:eastAsia="pt-BR"/>
        </w:rPr>
        <w:t>Export Led Growth vs. Growth Led Exports: What Matters for the Brazilian Growth Experience after Trade Liberalization?</w:t>
      </w:r>
      <w:r>
        <w:rPr>
          <w:rFonts w:ascii="Times New Roman" w:eastAsia="Times New Roman" w:hAnsi="Times New Roman" w:cs="Times New Roman"/>
          <w:sz w:val="24"/>
          <w:szCs w:val="24"/>
          <w:lang w:val="en-US" w:eastAsia="pt-BR"/>
        </w:rPr>
        <w:t xml:space="preserve"> </w:t>
      </w:r>
      <w:r w:rsidRPr="003B54F3">
        <w:rPr>
          <w:rFonts w:ascii="Times New Roman" w:eastAsia="Times New Roman" w:hAnsi="Times New Roman" w:cs="Times New Roman"/>
          <w:i/>
          <w:sz w:val="24"/>
          <w:szCs w:val="24"/>
          <w:lang w:val="en-US" w:eastAsia="pt-BR"/>
        </w:rPr>
        <w:t>Review of Keynesian Economics</w:t>
      </w:r>
      <w:r>
        <w:rPr>
          <w:rFonts w:ascii="Times New Roman" w:eastAsia="Times New Roman" w:hAnsi="Times New Roman" w:cs="Times New Roman"/>
          <w:sz w:val="24"/>
          <w:szCs w:val="24"/>
          <w:lang w:val="en-US" w:eastAsia="pt-BR"/>
        </w:rPr>
        <w:t xml:space="preserve">, </w:t>
      </w:r>
      <w:r w:rsidR="004F18CF" w:rsidRPr="004F18CF">
        <w:rPr>
          <w:rFonts w:ascii="Times New Roman" w:eastAsia="Times New Roman" w:hAnsi="Times New Roman" w:cs="Times New Roman"/>
          <w:sz w:val="24"/>
          <w:szCs w:val="24"/>
          <w:lang w:val="en-GB" w:eastAsia="pt-BR"/>
        </w:rPr>
        <w:t>3(1), 108</w:t>
      </w:r>
      <w:r w:rsidR="001E3786">
        <w:rPr>
          <w:rFonts w:ascii="Times New Roman" w:eastAsia="Times New Roman" w:hAnsi="Times New Roman" w:cs="Times New Roman"/>
          <w:sz w:val="24"/>
          <w:szCs w:val="24"/>
          <w:lang w:val="en-GB" w:eastAsia="pt-BR"/>
        </w:rPr>
        <w:t>-</w:t>
      </w:r>
      <w:r w:rsidR="004F18CF" w:rsidRPr="004F18CF">
        <w:rPr>
          <w:rFonts w:ascii="Times New Roman" w:eastAsia="Times New Roman" w:hAnsi="Times New Roman" w:cs="Times New Roman"/>
          <w:sz w:val="24"/>
          <w:szCs w:val="24"/>
          <w:lang w:val="en-GB" w:eastAsia="pt-BR"/>
        </w:rPr>
        <w:t>128</w:t>
      </w:r>
      <w:r w:rsidR="004F18CF">
        <w:rPr>
          <w:rFonts w:ascii="Times New Roman" w:eastAsia="Times New Roman" w:hAnsi="Times New Roman" w:cs="Times New Roman"/>
          <w:sz w:val="24"/>
          <w:szCs w:val="24"/>
          <w:lang w:val="en-GB" w:eastAsia="pt-BR"/>
        </w:rPr>
        <w:t>.</w:t>
      </w:r>
      <w:r w:rsidR="004F18CF" w:rsidRPr="004F18CF">
        <w:rPr>
          <w:rFonts w:ascii="Times New Roman" w:eastAsia="Times New Roman" w:hAnsi="Times New Roman" w:cs="Times New Roman"/>
          <w:sz w:val="24"/>
          <w:szCs w:val="24"/>
          <w:lang w:val="en-GB" w:eastAsia="pt-BR"/>
        </w:rPr>
        <w:t> </w:t>
      </w:r>
    </w:p>
    <w:p w:rsidR="004F18CF" w:rsidRDefault="004F18CF"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Baer, W. 2001.  The Brazilian Economy: Growth and Development.</w:t>
      </w:r>
      <w:r w:rsidR="00B74AAA">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5</w:t>
      </w:r>
      <w:r w:rsidRPr="004F18CF">
        <w:rPr>
          <w:rFonts w:ascii="Times New Roman" w:eastAsia="Times New Roman" w:hAnsi="Times New Roman" w:cs="Times New Roman"/>
          <w:sz w:val="24"/>
          <w:szCs w:val="24"/>
          <w:vertAlign w:val="superscript"/>
          <w:lang w:val="en-US" w:eastAsia="pt-BR"/>
        </w:rPr>
        <w:t>th</w:t>
      </w:r>
      <w:r w:rsidR="00866BB4">
        <w:rPr>
          <w:rFonts w:ascii="Times New Roman" w:eastAsia="Times New Roman" w:hAnsi="Times New Roman" w:cs="Times New Roman"/>
          <w:sz w:val="24"/>
          <w:szCs w:val="24"/>
          <w:lang w:val="en-US" w:eastAsia="pt-BR"/>
        </w:rPr>
        <w:t xml:space="preserve"> Edition,</w:t>
      </w:r>
      <w:r>
        <w:rPr>
          <w:rFonts w:ascii="Times New Roman" w:eastAsia="Times New Roman" w:hAnsi="Times New Roman" w:cs="Times New Roman"/>
          <w:sz w:val="24"/>
          <w:szCs w:val="24"/>
          <w:lang w:val="en-US" w:eastAsia="pt-BR"/>
        </w:rPr>
        <w:t xml:space="preserve"> </w:t>
      </w:r>
      <w:proofErr w:type="spellStart"/>
      <w:r>
        <w:rPr>
          <w:rFonts w:ascii="Times New Roman" w:eastAsia="Times New Roman" w:hAnsi="Times New Roman" w:cs="Times New Roman"/>
          <w:sz w:val="24"/>
          <w:szCs w:val="24"/>
          <w:lang w:val="en-US" w:eastAsia="pt-BR"/>
        </w:rPr>
        <w:t>Praeger</w:t>
      </w:r>
      <w:proofErr w:type="spellEnd"/>
      <w:r w:rsidR="00B109D9">
        <w:rPr>
          <w:rFonts w:ascii="Times New Roman" w:eastAsia="Times New Roman" w:hAnsi="Times New Roman" w:cs="Times New Roman"/>
          <w:sz w:val="24"/>
          <w:szCs w:val="24"/>
          <w:lang w:val="en-US" w:eastAsia="pt-BR"/>
        </w:rPr>
        <w:t>. London.</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Barbosa-Filho, N.; Taylor, L. (2006)</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Distributive and demand cycles in the US economy - a </w:t>
      </w:r>
      <w:proofErr w:type="spellStart"/>
      <w:r>
        <w:rPr>
          <w:rFonts w:ascii="Times New Roman" w:eastAsia="Times New Roman" w:hAnsi="Times New Roman" w:cs="Times New Roman"/>
          <w:sz w:val="24"/>
          <w:szCs w:val="24"/>
          <w:lang w:val="en-US" w:eastAsia="pt-BR"/>
        </w:rPr>
        <w:t>structuralist</w:t>
      </w:r>
      <w:proofErr w:type="spellEnd"/>
      <w:r>
        <w:rPr>
          <w:rFonts w:ascii="Times New Roman" w:eastAsia="Times New Roman" w:hAnsi="Times New Roman" w:cs="Times New Roman"/>
          <w:sz w:val="24"/>
          <w:szCs w:val="24"/>
          <w:lang w:val="en-US" w:eastAsia="pt-BR"/>
        </w:rPr>
        <w:t xml:space="preserve"> Goodwin model</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t>
      </w:r>
      <w:proofErr w:type="spellStart"/>
      <w:r>
        <w:rPr>
          <w:rFonts w:ascii="Times New Roman" w:eastAsia="Times New Roman" w:hAnsi="Times New Roman" w:cs="Times New Roman"/>
          <w:i/>
          <w:sz w:val="24"/>
          <w:szCs w:val="24"/>
          <w:lang w:val="en-US" w:eastAsia="pt-BR"/>
        </w:rPr>
        <w:t>Metroeconomica</w:t>
      </w:r>
      <w:proofErr w:type="spellEnd"/>
      <w:r>
        <w:rPr>
          <w:rFonts w:ascii="Times New Roman" w:eastAsia="Times New Roman" w:hAnsi="Times New Roman" w:cs="Times New Roman"/>
          <w:sz w:val="24"/>
          <w:szCs w:val="24"/>
          <w:lang w:val="en-US" w:eastAsia="pt-BR"/>
        </w:rPr>
        <w:t>, 57(3), 389-411.</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Bhaduri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Marglin</w:t>
      </w:r>
      <w:proofErr w:type="spellEnd"/>
      <w:r>
        <w:rPr>
          <w:rFonts w:ascii="Times New Roman" w:hAnsi="Times New Roman" w:cs="Times New Roman"/>
          <w:sz w:val="24"/>
          <w:szCs w:val="24"/>
          <w:lang w:val="en-US"/>
        </w:rPr>
        <w:t>, S. (1990)</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Unemployment and the real wage: the economic basis for contesting political ideologies.</w:t>
      </w:r>
      <w:r>
        <w:rPr>
          <w:rFonts w:ascii="Times New Roman" w:hAnsi="Times New Roman" w:cs="Times New Roman"/>
          <w:i/>
          <w:sz w:val="24"/>
          <w:szCs w:val="24"/>
          <w:lang w:val="en-US"/>
        </w:rPr>
        <w:t xml:space="preserve"> Cambridge Journal of Economics</w:t>
      </w:r>
      <w:r>
        <w:rPr>
          <w:rFonts w:ascii="Times New Roman" w:hAnsi="Times New Roman" w:cs="Times New Roman"/>
          <w:sz w:val="24"/>
          <w:szCs w:val="24"/>
          <w:lang w:val="en-US"/>
        </w:rPr>
        <w:t>, v. 14, n. 4, p. 375-393.</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Blecker, R. A. (2002)</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"Distribution, Demand, and Growth in Neo-Kaleckian Macro Models," in Mark Setterfield (ed.), Demand-Led Growth: Challenging the Supply-Side Vision of the Long Run, </w:t>
      </w:r>
      <w:proofErr w:type="spellStart"/>
      <w:r>
        <w:rPr>
          <w:rFonts w:ascii="Times New Roman" w:hAnsi="Times New Roman" w:cs="Times New Roman"/>
          <w:sz w:val="24"/>
          <w:szCs w:val="24"/>
          <w:lang w:val="en-US"/>
        </w:rPr>
        <w:t>Northhampton</w:t>
      </w:r>
      <w:proofErr w:type="spellEnd"/>
      <w:r>
        <w:rPr>
          <w:rFonts w:ascii="Times New Roman" w:hAnsi="Times New Roman" w:cs="Times New Roman"/>
          <w:sz w:val="24"/>
          <w:szCs w:val="24"/>
          <w:lang w:val="en-US"/>
        </w:rPr>
        <w:t xml:space="preserve"> MA: Edward Elgar. </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Blecker, R. (2016)</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Wage-led versus profit-led demand regimes: The long and the short of it. </w:t>
      </w:r>
      <w:r>
        <w:rPr>
          <w:rFonts w:ascii="Times New Roman" w:hAnsi="Times New Roman" w:cs="Times New Roman"/>
          <w:i/>
          <w:sz w:val="24"/>
          <w:szCs w:val="24"/>
          <w:lang w:val="en-US"/>
        </w:rPr>
        <w:t>Review of Keynesian Economics</w:t>
      </w:r>
      <w:r>
        <w:rPr>
          <w:rFonts w:ascii="Times New Roman" w:eastAsia="Times New Roman" w:hAnsi="Times New Roman" w:cs="Times New Roman"/>
          <w:sz w:val="24"/>
          <w:szCs w:val="24"/>
          <w:lang w:val="en-US" w:eastAsia="pt-BR"/>
        </w:rPr>
        <w:t xml:space="preserve"> (forthcoming).</w:t>
      </w:r>
    </w:p>
    <w:p w:rsidR="00B24A16" w:rsidRDefault="00B24A16" w:rsidP="00784AF0">
      <w:pPr>
        <w:spacing w:after="12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Bowles, S.; </w:t>
      </w:r>
      <w:proofErr w:type="spellStart"/>
      <w:r>
        <w:rPr>
          <w:rFonts w:ascii="Times New Roman" w:hAnsi="Times New Roman" w:cs="Times New Roman"/>
          <w:sz w:val="24"/>
          <w:szCs w:val="24"/>
          <w:lang w:val="en-US"/>
        </w:rPr>
        <w:t>Boyers</w:t>
      </w:r>
      <w:proofErr w:type="spellEnd"/>
      <w:r>
        <w:rPr>
          <w:rFonts w:ascii="Times New Roman" w:hAnsi="Times New Roman" w:cs="Times New Roman"/>
          <w:sz w:val="24"/>
          <w:szCs w:val="24"/>
          <w:lang w:val="en-US"/>
        </w:rPr>
        <w:t>, R. (1995)</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Wages, aggregate demand, and employment in an open economy: an empirical investigation. In: Epstein, G.; </w:t>
      </w:r>
      <w:proofErr w:type="spellStart"/>
      <w:r>
        <w:rPr>
          <w:rFonts w:ascii="Times New Roman" w:hAnsi="Times New Roman" w:cs="Times New Roman"/>
          <w:sz w:val="24"/>
          <w:szCs w:val="24"/>
          <w:lang w:val="en-US"/>
        </w:rPr>
        <w:t>Gintis</w:t>
      </w:r>
      <w:proofErr w:type="spellEnd"/>
      <w:r>
        <w:rPr>
          <w:rFonts w:ascii="Times New Roman" w:hAnsi="Times New Roman" w:cs="Times New Roman"/>
          <w:sz w:val="24"/>
          <w:szCs w:val="24"/>
          <w:lang w:val="en-US"/>
        </w:rPr>
        <w:t xml:space="preserve">, H. (Ed.) </w:t>
      </w:r>
      <w:r>
        <w:rPr>
          <w:rFonts w:ascii="Times New Roman" w:hAnsi="Times New Roman" w:cs="Times New Roman"/>
          <w:i/>
          <w:sz w:val="24"/>
          <w:szCs w:val="24"/>
          <w:lang w:val="en-US"/>
        </w:rPr>
        <w:t>Macroeconomic policy after the conservative era.</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Cambridge: Cambridge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Press, p.143-71.</w:t>
      </w:r>
    </w:p>
    <w:p w:rsidR="00B24A16" w:rsidRDefault="00B24A16" w:rsidP="00784AF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Bruno, M. (2015)</w:t>
      </w:r>
      <w:r w:rsidR="00B3635C">
        <w:rPr>
          <w:rFonts w:ascii="Times New Roman" w:hAnsi="Times New Roman" w:cs="Times New Roman"/>
          <w:sz w:val="24"/>
          <w:szCs w:val="24"/>
        </w:rPr>
        <w:t>,</w:t>
      </w:r>
      <w:r>
        <w:rPr>
          <w:rFonts w:ascii="Times New Roman" w:hAnsi="Times New Roman" w:cs="Times New Roman"/>
          <w:sz w:val="24"/>
          <w:szCs w:val="24"/>
        </w:rPr>
        <w:t xml:space="preserve"> Utilização da capacidade produtiva instalada e produto potencial no Brasil: alternativas não convencionais de mensuração e construção de indicadores para o nível da economia nacional (</w:t>
      </w:r>
      <w:proofErr w:type="spellStart"/>
      <w:r w:rsidRPr="00F93B9A">
        <w:rPr>
          <w:rFonts w:ascii="Times New Roman" w:hAnsi="Times New Roman" w:cs="Times New Roman"/>
          <w:i/>
          <w:sz w:val="24"/>
          <w:szCs w:val="24"/>
        </w:rPr>
        <w:t>unpublished</w:t>
      </w:r>
      <w:proofErr w:type="spellEnd"/>
      <w:r w:rsidRPr="00F93B9A">
        <w:rPr>
          <w:rFonts w:ascii="Times New Roman" w:hAnsi="Times New Roman" w:cs="Times New Roman"/>
          <w:i/>
          <w:sz w:val="24"/>
          <w:szCs w:val="24"/>
        </w:rPr>
        <w:t xml:space="preserve"> </w:t>
      </w:r>
      <w:proofErr w:type="spellStart"/>
      <w:r w:rsidRPr="00F93B9A">
        <w:rPr>
          <w:rFonts w:ascii="Times New Roman" w:hAnsi="Times New Roman" w:cs="Times New Roman"/>
          <w:i/>
          <w:sz w:val="24"/>
          <w:szCs w:val="24"/>
        </w:rPr>
        <w:t>report</w:t>
      </w:r>
      <w:proofErr w:type="spellEnd"/>
      <w:r>
        <w:rPr>
          <w:rFonts w:ascii="Times New Roman" w:hAnsi="Times New Roman" w:cs="Times New Roman"/>
          <w:sz w:val="24"/>
          <w:szCs w:val="24"/>
        </w:rPr>
        <w:t>).</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Carvalho, L.; </w:t>
      </w:r>
      <w:proofErr w:type="spellStart"/>
      <w:r>
        <w:rPr>
          <w:rFonts w:ascii="Times New Roman" w:hAnsi="Times New Roman" w:cs="Times New Roman"/>
          <w:sz w:val="24"/>
          <w:szCs w:val="24"/>
          <w:lang w:val="en-US"/>
        </w:rPr>
        <w:t>Rezai</w:t>
      </w:r>
      <w:proofErr w:type="spellEnd"/>
      <w:r>
        <w:rPr>
          <w:rFonts w:ascii="Times New Roman" w:hAnsi="Times New Roman" w:cs="Times New Roman"/>
          <w:sz w:val="24"/>
          <w:szCs w:val="24"/>
          <w:lang w:val="en-US"/>
        </w:rPr>
        <w:t>, A. (2016)</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Personal income inequality and aggregate demand</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Cambridge Journal of Economics</w:t>
      </w:r>
      <w:r w:rsidR="00B3635C">
        <w:rPr>
          <w:rFonts w:ascii="Times New Roman" w:hAnsi="Times New Roman" w:cs="Times New Roman"/>
          <w:i/>
          <w:sz w:val="24"/>
          <w:szCs w:val="24"/>
          <w:lang w:val="en-US"/>
        </w:rPr>
        <w: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vol. 40 (2) p. 491-505. </w:t>
      </w:r>
    </w:p>
    <w:p w:rsidR="00B24A16" w:rsidRDefault="00B3635C"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Dutt, A.</w:t>
      </w:r>
      <w:r w:rsidR="00B24A16">
        <w:rPr>
          <w:rFonts w:ascii="Times New Roman" w:hAnsi="Times New Roman" w:cs="Times New Roman"/>
          <w:sz w:val="24"/>
          <w:szCs w:val="24"/>
          <w:lang w:val="en-US"/>
        </w:rPr>
        <w:t xml:space="preserve"> (1984)</w:t>
      </w:r>
      <w:r w:rsidR="00FC415C">
        <w:rPr>
          <w:rFonts w:ascii="Times New Roman" w:hAnsi="Times New Roman" w:cs="Times New Roman"/>
          <w:sz w:val="24"/>
          <w:szCs w:val="24"/>
          <w:lang w:val="en-US"/>
        </w:rPr>
        <w:t>,</w:t>
      </w:r>
      <w:r w:rsidR="00B24A16">
        <w:rPr>
          <w:rFonts w:ascii="Times New Roman" w:hAnsi="Times New Roman" w:cs="Times New Roman"/>
          <w:sz w:val="24"/>
          <w:szCs w:val="24"/>
          <w:lang w:val="en-US"/>
        </w:rPr>
        <w:t xml:space="preserve"> Stagnation, income distribution and monopoly power. </w:t>
      </w:r>
      <w:r w:rsidR="00B24A16">
        <w:rPr>
          <w:rFonts w:ascii="Times New Roman" w:hAnsi="Times New Roman" w:cs="Times New Roman"/>
          <w:i/>
          <w:sz w:val="24"/>
          <w:szCs w:val="24"/>
          <w:lang w:val="en-US"/>
        </w:rPr>
        <w:t>Cambridge Journal of Economics</w:t>
      </w:r>
      <w:r w:rsidR="00B24A16">
        <w:rPr>
          <w:rFonts w:ascii="Times New Roman" w:hAnsi="Times New Roman" w:cs="Times New Roman"/>
          <w:sz w:val="24"/>
          <w:szCs w:val="24"/>
          <w:lang w:val="en-US"/>
        </w:rPr>
        <w:t xml:space="preserve"> 8, 25-40.</w:t>
      </w:r>
    </w:p>
    <w:p w:rsidR="00B24A16" w:rsidRDefault="00B3635C"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Enders, W.</w:t>
      </w:r>
      <w:r w:rsidR="00B24A16">
        <w:rPr>
          <w:rFonts w:ascii="Times New Roman" w:hAnsi="Times New Roman" w:cs="Times New Roman"/>
          <w:sz w:val="24"/>
          <w:szCs w:val="24"/>
          <w:lang w:val="en-US"/>
        </w:rPr>
        <w:t xml:space="preserve"> (2014)</w:t>
      </w:r>
      <w:r>
        <w:rPr>
          <w:rFonts w:ascii="Times New Roman" w:hAnsi="Times New Roman" w:cs="Times New Roman"/>
          <w:sz w:val="24"/>
          <w:szCs w:val="24"/>
          <w:lang w:val="en-US"/>
        </w:rPr>
        <w:t>,</w:t>
      </w:r>
      <w:r w:rsidR="00B24A16">
        <w:rPr>
          <w:rFonts w:ascii="Times New Roman" w:hAnsi="Times New Roman" w:cs="Times New Roman"/>
          <w:sz w:val="24"/>
          <w:szCs w:val="24"/>
          <w:lang w:val="en-US"/>
        </w:rPr>
        <w:t xml:space="preserve"> </w:t>
      </w:r>
      <w:r w:rsidR="00B24A16">
        <w:rPr>
          <w:rStyle w:val="nfase"/>
          <w:rFonts w:ascii="Times New Roman" w:hAnsi="Times New Roman" w:cs="Times New Roman"/>
          <w:sz w:val="24"/>
          <w:szCs w:val="24"/>
          <w:lang w:val="en-US"/>
        </w:rPr>
        <w:t>Applied Econometric Time Series</w:t>
      </w:r>
      <w:r w:rsidR="00B24A16">
        <w:rPr>
          <w:rFonts w:ascii="Times New Roman" w:hAnsi="Times New Roman" w:cs="Times New Roman"/>
          <w:sz w:val="24"/>
          <w:szCs w:val="24"/>
          <w:lang w:val="en-US"/>
        </w:rPr>
        <w:t xml:space="preserve"> (</w:t>
      </w:r>
      <w:proofErr w:type="gramStart"/>
      <w:r w:rsidR="00B24A16">
        <w:rPr>
          <w:rFonts w:ascii="Times New Roman" w:hAnsi="Times New Roman" w:cs="Times New Roman"/>
          <w:sz w:val="24"/>
          <w:szCs w:val="24"/>
          <w:lang w:val="en-US"/>
        </w:rPr>
        <w:t>3</w:t>
      </w:r>
      <w:r w:rsidR="00B24A16">
        <w:rPr>
          <w:rFonts w:ascii="Times New Roman" w:hAnsi="Times New Roman" w:cs="Times New Roman"/>
          <w:sz w:val="24"/>
          <w:szCs w:val="24"/>
          <w:vertAlign w:val="superscript"/>
          <w:lang w:val="en-US"/>
        </w:rPr>
        <w:t>rd</w:t>
      </w:r>
      <w:proofErr w:type="gramEnd"/>
      <w:r w:rsidR="00B24A16">
        <w:rPr>
          <w:rFonts w:ascii="Times New Roman" w:hAnsi="Times New Roman" w:cs="Times New Roman"/>
          <w:sz w:val="24"/>
          <w:szCs w:val="24"/>
          <w:lang w:val="en-US"/>
        </w:rPr>
        <w:t xml:space="preserve"> edition), Wiley.</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proofErr w:type="spellStart"/>
      <w:r>
        <w:rPr>
          <w:rFonts w:ascii="Times New Roman" w:eastAsia="Times New Roman" w:hAnsi="Times New Roman" w:cs="Times New Roman"/>
          <w:sz w:val="24"/>
          <w:szCs w:val="24"/>
          <w:lang w:val="en-US" w:eastAsia="pt-BR"/>
        </w:rPr>
        <w:t>Ederer</w:t>
      </w:r>
      <w:proofErr w:type="spellEnd"/>
      <w:r>
        <w:rPr>
          <w:rFonts w:ascii="Times New Roman" w:eastAsia="Times New Roman" w:hAnsi="Times New Roman" w:cs="Times New Roman"/>
          <w:sz w:val="24"/>
          <w:szCs w:val="24"/>
          <w:lang w:val="en-US" w:eastAsia="pt-BR"/>
        </w:rPr>
        <w:t>, S.</w:t>
      </w:r>
      <w:r w:rsidR="00C379FD">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t>
      </w:r>
      <w:proofErr w:type="spellStart"/>
      <w:r>
        <w:rPr>
          <w:rFonts w:ascii="Times New Roman" w:eastAsia="Times New Roman" w:hAnsi="Times New Roman" w:cs="Times New Roman"/>
          <w:sz w:val="24"/>
          <w:szCs w:val="24"/>
          <w:lang w:val="en-US" w:eastAsia="pt-BR"/>
        </w:rPr>
        <w:t>Stockhammer</w:t>
      </w:r>
      <w:proofErr w:type="spellEnd"/>
      <w:r>
        <w:rPr>
          <w:rFonts w:ascii="Times New Roman" w:eastAsia="Times New Roman" w:hAnsi="Times New Roman" w:cs="Times New Roman"/>
          <w:sz w:val="24"/>
          <w:szCs w:val="24"/>
          <w:lang w:val="en-US" w:eastAsia="pt-BR"/>
        </w:rPr>
        <w:t>, E. (2007)</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Wages and aggregate demand in France: An empirical investigation (119-138), in Hein, E, </w:t>
      </w:r>
      <w:proofErr w:type="spellStart"/>
      <w:r>
        <w:rPr>
          <w:rFonts w:ascii="Times New Roman" w:eastAsia="Times New Roman" w:hAnsi="Times New Roman" w:cs="Times New Roman"/>
          <w:sz w:val="24"/>
          <w:szCs w:val="24"/>
          <w:lang w:val="en-US" w:eastAsia="pt-BR"/>
        </w:rPr>
        <w:t>Truger</w:t>
      </w:r>
      <w:proofErr w:type="spellEnd"/>
      <w:r>
        <w:rPr>
          <w:rFonts w:ascii="Times New Roman" w:eastAsia="Times New Roman" w:hAnsi="Times New Roman" w:cs="Times New Roman"/>
          <w:sz w:val="24"/>
          <w:szCs w:val="24"/>
          <w:lang w:val="en-US" w:eastAsia="pt-BR"/>
        </w:rPr>
        <w:t>, A (</w:t>
      </w:r>
      <w:proofErr w:type="spellStart"/>
      <w:proofErr w:type="gramStart"/>
      <w:r>
        <w:rPr>
          <w:rFonts w:ascii="Times New Roman" w:eastAsia="Times New Roman" w:hAnsi="Times New Roman" w:cs="Times New Roman"/>
          <w:sz w:val="24"/>
          <w:szCs w:val="24"/>
          <w:lang w:val="en-US" w:eastAsia="pt-BR"/>
        </w:rPr>
        <w:t>eds</w:t>
      </w:r>
      <w:proofErr w:type="spellEnd"/>
      <w:proofErr w:type="gramEnd"/>
      <w:r>
        <w:rPr>
          <w:rFonts w:ascii="Times New Roman" w:eastAsia="Times New Roman" w:hAnsi="Times New Roman" w:cs="Times New Roman"/>
          <w:sz w:val="24"/>
          <w:szCs w:val="24"/>
          <w:lang w:val="en-US" w:eastAsia="pt-BR"/>
        </w:rPr>
        <w:t>),</w:t>
      </w:r>
      <w:r>
        <w:rPr>
          <w:rFonts w:ascii="Times New Roman" w:eastAsia="Times New Roman" w:hAnsi="Times New Roman" w:cs="Times New Roman"/>
          <w:i/>
          <w:sz w:val="24"/>
          <w:szCs w:val="24"/>
          <w:lang w:val="en-US" w:eastAsia="pt-BR"/>
        </w:rPr>
        <w:t xml:space="preserve"> Money, Distribution, and Economic Policy – Alternatives to Orthodox Macroeconomics</w:t>
      </w:r>
      <w:r>
        <w:rPr>
          <w:rFonts w:ascii="Times New Roman" w:eastAsia="Times New Roman" w:hAnsi="Times New Roman" w:cs="Times New Roman"/>
          <w:sz w:val="24"/>
          <w:szCs w:val="24"/>
          <w:lang w:val="en-US" w:eastAsia="pt-BR"/>
        </w:rPr>
        <w:t xml:space="preserve">. (Cheltenham: Edward Elgar). </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Feijó</w:t>
      </w:r>
      <w:proofErr w:type="spellEnd"/>
      <w:r>
        <w:rPr>
          <w:rFonts w:ascii="Times New Roman" w:hAnsi="Times New Roman" w:cs="Times New Roman"/>
          <w:sz w:val="24"/>
          <w:szCs w:val="24"/>
          <w:lang w:val="en-US"/>
        </w:rPr>
        <w:t xml:space="preserve">, C. A; </w:t>
      </w:r>
      <w:proofErr w:type="spellStart"/>
      <w:r>
        <w:rPr>
          <w:rFonts w:ascii="Times New Roman" w:hAnsi="Times New Roman" w:cs="Times New Roman"/>
          <w:sz w:val="24"/>
          <w:szCs w:val="24"/>
          <w:lang w:val="en-US"/>
        </w:rPr>
        <w:t>Lamonica</w:t>
      </w:r>
      <w:proofErr w:type="spellEnd"/>
      <w:r>
        <w:rPr>
          <w:rFonts w:ascii="Times New Roman" w:hAnsi="Times New Roman" w:cs="Times New Roman"/>
          <w:sz w:val="24"/>
          <w:szCs w:val="24"/>
          <w:lang w:val="en-US"/>
        </w:rPr>
        <w:t>, M. T; Bastos, J. C. A. (2015</w:t>
      </w:r>
      <w:r w:rsidR="00276B15">
        <w:rPr>
          <w:rFonts w:ascii="Times New Roman" w:hAnsi="Times New Roman" w:cs="Times New Roman"/>
          <w:sz w:val="24"/>
          <w:szCs w:val="24"/>
          <w:lang w:val="en-US"/>
        </w:rPr>
        <w:t>a</w:t>
      </w:r>
      <w:r>
        <w:rPr>
          <w:rFonts w:ascii="Times New Roman" w:hAnsi="Times New Roman" w:cs="Times New Roman"/>
          <w:sz w:val="24"/>
          <w:szCs w:val="24"/>
          <w:lang w:val="en-US"/>
        </w:rPr>
        <w:t>)</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Accumulation pattern of the Brazilian economy in the 1990s and 2000s</w:t>
      </w:r>
      <w:r w:rsidR="00B3635C">
        <w:rPr>
          <w:rFonts w:ascii="Times New Roman" w:hAnsi="Times New Roman" w:cs="Times New Roman"/>
          <w:sz w:val="24"/>
          <w:szCs w:val="24"/>
          <w:lang w:val="en-US"/>
        </w:rPr>
        <w:t>.</w:t>
      </w:r>
      <w:r w:rsidR="001001C0">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International Review of Applied Economics,</w:t>
      </w:r>
      <w:r>
        <w:rPr>
          <w:rFonts w:ascii="Times New Roman" w:hAnsi="Times New Roman" w:cs="Times New Roman"/>
          <w:sz w:val="24"/>
          <w:szCs w:val="24"/>
          <w:lang w:val="en-US"/>
        </w:rPr>
        <w:t xml:space="preserve"> 29:1, 15-31</w:t>
      </w:r>
      <w:r w:rsidR="00DC4902">
        <w:rPr>
          <w:rFonts w:ascii="Times New Roman" w:hAnsi="Times New Roman" w:cs="Times New Roman"/>
          <w:sz w:val="24"/>
          <w:szCs w:val="24"/>
          <w:lang w:val="en-US"/>
        </w:rPr>
        <w:t>.</w:t>
      </w:r>
    </w:p>
    <w:p w:rsidR="00DC4902" w:rsidRDefault="00DC4902"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Feijó</w:t>
      </w:r>
      <w:proofErr w:type="spellEnd"/>
      <w:r>
        <w:rPr>
          <w:rFonts w:ascii="Times New Roman" w:hAnsi="Times New Roman" w:cs="Times New Roman"/>
          <w:sz w:val="24"/>
          <w:szCs w:val="24"/>
          <w:lang w:val="en-US"/>
        </w:rPr>
        <w:t xml:space="preserve">, C. A; </w:t>
      </w:r>
      <w:proofErr w:type="spellStart"/>
      <w:r>
        <w:rPr>
          <w:rFonts w:ascii="Times New Roman" w:hAnsi="Times New Roman" w:cs="Times New Roman"/>
          <w:sz w:val="24"/>
          <w:szCs w:val="24"/>
          <w:lang w:val="en-US"/>
        </w:rPr>
        <w:t>Câmara</w:t>
      </w:r>
      <w:proofErr w:type="spellEnd"/>
      <w:r>
        <w:rPr>
          <w:rFonts w:ascii="Times New Roman" w:hAnsi="Times New Roman" w:cs="Times New Roman"/>
          <w:sz w:val="24"/>
          <w:szCs w:val="24"/>
          <w:lang w:val="en-US"/>
        </w:rPr>
        <w:t xml:space="preserve">, F. F; </w:t>
      </w:r>
      <w:proofErr w:type="spellStart"/>
      <w:r>
        <w:rPr>
          <w:rFonts w:ascii="Times New Roman" w:hAnsi="Times New Roman" w:cs="Times New Roman"/>
          <w:sz w:val="24"/>
          <w:szCs w:val="24"/>
          <w:lang w:val="en-US"/>
        </w:rPr>
        <w:t>Cerqueira</w:t>
      </w:r>
      <w:proofErr w:type="spellEnd"/>
      <w:r>
        <w:rPr>
          <w:rFonts w:ascii="Times New Roman" w:hAnsi="Times New Roman" w:cs="Times New Roman"/>
          <w:sz w:val="24"/>
          <w:szCs w:val="24"/>
          <w:lang w:val="en-US"/>
        </w:rPr>
        <w:t>, L. F. (2015</w:t>
      </w:r>
      <w:r w:rsidR="00276B15">
        <w:rPr>
          <w:rFonts w:ascii="Times New Roman" w:hAnsi="Times New Roman" w:cs="Times New Roman"/>
          <w:sz w:val="24"/>
          <w:szCs w:val="24"/>
          <w:lang w:val="en-US"/>
        </w:rPr>
        <w:t>b</w:t>
      </w:r>
      <w:r>
        <w:rPr>
          <w:rFonts w:ascii="Times New Roman" w:hAnsi="Times New Roman" w:cs="Times New Roman"/>
          <w:sz w:val="24"/>
          <w:szCs w:val="24"/>
          <w:lang w:val="en-US"/>
        </w:rPr>
        <w:t>)</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Inflation, growth, and distribution: the Brazilian economy after post war</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Journal of Post Keynesian Economics, </w:t>
      </w:r>
      <w:r>
        <w:rPr>
          <w:rFonts w:ascii="Times New Roman" w:hAnsi="Times New Roman" w:cs="Times New Roman"/>
          <w:sz w:val="24"/>
          <w:szCs w:val="24"/>
          <w:lang w:val="en-US"/>
        </w:rPr>
        <w:t>38(4): 616-636.</w:t>
      </w:r>
    </w:p>
    <w:p w:rsidR="002F4C4B" w:rsidRPr="00420DEE" w:rsidRDefault="002F4C4B" w:rsidP="00784AF0">
      <w:pPr>
        <w:spacing w:after="120" w:line="240" w:lineRule="auto"/>
        <w:jc w:val="both"/>
        <w:rPr>
          <w:rFonts w:ascii="Times New Roman" w:hAnsi="Times New Roman" w:cs="Times New Roman"/>
          <w:sz w:val="24"/>
          <w:szCs w:val="24"/>
          <w:lang w:val="en-US"/>
        </w:rPr>
      </w:pPr>
      <w:proofErr w:type="spellStart"/>
      <w:r w:rsidRPr="00420DEE">
        <w:rPr>
          <w:rFonts w:ascii="Times New Roman" w:hAnsi="Times New Roman" w:cs="Times New Roman"/>
          <w:sz w:val="24"/>
          <w:szCs w:val="24"/>
          <w:lang w:val="en-US"/>
        </w:rPr>
        <w:t>Fishlow</w:t>
      </w:r>
      <w:proofErr w:type="spellEnd"/>
      <w:r w:rsidRPr="00420DEE">
        <w:rPr>
          <w:rFonts w:ascii="Times New Roman" w:hAnsi="Times New Roman" w:cs="Times New Roman"/>
          <w:sz w:val="24"/>
          <w:szCs w:val="24"/>
          <w:lang w:val="en-US"/>
        </w:rPr>
        <w:t>, A.</w:t>
      </w:r>
      <w:r>
        <w:rPr>
          <w:rFonts w:ascii="Times New Roman" w:hAnsi="Times New Roman" w:cs="Times New Roman"/>
          <w:sz w:val="24"/>
          <w:szCs w:val="24"/>
          <w:lang w:val="en-US"/>
        </w:rPr>
        <w:t xml:space="preserve"> (</w:t>
      </w:r>
      <w:r w:rsidRPr="00420DEE">
        <w:rPr>
          <w:rFonts w:ascii="Times New Roman" w:hAnsi="Times New Roman" w:cs="Times New Roman"/>
          <w:sz w:val="24"/>
          <w:szCs w:val="24"/>
          <w:lang w:val="en-US"/>
        </w:rPr>
        <w:t>1972</w:t>
      </w:r>
      <w:r>
        <w:rPr>
          <w:rFonts w:ascii="Times New Roman" w:hAnsi="Times New Roman" w:cs="Times New Roman"/>
          <w:sz w:val="24"/>
          <w:szCs w:val="24"/>
          <w:lang w:val="en-US"/>
        </w:rPr>
        <w:t>),</w:t>
      </w:r>
      <w:r w:rsidRPr="00420DEE">
        <w:rPr>
          <w:rFonts w:ascii="Times New Roman" w:hAnsi="Times New Roman" w:cs="Times New Roman"/>
          <w:sz w:val="24"/>
          <w:szCs w:val="24"/>
          <w:lang w:val="en-US"/>
        </w:rPr>
        <w:t xml:space="preserve"> Brazilian Size Distribution. </w:t>
      </w:r>
      <w:r w:rsidRPr="00420DEE">
        <w:rPr>
          <w:rFonts w:ascii="Times New Roman" w:hAnsi="Times New Roman" w:cs="Times New Roman"/>
          <w:bCs/>
          <w:i/>
          <w:sz w:val="24"/>
          <w:szCs w:val="24"/>
          <w:lang w:val="en-US"/>
        </w:rPr>
        <w:t>The American Economic Review</w:t>
      </w:r>
      <w:r w:rsidRPr="00420DEE">
        <w:rPr>
          <w:rFonts w:ascii="Times New Roman" w:hAnsi="Times New Roman" w:cs="Times New Roman"/>
          <w:i/>
          <w:sz w:val="24"/>
          <w:szCs w:val="24"/>
          <w:lang w:val="en-US"/>
        </w:rPr>
        <w:t>,</w:t>
      </w:r>
      <w:r w:rsidRPr="00420DEE">
        <w:rPr>
          <w:rFonts w:ascii="Times New Roman" w:hAnsi="Times New Roman" w:cs="Times New Roman"/>
          <w:sz w:val="24"/>
          <w:szCs w:val="24"/>
          <w:lang w:val="en-US"/>
        </w:rPr>
        <w:t xml:space="preserve"> v.62, n.</w:t>
      </w:r>
      <w:r>
        <w:rPr>
          <w:rFonts w:ascii="Times New Roman" w:hAnsi="Times New Roman" w:cs="Times New Roman"/>
          <w:sz w:val="24"/>
          <w:szCs w:val="24"/>
          <w:lang w:val="en-US"/>
        </w:rPr>
        <w:t xml:space="preserve"> 1/</w:t>
      </w:r>
      <w:r w:rsidRPr="00420DEE">
        <w:rPr>
          <w:rFonts w:ascii="Times New Roman" w:hAnsi="Times New Roman" w:cs="Times New Roman"/>
          <w:sz w:val="24"/>
          <w:szCs w:val="24"/>
          <w:lang w:val="en-US"/>
        </w:rPr>
        <w:t>2, 391-402, ma</w:t>
      </w:r>
      <w:r>
        <w:rPr>
          <w:rFonts w:ascii="Times New Roman" w:hAnsi="Times New Roman" w:cs="Times New Roman"/>
          <w:sz w:val="24"/>
          <w:szCs w:val="24"/>
          <w:lang w:val="en-US"/>
        </w:rPr>
        <w:t>r</w:t>
      </w:r>
      <w:r w:rsidRPr="00420D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20DEE">
        <w:rPr>
          <w:rFonts w:ascii="Times New Roman" w:hAnsi="Times New Roman" w:cs="Times New Roman"/>
          <w:sz w:val="24"/>
          <w:szCs w:val="24"/>
          <w:lang w:val="en-US"/>
        </w:rPr>
        <w:t xml:space="preserve"> </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Hein, E; Vogel, L. (2008)</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Distribution and growth reconsidered: empirical results for six OECD countries. </w:t>
      </w:r>
      <w:r>
        <w:rPr>
          <w:rFonts w:ascii="Times New Roman" w:eastAsia="Times New Roman" w:hAnsi="Times New Roman" w:cs="Times New Roman"/>
          <w:i/>
          <w:sz w:val="24"/>
          <w:szCs w:val="24"/>
          <w:lang w:val="en-US" w:eastAsia="pt-BR"/>
        </w:rPr>
        <w:t>Cambridge Journal of Economics,</w:t>
      </w:r>
      <w:r>
        <w:rPr>
          <w:rFonts w:ascii="Times New Roman" w:eastAsia="Times New Roman" w:hAnsi="Times New Roman" w:cs="Times New Roman"/>
          <w:sz w:val="24"/>
          <w:szCs w:val="24"/>
          <w:lang w:val="en-US" w:eastAsia="pt-BR"/>
        </w:rPr>
        <w:t xml:space="preserve"> 32(3), p. 479–511.</w:t>
      </w:r>
    </w:p>
    <w:p w:rsidR="00B24A16" w:rsidRDefault="00B24A16" w:rsidP="00784AF0">
      <w:pPr>
        <w:autoSpaceDE w:val="0"/>
        <w:autoSpaceDN w:val="0"/>
        <w:adjustRightInd w:val="0"/>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Hein, E. (2014)</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Distribution and Growth </w:t>
      </w:r>
      <w:proofErr w:type="gramStart"/>
      <w:r>
        <w:rPr>
          <w:rFonts w:ascii="Times New Roman" w:hAnsi="Times New Roman" w:cs="Times New Roman"/>
          <w:i/>
          <w:iCs/>
          <w:sz w:val="24"/>
          <w:szCs w:val="24"/>
          <w:lang w:val="en-US"/>
        </w:rPr>
        <w:t>After</w:t>
      </w:r>
      <w:proofErr w:type="gramEnd"/>
      <w:r>
        <w:rPr>
          <w:rFonts w:ascii="Times New Roman" w:hAnsi="Times New Roman" w:cs="Times New Roman"/>
          <w:i/>
          <w:iCs/>
          <w:sz w:val="24"/>
          <w:szCs w:val="24"/>
          <w:lang w:val="en-US"/>
        </w:rPr>
        <w:t xml:space="preserve"> Keynes: A Post-Keynesian Guide</w:t>
      </w:r>
      <w:r>
        <w:rPr>
          <w:rFonts w:ascii="Times New Roman" w:hAnsi="Times New Roman" w:cs="Times New Roman"/>
          <w:sz w:val="24"/>
          <w:szCs w:val="24"/>
          <w:lang w:val="en-US"/>
        </w:rPr>
        <w:t>, Cheltenham, UK, Edward Elgar.</w:t>
      </w:r>
    </w:p>
    <w:p w:rsidR="002F4C4B" w:rsidRPr="00420DEE" w:rsidRDefault="002F4C4B" w:rsidP="00784AF0">
      <w:pPr>
        <w:spacing w:after="120" w:line="240" w:lineRule="auto"/>
        <w:jc w:val="both"/>
        <w:rPr>
          <w:rFonts w:ascii="Times New Roman" w:hAnsi="Times New Roman" w:cs="Times New Roman"/>
          <w:sz w:val="24"/>
          <w:szCs w:val="24"/>
        </w:rPr>
      </w:pPr>
      <w:r w:rsidRPr="00420DEE">
        <w:rPr>
          <w:rFonts w:ascii="Times New Roman" w:hAnsi="Times New Roman" w:cs="Times New Roman"/>
          <w:sz w:val="24"/>
          <w:szCs w:val="24"/>
        </w:rPr>
        <w:t>Hoffmann, R.</w:t>
      </w:r>
      <w:r>
        <w:rPr>
          <w:rFonts w:ascii="Times New Roman" w:hAnsi="Times New Roman" w:cs="Times New Roman"/>
          <w:sz w:val="24"/>
          <w:szCs w:val="24"/>
        </w:rPr>
        <w:t>;</w:t>
      </w:r>
      <w:r w:rsidRPr="00420DEE">
        <w:rPr>
          <w:rFonts w:ascii="Times New Roman" w:hAnsi="Times New Roman" w:cs="Times New Roman"/>
          <w:sz w:val="24"/>
          <w:szCs w:val="24"/>
        </w:rPr>
        <w:t xml:space="preserve"> Duarte</w:t>
      </w:r>
      <w:r>
        <w:rPr>
          <w:rFonts w:ascii="Times New Roman" w:hAnsi="Times New Roman" w:cs="Times New Roman"/>
          <w:sz w:val="24"/>
          <w:szCs w:val="24"/>
        </w:rPr>
        <w:t>, J. C.</w:t>
      </w:r>
      <w:r w:rsidRPr="00420DEE">
        <w:rPr>
          <w:rFonts w:ascii="Times New Roman" w:hAnsi="Times New Roman" w:cs="Times New Roman"/>
          <w:sz w:val="24"/>
          <w:szCs w:val="24"/>
        </w:rPr>
        <w:t xml:space="preserve"> </w:t>
      </w:r>
      <w:r>
        <w:rPr>
          <w:rFonts w:ascii="Times New Roman" w:hAnsi="Times New Roman" w:cs="Times New Roman"/>
          <w:sz w:val="24"/>
          <w:szCs w:val="24"/>
        </w:rPr>
        <w:t>(</w:t>
      </w:r>
      <w:r w:rsidRPr="00420DEE">
        <w:rPr>
          <w:rFonts w:ascii="Times New Roman" w:hAnsi="Times New Roman" w:cs="Times New Roman"/>
          <w:sz w:val="24"/>
          <w:szCs w:val="24"/>
        </w:rPr>
        <w:t>1972</w:t>
      </w:r>
      <w:r>
        <w:rPr>
          <w:rFonts w:ascii="Times New Roman" w:hAnsi="Times New Roman" w:cs="Times New Roman"/>
          <w:sz w:val="24"/>
          <w:szCs w:val="24"/>
        </w:rPr>
        <w:t xml:space="preserve">), </w:t>
      </w:r>
      <w:r w:rsidRPr="00420DEE">
        <w:rPr>
          <w:rFonts w:ascii="Times New Roman" w:hAnsi="Times New Roman" w:cs="Times New Roman"/>
          <w:sz w:val="24"/>
          <w:szCs w:val="24"/>
        </w:rPr>
        <w:t>A Distribuição de Renda no Brasil.</w:t>
      </w:r>
      <w:r>
        <w:rPr>
          <w:rFonts w:ascii="Times New Roman" w:hAnsi="Times New Roman" w:cs="Times New Roman"/>
          <w:i/>
          <w:iCs/>
          <w:sz w:val="24"/>
          <w:szCs w:val="24"/>
        </w:rPr>
        <w:t xml:space="preserve"> </w:t>
      </w:r>
      <w:r w:rsidRPr="00420DEE">
        <w:rPr>
          <w:rFonts w:ascii="Times New Roman" w:hAnsi="Times New Roman" w:cs="Times New Roman"/>
          <w:bCs/>
          <w:i/>
          <w:sz w:val="24"/>
          <w:szCs w:val="24"/>
        </w:rPr>
        <w:t>Revista de Administração de Empresas</w:t>
      </w:r>
      <w:r w:rsidRPr="00420DEE">
        <w:rPr>
          <w:rFonts w:ascii="Times New Roman" w:hAnsi="Times New Roman" w:cs="Times New Roman"/>
          <w:i/>
          <w:sz w:val="24"/>
          <w:szCs w:val="24"/>
        </w:rPr>
        <w:t>,</w:t>
      </w:r>
      <w:r w:rsidRPr="00420DEE">
        <w:rPr>
          <w:rFonts w:ascii="Times New Roman" w:hAnsi="Times New Roman" w:cs="Times New Roman"/>
          <w:sz w:val="24"/>
          <w:szCs w:val="24"/>
        </w:rPr>
        <w:t xml:space="preserve"> Fundação Getúlio Vargas, São Paulo, v.12, n.2, 46-66.</w:t>
      </w:r>
    </w:p>
    <w:p w:rsidR="00B24A16" w:rsidRDefault="00B24A16" w:rsidP="00784AF0">
      <w:pPr>
        <w:autoSpaceDE w:val="0"/>
        <w:autoSpaceDN w:val="0"/>
        <w:adjustRightInd w:val="0"/>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Kaldor</w:t>
      </w:r>
      <w:proofErr w:type="spellEnd"/>
      <w:r>
        <w:rPr>
          <w:rFonts w:ascii="Times New Roman" w:hAnsi="Times New Roman" w:cs="Times New Roman"/>
          <w:sz w:val="24"/>
          <w:szCs w:val="24"/>
          <w:lang w:val="en-US"/>
        </w:rPr>
        <w:t>, N. (1956)</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model of economic growth. </w:t>
      </w:r>
      <w:r>
        <w:rPr>
          <w:rFonts w:ascii="Times New Roman" w:hAnsi="Times New Roman" w:cs="Times New Roman"/>
          <w:i/>
          <w:sz w:val="24"/>
          <w:szCs w:val="24"/>
          <w:lang w:val="en-US"/>
        </w:rPr>
        <w:t xml:space="preserve">The Economic Journal, </w:t>
      </w:r>
      <w:r>
        <w:rPr>
          <w:rFonts w:ascii="Times New Roman" w:hAnsi="Times New Roman" w:cs="Times New Roman"/>
          <w:sz w:val="24"/>
          <w:szCs w:val="24"/>
          <w:lang w:val="en-US"/>
        </w:rPr>
        <w:t>v. 67, p. 591–624.</w:t>
      </w:r>
    </w:p>
    <w:p w:rsidR="002F4C4B" w:rsidRPr="002F4C4B" w:rsidRDefault="002F4C4B" w:rsidP="00784AF0">
      <w:pPr>
        <w:spacing w:after="120" w:line="240" w:lineRule="auto"/>
        <w:jc w:val="both"/>
        <w:rPr>
          <w:rFonts w:ascii="Times New Roman" w:hAnsi="Times New Roman" w:cs="Times New Roman"/>
          <w:sz w:val="24"/>
          <w:szCs w:val="24"/>
          <w:lang w:val="en-US"/>
        </w:rPr>
      </w:pPr>
      <w:proofErr w:type="spellStart"/>
      <w:r w:rsidRPr="00420DEE">
        <w:rPr>
          <w:rFonts w:ascii="Times New Roman" w:hAnsi="Times New Roman" w:cs="Times New Roman"/>
          <w:sz w:val="24"/>
          <w:szCs w:val="24"/>
        </w:rPr>
        <w:lastRenderedPageBreak/>
        <w:t>Langoni</w:t>
      </w:r>
      <w:proofErr w:type="spellEnd"/>
      <w:r w:rsidRPr="00420DEE">
        <w:rPr>
          <w:rFonts w:ascii="Times New Roman" w:hAnsi="Times New Roman" w:cs="Times New Roman"/>
          <w:sz w:val="24"/>
          <w:szCs w:val="24"/>
        </w:rPr>
        <w:t>, C. A</w:t>
      </w:r>
      <w:r>
        <w:rPr>
          <w:rFonts w:ascii="Times New Roman" w:hAnsi="Times New Roman" w:cs="Times New Roman"/>
          <w:sz w:val="24"/>
          <w:szCs w:val="24"/>
        </w:rPr>
        <w:t>.</w:t>
      </w:r>
      <w:r w:rsidRPr="00420DEE">
        <w:rPr>
          <w:rFonts w:ascii="Times New Roman" w:hAnsi="Times New Roman" w:cs="Times New Roman"/>
          <w:sz w:val="24"/>
          <w:szCs w:val="24"/>
        </w:rPr>
        <w:t xml:space="preserve"> </w:t>
      </w:r>
      <w:r>
        <w:rPr>
          <w:rFonts w:ascii="Times New Roman" w:hAnsi="Times New Roman" w:cs="Times New Roman"/>
          <w:sz w:val="24"/>
          <w:szCs w:val="24"/>
        </w:rPr>
        <w:t>(</w:t>
      </w:r>
      <w:r w:rsidRPr="00420DEE">
        <w:rPr>
          <w:rFonts w:ascii="Times New Roman" w:hAnsi="Times New Roman" w:cs="Times New Roman"/>
          <w:sz w:val="24"/>
          <w:szCs w:val="24"/>
        </w:rPr>
        <w:t>1973</w:t>
      </w:r>
      <w:r>
        <w:rPr>
          <w:rFonts w:ascii="Times New Roman" w:hAnsi="Times New Roman" w:cs="Times New Roman"/>
          <w:sz w:val="24"/>
          <w:szCs w:val="24"/>
        </w:rPr>
        <w:t xml:space="preserve">), </w:t>
      </w:r>
      <w:r w:rsidRPr="00420DEE">
        <w:rPr>
          <w:rFonts w:ascii="Times New Roman" w:hAnsi="Times New Roman" w:cs="Times New Roman"/>
          <w:bCs/>
          <w:i/>
          <w:sz w:val="24"/>
          <w:szCs w:val="24"/>
        </w:rPr>
        <w:t>Distribuição de Renda e Desenvolvimento Econômico no Brasil</w:t>
      </w:r>
      <w:r w:rsidRPr="00420DEE">
        <w:rPr>
          <w:rFonts w:ascii="Times New Roman" w:hAnsi="Times New Roman" w:cs="Times New Roman"/>
          <w:i/>
          <w:sz w:val="24"/>
          <w:szCs w:val="24"/>
        </w:rPr>
        <w:t>.</w:t>
      </w:r>
      <w:r w:rsidRPr="00420DEE">
        <w:rPr>
          <w:rFonts w:ascii="Times New Roman" w:hAnsi="Times New Roman" w:cs="Times New Roman"/>
          <w:sz w:val="24"/>
          <w:szCs w:val="24"/>
        </w:rPr>
        <w:t xml:space="preserve"> </w:t>
      </w:r>
      <w:r w:rsidRPr="002F4C4B">
        <w:rPr>
          <w:rFonts w:ascii="Times New Roman" w:hAnsi="Times New Roman" w:cs="Times New Roman"/>
          <w:sz w:val="24"/>
          <w:szCs w:val="24"/>
          <w:lang w:val="en-US"/>
        </w:rPr>
        <w:t xml:space="preserve">Rio de Janeiro: </w:t>
      </w:r>
      <w:proofErr w:type="spellStart"/>
      <w:r w:rsidRPr="002F4C4B">
        <w:rPr>
          <w:rFonts w:ascii="Times New Roman" w:hAnsi="Times New Roman" w:cs="Times New Roman"/>
          <w:sz w:val="24"/>
          <w:szCs w:val="24"/>
          <w:lang w:val="en-US"/>
        </w:rPr>
        <w:t>Editora</w:t>
      </w:r>
      <w:proofErr w:type="spellEnd"/>
      <w:r w:rsidRPr="002F4C4B">
        <w:rPr>
          <w:rFonts w:ascii="Times New Roman" w:hAnsi="Times New Roman" w:cs="Times New Roman"/>
          <w:sz w:val="24"/>
          <w:szCs w:val="24"/>
          <w:lang w:val="en-US"/>
        </w:rPr>
        <w:t xml:space="preserve"> </w:t>
      </w:r>
      <w:proofErr w:type="spellStart"/>
      <w:r w:rsidRPr="002F4C4B">
        <w:rPr>
          <w:rFonts w:ascii="Times New Roman" w:hAnsi="Times New Roman" w:cs="Times New Roman"/>
          <w:sz w:val="24"/>
          <w:szCs w:val="24"/>
          <w:lang w:val="en-US"/>
        </w:rPr>
        <w:t>Expressão</w:t>
      </w:r>
      <w:proofErr w:type="spellEnd"/>
      <w:r w:rsidRPr="002F4C4B">
        <w:rPr>
          <w:rFonts w:ascii="Times New Roman" w:hAnsi="Times New Roman" w:cs="Times New Roman"/>
          <w:sz w:val="24"/>
          <w:szCs w:val="24"/>
          <w:lang w:val="en-US"/>
        </w:rPr>
        <w:t xml:space="preserve"> e </w:t>
      </w:r>
      <w:proofErr w:type="spellStart"/>
      <w:r w:rsidRPr="002F4C4B">
        <w:rPr>
          <w:rFonts w:ascii="Times New Roman" w:hAnsi="Times New Roman" w:cs="Times New Roman"/>
          <w:sz w:val="24"/>
          <w:szCs w:val="24"/>
          <w:lang w:val="en-US"/>
        </w:rPr>
        <w:t>Cultura</w:t>
      </w:r>
      <w:proofErr w:type="spellEnd"/>
      <w:r w:rsidRPr="002F4C4B">
        <w:rPr>
          <w:rFonts w:ascii="Times New Roman" w:hAnsi="Times New Roman" w:cs="Times New Roman"/>
          <w:sz w:val="24"/>
          <w:szCs w:val="24"/>
          <w:lang w:val="en-US"/>
        </w:rPr>
        <w:t>.</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Lavoie, M. (2010)</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Surveying short-run and long-run stability issues with the Kaleckian model of growth. In: M. Setterfield (</w:t>
      </w:r>
      <w:proofErr w:type="gramStart"/>
      <w:r>
        <w:rPr>
          <w:rFonts w:ascii="Times New Roman" w:eastAsia="Times New Roman" w:hAnsi="Times New Roman" w:cs="Times New Roman"/>
          <w:sz w:val="24"/>
          <w:szCs w:val="24"/>
          <w:lang w:val="en-US" w:eastAsia="pt-BR"/>
        </w:rPr>
        <w:t>ed</w:t>
      </w:r>
      <w:proofErr w:type="gramEnd"/>
      <w:r>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i/>
          <w:iCs/>
          <w:sz w:val="24"/>
          <w:szCs w:val="24"/>
          <w:lang w:val="en-US" w:eastAsia="pt-BR"/>
        </w:rPr>
        <w:t>Handbook of Alternative Theories of Economic Growth</w:t>
      </w:r>
      <w:r>
        <w:rPr>
          <w:rFonts w:ascii="Times New Roman" w:eastAsia="Times New Roman" w:hAnsi="Times New Roman" w:cs="Times New Roman"/>
          <w:sz w:val="24"/>
          <w:szCs w:val="24"/>
          <w:lang w:val="en-US" w:eastAsia="pt-BR"/>
        </w:rPr>
        <w:t xml:space="preserve">. Edward Elgar. </w:t>
      </w:r>
      <w:proofErr w:type="spellStart"/>
      <w:r>
        <w:rPr>
          <w:rFonts w:ascii="Times New Roman" w:eastAsia="Times New Roman" w:hAnsi="Times New Roman" w:cs="Times New Roman"/>
          <w:sz w:val="24"/>
          <w:szCs w:val="24"/>
          <w:lang w:val="en-US" w:eastAsia="pt-BR"/>
        </w:rPr>
        <w:t>Chelteham</w:t>
      </w:r>
      <w:proofErr w:type="spellEnd"/>
      <w:r>
        <w:rPr>
          <w:rFonts w:ascii="Times New Roman" w:eastAsia="Times New Roman" w:hAnsi="Times New Roman" w:cs="Times New Roman"/>
          <w:sz w:val="24"/>
          <w:szCs w:val="24"/>
          <w:lang w:val="en-US" w:eastAsia="pt-BR"/>
        </w:rPr>
        <w:t xml:space="preserve"> (UK), and </w:t>
      </w:r>
      <w:proofErr w:type="spellStart"/>
      <w:r>
        <w:rPr>
          <w:rFonts w:ascii="Times New Roman" w:eastAsia="Times New Roman" w:hAnsi="Times New Roman" w:cs="Times New Roman"/>
          <w:sz w:val="24"/>
          <w:szCs w:val="24"/>
          <w:lang w:val="en-US" w:eastAsia="pt-BR"/>
        </w:rPr>
        <w:t>Northwampton</w:t>
      </w:r>
      <w:proofErr w:type="spellEnd"/>
      <w:r>
        <w:rPr>
          <w:rFonts w:ascii="Times New Roman" w:eastAsia="Times New Roman" w:hAnsi="Times New Roman" w:cs="Times New Roman"/>
          <w:sz w:val="24"/>
          <w:szCs w:val="24"/>
          <w:lang w:val="en-US" w:eastAsia="pt-BR"/>
        </w:rPr>
        <w:t>, (USA), 132-156.</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Marquetti, A.</w:t>
      </w:r>
      <w:r w:rsidR="00C379F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Porsse</w:t>
      </w:r>
      <w:proofErr w:type="spellEnd"/>
      <w:r>
        <w:rPr>
          <w:rFonts w:ascii="Times New Roman" w:hAnsi="Times New Roman" w:cs="Times New Roman"/>
          <w:sz w:val="24"/>
          <w:szCs w:val="24"/>
          <w:lang w:val="en-US"/>
        </w:rPr>
        <w:t>, M. C. S. (2014)</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Style w:val="st"/>
          <w:rFonts w:ascii="Times New Roman" w:hAnsi="Times New Roman" w:cs="Times New Roman"/>
          <w:sz w:val="24"/>
          <w:szCs w:val="24"/>
          <w:lang w:val="en-US"/>
        </w:rPr>
        <w:t xml:space="preserve">Patterns of technical progress in the Brazilian economy, 1952-2008. </w:t>
      </w:r>
      <w:proofErr w:type="spellStart"/>
      <w:r>
        <w:rPr>
          <w:rStyle w:val="st"/>
          <w:rFonts w:ascii="Times New Roman" w:hAnsi="Times New Roman" w:cs="Times New Roman"/>
          <w:i/>
          <w:sz w:val="24"/>
          <w:szCs w:val="24"/>
          <w:lang w:val="en-US"/>
        </w:rPr>
        <w:t>Cepal</w:t>
      </w:r>
      <w:proofErr w:type="spellEnd"/>
      <w:r>
        <w:rPr>
          <w:rStyle w:val="st"/>
          <w:rFonts w:ascii="Times New Roman" w:hAnsi="Times New Roman" w:cs="Times New Roman"/>
          <w:i/>
          <w:sz w:val="24"/>
          <w:szCs w:val="24"/>
          <w:lang w:val="en-US"/>
        </w:rPr>
        <w:t xml:space="preserve"> Review</w:t>
      </w:r>
      <w:r>
        <w:rPr>
          <w:rStyle w:val="st"/>
          <w:rFonts w:ascii="Times New Roman" w:hAnsi="Times New Roman" w:cs="Times New Roman"/>
          <w:sz w:val="24"/>
          <w:szCs w:val="24"/>
          <w:lang w:val="en-US"/>
        </w:rPr>
        <w:t>, v. 113, p. 57-73.</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Marrone, H. (2015)</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Do demand and profitability stimulate capital accumulation? An analysis fir Brazil</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Cepal</w:t>
      </w:r>
      <w:proofErr w:type="spellEnd"/>
      <w:r>
        <w:rPr>
          <w:rFonts w:ascii="Times New Roman" w:hAnsi="Times New Roman" w:cs="Times New Roman"/>
          <w:i/>
          <w:sz w:val="24"/>
          <w:szCs w:val="24"/>
          <w:lang w:val="en-US"/>
        </w:rPr>
        <w:t xml:space="preserve"> Review,</w:t>
      </w:r>
      <w:r>
        <w:rPr>
          <w:rFonts w:ascii="Times New Roman" w:hAnsi="Times New Roman" w:cs="Times New Roman"/>
          <w:sz w:val="24"/>
          <w:szCs w:val="24"/>
          <w:lang w:val="en-US"/>
        </w:rPr>
        <w:t xml:space="preserve"> v. 116, p. 159-170.</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eastAsia="Times New Roman" w:hAnsi="Times New Roman" w:cs="Times New Roman"/>
          <w:sz w:val="24"/>
          <w:szCs w:val="24"/>
          <w:lang w:val="en-US" w:eastAsia="pt-BR"/>
        </w:rPr>
        <w:t>Naastepad</w:t>
      </w:r>
      <w:proofErr w:type="spellEnd"/>
      <w:r>
        <w:rPr>
          <w:rFonts w:ascii="Times New Roman" w:eastAsia="Times New Roman" w:hAnsi="Times New Roman" w:cs="Times New Roman"/>
          <w:sz w:val="24"/>
          <w:szCs w:val="24"/>
          <w:lang w:val="en-US" w:eastAsia="pt-BR"/>
        </w:rPr>
        <w:t>, C.; Storm, S. (2007)</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OECD demand regimes (1960-2000)</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i/>
          <w:sz w:val="24"/>
          <w:szCs w:val="24"/>
          <w:lang w:val="en-US" w:eastAsia="pt-BR"/>
        </w:rPr>
        <w:t xml:space="preserve"> Journal of Post-Keynesian Economics</w:t>
      </w:r>
      <w:r>
        <w:rPr>
          <w:rFonts w:ascii="Times New Roman" w:eastAsia="Times New Roman" w:hAnsi="Times New Roman" w:cs="Times New Roman"/>
          <w:sz w:val="24"/>
          <w:szCs w:val="24"/>
          <w:lang w:val="en-US" w:eastAsia="pt-BR"/>
        </w:rPr>
        <w:t>, 29(2), p. 211-246.</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Naastepad</w:t>
      </w:r>
      <w:proofErr w:type="spellEnd"/>
      <w:r>
        <w:rPr>
          <w:rFonts w:ascii="Times New Roman" w:hAnsi="Times New Roman" w:cs="Times New Roman"/>
          <w:sz w:val="24"/>
          <w:szCs w:val="24"/>
          <w:lang w:val="en-US"/>
        </w:rPr>
        <w:t>, C. W. M. (2006)</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Technology, demand and distribution: a cumulative growth model with an application to the Dutch productivity slowdown</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Cambridge Journal of Economics</w:t>
      </w:r>
      <w:r>
        <w:rPr>
          <w:rFonts w:ascii="Times New Roman" w:hAnsi="Times New Roman" w:cs="Times New Roman"/>
          <w:sz w:val="24"/>
          <w:szCs w:val="24"/>
          <w:lang w:val="en-US"/>
        </w:rPr>
        <w:t xml:space="preserve">, vol. 30, no. 3, 403-34. </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Nishi, H. (2012)</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Structural VAR analysis of debt, capital accumulation, and income distribution in Japanese economy: A Post-Keynesian perspective</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Journal of Post Keynesian Economics, </w:t>
      </w:r>
      <w:r>
        <w:rPr>
          <w:rFonts w:ascii="Times New Roman" w:hAnsi="Times New Roman" w:cs="Times New Roman"/>
          <w:sz w:val="24"/>
          <w:szCs w:val="24"/>
          <w:lang w:val="en-US"/>
        </w:rPr>
        <w:t>34 (4): 685-712.</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Onaran</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E. (2005)</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Two</w:t>
      </w:r>
      <w:proofErr w:type="gramEnd"/>
      <w:r>
        <w:rPr>
          <w:rFonts w:ascii="Times New Roman" w:hAnsi="Times New Roman" w:cs="Times New Roman"/>
          <w:sz w:val="24"/>
          <w:szCs w:val="24"/>
          <w:lang w:val="en-US"/>
        </w:rPr>
        <w:t xml:space="preserve"> different export-oriented growth strategies: accumulation and distribution in Turkey and South Korea</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Emerging Markets Finance and Trade,</w:t>
      </w:r>
      <w:r>
        <w:rPr>
          <w:rFonts w:ascii="Times New Roman" w:hAnsi="Times New Roman" w:cs="Times New Roman"/>
          <w:sz w:val="24"/>
          <w:szCs w:val="24"/>
          <w:lang w:val="en-US"/>
        </w:rPr>
        <w:t xml:space="preserve"> vol. 41, no. 1, 65-89. </w:t>
      </w:r>
    </w:p>
    <w:p w:rsidR="001001C0" w:rsidRPr="001001C0" w:rsidRDefault="00B24A16" w:rsidP="00784AF0">
      <w:pPr>
        <w:spacing w:after="120" w:line="240" w:lineRule="auto"/>
        <w:jc w:val="both"/>
        <w:rPr>
          <w:rFonts w:ascii="Times New Roman" w:eastAsia="Times New Roman" w:hAnsi="Times New Roman" w:cs="Times New Roman"/>
          <w:color w:val="000000"/>
          <w:sz w:val="24"/>
          <w:szCs w:val="24"/>
          <w:lang w:val="en-US" w:eastAsia="pt-BR"/>
        </w:rPr>
      </w:pPr>
      <w:proofErr w:type="spellStart"/>
      <w:r>
        <w:rPr>
          <w:rFonts w:ascii="Times New Roman" w:hAnsi="Times New Roman" w:cs="Times New Roman"/>
          <w:sz w:val="24"/>
          <w:szCs w:val="24"/>
          <w:lang w:val="en-US"/>
        </w:rPr>
        <w:t>Onaran</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Obst</w:t>
      </w:r>
      <w:proofErr w:type="spellEnd"/>
      <w:r>
        <w:rPr>
          <w:rFonts w:ascii="Times New Roman" w:hAnsi="Times New Roman" w:cs="Times New Roman"/>
          <w:sz w:val="24"/>
          <w:szCs w:val="24"/>
          <w:lang w:val="en-US"/>
        </w:rPr>
        <w:t>, T. (2016)</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Wage-led growth in the EU15 mem</w:t>
      </w:r>
      <w:r w:rsidRPr="001001C0">
        <w:rPr>
          <w:rFonts w:ascii="Times New Roman" w:hAnsi="Times New Roman" w:cs="Times New Roman"/>
          <w:sz w:val="24"/>
          <w:szCs w:val="24"/>
          <w:lang w:val="en-US"/>
        </w:rPr>
        <w:t>ber-states: the effects of income distribution on growth, investment, trade balance and inflation</w:t>
      </w:r>
      <w:r w:rsidR="00B3635C">
        <w:rPr>
          <w:rFonts w:ascii="Times New Roman" w:hAnsi="Times New Roman" w:cs="Times New Roman"/>
          <w:sz w:val="24"/>
          <w:szCs w:val="24"/>
          <w:lang w:val="en-US"/>
        </w:rPr>
        <w:t>.</w:t>
      </w:r>
      <w:r w:rsidRPr="001001C0">
        <w:rPr>
          <w:rFonts w:ascii="Times New Roman" w:hAnsi="Times New Roman" w:cs="Times New Roman"/>
          <w:sz w:val="24"/>
          <w:szCs w:val="24"/>
          <w:lang w:val="en-US"/>
        </w:rPr>
        <w:t xml:space="preserve"> </w:t>
      </w:r>
      <w:r w:rsidRPr="001001C0">
        <w:rPr>
          <w:rFonts w:ascii="Times New Roman" w:hAnsi="Times New Roman" w:cs="Times New Roman"/>
          <w:i/>
          <w:sz w:val="24"/>
          <w:szCs w:val="24"/>
          <w:lang w:val="en-US"/>
        </w:rPr>
        <w:t xml:space="preserve">Cambridge Journal of Economics, </w:t>
      </w:r>
      <w:r w:rsidR="001001C0" w:rsidRPr="001001C0">
        <w:rPr>
          <w:rFonts w:ascii="Times New Roman" w:hAnsi="Times New Roman" w:cs="Times New Roman"/>
          <w:sz w:val="24"/>
          <w:szCs w:val="24"/>
          <w:lang w:val="en-US"/>
        </w:rPr>
        <w:t xml:space="preserve">Advance Access, </w:t>
      </w:r>
      <w:r w:rsidR="001001C0" w:rsidRPr="001001C0">
        <w:rPr>
          <w:rFonts w:ascii="Times New Roman" w:eastAsia="Times New Roman" w:hAnsi="Times New Roman" w:cs="Times New Roman"/>
          <w:color w:val="000000"/>
          <w:sz w:val="24"/>
          <w:szCs w:val="24"/>
          <w:lang w:val="en-US" w:eastAsia="pt-BR"/>
        </w:rPr>
        <w:t>10.1093/</w:t>
      </w:r>
      <w:proofErr w:type="spellStart"/>
      <w:r w:rsidR="001001C0" w:rsidRPr="001001C0">
        <w:rPr>
          <w:rFonts w:ascii="Times New Roman" w:eastAsia="Times New Roman" w:hAnsi="Times New Roman" w:cs="Times New Roman"/>
          <w:color w:val="000000"/>
          <w:sz w:val="24"/>
          <w:szCs w:val="24"/>
          <w:lang w:val="en-US" w:eastAsia="pt-BR"/>
        </w:rPr>
        <w:t>cje</w:t>
      </w:r>
      <w:proofErr w:type="spellEnd"/>
      <w:r w:rsidR="001001C0" w:rsidRPr="001001C0">
        <w:rPr>
          <w:rFonts w:ascii="Times New Roman" w:eastAsia="Times New Roman" w:hAnsi="Times New Roman" w:cs="Times New Roman"/>
          <w:color w:val="000000"/>
          <w:sz w:val="24"/>
          <w:szCs w:val="24"/>
          <w:lang w:val="en-US" w:eastAsia="pt-BR"/>
        </w:rPr>
        <w:t>/bew009.</w:t>
      </w:r>
      <w:r w:rsidR="001001C0">
        <w:rPr>
          <w:rFonts w:ascii="Times New Roman" w:eastAsia="Times New Roman" w:hAnsi="Times New Roman" w:cs="Times New Roman"/>
          <w:color w:val="000000"/>
          <w:sz w:val="24"/>
          <w:szCs w:val="24"/>
          <w:lang w:val="en-US" w:eastAsia="pt-BR"/>
        </w:rPr>
        <w:t xml:space="preserve"> </w:t>
      </w:r>
    </w:p>
    <w:p w:rsidR="000D6691" w:rsidRPr="000D6691" w:rsidRDefault="000D6691" w:rsidP="00784AF0">
      <w:pPr>
        <w:spacing w:after="120" w:line="240" w:lineRule="auto"/>
        <w:jc w:val="both"/>
        <w:rPr>
          <w:rFonts w:ascii="Times New Roman" w:hAnsi="Times New Roman" w:cs="Times New Roman"/>
          <w:sz w:val="24"/>
          <w:szCs w:val="24"/>
          <w:shd w:val="clear" w:color="auto" w:fill="FFFFFF"/>
          <w:lang w:val="en-GB"/>
        </w:rPr>
      </w:pPr>
      <w:proofErr w:type="spellStart"/>
      <w:r w:rsidRPr="000D6691">
        <w:rPr>
          <w:rFonts w:ascii="Times New Roman" w:hAnsi="Times New Roman" w:cs="Times New Roman"/>
          <w:sz w:val="24"/>
          <w:szCs w:val="24"/>
          <w:shd w:val="clear" w:color="auto" w:fill="FFFFFF"/>
          <w:lang w:val="en-GB"/>
        </w:rPr>
        <w:t>Onaran</w:t>
      </w:r>
      <w:proofErr w:type="spellEnd"/>
      <w:r w:rsidRPr="000D6691">
        <w:rPr>
          <w:rFonts w:ascii="Times New Roman" w:hAnsi="Times New Roman" w:cs="Times New Roman"/>
          <w:sz w:val="24"/>
          <w:szCs w:val="24"/>
          <w:shd w:val="clear" w:color="auto" w:fill="FFFFFF"/>
          <w:lang w:val="en-GB"/>
        </w:rPr>
        <w:t xml:space="preserve">, O. and </w:t>
      </w:r>
      <w:proofErr w:type="spellStart"/>
      <w:r w:rsidRPr="000D6691">
        <w:rPr>
          <w:rFonts w:ascii="Times New Roman" w:hAnsi="Times New Roman" w:cs="Times New Roman"/>
          <w:sz w:val="24"/>
          <w:szCs w:val="24"/>
          <w:shd w:val="clear" w:color="auto" w:fill="FFFFFF"/>
          <w:lang w:val="en-GB"/>
        </w:rPr>
        <w:t>Stockhammer</w:t>
      </w:r>
      <w:proofErr w:type="spellEnd"/>
      <w:r w:rsidRPr="000D6691">
        <w:rPr>
          <w:rFonts w:ascii="Times New Roman" w:hAnsi="Times New Roman" w:cs="Times New Roman"/>
          <w:sz w:val="24"/>
          <w:szCs w:val="24"/>
          <w:shd w:val="clear" w:color="auto" w:fill="FFFFFF"/>
          <w:lang w:val="en-GB"/>
        </w:rPr>
        <w:t xml:space="preserve">, E. </w:t>
      </w:r>
      <w:r w:rsidR="00B74AAA">
        <w:rPr>
          <w:rFonts w:ascii="Times New Roman" w:hAnsi="Times New Roman" w:cs="Times New Roman"/>
          <w:sz w:val="24"/>
          <w:szCs w:val="24"/>
          <w:shd w:val="clear" w:color="auto" w:fill="FFFFFF"/>
          <w:lang w:val="en-GB"/>
        </w:rPr>
        <w:t>(</w:t>
      </w:r>
      <w:r w:rsidRPr="000D6691">
        <w:rPr>
          <w:rFonts w:ascii="Times New Roman" w:hAnsi="Times New Roman" w:cs="Times New Roman"/>
          <w:sz w:val="24"/>
          <w:szCs w:val="24"/>
          <w:shd w:val="clear" w:color="auto" w:fill="FFFFFF"/>
          <w:lang w:val="en-GB"/>
        </w:rPr>
        <w:t>2004</w:t>
      </w:r>
      <w:r w:rsidR="00B74AAA">
        <w:rPr>
          <w:rFonts w:ascii="Times New Roman" w:hAnsi="Times New Roman" w:cs="Times New Roman"/>
          <w:sz w:val="24"/>
          <w:szCs w:val="24"/>
          <w:shd w:val="clear" w:color="auto" w:fill="FFFFFF"/>
          <w:lang w:val="en-GB"/>
        </w:rPr>
        <w:t>)</w:t>
      </w:r>
      <w:r w:rsidRPr="000D6691">
        <w:rPr>
          <w:rFonts w:ascii="Times New Roman" w:hAnsi="Times New Roman" w:cs="Times New Roman"/>
          <w:sz w:val="24"/>
          <w:szCs w:val="24"/>
          <w:shd w:val="clear" w:color="auto" w:fill="FFFFFF"/>
          <w:lang w:val="en-GB"/>
        </w:rPr>
        <w:t>. Accumulation, distribution and employment: a</w:t>
      </w:r>
    </w:p>
    <w:p w:rsidR="000D6691" w:rsidRPr="000D6691" w:rsidRDefault="000D6691" w:rsidP="00784AF0">
      <w:pPr>
        <w:spacing w:after="120" w:line="240" w:lineRule="auto"/>
        <w:jc w:val="both"/>
        <w:rPr>
          <w:rFonts w:ascii="Times New Roman" w:hAnsi="Times New Roman" w:cs="Times New Roman"/>
          <w:i/>
          <w:iCs/>
          <w:sz w:val="24"/>
          <w:szCs w:val="24"/>
          <w:shd w:val="clear" w:color="auto" w:fill="FFFFFF"/>
          <w:lang w:val="en-GB"/>
        </w:rPr>
      </w:pPr>
      <w:proofErr w:type="gramStart"/>
      <w:r w:rsidRPr="000D6691">
        <w:rPr>
          <w:rFonts w:ascii="Times New Roman" w:hAnsi="Times New Roman" w:cs="Times New Roman"/>
          <w:sz w:val="24"/>
          <w:szCs w:val="24"/>
          <w:shd w:val="clear" w:color="auto" w:fill="FFFFFF"/>
          <w:lang w:val="en-GB"/>
        </w:rPr>
        <w:t>structural</w:t>
      </w:r>
      <w:proofErr w:type="gramEnd"/>
      <w:r w:rsidRPr="000D6691">
        <w:rPr>
          <w:rFonts w:ascii="Times New Roman" w:hAnsi="Times New Roman" w:cs="Times New Roman"/>
          <w:sz w:val="24"/>
          <w:szCs w:val="24"/>
          <w:shd w:val="clear" w:color="auto" w:fill="FFFFFF"/>
          <w:lang w:val="en-GB"/>
        </w:rPr>
        <w:t xml:space="preserve"> VAR approach to a post-Keynesian macro model. </w:t>
      </w:r>
      <w:r w:rsidRPr="000D6691">
        <w:rPr>
          <w:rFonts w:ascii="Times New Roman" w:hAnsi="Times New Roman" w:cs="Times New Roman"/>
          <w:i/>
          <w:iCs/>
          <w:sz w:val="24"/>
          <w:szCs w:val="24"/>
          <w:shd w:val="clear" w:color="auto" w:fill="FFFFFF"/>
          <w:lang w:val="en-GB"/>
        </w:rPr>
        <w:t>Structural Change and</w:t>
      </w:r>
    </w:p>
    <w:p w:rsidR="000D6691" w:rsidRPr="000D6691" w:rsidRDefault="000D6691" w:rsidP="00784AF0">
      <w:pPr>
        <w:spacing w:after="120" w:line="240" w:lineRule="auto"/>
        <w:jc w:val="both"/>
        <w:rPr>
          <w:rFonts w:ascii="Times New Roman" w:hAnsi="Times New Roman" w:cs="Times New Roman"/>
          <w:sz w:val="24"/>
          <w:szCs w:val="24"/>
          <w:shd w:val="clear" w:color="auto" w:fill="FFFFFF"/>
          <w:lang w:val="en-GB"/>
        </w:rPr>
      </w:pPr>
      <w:r w:rsidRPr="000D6691">
        <w:rPr>
          <w:rFonts w:ascii="Times New Roman" w:hAnsi="Times New Roman" w:cs="Times New Roman"/>
          <w:i/>
          <w:iCs/>
          <w:sz w:val="24"/>
          <w:szCs w:val="24"/>
          <w:shd w:val="clear" w:color="auto" w:fill="FFFFFF"/>
          <w:lang w:val="en-GB"/>
        </w:rPr>
        <w:t xml:space="preserve">Economic Dynamics </w:t>
      </w:r>
      <w:r w:rsidRPr="000D6691">
        <w:rPr>
          <w:rFonts w:ascii="Times New Roman" w:hAnsi="Times New Roman" w:cs="Times New Roman"/>
          <w:sz w:val="24"/>
          <w:szCs w:val="24"/>
          <w:shd w:val="clear" w:color="auto" w:fill="FFFFFF"/>
          <w:lang w:val="en-GB"/>
        </w:rPr>
        <w:t>15, no. 3: 421-447.</w:t>
      </w:r>
    </w:p>
    <w:p w:rsidR="000D6691" w:rsidRDefault="000D6691" w:rsidP="00784AF0">
      <w:pPr>
        <w:spacing w:after="120" w:line="240" w:lineRule="auto"/>
        <w:jc w:val="both"/>
        <w:rPr>
          <w:rFonts w:ascii="Times New Roman" w:hAnsi="Times New Roman" w:cs="Times New Roman"/>
          <w:sz w:val="24"/>
          <w:szCs w:val="24"/>
          <w:shd w:val="clear" w:color="auto" w:fill="FFFFFF"/>
          <w:lang w:val="en-US"/>
        </w:rPr>
      </w:pPr>
      <w:proofErr w:type="spellStart"/>
      <w:r w:rsidRPr="000D6691">
        <w:rPr>
          <w:rFonts w:ascii="Times New Roman" w:hAnsi="Times New Roman" w:cs="Times New Roman"/>
          <w:sz w:val="24"/>
          <w:szCs w:val="24"/>
          <w:shd w:val="clear" w:color="auto" w:fill="FFFFFF"/>
          <w:lang w:val="en-GB"/>
        </w:rPr>
        <w:t>Onaran</w:t>
      </w:r>
      <w:proofErr w:type="spellEnd"/>
      <w:r w:rsidRPr="000D6691">
        <w:rPr>
          <w:rFonts w:ascii="Times New Roman" w:hAnsi="Times New Roman" w:cs="Times New Roman"/>
          <w:sz w:val="24"/>
          <w:szCs w:val="24"/>
          <w:shd w:val="clear" w:color="auto" w:fill="FFFFFF"/>
          <w:lang w:val="en-GB"/>
        </w:rPr>
        <w:t>, O.</w:t>
      </w:r>
      <w:r w:rsidR="00C379FD">
        <w:rPr>
          <w:rFonts w:ascii="Times New Roman" w:hAnsi="Times New Roman" w:cs="Times New Roman"/>
          <w:sz w:val="24"/>
          <w:szCs w:val="24"/>
          <w:shd w:val="clear" w:color="auto" w:fill="FFFFFF"/>
          <w:lang w:val="en-GB"/>
        </w:rPr>
        <w:t>;</w:t>
      </w:r>
      <w:r w:rsidRPr="000D6691">
        <w:rPr>
          <w:rFonts w:ascii="Times New Roman" w:hAnsi="Times New Roman" w:cs="Times New Roman"/>
          <w:sz w:val="24"/>
          <w:szCs w:val="24"/>
          <w:shd w:val="clear" w:color="auto" w:fill="FFFFFF"/>
          <w:lang w:val="en-GB"/>
        </w:rPr>
        <w:t xml:space="preserve"> </w:t>
      </w:r>
      <w:proofErr w:type="spellStart"/>
      <w:r w:rsidRPr="000D6691">
        <w:rPr>
          <w:rFonts w:ascii="Times New Roman" w:hAnsi="Times New Roman" w:cs="Times New Roman"/>
          <w:sz w:val="24"/>
          <w:szCs w:val="24"/>
          <w:shd w:val="clear" w:color="auto" w:fill="FFFFFF"/>
          <w:lang w:val="en-GB"/>
        </w:rPr>
        <w:t>Stockhammer</w:t>
      </w:r>
      <w:proofErr w:type="spellEnd"/>
      <w:r w:rsidRPr="000D6691">
        <w:rPr>
          <w:rFonts w:ascii="Times New Roman" w:hAnsi="Times New Roman" w:cs="Times New Roman"/>
          <w:sz w:val="24"/>
          <w:szCs w:val="24"/>
          <w:shd w:val="clear" w:color="auto" w:fill="FFFFFF"/>
          <w:lang w:val="en-GB"/>
        </w:rPr>
        <w:t xml:space="preserve">, E. </w:t>
      </w:r>
      <w:r w:rsidR="00B74AAA">
        <w:rPr>
          <w:rFonts w:ascii="Times New Roman" w:hAnsi="Times New Roman" w:cs="Times New Roman"/>
          <w:sz w:val="24"/>
          <w:szCs w:val="24"/>
          <w:shd w:val="clear" w:color="auto" w:fill="FFFFFF"/>
          <w:lang w:val="en-GB"/>
        </w:rPr>
        <w:t>(</w:t>
      </w:r>
      <w:r w:rsidRPr="000D6691">
        <w:rPr>
          <w:rFonts w:ascii="Times New Roman" w:hAnsi="Times New Roman" w:cs="Times New Roman"/>
          <w:sz w:val="24"/>
          <w:szCs w:val="24"/>
          <w:shd w:val="clear" w:color="auto" w:fill="FFFFFF"/>
          <w:lang w:val="en-GB"/>
        </w:rPr>
        <w:t>2006</w:t>
      </w:r>
      <w:r w:rsidR="00B74AAA">
        <w:rPr>
          <w:rFonts w:ascii="Times New Roman" w:hAnsi="Times New Roman" w:cs="Times New Roman"/>
          <w:sz w:val="24"/>
          <w:szCs w:val="24"/>
          <w:shd w:val="clear" w:color="auto" w:fill="FFFFFF"/>
          <w:lang w:val="en-GB"/>
        </w:rPr>
        <w:t>)</w:t>
      </w:r>
      <w:r w:rsidRPr="000D6691">
        <w:rPr>
          <w:rFonts w:ascii="Times New Roman" w:hAnsi="Times New Roman" w:cs="Times New Roman"/>
          <w:sz w:val="24"/>
          <w:szCs w:val="24"/>
          <w:shd w:val="clear" w:color="auto" w:fill="FFFFFF"/>
          <w:lang w:val="en-GB"/>
        </w:rPr>
        <w:t>. Do profits affect investment and employment? An</w:t>
      </w:r>
      <w:r>
        <w:rPr>
          <w:rFonts w:ascii="Times New Roman" w:hAnsi="Times New Roman" w:cs="Times New Roman"/>
          <w:sz w:val="24"/>
          <w:szCs w:val="24"/>
          <w:shd w:val="clear" w:color="auto" w:fill="FFFFFF"/>
          <w:lang w:val="en-GB"/>
        </w:rPr>
        <w:t xml:space="preserve"> </w:t>
      </w:r>
      <w:r w:rsidRPr="000D6691">
        <w:rPr>
          <w:rFonts w:ascii="Times New Roman" w:hAnsi="Times New Roman" w:cs="Times New Roman"/>
          <w:sz w:val="24"/>
          <w:szCs w:val="24"/>
          <w:shd w:val="clear" w:color="auto" w:fill="FFFFFF"/>
          <w:lang w:val="en-GB"/>
        </w:rPr>
        <w:t xml:space="preserve">empirical test based on the </w:t>
      </w:r>
      <w:proofErr w:type="spellStart"/>
      <w:r w:rsidRPr="000D6691">
        <w:rPr>
          <w:rFonts w:ascii="Times New Roman" w:hAnsi="Times New Roman" w:cs="Times New Roman"/>
          <w:sz w:val="24"/>
          <w:szCs w:val="24"/>
          <w:shd w:val="clear" w:color="auto" w:fill="FFFFFF"/>
          <w:lang w:val="en-GB"/>
        </w:rPr>
        <w:t>Bhaduri-Marglin</w:t>
      </w:r>
      <w:proofErr w:type="spellEnd"/>
      <w:r w:rsidRPr="000D6691">
        <w:rPr>
          <w:rFonts w:ascii="Times New Roman" w:hAnsi="Times New Roman" w:cs="Times New Roman"/>
          <w:sz w:val="24"/>
          <w:szCs w:val="24"/>
          <w:shd w:val="clear" w:color="auto" w:fill="FFFFFF"/>
          <w:lang w:val="en-GB"/>
        </w:rPr>
        <w:t xml:space="preserve"> model. In: </w:t>
      </w:r>
      <w:r w:rsidRPr="000D6691">
        <w:rPr>
          <w:rFonts w:ascii="Times New Roman" w:hAnsi="Times New Roman" w:cs="Times New Roman"/>
          <w:i/>
          <w:iCs/>
          <w:sz w:val="24"/>
          <w:szCs w:val="24"/>
          <w:shd w:val="clear" w:color="auto" w:fill="FFFFFF"/>
          <w:lang w:val="en-GB"/>
        </w:rPr>
        <w:t>Wages, Employment,</w:t>
      </w:r>
      <w:r>
        <w:rPr>
          <w:rFonts w:ascii="Times New Roman" w:hAnsi="Times New Roman" w:cs="Times New Roman"/>
          <w:i/>
          <w:iCs/>
          <w:sz w:val="24"/>
          <w:szCs w:val="24"/>
          <w:shd w:val="clear" w:color="auto" w:fill="FFFFFF"/>
          <w:lang w:val="en-GB"/>
        </w:rPr>
        <w:t xml:space="preserve"> </w:t>
      </w:r>
      <w:r w:rsidRPr="000D6691">
        <w:rPr>
          <w:rFonts w:ascii="Times New Roman" w:hAnsi="Times New Roman" w:cs="Times New Roman"/>
          <w:i/>
          <w:iCs/>
          <w:sz w:val="24"/>
          <w:szCs w:val="24"/>
          <w:shd w:val="clear" w:color="auto" w:fill="FFFFFF"/>
          <w:lang w:val="en-GB"/>
        </w:rPr>
        <w:t xml:space="preserve">Distribution and Growth, </w:t>
      </w:r>
      <w:r w:rsidRPr="000D6691">
        <w:rPr>
          <w:rFonts w:ascii="Times New Roman" w:hAnsi="Times New Roman" w:cs="Times New Roman"/>
          <w:sz w:val="24"/>
          <w:szCs w:val="24"/>
          <w:shd w:val="clear" w:color="auto" w:fill="FFFFFF"/>
          <w:lang w:val="en-GB"/>
        </w:rPr>
        <w:t xml:space="preserve">eds. Hein, E., </w:t>
      </w:r>
      <w:proofErr w:type="spellStart"/>
      <w:r w:rsidRPr="000D6691">
        <w:rPr>
          <w:rFonts w:ascii="Times New Roman" w:hAnsi="Times New Roman" w:cs="Times New Roman"/>
          <w:sz w:val="24"/>
          <w:szCs w:val="24"/>
          <w:shd w:val="clear" w:color="auto" w:fill="FFFFFF"/>
          <w:lang w:val="en-GB"/>
        </w:rPr>
        <w:t>Heise</w:t>
      </w:r>
      <w:proofErr w:type="spellEnd"/>
      <w:r w:rsidRPr="000D6691">
        <w:rPr>
          <w:rFonts w:ascii="Times New Roman" w:hAnsi="Times New Roman" w:cs="Times New Roman"/>
          <w:sz w:val="24"/>
          <w:szCs w:val="24"/>
          <w:shd w:val="clear" w:color="auto" w:fill="FFFFFF"/>
          <w:lang w:val="en-GB"/>
        </w:rPr>
        <w:t xml:space="preserve">, A. and </w:t>
      </w:r>
      <w:proofErr w:type="spellStart"/>
      <w:r w:rsidRPr="000D6691">
        <w:rPr>
          <w:rFonts w:ascii="Times New Roman" w:hAnsi="Times New Roman" w:cs="Times New Roman"/>
          <w:sz w:val="24"/>
          <w:szCs w:val="24"/>
          <w:shd w:val="clear" w:color="auto" w:fill="FFFFFF"/>
          <w:lang w:val="en-GB"/>
        </w:rPr>
        <w:t>Truger</w:t>
      </w:r>
      <w:proofErr w:type="spellEnd"/>
      <w:r w:rsidRPr="000D6691">
        <w:rPr>
          <w:rFonts w:ascii="Times New Roman" w:hAnsi="Times New Roman" w:cs="Times New Roman"/>
          <w:sz w:val="24"/>
          <w:szCs w:val="24"/>
          <w:shd w:val="clear" w:color="auto" w:fill="FFFFFF"/>
          <w:lang w:val="en-GB"/>
        </w:rPr>
        <w:t>, A. Basingstoke:</w:t>
      </w:r>
      <w:r>
        <w:rPr>
          <w:rFonts w:ascii="Times New Roman" w:hAnsi="Times New Roman" w:cs="Times New Roman"/>
          <w:sz w:val="24"/>
          <w:szCs w:val="24"/>
          <w:shd w:val="clear" w:color="auto" w:fill="FFFFFF"/>
          <w:lang w:val="en-GB"/>
        </w:rPr>
        <w:t xml:space="preserve"> </w:t>
      </w:r>
      <w:r w:rsidRPr="003B2985">
        <w:rPr>
          <w:rFonts w:ascii="Times New Roman" w:hAnsi="Times New Roman" w:cs="Times New Roman"/>
          <w:sz w:val="24"/>
          <w:szCs w:val="24"/>
          <w:shd w:val="clear" w:color="auto" w:fill="FFFFFF"/>
          <w:lang w:val="en-GB"/>
        </w:rPr>
        <w:t>Macmillan.</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r>
        <w:rPr>
          <w:rFonts w:ascii="Times New Roman" w:hAnsi="Times New Roman" w:cs="Times New Roman"/>
          <w:sz w:val="24"/>
          <w:szCs w:val="24"/>
          <w:shd w:val="clear" w:color="auto" w:fill="FFFFFF"/>
          <w:lang w:val="en-US"/>
        </w:rPr>
        <w:t>Oreiro, J. L.; Araujo, E. (2013)</w:t>
      </w:r>
      <w:r w:rsidR="00B3635C">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Exchange rate misalignment, capital accumulation and income distribution: theory and evidence from the case of Brazil</w:t>
      </w:r>
      <w:r w:rsidR="00B3635C">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i/>
          <w:sz w:val="24"/>
          <w:szCs w:val="24"/>
          <w:shd w:val="clear" w:color="auto" w:fill="FFFFFF"/>
          <w:lang w:val="en-US"/>
        </w:rPr>
        <w:t>Panoeconomicus</w:t>
      </w:r>
      <w:proofErr w:type="spellEnd"/>
      <w:r>
        <w:rPr>
          <w:rFonts w:ascii="Times New Roman" w:hAnsi="Times New Roman" w:cs="Times New Roman"/>
          <w:sz w:val="24"/>
          <w:szCs w:val="24"/>
          <w:shd w:val="clear" w:color="auto" w:fill="FFFFFF"/>
          <w:lang w:val="en-US"/>
        </w:rPr>
        <w:t>, 3, Special Issue, pp. 381-396.</w:t>
      </w:r>
      <w:r>
        <w:rPr>
          <w:rFonts w:ascii="Times New Roman" w:hAnsi="Times New Roman" w:cs="Times New Roman"/>
          <w:color w:val="000000"/>
          <w:sz w:val="24"/>
          <w:szCs w:val="24"/>
          <w:shd w:val="clear" w:color="auto" w:fill="FFFFFF"/>
          <w:lang w:val="en-US"/>
        </w:rPr>
        <w:t xml:space="preserve"> </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Pesaran, M. H. and Shin, Y. (1998)</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Generalized Impulse Response Analysis in Linear Multivariate Models. </w:t>
      </w:r>
      <w:r>
        <w:rPr>
          <w:rFonts w:ascii="Times New Roman" w:hAnsi="Times New Roman" w:cs="Times New Roman"/>
          <w:i/>
          <w:sz w:val="24"/>
          <w:szCs w:val="24"/>
          <w:lang w:val="en-US"/>
        </w:rPr>
        <w:t>Economics Letters</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58, p. 17-29.</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pt-BR"/>
        </w:rPr>
        <w:t>Razmi, A. (2016),</w:t>
      </w:r>
      <w:r>
        <w:rPr>
          <w:rFonts w:ascii="Times New Roman" w:hAnsi="Times New Roman" w:cs="Times New Roman"/>
          <w:sz w:val="24"/>
          <w:szCs w:val="24"/>
          <w:lang w:val="en-US"/>
        </w:rPr>
        <w:t> Growth and distribution in low income economies: modifying Post-Keynesian analysis in light of theory and history. Working Paper, University of Massachusetts at Amherst.</w:t>
      </w:r>
    </w:p>
    <w:p w:rsidR="00B24A16" w:rsidRDefault="00B24A16" w:rsidP="00784AF0">
      <w:pPr>
        <w:pStyle w:val="ref"/>
        <w:spacing w:before="0" w:beforeAutospacing="0" w:after="120" w:afterAutospacing="0"/>
        <w:jc w:val="both"/>
        <w:rPr>
          <w:lang w:val="en-US"/>
        </w:rPr>
      </w:pPr>
      <w:r>
        <w:rPr>
          <w:lang w:val="en-US"/>
        </w:rPr>
        <w:t>Robinson, J. (1956)</w:t>
      </w:r>
      <w:r w:rsidR="00B3635C">
        <w:rPr>
          <w:lang w:val="en-US"/>
        </w:rPr>
        <w:t>,</w:t>
      </w:r>
      <w:r>
        <w:rPr>
          <w:lang w:val="en-US"/>
        </w:rPr>
        <w:t xml:space="preserve"> </w:t>
      </w:r>
      <w:proofErr w:type="gramStart"/>
      <w:r>
        <w:rPr>
          <w:i/>
          <w:lang w:val="en-US"/>
        </w:rPr>
        <w:t>The</w:t>
      </w:r>
      <w:proofErr w:type="gramEnd"/>
      <w:r>
        <w:rPr>
          <w:i/>
          <w:lang w:val="en-US"/>
        </w:rPr>
        <w:t xml:space="preserve"> accumulation of capital.</w:t>
      </w:r>
      <w:r>
        <w:rPr>
          <w:lang w:val="en-US"/>
        </w:rPr>
        <w:t xml:space="preserve"> London: Macmillan.</w:t>
      </w:r>
    </w:p>
    <w:p w:rsidR="00B24A16" w:rsidRDefault="00B24A16" w:rsidP="00784AF0">
      <w:pPr>
        <w:pStyle w:val="ref"/>
        <w:spacing w:before="0" w:beforeAutospacing="0" w:after="120" w:afterAutospacing="0"/>
        <w:jc w:val="both"/>
        <w:rPr>
          <w:lang w:val="en-US"/>
        </w:rPr>
      </w:pPr>
      <w:bookmarkStart w:id="0" w:name="B30"/>
      <w:bookmarkEnd w:id="0"/>
      <w:r>
        <w:rPr>
          <w:lang w:val="en-US"/>
        </w:rPr>
        <w:t>Robinson, J. (1962)</w:t>
      </w:r>
      <w:r w:rsidR="00B3635C">
        <w:rPr>
          <w:lang w:val="en-US"/>
        </w:rPr>
        <w:t>,</w:t>
      </w:r>
      <w:r>
        <w:rPr>
          <w:lang w:val="en-US"/>
        </w:rPr>
        <w:t xml:space="preserve"> </w:t>
      </w:r>
      <w:proofErr w:type="gramStart"/>
      <w:r>
        <w:rPr>
          <w:lang w:val="en-US"/>
        </w:rPr>
        <w:t>A</w:t>
      </w:r>
      <w:proofErr w:type="gramEnd"/>
      <w:r>
        <w:rPr>
          <w:lang w:val="en-US"/>
        </w:rPr>
        <w:t xml:space="preserve"> model of accumulation. In: Sen, A. (Org.). </w:t>
      </w:r>
      <w:r>
        <w:rPr>
          <w:i/>
          <w:lang w:val="en-US"/>
        </w:rPr>
        <w:t xml:space="preserve">Growth economics. Middlesex: </w:t>
      </w:r>
      <w:proofErr w:type="spellStart"/>
      <w:r>
        <w:rPr>
          <w:i/>
          <w:lang w:val="en-US"/>
        </w:rPr>
        <w:t>Penguim</w:t>
      </w:r>
      <w:proofErr w:type="spellEnd"/>
      <w:r>
        <w:rPr>
          <w:i/>
          <w:lang w:val="en-US"/>
        </w:rPr>
        <w:t xml:space="preserve"> Books</w:t>
      </w:r>
      <w:r>
        <w:rPr>
          <w:lang w:val="en-US"/>
        </w:rPr>
        <w:t>.</w:t>
      </w:r>
    </w:p>
    <w:p w:rsidR="00B24A16" w:rsidRDefault="00B24A16" w:rsidP="00784AF0">
      <w:pPr>
        <w:pStyle w:val="ref"/>
        <w:spacing w:before="0" w:beforeAutospacing="0" w:after="120" w:afterAutospacing="0"/>
        <w:jc w:val="both"/>
        <w:rPr>
          <w:lang w:val="en-US"/>
        </w:rPr>
      </w:pPr>
      <w:r>
        <w:rPr>
          <w:lang w:val="en-US"/>
        </w:rPr>
        <w:t>Rowthorn, R. (1982)</w:t>
      </w:r>
      <w:r w:rsidR="00B3635C">
        <w:rPr>
          <w:lang w:val="en-US"/>
        </w:rPr>
        <w:t>,</w:t>
      </w:r>
      <w:r>
        <w:rPr>
          <w:lang w:val="en-US"/>
        </w:rPr>
        <w:t xml:space="preserve"> Demand, real wages and economic growth, In Sawyer, M. C. (1988)</w:t>
      </w:r>
      <w:r w:rsidR="00B3635C">
        <w:rPr>
          <w:lang w:val="en-US"/>
        </w:rPr>
        <w:t>.</w:t>
      </w:r>
      <w:r>
        <w:rPr>
          <w:lang w:val="en-US"/>
        </w:rPr>
        <w:t xml:space="preserve"> </w:t>
      </w:r>
      <w:r>
        <w:rPr>
          <w:i/>
          <w:iCs/>
          <w:lang w:val="en-US"/>
        </w:rPr>
        <w:t>Post-Keynesian Economics</w:t>
      </w:r>
      <w:r>
        <w:rPr>
          <w:lang w:val="en-US"/>
        </w:rPr>
        <w:t xml:space="preserve">, Edward Elgar. </w:t>
      </w:r>
    </w:p>
    <w:p w:rsidR="00B24A16" w:rsidRDefault="00B24A16" w:rsidP="00784AF0">
      <w:pPr>
        <w:spacing w:after="120" w:line="240" w:lineRule="auto"/>
        <w:jc w:val="both"/>
        <w:rPr>
          <w:rFonts w:ascii="Times New Roman" w:eastAsia="Times New Roman" w:hAnsi="Times New Roman" w:cs="Times New Roman"/>
          <w:sz w:val="24"/>
          <w:szCs w:val="24"/>
          <w:lang w:val="en-US" w:eastAsia="pt-BR"/>
        </w:rPr>
      </w:pPr>
      <w:proofErr w:type="spellStart"/>
      <w:r>
        <w:rPr>
          <w:rFonts w:ascii="Times New Roman" w:eastAsia="Times New Roman" w:hAnsi="Times New Roman" w:cs="Times New Roman"/>
          <w:sz w:val="24"/>
          <w:szCs w:val="24"/>
          <w:lang w:val="en-US" w:eastAsia="pt-BR"/>
        </w:rPr>
        <w:lastRenderedPageBreak/>
        <w:t>Skott</w:t>
      </w:r>
      <w:proofErr w:type="spellEnd"/>
      <w:r>
        <w:rPr>
          <w:rFonts w:ascii="Times New Roman" w:eastAsia="Times New Roman" w:hAnsi="Times New Roman" w:cs="Times New Roman"/>
          <w:sz w:val="24"/>
          <w:szCs w:val="24"/>
          <w:lang w:val="en-US" w:eastAsia="pt-BR"/>
        </w:rPr>
        <w:t>, P. (2015)</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Notes on wage-led versus profit-led growth</w:t>
      </w:r>
      <w:r w:rsidR="00B3635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i/>
          <w:sz w:val="24"/>
          <w:szCs w:val="24"/>
          <w:lang w:val="en-US" w:eastAsia="pt-BR"/>
        </w:rPr>
        <w:t>Paper prepared for the Workshop on Analytical Political Economy,</w:t>
      </w:r>
      <w:r>
        <w:rPr>
          <w:rFonts w:ascii="Times New Roman" w:eastAsia="Times New Roman" w:hAnsi="Times New Roman" w:cs="Times New Roman"/>
          <w:sz w:val="24"/>
          <w:szCs w:val="24"/>
          <w:lang w:val="en-US" w:eastAsia="pt-BR"/>
        </w:rPr>
        <w:t> Sendai, Japan.</w:t>
      </w:r>
    </w:p>
    <w:p w:rsidR="00B24A16" w:rsidRDefault="00B24A16"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Sims, C.</w:t>
      </w:r>
      <w:r w:rsidR="00B3635C">
        <w:rPr>
          <w:rFonts w:ascii="Times New Roman" w:hAnsi="Times New Roman" w:cs="Times New Roman"/>
          <w:sz w:val="24"/>
          <w:szCs w:val="24"/>
          <w:lang w:val="en-US"/>
        </w:rPr>
        <w:t xml:space="preserve"> </w:t>
      </w:r>
      <w:r>
        <w:rPr>
          <w:rFonts w:ascii="Times New Roman" w:hAnsi="Times New Roman" w:cs="Times New Roman"/>
          <w:sz w:val="24"/>
          <w:szCs w:val="24"/>
          <w:lang w:val="en-US"/>
        </w:rPr>
        <w:t>A. (1980)</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Macroeconomics and reality. </w:t>
      </w:r>
      <w:proofErr w:type="spellStart"/>
      <w:r>
        <w:rPr>
          <w:rFonts w:ascii="Times New Roman" w:hAnsi="Times New Roman" w:cs="Times New Roman"/>
          <w:i/>
          <w:sz w:val="24"/>
          <w:szCs w:val="24"/>
          <w:lang w:val="en-US"/>
        </w:rPr>
        <w:t>Econometrica</w:t>
      </w:r>
      <w:proofErr w:type="spellEnd"/>
      <w:r>
        <w:rPr>
          <w:rFonts w:ascii="Times New Roman" w:hAnsi="Times New Roman" w:cs="Times New Roman"/>
          <w:sz w:val="24"/>
          <w:szCs w:val="24"/>
          <w:lang w:val="en-US"/>
        </w:rPr>
        <w:t>, 48, 1-48.</w:t>
      </w:r>
    </w:p>
    <w:p w:rsidR="00D32A40" w:rsidRPr="00D32A40" w:rsidRDefault="00D32A40" w:rsidP="00784AF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Sims, C.; Stock, J.;</w:t>
      </w:r>
      <w:r w:rsidRPr="00D32A40">
        <w:rPr>
          <w:rFonts w:ascii="Times New Roman" w:hAnsi="Times New Roman" w:cs="Times New Roman"/>
          <w:sz w:val="24"/>
          <w:szCs w:val="24"/>
          <w:lang w:val="en-US"/>
        </w:rPr>
        <w:t xml:space="preserve"> Watson,</w:t>
      </w:r>
      <w:r>
        <w:rPr>
          <w:rFonts w:ascii="Times New Roman" w:hAnsi="Times New Roman" w:cs="Times New Roman"/>
          <w:sz w:val="24"/>
          <w:szCs w:val="24"/>
          <w:lang w:val="en-US"/>
        </w:rPr>
        <w:t xml:space="preserve"> M. (1990), </w:t>
      </w:r>
      <w:r w:rsidRPr="00D32A40">
        <w:rPr>
          <w:rFonts w:ascii="Times New Roman" w:hAnsi="Times New Roman" w:cs="Times New Roman"/>
          <w:sz w:val="24"/>
          <w:szCs w:val="24"/>
          <w:lang w:val="en-US"/>
        </w:rPr>
        <w:t xml:space="preserve">Inference in </w:t>
      </w:r>
      <w:r>
        <w:rPr>
          <w:rFonts w:ascii="Times New Roman" w:hAnsi="Times New Roman" w:cs="Times New Roman"/>
          <w:sz w:val="24"/>
          <w:szCs w:val="24"/>
          <w:lang w:val="en-US"/>
        </w:rPr>
        <w:t>l</w:t>
      </w:r>
      <w:r w:rsidRPr="00D32A40">
        <w:rPr>
          <w:rFonts w:ascii="Times New Roman" w:hAnsi="Times New Roman" w:cs="Times New Roman"/>
          <w:sz w:val="24"/>
          <w:szCs w:val="24"/>
          <w:lang w:val="en-US"/>
        </w:rPr>
        <w:t xml:space="preserve">inear </w:t>
      </w:r>
      <w:r>
        <w:rPr>
          <w:rFonts w:ascii="Times New Roman" w:hAnsi="Times New Roman" w:cs="Times New Roman"/>
          <w:sz w:val="24"/>
          <w:szCs w:val="24"/>
          <w:lang w:val="en-US"/>
        </w:rPr>
        <w:t>t</w:t>
      </w:r>
      <w:r w:rsidRPr="00D32A40">
        <w:rPr>
          <w:rFonts w:ascii="Times New Roman" w:hAnsi="Times New Roman" w:cs="Times New Roman"/>
          <w:sz w:val="24"/>
          <w:szCs w:val="24"/>
          <w:lang w:val="en-US"/>
        </w:rPr>
        <w:t xml:space="preserve">ime </w:t>
      </w:r>
      <w:r>
        <w:rPr>
          <w:rFonts w:ascii="Times New Roman" w:hAnsi="Times New Roman" w:cs="Times New Roman"/>
          <w:sz w:val="24"/>
          <w:szCs w:val="24"/>
          <w:lang w:val="en-US"/>
        </w:rPr>
        <w:t>s</w:t>
      </w:r>
      <w:r w:rsidRPr="00D32A40">
        <w:rPr>
          <w:rFonts w:ascii="Times New Roman" w:hAnsi="Times New Roman" w:cs="Times New Roman"/>
          <w:sz w:val="24"/>
          <w:szCs w:val="24"/>
          <w:lang w:val="en-US"/>
        </w:rPr>
        <w:t>eri</w:t>
      </w:r>
      <w:r>
        <w:rPr>
          <w:rFonts w:ascii="Times New Roman" w:hAnsi="Times New Roman" w:cs="Times New Roman"/>
          <w:sz w:val="24"/>
          <w:szCs w:val="24"/>
          <w:lang w:val="en-US"/>
        </w:rPr>
        <w:t>es models with some unit roots.</w:t>
      </w:r>
      <w:r w:rsidRPr="00D32A40">
        <w:rPr>
          <w:rFonts w:ascii="Times New Roman" w:hAnsi="Times New Roman" w:cs="Times New Roman"/>
          <w:sz w:val="24"/>
          <w:szCs w:val="24"/>
          <w:lang w:val="en-US"/>
        </w:rPr>
        <w:t xml:space="preserve"> </w:t>
      </w:r>
      <w:proofErr w:type="spellStart"/>
      <w:r w:rsidRPr="00D32A40">
        <w:rPr>
          <w:rFonts w:ascii="Times New Roman" w:hAnsi="Times New Roman" w:cs="Times New Roman"/>
          <w:i/>
          <w:sz w:val="24"/>
          <w:szCs w:val="24"/>
          <w:lang w:val="en-US"/>
        </w:rPr>
        <w:t>Econometrica</w:t>
      </w:r>
      <w:proofErr w:type="spellEnd"/>
      <w:r w:rsidRPr="00D32A40">
        <w:rPr>
          <w:rFonts w:ascii="Times New Roman" w:hAnsi="Times New Roman" w:cs="Times New Roman"/>
          <w:sz w:val="24"/>
          <w:szCs w:val="24"/>
          <w:lang w:val="en-US"/>
        </w:rPr>
        <w:t>, 58(1), 113</w:t>
      </w:r>
      <w:r>
        <w:rPr>
          <w:rFonts w:ascii="Times New Roman" w:hAnsi="Times New Roman" w:cs="Times New Roman"/>
          <w:sz w:val="24"/>
          <w:szCs w:val="24"/>
          <w:lang w:val="en-US"/>
        </w:rPr>
        <w:t>-</w:t>
      </w:r>
      <w:r w:rsidRPr="00D32A40">
        <w:rPr>
          <w:rFonts w:ascii="Times New Roman" w:hAnsi="Times New Roman" w:cs="Times New Roman"/>
          <w:sz w:val="24"/>
          <w:szCs w:val="24"/>
          <w:lang w:val="en-US"/>
        </w:rPr>
        <w:t>144.</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Steindl</w:t>
      </w:r>
      <w:proofErr w:type="spellEnd"/>
      <w:r>
        <w:rPr>
          <w:rFonts w:ascii="Times New Roman" w:hAnsi="Times New Roman" w:cs="Times New Roman"/>
          <w:sz w:val="24"/>
          <w:szCs w:val="24"/>
          <w:lang w:val="en-US"/>
        </w:rPr>
        <w:t>, J. (1952)</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Maturity and stagnation in American capitalism.</w:t>
      </w:r>
      <w:r>
        <w:rPr>
          <w:rFonts w:ascii="Times New Roman" w:hAnsi="Times New Roman" w:cs="Times New Roman"/>
          <w:sz w:val="24"/>
          <w:szCs w:val="24"/>
          <w:lang w:val="en-US"/>
        </w:rPr>
        <w:t xml:space="preserve"> New York: Monthly Review Press.</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Onaran</w:t>
      </w:r>
      <w:proofErr w:type="spellEnd"/>
      <w:r>
        <w:rPr>
          <w:rFonts w:ascii="Times New Roman" w:hAnsi="Times New Roman" w:cs="Times New Roman"/>
          <w:sz w:val="24"/>
          <w:szCs w:val="24"/>
          <w:lang w:val="en-US"/>
        </w:rPr>
        <w:t>, O. (2004)</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Accumulation, distribution and employment: a structural VAR approach to a </w:t>
      </w:r>
      <w:proofErr w:type="spellStart"/>
      <w:r>
        <w:rPr>
          <w:rFonts w:ascii="Times New Roman" w:hAnsi="Times New Roman" w:cs="Times New Roman"/>
          <w:sz w:val="24"/>
          <w:szCs w:val="24"/>
          <w:lang w:val="en-US"/>
        </w:rPr>
        <w:t>kaleckian</w:t>
      </w:r>
      <w:proofErr w:type="spellEnd"/>
      <w:r>
        <w:rPr>
          <w:rFonts w:ascii="Times New Roman" w:hAnsi="Times New Roman" w:cs="Times New Roman"/>
          <w:sz w:val="24"/>
          <w:szCs w:val="24"/>
          <w:lang w:val="en-US"/>
        </w:rPr>
        <w:t xml:space="preserve"> macro model. </w:t>
      </w:r>
      <w:r>
        <w:rPr>
          <w:rFonts w:ascii="Times New Roman" w:hAnsi="Times New Roman" w:cs="Times New Roman"/>
          <w:i/>
          <w:sz w:val="24"/>
          <w:szCs w:val="24"/>
          <w:lang w:val="en-US"/>
        </w:rPr>
        <w:t xml:space="preserve">Structural Change and Economic Dynamics, </w:t>
      </w:r>
      <w:r>
        <w:rPr>
          <w:rFonts w:ascii="Times New Roman" w:hAnsi="Times New Roman" w:cs="Times New Roman"/>
          <w:sz w:val="24"/>
          <w:szCs w:val="24"/>
          <w:lang w:val="en-US"/>
        </w:rPr>
        <w:t xml:space="preserve">v. 15, n. </w:t>
      </w:r>
      <w:proofErr w:type="gramStart"/>
      <w:r>
        <w:rPr>
          <w:rFonts w:ascii="Times New Roman" w:hAnsi="Times New Roman" w:cs="Times New Roman"/>
          <w:sz w:val="24"/>
          <w:szCs w:val="24"/>
          <w:lang w:val="en-US"/>
        </w:rPr>
        <w:t>4</w:t>
      </w:r>
      <w:proofErr w:type="gramEnd"/>
      <w:r>
        <w:rPr>
          <w:rFonts w:ascii="Times New Roman" w:hAnsi="Times New Roman" w:cs="Times New Roman"/>
          <w:sz w:val="24"/>
          <w:szCs w:val="24"/>
          <w:lang w:val="en-US"/>
        </w:rPr>
        <w:t>, p. 421-447, December.</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Onaran</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Ederer</w:t>
      </w:r>
      <w:proofErr w:type="spellEnd"/>
      <w:r>
        <w:rPr>
          <w:rFonts w:ascii="Times New Roman" w:hAnsi="Times New Roman" w:cs="Times New Roman"/>
          <w:sz w:val="24"/>
          <w:szCs w:val="24"/>
          <w:lang w:val="en-US"/>
        </w:rPr>
        <w:t>, S. (2009)</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Functional income distribution and aggregate demand in the euro area. </w:t>
      </w:r>
      <w:r>
        <w:rPr>
          <w:rFonts w:ascii="Times New Roman" w:hAnsi="Times New Roman" w:cs="Times New Roman"/>
          <w:i/>
          <w:sz w:val="24"/>
          <w:szCs w:val="24"/>
          <w:lang w:val="en-US"/>
        </w:rPr>
        <w:t>Cambridge Journal of Economics,</w:t>
      </w:r>
      <w:r>
        <w:rPr>
          <w:rFonts w:ascii="Times New Roman" w:hAnsi="Times New Roman" w:cs="Times New Roman"/>
          <w:sz w:val="24"/>
          <w:szCs w:val="24"/>
          <w:lang w:val="en-US"/>
        </w:rPr>
        <w:t xml:space="preserve"> v. 33, n. 1, p. 139-159.</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xml:space="preserve">, E., Hein, E., </w:t>
      </w:r>
      <w:proofErr w:type="spellStart"/>
      <w:r>
        <w:rPr>
          <w:rFonts w:ascii="Times New Roman" w:hAnsi="Times New Roman" w:cs="Times New Roman"/>
          <w:sz w:val="24"/>
          <w:szCs w:val="24"/>
          <w:lang w:val="en-US"/>
        </w:rPr>
        <w:t>Grafl</w:t>
      </w:r>
      <w:proofErr w:type="spellEnd"/>
      <w:r>
        <w:rPr>
          <w:rFonts w:ascii="Times New Roman" w:hAnsi="Times New Roman" w:cs="Times New Roman"/>
          <w:sz w:val="24"/>
          <w:szCs w:val="24"/>
          <w:lang w:val="en-US"/>
        </w:rPr>
        <w:t>, L. (2011)</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Globalization and the effects of changes in functional income distribution on aggregate demand in Germany</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International Review of Applied Economics,</w:t>
      </w:r>
      <w:r>
        <w:rPr>
          <w:rFonts w:ascii="Times New Roman" w:hAnsi="Times New Roman" w:cs="Times New Roman"/>
          <w:sz w:val="24"/>
          <w:szCs w:val="24"/>
          <w:lang w:val="en-US"/>
        </w:rPr>
        <w:t xml:space="preserve"> 25 (1), 1-23. </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xml:space="preserve">, E. and </w:t>
      </w:r>
      <w:proofErr w:type="spellStart"/>
      <w:r>
        <w:rPr>
          <w:rFonts w:ascii="Times New Roman" w:hAnsi="Times New Roman" w:cs="Times New Roman"/>
          <w:sz w:val="24"/>
          <w:szCs w:val="24"/>
          <w:lang w:val="en-US"/>
        </w:rPr>
        <w:t>Stehrer</w:t>
      </w:r>
      <w:proofErr w:type="spellEnd"/>
      <w:r>
        <w:rPr>
          <w:rFonts w:ascii="Times New Roman" w:hAnsi="Times New Roman" w:cs="Times New Roman"/>
          <w:sz w:val="24"/>
          <w:szCs w:val="24"/>
          <w:lang w:val="en-US"/>
        </w:rPr>
        <w:t>, R. (2011)</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Goodwin or </w:t>
      </w:r>
      <w:proofErr w:type="spellStart"/>
      <w:r>
        <w:rPr>
          <w:rFonts w:ascii="Times New Roman" w:hAnsi="Times New Roman" w:cs="Times New Roman"/>
          <w:sz w:val="24"/>
          <w:szCs w:val="24"/>
          <w:lang w:val="en-US"/>
        </w:rPr>
        <w:t>Kalecki</w:t>
      </w:r>
      <w:proofErr w:type="spellEnd"/>
      <w:r>
        <w:rPr>
          <w:rFonts w:ascii="Times New Roman" w:hAnsi="Times New Roman" w:cs="Times New Roman"/>
          <w:sz w:val="24"/>
          <w:szCs w:val="24"/>
          <w:lang w:val="en-US"/>
        </w:rPr>
        <w:t xml:space="preserve"> in demand? Functional income distribution and aggregate demand in the short run</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Review of Radical Political Economics,</w:t>
      </w:r>
      <w:r>
        <w:rPr>
          <w:rFonts w:ascii="Times New Roman" w:hAnsi="Times New Roman" w:cs="Times New Roman"/>
          <w:sz w:val="24"/>
          <w:szCs w:val="24"/>
          <w:lang w:val="en-US"/>
        </w:rPr>
        <w:t xml:space="preserve"> vol. 43, no. 4, 506-22.</w:t>
      </w:r>
    </w:p>
    <w:p w:rsidR="00E00FB3"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Wildauer</w:t>
      </w:r>
      <w:proofErr w:type="spellEnd"/>
      <w:r>
        <w:rPr>
          <w:rFonts w:ascii="Times New Roman" w:hAnsi="Times New Roman" w:cs="Times New Roman"/>
          <w:sz w:val="24"/>
          <w:szCs w:val="24"/>
          <w:lang w:val="en-US"/>
        </w:rPr>
        <w:t>, R. (2015)</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Debt-driven growth? Wealth, distribution and demand in OECD countries</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Cambridge Journal of Economics, </w:t>
      </w:r>
      <w:r w:rsidR="00E00FB3" w:rsidRPr="00E00FB3">
        <w:rPr>
          <w:rFonts w:ascii="Times New Roman" w:hAnsi="Times New Roman" w:cs="Times New Roman"/>
          <w:sz w:val="24"/>
          <w:szCs w:val="24"/>
          <w:lang w:val="en-US"/>
        </w:rPr>
        <w:t>Advance Ac</w:t>
      </w:r>
      <w:r w:rsidR="00E00FB3">
        <w:rPr>
          <w:rFonts w:ascii="Times New Roman" w:hAnsi="Times New Roman" w:cs="Times New Roman"/>
          <w:sz w:val="24"/>
          <w:szCs w:val="24"/>
          <w:lang w:val="en-US"/>
        </w:rPr>
        <w:t>c</w:t>
      </w:r>
      <w:r w:rsidR="00E00FB3" w:rsidRPr="00E00FB3">
        <w:rPr>
          <w:rFonts w:ascii="Times New Roman" w:hAnsi="Times New Roman" w:cs="Times New Roman"/>
          <w:sz w:val="24"/>
          <w:szCs w:val="24"/>
          <w:lang w:val="en-US"/>
        </w:rPr>
        <w:t>ess,</w:t>
      </w:r>
      <w:r w:rsidR="00E00FB3">
        <w:rPr>
          <w:rFonts w:ascii="Times New Roman" w:hAnsi="Times New Roman" w:cs="Times New Roman"/>
          <w:sz w:val="24"/>
          <w:szCs w:val="24"/>
          <w:lang w:val="en-US"/>
        </w:rPr>
        <w:t xml:space="preserve"> 10.1093/</w:t>
      </w:r>
      <w:proofErr w:type="spellStart"/>
      <w:r w:rsidR="00E00FB3">
        <w:rPr>
          <w:rFonts w:ascii="Times New Roman" w:hAnsi="Times New Roman" w:cs="Times New Roman"/>
          <w:sz w:val="24"/>
          <w:szCs w:val="24"/>
          <w:lang w:val="en-US"/>
        </w:rPr>
        <w:t>cje</w:t>
      </w:r>
      <w:proofErr w:type="spellEnd"/>
      <w:r w:rsidR="00E00FB3">
        <w:rPr>
          <w:rFonts w:ascii="Times New Roman" w:hAnsi="Times New Roman" w:cs="Times New Roman"/>
          <w:sz w:val="24"/>
          <w:szCs w:val="24"/>
          <w:lang w:val="en-US"/>
        </w:rPr>
        <w:t>/bev070.</w:t>
      </w:r>
    </w:p>
    <w:p w:rsidR="00B24A16" w:rsidRDefault="00B24A16" w:rsidP="00784AF0">
      <w:pPr>
        <w:spacing w:after="12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Stockhammer</w:t>
      </w:r>
      <w:proofErr w:type="spellEnd"/>
      <w:r>
        <w:rPr>
          <w:rFonts w:ascii="Times New Roman" w:hAnsi="Times New Roman" w:cs="Times New Roman"/>
          <w:sz w:val="24"/>
          <w:szCs w:val="24"/>
          <w:lang w:val="en-US"/>
        </w:rPr>
        <w:t>, E. (2016)</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Wage-led versus profit-led demand: what have we learned? A </w:t>
      </w:r>
      <w:proofErr w:type="spellStart"/>
      <w:r>
        <w:rPr>
          <w:rFonts w:ascii="Times New Roman" w:hAnsi="Times New Roman" w:cs="Times New Roman"/>
          <w:sz w:val="24"/>
          <w:szCs w:val="24"/>
          <w:lang w:val="en-US"/>
        </w:rPr>
        <w:t>Kalecki-Minsky</w:t>
      </w:r>
      <w:proofErr w:type="spellEnd"/>
      <w:r>
        <w:rPr>
          <w:rFonts w:ascii="Times New Roman" w:hAnsi="Times New Roman" w:cs="Times New Roman"/>
          <w:sz w:val="24"/>
          <w:szCs w:val="24"/>
          <w:lang w:val="en-US"/>
        </w:rPr>
        <w:t xml:space="preserve"> view</w:t>
      </w:r>
      <w:r w:rsidR="00B363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Review of Keynesian Economics</w:t>
      </w:r>
      <w:r>
        <w:rPr>
          <w:rFonts w:ascii="Times New Roman" w:hAnsi="Times New Roman" w:cs="Times New Roman"/>
          <w:sz w:val="24"/>
          <w:szCs w:val="24"/>
          <w:lang w:val="en-US"/>
        </w:rPr>
        <w:t xml:space="preserve">, special edition, Forthcoming.  </w:t>
      </w:r>
    </w:p>
    <w:p w:rsidR="002F4C4B" w:rsidRPr="00420DEE" w:rsidRDefault="002F4C4B" w:rsidP="00784AF0">
      <w:pPr>
        <w:spacing w:after="120" w:line="240" w:lineRule="auto"/>
        <w:jc w:val="both"/>
        <w:rPr>
          <w:rFonts w:ascii="Times New Roman" w:hAnsi="Times New Roman" w:cs="Times New Roman"/>
          <w:sz w:val="24"/>
          <w:szCs w:val="24"/>
        </w:rPr>
      </w:pPr>
      <w:r w:rsidRPr="00420DEE">
        <w:rPr>
          <w:rFonts w:ascii="Times New Roman" w:hAnsi="Times New Roman" w:cs="Times New Roman"/>
          <w:sz w:val="24"/>
          <w:szCs w:val="24"/>
        </w:rPr>
        <w:t>Tavares, M. C.</w:t>
      </w:r>
      <w:r>
        <w:rPr>
          <w:rFonts w:ascii="Times New Roman" w:hAnsi="Times New Roman" w:cs="Times New Roman"/>
          <w:sz w:val="24"/>
          <w:szCs w:val="24"/>
        </w:rPr>
        <w:t>;</w:t>
      </w:r>
      <w:r w:rsidRPr="00420DEE">
        <w:rPr>
          <w:rFonts w:ascii="Times New Roman" w:hAnsi="Times New Roman" w:cs="Times New Roman"/>
          <w:sz w:val="24"/>
          <w:szCs w:val="24"/>
        </w:rPr>
        <w:t xml:space="preserve"> Serra, J.</w:t>
      </w:r>
      <w:r>
        <w:rPr>
          <w:rFonts w:ascii="Times New Roman" w:hAnsi="Times New Roman" w:cs="Times New Roman"/>
          <w:sz w:val="24"/>
          <w:szCs w:val="24"/>
        </w:rPr>
        <w:t xml:space="preserve"> (</w:t>
      </w:r>
      <w:r w:rsidRPr="00420DEE">
        <w:rPr>
          <w:rFonts w:ascii="Times New Roman" w:hAnsi="Times New Roman" w:cs="Times New Roman"/>
          <w:sz w:val="24"/>
          <w:szCs w:val="24"/>
        </w:rPr>
        <w:t>1971</w:t>
      </w:r>
      <w:r>
        <w:rPr>
          <w:rFonts w:ascii="Times New Roman" w:hAnsi="Times New Roman" w:cs="Times New Roman"/>
          <w:sz w:val="24"/>
          <w:szCs w:val="24"/>
        </w:rPr>
        <w:t>)</w:t>
      </w:r>
      <w:r w:rsidRPr="00420DEE">
        <w:rPr>
          <w:rFonts w:ascii="Times New Roman" w:hAnsi="Times New Roman" w:cs="Times New Roman"/>
          <w:sz w:val="24"/>
          <w:szCs w:val="24"/>
        </w:rPr>
        <w:t xml:space="preserve">, Más </w:t>
      </w:r>
      <w:proofErr w:type="spellStart"/>
      <w:r w:rsidRPr="00420DEE">
        <w:rPr>
          <w:rFonts w:ascii="Times New Roman" w:hAnsi="Times New Roman" w:cs="Times New Roman"/>
          <w:sz w:val="24"/>
          <w:szCs w:val="24"/>
        </w:rPr>
        <w:t>Allá</w:t>
      </w:r>
      <w:proofErr w:type="spellEnd"/>
      <w:r w:rsidRPr="00420DEE">
        <w:rPr>
          <w:rFonts w:ascii="Times New Roman" w:hAnsi="Times New Roman" w:cs="Times New Roman"/>
          <w:sz w:val="24"/>
          <w:szCs w:val="24"/>
        </w:rPr>
        <w:t xml:space="preserve"> </w:t>
      </w:r>
      <w:proofErr w:type="spellStart"/>
      <w:r w:rsidRPr="00420DEE">
        <w:rPr>
          <w:rFonts w:ascii="Times New Roman" w:hAnsi="Times New Roman" w:cs="Times New Roman"/>
          <w:sz w:val="24"/>
          <w:szCs w:val="24"/>
        </w:rPr>
        <w:t>del</w:t>
      </w:r>
      <w:proofErr w:type="spellEnd"/>
      <w:r w:rsidRPr="00420DEE">
        <w:rPr>
          <w:rFonts w:ascii="Times New Roman" w:hAnsi="Times New Roman" w:cs="Times New Roman"/>
          <w:sz w:val="24"/>
          <w:szCs w:val="24"/>
        </w:rPr>
        <w:t xml:space="preserve"> </w:t>
      </w:r>
      <w:proofErr w:type="spellStart"/>
      <w:r w:rsidRPr="00420DEE">
        <w:rPr>
          <w:rFonts w:ascii="Times New Roman" w:hAnsi="Times New Roman" w:cs="Times New Roman"/>
          <w:sz w:val="24"/>
          <w:szCs w:val="24"/>
        </w:rPr>
        <w:t>estancamiento</w:t>
      </w:r>
      <w:proofErr w:type="spellEnd"/>
      <w:r w:rsidRPr="00420DEE">
        <w:rPr>
          <w:rFonts w:ascii="Times New Roman" w:hAnsi="Times New Roman" w:cs="Times New Roman"/>
          <w:sz w:val="24"/>
          <w:szCs w:val="24"/>
        </w:rPr>
        <w:t xml:space="preserve">: una </w:t>
      </w:r>
      <w:proofErr w:type="spellStart"/>
      <w:r w:rsidRPr="00420DEE">
        <w:rPr>
          <w:rFonts w:ascii="Times New Roman" w:hAnsi="Times New Roman" w:cs="Times New Roman"/>
          <w:sz w:val="24"/>
          <w:szCs w:val="24"/>
        </w:rPr>
        <w:t>discusión</w:t>
      </w:r>
      <w:proofErr w:type="spellEnd"/>
      <w:r w:rsidRPr="00420DEE">
        <w:rPr>
          <w:rFonts w:ascii="Times New Roman" w:hAnsi="Times New Roman" w:cs="Times New Roman"/>
          <w:sz w:val="24"/>
          <w:szCs w:val="24"/>
        </w:rPr>
        <w:t xml:space="preserve"> sobre </w:t>
      </w:r>
      <w:proofErr w:type="spellStart"/>
      <w:r w:rsidRPr="00420DEE">
        <w:rPr>
          <w:rFonts w:ascii="Times New Roman" w:hAnsi="Times New Roman" w:cs="Times New Roman"/>
          <w:sz w:val="24"/>
          <w:szCs w:val="24"/>
        </w:rPr>
        <w:t>el</w:t>
      </w:r>
      <w:proofErr w:type="spellEnd"/>
      <w:r w:rsidRPr="00420DEE">
        <w:rPr>
          <w:rFonts w:ascii="Times New Roman" w:hAnsi="Times New Roman" w:cs="Times New Roman"/>
          <w:sz w:val="24"/>
          <w:szCs w:val="24"/>
        </w:rPr>
        <w:t xml:space="preserve"> estilo de </w:t>
      </w:r>
      <w:proofErr w:type="spellStart"/>
      <w:r w:rsidRPr="00420DEE">
        <w:rPr>
          <w:rFonts w:ascii="Times New Roman" w:hAnsi="Times New Roman" w:cs="Times New Roman"/>
          <w:sz w:val="24"/>
          <w:szCs w:val="24"/>
        </w:rPr>
        <w:t>desarrollo</w:t>
      </w:r>
      <w:proofErr w:type="spellEnd"/>
      <w:r w:rsidRPr="00420DEE">
        <w:rPr>
          <w:rFonts w:ascii="Times New Roman" w:hAnsi="Times New Roman" w:cs="Times New Roman"/>
          <w:sz w:val="24"/>
          <w:szCs w:val="24"/>
        </w:rPr>
        <w:t xml:space="preserve"> </w:t>
      </w:r>
      <w:proofErr w:type="spellStart"/>
      <w:r w:rsidRPr="00420DEE">
        <w:rPr>
          <w:rFonts w:ascii="Times New Roman" w:hAnsi="Times New Roman" w:cs="Times New Roman"/>
          <w:sz w:val="24"/>
          <w:szCs w:val="24"/>
        </w:rPr>
        <w:t>reciente</w:t>
      </w:r>
      <w:proofErr w:type="spellEnd"/>
      <w:r w:rsidRPr="00420DEE">
        <w:rPr>
          <w:rFonts w:ascii="Times New Roman" w:hAnsi="Times New Roman" w:cs="Times New Roman"/>
          <w:sz w:val="24"/>
          <w:szCs w:val="24"/>
        </w:rPr>
        <w:t xml:space="preserve">. </w:t>
      </w:r>
      <w:r w:rsidRPr="00420DEE">
        <w:rPr>
          <w:rFonts w:ascii="Times New Roman" w:hAnsi="Times New Roman" w:cs="Times New Roman"/>
          <w:i/>
          <w:sz w:val="24"/>
          <w:szCs w:val="24"/>
        </w:rPr>
        <w:t>El trimestre económico,</w:t>
      </w:r>
      <w:r w:rsidRPr="00420DEE">
        <w:rPr>
          <w:rFonts w:ascii="Times New Roman" w:hAnsi="Times New Roman" w:cs="Times New Roman"/>
          <w:sz w:val="24"/>
          <w:szCs w:val="24"/>
        </w:rPr>
        <w:t xml:space="preserve"> 33, 905</w:t>
      </w:r>
      <w:r>
        <w:rPr>
          <w:rFonts w:ascii="Times New Roman" w:hAnsi="Times New Roman" w:cs="Times New Roman"/>
          <w:sz w:val="24"/>
          <w:szCs w:val="24"/>
        </w:rPr>
        <w:t>-</w:t>
      </w:r>
      <w:r w:rsidRPr="00420DEE">
        <w:rPr>
          <w:rFonts w:ascii="Times New Roman" w:hAnsi="Times New Roman" w:cs="Times New Roman"/>
          <w:sz w:val="24"/>
          <w:szCs w:val="24"/>
        </w:rPr>
        <w:t xml:space="preserve">950. </w:t>
      </w:r>
    </w:p>
    <w:p w:rsidR="00BA624A" w:rsidRPr="002F4C4B" w:rsidRDefault="00BA624A" w:rsidP="00784AF0">
      <w:pPr>
        <w:spacing w:line="240" w:lineRule="auto"/>
        <w:rPr>
          <w:rFonts w:ascii="Times New Roman" w:hAnsi="Times New Roman" w:cs="Times New Roman"/>
          <w:b/>
          <w:sz w:val="24"/>
          <w:szCs w:val="24"/>
        </w:rPr>
      </w:pPr>
    </w:p>
    <w:p w:rsidR="00B24A16" w:rsidRDefault="00B24A16" w:rsidP="00784AF0">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Appendix</w:t>
      </w:r>
    </w:p>
    <w:p w:rsidR="00B24A16" w:rsidRDefault="00B24A16" w:rsidP="00784AF0">
      <w:pPr>
        <w:spacing w:line="240" w:lineRule="auto"/>
        <w:jc w:val="center"/>
        <w:rPr>
          <w:rFonts w:ascii="Times New Roman" w:hAnsi="Times New Roman" w:cs="Times New Roman"/>
          <w:lang w:val="en-US"/>
        </w:rPr>
      </w:pPr>
      <w:r>
        <w:rPr>
          <w:rFonts w:ascii="Times New Roman" w:hAnsi="Times New Roman" w:cs="Times New Roman"/>
          <w:b/>
          <w:lang w:val="en-US"/>
        </w:rPr>
        <w:t xml:space="preserve">Table A1. </w:t>
      </w:r>
      <w:r>
        <w:rPr>
          <w:rFonts w:ascii="Times New Roman" w:hAnsi="Times New Roman" w:cs="Times New Roman"/>
          <w:lang w:val="en-US"/>
        </w:rPr>
        <w:t>KPSS test</w:t>
      </w:r>
    </w:p>
    <w:tbl>
      <w:tblPr>
        <w:tblW w:w="4864" w:type="dxa"/>
        <w:jc w:val="center"/>
        <w:tblCellMar>
          <w:left w:w="70" w:type="dxa"/>
          <w:right w:w="70" w:type="dxa"/>
        </w:tblCellMar>
        <w:tblLook w:val="04A0" w:firstRow="1" w:lastRow="0" w:firstColumn="1" w:lastColumn="0" w:noHBand="0" w:noVBand="1"/>
      </w:tblPr>
      <w:tblGrid>
        <w:gridCol w:w="678"/>
        <w:gridCol w:w="1212"/>
        <w:gridCol w:w="965"/>
        <w:gridCol w:w="1301"/>
        <w:gridCol w:w="960"/>
      </w:tblGrid>
      <w:tr w:rsidR="00B24A16" w:rsidRPr="00B3635C" w:rsidTr="00B24A16">
        <w:trPr>
          <w:trHeight w:val="300"/>
          <w:jc w:val="center"/>
        </w:trPr>
        <w:tc>
          <w:tcPr>
            <w:tcW w:w="426"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Series</w:t>
            </w:r>
          </w:p>
        </w:tc>
        <w:tc>
          <w:tcPr>
            <w:tcW w:w="1212"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Band</w:t>
            </w:r>
          </w:p>
        </w:tc>
        <w:tc>
          <w:tcPr>
            <w:tcW w:w="965"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Test</w:t>
            </w:r>
          </w:p>
        </w:tc>
        <w:tc>
          <w:tcPr>
            <w:tcW w:w="1301"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Specification</w:t>
            </w:r>
          </w:p>
        </w:tc>
        <w:tc>
          <w:tcPr>
            <w:tcW w:w="960"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Result</w:t>
            </w:r>
          </w:p>
        </w:tc>
      </w:tr>
      <w:tr w:rsidR="00B24A16" w:rsidRPr="00B3635C" w:rsidTr="00B24A16">
        <w:trPr>
          <w:trHeight w:val="300"/>
          <w:jc w:val="center"/>
        </w:trPr>
        <w:tc>
          <w:tcPr>
            <w:tcW w:w="426" w:type="dxa"/>
            <w:tcBorders>
              <w:top w:val="single" w:sz="4" w:space="0" w:color="auto"/>
              <w:left w:val="nil"/>
              <w:bottom w:val="nil"/>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i/>
                <w:lang w:val="en-US" w:eastAsia="pt-BR"/>
              </w:rPr>
            </w:pPr>
            <w:r>
              <w:rPr>
                <w:rFonts w:ascii="Times New Roman" w:eastAsia="Times New Roman" w:hAnsi="Times New Roman" w:cs="Times New Roman"/>
                <w:i/>
                <w:lang w:val="en-US" w:eastAsia="pt-BR"/>
              </w:rPr>
              <w:t>π</w:t>
            </w:r>
          </w:p>
        </w:tc>
        <w:tc>
          <w:tcPr>
            <w:tcW w:w="1212" w:type="dxa"/>
            <w:tcBorders>
              <w:top w:val="single" w:sz="4" w:space="0" w:color="auto"/>
              <w:left w:val="nil"/>
              <w:bottom w:val="nil"/>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5</w:t>
            </w:r>
          </w:p>
        </w:tc>
        <w:tc>
          <w:tcPr>
            <w:tcW w:w="965"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0.1273</w:t>
            </w:r>
          </w:p>
        </w:tc>
        <w:tc>
          <w:tcPr>
            <w:tcW w:w="1301"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Constant</w:t>
            </w:r>
          </w:p>
        </w:tc>
        <w:tc>
          <w:tcPr>
            <w:tcW w:w="960"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I(0)</w:t>
            </w:r>
          </w:p>
        </w:tc>
      </w:tr>
      <w:tr w:rsidR="00B24A16" w:rsidRPr="00B3635C" w:rsidTr="00B24A16">
        <w:trPr>
          <w:trHeight w:val="300"/>
          <w:jc w:val="center"/>
        </w:trPr>
        <w:tc>
          <w:tcPr>
            <w:tcW w:w="426" w:type="dxa"/>
            <w:noWrap/>
            <w:vAlign w:val="bottom"/>
            <w:hideMark/>
          </w:tcPr>
          <w:p w:rsidR="00B24A16" w:rsidRDefault="00B24A16" w:rsidP="00784AF0">
            <w:pPr>
              <w:spacing w:after="0" w:line="240" w:lineRule="auto"/>
              <w:jc w:val="center"/>
              <w:rPr>
                <w:rFonts w:ascii="Times New Roman" w:eastAsia="Times New Roman" w:hAnsi="Times New Roman" w:cs="Times New Roman"/>
                <w:i/>
                <w:lang w:val="en-US" w:eastAsia="pt-BR"/>
              </w:rPr>
            </w:pPr>
            <w:r>
              <w:rPr>
                <w:rFonts w:ascii="Times New Roman" w:eastAsia="Times New Roman" w:hAnsi="Times New Roman" w:cs="Times New Roman"/>
                <w:i/>
                <w:lang w:val="en-US" w:eastAsia="pt-BR"/>
              </w:rPr>
              <w:t>g</w:t>
            </w:r>
          </w:p>
        </w:tc>
        <w:tc>
          <w:tcPr>
            <w:tcW w:w="1212"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4</w:t>
            </w:r>
          </w:p>
        </w:tc>
        <w:tc>
          <w:tcPr>
            <w:tcW w:w="965"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0.4218</w:t>
            </w:r>
          </w:p>
        </w:tc>
        <w:tc>
          <w:tcPr>
            <w:tcW w:w="1301"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Constant</w:t>
            </w:r>
          </w:p>
        </w:tc>
        <w:tc>
          <w:tcPr>
            <w:tcW w:w="960"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I(0)</w:t>
            </w:r>
          </w:p>
        </w:tc>
      </w:tr>
      <w:tr w:rsidR="00B24A16" w:rsidTr="00B24A16">
        <w:trPr>
          <w:trHeight w:val="300"/>
          <w:jc w:val="center"/>
        </w:trPr>
        <w:tc>
          <w:tcPr>
            <w:tcW w:w="426"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i/>
                <w:lang w:val="en-US" w:eastAsia="pt-BR"/>
              </w:rPr>
            </w:pPr>
            <w:r>
              <w:rPr>
                <w:rFonts w:ascii="Times New Roman" w:eastAsia="Times New Roman" w:hAnsi="Times New Roman" w:cs="Times New Roman"/>
                <w:i/>
                <w:lang w:val="en-US" w:eastAsia="pt-BR"/>
              </w:rPr>
              <w:t>u</w:t>
            </w:r>
          </w:p>
        </w:tc>
        <w:tc>
          <w:tcPr>
            <w:tcW w:w="1212"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4</w:t>
            </w:r>
          </w:p>
        </w:tc>
        <w:tc>
          <w:tcPr>
            <w:tcW w:w="965"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0.2420</w:t>
            </w:r>
          </w:p>
        </w:tc>
        <w:tc>
          <w:tcPr>
            <w:tcW w:w="1301"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Constant</w:t>
            </w:r>
          </w:p>
        </w:tc>
        <w:tc>
          <w:tcPr>
            <w:tcW w:w="960"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I(0)</w:t>
            </w:r>
          </w:p>
        </w:tc>
      </w:tr>
    </w:tbl>
    <w:p w:rsidR="00B24A16" w:rsidRDefault="00B24A16" w:rsidP="00784AF0">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Notes: In this test is used </w:t>
      </w:r>
      <w:proofErr w:type="spellStart"/>
      <w:r>
        <w:rPr>
          <w:rFonts w:ascii="Times New Roman" w:hAnsi="Times New Roman" w:cs="Times New Roman"/>
          <w:sz w:val="20"/>
          <w:szCs w:val="20"/>
          <w:lang w:val="en-US"/>
        </w:rPr>
        <w:t>Barlett</w:t>
      </w:r>
      <w:proofErr w:type="spellEnd"/>
      <w:r>
        <w:rPr>
          <w:rFonts w:ascii="Times New Roman" w:hAnsi="Times New Roman" w:cs="Times New Roman"/>
          <w:sz w:val="20"/>
          <w:szCs w:val="20"/>
          <w:lang w:val="en-US"/>
        </w:rPr>
        <w:t xml:space="preserve"> kernel and </w:t>
      </w:r>
      <w:proofErr w:type="spellStart"/>
      <w:r>
        <w:rPr>
          <w:rFonts w:ascii="Times New Roman" w:hAnsi="Times New Roman" w:cs="Times New Roman"/>
          <w:sz w:val="20"/>
          <w:szCs w:val="20"/>
          <w:lang w:val="en-US"/>
        </w:rPr>
        <w:t>Newey</w:t>
      </w:r>
      <w:proofErr w:type="spellEnd"/>
      <w:r>
        <w:rPr>
          <w:rFonts w:ascii="Times New Roman" w:hAnsi="Times New Roman" w:cs="Times New Roman"/>
          <w:sz w:val="20"/>
          <w:szCs w:val="20"/>
          <w:lang w:val="en-US"/>
        </w:rPr>
        <w:t xml:space="preserve">-West bandwidth. </w:t>
      </w:r>
    </w:p>
    <w:p w:rsidR="00B24A16" w:rsidRDefault="00B24A16" w:rsidP="00784AF0">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The critical value (5% level) is 0.463.   </w:t>
      </w:r>
    </w:p>
    <w:p w:rsidR="00466264" w:rsidRDefault="00B24A16" w:rsidP="00784AF0">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B24A16" w:rsidRDefault="00B24A16" w:rsidP="00784AF0">
      <w:pPr>
        <w:spacing w:after="0" w:line="240" w:lineRule="auto"/>
        <w:jc w:val="center"/>
        <w:rPr>
          <w:rFonts w:ascii="Times New Roman" w:hAnsi="Times New Roman" w:cs="Times New Roman"/>
          <w:b/>
          <w:lang w:val="en-US"/>
        </w:rPr>
      </w:pPr>
    </w:p>
    <w:p w:rsidR="00B24A16" w:rsidRDefault="00B24A16" w:rsidP="00784AF0">
      <w:pPr>
        <w:spacing w:after="0" w:line="240" w:lineRule="auto"/>
        <w:jc w:val="center"/>
        <w:rPr>
          <w:rFonts w:ascii="Times New Roman" w:hAnsi="Times New Roman" w:cs="Times New Roman"/>
          <w:b/>
          <w:lang w:val="en-US"/>
        </w:rPr>
      </w:pPr>
      <w:r>
        <w:rPr>
          <w:rFonts w:ascii="Times New Roman" w:hAnsi="Times New Roman" w:cs="Times New Roman"/>
          <w:b/>
          <w:lang w:val="en-US"/>
        </w:rPr>
        <w:t xml:space="preserve">Table A2. </w:t>
      </w:r>
      <w:r>
        <w:rPr>
          <w:rFonts w:ascii="Times New Roman" w:hAnsi="Times New Roman" w:cs="Times New Roman"/>
          <w:lang w:val="en-US"/>
        </w:rPr>
        <w:t>VAR lag order selection criteria</w:t>
      </w:r>
    </w:p>
    <w:tbl>
      <w:tblPr>
        <w:tblW w:w="4866" w:type="dxa"/>
        <w:jc w:val="center"/>
        <w:tblCellMar>
          <w:left w:w="70" w:type="dxa"/>
          <w:right w:w="70" w:type="dxa"/>
        </w:tblCellMar>
        <w:tblLook w:val="04A0" w:firstRow="1" w:lastRow="0" w:firstColumn="1" w:lastColumn="0" w:noHBand="0" w:noVBand="1"/>
      </w:tblPr>
      <w:tblGrid>
        <w:gridCol w:w="678"/>
        <w:gridCol w:w="1259"/>
        <w:gridCol w:w="1259"/>
        <w:gridCol w:w="1670"/>
      </w:tblGrid>
      <w:tr w:rsidR="00B24A16" w:rsidTr="00B24A16">
        <w:trPr>
          <w:trHeight w:val="300"/>
          <w:jc w:val="center"/>
        </w:trPr>
        <w:tc>
          <w:tcPr>
            <w:tcW w:w="678"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Lags</w:t>
            </w:r>
          </w:p>
        </w:tc>
        <w:tc>
          <w:tcPr>
            <w:tcW w:w="1259"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AIC</w:t>
            </w:r>
          </w:p>
        </w:tc>
        <w:tc>
          <w:tcPr>
            <w:tcW w:w="1259"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SC</w:t>
            </w:r>
          </w:p>
        </w:tc>
        <w:tc>
          <w:tcPr>
            <w:tcW w:w="1670"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HQ</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0</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-12.70755</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-12.57424</w:t>
            </w:r>
          </w:p>
        </w:tc>
        <w:tc>
          <w:tcPr>
            <w:tcW w:w="1670"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-12.66153</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1</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-14.96855*</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-14.43528*</w:t>
            </w:r>
          </w:p>
        </w:tc>
        <w:tc>
          <w:tcPr>
            <w:tcW w:w="1670"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-14.78446*</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2</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-14.63514</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-13.70193</w:t>
            </w:r>
          </w:p>
        </w:tc>
        <w:tc>
          <w:tcPr>
            <w:tcW w:w="1670"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-14.31299</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3</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-14.67012</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-13.33697</w:t>
            </w:r>
          </w:p>
        </w:tc>
        <w:tc>
          <w:tcPr>
            <w:tcW w:w="1670"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-14.20992</w:t>
            </w:r>
          </w:p>
        </w:tc>
      </w:tr>
      <w:tr w:rsidR="00B24A16" w:rsidTr="00B24A16">
        <w:trPr>
          <w:trHeight w:val="300"/>
          <w:jc w:val="center"/>
        </w:trPr>
        <w:tc>
          <w:tcPr>
            <w:tcW w:w="678" w:type="dxa"/>
            <w:tcBorders>
              <w:top w:val="nil"/>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4</w:t>
            </w:r>
          </w:p>
        </w:tc>
        <w:tc>
          <w:tcPr>
            <w:tcW w:w="1259" w:type="dxa"/>
            <w:tcBorders>
              <w:top w:val="nil"/>
              <w:left w:val="nil"/>
              <w:bottom w:val="single" w:sz="4" w:space="0" w:color="auto"/>
              <w:right w:val="nil"/>
            </w:tcBorders>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-14.76003</w:t>
            </w:r>
          </w:p>
        </w:tc>
        <w:tc>
          <w:tcPr>
            <w:tcW w:w="1259" w:type="dxa"/>
            <w:tcBorders>
              <w:top w:val="nil"/>
              <w:left w:val="nil"/>
              <w:bottom w:val="single" w:sz="4" w:space="0" w:color="auto"/>
              <w:right w:val="nil"/>
            </w:tcBorders>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-13.02693</w:t>
            </w:r>
          </w:p>
        </w:tc>
        <w:tc>
          <w:tcPr>
            <w:tcW w:w="1670" w:type="dxa"/>
            <w:tcBorders>
              <w:top w:val="nil"/>
              <w:left w:val="nil"/>
              <w:bottom w:val="single" w:sz="4" w:space="0" w:color="auto"/>
              <w:right w:val="nil"/>
            </w:tcBorders>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-14.16177</w:t>
            </w:r>
          </w:p>
        </w:tc>
      </w:tr>
    </w:tbl>
    <w:p w:rsidR="00B24A16" w:rsidRDefault="00B24A16" w:rsidP="00784AF0">
      <w:pPr>
        <w:spacing w:after="0" w:line="240" w:lineRule="auto"/>
        <w:rPr>
          <w:rFonts w:ascii="Times New Roman" w:hAnsi="Times New Roman" w:cs="Times New Roman"/>
          <w:b/>
          <w:sz w:val="20"/>
          <w:szCs w:val="20"/>
          <w:lang w:val="en-US"/>
        </w:rPr>
      </w:pPr>
      <w:r>
        <w:rPr>
          <w:rFonts w:ascii="Times New Roman" w:hAnsi="Times New Roman" w:cs="Times New Roman"/>
          <w:lang w:val="en-US"/>
        </w:rPr>
        <w:t xml:space="preserve">                                 </w:t>
      </w:r>
      <w:r>
        <w:rPr>
          <w:rFonts w:ascii="Times New Roman" w:hAnsi="Times New Roman" w:cs="Times New Roman"/>
          <w:sz w:val="20"/>
          <w:szCs w:val="20"/>
          <w:lang w:val="en-US"/>
        </w:rPr>
        <w:t>* Indicates lag order selected by the criterion.</w:t>
      </w:r>
    </w:p>
    <w:p w:rsidR="00B24A16" w:rsidRDefault="00B24A16" w:rsidP="00784AF0">
      <w:pPr>
        <w:spacing w:line="240" w:lineRule="auto"/>
        <w:jc w:val="center"/>
        <w:rPr>
          <w:rFonts w:ascii="Times New Roman" w:hAnsi="Times New Roman" w:cs="Times New Roman"/>
          <w:lang w:val="en-US"/>
        </w:rPr>
      </w:pPr>
      <w:bookmarkStart w:id="1" w:name="_GoBack"/>
      <w:bookmarkEnd w:id="1"/>
      <w:r>
        <w:rPr>
          <w:rFonts w:ascii="Times New Roman" w:hAnsi="Times New Roman" w:cs="Times New Roman"/>
          <w:b/>
          <w:lang w:val="en-US"/>
        </w:rPr>
        <w:lastRenderedPageBreak/>
        <w:t xml:space="preserve">Fig A1. </w:t>
      </w:r>
      <w:r>
        <w:rPr>
          <w:rFonts w:ascii="Times New Roman" w:hAnsi="Times New Roman" w:cs="Times New Roman"/>
          <w:lang w:val="en-US"/>
        </w:rPr>
        <w:t>Inverse root of AR characteristic polynomial</w:t>
      </w:r>
    </w:p>
    <w:p w:rsidR="00B24A16" w:rsidRDefault="00B24A16" w:rsidP="00784AF0">
      <w:pPr>
        <w:spacing w:line="240" w:lineRule="auto"/>
        <w:jc w:val="center"/>
        <w:rPr>
          <w:rFonts w:ascii="Times New Roman" w:hAnsi="Times New Roman" w:cs="Times New Roman"/>
          <w:lang w:val="en-US"/>
        </w:rPr>
      </w:pPr>
      <w:r>
        <w:rPr>
          <w:rFonts w:ascii="Times New Roman" w:hAnsi="Times New Roman" w:cs="Times New Roman"/>
          <w:lang w:val="en-US"/>
        </w:rPr>
        <w:object w:dxaOrig="3885" w:dyaOrig="3765">
          <v:shape id="_x0000_i1079" type="#_x0000_t75" style="width:194.25pt;height:188.25pt" o:ole="">
            <v:imagedata r:id="rId107" o:title=""/>
          </v:shape>
          <o:OLEObject Type="Embed" ProgID="EViews.Workfile.2" ShapeID="_x0000_i1079" DrawAspect="Content" ObjectID="_1530554979" r:id="rId108"/>
        </w:object>
      </w:r>
    </w:p>
    <w:p w:rsidR="004B2ABE" w:rsidRDefault="004B2ABE" w:rsidP="00784AF0">
      <w:pPr>
        <w:spacing w:line="240" w:lineRule="auto"/>
        <w:jc w:val="center"/>
        <w:rPr>
          <w:rFonts w:ascii="Times New Roman" w:hAnsi="Times New Roman" w:cs="Times New Roman"/>
          <w:b/>
          <w:lang w:val="en-US"/>
        </w:rPr>
      </w:pPr>
    </w:p>
    <w:p w:rsidR="004B2ABE" w:rsidRDefault="004B2ABE" w:rsidP="00784AF0">
      <w:pPr>
        <w:spacing w:line="240" w:lineRule="auto"/>
        <w:jc w:val="center"/>
        <w:rPr>
          <w:rFonts w:ascii="Times New Roman" w:hAnsi="Times New Roman" w:cs="Times New Roman"/>
          <w:b/>
          <w:lang w:val="en-US"/>
        </w:rPr>
      </w:pPr>
    </w:p>
    <w:p w:rsidR="00B24A16" w:rsidRDefault="00B24A16" w:rsidP="00784AF0">
      <w:pPr>
        <w:spacing w:line="240" w:lineRule="auto"/>
        <w:jc w:val="center"/>
        <w:rPr>
          <w:rFonts w:ascii="Times New Roman" w:hAnsi="Times New Roman" w:cs="Times New Roman"/>
          <w:b/>
          <w:lang w:val="en-US"/>
        </w:rPr>
      </w:pPr>
      <w:r>
        <w:rPr>
          <w:rFonts w:ascii="Times New Roman" w:hAnsi="Times New Roman" w:cs="Times New Roman"/>
          <w:b/>
          <w:lang w:val="en-US"/>
        </w:rPr>
        <w:t xml:space="preserve">Table A3. </w:t>
      </w:r>
      <w:r>
        <w:rPr>
          <w:rFonts w:ascii="Times New Roman" w:hAnsi="Times New Roman" w:cs="Times New Roman"/>
          <w:lang w:val="en-US"/>
        </w:rPr>
        <w:t>VAR residual serial correlation LM test</w:t>
      </w:r>
    </w:p>
    <w:tbl>
      <w:tblPr>
        <w:tblW w:w="3196" w:type="dxa"/>
        <w:jc w:val="center"/>
        <w:tblCellMar>
          <w:left w:w="70" w:type="dxa"/>
          <w:right w:w="70" w:type="dxa"/>
        </w:tblCellMar>
        <w:tblLook w:val="04A0" w:firstRow="1" w:lastRow="0" w:firstColumn="1" w:lastColumn="0" w:noHBand="0" w:noVBand="1"/>
      </w:tblPr>
      <w:tblGrid>
        <w:gridCol w:w="678"/>
        <w:gridCol w:w="1259"/>
        <w:gridCol w:w="1259"/>
      </w:tblGrid>
      <w:tr w:rsidR="00B24A16" w:rsidTr="00B24A16">
        <w:trPr>
          <w:trHeight w:val="300"/>
          <w:jc w:val="center"/>
        </w:trPr>
        <w:tc>
          <w:tcPr>
            <w:tcW w:w="678"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Lags</w:t>
            </w:r>
          </w:p>
        </w:tc>
        <w:tc>
          <w:tcPr>
            <w:tcW w:w="1259"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LM-Stat</w:t>
            </w:r>
          </w:p>
        </w:tc>
        <w:tc>
          <w:tcPr>
            <w:tcW w:w="1259" w:type="dxa"/>
            <w:tcBorders>
              <w:top w:val="single" w:sz="4" w:space="0" w:color="auto"/>
              <w:left w:val="nil"/>
              <w:bottom w:val="single" w:sz="4" w:space="0" w:color="auto"/>
              <w:right w:val="nil"/>
            </w:tcBorders>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Prob</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1</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7.855255</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0.5488</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2</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12.99147</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0.1630</w:t>
            </w:r>
          </w:p>
        </w:tc>
      </w:tr>
      <w:tr w:rsidR="00B24A16" w:rsidTr="00B24A16">
        <w:trPr>
          <w:trHeight w:val="300"/>
          <w:jc w:val="center"/>
        </w:trPr>
        <w:tc>
          <w:tcPr>
            <w:tcW w:w="678" w:type="dxa"/>
            <w:noWrap/>
            <w:vAlign w:val="bottom"/>
            <w:hideMark/>
          </w:tcPr>
          <w:p w:rsidR="00B24A16" w:rsidRDefault="00B24A16"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3</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8.155983</w:t>
            </w:r>
          </w:p>
        </w:tc>
        <w:tc>
          <w:tcPr>
            <w:tcW w:w="1259" w:type="dxa"/>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0.5185</w:t>
            </w:r>
          </w:p>
        </w:tc>
      </w:tr>
      <w:tr w:rsidR="00B24A16" w:rsidTr="00B24A16">
        <w:trPr>
          <w:trHeight w:val="300"/>
          <w:jc w:val="center"/>
        </w:trPr>
        <w:tc>
          <w:tcPr>
            <w:tcW w:w="678" w:type="dxa"/>
            <w:tcBorders>
              <w:top w:val="nil"/>
              <w:left w:val="nil"/>
              <w:bottom w:val="single" w:sz="4" w:space="0" w:color="auto"/>
              <w:right w:val="nil"/>
            </w:tcBorders>
            <w:noWrap/>
            <w:vAlign w:val="bottom"/>
            <w:hideMark/>
          </w:tcPr>
          <w:p w:rsidR="00B24A16" w:rsidRDefault="004B2ABE" w:rsidP="00784AF0">
            <w:pPr>
              <w:spacing w:after="0" w:line="240" w:lineRule="auto"/>
              <w:jc w:val="center"/>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4</w:t>
            </w:r>
          </w:p>
        </w:tc>
        <w:tc>
          <w:tcPr>
            <w:tcW w:w="1259" w:type="dxa"/>
            <w:tcBorders>
              <w:top w:val="nil"/>
              <w:left w:val="nil"/>
              <w:bottom w:val="single" w:sz="4" w:space="0" w:color="auto"/>
              <w:right w:val="nil"/>
            </w:tcBorders>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11.81306</w:t>
            </w:r>
          </w:p>
        </w:tc>
        <w:tc>
          <w:tcPr>
            <w:tcW w:w="1259" w:type="dxa"/>
            <w:tcBorders>
              <w:top w:val="nil"/>
              <w:left w:val="nil"/>
              <w:bottom w:val="single" w:sz="4" w:space="0" w:color="auto"/>
              <w:right w:val="nil"/>
            </w:tcBorders>
            <w:noWrap/>
            <w:vAlign w:val="bottom"/>
            <w:hideMark/>
          </w:tcPr>
          <w:p w:rsidR="00B24A16" w:rsidRDefault="00B24A16" w:rsidP="00784AF0">
            <w:pPr>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0.2241</w:t>
            </w:r>
          </w:p>
        </w:tc>
      </w:tr>
    </w:tbl>
    <w:p w:rsidR="00B24A16" w:rsidRDefault="00B24A16" w:rsidP="00784AF0">
      <w:pPr>
        <w:spacing w:line="240" w:lineRule="auto"/>
        <w:jc w:val="center"/>
        <w:rPr>
          <w:rFonts w:ascii="Times New Roman" w:hAnsi="Times New Roman" w:cs="Times New Roman"/>
          <w:lang w:val="en-US"/>
        </w:rPr>
      </w:pPr>
      <w:r>
        <w:rPr>
          <w:rFonts w:ascii="Times New Roman" w:hAnsi="Times New Roman" w:cs="Times New Roman"/>
          <w:lang w:val="en-US"/>
        </w:rPr>
        <w:t xml:space="preserve"> </w:t>
      </w:r>
    </w:p>
    <w:p w:rsidR="00B24A16" w:rsidRDefault="00B24A16" w:rsidP="00784AF0">
      <w:pPr>
        <w:spacing w:line="240" w:lineRule="auto"/>
        <w:jc w:val="center"/>
        <w:rPr>
          <w:rFonts w:ascii="Times New Roman" w:hAnsi="Times New Roman" w:cs="Times New Roman"/>
          <w:sz w:val="18"/>
          <w:szCs w:val="18"/>
          <w:lang w:val="en-US"/>
        </w:rPr>
      </w:pPr>
      <w:r>
        <w:rPr>
          <w:noProof/>
          <w:lang w:eastAsia="pt-BR"/>
        </w:rPr>
        <w:drawing>
          <wp:inline distT="0" distB="0" distL="0" distR="0" wp14:anchorId="36EF556E" wp14:editId="16AD1C94">
            <wp:extent cx="4581525" cy="27527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r>
        <w:rPr>
          <w:rFonts w:ascii="Times New Roman" w:hAnsi="Times New Roman" w:cs="Times New Roman"/>
          <w:sz w:val="18"/>
          <w:szCs w:val="18"/>
          <w:lang w:val="en-US"/>
        </w:rPr>
        <w:t xml:space="preserve"> </w:t>
      </w:r>
    </w:p>
    <w:p w:rsidR="00B24A16" w:rsidRDefault="00B24A16" w:rsidP="00784AF0">
      <w:pPr>
        <w:spacing w:line="240" w:lineRule="auto"/>
        <w:jc w:val="center"/>
        <w:rPr>
          <w:noProof/>
          <w:lang w:val="en-US" w:eastAsia="pt-BR"/>
        </w:rPr>
      </w:pPr>
      <w:r>
        <w:rPr>
          <w:rFonts w:ascii="Times New Roman" w:hAnsi="Times New Roman" w:cs="Times New Roman"/>
          <w:b/>
          <w:sz w:val="20"/>
          <w:szCs w:val="20"/>
          <w:lang w:val="en-US"/>
        </w:rPr>
        <w:t>Fig. A2:</w:t>
      </w:r>
      <w:r>
        <w:rPr>
          <w:rFonts w:ascii="Times New Roman" w:hAnsi="Times New Roman" w:cs="Times New Roman"/>
          <w:sz w:val="20"/>
          <w:szCs w:val="20"/>
          <w:lang w:val="en-US"/>
        </w:rPr>
        <w:t xml:space="preserve"> Response of </w:t>
      </w:r>
      <w:r>
        <w:rPr>
          <w:rFonts w:ascii="Times New Roman" w:hAnsi="Times New Roman" w:cs="Times New Roman"/>
          <w:i/>
          <w:sz w:val="20"/>
          <w:szCs w:val="20"/>
          <w:lang w:val="en-US"/>
        </w:rPr>
        <w:t>g</w:t>
      </w:r>
      <w:r>
        <w:rPr>
          <w:rFonts w:ascii="Times New Roman" w:hAnsi="Times New Roman" w:cs="Times New Roman"/>
          <w:sz w:val="20"/>
          <w:szCs w:val="20"/>
          <w:lang w:val="en-US"/>
        </w:rPr>
        <w:t xml:space="preserve"> and </w:t>
      </w:r>
      <w:r>
        <w:rPr>
          <w:rFonts w:ascii="Times New Roman" w:hAnsi="Times New Roman" w:cs="Times New Roman"/>
          <w:i/>
          <w:sz w:val="20"/>
          <w:szCs w:val="20"/>
          <w:lang w:val="en-US"/>
        </w:rPr>
        <w:t>g</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r>
        <w:rPr>
          <w:noProof/>
          <w:lang w:val="en-US" w:eastAsia="pt-BR"/>
        </w:rPr>
        <w:t xml:space="preserve"> </w:t>
      </w:r>
    </w:p>
    <w:p w:rsidR="00B24A16" w:rsidRDefault="00B24A16" w:rsidP="00784AF0">
      <w:pPr>
        <w:spacing w:line="240" w:lineRule="auto"/>
        <w:jc w:val="center"/>
        <w:rPr>
          <w:noProof/>
          <w:lang w:val="en-US" w:eastAsia="pt-BR"/>
        </w:rPr>
      </w:pPr>
    </w:p>
    <w:p w:rsidR="00B24A16" w:rsidRDefault="00B24A16" w:rsidP="00784AF0">
      <w:pPr>
        <w:spacing w:line="240" w:lineRule="auto"/>
        <w:jc w:val="center"/>
        <w:rPr>
          <w:noProof/>
          <w:lang w:val="en-US" w:eastAsia="pt-BR"/>
        </w:rPr>
      </w:pPr>
      <w:r>
        <w:rPr>
          <w:noProof/>
          <w:lang w:eastAsia="pt-BR"/>
        </w:rPr>
        <w:lastRenderedPageBreak/>
        <w:drawing>
          <wp:inline distT="0" distB="0" distL="0" distR="0" wp14:anchorId="0A2E156A" wp14:editId="24F8271A">
            <wp:extent cx="4581525" cy="27527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B24A16" w:rsidRDefault="00B24A16" w:rsidP="00784AF0">
      <w:pPr>
        <w:spacing w:line="240" w:lineRule="auto"/>
        <w:jc w:val="center"/>
        <w:rPr>
          <w:noProof/>
          <w:lang w:val="en-US" w:eastAsia="pt-BR"/>
        </w:rPr>
      </w:pPr>
      <w:r>
        <w:rPr>
          <w:rFonts w:ascii="Times New Roman" w:hAnsi="Times New Roman" w:cs="Times New Roman"/>
          <w:b/>
          <w:sz w:val="20"/>
          <w:szCs w:val="20"/>
          <w:lang w:val="en-US"/>
        </w:rPr>
        <w:t>Fig. A3:</w:t>
      </w:r>
      <w:r>
        <w:rPr>
          <w:rFonts w:ascii="Times New Roman" w:hAnsi="Times New Roman" w:cs="Times New Roman"/>
          <w:sz w:val="20"/>
          <w:szCs w:val="20"/>
          <w:lang w:val="en-US"/>
        </w:rPr>
        <w:t xml:space="preserve"> Response of </w:t>
      </w:r>
      <w:r>
        <w:rPr>
          <w:rFonts w:ascii="Times New Roman" w:hAnsi="Times New Roman" w:cs="Times New Roman"/>
          <w:i/>
          <w:sz w:val="20"/>
          <w:szCs w:val="20"/>
          <w:lang w:val="en-US"/>
        </w:rPr>
        <w:t>u</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r>
        <w:rPr>
          <w:noProof/>
          <w:lang w:val="en-US" w:eastAsia="pt-BR"/>
        </w:rPr>
        <w:t xml:space="preserve"> </w:t>
      </w:r>
    </w:p>
    <w:p w:rsidR="00B24A16" w:rsidRDefault="00B24A16" w:rsidP="00784AF0">
      <w:pPr>
        <w:spacing w:line="240" w:lineRule="auto"/>
        <w:jc w:val="center"/>
        <w:rPr>
          <w:noProof/>
          <w:lang w:val="en-US" w:eastAsia="pt-BR"/>
        </w:rPr>
      </w:pPr>
      <w:r>
        <w:rPr>
          <w:noProof/>
          <w:lang w:eastAsia="pt-BR"/>
        </w:rPr>
        <w:drawing>
          <wp:inline distT="0" distB="0" distL="0" distR="0" wp14:anchorId="5F00CEA2" wp14:editId="3D0413EA">
            <wp:extent cx="4581525" cy="27527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B24A16" w:rsidRDefault="00B24A16" w:rsidP="00784AF0">
      <w:pPr>
        <w:spacing w:line="240" w:lineRule="auto"/>
        <w:jc w:val="center"/>
        <w:rPr>
          <w:noProof/>
          <w:lang w:val="en-US" w:eastAsia="pt-BR"/>
        </w:rPr>
      </w:pPr>
      <w:r>
        <w:rPr>
          <w:rFonts w:ascii="Times New Roman" w:hAnsi="Times New Roman" w:cs="Times New Roman"/>
          <w:b/>
          <w:sz w:val="20"/>
          <w:szCs w:val="20"/>
          <w:lang w:val="en-US"/>
        </w:rPr>
        <w:t>Fig. A4:</w:t>
      </w:r>
      <w:r>
        <w:rPr>
          <w:rFonts w:ascii="Times New Roman" w:hAnsi="Times New Roman" w:cs="Times New Roman"/>
          <w:sz w:val="20"/>
          <w:szCs w:val="20"/>
          <w:lang w:val="en-US"/>
        </w:rPr>
        <w:t xml:space="preserve"> Response of </w:t>
      </w:r>
      <w:r>
        <w:rPr>
          <w:rFonts w:ascii="Times New Roman" w:hAnsi="Times New Roman" w:cs="Times New Roman"/>
          <w:i/>
          <w:sz w:val="20"/>
          <w:szCs w:val="20"/>
          <w:lang w:val="en-US"/>
        </w:rPr>
        <w:t>I/K</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r>
        <w:rPr>
          <w:noProof/>
          <w:lang w:val="en-US" w:eastAsia="pt-BR"/>
        </w:rPr>
        <w:t xml:space="preserve"> </w:t>
      </w:r>
    </w:p>
    <w:p w:rsidR="00B24A16" w:rsidRDefault="00B24A16" w:rsidP="00784AF0">
      <w:pPr>
        <w:spacing w:line="240" w:lineRule="auto"/>
        <w:jc w:val="center"/>
        <w:rPr>
          <w:noProof/>
          <w:lang w:val="en-US" w:eastAsia="pt-BR"/>
        </w:rPr>
      </w:pPr>
    </w:p>
    <w:p w:rsidR="00B24A16" w:rsidRDefault="00B24A16" w:rsidP="00784AF0">
      <w:pPr>
        <w:spacing w:line="240" w:lineRule="auto"/>
        <w:jc w:val="center"/>
        <w:rPr>
          <w:noProof/>
          <w:lang w:val="en-US" w:eastAsia="pt-BR"/>
        </w:rPr>
      </w:pPr>
    </w:p>
    <w:p w:rsidR="00B24A16" w:rsidRDefault="00B24A16" w:rsidP="00784AF0">
      <w:pPr>
        <w:spacing w:line="240" w:lineRule="auto"/>
        <w:jc w:val="center"/>
        <w:rPr>
          <w:noProof/>
          <w:lang w:val="en-US" w:eastAsia="pt-BR"/>
        </w:rPr>
      </w:pPr>
      <w:r>
        <w:rPr>
          <w:noProof/>
          <w:lang w:eastAsia="pt-BR"/>
        </w:rPr>
        <w:lastRenderedPageBreak/>
        <w:drawing>
          <wp:inline distT="0" distB="0" distL="0" distR="0" wp14:anchorId="607CC389" wp14:editId="2D663C35">
            <wp:extent cx="4581525" cy="27527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B24A16" w:rsidRDefault="00B24A16" w:rsidP="00784AF0">
      <w:pPr>
        <w:spacing w:line="240" w:lineRule="auto"/>
        <w:jc w:val="center"/>
        <w:rPr>
          <w:rFonts w:ascii="Times New Roman" w:hAnsi="Times New Roman" w:cs="Times New Roman"/>
          <w:sz w:val="24"/>
          <w:szCs w:val="24"/>
          <w:lang w:val="en-US"/>
        </w:rPr>
      </w:pPr>
      <w:r>
        <w:rPr>
          <w:rFonts w:ascii="Times New Roman" w:hAnsi="Times New Roman" w:cs="Times New Roman"/>
          <w:b/>
          <w:sz w:val="20"/>
          <w:szCs w:val="20"/>
          <w:lang w:val="en-US"/>
        </w:rPr>
        <w:t>Fig. A5:</w:t>
      </w:r>
      <w:r>
        <w:rPr>
          <w:rFonts w:ascii="Times New Roman" w:hAnsi="Times New Roman" w:cs="Times New Roman"/>
          <w:sz w:val="20"/>
          <w:szCs w:val="20"/>
          <w:lang w:val="en-US"/>
        </w:rPr>
        <w:t xml:space="preserve"> Response of </w:t>
      </w:r>
      <w:r>
        <w:rPr>
          <w:rFonts w:ascii="Times New Roman" w:hAnsi="Times New Roman" w:cs="Times New Roman"/>
          <w:i/>
          <w:sz w:val="20"/>
          <w:szCs w:val="20"/>
          <w:lang w:val="en-US"/>
        </w:rPr>
        <w:t>Y/Y</w:t>
      </w:r>
      <w:r>
        <w:rPr>
          <w:rFonts w:ascii="Times New Roman" w:hAnsi="Times New Roman" w:cs="Times New Roman"/>
          <w:i/>
          <w:sz w:val="20"/>
          <w:szCs w:val="20"/>
          <w:vertAlign w:val="superscript"/>
          <w:lang w:val="en-US"/>
        </w:rPr>
        <w:t>*</w:t>
      </w:r>
      <w:r>
        <w:rPr>
          <w:rFonts w:ascii="Times New Roman" w:hAnsi="Times New Roman" w:cs="Times New Roman"/>
          <w:sz w:val="20"/>
          <w:szCs w:val="20"/>
          <w:lang w:val="en-US"/>
        </w:rPr>
        <w:t xml:space="preserve"> to </w:t>
      </w:r>
      <w:r>
        <w:rPr>
          <w:rFonts w:ascii="Times New Roman" w:hAnsi="Times New Roman" w:cs="Times New Roman"/>
          <w:i/>
          <w:sz w:val="20"/>
          <w:szCs w:val="20"/>
          <w:lang w:val="en-US"/>
        </w:rPr>
        <w:t>π</w:t>
      </w:r>
      <w:r>
        <w:rPr>
          <w:rFonts w:ascii="Times New Roman" w:hAnsi="Times New Roman" w:cs="Times New Roman"/>
          <w:sz w:val="20"/>
          <w:szCs w:val="20"/>
          <w:lang w:val="en-US"/>
        </w:rPr>
        <w:t xml:space="preserve"> shocks. </w:t>
      </w:r>
      <w:r>
        <w:rPr>
          <w:noProof/>
          <w:lang w:val="en-US" w:eastAsia="pt-BR"/>
        </w:rPr>
        <w:t xml:space="preserve"> </w:t>
      </w:r>
    </w:p>
    <w:p w:rsidR="00B24A16" w:rsidRDefault="00B24A16" w:rsidP="00784AF0">
      <w:pPr>
        <w:spacing w:line="240" w:lineRule="auto"/>
        <w:jc w:val="center"/>
        <w:rPr>
          <w:rFonts w:ascii="Times New Roman" w:hAnsi="Times New Roman" w:cs="Times New Roman"/>
          <w:sz w:val="24"/>
          <w:szCs w:val="24"/>
          <w:lang w:val="en-US"/>
        </w:rPr>
      </w:pPr>
    </w:p>
    <w:p w:rsidR="00B24A16" w:rsidRDefault="00B24A16" w:rsidP="00784AF0">
      <w:pPr>
        <w:autoSpaceDE w:val="0"/>
        <w:autoSpaceDN w:val="0"/>
        <w:adjustRightInd w:val="0"/>
        <w:spacing w:line="240" w:lineRule="auto"/>
        <w:jc w:val="center"/>
        <w:rPr>
          <w:rFonts w:ascii="Times New Roman" w:hAnsi="Times New Roman" w:cs="Times New Roman"/>
          <w:color w:val="000000"/>
          <w:sz w:val="24"/>
          <w:szCs w:val="24"/>
          <w:shd w:val="clear" w:color="auto" w:fill="FFFFFF"/>
          <w:lang w:val="en-US"/>
        </w:rPr>
      </w:pPr>
      <w:r>
        <w:rPr>
          <w:noProof/>
          <w:lang w:eastAsia="pt-BR"/>
        </w:rPr>
        <w:drawing>
          <wp:inline distT="0" distB="0" distL="0" distR="0" wp14:anchorId="46208423" wp14:editId="687A061C">
            <wp:extent cx="4581525" cy="275272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B24A16" w:rsidRDefault="00B24A16" w:rsidP="00784AF0">
      <w:pPr>
        <w:spacing w:line="240" w:lineRule="auto"/>
        <w:jc w:val="center"/>
        <w:rPr>
          <w:rFonts w:ascii="Times New Roman" w:hAnsi="Times New Roman" w:cs="Times New Roman"/>
          <w:sz w:val="24"/>
          <w:szCs w:val="24"/>
          <w:lang w:val="en-US"/>
        </w:rPr>
      </w:pPr>
      <w:r>
        <w:rPr>
          <w:rFonts w:ascii="Times New Roman" w:hAnsi="Times New Roman" w:cs="Times New Roman"/>
          <w:b/>
          <w:sz w:val="20"/>
          <w:szCs w:val="20"/>
          <w:lang w:val="en-US"/>
        </w:rPr>
        <w:t>Fig. A6:</w:t>
      </w:r>
      <w:r>
        <w:rPr>
          <w:rFonts w:ascii="Times New Roman" w:hAnsi="Times New Roman" w:cs="Times New Roman"/>
          <w:sz w:val="20"/>
          <w:szCs w:val="20"/>
          <w:lang w:val="en-US"/>
        </w:rPr>
        <w:t xml:space="preserve"> Response of </w:t>
      </w:r>
      <w:r>
        <w:rPr>
          <w:rFonts w:ascii="Times New Roman" w:hAnsi="Times New Roman" w:cs="Times New Roman"/>
          <w:i/>
          <w:sz w:val="20"/>
          <w:szCs w:val="20"/>
          <w:lang w:val="en-US"/>
        </w:rPr>
        <w:t>g to u</w:t>
      </w:r>
      <w:r>
        <w:rPr>
          <w:rFonts w:ascii="Times New Roman" w:hAnsi="Times New Roman" w:cs="Times New Roman"/>
          <w:sz w:val="20"/>
          <w:szCs w:val="20"/>
          <w:lang w:val="en-US"/>
        </w:rPr>
        <w:t xml:space="preserve"> shocks. </w:t>
      </w:r>
      <w:r>
        <w:rPr>
          <w:noProof/>
          <w:lang w:val="en-US" w:eastAsia="pt-BR"/>
        </w:rPr>
        <w:t xml:space="preserve"> </w:t>
      </w:r>
    </w:p>
    <w:p w:rsidR="00B24A16" w:rsidRDefault="00B24A16" w:rsidP="00784AF0">
      <w:pPr>
        <w:autoSpaceDE w:val="0"/>
        <w:autoSpaceDN w:val="0"/>
        <w:adjustRightInd w:val="0"/>
        <w:spacing w:line="240" w:lineRule="auto"/>
        <w:jc w:val="center"/>
        <w:rPr>
          <w:rFonts w:ascii="Times New Roman" w:hAnsi="Times New Roman" w:cs="Times New Roman"/>
          <w:color w:val="000000"/>
          <w:sz w:val="24"/>
          <w:szCs w:val="24"/>
          <w:shd w:val="clear" w:color="auto" w:fill="FFFFFF"/>
          <w:lang w:val="en-US"/>
        </w:rPr>
      </w:pPr>
    </w:p>
    <w:p w:rsidR="00B24A16" w:rsidRDefault="00B24A16" w:rsidP="00784AF0">
      <w:pPr>
        <w:spacing w:line="240" w:lineRule="auto"/>
        <w:jc w:val="both"/>
        <w:rPr>
          <w:rFonts w:ascii="Times New Roman" w:hAnsi="Times New Roman" w:cs="Times New Roman"/>
          <w:sz w:val="24"/>
          <w:szCs w:val="24"/>
          <w:lang w:val="en-US"/>
        </w:rPr>
      </w:pPr>
    </w:p>
    <w:p w:rsidR="007B5E8C" w:rsidRDefault="007B5E8C" w:rsidP="00784AF0">
      <w:pPr>
        <w:spacing w:line="240" w:lineRule="auto"/>
        <w:jc w:val="both"/>
        <w:rPr>
          <w:rFonts w:ascii="Times New Roman" w:hAnsi="Times New Roman" w:cs="Times New Roman"/>
          <w:sz w:val="24"/>
          <w:szCs w:val="24"/>
          <w:lang w:val="en-US"/>
        </w:rPr>
      </w:pPr>
    </w:p>
    <w:p w:rsidR="007B5E8C" w:rsidRPr="00804F62" w:rsidRDefault="007B5E8C" w:rsidP="00784AF0">
      <w:pPr>
        <w:spacing w:line="240" w:lineRule="auto"/>
        <w:jc w:val="both"/>
        <w:rPr>
          <w:rFonts w:ascii="Times New Roman" w:hAnsi="Times New Roman" w:cs="Times New Roman"/>
          <w:sz w:val="24"/>
          <w:szCs w:val="24"/>
          <w:lang w:val="en-US"/>
        </w:rPr>
      </w:pPr>
    </w:p>
    <w:sectPr w:rsidR="007B5E8C" w:rsidRPr="00804F62" w:rsidSect="00C379FD">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CA6" w:rsidRDefault="000B0CA6" w:rsidP="00B24A16">
      <w:pPr>
        <w:spacing w:after="0" w:line="240" w:lineRule="auto"/>
      </w:pPr>
      <w:r>
        <w:separator/>
      </w:r>
    </w:p>
  </w:endnote>
  <w:endnote w:type="continuationSeparator" w:id="0">
    <w:p w:rsidR="000B0CA6" w:rsidRDefault="000B0CA6" w:rsidP="00B2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Times-Roman">
    <w:panose1 w:val="00000000000000000000"/>
    <w:charset w:val="00"/>
    <w:family w:val="roman"/>
    <w:notTrueType/>
    <w:pitch w:val="default"/>
    <w:sig w:usb0="00000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CA6" w:rsidRDefault="000B0CA6" w:rsidP="00B24A16">
      <w:pPr>
        <w:spacing w:after="0" w:line="240" w:lineRule="auto"/>
      </w:pPr>
      <w:r>
        <w:separator/>
      </w:r>
    </w:p>
  </w:footnote>
  <w:footnote w:type="continuationSeparator" w:id="0">
    <w:p w:rsidR="000B0CA6" w:rsidRDefault="000B0CA6" w:rsidP="00B24A16">
      <w:pPr>
        <w:spacing w:after="0" w:line="240" w:lineRule="auto"/>
      </w:pPr>
      <w:r>
        <w:continuationSeparator/>
      </w:r>
    </w:p>
  </w:footnote>
  <w:footnote w:id="1">
    <w:p w:rsidR="008C22BC" w:rsidRDefault="008C22BC" w:rsidP="008C1068">
      <w:pPr>
        <w:pStyle w:val="Textodenotaderodap"/>
        <w:jc w:val="both"/>
        <w:rPr>
          <w:lang w:val="en-GB"/>
        </w:rPr>
      </w:pPr>
      <w:r>
        <w:rPr>
          <w:rStyle w:val="Refdenotaderodap"/>
          <w:lang w:val="en-GB"/>
        </w:rPr>
        <w:footnoteRef/>
      </w:r>
      <w:r>
        <w:rPr>
          <w:lang w:val="en-GB"/>
        </w:rPr>
        <w:t xml:space="preserve"> </w:t>
      </w:r>
      <w:r>
        <w:rPr>
          <w:rFonts w:ascii="TimesNewRomanPSMT" w:hAnsi="TimesNewRomanPSMT" w:cs="TimesNewRomanPSMT"/>
          <w:lang w:val="en-GB"/>
        </w:rPr>
        <w:t xml:space="preserve">Economic inequality for instance, has become a prominent topic after the publication of Piketty’s (2014) book </w:t>
      </w:r>
      <w:r>
        <w:rPr>
          <w:rFonts w:ascii="Times New Roman" w:hAnsi="Times New Roman" w:cs="Times New Roman"/>
          <w:i/>
          <w:iCs/>
          <w:lang w:val="en-GB"/>
        </w:rPr>
        <w:t>Capital in the Twenty-First Century</w:t>
      </w:r>
      <w:r>
        <w:rPr>
          <w:rFonts w:ascii="TimesNewRomanPSMT" w:hAnsi="TimesNewRomanPSMT" w:cs="TimesNewRomanPSMT"/>
          <w:lang w:val="en-GB"/>
        </w:rPr>
        <w:t>.</w:t>
      </w:r>
      <w:r>
        <w:rPr>
          <w:lang w:val="en-GB"/>
        </w:rPr>
        <w:t xml:space="preserve"> </w:t>
      </w:r>
    </w:p>
  </w:footnote>
  <w:footnote w:id="2">
    <w:p w:rsidR="008C22BC" w:rsidRDefault="008C22BC" w:rsidP="00135B72">
      <w:pPr>
        <w:spacing w:line="240" w:lineRule="auto"/>
        <w:jc w:val="both"/>
        <w:rPr>
          <w:lang w:val="en-GB"/>
        </w:rPr>
      </w:pPr>
      <w:r w:rsidRPr="007407CB">
        <w:rPr>
          <w:rStyle w:val="Refdenotaderodap"/>
          <w:sz w:val="20"/>
          <w:szCs w:val="20"/>
          <w:lang w:val="en-GB"/>
        </w:rPr>
        <w:footnoteRef/>
      </w:r>
      <w:r w:rsidRPr="007407CB">
        <w:rPr>
          <w:sz w:val="20"/>
          <w:szCs w:val="20"/>
          <w:lang w:val="en-GB"/>
        </w:rPr>
        <w:t xml:space="preserve">  </w:t>
      </w:r>
      <w:r w:rsidRPr="007407CB">
        <w:rPr>
          <w:rFonts w:ascii="Times New Roman" w:eastAsia="TimesNewRoman" w:hAnsi="Times New Roman" w:cs="Times New Roman"/>
          <w:sz w:val="20"/>
          <w:szCs w:val="20"/>
          <w:lang w:val="en-GB"/>
        </w:rPr>
        <w:t xml:space="preserve">In the light of what was reported by Blecker (2016) due to the relative closeness of the Brazilian economy we would expect a wage-led regime. However, the VAR approach is essentially a short-run methodology and, according to </w:t>
      </w:r>
      <w:proofErr w:type="spellStart"/>
      <w:r w:rsidRPr="007407CB">
        <w:rPr>
          <w:rFonts w:ascii="Times New Roman" w:eastAsia="TimesNewRoman" w:hAnsi="Times New Roman" w:cs="Times New Roman"/>
          <w:sz w:val="20"/>
          <w:szCs w:val="20"/>
          <w:lang w:val="en-GB"/>
        </w:rPr>
        <w:t>Blecker’s</w:t>
      </w:r>
      <w:proofErr w:type="spellEnd"/>
      <w:r w:rsidRPr="007407CB">
        <w:rPr>
          <w:rFonts w:ascii="Times New Roman" w:eastAsia="TimesNewRoman" w:hAnsi="Times New Roman" w:cs="Times New Roman"/>
          <w:sz w:val="20"/>
          <w:szCs w:val="20"/>
          <w:lang w:val="en-GB"/>
        </w:rPr>
        <w:t xml:space="preserve"> rationale it is more prone to yield profit-led results. So we cannot say beforehand the growth regime for the Brazilian economy. </w:t>
      </w:r>
    </w:p>
  </w:footnote>
  <w:footnote w:id="3">
    <w:p w:rsidR="008C22BC" w:rsidRPr="003B2985" w:rsidRDefault="008C22BC" w:rsidP="008C1068">
      <w:pPr>
        <w:autoSpaceDE w:val="0"/>
        <w:autoSpaceDN w:val="0"/>
        <w:adjustRightInd w:val="0"/>
        <w:spacing w:after="0" w:line="240" w:lineRule="auto"/>
        <w:jc w:val="both"/>
        <w:rPr>
          <w:rFonts w:ascii="Times New Roman" w:hAnsi="Times New Roman" w:cs="Times New Roman"/>
          <w:sz w:val="20"/>
          <w:szCs w:val="20"/>
          <w:lang w:val="en-GB"/>
        </w:rPr>
      </w:pPr>
      <w:r w:rsidRPr="003B2985">
        <w:rPr>
          <w:rStyle w:val="Refdenotaderodap"/>
          <w:rFonts w:ascii="Times New Roman" w:hAnsi="Times New Roman" w:cs="Times New Roman"/>
          <w:sz w:val="20"/>
          <w:szCs w:val="20"/>
          <w:lang w:val="en-GB"/>
        </w:rPr>
        <w:footnoteRef/>
      </w:r>
      <w:r w:rsidRPr="003B2985">
        <w:rPr>
          <w:rFonts w:ascii="Times New Roman" w:hAnsi="Times New Roman" w:cs="Times New Roman"/>
          <w:sz w:val="20"/>
          <w:szCs w:val="20"/>
          <w:lang w:val="en-GB"/>
        </w:rPr>
        <w:t xml:space="preserve"> In fact these authors</w:t>
      </w:r>
      <w:r>
        <w:rPr>
          <w:rFonts w:ascii="Times New Roman" w:hAnsi="Times New Roman" w:cs="Times New Roman"/>
          <w:sz w:val="20"/>
          <w:szCs w:val="20"/>
          <w:lang w:val="en-GB"/>
        </w:rPr>
        <w:t xml:space="preserve"> have</w:t>
      </w:r>
      <w:r w:rsidRPr="003B2985">
        <w:rPr>
          <w:rFonts w:ascii="Times New Roman" w:hAnsi="Times New Roman" w:cs="Times New Roman"/>
          <w:sz w:val="20"/>
          <w:szCs w:val="20"/>
          <w:lang w:val="en-GB"/>
        </w:rPr>
        <w:t xml:space="preserve"> adop</w:t>
      </w:r>
      <w:r>
        <w:rPr>
          <w:rFonts w:ascii="Times New Roman" w:hAnsi="Times New Roman" w:cs="Times New Roman"/>
          <w:sz w:val="20"/>
          <w:szCs w:val="20"/>
          <w:lang w:val="en-GB"/>
        </w:rPr>
        <w:t>t</w:t>
      </w:r>
      <w:r w:rsidRPr="003B2985">
        <w:rPr>
          <w:rFonts w:ascii="Times New Roman" w:hAnsi="Times New Roman" w:cs="Times New Roman"/>
          <w:sz w:val="20"/>
          <w:szCs w:val="20"/>
          <w:lang w:val="en-GB"/>
        </w:rPr>
        <w:t>ed a s</w:t>
      </w:r>
      <w:r w:rsidRPr="003B2985">
        <w:rPr>
          <w:rFonts w:ascii="Times New Roman" w:eastAsia="TimesNewRoman" w:hAnsi="Times New Roman" w:cs="Times New Roman"/>
          <w:sz w:val="20"/>
          <w:szCs w:val="20"/>
          <w:lang w:val="en-GB"/>
        </w:rPr>
        <w:t>tructural VAR approach (SVAR) in which they impose contemporaneous restrictions on the interaction of the variables.</w:t>
      </w:r>
    </w:p>
  </w:footnote>
  <w:footnote w:id="4">
    <w:p w:rsidR="008C22BC" w:rsidRDefault="008C22BC" w:rsidP="008C1068">
      <w:pPr>
        <w:spacing w:after="0" w:line="240" w:lineRule="auto"/>
        <w:jc w:val="both"/>
        <w:rPr>
          <w:lang w:val="en-US"/>
        </w:rPr>
      </w:pPr>
      <w:r>
        <w:rPr>
          <w:rStyle w:val="Refdenotaderodap"/>
        </w:rPr>
        <w:footnoteRef/>
      </w:r>
      <w:r>
        <w:rPr>
          <w:sz w:val="20"/>
          <w:szCs w:val="20"/>
          <w:lang w:val="en-US"/>
        </w:rPr>
        <w:t xml:space="preserve"> </w:t>
      </w:r>
      <w:r>
        <w:rPr>
          <w:rFonts w:ascii="Times New Roman" w:hAnsi="Times New Roman" w:cs="Times New Roman"/>
          <w:color w:val="000000"/>
          <w:sz w:val="20"/>
          <w:szCs w:val="20"/>
          <w:lang w:val="en-US"/>
        </w:rPr>
        <w:t xml:space="preserve">We are using the nomenclature Post-Kaleckian growth models in reference to the third generation of KGM. In this generation, that follow the </w:t>
      </w:r>
      <w:proofErr w:type="spellStart"/>
      <w:r>
        <w:rPr>
          <w:rFonts w:ascii="Times New Roman" w:hAnsi="Times New Roman" w:cs="Times New Roman"/>
          <w:color w:val="000000"/>
          <w:sz w:val="20"/>
          <w:szCs w:val="20"/>
          <w:lang w:val="en-US"/>
        </w:rPr>
        <w:t>Bhaduri-Marglin’s</w:t>
      </w:r>
      <w:proofErr w:type="spellEnd"/>
      <w:r>
        <w:rPr>
          <w:rFonts w:ascii="Times New Roman" w:hAnsi="Times New Roman" w:cs="Times New Roman"/>
          <w:color w:val="000000"/>
          <w:sz w:val="20"/>
          <w:szCs w:val="20"/>
          <w:lang w:val="en-US"/>
        </w:rPr>
        <w:t xml:space="preserve"> approach, both profit-led and wage-led outcomes are possible. In the Neo-Kaleckian growth models, however, just the wage-led outcome is possible. </w:t>
      </w:r>
    </w:p>
  </w:footnote>
  <w:footnote w:id="5">
    <w:p w:rsidR="008C22BC" w:rsidRPr="00650416" w:rsidRDefault="008C22BC" w:rsidP="008C1068">
      <w:pPr>
        <w:autoSpaceDE w:val="0"/>
        <w:autoSpaceDN w:val="0"/>
        <w:adjustRightInd w:val="0"/>
        <w:spacing w:line="240" w:lineRule="auto"/>
        <w:jc w:val="both"/>
        <w:rPr>
          <w:rFonts w:ascii="Times New Roman" w:hAnsi="Times New Roman" w:cs="Times New Roman"/>
          <w:sz w:val="20"/>
          <w:szCs w:val="20"/>
          <w:lang w:val="en-US"/>
        </w:rPr>
      </w:pPr>
      <w:r>
        <w:rPr>
          <w:rStyle w:val="Refdenotaderodap"/>
          <w:rFonts w:ascii="Times New Roman" w:hAnsi="Times New Roman" w:cs="Times New Roman"/>
        </w:rPr>
        <w:footnoteRef/>
      </w:r>
      <w:r>
        <w:rPr>
          <w:rFonts w:ascii="Times New Roman" w:hAnsi="Times New Roman" w:cs="Times New Roman"/>
          <w:sz w:val="20"/>
          <w:szCs w:val="20"/>
          <w:lang w:val="en-US"/>
        </w:rPr>
        <w:t xml:space="preserve"> </w:t>
      </w:r>
      <w:r>
        <w:rPr>
          <w:rFonts w:ascii="Times New Roman" w:hAnsi="Times New Roman" w:cs="Times New Roman"/>
          <w:color w:val="000000"/>
          <w:sz w:val="20"/>
          <w:szCs w:val="20"/>
          <w:shd w:val="clear" w:color="auto" w:fill="FFFFFF"/>
          <w:lang w:val="en-US"/>
        </w:rPr>
        <w:t>From the structural approach, many different papers, such as</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Naastepad</w:t>
      </w:r>
      <w:proofErr w:type="spellEnd"/>
      <w:r>
        <w:rPr>
          <w:rFonts w:ascii="Times New Roman" w:hAnsi="Times New Roman" w:cs="Times New Roman"/>
          <w:sz w:val="20"/>
          <w:szCs w:val="20"/>
          <w:lang w:val="en-US"/>
        </w:rPr>
        <w:t xml:space="preserve"> (2006), </w:t>
      </w:r>
      <w:proofErr w:type="spellStart"/>
      <w:r>
        <w:rPr>
          <w:rFonts w:ascii="Times New Roman" w:hAnsi="Times New Roman" w:cs="Times New Roman"/>
          <w:sz w:val="20"/>
          <w:szCs w:val="20"/>
          <w:lang w:val="en-US"/>
        </w:rPr>
        <w:t>Naastepad</w:t>
      </w:r>
      <w:proofErr w:type="spellEnd"/>
      <w:r>
        <w:rPr>
          <w:rFonts w:ascii="Times New Roman" w:hAnsi="Times New Roman" w:cs="Times New Roman"/>
          <w:sz w:val="20"/>
          <w:szCs w:val="20"/>
          <w:lang w:val="en-US"/>
        </w:rPr>
        <w:t xml:space="preserve"> and Storm (2007), </w:t>
      </w:r>
      <w:proofErr w:type="spellStart"/>
      <w:r>
        <w:rPr>
          <w:rFonts w:ascii="Times New Roman" w:hAnsi="Times New Roman" w:cs="Times New Roman"/>
          <w:sz w:val="20"/>
          <w:szCs w:val="20"/>
          <w:lang w:val="en-US"/>
        </w:rPr>
        <w:t>Ederer</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Stockhammer</w:t>
      </w:r>
      <w:proofErr w:type="spellEnd"/>
      <w:r>
        <w:rPr>
          <w:rFonts w:ascii="Times New Roman" w:hAnsi="Times New Roman" w:cs="Times New Roman"/>
          <w:sz w:val="20"/>
          <w:szCs w:val="20"/>
          <w:lang w:val="en-US"/>
        </w:rPr>
        <w:t xml:space="preserve"> (2007), Hein and Vogel (2008) and </w:t>
      </w:r>
      <w:proofErr w:type="spellStart"/>
      <w:r>
        <w:rPr>
          <w:rFonts w:ascii="Times New Roman" w:hAnsi="Times New Roman" w:cs="Times New Roman"/>
          <w:sz w:val="20"/>
          <w:szCs w:val="20"/>
          <w:lang w:val="en-US"/>
        </w:rPr>
        <w:t>Stockhammer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Onaran</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Ederer</w:t>
      </w:r>
      <w:proofErr w:type="spellEnd"/>
      <w:r>
        <w:rPr>
          <w:rFonts w:ascii="Times New Roman" w:hAnsi="Times New Roman" w:cs="Times New Roman"/>
          <w:sz w:val="20"/>
          <w:szCs w:val="20"/>
          <w:lang w:val="en-US"/>
        </w:rPr>
        <w:t xml:space="preserve"> (2009), </w:t>
      </w:r>
      <w:r>
        <w:rPr>
          <w:rFonts w:ascii="Times New Roman" w:hAnsi="Times New Roman" w:cs="Times New Roman"/>
          <w:color w:val="000000"/>
          <w:sz w:val="20"/>
          <w:szCs w:val="20"/>
          <w:shd w:val="clear" w:color="auto" w:fill="FFFFFF"/>
          <w:lang w:val="en-US"/>
        </w:rPr>
        <w:t>employed this empirical strategy</w:t>
      </w:r>
      <w:r>
        <w:rPr>
          <w:rFonts w:ascii="Times New Roman" w:hAnsi="Times New Roman" w:cs="Times New Roman"/>
          <w:sz w:val="20"/>
          <w:szCs w:val="20"/>
          <w:lang w:val="en-US"/>
        </w:rPr>
        <w:t xml:space="preserve">. Hein and Vogel (2008) and </w:t>
      </w:r>
      <w:proofErr w:type="spellStart"/>
      <w:r>
        <w:rPr>
          <w:rFonts w:ascii="Times New Roman" w:hAnsi="Times New Roman" w:cs="Times New Roman"/>
          <w:sz w:val="20"/>
          <w:szCs w:val="20"/>
          <w:lang w:val="en-US"/>
        </w:rPr>
        <w:t>Stockhammer</w:t>
      </w:r>
      <w:proofErr w:type="spellEnd"/>
      <w:r>
        <w:rPr>
          <w:rFonts w:ascii="Times New Roman" w:hAnsi="Times New Roman" w:cs="Times New Roman"/>
          <w:sz w:val="20"/>
          <w:szCs w:val="20"/>
          <w:lang w:val="en-US"/>
        </w:rPr>
        <w:t xml:space="preserve"> (2016) provide comparative boxes of results.</w:t>
      </w:r>
    </w:p>
  </w:footnote>
  <w:footnote w:id="6">
    <w:p w:rsidR="008C22BC" w:rsidRPr="00650416" w:rsidRDefault="008C22BC" w:rsidP="008C1068">
      <w:pPr>
        <w:autoSpaceDE w:val="0"/>
        <w:autoSpaceDN w:val="0"/>
        <w:adjustRightInd w:val="0"/>
        <w:spacing w:line="240" w:lineRule="auto"/>
        <w:jc w:val="both"/>
        <w:rPr>
          <w:rFonts w:ascii="Times New Roman" w:hAnsi="Times New Roman" w:cs="Times New Roman"/>
          <w:sz w:val="20"/>
          <w:szCs w:val="20"/>
          <w:lang w:val="en-US"/>
        </w:rPr>
      </w:pPr>
      <w:r>
        <w:rPr>
          <w:rStyle w:val="Refdenotaderodap"/>
          <w:rFonts w:ascii="Times New Roman" w:hAnsi="Times New Roman" w:cs="Times New Roman"/>
        </w:rPr>
        <w:footnoteRef/>
      </w:r>
      <w:r>
        <w:rPr>
          <w:rFonts w:ascii="Times New Roman" w:hAnsi="Times New Roman" w:cs="Times New Roman"/>
          <w:sz w:val="20"/>
          <w:szCs w:val="20"/>
          <w:lang w:val="en-US"/>
        </w:rPr>
        <w:t xml:space="preserve"> </w:t>
      </w:r>
      <w:r>
        <w:rPr>
          <w:rFonts w:ascii="Times New Roman" w:hAnsi="Times New Roman" w:cs="Times New Roman"/>
          <w:color w:val="000000"/>
          <w:sz w:val="20"/>
          <w:szCs w:val="20"/>
          <w:shd w:val="clear" w:color="auto" w:fill="FFFFFF"/>
          <w:lang w:val="en-US"/>
        </w:rPr>
        <w:t>Baer reports that “there is also considerable evidence that the real wages declined at first in the second half of the 1960’s and then rose at a rate substantially smaller than the rate of productivity increases.”</w:t>
      </w:r>
    </w:p>
  </w:footnote>
  <w:footnote w:id="7">
    <w:p w:rsidR="008C22BC" w:rsidRDefault="008C22BC" w:rsidP="008C1068">
      <w:pPr>
        <w:pStyle w:val="Textodenotaderodap"/>
        <w:jc w:val="both"/>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The estimates are performed using data up to 2008 because, to the best of our knowledge, there is no series of functional income distribution that start at least in 1970 and cover a more recent period.  </w:t>
      </w:r>
    </w:p>
  </w:footnote>
  <w:footnote w:id="8">
    <w:p w:rsidR="008C22BC" w:rsidRDefault="008C22BC" w:rsidP="008C1068">
      <w:pPr>
        <w:pStyle w:val="Textodenotaderodap"/>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According to Enders (2014, p. 290) the OLS estimates are consistent and asymptotically efficient. </w:t>
      </w:r>
    </w:p>
  </w:footnote>
  <w:footnote w:id="9">
    <w:p w:rsidR="008C22BC" w:rsidRDefault="008C22BC" w:rsidP="008C1068">
      <w:pPr>
        <w:pStyle w:val="Textodenotaderodap"/>
        <w:jc w:val="both"/>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The results remained virtually unchanged when we used the Normal-</w:t>
      </w:r>
      <w:proofErr w:type="spellStart"/>
      <w:r>
        <w:rPr>
          <w:rFonts w:ascii="Times New Roman" w:hAnsi="Times New Roman" w:cs="Times New Roman"/>
          <w:lang w:val="en-US"/>
        </w:rPr>
        <w:t>Wishart</w:t>
      </w:r>
      <w:proofErr w:type="spellEnd"/>
      <w:r>
        <w:rPr>
          <w:rFonts w:ascii="Times New Roman" w:hAnsi="Times New Roman" w:cs="Times New Roman"/>
          <w:lang w:val="en-US"/>
        </w:rPr>
        <w:t xml:space="preserve"> prior. </w:t>
      </w:r>
    </w:p>
  </w:footnote>
  <w:footnote w:id="10">
    <w:p w:rsidR="008C22BC" w:rsidRDefault="008C22BC" w:rsidP="008C1068">
      <w:pPr>
        <w:pStyle w:val="Textodenotaderodap"/>
        <w:jc w:val="both"/>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Capital accumulation estimates can be found in Marquetti and </w:t>
      </w:r>
      <w:proofErr w:type="spellStart"/>
      <w:r>
        <w:rPr>
          <w:rFonts w:ascii="Times New Roman" w:hAnsi="Times New Roman" w:cs="Times New Roman"/>
          <w:lang w:val="en-US"/>
        </w:rPr>
        <w:t>Porsse</w:t>
      </w:r>
      <w:proofErr w:type="spellEnd"/>
      <w:r>
        <w:rPr>
          <w:rFonts w:ascii="Times New Roman" w:hAnsi="Times New Roman" w:cs="Times New Roman"/>
          <w:lang w:val="en-US"/>
        </w:rPr>
        <w:t xml:space="preserve"> (2014). </w:t>
      </w:r>
    </w:p>
  </w:footnote>
  <w:footnote w:id="11">
    <w:p w:rsidR="008C22BC" w:rsidRDefault="008C22BC" w:rsidP="008C1068">
      <w:pPr>
        <w:pStyle w:val="Textodenotaderodap"/>
        <w:jc w:val="both"/>
        <w:rPr>
          <w:lang w:val="en-US"/>
        </w:rPr>
      </w:pPr>
      <w:r>
        <w:rPr>
          <w:rStyle w:val="Refdenotaderodap"/>
        </w:rPr>
        <w:footnoteRef/>
      </w:r>
      <w:r>
        <w:rPr>
          <w:lang w:val="en-US"/>
        </w:rPr>
        <w:t xml:space="preserve"> </w:t>
      </w:r>
      <w:r>
        <w:rPr>
          <w:rFonts w:ascii="Times New Roman" w:hAnsi="Times New Roman" w:cs="Times New Roman"/>
          <w:lang w:val="en-US"/>
        </w:rPr>
        <w:t>Estimates to potential output were based on Shaikh-</w:t>
      </w:r>
      <w:proofErr w:type="spellStart"/>
      <w:r>
        <w:rPr>
          <w:rFonts w:ascii="Times New Roman" w:hAnsi="Times New Roman" w:cs="Times New Roman"/>
          <w:lang w:val="en-US"/>
        </w:rPr>
        <w:t>Moudud</w:t>
      </w:r>
      <w:proofErr w:type="spellEnd"/>
      <w:r>
        <w:rPr>
          <w:rFonts w:ascii="Times New Roman" w:hAnsi="Times New Roman" w:cs="Times New Roman"/>
          <w:lang w:val="en-US"/>
        </w:rPr>
        <w:t xml:space="preserve"> methodology, available in Bruno (2015).</w:t>
      </w:r>
    </w:p>
  </w:footnote>
  <w:footnote w:id="12">
    <w:p w:rsidR="008C22BC" w:rsidRDefault="008C22BC" w:rsidP="008C1068">
      <w:pPr>
        <w:pStyle w:val="Textodenotaderodap"/>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This series </w:t>
      </w:r>
      <w:proofErr w:type="gramStart"/>
      <w:r>
        <w:rPr>
          <w:rFonts w:ascii="Times New Roman" w:hAnsi="Times New Roman" w:cs="Times New Roman"/>
          <w:lang w:val="en-US"/>
        </w:rPr>
        <w:t>was obt</w:t>
      </w:r>
      <w:r w:rsidRPr="00533D22">
        <w:rPr>
          <w:rFonts w:ascii="Times New Roman" w:hAnsi="Times New Roman" w:cs="Times New Roman"/>
          <w:lang w:val="en-US"/>
        </w:rPr>
        <w:t>ained</w:t>
      </w:r>
      <w:proofErr w:type="gramEnd"/>
      <w:r w:rsidRPr="00533D22">
        <w:rPr>
          <w:rFonts w:ascii="Times New Roman" w:hAnsi="Times New Roman" w:cs="Times New Roman"/>
          <w:lang w:val="en-US"/>
        </w:rPr>
        <w:t xml:space="preserve"> from </w:t>
      </w:r>
      <w:r>
        <w:rPr>
          <w:rFonts w:ascii="Times New Roman" w:hAnsi="Times New Roman" w:cs="Times New Roman"/>
          <w:lang w:val="en-US"/>
        </w:rPr>
        <w:t xml:space="preserve">Institute of </w:t>
      </w:r>
      <w:r w:rsidRPr="00533D22">
        <w:rPr>
          <w:rFonts w:ascii="Times New Roman" w:hAnsi="Times New Roman" w:cs="Times New Roman"/>
          <w:lang w:val="en-US"/>
        </w:rPr>
        <w:t>Applied Economic</w:t>
      </w:r>
      <w:r>
        <w:rPr>
          <w:rFonts w:ascii="Times New Roman" w:hAnsi="Times New Roman" w:cs="Times New Roman"/>
          <w:lang w:val="en-US"/>
        </w:rPr>
        <w:t xml:space="preserve"> </w:t>
      </w:r>
      <w:r w:rsidRPr="00533D22">
        <w:rPr>
          <w:rFonts w:ascii="Times New Roman" w:hAnsi="Times New Roman" w:cs="Times New Roman"/>
          <w:lang w:val="en-US"/>
        </w:rPr>
        <w:t>Research</w:t>
      </w:r>
      <w:r>
        <w:rPr>
          <w:rFonts w:ascii="Times New Roman" w:hAnsi="Times New Roman" w:cs="Times New Roman"/>
          <w:lang w:val="en-US"/>
        </w:rPr>
        <w:t xml:space="preserve"> (IPEA)</w:t>
      </w:r>
      <w:r w:rsidRPr="00533D22">
        <w:rPr>
          <w:rFonts w:ascii="Times New Roman" w:hAnsi="Times New Roman" w:cs="Times New Roman"/>
          <w:lang w:val="en-US"/>
        </w:rPr>
        <w:t xml:space="preserve"> database.</w:t>
      </w:r>
      <w:r>
        <w:rPr>
          <w:lang w:val="en-US"/>
        </w:rPr>
        <w:t xml:space="preserve"> </w:t>
      </w:r>
    </w:p>
  </w:footnote>
  <w:footnote w:id="13">
    <w:p w:rsidR="008C22BC" w:rsidRDefault="008C22BC" w:rsidP="008C1068">
      <w:pPr>
        <w:pStyle w:val="Textodenotaderodap"/>
        <w:jc w:val="both"/>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lang w:val="en-US"/>
        </w:rPr>
        <w:t xml:space="preserve"> The main impulse-response functions of these alternative models are available in the Appendix.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63F7C"/>
    <w:multiLevelType w:val="multilevel"/>
    <w:tmpl w:val="8832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CA64C6"/>
    <w:multiLevelType w:val="multilevel"/>
    <w:tmpl w:val="8D2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62"/>
    <w:rsid w:val="000202EF"/>
    <w:rsid w:val="00025568"/>
    <w:rsid w:val="00031AF6"/>
    <w:rsid w:val="00062890"/>
    <w:rsid w:val="00067981"/>
    <w:rsid w:val="000A53BC"/>
    <w:rsid w:val="000B0CA6"/>
    <w:rsid w:val="000C4E7E"/>
    <w:rsid w:val="000D6691"/>
    <w:rsid w:val="000E0876"/>
    <w:rsid w:val="001001C0"/>
    <w:rsid w:val="00117F58"/>
    <w:rsid w:val="00135B72"/>
    <w:rsid w:val="00142908"/>
    <w:rsid w:val="00182A9C"/>
    <w:rsid w:val="001B33CE"/>
    <w:rsid w:val="001E3786"/>
    <w:rsid w:val="001F401A"/>
    <w:rsid w:val="00223949"/>
    <w:rsid w:val="00276B15"/>
    <w:rsid w:val="0028665C"/>
    <w:rsid w:val="002910AF"/>
    <w:rsid w:val="002C2EC4"/>
    <w:rsid w:val="002D2C74"/>
    <w:rsid w:val="002F4C4B"/>
    <w:rsid w:val="00370C3C"/>
    <w:rsid w:val="003811C8"/>
    <w:rsid w:val="003A2631"/>
    <w:rsid w:val="003B2985"/>
    <w:rsid w:val="003B4E17"/>
    <w:rsid w:val="003B5387"/>
    <w:rsid w:val="003B54F3"/>
    <w:rsid w:val="003C6714"/>
    <w:rsid w:val="003D2740"/>
    <w:rsid w:val="003E00E5"/>
    <w:rsid w:val="003F65AE"/>
    <w:rsid w:val="00401AB2"/>
    <w:rsid w:val="004102F2"/>
    <w:rsid w:val="00442885"/>
    <w:rsid w:val="00466264"/>
    <w:rsid w:val="00490794"/>
    <w:rsid w:val="004917BC"/>
    <w:rsid w:val="004A4C98"/>
    <w:rsid w:val="004B2ABE"/>
    <w:rsid w:val="004B2C39"/>
    <w:rsid w:val="004C6D89"/>
    <w:rsid w:val="004E0869"/>
    <w:rsid w:val="004F18CF"/>
    <w:rsid w:val="004F5105"/>
    <w:rsid w:val="004F6964"/>
    <w:rsid w:val="00533D22"/>
    <w:rsid w:val="00551129"/>
    <w:rsid w:val="00562788"/>
    <w:rsid w:val="00576BA2"/>
    <w:rsid w:val="00590011"/>
    <w:rsid w:val="00596A6F"/>
    <w:rsid w:val="005B5DF1"/>
    <w:rsid w:val="005C6664"/>
    <w:rsid w:val="005E4D27"/>
    <w:rsid w:val="005F4A91"/>
    <w:rsid w:val="005F5810"/>
    <w:rsid w:val="00637CE9"/>
    <w:rsid w:val="00650416"/>
    <w:rsid w:val="00651453"/>
    <w:rsid w:val="00651F83"/>
    <w:rsid w:val="00666658"/>
    <w:rsid w:val="00690A16"/>
    <w:rsid w:val="00691477"/>
    <w:rsid w:val="006C2982"/>
    <w:rsid w:val="006C72E9"/>
    <w:rsid w:val="007009A7"/>
    <w:rsid w:val="00723A46"/>
    <w:rsid w:val="00727D51"/>
    <w:rsid w:val="007407CB"/>
    <w:rsid w:val="00754366"/>
    <w:rsid w:val="00784053"/>
    <w:rsid w:val="00784AF0"/>
    <w:rsid w:val="00790EF4"/>
    <w:rsid w:val="00793C0F"/>
    <w:rsid w:val="007B44FE"/>
    <w:rsid w:val="007B5E8C"/>
    <w:rsid w:val="007C7DBB"/>
    <w:rsid w:val="007E1117"/>
    <w:rsid w:val="007E6A95"/>
    <w:rsid w:val="007F6A54"/>
    <w:rsid w:val="00801B05"/>
    <w:rsid w:val="00804F62"/>
    <w:rsid w:val="00852D7D"/>
    <w:rsid w:val="008627F2"/>
    <w:rsid w:val="00866BB4"/>
    <w:rsid w:val="008749FC"/>
    <w:rsid w:val="00876463"/>
    <w:rsid w:val="008867B8"/>
    <w:rsid w:val="008A7EDB"/>
    <w:rsid w:val="008B78D6"/>
    <w:rsid w:val="008C1068"/>
    <w:rsid w:val="008C22BC"/>
    <w:rsid w:val="008C3139"/>
    <w:rsid w:val="008D0751"/>
    <w:rsid w:val="008F34E8"/>
    <w:rsid w:val="00934904"/>
    <w:rsid w:val="009423D1"/>
    <w:rsid w:val="00963F47"/>
    <w:rsid w:val="00974702"/>
    <w:rsid w:val="009A0614"/>
    <w:rsid w:val="009A722A"/>
    <w:rsid w:val="009B21E8"/>
    <w:rsid w:val="009B7373"/>
    <w:rsid w:val="009C5067"/>
    <w:rsid w:val="009F190D"/>
    <w:rsid w:val="009F1ABB"/>
    <w:rsid w:val="00A017ED"/>
    <w:rsid w:val="00A414B2"/>
    <w:rsid w:val="00A429E0"/>
    <w:rsid w:val="00A44A57"/>
    <w:rsid w:val="00A46BC7"/>
    <w:rsid w:val="00A50CED"/>
    <w:rsid w:val="00A80419"/>
    <w:rsid w:val="00A83DB7"/>
    <w:rsid w:val="00AB3045"/>
    <w:rsid w:val="00AC6A54"/>
    <w:rsid w:val="00AD08D1"/>
    <w:rsid w:val="00AD1BA4"/>
    <w:rsid w:val="00AD355D"/>
    <w:rsid w:val="00AE3139"/>
    <w:rsid w:val="00B109D9"/>
    <w:rsid w:val="00B24A16"/>
    <w:rsid w:val="00B3635C"/>
    <w:rsid w:val="00B410C1"/>
    <w:rsid w:val="00B4471F"/>
    <w:rsid w:val="00B66642"/>
    <w:rsid w:val="00B74AAA"/>
    <w:rsid w:val="00B74F7B"/>
    <w:rsid w:val="00B833C5"/>
    <w:rsid w:val="00BA07A5"/>
    <w:rsid w:val="00BA624A"/>
    <w:rsid w:val="00BB44BD"/>
    <w:rsid w:val="00BD5183"/>
    <w:rsid w:val="00BF434F"/>
    <w:rsid w:val="00C05EDA"/>
    <w:rsid w:val="00C125FD"/>
    <w:rsid w:val="00C379FD"/>
    <w:rsid w:val="00C77EDC"/>
    <w:rsid w:val="00C85414"/>
    <w:rsid w:val="00C92D6D"/>
    <w:rsid w:val="00C935EE"/>
    <w:rsid w:val="00CA539B"/>
    <w:rsid w:val="00CA6E9C"/>
    <w:rsid w:val="00CB1A50"/>
    <w:rsid w:val="00CB4BAD"/>
    <w:rsid w:val="00CD5096"/>
    <w:rsid w:val="00D24868"/>
    <w:rsid w:val="00D27E10"/>
    <w:rsid w:val="00D32A40"/>
    <w:rsid w:val="00D50F96"/>
    <w:rsid w:val="00DC188E"/>
    <w:rsid w:val="00DC4902"/>
    <w:rsid w:val="00DC6D58"/>
    <w:rsid w:val="00DD7620"/>
    <w:rsid w:val="00DF0DC6"/>
    <w:rsid w:val="00E00FB3"/>
    <w:rsid w:val="00E0492D"/>
    <w:rsid w:val="00E04A86"/>
    <w:rsid w:val="00E140B0"/>
    <w:rsid w:val="00E233B8"/>
    <w:rsid w:val="00E4579C"/>
    <w:rsid w:val="00E465D5"/>
    <w:rsid w:val="00EA3FCE"/>
    <w:rsid w:val="00ED6BE0"/>
    <w:rsid w:val="00F37985"/>
    <w:rsid w:val="00F716CE"/>
    <w:rsid w:val="00F749F4"/>
    <w:rsid w:val="00F93B9A"/>
    <w:rsid w:val="00FC415C"/>
    <w:rsid w:val="00FD1A6F"/>
    <w:rsid w:val="00FE19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078A5-FA3B-447A-848C-F67F7B59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24A16"/>
    <w:rPr>
      <w:color w:val="0000FF"/>
      <w:u w:val="single"/>
    </w:rPr>
  </w:style>
  <w:style w:type="paragraph" w:styleId="Textodenotaderodap">
    <w:name w:val="footnote text"/>
    <w:basedOn w:val="Normal"/>
    <w:link w:val="TextodenotaderodapChar"/>
    <w:uiPriority w:val="99"/>
    <w:semiHidden/>
    <w:unhideWhenUsed/>
    <w:rsid w:val="00B24A1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24A16"/>
    <w:rPr>
      <w:sz w:val="20"/>
      <w:szCs w:val="20"/>
    </w:rPr>
  </w:style>
  <w:style w:type="paragraph" w:styleId="PargrafodaLista">
    <w:name w:val="List Paragraph"/>
    <w:basedOn w:val="Normal"/>
    <w:uiPriority w:val="34"/>
    <w:qFormat/>
    <w:rsid w:val="00B24A16"/>
    <w:pPr>
      <w:ind w:left="720"/>
      <w:contextualSpacing/>
    </w:pPr>
  </w:style>
  <w:style w:type="paragraph" w:customStyle="1" w:styleId="ref">
    <w:name w:val="ref"/>
    <w:basedOn w:val="Normal"/>
    <w:uiPriority w:val="99"/>
    <w:semiHidden/>
    <w:rsid w:val="00B24A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B24A16"/>
    <w:rPr>
      <w:vertAlign w:val="superscript"/>
    </w:rPr>
  </w:style>
  <w:style w:type="character" w:customStyle="1" w:styleId="st">
    <w:name w:val="st"/>
    <w:basedOn w:val="Fontepargpadro"/>
    <w:rsid w:val="00B24A16"/>
  </w:style>
  <w:style w:type="character" w:styleId="nfase">
    <w:name w:val="Emphasis"/>
    <w:basedOn w:val="Fontepargpadro"/>
    <w:uiPriority w:val="20"/>
    <w:qFormat/>
    <w:rsid w:val="00B24A16"/>
    <w:rPr>
      <w:i/>
      <w:iCs/>
    </w:rPr>
  </w:style>
  <w:style w:type="paragraph" w:styleId="Textodebalo">
    <w:name w:val="Balloon Text"/>
    <w:basedOn w:val="Normal"/>
    <w:link w:val="TextodebaloChar"/>
    <w:uiPriority w:val="99"/>
    <w:semiHidden/>
    <w:unhideWhenUsed/>
    <w:rsid w:val="00B24A1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4A16"/>
    <w:rPr>
      <w:rFonts w:ascii="Tahoma" w:hAnsi="Tahoma" w:cs="Tahoma"/>
      <w:sz w:val="16"/>
      <w:szCs w:val="16"/>
    </w:rPr>
  </w:style>
  <w:style w:type="character" w:customStyle="1" w:styleId="apple-converted-space">
    <w:name w:val="apple-converted-space"/>
    <w:rsid w:val="007E1117"/>
  </w:style>
  <w:style w:type="character" w:styleId="Forte">
    <w:name w:val="Strong"/>
    <w:basedOn w:val="Fontepargpadro"/>
    <w:uiPriority w:val="22"/>
    <w:qFormat/>
    <w:rsid w:val="00EA3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20890">
      <w:bodyDiv w:val="1"/>
      <w:marLeft w:val="0"/>
      <w:marRight w:val="0"/>
      <w:marTop w:val="0"/>
      <w:marBottom w:val="0"/>
      <w:divBdr>
        <w:top w:val="none" w:sz="0" w:space="0" w:color="auto"/>
        <w:left w:val="none" w:sz="0" w:space="0" w:color="auto"/>
        <w:bottom w:val="none" w:sz="0" w:space="0" w:color="auto"/>
        <w:right w:val="none" w:sz="0" w:space="0" w:color="auto"/>
      </w:divBdr>
    </w:div>
    <w:div w:id="488710410">
      <w:bodyDiv w:val="1"/>
      <w:marLeft w:val="0"/>
      <w:marRight w:val="0"/>
      <w:marTop w:val="0"/>
      <w:marBottom w:val="0"/>
      <w:divBdr>
        <w:top w:val="none" w:sz="0" w:space="0" w:color="auto"/>
        <w:left w:val="none" w:sz="0" w:space="0" w:color="auto"/>
        <w:bottom w:val="none" w:sz="0" w:space="0" w:color="auto"/>
        <w:right w:val="none" w:sz="0" w:space="0" w:color="auto"/>
      </w:divBdr>
    </w:div>
    <w:div w:id="771390354">
      <w:bodyDiv w:val="1"/>
      <w:marLeft w:val="0"/>
      <w:marRight w:val="0"/>
      <w:marTop w:val="0"/>
      <w:marBottom w:val="0"/>
      <w:divBdr>
        <w:top w:val="none" w:sz="0" w:space="0" w:color="auto"/>
        <w:left w:val="none" w:sz="0" w:space="0" w:color="auto"/>
        <w:bottom w:val="none" w:sz="0" w:space="0" w:color="auto"/>
        <w:right w:val="none" w:sz="0" w:space="0" w:color="auto"/>
      </w:divBdr>
    </w:div>
    <w:div w:id="20374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image" Target="media/image29.wmf"/><Relationship Id="rId84" Type="http://schemas.openxmlformats.org/officeDocument/2006/relationships/oleObject" Target="embeddings/oleObject42.bin"/><Relationship Id="rId89" Type="http://schemas.openxmlformats.org/officeDocument/2006/relationships/image" Target="media/image39.wmf"/><Relationship Id="rId112" Type="http://schemas.openxmlformats.org/officeDocument/2006/relationships/chart" Target="charts/chart4.xml"/><Relationship Id="rId16" Type="http://schemas.openxmlformats.org/officeDocument/2006/relationships/oleObject" Target="embeddings/oleObject5.bin"/><Relationship Id="rId107" Type="http://schemas.openxmlformats.org/officeDocument/2006/relationships/image" Target="media/image47.e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7.bin"/><Relationship Id="rId79" Type="http://schemas.openxmlformats.org/officeDocument/2006/relationships/image" Target="media/image34.wmf"/><Relationship Id="rId102" Type="http://schemas.openxmlformats.org/officeDocument/2006/relationships/oleObject" Target="embeddings/oleObject52.bin"/><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image" Target="media/image41.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image" Target="media/image27.wmf"/><Relationship Id="rId69" Type="http://schemas.openxmlformats.org/officeDocument/2006/relationships/oleObject" Target="embeddings/oleObject34.bin"/><Relationship Id="rId113" Type="http://schemas.openxmlformats.org/officeDocument/2006/relationships/chart" Target="charts/chart5.xml"/><Relationship Id="rId80" Type="http://schemas.openxmlformats.org/officeDocument/2006/relationships/oleObject" Target="embeddings/oleObject40.bin"/><Relationship Id="rId85" Type="http://schemas.openxmlformats.org/officeDocument/2006/relationships/image" Target="media/image37.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5.emf"/><Relationship Id="rId108" Type="http://schemas.openxmlformats.org/officeDocument/2006/relationships/oleObject" Target="embeddings/oleObject55.bin"/><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chart" Target="charts/chart1.xml"/><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3.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chart" Target="charts/chart2.xml"/><Relationship Id="rId115" Type="http://schemas.openxmlformats.org/officeDocument/2006/relationships/theme" Target="theme/theme1.xml"/><Relationship Id="rId61" Type="http://schemas.openxmlformats.org/officeDocument/2006/relationships/oleObject" Target="embeddings/oleObject30.bin"/><Relationship Id="rId82"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image" Target="media/image46.e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7.bin"/><Relationship Id="rId98" Type="http://schemas.openxmlformats.org/officeDocument/2006/relationships/oleObject" Target="embeddings/oleObject50.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ITUBAinfo\Desktop\Regimes\RobusTEZ.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ITUBAinfo\Desktop\Regimes\RobusTEZ.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ITUBAinfo\Desktop\Regimes\RobusTEZ.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ITUBAinfo\Desktop\Regimes\RobusTEZ.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ITUBAinfo\Desktop\Regimes\RobusTE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Plan1!$B$3</c:f>
              <c:strCache>
                <c:ptCount val="1"/>
                <c:pt idx="0">
                  <c:v>ROB1</c:v>
                </c:pt>
              </c:strCache>
            </c:strRef>
          </c:tx>
          <c:spPr>
            <a:ln w="22225" cap="rnd" cmpd="sng" algn="ctr">
              <a:solidFill>
                <a:schemeClr val="accent1"/>
              </a:solidFill>
              <a:round/>
            </a:ln>
            <a:effectLst/>
          </c:spPr>
          <c:marker>
            <c:symbol val="none"/>
          </c:marker>
          <c:val>
            <c:numRef>
              <c:f>Plan1!$B$4:$B$11</c:f>
              <c:numCache>
                <c:formatCode>General</c:formatCode>
                <c:ptCount val="8"/>
                <c:pt idx="0">
                  <c:v>1.4692999999999999E-2</c:v>
                </c:pt>
                <c:pt idx="1">
                  <c:v>4.9240000000000004E-3</c:v>
                </c:pt>
                <c:pt idx="2">
                  <c:v>4.9600000000000002E-4</c:v>
                </c:pt>
                <c:pt idx="3">
                  <c:v>-1.3029999999999999E-3</c:v>
                </c:pt>
                <c:pt idx="4">
                  <c:v>-1.8550000000000001E-3</c:v>
                </c:pt>
                <c:pt idx="5">
                  <c:v>-1.8489999999999999E-3</c:v>
                </c:pt>
                <c:pt idx="6">
                  <c:v>-1.6260000000000001E-3</c:v>
                </c:pt>
                <c:pt idx="7">
                  <c:v>-1.3439999999999999E-3</c:v>
                </c:pt>
              </c:numCache>
            </c:numRef>
          </c:val>
          <c:smooth val="0"/>
        </c:ser>
        <c:ser>
          <c:idx val="1"/>
          <c:order val="1"/>
          <c:tx>
            <c:strRef>
              <c:f>Plan1!$C$3</c:f>
              <c:strCache>
                <c:ptCount val="1"/>
                <c:pt idx="0">
                  <c:v>ROB3</c:v>
                </c:pt>
              </c:strCache>
            </c:strRef>
          </c:tx>
          <c:spPr>
            <a:ln w="22225" cap="rnd" cmpd="sng" algn="ctr">
              <a:solidFill>
                <a:schemeClr val="accent2"/>
              </a:solidFill>
              <a:round/>
            </a:ln>
            <a:effectLst/>
          </c:spPr>
          <c:marker>
            <c:symbol val="none"/>
          </c:marker>
          <c:val>
            <c:numRef>
              <c:f>Plan1!$C$4:$C$11</c:f>
              <c:numCache>
                <c:formatCode>General</c:formatCode>
                <c:ptCount val="8"/>
                <c:pt idx="0">
                  <c:v>1.0642E-2</c:v>
                </c:pt>
                <c:pt idx="1">
                  <c:v>1.575E-3</c:v>
                </c:pt>
                <c:pt idx="2">
                  <c:v>7.4899999999999999E-4</c:v>
                </c:pt>
                <c:pt idx="3">
                  <c:v>4.1899999999999999E-4</c:v>
                </c:pt>
                <c:pt idx="4">
                  <c:v>2.2699999999999999E-4</c:v>
                </c:pt>
                <c:pt idx="5">
                  <c:v>1.1900000000000001E-4</c:v>
                </c:pt>
                <c:pt idx="6" formatCode="0.00E+00">
                  <c:v>6.19E-5</c:v>
                </c:pt>
                <c:pt idx="7" formatCode="0.00E+00">
                  <c:v>3.1900000000000003E-5</c:v>
                </c:pt>
              </c:numCache>
            </c:numRef>
          </c:val>
          <c:smooth val="0"/>
        </c:ser>
        <c:ser>
          <c:idx val="2"/>
          <c:order val="2"/>
          <c:tx>
            <c:strRef>
              <c:f>Plan1!$D$3</c:f>
              <c:strCache>
                <c:ptCount val="1"/>
                <c:pt idx="0">
                  <c:v>ROB6</c:v>
                </c:pt>
              </c:strCache>
            </c:strRef>
          </c:tx>
          <c:spPr>
            <a:ln w="22225" cap="rnd" cmpd="sng" algn="ctr">
              <a:solidFill>
                <a:schemeClr val="accent3"/>
              </a:solidFill>
              <a:round/>
            </a:ln>
            <a:effectLst/>
          </c:spPr>
          <c:marker>
            <c:symbol val="none"/>
          </c:marker>
          <c:val>
            <c:numRef>
              <c:f>Plan1!$D$4:$D$11</c:f>
              <c:numCache>
                <c:formatCode>General</c:formatCode>
                <c:ptCount val="8"/>
                <c:pt idx="0">
                  <c:v>1.4555999999999999E-2</c:v>
                </c:pt>
                <c:pt idx="1">
                  <c:v>1.498E-3</c:v>
                </c:pt>
                <c:pt idx="2">
                  <c:v>3.7720000000000002E-3</c:v>
                </c:pt>
                <c:pt idx="3">
                  <c:v>2.5999999999999998E-4</c:v>
                </c:pt>
                <c:pt idx="4">
                  <c:v>2.9E-4</c:v>
                </c:pt>
                <c:pt idx="5">
                  <c:v>-3.9800000000000002E-4</c:v>
                </c:pt>
                <c:pt idx="6">
                  <c:v>-3.1500000000000001E-4</c:v>
                </c:pt>
                <c:pt idx="7">
                  <c:v>-3.1399999999999999E-4</c:v>
                </c:pt>
              </c:numCache>
            </c:numRef>
          </c:val>
          <c:smooth val="0"/>
        </c:ser>
        <c:ser>
          <c:idx val="3"/>
          <c:order val="3"/>
          <c:tx>
            <c:strRef>
              <c:f>Plan1!$E$3</c:f>
              <c:strCache>
                <c:ptCount val="1"/>
                <c:pt idx="0">
                  <c:v>ROB7</c:v>
                </c:pt>
              </c:strCache>
            </c:strRef>
          </c:tx>
          <c:spPr>
            <a:ln w="22225" cap="rnd" cmpd="sng" algn="ctr">
              <a:solidFill>
                <a:schemeClr val="accent4"/>
              </a:solidFill>
              <a:round/>
            </a:ln>
            <a:effectLst/>
          </c:spPr>
          <c:marker>
            <c:symbol val="none"/>
          </c:marker>
          <c:val>
            <c:numRef>
              <c:f>Plan1!$E$4:$E$11</c:f>
              <c:numCache>
                <c:formatCode>General</c:formatCode>
                <c:ptCount val="8"/>
                <c:pt idx="0">
                  <c:v>1.4538000000000001E-2</c:v>
                </c:pt>
                <c:pt idx="1">
                  <c:v>2.2030000000000001E-3</c:v>
                </c:pt>
                <c:pt idx="2">
                  <c:v>-1.1479999999999999E-3</c:v>
                </c:pt>
                <c:pt idx="3">
                  <c:v>-1.7849999999999999E-3</c:v>
                </c:pt>
                <c:pt idx="4">
                  <c:v>-1.6620000000000001E-3</c:v>
                </c:pt>
                <c:pt idx="5">
                  <c:v>-1.3730000000000001E-3</c:v>
                </c:pt>
                <c:pt idx="6">
                  <c:v>-1.0889999999999999E-3</c:v>
                </c:pt>
                <c:pt idx="7">
                  <c:v>-8.5099999999999998E-4</c:v>
                </c:pt>
              </c:numCache>
            </c:numRef>
          </c:val>
          <c:smooth val="0"/>
        </c:ser>
        <c:ser>
          <c:idx val="4"/>
          <c:order val="4"/>
          <c:tx>
            <c:strRef>
              <c:f>Plan1!$F$3</c:f>
              <c:strCache>
                <c:ptCount val="1"/>
                <c:pt idx="0">
                  <c:v>ROB8</c:v>
                </c:pt>
              </c:strCache>
            </c:strRef>
          </c:tx>
          <c:spPr>
            <a:ln w="22225" cap="rnd" cmpd="sng" algn="ctr">
              <a:solidFill>
                <a:schemeClr val="accent5"/>
              </a:solidFill>
              <a:round/>
            </a:ln>
            <a:effectLst/>
          </c:spPr>
          <c:marker>
            <c:symbol val="none"/>
          </c:marker>
          <c:val>
            <c:numRef>
              <c:f>Plan1!$F$4:$F$11</c:f>
              <c:numCache>
                <c:formatCode>General</c:formatCode>
                <c:ptCount val="8"/>
                <c:pt idx="0">
                  <c:v>1.0548999999999999E-2</c:v>
                </c:pt>
                <c:pt idx="1">
                  <c:v>1.3940000000000001E-3</c:v>
                </c:pt>
                <c:pt idx="2">
                  <c:v>-2.8189999999999999E-3</c:v>
                </c:pt>
                <c:pt idx="3">
                  <c:v>-3.4550000000000002E-3</c:v>
                </c:pt>
                <c:pt idx="4">
                  <c:v>-2.2950000000000002E-3</c:v>
                </c:pt>
                <c:pt idx="5">
                  <c:v>-7.36E-4</c:v>
                </c:pt>
                <c:pt idx="6">
                  <c:v>4.5199999999999998E-4</c:v>
                </c:pt>
                <c:pt idx="7">
                  <c:v>1.0399999999999999E-3</c:v>
                </c:pt>
              </c:numCache>
            </c:numRef>
          </c:val>
          <c:smooth val="0"/>
        </c:ser>
        <c:ser>
          <c:idx val="5"/>
          <c:order val="5"/>
          <c:tx>
            <c:strRef>
              <c:f>Plan1!$G$3</c:f>
              <c:strCache>
                <c:ptCount val="1"/>
                <c:pt idx="0">
                  <c:v>ROB9</c:v>
                </c:pt>
              </c:strCache>
            </c:strRef>
          </c:tx>
          <c:spPr>
            <a:ln w="22225" cap="rnd" cmpd="sng" algn="ctr">
              <a:solidFill>
                <a:schemeClr val="accent6"/>
              </a:solidFill>
              <a:round/>
            </a:ln>
            <a:effectLst/>
          </c:spPr>
          <c:marker>
            <c:symbol val="none"/>
          </c:marker>
          <c:val>
            <c:numRef>
              <c:f>Plan1!$G$4:$G$11</c:f>
              <c:numCache>
                <c:formatCode>General</c:formatCode>
                <c:ptCount val="8"/>
                <c:pt idx="0">
                  <c:v>9.5479999999999992E-3</c:v>
                </c:pt>
                <c:pt idx="1">
                  <c:v>1.694E-3</c:v>
                </c:pt>
                <c:pt idx="2">
                  <c:v>-1.9300000000000001E-3</c:v>
                </c:pt>
                <c:pt idx="3">
                  <c:v>-2.5929999999999998E-3</c:v>
                </c:pt>
                <c:pt idx="4">
                  <c:v>-2.0339999999999998E-3</c:v>
                </c:pt>
                <c:pt idx="5">
                  <c:v>-1.297E-3</c:v>
                </c:pt>
                <c:pt idx="6">
                  <c:v>-7.6199999999999998E-4</c:v>
                </c:pt>
                <c:pt idx="7">
                  <c:v>-4.5800000000000002E-4</c:v>
                </c:pt>
              </c:numCache>
            </c:numRef>
          </c:val>
          <c:smooth val="0"/>
        </c:ser>
        <c:dLbls>
          <c:showLegendKey val="0"/>
          <c:showVal val="0"/>
          <c:showCatName val="0"/>
          <c:showSerName val="0"/>
          <c:showPercent val="0"/>
          <c:showBubbleSize val="0"/>
        </c:dLbls>
        <c:smooth val="0"/>
        <c:axId val="752924528"/>
        <c:axId val="752920176"/>
      </c:lineChart>
      <c:catAx>
        <c:axId val="75292452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20176"/>
        <c:crosses val="autoZero"/>
        <c:auto val="1"/>
        <c:lblAlgn val="ctr"/>
        <c:lblOffset val="100"/>
        <c:noMultiLvlLbl val="0"/>
      </c:catAx>
      <c:valAx>
        <c:axId val="752920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245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Plan1!$I$3</c:f>
              <c:strCache>
                <c:ptCount val="1"/>
                <c:pt idx="0">
                  <c:v>ROB2</c:v>
                </c:pt>
              </c:strCache>
            </c:strRef>
          </c:tx>
          <c:spPr>
            <a:ln w="22225" cap="rnd" cmpd="sng" algn="ctr">
              <a:solidFill>
                <a:schemeClr val="accent1"/>
              </a:solidFill>
              <a:round/>
            </a:ln>
            <a:effectLst/>
          </c:spPr>
          <c:marker>
            <c:symbol val="none"/>
          </c:marker>
          <c:val>
            <c:numRef>
              <c:f>Plan1!$I$4:$I$11</c:f>
              <c:numCache>
                <c:formatCode>General</c:formatCode>
                <c:ptCount val="8"/>
                <c:pt idx="0" formatCode="#,##0.000">
                  <c:v>1.1271E-2</c:v>
                </c:pt>
                <c:pt idx="1">
                  <c:v>8.1550000000000008E-3</c:v>
                </c:pt>
                <c:pt idx="2">
                  <c:v>5.829E-3</c:v>
                </c:pt>
                <c:pt idx="3">
                  <c:v>4.1079999999999997E-3</c:v>
                </c:pt>
                <c:pt idx="4">
                  <c:v>2.8449999999999999E-3</c:v>
                </c:pt>
                <c:pt idx="5">
                  <c:v>1.926E-3</c:v>
                </c:pt>
                <c:pt idx="6">
                  <c:v>1.266E-3</c:v>
                </c:pt>
                <c:pt idx="7">
                  <c:v>7.9799999999999999E-4</c:v>
                </c:pt>
              </c:numCache>
            </c:numRef>
          </c:val>
          <c:smooth val="0"/>
        </c:ser>
        <c:ser>
          <c:idx val="1"/>
          <c:order val="1"/>
          <c:tx>
            <c:strRef>
              <c:f>Plan1!$J$3</c:f>
              <c:strCache>
                <c:ptCount val="1"/>
                <c:pt idx="0">
                  <c:v>ROB3</c:v>
                </c:pt>
              </c:strCache>
            </c:strRef>
          </c:tx>
          <c:spPr>
            <a:ln w="22225" cap="rnd" cmpd="sng" algn="ctr">
              <a:solidFill>
                <a:schemeClr val="accent2"/>
              </a:solidFill>
              <a:round/>
            </a:ln>
            <a:effectLst/>
          </c:spPr>
          <c:marker>
            <c:symbol val="none"/>
          </c:marker>
          <c:val>
            <c:numRef>
              <c:f>Plan1!$J$4:$J$11</c:f>
              <c:numCache>
                <c:formatCode>General</c:formatCode>
                <c:ptCount val="8"/>
                <c:pt idx="0" formatCode="#,##0.000000">
                  <c:v>1.159E-2</c:v>
                </c:pt>
                <c:pt idx="1">
                  <c:v>8.6999999999999994E-3</c:v>
                </c:pt>
                <c:pt idx="2">
                  <c:v>4.6560000000000004E-3</c:v>
                </c:pt>
                <c:pt idx="3">
                  <c:v>2.4069999999999999E-3</c:v>
                </c:pt>
                <c:pt idx="4">
                  <c:v>1.235E-3</c:v>
                </c:pt>
                <c:pt idx="5">
                  <c:v>6.3199999999999997E-4</c:v>
                </c:pt>
                <c:pt idx="6">
                  <c:v>3.2299999999999999E-4</c:v>
                </c:pt>
                <c:pt idx="7">
                  <c:v>1.65E-4</c:v>
                </c:pt>
              </c:numCache>
            </c:numRef>
          </c:val>
          <c:smooth val="0"/>
        </c:ser>
        <c:ser>
          <c:idx val="2"/>
          <c:order val="2"/>
          <c:tx>
            <c:strRef>
              <c:f>Plan1!$K$3</c:f>
              <c:strCache>
                <c:ptCount val="1"/>
                <c:pt idx="0">
                  <c:v>ROB4</c:v>
                </c:pt>
              </c:strCache>
            </c:strRef>
          </c:tx>
          <c:spPr>
            <a:ln w="22225" cap="rnd" cmpd="sng" algn="ctr">
              <a:solidFill>
                <a:schemeClr val="accent3"/>
              </a:solidFill>
              <a:round/>
            </a:ln>
            <a:effectLst/>
          </c:spPr>
          <c:marker>
            <c:symbol val="none"/>
          </c:marker>
          <c:val>
            <c:numRef>
              <c:f>Plan1!$K$4:$K$11</c:f>
              <c:numCache>
                <c:formatCode>General</c:formatCode>
                <c:ptCount val="8"/>
                <c:pt idx="0">
                  <c:v>1.1296E-2</c:v>
                </c:pt>
                <c:pt idx="1">
                  <c:v>8.5349999999999992E-3</c:v>
                </c:pt>
                <c:pt idx="2">
                  <c:v>6.4149999999999997E-3</c:v>
                </c:pt>
                <c:pt idx="3">
                  <c:v>4.797E-3</c:v>
                </c:pt>
                <c:pt idx="4">
                  <c:v>3.568E-3</c:v>
                </c:pt>
                <c:pt idx="5">
                  <c:v>2.64E-3</c:v>
                </c:pt>
                <c:pt idx="6">
                  <c:v>1.9449999999999999E-3</c:v>
                </c:pt>
                <c:pt idx="7">
                  <c:v>1.428E-3</c:v>
                </c:pt>
              </c:numCache>
            </c:numRef>
          </c:val>
          <c:smooth val="0"/>
        </c:ser>
        <c:ser>
          <c:idx val="3"/>
          <c:order val="3"/>
          <c:tx>
            <c:strRef>
              <c:f>Plan1!$L$3</c:f>
              <c:strCache>
                <c:ptCount val="1"/>
                <c:pt idx="0">
                  <c:v>ROB6</c:v>
                </c:pt>
              </c:strCache>
            </c:strRef>
          </c:tx>
          <c:spPr>
            <a:ln w="22225" cap="rnd" cmpd="sng" algn="ctr">
              <a:solidFill>
                <a:schemeClr val="accent4"/>
              </a:solidFill>
              <a:round/>
            </a:ln>
            <a:effectLst/>
          </c:spPr>
          <c:marker>
            <c:symbol val="none"/>
          </c:marker>
          <c:val>
            <c:numRef>
              <c:f>Plan1!$L$4:$L$11</c:f>
              <c:numCache>
                <c:formatCode>General</c:formatCode>
                <c:ptCount val="8"/>
                <c:pt idx="0">
                  <c:v>1.2265E-2</c:v>
                </c:pt>
                <c:pt idx="1">
                  <c:v>1.1139E-2</c:v>
                </c:pt>
                <c:pt idx="2">
                  <c:v>1.0722000000000001E-2</c:v>
                </c:pt>
                <c:pt idx="3">
                  <c:v>7.6750000000000004E-3</c:v>
                </c:pt>
                <c:pt idx="4">
                  <c:v>5.5420000000000001E-3</c:v>
                </c:pt>
                <c:pt idx="5">
                  <c:v>3.6250000000000002E-3</c:v>
                </c:pt>
                <c:pt idx="6">
                  <c:v>2.4109999999999999E-3</c:v>
                </c:pt>
                <c:pt idx="7">
                  <c:v>1.601E-3</c:v>
                </c:pt>
              </c:numCache>
            </c:numRef>
          </c:val>
          <c:smooth val="0"/>
        </c:ser>
        <c:ser>
          <c:idx val="4"/>
          <c:order val="4"/>
          <c:tx>
            <c:strRef>
              <c:f>Plan1!$M$3</c:f>
              <c:strCache>
                <c:ptCount val="1"/>
                <c:pt idx="0">
                  <c:v>ROB9</c:v>
                </c:pt>
              </c:strCache>
            </c:strRef>
          </c:tx>
          <c:spPr>
            <a:ln w="22225" cap="rnd" cmpd="sng" algn="ctr">
              <a:solidFill>
                <a:schemeClr val="accent5"/>
              </a:solidFill>
              <a:round/>
            </a:ln>
            <a:effectLst/>
          </c:spPr>
          <c:marker>
            <c:symbol val="none"/>
          </c:marker>
          <c:val>
            <c:numRef>
              <c:f>Plan1!$M$4:$M$11</c:f>
              <c:numCache>
                <c:formatCode>General</c:formatCode>
                <c:ptCount val="8"/>
                <c:pt idx="0">
                  <c:v>6.9459999999999999E-3</c:v>
                </c:pt>
                <c:pt idx="1">
                  <c:v>6.1419999999999999E-3</c:v>
                </c:pt>
                <c:pt idx="2">
                  <c:v>3.4589999999999998E-3</c:v>
                </c:pt>
                <c:pt idx="3">
                  <c:v>1.4350000000000001E-3</c:v>
                </c:pt>
                <c:pt idx="4">
                  <c:v>4.4000000000000002E-4</c:v>
                </c:pt>
                <c:pt idx="5">
                  <c:v>1.16E-4</c:v>
                </c:pt>
                <c:pt idx="6" formatCode="0.00E+00">
                  <c:v>7.5599999999999994E-5</c:v>
                </c:pt>
                <c:pt idx="7">
                  <c:v>1.01E-4</c:v>
                </c:pt>
              </c:numCache>
            </c:numRef>
          </c:val>
          <c:smooth val="0"/>
        </c:ser>
        <c:dLbls>
          <c:showLegendKey val="0"/>
          <c:showVal val="0"/>
          <c:showCatName val="0"/>
          <c:showSerName val="0"/>
          <c:showPercent val="0"/>
          <c:showBubbleSize val="0"/>
        </c:dLbls>
        <c:smooth val="0"/>
        <c:axId val="752931056"/>
        <c:axId val="752926704"/>
      </c:lineChart>
      <c:catAx>
        <c:axId val="75293105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26704"/>
        <c:crosses val="autoZero"/>
        <c:auto val="1"/>
        <c:lblAlgn val="ctr"/>
        <c:lblOffset val="100"/>
        <c:noMultiLvlLbl val="0"/>
      </c:catAx>
      <c:valAx>
        <c:axId val="752926704"/>
        <c:scaling>
          <c:orientation val="minMax"/>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310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Plan1!$R$3</c:f>
              <c:strCache>
                <c:ptCount val="1"/>
                <c:pt idx="0">
                  <c:v>ROB4</c:v>
                </c:pt>
              </c:strCache>
            </c:strRef>
          </c:tx>
          <c:spPr>
            <a:ln w="22225" cap="rnd" cmpd="sng" algn="ctr">
              <a:solidFill>
                <a:schemeClr val="accent1"/>
              </a:solidFill>
              <a:round/>
            </a:ln>
            <a:effectLst/>
          </c:spPr>
          <c:marker>
            <c:symbol val="none"/>
          </c:marker>
          <c:val>
            <c:numRef>
              <c:f>Plan1!$R$4:$R$11</c:f>
              <c:numCache>
                <c:formatCode>General</c:formatCode>
                <c:ptCount val="8"/>
                <c:pt idx="0">
                  <c:v>1.9759999999999999E-3</c:v>
                </c:pt>
                <c:pt idx="1">
                  <c:v>1.511E-3</c:v>
                </c:pt>
                <c:pt idx="2">
                  <c:v>1.1230000000000001E-3</c:v>
                </c:pt>
                <c:pt idx="3">
                  <c:v>8.0400000000000003E-4</c:v>
                </c:pt>
                <c:pt idx="4">
                  <c:v>5.4699999999999996E-4</c:v>
                </c:pt>
                <c:pt idx="5">
                  <c:v>3.4299999999999999E-4</c:v>
                </c:pt>
                <c:pt idx="6">
                  <c:v>1.84E-4</c:v>
                </c:pt>
                <c:pt idx="7" formatCode="0.00E+00">
                  <c:v>6.3100000000000002E-5</c:v>
                </c:pt>
              </c:numCache>
            </c:numRef>
          </c:val>
          <c:smooth val="0"/>
        </c:ser>
        <c:ser>
          <c:idx val="1"/>
          <c:order val="1"/>
          <c:tx>
            <c:strRef>
              <c:f>Plan1!$S$3</c:f>
              <c:strCache>
                <c:ptCount val="1"/>
                <c:pt idx="0">
                  <c:v>ROB5</c:v>
                </c:pt>
              </c:strCache>
            </c:strRef>
          </c:tx>
          <c:spPr>
            <a:ln w="22225" cap="rnd" cmpd="sng" algn="ctr">
              <a:solidFill>
                <a:schemeClr val="accent2"/>
              </a:solidFill>
              <a:round/>
            </a:ln>
            <a:effectLst/>
          </c:spPr>
          <c:marker>
            <c:symbol val="none"/>
          </c:marker>
          <c:val>
            <c:numRef>
              <c:f>Plan1!$S$4:$S$11</c:f>
              <c:numCache>
                <c:formatCode>General</c:formatCode>
                <c:ptCount val="8"/>
                <c:pt idx="0">
                  <c:v>2.882E-3</c:v>
                </c:pt>
                <c:pt idx="1">
                  <c:v>2.359E-3</c:v>
                </c:pt>
                <c:pt idx="2">
                  <c:v>1.9480000000000001E-3</c:v>
                </c:pt>
                <c:pt idx="3">
                  <c:v>1.6249999999999999E-3</c:v>
                </c:pt>
                <c:pt idx="4">
                  <c:v>1.369E-3</c:v>
                </c:pt>
                <c:pt idx="5">
                  <c:v>1.1659999999999999E-3</c:v>
                </c:pt>
                <c:pt idx="6">
                  <c:v>1.0039999999999999E-3</c:v>
                </c:pt>
                <c:pt idx="7">
                  <c:v>8.7399999999999999E-4</c:v>
                </c:pt>
              </c:numCache>
            </c:numRef>
          </c:val>
          <c:smooth val="0"/>
        </c:ser>
        <c:dLbls>
          <c:showLegendKey val="0"/>
          <c:showVal val="0"/>
          <c:showCatName val="0"/>
          <c:showSerName val="0"/>
          <c:showPercent val="0"/>
          <c:showBubbleSize val="0"/>
        </c:dLbls>
        <c:smooth val="0"/>
        <c:axId val="752932688"/>
        <c:axId val="752927792"/>
      </c:lineChart>
      <c:catAx>
        <c:axId val="75293268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27792"/>
        <c:crosses val="autoZero"/>
        <c:auto val="1"/>
        <c:lblAlgn val="ctr"/>
        <c:lblOffset val="100"/>
        <c:noMultiLvlLbl val="0"/>
      </c:catAx>
      <c:valAx>
        <c:axId val="752927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Plan1!$F$15</c:f>
              <c:strCache>
                <c:ptCount val="1"/>
                <c:pt idx="0">
                  <c:v>ROB7</c:v>
                </c:pt>
              </c:strCache>
            </c:strRef>
          </c:tx>
          <c:spPr>
            <a:ln w="22225" cap="rnd" cmpd="sng" algn="ctr">
              <a:solidFill>
                <a:schemeClr val="accent1"/>
              </a:solidFill>
              <a:round/>
            </a:ln>
            <a:effectLst/>
          </c:spPr>
          <c:marker>
            <c:symbol val="none"/>
          </c:marker>
          <c:val>
            <c:numRef>
              <c:f>Plan1!$F$16:$F$23</c:f>
              <c:numCache>
                <c:formatCode>General</c:formatCode>
                <c:ptCount val="8"/>
                <c:pt idx="0">
                  <c:v>7.3680000000000004E-3</c:v>
                </c:pt>
                <c:pt idx="1">
                  <c:v>1.3093E-2</c:v>
                </c:pt>
                <c:pt idx="2">
                  <c:v>1.2383999999999999E-2</c:v>
                </c:pt>
                <c:pt idx="3">
                  <c:v>1.0226000000000001E-2</c:v>
                </c:pt>
                <c:pt idx="4">
                  <c:v>8.0590000000000002E-3</c:v>
                </c:pt>
                <c:pt idx="5">
                  <c:v>6.234E-3</c:v>
                </c:pt>
                <c:pt idx="6">
                  <c:v>4.7829999999999999E-3</c:v>
                </c:pt>
                <c:pt idx="7">
                  <c:v>3.653E-3</c:v>
                </c:pt>
              </c:numCache>
            </c:numRef>
          </c:val>
          <c:smooth val="0"/>
        </c:ser>
        <c:ser>
          <c:idx val="1"/>
          <c:order val="1"/>
          <c:tx>
            <c:strRef>
              <c:f>Plan1!$G$15</c:f>
              <c:strCache>
                <c:ptCount val="1"/>
                <c:pt idx="0">
                  <c:v>ROB8</c:v>
                </c:pt>
              </c:strCache>
            </c:strRef>
          </c:tx>
          <c:spPr>
            <a:ln w="22225" cap="rnd" cmpd="sng" algn="ctr">
              <a:solidFill>
                <a:schemeClr val="accent2"/>
              </a:solidFill>
              <a:round/>
            </a:ln>
            <a:effectLst/>
          </c:spPr>
          <c:marker>
            <c:symbol val="none"/>
          </c:marker>
          <c:val>
            <c:numRef>
              <c:f>Plan1!$G$16:$G$23</c:f>
              <c:numCache>
                <c:formatCode>General</c:formatCode>
                <c:ptCount val="8"/>
                <c:pt idx="0">
                  <c:v>7.8740000000000008E-3</c:v>
                </c:pt>
                <c:pt idx="1">
                  <c:v>5.7619999999999998E-3</c:v>
                </c:pt>
                <c:pt idx="2">
                  <c:v>2.9320000000000001E-3</c:v>
                </c:pt>
                <c:pt idx="3">
                  <c:v>6.8099999999999996E-4</c:v>
                </c:pt>
                <c:pt idx="4">
                  <c:v>-5.7499999999999999E-4</c:v>
                </c:pt>
                <c:pt idx="5">
                  <c:v>-9.6100000000000005E-4</c:v>
                </c:pt>
                <c:pt idx="6">
                  <c:v>-8.1899999999999996E-4</c:v>
                </c:pt>
                <c:pt idx="7">
                  <c:v>-4.7899999999999999E-4</c:v>
                </c:pt>
              </c:numCache>
            </c:numRef>
          </c:val>
          <c:smooth val="0"/>
        </c:ser>
        <c:dLbls>
          <c:showLegendKey val="0"/>
          <c:showVal val="0"/>
          <c:showCatName val="0"/>
          <c:showSerName val="0"/>
          <c:showPercent val="0"/>
          <c:showBubbleSize val="0"/>
        </c:dLbls>
        <c:smooth val="0"/>
        <c:axId val="752929968"/>
        <c:axId val="974411488"/>
      </c:lineChart>
      <c:catAx>
        <c:axId val="75292996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974411488"/>
        <c:crosses val="autoZero"/>
        <c:auto val="1"/>
        <c:lblAlgn val="ctr"/>
        <c:lblOffset val="100"/>
        <c:noMultiLvlLbl val="0"/>
      </c:catAx>
      <c:valAx>
        <c:axId val="974411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7529299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Plan2!$B$2</c:f>
              <c:strCache>
                <c:ptCount val="1"/>
                <c:pt idx="0">
                  <c:v>ROB3</c:v>
                </c:pt>
              </c:strCache>
            </c:strRef>
          </c:tx>
          <c:spPr>
            <a:ln w="22225" cap="rnd" cmpd="sng" algn="ctr">
              <a:solidFill>
                <a:schemeClr val="accent1"/>
              </a:solidFill>
              <a:round/>
            </a:ln>
            <a:effectLst/>
          </c:spPr>
          <c:marker>
            <c:symbol val="none"/>
          </c:marker>
          <c:val>
            <c:numRef>
              <c:f>Plan2!$B$3:$B$10</c:f>
              <c:numCache>
                <c:formatCode>General</c:formatCode>
                <c:ptCount val="8"/>
                <c:pt idx="0">
                  <c:v>2.9529E-2</c:v>
                </c:pt>
                <c:pt idx="1">
                  <c:v>6.881E-3</c:v>
                </c:pt>
                <c:pt idx="2">
                  <c:v>2.4480000000000001E-3</c:v>
                </c:pt>
                <c:pt idx="3">
                  <c:v>1.011E-3</c:v>
                </c:pt>
                <c:pt idx="4">
                  <c:v>4.5199999999999998E-4</c:v>
                </c:pt>
                <c:pt idx="5">
                  <c:v>2.12E-4</c:v>
                </c:pt>
                <c:pt idx="6">
                  <c:v>1.03E-4</c:v>
                </c:pt>
                <c:pt idx="7" formatCode="0.00E+00">
                  <c:v>5.1199999999999998E-5</c:v>
                </c:pt>
              </c:numCache>
            </c:numRef>
          </c:val>
          <c:smooth val="0"/>
        </c:ser>
        <c:ser>
          <c:idx val="1"/>
          <c:order val="1"/>
          <c:tx>
            <c:strRef>
              <c:f>Plan2!$C$2</c:f>
              <c:strCache>
                <c:ptCount val="1"/>
                <c:pt idx="0">
                  <c:v>ROB4</c:v>
                </c:pt>
              </c:strCache>
            </c:strRef>
          </c:tx>
          <c:spPr>
            <a:ln w="22225" cap="rnd" cmpd="sng" algn="ctr">
              <a:solidFill>
                <a:schemeClr val="accent2"/>
              </a:solidFill>
              <a:round/>
            </a:ln>
            <a:effectLst/>
          </c:spPr>
          <c:marker>
            <c:symbol val="none"/>
          </c:marker>
          <c:val>
            <c:numRef>
              <c:f>Plan2!$C$3:$C$10</c:f>
              <c:numCache>
                <c:formatCode>General</c:formatCode>
                <c:ptCount val="8"/>
                <c:pt idx="0">
                  <c:v>3.2967999999999997E-2</c:v>
                </c:pt>
                <c:pt idx="1">
                  <c:v>1.2612E-2</c:v>
                </c:pt>
                <c:pt idx="2">
                  <c:v>4.6100000000000004E-3</c:v>
                </c:pt>
                <c:pt idx="3">
                  <c:v>1.6050000000000001E-3</c:v>
                </c:pt>
                <c:pt idx="4">
                  <c:v>6.2799999999999998E-4</c:v>
                </c:pt>
                <c:pt idx="5">
                  <c:v>4.5399999999999998E-4</c:v>
                </c:pt>
                <c:pt idx="6">
                  <c:v>5.7300000000000005E-4</c:v>
                </c:pt>
                <c:pt idx="7">
                  <c:v>7.6599999999999997E-4</c:v>
                </c:pt>
              </c:numCache>
            </c:numRef>
          </c:val>
          <c:smooth val="0"/>
        </c:ser>
        <c:ser>
          <c:idx val="2"/>
          <c:order val="2"/>
          <c:tx>
            <c:strRef>
              <c:f>Plan2!$D$2</c:f>
              <c:strCache>
                <c:ptCount val="1"/>
                <c:pt idx="0">
                  <c:v>ROB6</c:v>
                </c:pt>
              </c:strCache>
            </c:strRef>
          </c:tx>
          <c:spPr>
            <a:ln w="22225" cap="rnd" cmpd="sng" algn="ctr">
              <a:solidFill>
                <a:schemeClr val="accent3"/>
              </a:solidFill>
              <a:round/>
            </a:ln>
            <a:effectLst/>
          </c:spPr>
          <c:marker>
            <c:symbol val="none"/>
          </c:marker>
          <c:val>
            <c:numRef>
              <c:f>Plan2!$D$3:$D$10</c:f>
              <c:numCache>
                <c:formatCode>General</c:formatCode>
                <c:ptCount val="8"/>
                <c:pt idx="0">
                  <c:v>3.1165999999999999E-2</c:v>
                </c:pt>
                <c:pt idx="1">
                  <c:v>5.7409999999999996E-3</c:v>
                </c:pt>
                <c:pt idx="2">
                  <c:v>6.8900000000000003E-3</c:v>
                </c:pt>
                <c:pt idx="3">
                  <c:v>3.7599999999999998E-4</c:v>
                </c:pt>
                <c:pt idx="4">
                  <c:v>-1.3899999999999999E-4</c:v>
                </c:pt>
                <c:pt idx="5">
                  <c:v>-1.2470000000000001E-3</c:v>
                </c:pt>
                <c:pt idx="6">
                  <c:v>-1.0250000000000001E-3</c:v>
                </c:pt>
                <c:pt idx="7">
                  <c:v>-8.5599999999999999E-4</c:v>
                </c:pt>
              </c:numCache>
            </c:numRef>
          </c:val>
          <c:smooth val="0"/>
        </c:ser>
        <c:ser>
          <c:idx val="3"/>
          <c:order val="3"/>
          <c:tx>
            <c:strRef>
              <c:f>Plan2!$E$2</c:f>
              <c:strCache>
                <c:ptCount val="1"/>
                <c:pt idx="0">
                  <c:v>ROB9</c:v>
                </c:pt>
              </c:strCache>
            </c:strRef>
          </c:tx>
          <c:spPr>
            <a:ln w="22225" cap="rnd" cmpd="sng" algn="ctr">
              <a:solidFill>
                <a:schemeClr val="accent4"/>
              </a:solidFill>
              <a:round/>
            </a:ln>
            <a:effectLst/>
          </c:spPr>
          <c:marker>
            <c:symbol val="none"/>
          </c:marker>
          <c:val>
            <c:numRef>
              <c:f>Plan2!$E$3:$E$10</c:f>
              <c:numCache>
                <c:formatCode>General</c:formatCode>
                <c:ptCount val="8"/>
                <c:pt idx="0">
                  <c:v>2.6387000000000001E-2</c:v>
                </c:pt>
                <c:pt idx="1">
                  <c:v>4.5900000000000003E-3</c:v>
                </c:pt>
                <c:pt idx="2">
                  <c:v>-3.274E-3</c:v>
                </c:pt>
                <c:pt idx="3">
                  <c:v>-3.9360000000000003E-3</c:v>
                </c:pt>
                <c:pt idx="4">
                  <c:v>-2.418E-3</c:v>
                </c:pt>
                <c:pt idx="5">
                  <c:v>-1.008E-3</c:v>
                </c:pt>
                <c:pt idx="6">
                  <c:v>-2.4800000000000001E-4</c:v>
                </c:pt>
                <c:pt idx="7" formatCode="0.00E+00">
                  <c:v>1.5E-5</c:v>
                </c:pt>
              </c:numCache>
            </c:numRef>
          </c:val>
          <c:smooth val="0"/>
        </c:ser>
        <c:dLbls>
          <c:showLegendKey val="0"/>
          <c:showVal val="0"/>
          <c:showCatName val="0"/>
          <c:showSerName val="0"/>
          <c:showPercent val="0"/>
          <c:showBubbleSize val="0"/>
        </c:dLbls>
        <c:smooth val="0"/>
        <c:axId val="974415840"/>
        <c:axId val="974420736"/>
      </c:lineChart>
      <c:catAx>
        <c:axId val="974415840"/>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974420736"/>
        <c:crosses val="autoZero"/>
        <c:auto val="1"/>
        <c:lblAlgn val="ctr"/>
        <c:lblOffset val="100"/>
        <c:noMultiLvlLbl val="0"/>
      </c:catAx>
      <c:valAx>
        <c:axId val="9744207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9744158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7979</Words>
  <Characters>43088</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Cleiton silva de jesus</cp:lastModifiedBy>
  <cp:revision>4</cp:revision>
  <dcterms:created xsi:type="dcterms:W3CDTF">2016-07-20T21:19:00Z</dcterms:created>
  <dcterms:modified xsi:type="dcterms:W3CDTF">2016-07-21T00:20:00Z</dcterms:modified>
</cp:coreProperties>
</file>