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ED3" w:rsidRPr="005F0ED3" w:rsidRDefault="00517FB4" w:rsidP="00B35B71">
      <w:pPr>
        <w:spacing w:after="0" w:line="240" w:lineRule="auto"/>
        <w:jc w:val="center"/>
        <w:rPr>
          <w:rFonts w:ascii="Times New Roman" w:eastAsia="Calibri" w:hAnsi="Times New Roman" w:cs="Times New Roman"/>
          <w:b/>
        </w:rPr>
      </w:pPr>
      <w:r>
        <w:rPr>
          <w:rFonts w:ascii="Times New Roman" w:eastAsia="Calibri" w:hAnsi="Times New Roman" w:cs="Times New Roman"/>
          <w:b/>
        </w:rPr>
        <w:t>L</w:t>
      </w:r>
      <w:r w:rsidR="005F0ED3" w:rsidRPr="005F0ED3">
        <w:rPr>
          <w:rFonts w:ascii="Times New Roman" w:eastAsia="Calibri" w:hAnsi="Times New Roman" w:cs="Times New Roman"/>
          <w:b/>
        </w:rPr>
        <w:t>iberalização financeira</w:t>
      </w:r>
      <w:r w:rsidR="001D0312">
        <w:rPr>
          <w:rFonts w:ascii="Times New Roman" w:eastAsia="Calibri" w:hAnsi="Times New Roman" w:cs="Times New Roman"/>
          <w:b/>
        </w:rPr>
        <w:t xml:space="preserve"> </w:t>
      </w:r>
      <w:r>
        <w:rPr>
          <w:rFonts w:ascii="Times New Roman" w:eastAsia="Calibri" w:hAnsi="Times New Roman" w:cs="Times New Roman"/>
          <w:b/>
        </w:rPr>
        <w:t>e desempenho macroeconômico brasileiro</w:t>
      </w:r>
      <w:r w:rsidR="005F0ED3" w:rsidRPr="005F0ED3">
        <w:rPr>
          <w:rFonts w:ascii="Times New Roman" w:eastAsia="Calibri" w:hAnsi="Times New Roman" w:cs="Times New Roman"/>
          <w:b/>
        </w:rPr>
        <w:t xml:space="preserve">: </w:t>
      </w:r>
      <w:r>
        <w:rPr>
          <w:rFonts w:ascii="Times New Roman" w:eastAsia="Calibri" w:hAnsi="Times New Roman" w:cs="Times New Roman"/>
          <w:b/>
        </w:rPr>
        <w:t xml:space="preserve">evidências empíricas a partir do modelo VEC </w:t>
      </w:r>
    </w:p>
    <w:p w:rsidR="005F0ED3" w:rsidRDefault="005F0ED3" w:rsidP="00B35B71">
      <w:pPr>
        <w:spacing w:after="0" w:line="240" w:lineRule="auto"/>
        <w:rPr>
          <w:rFonts w:ascii="Times New Roman" w:eastAsia="Calibri" w:hAnsi="Times New Roman" w:cs="Times New Roman"/>
          <w:b/>
        </w:rPr>
      </w:pPr>
    </w:p>
    <w:p w:rsidR="00271119" w:rsidRDefault="00271119" w:rsidP="00B35B71">
      <w:pPr>
        <w:spacing w:after="0" w:line="240" w:lineRule="auto"/>
        <w:jc w:val="center"/>
        <w:rPr>
          <w:rFonts w:ascii="Times New Roman" w:eastAsia="Calibri" w:hAnsi="Times New Roman" w:cs="Times New Roman"/>
          <w:b/>
        </w:rPr>
      </w:pPr>
      <w:r>
        <w:rPr>
          <w:rFonts w:ascii="Times New Roman" w:eastAsia="Calibri" w:hAnsi="Times New Roman" w:cs="Times New Roman"/>
          <w:b/>
        </w:rPr>
        <w:t>44º Encontro Nacional de Economia</w:t>
      </w:r>
    </w:p>
    <w:p w:rsidR="00271119" w:rsidRPr="005F0ED3" w:rsidRDefault="00271119" w:rsidP="00B35B71">
      <w:pPr>
        <w:spacing w:after="0" w:line="240" w:lineRule="auto"/>
        <w:jc w:val="center"/>
        <w:rPr>
          <w:rFonts w:ascii="Times New Roman" w:eastAsia="Calibri" w:hAnsi="Times New Roman" w:cs="Times New Roman"/>
          <w:b/>
        </w:rPr>
      </w:pPr>
      <w:r w:rsidRPr="00271119">
        <w:rPr>
          <w:rFonts w:ascii="Times New Roman" w:eastAsia="Calibri" w:hAnsi="Times New Roman" w:cs="Times New Roman"/>
          <w:b/>
        </w:rPr>
        <w:t>Área 4 - Macroeconomia, Economia Monetária e Finanças</w:t>
      </w:r>
    </w:p>
    <w:p w:rsidR="00B35B71" w:rsidRDefault="00B35B71" w:rsidP="00B35B71">
      <w:pPr>
        <w:spacing w:after="0" w:line="240" w:lineRule="auto"/>
        <w:jc w:val="right"/>
        <w:rPr>
          <w:rFonts w:ascii="Times New Roman" w:eastAsia="Calibri" w:hAnsi="Times New Roman" w:cs="Times New Roman"/>
          <w:i/>
        </w:rPr>
      </w:pPr>
    </w:p>
    <w:p w:rsidR="00F0604E" w:rsidRPr="005F0ED3" w:rsidRDefault="00F0604E" w:rsidP="00B35B71">
      <w:pPr>
        <w:spacing w:after="0" w:line="240" w:lineRule="auto"/>
        <w:jc w:val="right"/>
        <w:rPr>
          <w:rFonts w:ascii="Times New Roman" w:eastAsia="Calibri" w:hAnsi="Times New Roman" w:cs="Times New Roman"/>
          <w:i/>
        </w:rPr>
      </w:pPr>
      <w:r w:rsidRPr="005F0ED3">
        <w:rPr>
          <w:rFonts w:ascii="Times New Roman" w:eastAsia="Calibri" w:hAnsi="Times New Roman" w:cs="Times New Roman"/>
          <w:i/>
        </w:rPr>
        <w:t>Pedro Perfeito da Silva</w:t>
      </w:r>
      <w:r w:rsidRPr="005F0ED3">
        <w:rPr>
          <w:rFonts w:ascii="Times New Roman" w:eastAsia="Calibri" w:hAnsi="Times New Roman" w:cs="Times New Roman"/>
          <w:i/>
          <w:vertAlign w:val="superscript"/>
        </w:rPr>
        <w:footnoteReference w:id="1"/>
      </w:r>
    </w:p>
    <w:p w:rsidR="00F0604E" w:rsidRDefault="00F0604E" w:rsidP="00B35B71">
      <w:pPr>
        <w:spacing w:after="0" w:line="240" w:lineRule="auto"/>
        <w:jc w:val="right"/>
        <w:rPr>
          <w:rFonts w:ascii="Times New Roman" w:eastAsia="Calibri" w:hAnsi="Times New Roman" w:cs="Times New Roman"/>
          <w:i/>
          <w:color w:val="2A2A2A"/>
          <w:szCs w:val="24"/>
        </w:rPr>
      </w:pPr>
      <w:r w:rsidRPr="005F0ED3">
        <w:rPr>
          <w:rFonts w:ascii="Times New Roman" w:eastAsia="Calibri" w:hAnsi="Times New Roman" w:cs="Times New Roman"/>
          <w:i/>
          <w:color w:val="2A2A2A"/>
          <w:szCs w:val="24"/>
        </w:rPr>
        <w:t>André Moreira Cunha</w:t>
      </w:r>
      <w:r w:rsidRPr="005F0ED3">
        <w:rPr>
          <w:rFonts w:ascii="Times New Roman" w:eastAsia="Calibri" w:hAnsi="Times New Roman" w:cs="Times New Roman"/>
          <w:color w:val="2A2A2A"/>
          <w:szCs w:val="24"/>
          <w:vertAlign w:val="superscript"/>
        </w:rPr>
        <w:footnoteReference w:id="2"/>
      </w:r>
    </w:p>
    <w:p w:rsidR="00F0604E" w:rsidRPr="005F0ED3" w:rsidRDefault="00F0604E" w:rsidP="00B35B71">
      <w:pPr>
        <w:spacing w:after="0" w:line="240" w:lineRule="auto"/>
        <w:jc w:val="right"/>
        <w:rPr>
          <w:rFonts w:ascii="Times New Roman" w:eastAsia="Calibri" w:hAnsi="Times New Roman" w:cs="Times New Roman"/>
          <w:i/>
        </w:rPr>
      </w:pPr>
      <w:r>
        <w:rPr>
          <w:rFonts w:ascii="Times New Roman" w:eastAsia="Calibri" w:hAnsi="Times New Roman" w:cs="Times New Roman"/>
          <w:i/>
        </w:rPr>
        <w:t>Andrés Ernesto Ferrari Haines</w:t>
      </w:r>
      <w:r>
        <w:rPr>
          <w:rStyle w:val="Refdenotaderodap"/>
          <w:rFonts w:ascii="Times New Roman" w:eastAsia="Calibri" w:hAnsi="Times New Roman" w:cs="Times New Roman"/>
          <w:i/>
        </w:rPr>
        <w:footnoteReference w:id="3"/>
      </w:r>
    </w:p>
    <w:p w:rsidR="00566AB5" w:rsidRPr="005F0ED3" w:rsidRDefault="00566AB5" w:rsidP="00B35B71">
      <w:pPr>
        <w:spacing w:after="0" w:line="240" w:lineRule="auto"/>
        <w:jc w:val="right"/>
        <w:rPr>
          <w:rFonts w:ascii="Times New Roman" w:eastAsia="Calibri" w:hAnsi="Times New Roman" w:cs="Times New Roman"/>
          <w:i/>
        </w:rPr>
      </w:pPr>
    </w:p>
    <w:p w:rsidR="005F0ED3" w:rsidRPr="005F0ED3" w:rsidRDefault="005F0ED3" w:rsidP="00B35B71">
      <w:pPr>
        <w:spacing w:after="0" w:line="240" w:lineRule="auto"/>
        <w:rPr>
          <w:rFonts w:ascii="Times New Roman" w:eastAsia="Calibri" w:hAnsi="Times New Roman" w:cs="Times New Roman"/>
          <w:b/>
        </w:rPr>
      </w:pPr>
    </w:p>
    <w:p w:rsidR="005F0ED3" w:rsidRPr="005F0ED3" w:rsidRDefault="005F0ED3" w:rsidP="00B35B71">
      <w:pPr>
        <w:spacing w:after="0" w:line="240" w:lineRule="auto"/>
        <w:rPr>
          <w:rFonts w:ascii="Times New Roman" w:eastAsia="Calibri" w:hAnsi="Times New Roman" w:cs="Times New Roman"/>
          <w:b/>
        </w:rPr>
      </w:pPr>
      <w:r w:rsidRPr="005F0ED3">
        <w:rPr>
          <w:rFonts w:ascii="Times New Roman" w:eastAsia="Calibri" w:hAnsi="Times New Roman" w:cs="Times New Roman"/>
          <w:b/>
        </w:rPr>
        <w:t>Resumo</w:t>
      </w:r>
    </w:p>
    <w:p w:rsidR="005F0ED3" w:rsidRPr="009E7857" w:rsidRDefault="009E7857" w:rsidP="00B35B71">
      <w:pPr>
        <w:spacing w:after="0" w:line="240" w:lineRule="auto"/>
        <w:rPr>
          <w:rFonts w:ascii="Times New Roman" w:eastAsia="Calibri" w:hAnsi="Times New Roman" w:cs="Times New Roman"/>
          <w:szCs w:val="24"/>
        </w:rPr>
      </w:pPr>
      <w:r>
        <w:rPr>
          <w:rFonts w:ascii="Times New Roman" w:eastAsia="Calibri" w:hAnsi="Times New Roman" w:cs="Times New Roman"/>
          <w:szCs w:val="24"/>
        </w:rPr>
        <w:t>Este</w:t>
      </w:r>
      <w:r w:rsidR="005F0ED3" w:rsidRPr="005F0ED3">
        <w:rPr>
          <w:rFonts w:ascii="Times New Roman" w:eastAsia="Calibri" w:hAnsi="Times New Roman" w:cs="Times New Roman"/>
          <w:szCs w:val="24"/>
        </w:rPr>
        <w:t xml:space="preserve"> artigo avalia </w:t>
      </w:r>
      <w:r>
        <w:rPr>
          <w:rFonts w:ascii="Times New Roman" w:eastAsia="Calibri" w:hAnsi="Times New Roman" w:cs="Times New Roman"/>
          <w:szCs w:val="24"/>
        </w:rPr>
        <w:t>a relação entre</w:t>
      </w:r>
      <w:r w:rsidR="009B67A2">
        <w:rPr>
          <w:rFonts w:ascii="Times New Roman" w:eastAsia="Calibri" w:hAnsi="Times New Roman" w:cs="Times New Roman"/>
        </w:rPr>
        <w:t xml:space="preserve"> liberalização financeira externa – </w:t>
      </w:r>
      <w:r>
        <w:rPr>
          <w:rFonts w:ascii="Times New Roman" w:eastAsia="Calibri" w:hAnsi="Times New Roman" w:cs="Times New Roman"/>
        </w:rPr>
        <w:t>tanto abertura quanto integração financeira</w:t>
      </w:r>
      <w:r w:rsidR="009B67A2">
        <w:rPr>
          <w:rFonts w:ascii="Times New Roman" w:eastAsia="Calibri" w:hAnsi="Times New Roman" w:cs="Times New Roman"/>
        </w:rPr>
        <w:t xml:space="preserve"> -</w:t>
      </w:r>
      <w:r w:rsidR="005F0ED3" w:rsidRPr="005F0ED3">
        <w:rPr>
          <w:rFonts w:ascii="Times New Roman" w:eastAsia="Calibri" w:hAnsi="Times New Roman" w:cs="Times New Roman"/>
        </w:rPr>
        <w:t xml:space="preserve"> </w:t>
      </w:r>
      <w:r>
        <w:rPr>
          <w:rFonts w:ascii="Times New Roman" w:eastAsia="Calibri" w:hAnsi="Times New Roman" w:cs="Times New Roman"/>
        </w:rPr>
        <w:t>e</w:t>
      </w:r>
      <w:r w:rsidR="005F0ED3" w:rsidRPr="005F0ED3">
        <w:rPr>
          <w:rFonts w:ascii="Times New Roman" w:eastAsia="Calibri" w:hAnsi="Times New Roman" w:cs="Times New Roman"/>
        </w:rPr>
        <w:t xml:space="preserve"> desempenho macroeconômico </w:t>
      </w:r>
      <w:r>
        <w:rPr>
          <w:rFonts w:ascii="Times New Roman" w:eastAsia="Calibri" w:hAnsi="Times New Roman" w:cs="Times New Roman"/>
        </w:rPr>
        <w:t xml:space="preserve">da economia brasileira a partir </w:t>
      </w:r>
      <w:r>
        <w:rPr>
          <w:rFonts w:ascii="Times New Roman" w:eastAsia="Calibri" w:hAnsi="Times New Roman" w:cs="Times New Roman"/>
          <w:szCs w:val="24"/>
        </w:rPr>
        <w:t>estimação de um modelo baseado em vetores autorregressivos com correção de erros (VEC)</w:t>
      </w:r>
      <w:r w:rsidR="005F0ED3" w:rsidRPr="005F0ED3">
        <w:rPr>
          <w:rFonts w:ascii="Times New Roman" w:eastAsia="Calibri" w:hAnsi="Times New Roman" w:cs="Times New Roman"/>
        </w:rPr>
        <w:t xml:space="preserve">. </w:t>
      </w:r>
      <w:r>
        <w:rPr>
          <w:rFonts w:ascii="Times New Roman" w:eastAsia="Calibri" w:hAnsi="Times New Roman" w:cs="Times New Roman"/>
          <w:szCs w:val="24"/>
        </w:rPr>
        <w:t>Em termos de</w:t>
      </w:r>
      <w:r w:rsidRPr="00094BD2">
        <w:rPr>
          <w:rFonts w:ascii="Times New Roman" w:eastAsia="Calibri" w:hAnsi="Times New Roman" w:cs="Times New Roman"/>
          <w:szCs w:val="24"/>
        </w:rPr>
        <w:t xml:space="preserve"> contribuição potencialmente original</w:t>
      </w:r>
      <w:r>
        <w:rPr>
          <w:rFonts w:ascii="Times New Roman" w:eastAsia="Calibri" w:hAnsi="Times New Roman" w:cs="Times New Roman"/>
          <w:szCs w:val="24"/>
        </w:rPr>
        <w:t xml:space="preserve">, </w:t>
      </w:r>
      <w:r w:rsidR="006721F2">
        <w:rPr>
          <w:rFonts w:ascii="Times New Roman" w:eastAsia="Calibri" w:hAnsi="Times New Roman" w:cs="Times New Roman"/>
          <w:szCs w:val="24"/>
        </w:rPr>
        <w:t>foi encontrada</w:t>
      </w:r>
      <w:r>
        <w:rPr>
          <w:rFonts w:ascii="Times New Roman" w:eastAsia="Calibri" w:hAnsi="Times New Roman" w:cs="Times New Roman"/>
          <w:szCs w:val="24"/>
        </w:rPr>
        <w:t xml:space="preserve"> a</w:t>
      </w:r>
      <w:r w:rsidRPr="00094BD2">
        <w:rPr>
          <w:rFonts w:ascii="Times New Roman" w:eastAsia="Calibri" w:hAnsi="Times New Roman" w:cs="Times New Roman"/>
          <w:szCs w:val="24"/>
        </w:rPr>
        <w:t xml:space="preserve"> precedência, no sentido de Granger, dos movimentos do ciclo financeiro global frente ao grau de integração financeira da economia brasileir</w:t>
      </w:r>
      <w:r>
        <w:rPr>
          <w:rFonts w:ascii="Times New Roman" w:eastAsia="Calibri" w:hAnsi="Times New Roman" w:cs="Times New Roman"/>
          <w:szCs w:val="24"/>
        </w:rPr>
        <w:t>a, e deste frente ao risco-país</w:t>
      </w:r>
      <w:r w:rsidR="005F0ED3" w:rsidRPr="005F0ED3">
        <w:rPr>
          <w:rFonts w:ascii="Times New Roman" w:eastAsia="Calibri" w:hAnsi="Times New Roman" w:cs="Times New Roman"/>
        </w:rPr>
        <w:t>. Quanto a</w:t>
      </w:r>
      <w:r>
        <w:rPr>
          <w:rFonts w:ascii="Times New Roman" w:eastAsia="Calibri" w:hAnsi="Times New Roman" w:cs="Times New Roman"/>
        </w:rPr>
        <w:t>os demais</w:t>
      </w:r>
      <w:r w:rsidR="005F0ED3" w:rsidRPr="005F0ED3">
        <w:rPr>
          <w:rFonts w:ascii="Times New Roman" w:eastAsia="Calibri" w:hAnsi="Times New Roman" w:cs="Times New Roman"/>
        </w:rPr>
        <w:t xml:space="preserve"> resultados,</w:t>
      </w:r>
      <w:r>
        <w:rPr>
          <w:rFonts w:ascii="Times New Roman" w:eastAsia="Calibri" w:hAnsi="Times New Roman" w:cs="Times New Roman"/>
        </w:rPr>
        <w:t xml:space="preserve"> </w:t>
      </w:r>
      <w:r w:rsidRPr="005774FE">
        <w:rPr>
          <w:rFonts w:ascii="Times New Roman" w:eastAsia="Calibri" w:hAnsi="Times New Roman" w:cs="Times New Roman"/>
          <w:szCs w:val="24"/>
        </w:rPr>
        <w:t xml:space="preserve">um aumento do grau de </w:t>
      </w:r>
      <w:r>
        <w:rPr>
          <w:rFonts w:ascii="Times New Roman" w:eastAsia="Calibri" w:hAnsi="Times New Roman" w:cs="Times New Roman"/>
          <w:szCs w:val="24"/>
        </w:rPr>
        <w:t>abertura da conta capital e financeira</w:t>
      </w:r>
      <w:r w:rsidRPr="005774FE">
        <w:rPr>
          <w:rFonts w:ascii="Times New Roman" w:eastAsia="Calibri" w:hAnsi="Times New Roman" w:cs="Times New Roman"/>
          <w:szCs w:val="24"/>
        </w:rPr>
        <w:t xml:space="preserve"> </w:t>
      </w:r>
      <w:r>
        <w:rPr>
          <w:rFonts w:ascii="Times New Roman" w:eastAsia="Calibri" w:hAnsi="Times New Roman" w:cs="Times New Roman"/>
          <w:szCs w:val="24"/>
        </w:rPr>
        <w:t>não ger</w:t>
      </w:r>
      <w:r w:rsidR="006721F2">
        <w:rPr>
          <w:rFonts w:ascii="Times New Roman" w:eastAsia="Calibri" w:hAnsi="Times New Roman" w:cs="Times New Roman"/>
          <w:szCs w:val="24"/>
        </w:rPr>
        <w:t>ou</w:t>
      </w:r>
      <w:r>
        <w:rPr>
          <w:rFonts w:ascii="Times New Roman" w:eastAsia="Calibri" w:hAnsi="Times New Roman" w:cs="Times New Roman"/>
          <w:szCs w:val="24"/>
        </w:rPr>
        <w:t xml:space="preserve"> efeitos macroeconômicos significativos. Já uma elevação do grau de integração financeira </w:t>
      </w:r>
      <w:r w:rsidRPr="005774FE">
        <w:rPr>
          <w:rFonts w:ascii="Times New Roman" w:eastAsia="Calibri" w:hAnsi="Times New Roman" w:cs="Times New Roman"/>
          <w:szCs w:val="24"/>
        </w:rPr>
        <w:t>te</w:t>
      </w:r>
      <w:r w:rsidR="006721F2">
        <w:rPr>
          <w:rFonts w:ascii="Times New Roman" w:eastAsia="Calibri" w:hAnsi="Times New Roman" w:cs="Times New Roman"/>
          <w:szCs w:val="24"/>
        </w:rPr>
        <w:t>ve</w:t>
      </w:r>
      <w:r w:rsidRPr="005774FE">
        <w:rPr>
          <w:rFonts w:ascii="Times New Roman" w:eastAsia="Calibri" w:hAnsi="Times New Roman" w:cs="Times New Roman"/>
          <w:szCs w:val="24"/>
        </w:rPr>
        <w:t xml:space="preserve"> desdobramentos problemáticos </w:t>
      </w:r>
      <w:r>
        <w:rPr>
          <w:rFonts w:ascii="Times New Roman" w:eastAsia="Calibri" w:hAnsi="Times New Roman" w:cs="Times New Roman"/>
          <w:szCs w:val="24"/>
        </w:rPr>
        <w:t xml:space="preserve">em </w:t>
      </w:r>
      <w:r w:rsidR="00E1519A">
        <w:rPr>
          <w:rFonts w:ascii="Times New Roman" w:eastAsia="Calibri" w:hAnsi="Times New Roman" w:cs="Times New Roman"/>
        </w:rPr>
        <w:t>variáveis como</w:t>
      </w:r>
      <w:r w:rsidR="005F0ED3" w:rsidRPr="005F0ED3">
        <w:rPr>
          <w:rFonts w:ascii="Times New Roman" w:eastAsia="Calibri" w:hAnsi="Times New Roman" w:cs="Times New Roman"/>
        </w:rPr>
        <w:t xml:space="preserve"> volatilidade cambial</w:t>
      </w:r>
      <w:r w:rsidR="00E1519A">
        <w:rPr>
          <w:rFonts w:ascii="Times New Roman" w:eastAsia="Calibri" w:hAnsi="Times New Roman" w:cs="Times New Roman"/>
        </w:rPr>
        <w:t xml:space="preserve"> </w:t>
      </w:r>
      <w:r>
        <w:rPr>
          <w:rFonts w:ascii="Times New Roman" w:eastAsia="Calibri" w:hAnsi="Times New Roman" w:cs="Times New Roman"/>
        </w:rPr>
        <w:t>e</w:t>
      </w:r>
      <w:r w:rsidR="00E1519A">
        <w:rPr>
          <w:rFonts w:ascii="Times New Roman" w:eastAsia="Calibri" w:hAnsi="Times New Roman" w:cs="Times New Roman"/>
        </w:rPr>
        <w:t xml:space="preserve"> </w:t>
      </w:r>
      <w:r>
        <w:rPr>
          <w:rFonts w:ascii="Times New Roman" w:eastAsia="Calibri" w:hAnsi="Times New Roman" w:cs="Times New Roman"/>
        </w:rPr>
        <w:t>nível de atividade.</w:t>
      </w:r>
    </w:p>
    <w:p w:rsidR="005C4A78" w:rsidRDefault="005C4A78" w:rsidP="00B35B71">
      <w:pPr>
        <w:spacing w:after="0" w:line="240" w:lineRule="auto"/>
        <w:rPr>
          <w:rFonts w:ascii="Times New Roman" w:eastAsia="Calibri" w:hAnsi="Times New Roman" w:cs="Times New Roman"/>
          <w:b/>
        </w:rPr>
      </w:pPr>
    </w:p>
    <w:p w:rsidR="005F0ED3" w:rsidRPr="005F0ED3" w:rsidRDefault="005F0ED3" w:rsidP="00B35B71">
      <w:pPr>
        <w:spacing w:after="0" w:line="240" w:lineRule="auto"/>
        <w:rPr>
          <w:rFonts w:ascii="Times New Roman" w:eastAsia="Calibri" w:hAnsi="Times New Roman" w:cs="Times New Roman"/>
        </w:rPr>
      </w:pPr>
      <w:r w:rsidRPr="005F0ED3">
        <w:rPr>
          <w:rFonts w:ascii="Times New Roman" w:eastAsia="Calibri" w:hAnsi="Times New Roman" w:cs="Times New Roman"/>
          <w:b/>
        </w:rPr>
        <w:t xml:space="preserve">Palavras-Chave: </w:t>
      </w:r>
      <w:r w:rsidR="009B67A2">
        <w:rPr>
          <w:rFonts w:ascii="Times New Roman" w:eastAsia="Calibri" w:hAnsi="Times New Roman" w:cs="Times New Roman"/>
        </w:rPr>
        <w:t>Liberalização Financeira;</w:t>
      </w:r>
      <w:r w:rsidRPr="005F0ED3">
        <w:rPr>
          <w:rFonts w:ascii="Times New Roman" w:eastAsia="Calibri" w:hAnsi="Times New Roman" w:cs="Times New Roman"/>
        </w:rPr>
        <w:t xml:space="preserve"> Desempenho Macroeconômico; Modelos </w:t>
      </w:r>
      <w:r w:rsidR="00893546">
        <w:rPr>
          <w:rFonts w:ascii="Times New Roman" w:eastAsia="Calibri" w:hAnsi="Times New Roman" w:cs="Times New Roman"/>
        </w:rPr>
        <w:t>VEC</w:t>
      </w:r>
      <w:r w:rsidRPr="005F0ED3">
        <w:rPr>
          <w:rFonts w:ascii="Times New Roman" w:eastAsia="Calibri" w:hAnsi="Times New Roman" w:cs="Times New Roman"/>
        </w:rPr>
        <w:t>; Brasil.</w:t>
      </w:r>
    </w:p>
    <w:p w:rsidR="005F0ED3" w:rsidRPr="005F0ED3" w:rsidRDefault="005F0ED3" w:rsidP="00B35B71">
      <w:pPr>
        <w:spacing w:after="0" w:line="240" w:lineRule="auto"/>
        <w:rPr>
          <w:rFonts w:ascii="Times New Roman" w:eastAsia="Calibri" w:hAnsi="Times New Roman" w:cs="Times New Roman"/>
        </w:rPr>
      </w:pPr>
    </w:p>
    <w:p w:rsidR="005F0ED3" w:rsidRPr="00F0604E" w:rsidRDefault="005F0ED3" w:rsidP="00B35B71">
      <w:pPr>
        <w:spacing w:after="0" w:line="240" w:lineRule="auto"/>
        <w:rPr>
          <w:rFonts w:ascii="Times New Roman" w:eastAsia="Calibri" w:hAnsi="Times New Roman" w:cs="Times New Roman"/>
          <w:b/>
          <w:lang w:val="en-US"/>
        </w:rPr>
      </w:pPr>
      <w:r w:rsidRPr="00F0604E">
        <w:rPr>
          <w:rFonts w:ascii="Times New Roman" w:eastAsia="Calibri" w:hAnsi="Times New Roman" w:cs="Times New Roman"/>
          <w:b/>
          <w:lang w:val="en-US"/>
        </w:rPr>
        <w:t>Abstract</w:t>
      </w:r>
    </w:p>
    <w:p w:rsidR="009E7857" w:rsidRPr="009E7857" w:rsidRDefault="009E7857" w:rsidP="00B35B71">
      <w:pPr>
        <w:spacing w:after="0" w:line="240" w:lineRule="auto"/>
        <w:rPr>
          <w:rFonts w:ascii="Times New Roman" w:eastAsia="Calibri" w:hAnsi="Times New Roman" w:cs="Times New Roman"/>
          <w:lang w:val="en-US"/>
        </w:rPr>
      </w:pPr>
      <w:r>
        <w:rPr>
          <w:rFonts w:ascii="Times New Roman" w:eastAsia="Calibri" w:hAnsi="Times New Roman" w:cs="Times New Roman"/>
          <w:lang w:val="en-US"/>
        </w:rPr>
        <w:t>This paper</w:t>
      </w:r>
      <w:r w:rsidRPr="009E7857">
        <w:rPr>
          <w:rFonts w:ascii="Times New Roman" w:eastAsia="Calibri" w:hAnsi="Times New Roman" w:cs="Times New Roman"/>
          <w:lang w:val="en-US"/>
        </w:rPr>
        <w:t xml:space="preserve"> discusses the relationship between external financial liberalization - both </w:t>
      </w:r>
      <w:r>
        <w:rPr>
          <w:rFonts w:ascii="Times New Roman" w:eastAsia="Calibri" w:hAnsi="Times New Roman" w:cs="Times New Roman"/>
          <w:lang w:val="en-US"/>
        </w:rPr>
        <w:t>capital account liberalization</w:t>
      </w:r>
      <w:r w:rsidRPr="009E7857">
        <w:rPr>
          <w:rFonts w:ascii="Times New Roman" w:eastAsia="Calibri" w:hAnsi="Times New Roman" w:cs="Times New Roman"/>
          <w:lang w:val="en-US"/>
        </w:rPr>
        <w:t xml:space="preserve"> and financial integration - and the macroeconomic performance of the Brazilian economy </w:t>
      </w:r>
      <w:r>
        <w:rPr>
          <w:rFonts w:ascii="Times New Roman" w:eastAsia="Calibri" w:hAnsi="Times New Roman" w:cs="Times New Roman"/>
          <w:lang w:val="en-US"/>
        </w:rPr>
        <w:t>by</w:t>
      </w:r>
      <w:r w:rsidRPr="009E7857">
        <w:rPr>
          <w:rFonts w:ascii="Times New Roman" w:eastAsia="Calibri" w:hAnsi="Times New Roman" w:cs="Times New Roman"/>
          <w:lang w:val="en-US"/>
        </w:rPr>
        <w:t xml:space="preserve"> estimati</w:t>
      </w:r>
      <w:r w:rsidR="006721F2">
        <w:rPr>
          <w:rFonts w:ascii="Times New Roman" w:eastAsia="Calibri" w:hAnsi="Times New Roman" w:cs="Times New Roman"/>
          <w:lang w:val="en-US"/>
        </w:rPr>
        <w:t>ng</w:t>
      </w:r>
      <w:r w:rsidRPr="009E7857">
        <w:rPr>
          <w:rFonts w:ascii="Times New Roman" w:eastAsia="Calibri" w:hAnsi="Times New Roman" w:cs="Times New Roman"/>
          <w:lang w:val="en-US"/>
        </w:rPr>
        <w:t xml:space="preserve"> </w:t>
      </w:r>
      <w:r w:rsidR="006721F2">
        <w:rPr>
          <w:rFonts w:ascii="Times New Roman" w:eastAsia="Calibri" w:hAnsi="Times New Roman" w:cs="Times New Roman"/>
          <w:lang w:val="en-US"/>
        </w:rPr>
        <w:t>a</w:t>
      </w:r>
      <w:r w:rsidRPr="009E7857">
        <w:rPr>
          <w:rFonts w:ascii="Times New Roman" w:eastAsia="Calibri" w:hAnsi="Times New Roman" w:cs="Times New Roman"/>
          <w:lang w:val="en-US"/>
        </w:rPr>
        <w:t xml:space="preserve"> vector error correction</w:t>
      </w:r>
      <w:r w:rsidR="006721F2">
        <w:rPr>
          <w:rFonts w:ascii="Times New Roman" w:eastAsia="Calibri" w:hAnsi="Times New Roman" w:cs="Times New Roman"/>
          <w:lang w:val="en-US"/>
        </w:rPr>
        <w:t xml:space="preserve"> model</w:t>
      </w:r>
      <w:r w:rsidRPr="009E7857">
        <w:rPr>
          <w:rFonts w:ascii="Times New Roman" w:eastAsia="Calibri" w:hAnsi="Times New Roman" w:cs="Times New Roman"/>
          <w:lang w:val="en-US"/>
        </w:rPr>
        <w:t xml:space="preserve"> (VEC).</w:t>
      </w:r>
      <w:r w:rsidR="006721F2">
        <w:rPr>
          <w:rFonts w:ascii="Times New Roman" w:eastAsia="Calibri" w:hAnsi="Times New Roman" w:cs="Times New Roman"/>
          <w:lang w:val="en-US"/>
        </w:rPr>
        <w:t xml:space="preserve"> </w:t>
      </w:r>
      <w:r w:rsidR="006721F2" w:rsidRPr="006721F2">
        <w:rPr>
          <w:rFonts w:ascii="Times New Roman" w:eastAsia="Calibri" w:hAnsi="Times New Roman" w:cs="Times New Roman"/>
          <w:lang w:val="en-US"/>
        </w:rPr>
        <w:t xml:space="preserve">In terms of potentially </w:t>
      </w:r>
      <w:r w:rsidR="006721F2">
        <w:rPr>
          <w:rFonts w:ascii="Times New Roman" w:eastAsia="Calibri" w:hAnsi="Times New Roman" w:cs="Times New Roman"/>
          <w:lang w:val="en-US"/>
        </w:rPr>
        <w:t>original</w:t>
      </w:r>
      <w:r w:rsidR="006721F2" w:rsidRPr="006721F2">
        <w:rPr>
          <w:rFonts w:ascii="Times New Roman" w:eastAsia="Calibri" w:hAnsi="Times New Roman" w:cs="Times New Roman"/>
          <w:lang w:val="en-US"/>
        </w:rPr>
        <w:t xml:space="preserve"> contribution</w:t>
      </w:r>
      <w:r w:rsidR="006721F2">
        <w:rPr>
          <w:rFonts w:ascii="Times New Roman" w:eastAsia="Calibri" w:hAnsi="Times New Roman" w:cs="Times New Roman"/>
          <w:lang w:val="en-US"/>
        </w:rPr>
        <w:t>, it was founded</w:t>
      </w:r>
      <w:r w:rsidR="006721F2" w:rsidRPr="006721F2">
        <w:rPr>
          <w:rFonts w:ascii="Times New Roman" w:eastAsia="Calibri" w:hAnsi="Times New Roman" w:cs="Times New Roman"/>
          <w:lang w:val="en-US"/>
        </w:rPr>
        <w:t xml:space="preserve"> </w:t>
      </w:r>
      <w:r w:rsidR="006721F2">
        <w:rPr>
          <w:rFonts w:ascii="Times New Roman" w:eastAsia="Calibri" w:hAnsi="Times New Roman" w:cs="Times New Roman"/>
          <w:lang w:val="en-US"/>
        </w:rPr>
        <w:t>the</w:t>
      </w:r>
      <w:r w:rsidR="006721F2" w:rsidRPr="006721F2">
        <w:rPr>
          <w:rFonts w:ascii="Times New Roman" w:eastAsia="Calibri" w:hAnsi="Times New Roman" w:cs="Times New Roman"/>
          <w:lang w:val="en-US"/>
        </w:rPr>
        <w:t xml:space="preserve"> precedence, </w:t>
      </w:r>
      <w:r w:rsidR="006721F2">
        <w:rPr>
          <w:rFonts w:ascii="Times New Roman" w:eastAsia="Calibri" w:hAnsi="Times New Roman" w:cs="Times New Roman"/>
          <w:lang w:val="en-US"/>
        </w:rPr>
        <w:t>in Grange sense</w:t>
      </w:r>
      <w:r w:rsidR="006721F2" w:rsidRPr="006721F2">
        <w:rPr>
          <w:rFonts w:ascii="Times New Roman" w:eastAsia="Calibri" w:hAnsi="Times New Roman" w:cs="Times New Roman"/>
          <w:lang w:val="en-US"/>
        </w:rPr>
        <w:t xml:space="preserve">, </w:t>
      </w:r>
      <w:r w:rsidR="006721F2">
        <w:rPr>
          <w:rFonts w:ascii="Times New Roman" w:eastAsia="Calibri" w:hAnsi="Times New Roman" w:cs="Times New Roman"/>
          <w:lang w:val="en-US"/>
        </w:rPr>
        <w:t xml:space="preserve">of </w:t>
      </w:r>
      <w:r w:rsidR="006721F2" w:rsidRPr="006721F2">
        <w:rPr>
          <w:rFonts w:ascii="Times New Roman" w:eastAsia="Calibri" w:hAnsi="Times New Roman" w:cs="Times New Roman"/>
          <w:lang w:val="en-US"/>
        </w:rPr>
        <w:t>the global financial</w:t>
      </w:r>
      <w:r w:rsidR="006721F2">
        <w:rPr>
          <w:rFonts w:ascii="Times New Roman" w:eastAsia="Calibri" w:hAnsi="Times New Roman" w:cs="Times New Roman"/>
          <w:lang w:val="en-US"/>
        </w:rPr>
        <w:t xml:space="preserve"> movements</w:t>
      </w:r>
      <w:r w:rsidR="006721F2" w:rsidRPr="006721F2">
        <w:rPr>
          <w:rFonts w:ascii="Times New Roman" w:eastAsia="Calibri" w:hAnsi="Times New Roman" w:cs="Times New Roman"/>
          <w:lang w:val="en-US"/>
        </w:rPr>
        <w:t xml:space="preserve"> </w:t>
      </w:r>
      <w:r w:rsidR="006721F2">
        <w:rPr>
          <w:rFonts w:ascii="Times New Roman" w:eastAsia="Calibri" w:hAnsi="Times New Roman" w:cs="Times New Roman"/>
          <w:lang w:val="en-US"/>
        </w:rPr>
        <w:t>to</w:t>
      </w:r>
      <w:r w:rsidR="006721F2" w:rsidRPr="006721F2">
        <w:rPr>
          <w:rFonts w:ascii="Times New Roman" w:eastAsia="Calibri" w:hAnsi="Times New Roman" w:cs="Times New Roman"/>
          <w:lang w:val="en-US"/>
        </w:rPr>
        <w:t xml:space="preserve"> the degree of financial integration, and </w:t>
      </w:r>
      <w:r w:rsidR="006721F2">
        <w:rPr>
          <w:rFonts w:ascii="Times New Roman" w:eastAsia="Calibri" w:hAnsi="Times New Roman" w:cs="Times New Roman"/>
          <w:lang w:val="en-US"/>
        </w:rPr>
        <w:t>of it in relation to</w:t>
      </w:r>
      <w:r w:rsidR="006721F2" w:rsidRPr="006721F2">
        <w:rPr>
          <w:rFonts w:ascii="Times New Roman" w:eastAsia="Calibri" w:hAnsi="Times New Roman" w:cs="Times New Roman"/>
          <w:lang w:val="en-US"/>
        </w:rPr>
        <w:t xml:space="preserve"> country risk.</w:t>
      </w:r>
      <w:r w:rsidR="00DB3BA2">
        <w:rPr>
          <w:rFonts w:ascii="Times New Roman" w:eastAsia="Calibri" w:hAnsi="Times New Roman" w:cs="Times New Roman"/>
          <w:lang w:val="en-US"/>
        </w:rPr>
        <w:t xml:space="preserve"> </w:t>
      </w:r>
      <w:r w:rsidR="00DB3BA2" w:rsidRPr="00DB3BA2">
        <w:rPr>
          <w:rFonts w:ascii="Times New Roman" w:eastAsia="Calibri" w:hAnsi="Times New Roman" w:cs="Times New Roman"/>
          <w:lang w:val="en-US"/>
        </w:rPr>
        <w:t xml:space="preserve">Regarding the other results, an increase in the degree of capital account </w:t>
      </w:r>
      <w:r w:rsidR="00DB3BA2">
        <w:rPr>
          <w:rFonts w:ascii="Times New Roman" w:eastAsia="Calibri" w:hAnsi="Times New Roman" w:cs="Times New Roman"/>
          <w:lang w:val="en-US"/>
        </w:rPr>
        <w:t xml:space="preserve">liberalization did not </w:t>
      </w:r>
      <w:r w:rsidR="00DB3BA2" w:rsidRPr="00DB3BA2">
        <w:rPr>
          <w:rFonts w:ascii="Times New Roman" w:eastAsia="Calibri" w:hAnsi="Times New Roman" w:cs="Times New Roman"/>
          <w:lang w:val="en-US"/>
        </w:rPr>
        <w:t xml:space="preserve">generate </w:t>
      </w:r>
      <w:r w:rsidR="00DB3BA2">
        <w:rPr>
          <w:rFonts w:ascii="Times New Roman" w:eastAsia="Calibri" w:hAnsi="Times New Roman" w:cs="Times New Roman"/>
          <w:lang w:val="en-US"/>
        </w:rPr>
        <w:t>relevant</w:t>
      </w:r>
      <w:r w:rsidR="00DB3BA2" w:rsidRPr="00DB3BA2">
        <w:rPr>
          <w:rFonts w:ascii="Times New Roman" w:eastAsia="Calibri" w:hAnsi="Times New Roman" w:cs="Times New Roman"/>
          <w:lang w:val="en-US"/>
        </w:rPr>
        <w:t xml:space="preserve"> macroeconomic effects, contradicting the defense, </w:t>
      </w:r>
      <w:r w:rsidR="00DB3BA2">
        <w:rPr>
          <w:rFonts w:ascii="Times New Roman" w:eastAsia="Calibri" w:hAnsi="Times New Roman" w:cs="Times New Roman"/>
          <w:lang w:val="en-US"/>
        </w:rPr>
        <w:t>from</w:t>
      </w:r>
      <w:r w:rsidR="00DB3BA2" w:rsidRPr="00DB3BA2">
        <w:rPr>
          <w:rFonts w:ascii="Times New Roman" w:eastAsia="Calibri" w:hAnsi="Times New Roman" w:cs="Times New Roman"/>
          <w:lang w:val="en-US"/>
        </w:rPr>
        <w:t xml:space="preserve"> Arida (2003a, 2003b, 2004)</w:t>
      </w:r>
      <w:r w:rsidR="00DB3BA2">
        <w:rPr>
          <w:rFonts w:ascii="Times New Roman" w:eastAsia="Calibri" w:hAnsi="Times New Roman" w:cs="Times New Roman"/>
          <w:lang w:val="en-US"/>
        </w:rPr>
        <w:t>,</w:t>
      </w:r>
      <w:r w:rsidR="00DB3BA2" w:rsidRPr="00DB3BA2">
        <w:rPr>
          <w:rFonts w:ascii="Times New Roman" w:eastAsia="Calibri" w:hAnsi="Times New Roman" w:cs="Times New Roman"/>
          <w:lang w:val="en-US"/>
        </w:rPr>
        <w:t xml:space="preserve"> of full convertibility of the capital account.</w:t>
      </w:r>
      <w:r w:rsidR="00DB3BA2">
        <w:rPr>
          <w:rFonts w:ascii="Times New Roman" w:eastAsia="Calibri" w:hAnsi="Times New Roman" w:cs="Times New Roman"/>
          <w:lang w:val="en-US"/>
        </w:rPr>
        <w:t xml:space="preserve"> </w:t>
      </w:r>
      <w:r w:rsidR="00DB3BA2" w:rsidRPr="00DB3BA2">
        <w:rPr>
          <w:rFonts w:ascii="Times New Roman" w:eastAsia="Calibri" w:hAnsi="Times New Roman" w:cs="Times New Roman"/>
          <w:lang w:val="en-US"/>
        </w:rPr>
        <w:t xml:space="preserve">Furthermore, a high degree of financial integration </w:t>
      </w:r>
      <w:r w:rsidR="00DB3BA2">
        <w:rPr>
          <w:rFonts w:ascii="Times New Roman" w:eastAsia="Calibri" w:hAnsi="Times New Roman" w:cs="Times New Roman"/>
          <w:lang w:val="en-US"/>
        </w:rPr>
        <w:t>created</w:t>
      </w:r>
      <w:r w:rsidR="00DB3BA2" w:rsidRPr="00DB3BA2">
        <w:rPr>
          <w:rFonts w:ascii="Times New Roman" w:eastAsia="Calibri" w:hAnsi="Times New Roman" w:cs="Times New Roman"/>
          <w:lang w:val="en-US"/>
        </w:rPr>
        <w:t xml:space="preserve"> problematic developments in variables such as exchange rate volatility and activity level.</w:t>
      </w:r>
    </w:p>
    <w:p w:rsidR="005C4A78" w:rsidRDefault="005C4A78" w:rsidP="00B35B71">
      <w:pPr>
        <w:spacing w:after="0" w:line="240" w:lineRule="auto"/>
        <w:rPr>
          <w:rFonts w:ascii="Times New Roman" w:eastAsia="Calibri" w:hAnsi="Times New Roman" w:cs="Times New Roman"/>
          <w:b/>
          <w:lang w:val="en-US"/>
        </w:rPr>
      </w:pPr>
    </w:p>
    <w:p w:rsidR="005F0ED3" w:rsidRPr="005F0ED3" w:rsidRDefault="005F0ED3" w:rsidP="00B35B71">
      <w:pPr>
        <w:spacing w:after="0" w:line="240" w:lineRule="auto"/>
        <w:rPr>
          <w:rFonts w:ascii="Times New Roman" w:eastAsia="Calibri" w:hAnsi="Times New Roman" w:cs="Times New Roman"/>
          <w:lang w:val="en-US"/>
        </w:rPr>
      </w:pPr>
      <w:r w:rsidRPr="005F0ED3">
        <w:rPr>
          <w:rFonts w:ascii="Times New Roman" w:eastAsia="Calibri" w:hAnsi="Times New Roman" w:cs="Times New Roman"/>
          <w:b/>
          <w:lang w:val="en-US"/>
        </w:rPr>
        <w:t xml:space="preserve">Keywords: </w:t>
      </w:r>
      <w:r w:rsidR="009B67A2">
        <w:rPr>
          <w:rFonts w:ascii="Times New Roman" w:eastAsia="Calibri" w:hAnsi="Times New Roman" w:cs="Times New Roman"/>
          <w:lang w:val="en-US"/>
        </w:rPr>
        <w:t>Financial Liberalization</w:t>
      </w:r>
      <w:r w:rsidRPr="005F0ED3">
        <w:rPr>
          <w:rFonts w:ascii="Times New Roman" w:eastAsia="Calibri" w:hAnsi="Times New Roman" w:cs="Times New Roman"/>
          <w:lang w:val="en-US"/>
        </w:rPr>
        <w:t xml:space="preserve">; Macroeconomic Performance; </w:t>
      </w:r>
      <w:r w:rsidR="00893546">
        <w:rPr>
          <w:rFonts w:ascii="Times New Roman" w:eastAsia="Calibri" w:hAnsi="Times New Roman" w:cs="Times New Roman"/>
          <w:lang w:val="en-US"/>
        </w:rPr>
        <w:t>VEC</w:t>
      </w:r>
      <w:r w:rsidRPr="005F0ED3">
        <w:rPr>
          <w:rFonts w:ascii="Times New Roman" w:eastAsia="Calibri" w:hAnsi="Times New Roman" w:cs="Times New Roman"/>
          <w:lang w:val="en-US"/>
        </w:rPr>
        <w:t xml:space="preserve"> Models; Brazil.</w:t>
      </w:r>
    </w:p>
    <w:p w:rsidR="005F0ED3" w:rsidRPr="005F0ED3" w:rsidRDefault="005F0ED3" w:rsidP="00B35B71">
      <w:pPr>
        <w:spacing w:after="0" w:line="240" w:lineRule="auto"/>
        <w:rPr>
          <w:rFonts w:ascii="Times New Roman" w:eastAsia="Calibri" w:hAnsi="Times New Roman" w:cs="Times New Roman"/>
          <w:lang w:val="en-US"/>
        </w:rPr>
      </w:pPr>
    </w:p>
    <w:p w:rsidR="005F0ED3" w:rsidRPr="005F0ED3" w:rsidRDefault="005F0ED3" w:rsidP="00B35B71">
      <w:pPr>
        <w:spacing w:after="0" w:line="240" w:lineRule="auto"/>
        <w:rPr>
          <w:rFonts w:ascii="Times New Roman" w:eastAsia="Calibri" w:hAnsi="Times New Roman" w:cs="Times New Roman"/>
        </w:rPr>
      </w:pPr>
      <w:r w:rsidRPr="005F0ED3">
        <w:rPr>
          <w:rFonts w:ascii="Times New Roman" w:eastAsia="Calibri" w:hAnsi="Times New Roman" w:cs="Times New Roman"/>
          <w:b/>
        </w:rPr>
        <w:t xml:space="preserve">JEL: </w:t>
      </w:r>
      <w:r w:rsidRPr="005F0ED3">
        <w:rPr>
          <w:rFonts w:ascii="Times New Roman" w:eastAsia="Calibri" w:hAnsi="Times New Roman" w:cs="Times New Roman"/>
        </w:rPr>
        <w:t>E44; F32; O16.</w:t>
      </w:r>
    </w:p>
    <w:p w:rsidR="005F0ED3" w:rsidRDefault="005F0ED3" w:rsidP="00B35B71">
      <w:pPr>
        <w:spacing w:after="0" w:line="240" w:lineRule="auto"/>
        <w:rPr>
          <w:rFonts w:ascii="Times New Roman" w:eastAsia="Calibri" w:hAnsi="Times New Roman" w:cs="Times New Roman"/>
        </w:rPr>
      </w:pPr>
    </w:p>
    <w:p w:rsidR="003013C8" w:rsidRDefault="00B35B71" w:rsidP="00B35B71">
      <w:pPr>
        <w:spacing w:after="0" w:line="240" w:lineRule="auto"/>
        <w:rPr>
          <w:rFonts w:ascii="Times New Roman" w:eastAsia="Calibri" w:hAnsi="Times New Roman" w:cs="Times New Roman"/>
          <w:b/>
        </w:rPr>
      </w:pPr>
      <w:r>
        <w:rPr>
          <w:rFonts w:ascii="Times New Roman" w:eastAsia="Calibri" w:hAnsi="Times New Roman" w:cs="Times New Roman"/>
          <w:b/>
        </w:rPr>
        <w:lastRenderedPageBreak/>
        <w:t>L</w:t>
      </w:r>
      <w:r w:rsidR="003013C8" w:rsidRPr="005F0ED3">
        <w:rPr>
          <w:rFonts w:ascii="Times New Roman" w:eastAsia="Calibri" w:hAnsi="Times New Roman" w:cs="Times New Roman"/>
          <w:b/>
        </w:rPr>
        <w:t>iberalização financeira</w:t>
      </w:r>
      <w:r w:rsidR="003013C8">
        <w:rPr>
          <w:rFonts w:ascii="Times New Roman" w:eastAsia="Calibri" w:hAnsi="Times New Roman" w:cs="Times New Roman"/>
          <w:b/>
        </w:rPr>
        <w:t xml:space="preserve"> e desempenho macroeconômico brasileiro</w:t>
      </w:r>
      <w:r w:rsidR="003013C8" w:rsidRPr="005F0ED3">
        <w:rPr>
          <w:rFonts w:ascii="Times New Roman" w:eastAsia="Calibri" w:hAnsi="Times New Roman" w:cs="Times New Roman"/>
          <w:b/>
        </w:rPr>
        <w:t xml:space="preserve">: </w:t>
      </w:r>
      <w:r w:rsidR="003013C8">
        <w:rPr>
          <w:rFonts w:ascii="Times New Roman" w:eastAsia="Calibri" w:hAnsi="Times New Roman" w:cs="Times New Roman"/>
          <w:b/>
        </w:rPr>
        <w:t xml:space="preserve">evidências empíricas a partir do modelo VEC </w:t>
      </w:r>
    </w:p>
    <w:p w:rsidR="003013C8" w:rsidRDefault="003013C8" w:rsidP="00B35B71">
      <w:pPr>
        <w:spacing w:after="0" w:line="240" w:lineRule="auto"/>
        <w:rPr>
          <w:rFonts w:ascii="Times New Roman" w:eastAsia="Calibri" w:hAnsi="Times New Roman" w:cs="Times New Roman"/>
          <w:b/>
        </w:rPr>
      </w:pPr>
    </w:p>
    <w:p w:rsidR="005F0ED3" w:rsidRPr="005F0ED3" w:rsidRDefault="005F0ED3" w:rsidP="00B35B71">
      <w:pPr>
        <w:spacing w:after="0" w:line="240" w:lineRule="auto"/>
        <w:rPr>
          <w:rFonts w:ascii="Times New Roman" w:eastAsia="Calibri" w:hAnsi="Times New Roman" w:cs="Times New Roman"/>
          <w:b/>
        </w:rPr>
      </w:pPr>
      <w:r w:rsidRPr="005F0ED3">
        <w:rPr>
          <w:rFonts w:ascii="Times New Roman" w:eastAsia="Calibri" w:hAnsi="Times New Roman" w:cs="Times New Roman"/>
          <w:b/>
        </w:rPr>
        <w:t>Introdução</w:t>
      </w:r>
    </w:p>
    <w:p w:rsidR="006A59BC" w:rsidRDefault="002B39EE" w:rsidP="00B35B71">
      <w:pPr>
        <w:spacing w:after="0" w:line="240" w:lineRule="auto"/>
        <w:rPr>
          <w:rFonts w:ascii="Times New Roman" w:hAnsi="Times New Roman" w:cs="Times New Roman"/>
          <w:szCs w:val="24"/>
        </w:rPr>
      </w:pPr>
      <w:r>
        <w:rPr>
          <w:rFonts w:ascii="Times New Roman" w:hAnsi="Times New Roman" w:cs="Times New Roman"/>
          <w:szCs w:val="24"/>
        </w:rPr>
        <w:tab/>
      </w:r>
      <w:r w:rsidR="00FF58D5">
        <w:rPr>
          <w:rFonts w:ascii="Times New Roman" w:hAnsi="Times New Roman" w:cs="Times New Roman"/>
          <w:szCs w:val="24"/>
        </w:rPr>
        <w:t>Segundo Block (1980) e Polanyi (2000), a</w:t>
      </w:r>
      <w:r w:rsidRPr="002B39EE">
        <w:rPr>
          <w:rFonts w:ascii="Times New Roman" w:hAnsi="Times New Roman" w:cs="Times New Roman"/>
          <w:szCs w:val="24"/>
        </w:rPr>
        <w:t xml:space="preserve"> evolução tanto do Sistema Monetário e Financeiro Internacional (SMFI) quanto das instituições que regulam as relações financeiras de determinado país com o resto do mundo</w:t>
      </w:r>
      <w:r w:rsidR="00FF58D5">
        <w:rPr>
          <w:rFonts w:ascii="Times New Roman" w:hAnsi="Times New Roman" w:cs="Times New Roman"/>
          <w:szCs w:val="24"/>
        </w:rPr>
        <w:t xml:space="preserve"> é marcada pela</w:t>
      </w:r>
      <w:r w:rsidRPr="002B39EE">
        <w:rPr>
          <w:rFonts w:ascii="Times New Roman" w:hAnsi="Times New Roman" w:cs="Times New Roman"/>
          <w:szCs w:val="24"/>
        </w:rPr>
        <w:t xml:space="preserve"> tensão permanente entre a internacionalização das relações econômicas e a busca de autonomia frente ao ambiente externo instável. </w:t>
      </w:r>
      <w:r>
        <w:rPr>
          <w:rFonts w:ascii="Times New Roman" w:hAnsi="Times New Roman" w:cs="Times New Roman"/>
          <w:szCs w:val="24"/>
        </w:rPr>
        <w:t>A</w:t>
      </w:r>
      <w:r w:rsidRPr="002B39EE">
        <w:rPr>
          <w:rFonts w:ascii="Times New Roman" w:hAnsi="Times New Roman" w:cs="Times New Roman"/>
          <w:szCs w:val="24"/>
        </w:rPr>
        <w:t xml:space="preserve"> liberalização financeira externa de economias como a brasileira insere-se em um processo histórico mais amplo: a derrocada do Sistema de Bretton Woods (SBW) e a ascensão da globalização financeira</w:t>
      </w:r>
      <w:r w:rsidR="00DB3059">
        <w:rPr>
          <w:rFonts w:ascii="Times New Roman" w:hAnsi="Times New Roman" w:cs="Times New Roman"/>
          <w:szCs w:val="24"/>
        </w:rPr>
        <w:t xml:space="preserve"> (</w:t>
      </w:r>
      <w:r w:rsidR="00614960">
        <w:rPr>
          <w:rFonts w:ascii="Times New Roman" w:hAnsi="Times New Roman" w:cs="Times New Roman"/>
          <w:szCs w:val="24"/>
        </w:rPr>
        <w:t xml:space="preserve">Pilbeam, 2013; </w:t>
      </w:r>
      <w:r w:rsidR="00614960" w:rsidRPr="00614960">
        <w:rPr>
          <w:rFonts w:ascii="Times New Roman" w:hAnsi="Times New Roman" w:cs="Times New Roman"/>
          <w:szCs w:val="24"/>
        </w:rPr>
        <w:t>Tomz</w:t>
      </w:r>
      <w:r w:rsidR="00614960">
        <w:rPr>
          <w:rFonts w:ascii="Times New Roman" w:hAnsi="Times New Roman" w:cs="Times New Roman"/>
          <w:szCs w:val="24"/>
        </w:rPr>
        <w:t xml:space="preserve">, </w:t>
      </w:r>
      <w:r w:rsidR="00614960" w:rsidRPr="00614960">
        <w:rPr>
          <w:rFonts w:ascii="Times New Roman" w:hAnsi="Times New Roman" w:cs="Times New Roman"/>
          <w:szCs w:val="24"/>
        </w:rPr>
        <w:t>201</w:t>
      </w:r>
      <w:r w:rsidR="00614960">
        <w:rPr>
          <w:rFonts w:ascii="Times New Roman" w:hAnsi="Times New Roman" w:cs="Times New Roman"/>
          <w:szCs w:val="24"/>
        </w:rPr>
        <w:t xml:space="preserve">4; </w:t>
      </w:r>
      <w:r w:rsidR="00614960" w:rsidRPr="00614960">
        <w:rPr>
          <w:rFonts w:ascii="Times New Roman" w:hAnsi="Times New Roman" w:cs="Times New Roman"/>
          <w:szCs w:val="24"/>
        </w:rPr>
        <w:t>Gallagher, 2014</w:t>
      </w:r>
      <w:r w:rsidR="00614960">
        <w:rPr>
          <w:rFonts w:ascii="Times New Roman" w:hAnsi="Times New Roman" w:cs="Times New Roman"/>
          <w:szCs w:val="24"/>
        </w:rPr>
        <w:t xml:space="preserve">; </w:t>
      </w:r>
      <w:r w:rsidR="00DB3059" w:rsidRPr="00DB3059">
        <w:rPr>
          <w:rFonts w:ascii="Times New Roman" w:hAnsi="Times New Roman" w:cs="Times New Roman"/>
          <w:szCs w:val="24"/>
        </w:rPr>
        <w:t>A</w:t>
      </w:r>
      <w:r w:rsidR="00614960" w:rsidRPr="00DB3059">
        <w:rPr>
          <w:rFonts w:ascii="Times New Roman" w:hAnsi="Times New Roman" w:cs="Times New Roman"/>
          <w:szCs w:val="24"/>
        </w:rPr>
        <w:t>kyüz</w:t>
      </w:r>
      <w:r w:rsidR="00DB3059">
        <w:rPr>
          <w:rFonts w:ascii="Times New Roman" w:hAnsi="Times New Roman" w:cs="Times New Roman"/>
          <w:szCs w:val="24"/>
        </w:rPr>
        <w:t>, 2015)</w:t>
      </w:r>
      <w:r>
        <w:rPr>
          <w:rFonts w:ascii="Times New Roman" w:hAnsi="Times New Roman" w:cs="Times New Roman"/>
          <w:szCs w:val="24"/>
        </w:rPr>
        <w:t>.</w:t>
      </w:r>
    </w:p>
    <w:p w:rsidR="00010567" w:rsidRPr="00010567" w:rsidRDefault="002B39EE" w:rsidP="00B35B71">
      <w:pPr>
        <w:spacing w:after="0" w:line="240" w:lineRule="auto"/>
        <w:rPr>
          <w:rFonts w:ascii="Times New Roman" w:hAnsi="Times New Roman" w:cs="Times New Roman"/>
          <w:szCs w:val="24"/>
        </w:rPr>
      </w:pPr>
      <w:r>
        <w:rPr>
          <w:rFonts w:ascii="Times New Roman" w:hAnsi="Times New Roman" w:cs="Times New Roman"/>
          <w:szCs w:val="24"/>
        </w:rPr>
        <w:tab/>
      </w:r>
      <w:r w:rsidR="00010567" w:rsidRPr="00010567">
        <w:rPr>
          <w:rFonts w:ascii="Times New Roman" w:hAnsi="Times New Roman" w:cs="Times New Roman"/>
          <w:szCs w:val="24"/>
        </w:rPr>
        <w:t>Apesar dos bons resultados econômicos em termos de crescimento do produto, baixos índices de desemprego e ausência de crises financeiras, as bases do SBW foram erodidas por</w:t>
      </w:r>
      <w:r w:rsidR="00010567">
        <w:rPr>
          <w:rFonts w:ascii="Times New Roman" w:hAnsi="Times New Roman" w:cs="Times New Roman"/>
          <w:szCs w:val="24"/>
        </w:rPr>
        <w:t xml:space="preserve"> fatores econômicos e políticos</w:t>
      </w:r>
      <w:r w:rsidR="00010567">
        <w:rPr>
          <w:rStyle w:val="Refdenotaderodap"/>
          <w:rFonts w:ascii="Times New Roman" w:hAnsi="Times New Roman" w:cs="Times New Roman"/>
          <w:szCs w:val="24"/>
        </w:rPr>
        <w:footnoteReference w:id="4"/>
      </w:r>
      <w:r w:rsidR="00010567" w:rsidRPr="00010567">
        <w:rPr>
          <w:rFonts w:ascii="Times New Roman" w:hAnsi="Times New Roman" w:cs="Times New Roman"/>
          <w:szCs w:val="24"/>
        </w:rPr>
        <w:t xml:space="preserve">. </w:t>
      </w:r>
      <w:r w:rsidR="00A41D1E">
        <w:rPr>
          <w:rFonts w:ascii="Times New Roman" w:hAnsi="Times New Roman" w:cs="Times New Roman"/>
          <w:szCs w:val="24"/>
        </w:rPr>
        <w:t xml:space="preserve">A partir disso, na </w:t>
      </w:r>
      <w:r w:rsidR="00010567">
        <w:rPr>
          <w:rFonts w:ascii="Times New Roman" w:hAnsi="Times New Roman" w:cs="Times New Roman"/>
          <w:szCs w:val="24"/>
        </w:rPr>
        <w:t xml:space="preserve">década de 1970, o SMFI </w:t>
      </w:r>
      <w:r w:rsidR="00F4340B">
        <w:rPr>
          <w:rFonts w:ascii="Times New Roman" w:hAnsi="Times New Roman" w:cs="Times New Roman"/>
          <w:szCs w:val="24"/>
        </w:rPr>
        <w:t>caracterizou-se pel</w:t>
      </w:r>
      <w:r w:rsidR="00010567">
        <w:rPr>
          <w:rFonts w:ascii="Times New Roman" w:hAnsi="Times New Roman" w:cs="Times New Roman"/>
          <w:szCs w:val="24"/>
        </w:rPr>
        <w:t xml:space="preserve">a globalização financeira, </w:t>
      </w:r>
      <w:r w:rsidR="00F4340B">
        <w:rPr>
          <w:rFonts w:ascii="Times New Roman" w:hAnsi="Times New Roman" w:cs="Times New Roman"/>
          <w:szCs w:val="24"/>
        </w:rPr>
        <w:t>marcada pelos</w:t>
      </w:r>
      <w:r w:rsidR="00010567" w:rsidRPr="00010567">
        <w:rPr>
          <w:rFonts w:ascii="Times New Roman" w:hAnsi="Times New Roman" w:cs="Times New Roman"/>
          <w:szCs w:val="24"/>
        </w:rPr>
        <w:t xml:space="preserve"> seguintes elementos, trazidos por Strange (1998): i) maior instabilidade nos principais preços econômicos - das moedas, dos bens, do crédito e do petróleo; ii) protagonismo das inovações financeiras; iii) avanço do tamanho e da profundidade dos mercados financeiros; iv) competição entre bancos comerciais e instituições financeiras não-bancárias; v) emergência da Ásia como centro produtivo global; e v) confiança na capacidade de autorregulação por parte do sistema. </w:t>
      </w:r>
      <w:r w:rsidR="00F4340B">
        <w:rPr>
          <w:rFonts w:ascii="Times New Roman" w:hAnsi="Times New Roman" w:cs="Times New Roman"/>
          <w:szCs w:val="24"/>
        </w:rPr>
        <w:t>Nesse contexto</w:t>
      </w:r>
      <w:r w:rsidR="00010567">
        <w:rPr>
          <w:rFonts w:ascii="Times New Roman" w:hAnsi="Times New Roman" w:cs="Times New Roman"/>
          <w:szCs w:val="24"/>
        </w:rPr>
        <w:t xml:space="preserve">, </w:t>
      </w:r>
      <w:r w:rsidR="00010567" w:rsidRPr="00010567">
        <w:rPr>
          <w:rFonts w:ascii="Times New Roman" w:hAnsi="Times New Roman" w:cs="Times New Roman"/>
          <w:szCs w:val="24"/>
        </w:rPr>
        <w:t xml:space="preserve">Davidson (2002) e Minsky (1993) preocupam-se com o nexo entre globalização financeira, flexibilidade cambial e incerteza, dado que a expansão das posições em moeda estrangeira e da posse de ativos denominados em moedas estrangeiras fortaleceu a demanda por instrumentos capazes de oferecer proteção contra movimentos cambiais. </w:t>
      </w:r>
      <w:r w:rsidR="00F4340B">
        <w:rPr>
          <w:rFonts w:ascii="Times New Roman" w:hAnsi="Times New Roman" w:cs="Times New Roman"/>
          <w:szCs w:val="24"/>
        </w:rPr>
        <w:t>Para</w:t>
      </w:r>
      <w:r w:rsidR="00010567" w:rsidRPr="00010567">
        <w:rPr>
          <w:rFonts w:ascii="Times New Roman" w:hAnsi="Times New Roman" w:cs="Times New Roman"/>
          <w:szCs w:val="24"/>
        </w:rPr>
        <w:t xml:space="preserve"> Borio (2014), o SMFI vigente possui um viés expansivo, o qual aprofunda os desequilíbrios financeiros em termos de expansão de balanços, crédito e preço de ativos, levando a crises financeiras e danos macroeconômicos.</w:t>
      </w:r>
    </w:p>
    <w:p w:rsidR="00010567" w:rsidRDefault="00010567" w:rsidP="00B35B71">
      <w:pPr>
        <w:spacing w:after="0" w:line="240" w:lineRule="auto"/>
        <w:rPr>
          <w:rFonts w:ascii="Times New Roman" w:hAnsi="Times New Roman" w:cs="Times New Roman"/>
          <w:szCs w:val="24"/>
        </w:rPr>
      </w:pPr>
      <w:r w:rsidRPr="00010567">
        <w:rPr>
          <w:rFonts w:ascii="Times New Roman" w:hAnsi="Times New Roman" w:cs="Times New Roman"/>
          <w:szCs w:val="24"/>
        </w:rPr>
        <w:tab/>
        <w:t xml:space="preserve">Esse processo gerou desdobramentos específicos no que tange aos países em desenvolvimento, principalmente, no caso dos recém-industrializados. Tais economias – como Brasil, Coreia do Sul, Índia, México, </w:t>
      </w:r>
      <w:r w:rsidR="002C4077">
        <w:rPr>
          <w:rFonts w:ascii="Times New Roman" w:hAnsi="Times New Roman" w:cs="Times New Roman"/>
          <w:szCs w:val="24"/>
        </w:rPr>
        <w:t>d</w:t>
      </w:r>
      <w:r w:rsidRPr="00010567">
        <w:rPr>
          <w:rFonts w:ascii="Times New Roman" w:hAnsi="Times New Roman" w:cs="Times New Roman"/>
          <w:szCs w:val="24"/>
        </w:rPr>
        <w:t>entre outros – tinham aproveitado o contexto do pós-guerra para perseguir estratégias nacionais de internalização da produção industrial, as quais foram bem-sucedidas, em maior ou menor grau, dando origem ao que Amsden (2001) chama de “ascensão do resto”.</w:t>
      </w:r>
      <w:r>
        <w:rPr>
          <w:rFonts w:ascii="Times New Roman" w:hAnsi="Times New Roman" w:cs="Times New Roman"/>
          <w:szCs w:val="24"/>
        </w:rPr>
        <w:t xml:space="preserve"> Frente isso, </w:t>
      </w:r>
      <w:r w:rsidRPr="00010567">
        <w:rPr>
          <w:rFonts w:ascii="Times New Roman" w:hAnsi="Times New Roman" w:cs="Times New Roman"/>
          <w:szCs w:val="24"/>
        </w:rPr>
        <w:t>a corrente dominante do pensamento econômico</w:t>
      </w:r>
      <w:r w:rsidR="00F4340B">
        <w:rPr>
          <w:rFonts w:ascii="Times New Roman" w:hAnsi="Times New Roman" w:cs="Times New Roman"/>
          <w:szCs w:val="24"/>
        </w:rPr>
        <w:t xml:space="preserve"> (</w:t>
      </w:r>
      <w:r w:rsidR="00F4340B">
        <w:rPr>
          <w:rFonts w:ascii="Times New Roman" w:hAnsi="Times New Roman" w:cs="Times New Roman"/>
          <w:i/>
          <w:szCs w:val="24"/>
        </w:rPr>
        <w:t>mainstream economics</w:t>
      </w:r>
      <w:r w:rsidR="00F4340B">
        <w:rPr>
          <w:rFonts w:ascii="Times New Roman" w:hAnsi="Times New Roman" w:cs="Times New Roman"/>
          <w:szCs w:val="24"/>
        </w:rPr>
        <w:t xml:space="preserve">) </w:t>
      </w:r>
      <w:r w:rsidRPr="00010567">
        <w:rPr>
          <w:rFonts w:ascii="Times New Roman" w:hAnsi="Times New Roman" w:cs="Times New Roman"/>
          <w:szCs w:val="24"/>
        </w:rPr>
        <w:t xml:space="preserve">passou a propor estratégias de liberalização das relações econômicas externas, </w:t>
      </w:r>
      <w:r w:rsidR="00F4340B">
        <w:rPr>
          <w:rFonts w:ascii="Times New Roman" w:hAnsi="Times New Roman" w:cs="Times New Roman"/>
          <w:szCs w:val="24"/>
        </w:rPr>
        <w:t xml:space="preserve">nas dimensões </w:t>
      </w:r>
      <w:r w:rsidRPr="00010567">
        <w:rPr>
          <w:rFonts w:ascii="Times New Roman" w:hAnsi="Times New Roman" w:cs="Times New Roman"/>
          <w:szCs w:val="24"/>
        </w:rPr>
        <w:t xml:space="preserve">comercial </w:t>
      </w:r>
      <w:r w:rsidR="00F4340B">
        <w:rPr>
          <w:rFonts w:ascii="Times New Roman" w:hAnsi="Times New Roman" w:cs="Times New Roman"/>
          <w:szCs w:val="24"/>
        </w:rPr>
        <w:t>e</w:t>
      </w:r>
      <w:r w:rsidRPr="00010567">
        <w:rPr>
          <w:rFonts w:ascii="Times New Roman" w:hAnsi="Times New Roman" w:cs="Times New Roman"/>
          <w:szCs w:val="24"/>
        </w:rPr>
        <w:t xml:space="preserve"> financeira, foco d</w:t>
      </w:r>
      <w:r>
        <w:rPr>
          <w:rFonts w:ascii="Times New Roman" w:hAnsi="Times New Roman" w:cs="Times New Roman"/>
          <w:szCs w:val="24"/>
        </w:rPr>
        <w:t>o</w:t>
      </w:r>
      <w:r w:rsidRPr="00010567">
        <w:rPr>
          <w:rFonts w:ascii="Times New Roman" w:hAnsi="Times New Roman" w:cs="Times New Roman"/>
          <w:szCs w:val="24"/>
        </w:rPr>
        <w:t xml:space="preserve"> presente </w:t>
      </w:r>
      <w:r>
        <w:rPr>
          <w:rFonts w:ascii="Times New Roman" w:hAnsi="Times New Roman" w:cs="Times New Roman"/>
          <w:szCs w:val="24"/>
        </w:rPr>
        <w:t>trabalho</w:t>
      </w:r>
      <w:r w:rsidRPr="00010567">
        <w:rPr>
          <w:rFonts w:ascii="Times New Roman" w:hAnsi="Times New Roman" w:cs="Times New Roman"/>
          <w:szCs w:val="24"/>
        </w:rPr>
        <w:t>. De acordo com essa formulação, os governos deveriam restringir o escopo de sua intervenção, aproveitando-se da entrada de capitais e da disciplina do comércio internacional para atingir concomitantemente o crescimento sustentável do produto, a estabilidade macroeconômica e o progresso tecnológico.</w:t>
      </w:r>
    </w:p>
    <w:p w:rsidR="00CF756C" w:rsidRPr="00863FBE" w:rsidRDefault="00863FBE" w:rsidP="00B35B71">
      <w:pPr>
        <w:spacing w:after="0" w:line="240" w:lineRule="auto"/>
        <w:ind w:firstLine="708"/>
        <w:rPr>
          <w:rFonts w:ascii="Times New Roman" w:eastAsia="Calibri" w:hAnsi="Times New Roman" w:cs="Times New Roman"/>
          <w:szCs w:val="24"/>
        </w:rPr>
      </w:pPr>
      <w:r w:rsidRPr="00863FBE">
        <w:rPr>
          <w:rFonts w:ascii="Times New Roman" w:eastAsia="Calibri" w:hAnsi="Times New Roman" w:cs="Times New Roman"/>
          <w:szCs w:val="24"/>
        </w:rPr>
        <w:t xml:space="preserve">Segundo Arestis e Paula (2008) e Wolfson e Epstein (2013), a liberalização financeira externa </w:t>
      </w:r>
      <w:r w:rsidR="00F4340B">
        <w:rPr>
          <w:rFonts w:ascii="Times New Roman" w:eastAsia="Calibri" w:hAnsi="Times New Roman" w:cs="Times New Roman"/>
          <w:szCs w:val="24"/>
        </w:rPr>
        <w:t>tem ocorrido</w:t>
      </w:r>
      <w:r w:rsidRPr="00863FBE">
        <w:rPr>
          <w:rFonts w:ascii="Times New Roman" w:eastAsia="Calibri" w:hAnsi="Times New Roman" w:cs="Times New Roman"/>
          <w:szCs w:val="24"/>
        </w:rPr>
        <w:t xml:space="preserve"> por pelo menos dois canais principais: a abertura da conta capital e financeira</w:t>
      </w:r>
      <w:r w:rsidRPr="00863FBE">
        <w:rPr>
          <w:rFonts w:ascii="Times New Roman" w:eastAsia="Calibri" w:hAnsi="Times New Roman" w:cs="Times New Roman"/>
          <w:szCs w:val="24"/>
          <w:vertAlign w:val="superscript"/>
        </w:rPr>
        <w:footnoteReference w:id="5"/>
      </w:r>
      <w:r w:rsidRPr="00863FBE">
        <w:rPr>
          <w:rFonts w:ascii="Times New Roman" w:eastAsia="Calibri" w:hAnsi="Times New Roman" w:cs="Times New Roman"/>
          <w:szCs w:val="24"/>
        </w:rPr>
        <w:t xml:space="preserve"> e a penetração de bancos estrangeiros nos sistemas bancários nacionais. </w:t>
      </w:r>
      <w:r w:rsidRPr="00F0604E">
        <w:rPr>
          <w:rFonts w:ascii="Times New Roman" w:eastAsia="Calibri" w:hAnsi="Times New Roman" w:cs="Times New Roman"/>
          <w:szCs w:val="24"/>
        </w:rPr>
        <w:t xml:space="preserve">Para Edison </w:t>
      </w:r>
      <w:r w:rsidR="00FF786B" w:rsidRPr="00F0604E">
        <w:rPr>
          <w:rFonts w:ascii="Times New Roman" w:eastAsia="Calibri" w:hAnsi="Times New Roman" w:cs="Times New Roman"/>
          <w:i/>
          <w:szCs w:val="24"/>
        </w:rPr>
        <w:t xml:space="preserve">et al. </w:t>
      </w:r>
      <w:r w:rsidRPr="00417980">
        <w:rPr>
          <w:rFonts w:ascii="Times New Roman" w:eastAsia="Calibri" w:hAnsi="Times New Roman" w:cs="Times New Roman"/>
          <w:szCs w:val="24"/>
        </w:rPr>
        <w:t>(2002a, 2002b) e Obstfeld</w:t>
      </w:r>
      <w:r w:rsidR="00417980" w:rsidRPr="00417980">
        <w:rPr>
          <w:rFonts w:ascii="Times New Roman" w:eastAsia="Calibri" w:hAnsi="Times New Roman" w:cs="Times New Roman"/>
          <w:szCs w:val="24"/>
        </w:rPr>
        <w:t xml:space="preserve"> e Taylor (2004),</w:t>
      </w:r>
      <w:r w:rsidRPr="00863FBE">
        <w:rPr>
          <w:rFonts w:ascii="Times New Roman" w:eastAsia="Calibri" w:hAnsi="Times New Roman" w:cs="Times New Roman"/>
          <w:szCs w:val="24"/>
        </w:rPr>
        <w:t xml:space="preserve"> dentre outros, esse processo tem múltiplas dimensões: i) o aumento quantitativo de fluxos ou estoques de capitais que entram e saem de uma economia nacional - liberalização </w:t>
      </w:r>
      <w:r w:rsidRPr="00863FBE">
        <w:rPr>
          <w:rFonts w:ascii="Times New Roman" w:eastAsia="Calibri" w:hAnsi="Times New Roman" w:cs="Times New Roman"/>
          <w:i/>
          <w:szCs w:val="24"/>
        </w:rPr>
        <w:t>de facto</w:t>
      </w:r>
      <w:r w:rsidRPr="00863FBE">
        <w:rPr>
          <w:rFonts w:ascii="Times New Roman" w:eastAsia="Calibri" w:hAnsi="Times New Roman" w:cs="Times New Roman"/>
          <w:szCs w:val="24"/>
        </w:rPr>
        <w:t xml:space="preserve"> ou integração financeira; ii) o estreitamento dos co-movimentos de preços de ativos e prêmios de riscos entre os diversos mercados; e iii) a diminuição das restrições governamentais, na forma de legislação e/ou regulação, que tais movimentos enfrentam em uma determinada economia - liberalização </w:t>
      </w:r>
      <w:r w:rsidRPr="00863FBE">
        <w:rPr>
          <w:rFonts w:ascii="Times New Roman" w:eastAsia="Calibri" w:hAnsi="Times New Roman" w:cs="Times New Roman"/>
          <w:i/>
          <w:szCs w:val="24"/>
        </w:rPr>
        <w:t>de jure</w:t>
      </w:r>
      <w:r w:rsidRPr="00863FBE">
        <w:rPr>
          <w:rFonts w:ascii="Times New Roman" w:eastAsia="Calibri" w:hAnsi="Times New Roman" w:cs="Times New Roman"/>
          <w:szCs w:val="24"/>
        </w:rPr>
        <w:t xml:space="preserve"> ou abertura financeira. </w:t>
      </w:r>
    </w:p>
    <w:p w:rsidR="009B1895" w:rsidRPr="006A59BC" w:rsidRDefault="00010567" w:rsidP="00B35B71">
      <w:pPr>
        <w:spacing w:after="0" w:line="240" w:lineRule="auto"/>
        <w:rPr>
          <w:rFonts w:ascii="Times New Roman" w:hAnsi="Times New Roman" w:cs="Times New Roman"/>
          <w:szCs w:val="24"/>
        </w:rPr>
      </w:pPr>
      <w:r>
        <w:rPr>
          <w:rFonts w:ascii="Times New Roman" w:hAnsi="Times New Roman" w:cs="Times New Roman"/>
          <w:szCs w:val="24"/>
        </w:rPr>
        <w:lastRenderedPageBreak/>
        <w:tab/>
        <w:t xml:space="preserve">No Brasil, </w:t>
      </w:r>
      <w:r w:rsidR="00A41D1E">
        <w:rPr>
          <w:rFonts w:ascii="Times New Roman" w:hAnsi="Times New Roman" w:cs="Times New Roman"/>
          <w:szCs w:val="24"/>
        </w:rPr>
        <w:t>a liberalização financeira externa insere-se no contexto de crise do Estado Desenvolvimentista, abertura comercial</w:t>
      </w:r>
      <w:r w:rsidR="008A0677">
        <w:rPr>
          <w:rFonts w:ascii="Times New Roman" w:hAnsi="Times New Roman" w:cs="Times New Roman"/>
          <w:szCs w:val="24"/>
        </w:rPr>
        <w:t xml:space="preserve"> e</w:t>
      </w:r>
      <w:r w:rsidR="00A41D1E">
        <w:rPr>
          <w:rFonts w:ascii="Times New Roman" w:hAnsi="Times New Roman" w:cs="Times New Roman"/>
          <w:szCs w:val="24"/>
        </w:rPr>
        <w:t xml:space="preserve"> combate à hiperinflação. Nesse sentido, a partir do final da década de 1980, ganha força a tendência de abertura da conta capital e financeira, a qual acabou com o monopólio da autoridade econômica na compra de divisas cambiais e reduziu os controles tanto à saída de capitais quanto à tomada de posições cambiais. </w:t>
      </w:r>
      <w:r w:rsidR="009B1895">
        <w:rPr>
          <w:rFonts w:ascii="Times New Roman" w:hAnsi="Times New Roman" w:cs="Times New Roman"/>
          <w:szCs w:val="24"/>
        </w:rPr>
        <w:t xml:space="preserve">Ao mesmo tempo, tal movimento cumulativo de desregulamentação </w:t>
      </w:r>
      <w:r w:rsidR="00F4340B">
        <w:rPr>
          <w:rFonts w:ascii="Times New Roman" w:hAnsi="Times New Roman" w:cs="Times New Roman"/>
          <w:szCs w:val="24"/>
        </w:rPr>
        <w:t>não descartou</w:t>
      </w:r>
      <w:r w:rsidR="009B1895">
        <w:rPr>
          <w:rFonts w:ascii="Times New Roman" w:hAnsi="Times New Roman" w:cs="Times New Roman"/>
          <w:szCs w:val="24"/>
        </w:rPr>
        <w:t xml:space="preserve"> instrumentos conjunturais de gerenciamento dos fluxos de capital, tais como </w:t>
      </w:r>
      <w:r w:rsidR="009B1895" w:rsidRPr="006A59BC">
        <w:rPr>
          <w:rFonts w:ascii="Times New Roman" w:hAnsi="Times New Roman" w:cs="Times New Roman"/>
          <w:szCs w:val="24"/>
        </w:rPr>
        <w:t>imposto sobre operações financeiras (IOF) sobre a entrada de capitais, a ser manipulado de forma contra-cíclica, tendo em vista a elevação dos requisitos de maturidade e dos graus de liberdade da política monetária e a minimização da pressão sobre a taxa de câmbio e do custo de esterilização</w:t>
      </w:r>
      <w:r w:rsidR="009B1895">
        <w:rPr>
          <w:rFonts w:ascii="Times New Roman" w:hAnsi="Times New Roman" w:cs="Times New Roman"/>
          <w:szCs w:val="24"/>
        </w:rPr>
        <w:t xml:space="preserve"> (B</w:t>
      </w:r>
      <w:r w:rsidR="00352067">
        <w:rPr>
          <w:rFonts w:ascii="Times New Roman" w:hAnsi="Times New Roman" w:cs="Times New Roman"/>
          <w:szCs w:val="24"/>
        </w:rPr>
        <w:t>iancarelli</w:t>
      </w:r>
      <w:r w:rsidR="009B1895">
        <w:rPr>
          <w:rFonts w:ascii="Times New Roman" w:hAnsi="Times New Roman" w:cs="Times New Roman"/>
          <w:szCs w:val="24"/>
        </w:rPr>
        <w:t>, 2004)</w:t>
      </w:r>
      <w:r w:rsidR="009B1895" w:rsidRPr="006A59BC">
        <w:rPr>
          <w:rFonts w:ascii="Times New Roman" w:hAnsi="Times New Roman" w:cs="Times New Roman"/>
          <w:szCs w:val="24"/>
        </w:rPr>
        <w:t>.</w:t>
      </w:r>
    </w:p>
    <w:p w:rsidR="00010567" w:rsidRDefault="009B1895" w:rsidP="00B35B71">
      <w:pPr>
        <w:spacing w:after="0" w:line="240" w:lineRule="auto"/>
        <w:rPr>
          <w:rFonts w:ascii="Times New Roman" w:hAnsi="Times New Roman" w:cs="Times New Roman"/>
          <w:szCs w:val="24"/>
        </w:rPr>
      </w:pPr>
      <w:r>
        <w:rPr>
          <w:rFonts w:ascii="Times New Roman" w:hAnsi="Times New Roman" w:cs="Times New Roman"/>
          <w:szCs w:val="24"/>
        </w:rPr>
        <w:tab/>
      </w:r>
      <w:r w:rsidR="008A0677">
        <w:rPr>
          <w:rFonts w:ascii="Times New Roman" w:hAnsi="Times New Roman" w:cs="Times New Roman"/>
          <w:szCs w:val="24"/>
        </w:rPr>
        <w:t xml:space="preserve">Frente ao caráter híbrido desse arranjo institucional, </w:t>
      </w:r>
      <w:r w:rsidR="003C5BA3">
        <w:rPr>
          <w:rFonts w:ascii="Times New Roman" w:hAnsi="Times New Roman" w:cs="Times New Roman"/>
          <w:szCs w:val="24"/>
        </w:rPr>
        <w:t>estabeleceu-se um debate teórico e empírico acerca dos rumos do processo brasileiro de liberalização financeira. P</w:t>
      </w:r>
      <w:r w:rsidR="008A0677">
        <w:rPr>
          <w:rFonts w:ascii="Times New Roman" w:hAnsi="Times New Roman" w:cs="Times New Roman"/>
          <w:szCs w:val="24"/>
        </w:rPr>
        <w:t xml:space="preserve">or um lado, Arida (2003a, 2003b, 2004) advoga o aprofundamento da estratégia de abertura da conta capital e financeira, chegando ao ponto de propor à plena conversibilidade. Para este autor, </w:t>
      </w:r>
      <w:r w:rsidR="008A0677" w:rsidRPr="008A0677">
        <w:rPr>
          <w:rFonts w:ascii="Times New Roman" w:hAnsi="Times New Roman" w:cs="Times New Roman"/>
          <w:szCs w:val="24"/>
        </w:rPr>
        <w:t xml:space="preserve">a adoção desse caminho demonstraria confiança do banco central na política econômica e na capacidade de pagamento da dívida interna e externa, permitindo um superávit primário menor e uma taxa de investimento privado maior. Isso seria possível porque a eliminação do risco de conversibilidade (retenção, por parte das autoridades monetárias, dos recursos necessários para os pagamentos dos compromissos no exterior) reduziria tanto o risco-país quanto o risco cambial, viabilizando a queda na taxa interna e externa de juros acessada pelos agentes domésticos. </w:t>
      </w:r>
      <w:r w:rsidR="008A0677">
        <w:rPr>
          <w:rFonts w:ascii="Times New Roman" w:hAnsi="Times New Roman" w:cs="Times New Roman"/>
          <w:szCs w:val="24"/>
        </w:rPr>
        <w:t xml:space="preserve">Por outro lado, há uma tradição crítica de autores - </w:t>
      </w:r>
      <w:r w:rsidR="008A0677" w:rsidRPr="008A0677">
        <w:rPr>
          <w:rFonts w:ascii="Times New Roman" w:hAnsi="Times New Roman" w:cs="Times New Roman"/>
          <w:szCs w:val="24"/>
        </w:rPr>
        <w:t xml:space="preserve">Belluzzo e Carneiro (2004), Oreiro </w:t>
      </w:r>
      <w:r w:rsidR="008A0677" w:rsidRPr="008A0677">
        <w:rPr>
          <w:rFonts w:ascii="Times New Roman" w:hAnsi="Times New Roman" w:cs="Times New Roman"/>
          <w:i/>
          <w:szCs w:val="24"/>
        </w:rPr>
        <w:t>et al.</w:t>
      </w:r>
      <w:r w:rsidR="008A0677" w:rsidRPr="008A0677">
        <w:rPr>
          <w:rFonts w:ascii="Times New Roman" w:hAnsi="Times New Roman" w:cs="Times New Roman"/>
          <w:szCs w:val="24"/>
        </w:rPr>
        <w:t xml:space="preserve"> </w:t>
      </w:r>
      <w:r w:rsidR="008A0677" w:rsidRPr="00FF786B">
        <w:rPr>
          <w:rFonts w:ascii="Times New Roman" w:hAnsi="Times New Roman" w:cs="Times New Roman"/>
          <w:szCs w:val="24"/>
        </w:rPr>
        <w:t xml:space="preserve">(2004), Ferrari Filho </w:t>
      </w:r>
      <w:r w:rsidR="008A0677" w:rsidRPr="00FF786B">
        <w:rPr>
          <w:rFonts w:ascii="Times New Roman" w:hAnsi="Times New Roman" w:cs="Times New Roman"/>
          <w:i/>
          <w:szCs w:val="24"/>
        </w:rPr>
        <w:t>et al.</w:t>
      </w:r>
      <w:r w:rsidR="008A0677" w:rsidRPr="00FF786B">
        <w:rPr>
          <w:rFonts w:ascii="Times New Roman" w:hAnsi="Times New Roman" w:cs="Times New Roman"/>
          <w:szCs w:val="24"/>
        </w:rPr>
        <w:t xml:space="preserve"> (2005), Paula </w:t>
      </w:r>
      <w:r w:rsidR="008A0677" w:rsidRPr="00FF786B">
        <w:rPr>
          <w:rFonts w:ascii="Times New Roman" w:hAnsi="Times New Roman" w:cs="Times New Roman"/>
          <w:i/>
          <w:szCs w:val="24"/>
        </w:rPr>
        <w:t>et al.</w:t>
      </w:r>
      <w:r w:rsidR="008A0677" w:rsidRPr="00FF786B">
        <w:rPr>
          <w:rFonts w:ascii="Times New Roman" w:hAnsi="Times New Roman" w:cs="Times New Roman"/>
          <w:szCs w:val="24"/>
        </w:rPr>
        <w:t xml:space="preserve"> </w:t>
      </w:r>
      <w:r w:rsidR="008A0677" w:rsidRPr="008A0677">
        <w:rPr>
          <w:rFonts w:ascii="Times New Roman" w:hAnsi="Times New Roman" w:cs="Times New Roman"/>
          <w:szCs w:val="24"/>
        </w:rPr>
        <w:t>(2012), dentre outros</w:t>
      </w:r>
      <w:r w:rsidR="008A0677">
        <w:rPr>
          <w:rFonts w:ascii="Times New Roman" w:hAnsi="Times New Roman" w:cs="Times New Roman"/>
          <w:szCs w:val="24"/>
        </w:rPr>
        <w:t xml:space="preserve"> – </w:t>
      </w:r>
      <w:r w:rsidR="003C5BA3">
        <w:rPr>
          <w:rFonts w:ascii="Times New Roman" w:hAnsi="Times New Roman" w:cs="Times New Roman"/>
          <w:szCs w:val="24"/>
        </w:rPr>
        <w:t xml:space="preserve">que apontam os seguintes problemas: evidências empíricas frágeis dos benefícios de um avanço da abertura, </w:t>
      </w:r>
      <w:r w:rsidR="00CF756C">
        <w:rPr>
          <w:rFonts w:ascii="Times New Roman" w:hAnsi="Times New Roman" w:cs="Times New Roman"/>
          <w:szCs w:val="24"/>
        </w:rPr>
        <w:t>aumento da apreciação e</w:t>
      </w:r>
      <w:r w:rsidR="003C5BA3">
        <w:rPr>
          <w:rFonts w:ascii="Times New Roman" w:hAnsi="Times New Roman" w:cs="Times New Roman"/>
          <w:szCs w:val="24"/>
        </w:rPr>
        <w:t xml:space="preserve"> da volatilidade cambial e necessidade de </w:t>
      </w:r>
      <w:r w:rsidR="003C5BA3" w:rsidRPr="003C5BA3">
        <w:rPr>
          <w:rFonts w:ascii="Times New Roman" w:hAnsi="Times New Roman" w:cs="Times New Roman"/>
          <w:szCs w:val="24"/>
        </w:rPr>
        <w:t>um volume de reservas em moeda estrangeira ainda maior para sustentar as intervenções no mercado cambial</w:t>
      </w:r>
      <w:r w:rsidR="003C5BA3">
        <w:rPr>
          <w:rFonts w:ascii="Times New Roman" w:hAnsi="Times New Roman" w:cs="Times New Roman"/>
          <w:szCs w:val="24"/>
        </w:rPr>
        <w:t>.</w:t>
      </w:r>
    </w:p>
    <w:p w:rsidR="008253F9" w:rsidRDefault="003C5BA3" w:rsidP="00B35B71">
      <w:pPr>
        <w:spacing w:after="0" w:line="240" w:lineRule="auto"/>
        <w:rPr>
          <w:rFonts w:ascii="Times New Roman" w:hAnsi="Times New Roman" w:cs="Times New Roman"/>
          <w:szCs w:val="24"/>
        </w:rPr>
      </w:pPr>
      <w:r>
        <w:rPr>
          <w:rFonts w:ascii="Times New Roman" w:hAnsi="Times New Roman" w:cs="Times New Roman"/>
          <w:szCs w:val="24"/>
        </w:rPr>
        <w:tab/>
      </w:r>
      <w:r w:rsidR="008253F9">
        <w:rPr>
          <w:rFonts w:ascii="Times New Roman" w:hAnsi="Times New Roman" w:cs="Times New Roman"/>
          <w:szCs w:val="24"/>
        </w:rPr>
        <w:t>Além disso, i</w:t>
      </w:r>
      <w:r>
        <w:rPr>
          <w:rFonts w:ascii="Times New Roman" w:hAnsi="Times New Roman" w:cs="Times New Roman"/>
          <w:szCs w:val="24"/>
        </w:rPr>
        <w:t>nternacionalmente, a</w:t>
      </w:r>
      <w:r w:rsidRPr="003C5BA3">
        <w:rPr>
          <w:rFonts w:ascii="Times New Roman" w:hAnsi="Times New Roman" w:cs="Times New Roman"/>
          <w:szCs w:val="24"/>
        </w:rPr>
        <w:t xml:space="preserve"> Crise Financeira Global de 2007-200</w:t>
      </w:r>
      <w:r w:rsidR="00271119">
        <w:rPr>
          <w:rFonts w:ascii="Times New Roman" w:hAnsi="Times New Roman" w:cs="Times New Roman"/>
          <w:szCs w:val="24"/>
        </w:rPr>
        <w:t>9</w:t>
      </w:r>
      <w:r w:rsidRPr="003C5BA3">
        <w:rPr>
          <w:rFonts w:ascii="Times New Roman" w:hAnsi="Times New Roman" w:cs="Times New Roman"/>
          <w:szCs w:val="24"/>
        </w:rPr>
        <w:t xml:space="preserve"> converteu situações concretas em novos argumentos, tanto na academia quanto em instituições como Banco de Compensações Internacionais (BIS) e o Fundo Monetário Internacional (FMI). Por exemplo, a maior resiliência de países emergentes aos primeiros impactos da crise, a partir do acúmulo precaucional de reservas internacionais, impulsionou o debate sobre a fonte dos desequilíbrios financeiros globais. Por sua vez, a política monetária expansi</w:t>
      </w:r>
      <w:r>
        <w:rPr>
          <w:rFonts w:ascii="Times New Roman" w:hAnsi="Times New Roman" w:cs="Times New Roman"/>
          <w:szCs w:val="24"/>
        </w:rPr>
        <w:t>onista</w:t>
      </w:r>
      <w:r w:rsidRPr="003C5BA3">
        <w:rPr>
          <w:rFonts w:ascii="Times New Roman" w:hAnsi="Times New Roman" w:cs="Times New Roman"/>
          <w:szCs w:val="24"/>
        </w:rPr>
        <w:t xml:space="preserve"> e não-convencional por parte dos Estados Unidos (EUA) fortaleceu a discussão acerca do ciclo financeiro global e seus desdobramentos nos países que não possuem moeda conversível de fato e, portanto, o tomam.</w:t>
      </w:r>
      <w:r w:rsidR="00C86CCF">
        <w:rPr>
          <w:rFonts w:ascii="Times New Roman" w:hAnsi="Times New Roman" w:cs="Times New Roman"/>
          <w:szCs w:val="24"/>
        </w:rPr>
        <w:t xml:space="preserve"> Segundo Borio (2012), </w:t>
      </w:r>
      <w:r w:rsidR="00C86CCF" w:rsidRPr="00C86CCF">
        <w:rPr>
          <w:rFonts w:ascii="Times New Roman" w:hAnsi="Times New Roman" w:cs="Times New Roman"/>
          <w:szCs w:val="24"/>
        </w:rPr>
        <w:t xml:space="preserve">o ciclo financeiro global </w:t>
      </w:r>
      <w:r w:rsidR="00C86CCF">
        <w:rPr>
          <w:rFonts w:ascii="Times New Roman" w:hAnsi="Times New Roman" w:cs="Times New Roman"/>
          <w:szCs w:val="24"/>
        </w:rPr>
        <w:t>diz respeito a</w:t>
      </w:r>
      <w:r w:rsidR="00C86CCF" w:rsidRPr="00C86CCF">
        <w:rPr>
          <w:rFonts w:ascii="Times New Roman" w:hAnsi="Times New Roman" w:cs="Times New Roman"/>
          <w:szCs w:val="24"/>
        </w:rPr>
        <w:t xml:space="preserve"> interações, mutuamente reforçadas, entre percepções sobre valor e risco, atitudes frente ao risco e constrangimentos financeiros. Nesse sentido, a literatura recente sobre o </w:t>
      </w:r>
      <w:r w:rsidR="00C86CCF">
        <w:rPr>
          <w:rFonts w:ascii="Times New Roman" w:hAnsi="Times New Roman" w:cs="Times New Roman"/>
          <w:szCs w:val="24"/>
        </w:rPr>
        <w:t>tema</w:t>
      </w:r>
      <w:r w:rsidR="00C86CCF" w:rsidRPr="00C86CCF">
        <w:rPr>
          <w:rFonts w:ascii="Times New Roman" w:hAnsi="Times New Roman" w:cs="Times New Roman"/>
          <w:szCs w:val="24"/>
        </w:rPr>
        <w:t xml:space="preserve"> remonta à preocupação </w:t>
      </w:r>
      <w:r w:rsidR="00F113CF">
        <w:rPr>
          <w:rFonts w:ascii="Times New Roman" w:hAnsi="Times New Roman" w:cs="Times New Roman"/>
          <w:szCs w:val="24"/>
        </w:rPr>
        <w:t xml:space="preserve">de </w:t>
      </w:r>
      <w:r w:rsidR="00C86CCF">
        <w:rPr>
          <w:rFonts w:ascii="Times New Roman" w:hAnsi="Times New Roman" w:cs="Times New Roman"/>
          <w:szCs w:val="24"/>
        </w:rPr>
        <w:t>Minsky (1986, 1993)</w:t>
      </w:r>
      <w:r w:rsidR="00C86CCF" w:rsidRPr="00C86CCF">
        <w:rPr>
          <w:rFonts w:ascii="Times New Roman" w:hAnsi="Times New Roman" w:cs="Times New Roman"/>
          <w:szCs w:val="24"/>
        </w:rPr>
        <w:t xml:space="preserve"> com a forma pela qual a interação entre as unidades produtivas, ligadas por compromissos de pagamento em um ambiente institucional específico, leva à evolução dos perfis de financiamento entre </w:t>
      </w:r>
      <w:r w:rsidR="00C86CCF" w:rsidRPr="00C86CCF">
        <w:rPr>
          <w:rFonts w:ascii="Times New Roman" w:hAnsi="Times New Roman" w:cs="Times New Roman"/>
          <w:i/>
          <w:szCs w:val="24"/>
        </w:rPr>
        <w:t>hedge</w:t>
      </w:r>
      <w:r w:rsidR="00C86CCF" w:rsidRPr="00C86CCF">
        <w:rPr>
          <w:rFonts w:ascii="Times New Roman" w:hAnsi="Times New Roman" w:cs="Times New Roman"/>
          <w:szCs w:val="24"/>
        </w:rPr>
        <w:t xml:space="preserve">, especulativo e </w:t>
      </w:r>
      <w:r w:rsidR="00C86CCF" w:rsidRPr="00C86CCF">
        <w:rPr>
          <w:rFonts w:ascii="Times New Roman" w:hAnsi="Times New Roman" w:cs="Times New Roman"/>
          <w:i/>
          <w:szCs w:val="24"/>
        </w:rPr>
        <w:t>Ponzi</w:t>
      </w:r>
      <w:r w:rsidR="00C86CCF">
        <w:rPr>
          <w:rFonts w:ascii="Times New Roman" w:hAnsi="Times New Roman" w:cs="Times New Roman"/>
          <w:szCs w:val="24"/>
        </w:rPr>
        <w:t>.</w:t>
      </w:r>
    </w:p>
    <w:p w:rsidR="00863FBE" w:rsidRDefault="008253F9" w:rsidP="00B35B71">
      <w:pPr>
        <w:spacing w:after="0" w:line="240" w:lineRule="auto"/>
        <w:rPr>
          <w:rFonts w:ascii="Times New Roman" w:hAnsi="Times New Roman" w:cs="Times New Roman"/>
          <w:szCs w:val="24"/>
        </w:rPr>
      </w:pPr>
      <w:r>
        <w:rPr>
          <w:rFonts w:ascii="Times New Roman" w:hAnsi="Times New Roman" w:cs="Times New Roman"/>
          <w:szCs w:val="24"/>
        </w:rPr>
        <w:tab/>
        <w:t>É nesse contexto que o presente estudo insere-se ao estimar a relação entre o avanço da liberalização financeira externa e o desempenho macroeconômico brasileiro, partindo de uma amostra mensal de duas décadas, isto é, entre 1995 e 2014. Em termos metodológicos, optou-se por empregar um</w:t>
      </w:r>
      <w:r w:rsidRPr="006A59BC">
        <w:rPr>
          <w:rFonts w:ascii="Times New Roman" w:hAnsi="Times New Roman" w:cs="Times New Roman"/>
          <w:szCs w:val="24"/>
        </w:rPr>
        <w:t xml:space="preserve"> </w:t>
      </w:r>
      <w:r>
        <w:rPr>
          <w:rFonts w:ascii="Times New Roman" w:hAnsi="Times New Roman" w:cs="Times New Roman"/>
          <w:szCs w:val="24"/>
        </w:rPr>
        <w:t xml:space="preserve">modelo baseado em vetores autorregressivos com correção de erros (VEC), </w:t>
      </w:r>
      <w:r w:rsidRPr="008253F9">
        <w:rPr>
          <w:rFonts w:ascii="Times New Roman" w:hAnsi="Times New Roman" w:cs="Times New Roman"/>
          <w:szCs w:val="24"/>
        </w:rPr>
        <w:t>o qual permite avaliar a relação de cointegração entre as séries, de modo qu</w:t>
      </w:r>
      <w:r w:rsidR="00F113CF">
        <w:rPr>
          <w:rFonts w:ascii="Times New Roman" w:hAnsi="Times New Roman" w:cs="Times New Roman"/>
          <w:szCs w:val="24"/>
        </w:rPr>
        <w:t>e as conclusões obtidas</w:t>
      </w:r>
      <w:r w:rsidRPr="008253F9">
        <w:rPr>
          <w:rFonts w:ascii="Times New Roman" w:hAnsi="Times New Roman" w:cs="Times New Roman"/>
          <w:szCs w:val="24"/>
        </w:rPr>
        <w:t xml:space="preserve"> apontam para o longo prazo, tendo um caráter mais estrutural do que as advindas do modelo VAR</w:t>
      </w:r>
      <w:r>
        <w:rPr>
          <w:rFonts w:ascii="Times New Roman" w:hAnsi="Times New Roman" w:cs="Times New Roman"/>
          <w:szCs w:val="24"/>
        </w:rPr>
        <w:t xml:space="preserve"> comum. </w:t>
      </w:r>
      <w:r w:rsidR="00CF756C">
        <w:rPr>
          <w:rFonts w:ascii="Times New Roman" w:hAnsi="Times New Roman" w:cs="Times New Roman"/>
          <w:szCs w:val="24"/>
        </w:rPr>
        <w:t>Parte-se dos seguintes argumentos principais: i) o c</w:t>
      </w:r>
      <w:r w:rsidR="00863FBE">
        <w:rPr>
          <w:rFonts w:ascii="Times New Roman" w:hAnsi="Times New Roman" w:cs="Times New Roman"/>
          <w:szCs w:val="24"/>
        </w:rPr>
        <w:t>iclo financeiro global influencia</w:t>
      </w:r>
      <w:r w:rsidR="00CF756C">
        <w:rPr>
          <w:rFonts w:ascii="Times New Roman" w:hAnsi="Times New Roman" w:cs="Times New Roman"/>
          <w:szCs w:val="24"/>
        </w:rPr>
        <w:t xml:space="preserve"> </w:t>
      </w:r>
      <w:r w:rsidR="00863FBE">
        <w:rPr>
          <w:rFonts w:ascii="Times New Roman" w:hAnsi="Times New Roman" w:cs="Times New Roman"/>
          <w:szCs w:val="24"/>
        </w:rPr>
        <w:t xml:space="preserve">o grau de liberalização </w:t>
      </w:r>
      <w:r w:rsidR="00CF756C">
        <w:rPr>
          <w:rFonts w:ascii="Times New Roman" w:hAnsi="Times New Roman" w:cs="Times New Roman"/>
          <w:szCs w:val="24"/>
        </w:rPr>
        <w:t>financeira externa da economia brasileira</w:t>
      </w:r>
      <w:r w:rsidR="00F113CF">
        <w:rPr>
          <w:rFonts w:ascii="Times New Roman" w:hAnsi="Times New Roman" w:cs="Times New Roman"/>
          <w:szCs w:val="24"/>
        </w:rPr>
        <w:t>, principalmente, quando se olha para a integração</w:t>
      </w:r>
      <w:r w:rsidR="00CF756C">
        <w:rPr>
          <w:rFonts w:ascii="Times New Roman" w:hAnsi="Times New Roman" w:cs="Times New Roman"/>
          <w:szCs w:val="24"/>
        </w:rPr>
        <w:t>; ii) a desregulamentação da conta capital e financeira gera efeitos pouco significativos; e iii) um avanço da integração financeira está associado a desdobramentos negativos em variáveis como risco-país, volatilidade cambial e nível de atividade.</w:t>
      </w:r>
    </w:p>
    <w:p w:rsidR="008A0677" w:rsidRDefault="00863FBE" w:rsidP="00B35B71">
      <w:pPr>
        <w:spacing w:after="0" w:line="240" w:lineRule="auto"/>
        <w:rPr>
          <w:rFonts w:ascii="Times New Roman" w:hAnsi="Times New Roman" w:cs="Times New Roman"/>
          <w:szCs w:val="24"/>
        </w:rPr>
      </w:pPr>
      <w:r>
        <w:rPr>
          <w:rFonts w:ascii="Times New Roman" w:hAnsi="Times New Roman" w:cs="Times New Roman"/>
          <w:szCs w:val="24"/>
        </w:rPr>
        <w:lastRenderedPageBreak/>
        <w:tab/>
        <w:t>Destaca-se</w:t>
      </w:r>
      <w:r w:rsidR="00DF7396">
        <w:rPr>
          <w:rFonts w:ascii="Times New Roman" w:hAnsi="Times New Roman" w:cs="Times New Roman"/>
          <w:szCs w:val="24"/>
        </w:rPr>
        <w:t>,</w:t>
      </w:r>
      <w:r>
        <w:rPr>
          <w:rFonts w:ascii="Times New Roman" w:hAnsi="Times New Roman" w:cs="Times New Roman"/>
          <w:szCs w:val="24"/>
        </w:rPr>
        <w:t xml:space="preserve"> </w:t>
      </w:r>
      <w:r w:rsidR="00CB1ACB">
        <w:rPr>
          <w:rFonts w:ascii="Times New Roman" w:hAnsi="Times New Roman" w:cs="Times New Roman"/>
          <w:szCs w:val="24"/>
        </w:rPr>
        <w:t>também</w:t>
      </w:r>
      <w:r w:rsidR="00DF7396">
        <w:rPr>
          <w:rFonts w:ascii="Times New Roman" w:hAnsi="Times New Roman" w:cs="Times New Roman"/>
          <w:szCs w:val="24"/>
        </w:rPr>
        <w:t>,</w:t>
      </w:r>
      <w:r w:rsidR="00CB1ACB">
        <w:rPr>
          <w:rFonts w:ascii="Times New Roman" w:hAnsi="Times New Roman" w:cs="Times New Roman"/>
          <w:szCs w:val="24"/>
        </w:rPr>
        <w:t xml:space="preserve"> </w:t>
      </w:r>
      <w:r>
        <w:rPr>
          <w:rFonts w:ascii="Times New Roman" w:hAnsi="Times New Roman" w:cs="Times New Roman"/>
          <w:szCs w:val="24"/>
        </w:rPr>
        <w:t xml:space="preserve">que o presente artigo apresenta uma contribuição potencialmente original ao </w:t>
      </w:r>
      <w:r w:rsidR="00DF7396">
        <w:rPr>
          <w:rFonts w:ascii="Times New Roman" w:hAnsi="Times New Roman" w:cs="Times New Roman"/>
          <w:szCs w:val="24"/>
        </w:rPr>
        <w:t>identificar</w:t>
      </w:r>
      <w:r>
        <w:rPr>
          <w:rFonts w:ascii="Times New Roman" w:hAnsi="Times New Roman" w:cs="Times New Roman"/>
          <w:szCs w:val="24"/>
        </w:rPr>
        <w:t xml:space="preserve"> uma sequência de causalidade, no sentido de Granger, entre os movimentos do ciclo financeiro global e a evolução do grau de integração financeira da economia brasileira, e deste com o risco-país. </w:t>
      </w:r>
      <w:r w:rsidR="00CB1ACB">
        <w:rPr>
          <w:rFonts w:ascii="Times New Roman" w:hAnsi="Times New Roman" w:cs="Times New Roman"/>
          <w:szCs w:val="24"/>
        </w:rPr>
        <w:t>Passando</w:t>
      </w:r>
      <w:r w:rsidR="00C86CCF">
        <w:rPr>
          <w:rFonts w:ascii="Times New Roman" w:hAnsi="Times New Roman" w:cs="Times New Roman"/>
          <w:szCs w:val="24"/>
        </w:rPr>
        <w:t xml:space="preserve"> à estrutura do trabalho, as seções seguintes darão conta dos seguintes objetivos: revisão da literatura e empírica, formulação de indicadores do grau de liberalização financeira externa da economia brasileira e estimação do modelo VEC propriamente dito.</w:t>
      </w:r>
    </w:p>
    <w:p w:rsidR="00DF7396" w:rsidRDefault="00DF7396" w:rsidP="00B35B71">
      <w:pPr>
        <w:spacing w:after="0" w:line="240" w:lineRule="auto"/>
        <w:rPr>
          <w:rFonts w:ascii="Times New Roman" w:hAnsi="Times New Roman" w:cs="Times New Roman"/>
          <w:b/>
          <w:szCs w:val="24"/>
        </w:rPr>
      </w:pPr>
    </w:p>
    <w:p w:rsidR="00C86CCF" w:rsidRDefault="00C86CCF" w:rsidP="00B35B71">
      <w:pPr>
        <w:spacing w:after="0" w:line="240" w:lineRule="auto"/>
        <w:rPr>
          <w:rFonts w:ascii="Times New Roman" w:hAnsi="Times New Roman" w:cs="Times New Roman"/>
          <w:b/>
          <w:szCs w:val="24"/>
        </w:rPr>
      </w:pPr>
      <w:r>
        <w:rPr>
          <w:rFonts w:ascii="Times New Roman" w:hAnsi="Times New Roman" w:cs="Times New Roman"/>
          <w:b/>
          <w:szCs w:val="24"/>
        </w:rPr>
        <w:t>2.</w:t>
      </w:r>
      <w:r w:rsidR="002B4925">
        <w:rPr>
          <w:rFonts w:ascii="Times New Roman" w:hAnsi="Times New Roman" w:cs="Times New Roman"/>
          <w:b/>
          <w:szCs w:val="24"/>
        </w:rPr>
        <w:t xml:space="preserve"> Custos e benefícios da liberalização financeira externa</w:t>
      </w:r>
    </w:p>
    <w:p w:rsidR="00CB1ACB" w:rsidRDefault="00C86CCF" w:rsidP="00B35B71">
      <w:pPr>
        <w:spacing w:after="0" w:line="240" w:lineRule="auto"/>
        <w:rPr>
          <w:rFonts w:ascii="Times New Roman" w:hAnsi="Times New Roman" w:cs="Times New Roman"/>
          <w:szCs w:val="24"/>
        </w:rPr>
      </w:pPr>
      <w:r>
        <w:rPr>
          <w:rFonts w:ascii="Times New Roman" w:hAnsi="Times New Roman" w:cs="Times New Roman"/>
          <w:szCs w:val="24"/>
        </w:rPr>
        <w:tab/>
      </w:r>
      <w:r w:rsidR="00B02B3D">
        <w:rPr>
          <w:rFonts w:ascii="Times New Roman" w:hAnsi="Times New Roman" w:cs="Times New Roman"/>
          <w:szCs w:val="24"/>
        </w:rPr>
        <w:t>A</w:t>
      </w:r>
      <w:r w:rsidR="009449E4">
        <w:rPr>
          <w:rFonts w:ascii="Times New Roman" w:hAnsi="Times New Roman" w:cs="Times New Roman"/>
          <w:szCs w:val="24"/>
        </w:rPr>
        <w:t xml:space="preserve"> defesa </w:t>
      </w:r>
      <w:r>
        <w:rPr>
          <w:rFonts w:ascii="Times New Roman" w:hAnsi="Times New Roman" w:cs="Times New Roman"/>
          <w:szCs w:val="24"/>
        </w:rPr>
        <w:t>d</w:t>
      </w:r>
      <w:r w:rsidR="00F113CF">
        <w:rPr>
          <w:rFonts w:ascii="Times New Roman" w:hAnsi="Times New Roman" w:cs="Times New Roman"/>
          <w:szCs w:val="24"/>
        </w:rPr>
        <w:t>a liberalização financeira externa</w:t>
      </w:r>
      <w:r>
        <w:rPr>
          <w:rFonts w:ascii="Times New Roman" w:hAnsi="Times New Roman" w:cs="Times New Roman"/>
          <w:szCs w:val="24"/>
        </w:rPr>
        <w:t xml:space="preserve"> </w:t>
      </w:r>
      <w:r w:rsidR="009449E4">
        <w:rPr>
          <w:rFonts w:ascii="Times New Roman" w:hAnsi="Times New Roman" w:cs="Times New Roman"/>
          <w:szCs w:val="24"/>
        </w:rPr>
        <w:t>fundamenta</w:t>
      </w:r>
      <w:r w:rsidR="008324DF">
        <w:rPr>
          <w:rFonts w:ascii="Times New Roman" w:hAnsi="Times New Roman" w:cs="Times New Roman"/>
          <w:szCs w:val="24"/>
        </w:rPr>
        <w:t>-se</w:t>
      </w:r>
      <w:r w:rsidR="009449E4">
        <w:rPr>
          <w:rFonts w:ascii="Times New Roman" w:hAnsi="Times New Roman" w:cs="Times New Roman"/>
          <w:szCs w:val="24"/>
        </w:rPr>
        <w:t xml:space="preserve"> na perspectiva de </w:t>
      </w:r>
      <w:r w:rsidR="00CB1ACB" w:rsidRPr="00CB1ACB">
        <w:rPr>
          <w:rFonts w:ascii="Times New Roman" w:hAnsi="Times New Roman" w:cs="Times New Roman"/>
          <w:szCs w:val="24"/>
        </w:rPr>
        <w:t xml:space="preserve">aumento da oferta de fundos emprestáveis e, consequentemente, </w:t>
      </w:r>
      <w:r w:rsidR="009154B8">
        <w:rPr>
          <w:rFonts w:ascii="Times New Roman" w:hAnsi="Times New Roman" w:cs="Times New Roman"/>
          <w:szCs w:val="24"/>
        </w:rPr>
        <w:t>da</w:t>
      </w:r>
      <w:r w:rsidR="00CB1ACB" w:rsidRPr="00CB1ACB">
        <w:rPr>
          <w:rFonts w:ascii="Times New Roman" w:hAnsi="Times New Roman" w:cs="Times New Roman"/>
          <w:szCs w:val="24"/>
        </w:rPr>
        <w:t xml:space="preserve"> redução da taxa doméstica de juros e </w:t>
      </w:r>
      <w:r w:rsidR="009154B8">
        <w:rPr>
          <w:rFonts w:ascii="Times New Roman" w:hAnsi="Times New Roman" w:cs="Times New Roman"/>
          <w:szCs w:val="24"/>
        </w:rPr>
        <w:t>da</w:t>
      </w:r>
      <w:r w:rsidR="00CB1ACB" w:rsidRPr="00CB1ACB">
        <w:rPr>
          <w:rFonts w:ascii="Times New Roman" w:hAnsi="Times New Roman" w:cs="Times New Roman"/>
          <w:szCs w:val="24"/>
        </w:rPr>
        <w:t xml:space="preserve"> expansão da taxa de investimento e crescimento do produto. Esses desdobramentos partem da tese da repressão financeira (MCKINNON, 1973; SHAW, 1973) e do modelo neoclássico de crescimento (SOLOW, 1956), o qual advoga que a escassez de capital nos países em desenvolvimento motivaria o influxo de capitais estrangeiros em busca de maiores retornos.</w:t>
      </w:r>
    </w:p>
    <w:p w:rsidR="00C86CCF" w:rsidRDefault="00CB1ACB" w:rsidP="00B35B71">
      <w:pPr>
        <w:spacing w:after="0" w:line="240" w:lineRule="auto"/>
        <w:rPr>
          <w:rFonts w:ascii="Times New Roman" w:hAnsi="Times New Roman" w:cs="Times New Roman"/>
          <w:szCs w:val="24"/>
        </w:rPr>
      </w:pPr>
      <w:r>
        <w:rPr>
          <w:rFonts w:ascii="Times New Roman" w:hAnsi="Times New Roman" w:cs="Times New Roman"/>
          <w:szCs w:val="24"/>
        </w:rPr>
        <w:tab/>
        <w:t xml:space="preserve">Tal perspectiva </w:t>
      </w:r>
      <w:r w:rsidR="00F113CF">
        <w:rPr>
          <w:rFonts w:ascii="Times New Roman" w:hAnsi="Times New Roman" w:cs="Times New Roman"/>
          <w:szCs w:val="24"/>
        </w:rPr>
        <w:t xml:space="preserve">sublinha </w:t>
      </w:r>
      <w:r>
        <w:rPr>
          <w:rFonts w:ascii="Times New Roman" w:hAnsi="Times New Roman" w:cs="Times New Roman"/>
          <w:szCs w:val="24"/>
        </w:rPr>
        <w:t>os chamados benefícios colaterais da liberalização, os quais se concentram na relação</w:t>
      </w:r>
      <w:r w:rsidRPr="00CB1ACB">
        <w:rPr>
          <w:rFonts w:ascii="Times New Roman" w:hAnsi="Times New Roman" w:cs="Times New Roman"/>
          <w:szCs w:val="24"/>
        </w:rPr>
        <w:t xml:space="preserve"> entre liberalização financeira e desenvolvimento do sistema financeiro doméstico. De acordo com Levine (2001), a entrada de bancos estrangeiros permitiria uma maior competição, um crescimento da oferta de crédito, uma melhoria da supervisão e o avanço da transparência informacional – o que também elevaria a produtividade total dos fatores. Ganhos de eficiência no direcionamento das poupanças e importação de melhores práticas creditícias e regulatórias (MISHKIN, 2005) também são associados à presença de bancos estrangeiros em sistemas financeiros subdesenvolvidos. Por sua vez, Fischer (1998) e Prasad </w:t>
      </w:r>
      <w:r w:rsidRPr="00CB1ACB">
        <w:rPr>
          <w:rFonts w:ascii="Times New Roman" w:hAnsi="Times New Roman" w:cs="Times New Roman"/>
          <w:i/>
          <w:szCs w:val="24"/>
        </w:rPr>
        <w:t>et al</w:t>
      </w:r>
      <w:r w:rsidRPr="00CB1ACB">
        <w:rPr>
          <w:rFonts w:ascii="Times New Roman" w:hAnsi="Times New Roman" w:cs="Times New Roman"/>
          <w:szCs w:val="24"/>
        </w:rPr>
        <w:t>. (2003) concentram-se em pontos como aprimoramento institucional, transferência de tecnologia e de melhores práticas corporativas via investimento estrangeiro direto, suporte à liberalização comercial, apoio à especialização produtiva e expansão do comércio ao redor do mundo.</w:t>
      </w:r>
      <w:r>
        <w:rPr>
          <w:rFonts w:ascii="Times New Roman" w:hAnsi="Times New Roman" w:cs="Times New Roman"/>
          <w:szCs w:val="24"/>
        </w:rPr>
        <w:t xml:space="preserve"> </w:t>
      </w:r>
    </w:p>
    <w:p w:rsidR="00CB1ACB" w:rsidRPr="00C86CCF" w:rsidRDefault="00CB1ACB" w:rsidP="00B35B71">
      <w:pPr>
        <w:spacing w:after="0" w:line="240" w:lineRule="auto"/>
        <w:ind w:firstLine="708"/>
        <w:rPr>
          <w:rFonts w:ascii="Times New Roman" w:hAnsi="Times New Roman" w:cs="Times New Roman"/>
          <w:szCs w:val="24"/>
        </w:rPr>
      </w:pPr>
      <w:r w:rsidRPr="00CB1ACB">
        <w:rPr>
          <w:rFonts w:ascii="Times New Roman" w:hAnsi="Times New Roman" w:cs="Times New Roman"/>
          <w:szCs w:val="24"/>
        </w:rPr>
        <w:t>Há também a visão política neoliberal, a qual toma a livre mobilidade de capitais entre os diversos países como parte integrante do direito de propriedade e, portanto, da liberdade individual. Nesse sentido, espera-se ainda que o aumento da integração financeira de um país aos mercados globais exerça um papel disciplinador sobre a política econômica, principalmente, no caso de governos propensos a medidas fiscais e monetárias de caráter expansionista (FISCHER, 199</w:t>
      </w:r>
      <w:r w:rsidR="00BC5DAC">
        <w:rPr>
          <w:rFonts w:ascii="Times New Roman" w:hAnsi="Times New Roman" w:cs="Times New Roman"/>
          <w:szCs w:val="24"/>
        </w:rPr>
        <w:t>8</w:t>
      </w:r>
      <w:r w:rsidRPr="00CB1ACB">
        <w:rPr>
          <w:rFonts w:ascii="Times New Roman" w:hAnsi="Times New Roman" w:cs="Times New Roman"/>
          <w:szCs w:val="24"/>
        </w:rPr>
        <w:t xml:space="preserve">; PRASAD </w:t>
      </w:r>
      <w:r w:rsidRPr="00BC5DAC">
        <w:rPr>
          <w:rFonts w:ascii="Times New Roman" w:hAnsi="Times New Roman" w:cs="Times New Roman"/>
          <w:i/>
          <w:szCs w:val="24"/>
        </w:rPr>
        <w:t>et al.</w:t>
      </w:r>
      <w:r w:rsidRPr="00CB1ACB">
        <w:rPr>
          <w:rFonts w:ascii="Times New Roman" w:hAnsi="Times New Roman" w:cs="Times New Roman"/>
          <w:szCs w:val="24"/>
        </w:rPr>
        <w:t>, 2003).</w:t>
      </w:r>
    </w:p>
    <w:p w:rsidR="00CB1ACB" w:rsidRPr="0075391E" w:rsidRDefault="00CB1ACB" w:rsidP="00B35B71">
      <w:pPr>
        <w:spacing w:after="0" w:line="240" w:lineRule="auto"/>
        <w:rPr>
          <w:rFonts w:ascii="Times New Roman" w:eastAsia="Calibri" w:hAnsi="Times New Roman" w:cs="Times New Roman"/>
          <w:szCs w:val="24"/>
          <w:lang w:eastAsia="pt-BR"/>
        </w:rPr>
      </w:pPr>
      <w:r>
        <w:rPr>
          <w:rFonts w:ascii="Times New Roman" w:hAnsi="Times New Roman" w:cs="Times New Roman"/>
          <w:szCs w:val="24"/>
        </w:rPr>
        <w:tab/>
        <w:t xml:space="preserve">Por outro lado, </w:t>
      </w:r>
      <w:r w:rsidRPr="00CB1ACB">
        <w:rPr>
          <w:rFonts w:ascii="Times New Roman" w:hAnsi="Times New Roman" w:cs="Times New Roman"/>
          <w:szCs w:val="24"/>
        </w:rPr>
        <w:t>as críticas à liberalização financeira organizam</w:t>
      </w:r>
      <w:r w:rsidR="009154B8">
        <w:rPr>
          <w:rFonts w:ascii="Times New Roman" w:hAnsi="Times New Roman" w:cs="Times New Roman"/>
          <w:szCs w:val="24"/>
        </w:rPr>
        <w:t>-se</w:t>
      </w:r>
      <w:r w:rsidRPr="00CB1ACB">
        <w:rPr>
          <w:rFonts w:ascii="Times New Roman" w:hAnsi="Times New Roman" w:cs="Times New Roman"/>
          <w:szCs w:val="24"/>
        </w:rPr>
        <w:t xml:space="preserve"> em torno </w:t>
      </w:r>
      <w:r w:rsidR="00AA50AD">
        <w:rPr>
          <w:rFonts w:ascii="Times New Roman" w:hAnsi="Times New Roman" w:cs="Times New Roman"/>
          <w:szCs w:val="24"/>
        </w:rPr>
        <w:t xml:space="preserve">da identificação </w:t>
      </w:r>
      <w:r w:rsidRPr="00CB1ACB">
        <w:rPr>
          <w:rFonts w:ascii="Times New Roman" w:hAnsi="Times New Roman" w:cs="Times New Roman"/>
          <w:szCs w:val="24"/>
        </w:rPr>
        <w:t>dos seguintes problemas: i) perda de autonomia da política monetária doméstica e transmissão de choques externos; ii) desdobramentos negativos no desempenho macroeconômico; e iii) impactos sobre o sistema financeiro doméstico. No primeiro ponto, a própria literatura convencional traz o conceito de ciclo financeiro global, já exposto na introdução, o qual se desdobra na amplificação de flutuações econômicas, deslocamentos econômicos e problemas financeiros, relacionando-se ao comportamento pró-cí</w:t>
      </w:r>
      <w:r w:rsidR="0075391E">
        <w:rPr>
          <w:rFonts w:ascii="Times New Roman" w:hAnsi="Times New Roman" w:cs="Times New Roman"/>
          <w:szCs w:val="24"/>
        </w:rPr>
        <w:t xml:space="preserve">clico dos mercados financeiros </w:t>
      </w:r>
      <w:r w:rsidR="00F113CF">
        <w:rPr>
          <w:rFonts w:ascii="Times New Roman" w:hAnsi="Times New Roman" w:cs="Times New Roman"/>
          <w:szCs w:val="24"/>
        </w:rPr>
        <w:t>(BORIO, 2012</w:t>
      </w:r>
      <w:r w:rsidR="00DB3059">
        <w:rPr>
          <w:rFonts w:ascii="Times New Roman" w:hAnsi="Times New Roman" w:cs="Times New Roman"/>
          <w:szCs w:val="24"/>
        </w:rPr>
        <w:t xml:space="preserve">; </w:t>
      </w:r>
      <w:r w:rsidR="003013C8">
        <w:rPr>
          <w:rFonts w:ascii="Times New Roman" w:hAnsi="Times New Roman" w:cs="Times New Roman"/>
          <w:szCs w:val="24"/>
        </w:rPr>
        <w:t xml:space="preserve">BIS, 2015; </w:t>
      </w:r>
      <w:r w:rsidR="00DB3059" w:rsidRPr="00DB3059">
        <w:rPr>
          <w:rFonts w:ascii="Times New Roman" w:hAnsi="Times New Roman" w:cs="Times New Roman"/>
        </w:rPr>
        <w:t>AKYÜZ</w:t>
      </w:r>
      <w:r w:rsidR="00DB3059">
        <w:rPr>
          <w:rFonts w:ascii="Times New Roman" w:hAnsi="Times New Roman" w:cs="Times New Roman"/>
        </w:rPr>
        <w:t>, 2015</w:t>
      </w:r>
      <w:r w:rsidR="00F113CF">
        <w:rPr>
          <w:rFonts w:ascii="Times New Roman" w:hAnsi="Times New Roman" w:cs="Times New Roman"/>
          <w:szCs w:val="24"/>
        </w:rPr>
        <w:t>). Rey (2013)</w:t>
      </w:r>
      <w:r w:rsidRPr="00CB1ACB">
        <w:rPr>
          <w:rFonts w:ascii="Times New Roman" w:hAnsi="Times New Roman" w:cs="Times New Roman"/>
          <w:szCs w:val="24"/>
        </w:rPr>
        <w:t xml:space="preserve"> destaca que os fluxos de capitais (principalmente, de curto prazo) para economias em desenvolvimento respondem a fatores externos a estas, como o sentido da política monetária estadunidense, o apetite frente ao risco dos investidores globais e o desempenho das economias avançadas. </w:t>
      </w:r>
    </w:p>
    <w:p w:rsidR="008253F9" w:rsidRDefault="00CB1ACB" w:rsidP="00B35B71">
      <w:pPr>
        <w:spacing w:after="0" w:line="240" w:lineRule="auto"/>
        <w:ind w:firstLine="708"/>
        <w:rPr>
          <w:rFonts w:ascii="Times New Roman" w:hAnsi="Times New Roman" w:cs="Times New Roman"/>
          <w:szCs w:val="24"/>
        </w:rPr>
      </w:pPr>
      <w:r w:rsidRPr="00CB1ACB">
        <w:rPr>
          <w:rFonts w:ascii="Times New Roman" w:hAnsi="Times New Roman" w:cs="Times New Roman"/>
          <w:szCs w:val="24"/>
        </w:rPr>
        <w:t>Nesse sentido, Gallagher (2012) afirma que no período ascendente do ciclo financeiro, os especuladores acessam os mercados emergentes em busca de ganhos com diferenciais de taxa de juros e movimentos na taxa de câmbio (</w:t>
      </w:r>
      <w:r w:rsidRPr="0075391E">
        <w:rPr>
          <w:rFonts w:ascii="Times New Roman" w:hAnsi="Times New Roman" w:cs="Times New Roman"/>
          <w:i/>
          <w:szCs w:val="24"/>
        </w:rPr>
        <w:t>carry-trade</w:t>
      </w:r>
      <w:r w:rsidRPr="00CB1ACB">
        <w:rPr>
          <w:rFonts w:ascii="Times New Roman" w:hAnsi="Times New Roman" w:cs="Times New Roman"/>
          <w:szCs w:val="24"/>
        </w:rPr>
        <w:t>), gerando efeitos desestabilizadores em países em desenvolvimento, portadores de sistemas financeiros menos desenvolvidos e diversificados. Portanto, há que se notar que não há identidade necessária entre os interesses dos agentes dominantes do mercado financeiro global e a estabilidade financeira de um país determinado (KREGEL, 1996), o que coloca a necessidade de administração da conta capital por meio de controles e políticas macroprudenciais.</w:t>
      </w:r>
    </w:p>
    <w:p w:rsidR="0075391E" w:rsidRPr="0075391E" w:rsidRDefault="0075391E" w:rsidP="00B35B71">
      <w:pPr>
        <w:spacing w:after="0" w:line="240" w:lineRule="auto"/>
        <w:ind w:firstLine="708"/>
        <w:rPr>
          <w:rFonts w:ascii="Times New Roman" w:hAnsi="Times New Roman" w:cs="Times New Roman"/>
          <w:szCs w:val="24"/>
        </w:rPr>
      </w:pPr>
      <w:r>
        <w:rPr>
          <w:rFonts w:ascii="Times New Roman" w:hAnsi="Times New Roman" w:cs="Times New Roman"/>
          <w:szCs w:val="24"/>
        </w:rPr>
        <w:lastRenderedPageBreak/>
        <w:t xml:space="preserve">No que tange ao desempenho macroeconômico, sublinha-se os desdobramentos cambiais, bem como as consequências em termos de evolução da estrutura produtiva. Sobre o primeiro ponto, </w:t>
      </w:r>
      <w:r w:rsidRPr="0075391E">
        <w:rPr>
          <w:rFonts w:ascii="Times New Roman" w:hAnsi="Times New Roman" w:cs="Times New Roman"/>
          <w:szCs w:val="24"/>
        </w:rPr>
        <w:t>Davidson (2002) conecta a ascensão e o predomínio do regime de câmbio flexível após a derrocada do SBW com o aumento da volatilidade cambial, o que aprofunda a incerteza e reduz o horizonte dos agentes. A amplificação da incerteza frente aos movimentos da taxa de câmbio após choques exógenos desdobra-se no desincentivo a compromissos internacionais de longo período (como são os investimentos produtivos) e no incentivo a movimentos de curto prazo de capitais por razões precaucionais e especulativas. Na mesma li</w:t>
      </w:r>
      <w:r w:rsidR="00663BDE">
        <w:rPr>
          <w:rFonts w:ascii="Times New Roman" w:hAnsi="Times New Roman" w:cs="Times New Roman"/>
          <w:szCs w:val="24"/>
        </w:rPr>
        <w:t>nha, o relatório do BIS (2015) nota</w:t>
      </w:r>
      <w:r w:rsidRPr="0075391E">
        <w:rPr>
          <w:rFonts w:ascii="Times New Roman" w:hAnsi="Times New Roman" w:cs="Times New Roman"/>
          <w:szCs w:val="24"/>
        </w:rPr>
        <w:t xml:space="preserve"> que a livre mobilidade de capital engendra o problema da ultrapassagem (</w:t>
      </w:r>
      <w:r w:rsidRPr="0075391E">
        <w:rPr>
          <w:rFonts w:ascii="Times New Roman" w:hAnsi="Times New Roman" w:cs="Times New Roman"/>
          <w:i/>
          <w:szCs w:val="24"/>
        </w:rPr>
        <w:t>overshooting</w:t>
      </w:r>
      <w:r>
        <w:rPr>
          <w:rFonts w:ascii="Times New Roman" w:hAnsi="Times New Roman" w:cs="Times New Roman"/>
          <w:szCs w:val="24"/>
        </w:rPr>
        <w:t>) da taxa de câmbio</w:t>
      </w:r>
      <w:r w:rsidRPr="0075391E">
        <w:rPr>
          <w:rFonts w:ascii="Times New Roman" w:hAnsi="Times New Roman" w:cs="Times New Roman"/>
          <w:szCs w:val="24"/>
        </w:rPr>
        <w:t xml:space="preserve">, o que enfraquece o setor de bens comercializáveis, amplia o endividamento das corporações e diminui o horizonte de formulação dos </w:t>
      </w:r>
      <w:r w:rsidRPr="00663BDE">
        <w:rPr>
          <w:rFonts w:ascii="Times New Roman" w:hAnsi="Times New Roman" w:cs="Times New Roman"/>
          <w:i/>
          <w:szCs w:val="24"/>
        </w:rPr>
        <w:t>policemakers</w:t>
      </w:r>
      <w:r w:rsidRPr="0075391E">
        <w:rPr>
          <w:rFonts w:ascii="Times New Roman" w:hAnsi="Times New Roman" w:cs="Times New Roman"/>
          <w:szCs w:val="24"/>
        </w:rPr>
        <w:t>.</w:t>
      </w:r>
    </w:p>
    <w:p w:rsidR="0075391E" w:rsidRDefault="002B4925" w:rsidP="00B35B71">
      <w:pPr>
        <w:spacing w:after="0" w:line="240" w:lineRule="auto"/>
        <w:ind w:firstLine="708"/>
        <w:rPr>
          <w:rFonts w:ascii="Times New Roman" w:hAnsi="Times New Roman" w:cs="Times New Roman"/>
          <w:szCs w:val="24"/>
        </w:rPr>
      </w:pPr>
      <w:r>
        <w:rPr>
          <w:rFonts w:ascii="Times New Roman" w:hAnsi="Times New Roman" w:cs="Times New Roman"/>
          <w:szCs w:val="24"/>
        </w:rPr>
        <w:t xml:space="preserve">Em termos de estrutura produtiva, </w:t>
      </w:r>
      <w:r w:rsidRPr="002B4925">
        <w:rPr>
          <w:rFonts w:ascii="Times New Roman" w:hAnsi="Times New Roman" w:cs="Times New Roman"/>
          <w:szCs w:val="24"/>
        </w:rPr>
        <w:t>Thirlwall (2005</w:t>
      </w:r>
      <w:r w:rsidR="00663BDE">
        <w:rPr>
          <w:rFonts w:ascii="Times New Roman" w:hAnsi="Times New Roman" w:cs="Times New Roman"/>
          <w:szCs w:val="24"/>
        </w:rPr>
        <w:t>)</w:t>
      </w:r>
      <w:r w:rsidRPr="002B4925">
        <w:rPr>
          <w:rFonts w:ascii="Times New Roman" w:hAnsi="Times New Roman" w:cs="Times New Roman"/>
          <w:szCs w:val="24"/>
        </w:rPr>
        <w:t xml:space="preserve"> observa que a diminuição da competitividade das exportações industriais, devido à apreciação cambial, amplia o hiato entre as elasticidades-renda das exportações de países desenvolvidos e em desenvolvimento, consolidando o sistema centro-periferia a partir da diferença das taxas de crescimento (com estabilidade no balanço de pagamentos) entre os dois grupos de países. Ainda a respeito d</w:t>
      </w:r>
      <w:r w:rsidR="00D0742D">
        <w:rPr>
          <w:rFonts w:ascii="Times New Roman" w:hAnsi="Times New Roman" w:cs="Times New Roman"/>
          <w:szCs w:val="24"/>
        </w:rPr>
        <w:t>esse tema</w:t>
      </w:r>
      <w:r w:rsidRPr="002B4925">
        <w:rPr>
          <w:rFonts w:ascii="Times New Roman" w:hAnsi="Times New Roman" w:cs="Times New Roman"/>
          <w:szCs w:val="24"/>
        </w:rPr>
        <w:t>, Grabel (1995) aponta que a liberalização financeira gera novas oportunidades de lucros gerado</w:t>
      </w:r>
      <w:r>
        <w:rPr>
          <w:rFonts w:ascii="Times New Roman" w:hAnsi="Times New Roman" w:cs="Times New Roman"/>
          <w:szCs w:val="24"/>
        </w:rPr>
        <w:t>s por atividades não</w:t>
      </w:r>
      <w:r w:rsidR="00D0742D">
        <w:rPr>
          <w:rFonts w:ascii="Times New Roman" w:hAnsi="Times New Roman" w:cs="Times New Roman"/>
          <w:szCs w:val="24"/>
        </w:rPr>
        <w:t xml:space="preserve"> </w:t>
      </w:r>
      <w:r>
        <w:rPr>
          <w:rFonts w:ascii="Times New Roman" w:hAnsi="Times New Roman" w:cs="Times New Roman"/>
          <w:szCs w:val="24"/>
        </w:rPr>
        <w:t>produtivas</w:t>
      </w:r>
      <w:r w:rsidRPr="002B4925">
        <w:rPr>
          <w:rFonts w:ascii="Times New Roman" w:hAnsi="Times New Roman" w:cs="Times New Roman"/>
          <w:szCs w:val="24"/>
        </w:rPr>
        <w:t>, engendrando um modelo de desenvolvimento liderado pela especulação – caracterizado pela preponderância de práticas arriscadas de investimento, de estruturas financeiras instáveis e de baixas taxas de crescimento do setor real.</w:t>
      </w:r>
    </w:p>
    <w:p w:rsidR="002B4925" w:rsidRDefault="002B4925" w:rsidP="00B35B71">
      <w:pPr>
        <w:spacing w:after="0" w:line="240" w:lineRule="auto"/>
        <w:ind w:firstLine="708"/>
        <w:rPr>
          <w:rFonts w:ascii="Times New Roman" w:hAnsi="Times New Roman" w:cs="Times New Roman"/>
          <w:szCs w:val="24"/>
        </w:rPr>
      </w:pPr>
      <w:r>
        <w:rPr>
          <w:rFonts w:ascii="Times New Roman" w:hAnsi="Times New Roman" w:cs="Times New Roman"/>
          <w:szCs w:val="24"/>
        </w:rPr>
        <w:t xml:space="preserve">Por fim, passando aos impactos sobre o sistema financeiro doméstico, </w:t>
      </w:r>
      <w:r w:rsidRPr="002B4925">
        <w:rPr>
          <w:rFonts w:ascii="Times New Roman" w:hAnsi="Times New Roman" w:cs="Times New Roman"/>
          <w:szCs w:val="24"/>
        </w:rPr>
        <w:t>Prasad, Rajan e Subramanian (2007) notam que o capital estrangeiro pode auxiliar na ampliação do poder de mercado de intermediários financeiros oligopolistas domésticos ou tomar para si o financiamento dos setores mais dinâmicos.</w:t>
      </w:r>
      <w:r>
        <w:rPr>
          <w:rFonts w:ascii="Times New Roman" w:hAnsi="Times New Roman" w:cs="Times New Roman"/>
          <w:szCs w:val="24"/>
        </w:rPr>
        <w:t xml:space="preserve"> Além disso, </w:t>
      </w:r>
      <w:r w:rsidRPr="002B4925">
        <w:rPr>
          <w:rFonts w:ascii="Times New Roman" w:hAnsi="Times New Roman" w:cs="Times New Roman"/>
          <w:szCs w:val="24"/>
        </w:rPr>
        <w:t xml:space="preserve">Ostry </w:t>
      </w:r>
      <w:r w:rsidRPr="002B4925">
        <w:rPr>
          <w:rFonts w:ascii="Times New Roman" w:hAnsi="Times New Roman" w:cs="Times New Roman"/>
          <w:i/>
          <w:szCs w:val="24"/>
        </w:rPr>
        <w:t>et al.</w:t>
      </w:r>
      <w:r w:rsidRPr="002B4925">
        <w:rPr>
          <w:rFonts w:ascii="Times New Roman" w:hAnsi="Times New Roman" w:cs="Times New Roman"/>
          <w:szCs w:val="24"/>
        </w:rPr>
        <w:t xml:space="preserve"> (2010) e Stiglitz (2000) afirmam que a entrada de capitais em um mercado emergente pode levar a um endividamento excessivo em moeda estrangeira e a uma exposição </w:t>
      </w:r>
      <w:r w:rsidR="00D0742D">
        <w:rPr>
          <w:rFonts w:ascii="Times New Roman" w:hAnsi="Times New Roman" w:cs="Times New Roman"/>
          <w:szCs w:val="24"/>
        </w:rPr>
        <w:t>demasiada</w:t>
      </w:r>
      <w:r w:rsidRPr="002B4925">
        <w:rPr>
          <w:rFonts w:ascii="Times New Roman" w:hAnsi="Times New Roman" w:cs="Times New Roman"/>
          <w:szCs w:val="24"/>
        </w:rPr>
        <w:t xml:space="preserve"> ao risco cambial, bem como a uma distorção nos preços financeiros.</w:t>
      </w:r>
    </w:p>
    <w:p w:rsidR="00D931E8" w:rsidRDefault="00D931E8" w:rsidP="00B35B71">
      <w:pPr>
        <w:spacing w:after="0" w:line="240" w:lineRule="auto"/>
        <w:rPr>
          <w:rFonts w:ascii="Times New Roman" w:hAnsi="Times New Roman" w:cs="Times New Roman"/>
          <w:szCs w:val="24"/>
        </w:rPr>
      </w:pPr>
    </w:p>
    <w:p w:rsidR="00D931E8" w:rsidRDefault="00D931E8" w:rsidP="00B35B71">
      <w:pPr>
        <w:spacing w:after="0" w:line="240" w:lineRule="auto"/>
        <w:rPr>
          <w:rFonts w:ascii="Times New Roman" w:hAnsi="Times New Roman" w:cs="Times New Roman"/>
          <w:b/>
          <w:szCs w:val="24"/>
        </w:rPr>
      </w:pPr>
      <w:r w:rsidRPr="00D931E8">
        <w:rPr>
          <w:rFonts w:ascii="Times New Roman" w:hAnsi="Times New Roman" w:cs="Times New Roman"/>
          <w:b/>
          <w:szCs w:val="24"/>
        </w:rPr>
        <w:t>3</w:t>
      </w:r>
      <w:r>
        <w:rPr>
          <w:rFonts w:ascii="Times New Roman" w:hAnsi="Times New Roman" w:cs="Times New Roman"/>
          <w:b/>
          <w:szCs w:val="24"/>
        </w:rPr>
        <w:t xml:space="preserve">. </w:t>
      </w:r>
      <w:r w:rsidR="00851A67">
        <w:rPr>
          <w:rFonts w:ascii="Times New Roman" w:hAnsi="Times New Roman" w:cs="Times New Roman"/>
          <w:b/>
          <w:szCs w:val="24"/>
        </w:rPr>
        <w:t>Revisão da literatura empírica: indicadores possíveis e alternativas de estimação</w:t>
      </w:r>
    </w:p>
    <w:p w:rsidR="00D931E8" w:rsidRDefault="00FC20F2" w:rsidP="00B35B71">
      <w:pPr>
        <w:spacing w:after="0" w:line="240" w:lineRule="auto"/>
        <w:rPr>
          <w:rFonts w:ascii="Times New Roman" w:hAnsi="Times New Roman" w:cs="Times New Roman"/>
          <w:szCs w:val="24"/>
        </w:rPr>
      </w:pPr>
      <w:r>
        <w:rPr>
          <w:rFonts w:ascii="Times New Roman" w:hAnsi="Times New Roman" w:cs="Times New Roman"/>
          <w:szCs w:val="24"/>
        </w:rPr>
        <w:tab/>
        <w:t xml:space="preserve">A revisão da literatura empírica a respeito da liberalização financeira externa e suas consequências pode ser organizada em </w:t>
      </w:r>
      <w:r w:rsidR="00D0742D">
        <w:rPr>
          <w:rFonts w:ascii="Times New Roman" w:hAnsi="Times New Roman" w:cs="Times New Roman"/>
          <w:szCs w:val="24"/>
        </w:rPr>
        <w:t>duas partes</w:t>
      </w:r>
      <w:r>
        <w:rPr>
          <w:rFonts w:ascii="Times New Roman" w:hAnsi="Times New Roman" w:cs="Times New Roman"/>
          <w:szCs w:val="24"/>
        </w:rPr>
        <w:t xml:space="preserve">. </w:t>
      </w:r>
      <w:r w:rsidR="009154B8">
        <w:rPr>
          <w:rFonts w:ascii="Times New Roman" w:hAnsi="Times New Roman" w:cs="Times New Roman"/>
          <w:szCs w:val="24"/>
        </w:rPr>
        <w:t>Inicialmente</w:t>
      </w:r>
      <w:r>
        <w:rPr>
          <w:rFonts w:ascii="Times New Roman" w:hAnsi="Times New Roman" w:cs="Times New Roman"/>
          <w:szCs w:val="24"/>
        </w:rPr>
        <w:t xml:space="preserve">, </w:t>
      </w:r>
      <w:r w:rsidR="009154B8">
        <w:rPr>
          <w:rFonts w:ascii="Times New Roman" w:hAnsi="Times New Roman" w:cs="Times New Roman"/>
          <w:szCs w:val="24"/>
        </w:rPr>
        <w:t>são apresentadas</w:t>
      </w:r>
      <w:r>
        <w:rPr>
          <w:rFonts w:ascii="Times New Roman" w:hAnsi="Times New Roman" w:cs="Times New Roman"/>
          <w:szCs w:val="24"/>
        </w:rPr>
        <w:t xml:space="preserve"> as diversas alternativas de mensuração de fenômeno para, após isso, traçar um panorama do emprego de tais indicadores na estimação das consequências de um avanço no grau de liberalização. Nesse sentido, </w:t>
      </w:r>
      <w:r w:rsidR="00D0742D">
        <w:rPr>
          <w:rFonts w:ascii="Times New Roman" w:hAnsi="Times New Roman" w:cs="Times New Roman"/>
          <w:szCs w:val="24"/>
        </w:rPr>
        <w:t>segue-se</w:t>
      </w:r>
      <w:r>
        <w:rPr>
          <w:rFonts w:ascii="Times New Roman" w:hAnsi="Times New Roman" w:cs="Times New Roman"/>
          <w:szCs w:val="24"/>
        </w:rPr>
        <w:t xml:space="preserve"> a orientação de Edison </w:t>
      </w:r>
      <w:r>
        <w:rPr>
          <w:rFonts w:ascii="Times New Roman" w:hAnsi="Times New Roman" w:cs="Times New Roman"/>
          <w:i/>
          <w:szCs w:val="24"/>
        </w:rPr>
        <w:t xml:space="preserve">et al. </w:t>
      </w:r>
      <w:r>
        <w:rPr>
          <w:rFonts w:ascii="Times New Roman" w:hAnsi="Times New Roman" w:cs="Times New Roman"/>
          <w:szCs w:val="24"/>
        </w:rPr>
        <w:t xml:space="preserve">(2002a, 2002b) e Prasad </w:t>
      </w:r>
      <w:r>
        <w:rPr>
          <w:rFonts w:ascii="Times New Roman" w:hAnsi="Times New Roman" w:cs="Times New Roman"/>
          <w:i/>
          <w:szCs w:val="24"/>
        </w:rPr>
        <w:t>et al.</w:t>
      </w:r>
      <w:r>
        <w:rPr>
          <w:rFonts w:ascii="Times New Roman" w:hAnsi="Times New Roman" w:cs="Times New Roman"/>
          <w:szCs w:val="24"/>
        </w:rPr>
        <w:t xml:space="preserve"> (2003), dentre outros, adotando a diferenciação entre abertura e integração financeira, dado que a primeira </w:t>
      </w:r>
      <w:r w:rsidRPr="00FC20F2">
        <w:rPr>
          <w:rFonts w:ascii="Times New Roman" w:hAnsi="Times New Roman" w:cs="Times New Roman"/>
          <w:szCs w:val="24"/>
        </w:rPr>
        <w:t>é um fenômeno institucional e se refere à eliminação de barreiras para que residentes adquiram ativos e constituam passivos no exterior, e que não residentes faç</w:t>
      </w:r>
      <w:r w:rsidR="00215A1B">
        <w:rPr>
          <w:rFonts w:ascii="Times New Roman" w:hAnsi="Times New Roman" w:cs="Times New Roman"/>
          <w:szCs w:val="24"/>
        </w:rPr>
        <w:t>am o mesmo no mercado doméstico</w:t>
      </w:r>
      <w:r>
        <w:rPr>
          <w:rFonts w:ascii="Times New Roman" w:hAnsi="Times New Roman" w:cs="Times New Roman"/>
          <w:szCs w:val="24"/>
        </w:rPr>
        <w:t>, enquanto a segunda</w:t>
      </w:r>
      <w:r w:rsidRPr="00FC20F2">
        <w:rPr>
          <w:rFonts w:ascii="Times New Roman" w:hAnsi="Times New Roman" w:cs="Times New Roman"/>
          <w:szCs w:val="24"/>
        </w:rPr>
        <w:t xml:space="preserve"> revela em que medida uma economia está efetivamente integrada, por meio dos fluxos financeiros e/ou pela dinâmica de preços dos ativos.</w:t>
      </w:r>
    </w:p>
    <w:p w:rsidR="00FC20F2" w:rsidRDefault="00FC20F2" w:rsidP="00B35B71">
      <w:pPr>
        <w:spacing w:after="0" w:line="240" w:lineRule="auto"/>
        <w:rPr>
          <w:rFonts w:ascii="Times New Roman" w:hAnsi="Times New Roman" w:cs="Times New Roman"/>
          <w:szCs w:val="24"/>
        </w:rPr>
      </w:pPr>
      <w:r>
        <w:rPr>
          <w:rFonts w:ascii="Times New Roman" w:hAnsi="Times New Roman" w:cs="Times New Roman"/>
          <w:szCs w:val="24"/>
        </w:rPr>
        <w:tab/>
      </w:r>
      <w:r w:rsidR="009154B8">
        <w:rPr>
          <w:rFonts w:ascii="Times New Roman" w:hAnsi="Times New Roman" w:cs="Times New Roman"/>
          <w:szCs w:val="24"/>
        </w:rPr>
        <w:t>A</w:t>
      </w:r>
      <w:r>
        <w:rPr>
          <w:rFonts w:ascii="Times New Roman" w:hAnsi="Times New Roman" w:cs="Times New Roman"/>
          <w:szCs w:val="24"/>
        </w:rPr>
        <w:t xml:space="preserve"> maior parte dos indicadores relacionados à abertura da conta capital e financeira</w:t>
      </w:r>
      <w:r w:rsidR="00CC25E2">
        <w:rPr>
          <w:rFonts w:ascii="Times New Roman" w:hAnsi="Times New Roman" w:cs="Times New Roman"/>
          <w:szCs w:val="24"/>
        </w:rPr>
        <w:t xml:space="preserve"> – caso do </w:t>
      </w:r>
      <w:r w:rsidR="00CC25E2">
        <w:rPr>
          <w:rFonts w:ascii="Times New Roman" w:hAnsi="Times New Roman" w:cs="Times New Roman"/>
          <w:i/>
          <w:szCs w:val="24"/>
        </w:rPr>
        <w:t>SHARE</w:t>
      </w:r>
      <w:r w:rsidR="00CC25E2">
        <w:rPr>
          <w:rFonts w:ascii="Times New Roman" w:hAnsi="Times New Roman" w:cs="Times New Roman"/>
          <w:szCs w:val="24"/>
        </w:rPr>
        <w:t xml:space="preserve"> de </w:t>
      </w:r>
      <w:r w:rsidR="00CC25E2" w:rsidRPr="00FC20F2">
        <w:rPr>
          <w:rFonts w:ascii="Times New Roman" w:hAnsi="Times New Roman" w:cs="Times New Roman"/>
          <w:szCs w:val="24"/>
        </w:rPr>
        <w:t>Alesina, Grilli e Milesi-Ferretti (1993)</w:t>
      </w:r>
      <w:r w:rsidR="00CC25E2">
        <w:rPr>
          <w:rFonts w:ascii="Times New Roman" w:hAnsi="Times New Roman" w:cs="Times New Roman"/>
          <w:szCs w:val="24"/>
        </w:rPr>
        <w:t xml:space="preserve">, do </w:t>
      </w:r>
      <w:r w:rsidR="00CC25E2">
        <w:rPr>
          <w:rFonts w:ascii="Times New Roman" w:hAnsi="Times New Roman" w:cs="Times New Roman"/>
          <w:i/>
          <w:szCs w:val="24"/>
        </w:rPr>
        <w:t xml:space="preserve">KAOPEN </w:t>
      </w:r>
      <w:r w:rsidR="00CC25E2">
        <w:rPr>
          <w:rFonts w:ascii="Times New Roman" w:hAnsi="Times New Roman" w:cs="Times New Roman"/>
          <w:szCs w:val="24"/>
        </w:rPr>
        <w:t>de Chinn e Ito (2007), dentre outros -</w:t>
      </w:r>
      <w:r>
        <w:rPr>
          <w:rFonts w:ascii="Times New Roman" w:hAnsi="Times New Roman" w:cs="Times New Roman"/>
          <w:szCs w:val="24"/>
        </w:rPr>
        <w:t xml:space="preserve"> remonta ao </w:t>
      </w:r>
      <w:r w:rsidRPr="00FC20F2">
        <w:rPr>
          <w:rFonts w:ascii="Times New Roman" w:hAnsi="Times New Roman" w:cs="Times New Roman"/>
          <w:i/>
          <w:szCs w:val="24"/>
        </w:rPr>
        <w:t>Annual Report on Exchange Arrangements and Exchange Restrictions</w:t>
      </w:r>
      <w:r w:rsidRPr="00FC20F2">
        <w:rPr>
          <w:rFonts w:ascii="Times New Roman" w:hAnsi="Times New Roman" w:cs="Times New Roman"/>
          <w:szCs w:val="24"/>
        </w:rPr>
        <w:t xml:space="preserve"> (AREAER)</w:t>
      </w:r>
      <w:r>
        <w:rPr>
          <w:rFonts w:ascii="Times New Roman" w:hAnsi="Times New Roman" w:cs="Times New Roman"/>
          <w:szCs w:val="24"/>
        </w:rPr>
        <w:t>, editado pelo FMI</w:t>
      </w:r>
      <w:r w:rsidRPr="00FC20F2">
        <w:rPr>
          <w:rFonts w:ascii="Times New Roman" w:hAnsi="Times New Roman" w:cs="Times New Roman"/>
          <w:szCs w:val="24"/>
        </w:rPr>
        <w:t>.</w:t>
      </w:r>
      <w:r w:rsidR="006447A3">
        <w:rPr>
          <w:rFonts w:ascii="Times New Roman" w:hAnsi="Times New Roman" w:cs="Times New Roman"/>
          <w:szCs w:val="24"/>
        </w:rPr>
        <w:t xml:space="preserve"> Não obstante, autores como Quinn (1997), Schindler (2009) e Klein (2012) criticam as medidas binárias do AREAER, pois estas não levam em consideração as mudanças regulatórias, a intensidade dos controles ou mesmo o peso dos fluxos afetados por medidas específicas. Na mesma linha, há uma tradição brasileira de pesquisa, centrada no Índice de Controle de Capitais</w:t>
      </w:r>
      <w:r w:rsidR="00CC25E2">
        <w:rPr>
          <w:rFonts w:ascii="Times New Roman" w:hAnsi="Times New Roman" w:cs="Times New Roman"/>
          <w:szCs w:val="24"/>
        </w:rPr>
        <w:t xml:space="preserve"> (ICC)</w:t>
      </w:r>
      <w:r w:rsidR="006447A3">
        <w:rPr>
          <w:rFonts w:ascii="Times New Roman" w:hAnsi="Times New Roman" w:cs="Times New Roman"/>
          <w:szCs w:val="24"/>
        </w:rPr>
        <w:t xml:space="preserve"> de Cardoso e Goldfajn (1998), o qual confere notas específicas para cada medida implementada</w:t>
      </w:r>
      <w:r w:rsidR="00CC25E2">
        <w:rPr>
          <w:rFonts w:ascii="Times New Roman" w:hAnsi="Times New Roman" w:cs="Times New Roman"/>
          <w:szCs w:val="24"/>
        </w:rPr>
        <w:t xml:space="preserve">, levando em conta o sentido da mesma (se restritiva, regulamentar ou liberalizante). O ICC foi empregado, e modificado, em diversos estudos como Soihet (2002), Faria </w:t>
      </w:r>
      <w:r w:rsidR="00CC25E2">
        <w:rPr>
          <w:rFonts w:ascii="Times New Roman" w:hAnsi="Times New Roman" w:cs="Times New Roman"/>
          <w:i/>
          <w:szCs w:val="24"/>
        </w:rPr>
        <w:t xml:space="preserve">et al. </w:t>
      </w:r>
      <w:r w:rsidR="00CC25E2">
        <w:rPr>
          <w:rFonts w:ascii="Times New Roman" w:hAnsi="Times New Roman" w:cs="Times New Roman"/>
          <w:szCs w:val="24"/>
        </w:rPr>
        <w:t xml:space="preserve">(2009), Paula </w:t>
      </w:r>
      <w:r w:rsidR="00CC25E2">
        <w:rPr>
          <w:rFonts w:ascii="Times New Roman" w:hAnsi="Times New Roman" w:cs="Times New Roman"/>
          <w:i/>
          <w:szCs w:val="24"/>
        </w:rPr>
        <w:t xml:space="preserve">et al. </w:t>
      </w:r>
      <w:r w:rsidR="00CC25E2">
        <w:rPr>
          <w:rFonts w:ascii="Times New Roman" w:hAnsi="Times New Roman" w:cs="Times New Roman"/>
          <w:szCs w:val="24"/>
        </w:rPr>
        <w:t xml:space="preserve">(2012), </w:t>
      </w:r>
      <w:r w:rsidR="009B5846">
        <w:rPr>
          <w:rFonts w:ascii="Times New Roman" w:hAnsi="Times New Roman" w:cs="Times New Roman"/>
          <w:szCs w:val="24"/>
        </w:rPr>
        <w:t xml:space="preserve">Cunha e Laan </w:t>
      </w:r>
      <w:r w:rsidR="00CC25E2">
        <w:rPr>
          <w:rFonts w:ascii="Times New Roman" w:hAnsi="Times New Roman" w:cs="Times New Roman"/>
          <w:szCs w:val="24"/>
        </w:rPr>
        <w:t>(2013), dentre outros.</w:t>
      </w:r>
    </w:p>
    <w:p w:rsidR="00CC25E2" w:rsidRDefault="00CC25E2" w:rsidP="00B35B71">
      <w:pPr>
        <w:spacing w:after="0" w:line="240" w:lineRule="auto"/>
        <w:rPr>
          <w:rFonts w:ascii="Times New Roman" w:hAnsi="Times New Roman" w:cs="Times New Roman"/>
          <w:szCs w:val="24"/>
        </w:rPr>
      </w:pPr>
      <w:r>
        <w:rPr>
          <w:rFonts w:ascii="Times New Roman" w:hAnsi="Times New Roman" w:cs="Times New Roman"/>
          <w:szCs w:val="24"/>
        </w:rPr>
        <w:tab/>
        <w:t xml:space="preserve">Quanto à integração financeira, </w:t>
      </w:r>
      <w:r w:rsidRPr="00CC25E2">
        <w:rPr>
          <w:rFonts w:ascii="Times New Roman" w:hAnsi="Times New Roman" w:cs="Times New Roman"/>
          <w:szCs w:val="24"/>
        </w:rPr>
        <w:t>Obstfeld e Taylor (2004) apresentam tanto medidas baseadas em preços quanto em quantidades.</w:t>
      </w:r>
      <w:r>
        <w:rPr>
          <w:rFonts w:ascii="Times New Roman" w:hAnsi="Times New Roman" w:cs="Times New Roman"/>
          <w:szCs w:val="24"/>
        </w:rPr>
        <w:t xml:space="preserve"> Nas primeiras, </w:t>
      </w:r>
      <w:r w:rsidRPr="00CC25E2">
        <w:rPr>
          <w:rFonts w:ascii="Times New Roman" w:hAnsi="Times New Roman" w:cs="Times New Roman"/>
          <w:szCs w:val="24"/>
        </w:rPr>
        <w:t xml:space="preserve">Meese e Rogoff (1988) utilizam a convergência frente à </w:t>
      </w:r>
      <w:r w:rsidRPr="00CC25E2">
        <w:rPr>
          <w:rFonts w:ascii="Times New Roman" w:hAnsi="Times New Roman" w:cs="Times New Roman"/>
          <w:szCs w:val="24"/>
        </w:rPr>
        <w:lastRenderedPageBreak/>
        <w:t>taxa internacional de juros</w:t>
      </w:r>
      <w:r>
        <w:rPr>
          <w:rFonts w:ascii="Times New Roman" w:hAnsi="Times New Roman" w:cs="Times New Roman"/>
          <w:szCs w:val="24"/>
        </w:rPr>
        <w:t xml:space="preserve">, </w:t>
      </w:r>
      <w:r w:rsidR="00137F66">
        <w:rPr>
          <w:rFonts w:ascii="Times New Roman" w:hAnsi="Times New Roman" w:cs="Times New Roman"/>
          <w:szCs w:val="24"/>
        </w:rPr>
        <w:t>e</w:t>
      </w:r>
      <w:r>
        <w:rPr>
          <w:rFonts w:ascii="Times New Roman" w:hAnsi="Times New Roman" w:cs="Times New Roman"/>
          <w:szCs w:val="24"/>
        </w:rPr>
        <w:t xml:space="preserve"> Chamon e Garcia (2014) </w:t>
      </w:r>
      <w:r w:rsidR="00137F66">
        <w:rPr>
          <w:rFonts w:ascii="Times New Roman" w:hAnsi="Times New Roman" w:cs="Times New Roman"/>
          <w:szCs w:val="24"/>
        </w:rPr>
        <w:t>empregam</w:t>
      </w:r>
      <w:r>
        <w:rPr>
          <w:rFonts w:ascii="Times New Roman" w:hAnsi="Times New Roman" w:cs="Times New Roman"/>
          <w:szCs w:val="24"/>
        </w:rPr>
        <w:t xml:space="preserve"> </w:t>
      </w:r>
      <w:r w:rsidRPr="00CC25E2">
        <w:rPr>
          <w:rFonts w:ascii="Times New Roman" w:hAnsi="Times New Roman" w:cs="Times New Roman"/>
          <w:szCs w:val="24"/>
        </w:rPr>
        <w:t>taxas de retorno domésticas (</w:t>
      </w:r>
      <w:r w:rsidRPr="00CC25E2">
        <w:rPr>
          <w:rFonts w:ascii="Times New Roman" w:hAnsi="Times New Roman" w:cs="Times New Roman"/>
          <w:i/>
          <w:szCs w:val="24"/>
        </w:rPr>
        <w:t>onshore</w:t>
      </w:r>
      <w:r w:rsidRPr="00CC25E2">
        <w:rPr>
          <w:rFonts w:ascii="Times New Roman" w:hAnsi="Times New Roman" w:cs="Times New Roman"/>
          <w:szCs w:val="24"/>
        </w:rPr>
        <w:t>) e externas de um ativo semelhante (</w:t>
      </w:r>
      <w:r w:rsidRPr="00CC25E2">
        <w:rPr>
          <w:rFonts w:ascii="Times New Roman" w:hAnsi="Times New Roman" w:cs="Times New Roman"/>
          <w:i/>
          <w:szCs w:val="24"/>
        </w:rPr>
        <w:t>offshore</w:t>
      </w:r>
      <w:r w:rsidRPr="00CC25E2">
        <w:rPr>
          <w:rFonts w:ascii="Times New Roman" w:hAnsi="Times New Roman" w:cs="Times New Roman"/>
          <w:szCs w:val="24"/>
        </w:rPr>
        <w:t>)</w:t>
      </w:r>
      <w:r>
        <w:rPr>
          <w:rFonts w:ascii="Times New Roman" w:hAnsi="Times New Roman" w:cs="Times New Roman"/>
          <w:szCs w:val="24"/>
        </w:rPr>
        <w:t>.</w:t>
      </w:r>
      <w:r w:rsidR="00DC6E78">
        <w:rPr>
          <w:rFonts w:ascii="Times New Roman" w:hAnsi="Times New Roman" w:cs="Times New Roman"/>
          <w:szCs w:val="24"/>
        </w:rPr>
        <w:t xml:space="preserve"> Nas segundas, </w:t>
      </w:r>
      <w:r w:rsidR="00DC6E78" w:rsidRPr="00DC6E78">
        <w:rPr>
          <w:rFonts w:ascii="Times New Roman" w:hAnsi="Times New Roman" w:cs="Times New Roman"/>
          <w:szCs w:val="24"/>
        </w:rPr>
        <w:t>Lane e Milesi-Ferretti (2006) medem o grau de integração financeira a partir da ponderação dos estoques brutos (soma em módulo de ativos e passivos) pelo produto nominal</w:t>
      </w:r>
      <w:r w:rsidR="00DC6E78">
        <w:rPr>
          <w:rFonts w:ascii="Times New Roman" w:hAnsi="Times New Roman" w:cs="Times New Roman"/>
          <w:szCs w:val="24"/>
        </w:rPr>
        <w:t>, enquanto</w:t>
      </w:r>
      <w:r w:rsidR="00DC6E78" w:rsidRPr="00DC6E78">
        <w:rPr>
          <w:rFonts w:ascii="Times New Roman" w:hAnsi="Times New Roman" w:cs="Times New Roman"/>
          <w:szCs w:val="24"/>
        </w:rPr>
        <w:t xml:space="preserve"> Kraay (1998) recorre à soma dos fluxos de entrada e saída de capital, também ponderada pelo produto</w:t>
      </w:r>
      <w:r w:rsidR="00DC6E78">
        <w:rPr>
          <w:rFonts w:ascii="Times New Roman" w:hAnsi="Times New Roman" w:cs="Times New Roman"/>
          <w:szCs w:val="24"/>
        </w:rPr>
        <w:t>.</w:t>
      </w:r>
    </w:p>
    <w:p w:rsidR="00DC6E78" w:rsidRDefault="00DC6E78" w:rsidP="00B35B71">
      <w:pPr>
        <w:spacing w:after="0" w:line="240" w:lineRule="auto"/>
        <w:rPr>
          <w:rFonts w:ascii="Times New Roman" w:hAnsi="Times New Roman" w:cs="Times New Roman"/>
          <w:szCs w:val="24"/>
        </w:rPr>
      </w:pPr>
      <w:r>
        <w:rPr>
          <w:rFonts w:ascii="Times New Roman" w:hAnsi="Times New Roman" w:cs="Times New Roman"/>
          <w:szCs w:val="24"/>
        </w:rPr>
        <w:tab/>
        <w:t xml:space="preserve">Passando à apresentação dos trabalhos empíricos que estimam as consequências da liberalização, destaca-se a </w:t>
      </w:r>
      <w:r w:rsidRPr="00DC6E78">
        <w:rPr>
          <w:rFonts w:ascii="Times New Roman" w:hAnsi="Times New Roman" w:cs="Times New Roman"/>
          <w:szCs w:val="24"/>
        </w:rPr>
        <w:t>ambiguidade dos resultados encontrados</w:t>
      </w:r>
      <w:r>
        <w:rPr>
          <w:rFonts w:ascii="Times New Roman" w:hAnsi="Times New Roman" w:cs="Times New Roman"/>
          <w:szCs w:val="24"/>
        </w:rPr>
        <w:t xml:space="preserve">. Sobre isso, </w:t>
      </w:r>
      <w:r w:rsidRPr="00DC6E78">
        <w:rPr>
          <w:rFonts w:ascii="Times New Roman" w:hAnsi="Times New Roman" w:cs="Times New Roman"/>
          <w:szCs w:val="24"/>
        </w:rPr>
        <w:t xml:space="preserve">Edison </w:t>
      </w:r>
      <w:r w:rsidRPr="00DC6E78">
        <w:rPr>
          <w:rFonts w:ascii="Times New Roman" w:hAnsi="Times New Roman" w:cs="Times New Roman"/>
          <w:i/>
          <w:szCs w:val="24"/>
        </w:rPr>
        <w:t>et al.</w:t>
      </w:r>
      <w:r w:rsidRPr="00DC6E78">
        <w:rPr>
          <w:rFonts w:ascii="Times New Roman" w:hAnsi="Times New Roman" w:cs="Times New Roman"/>
          <w:szCs w:val="24"/>
        </w:rPr>
        <w:t xml:space="preserve"> (2002a)</w:t>
      </w:r>
      <w:r>
        <w:rPr>
          <w:rFonts w:ascii="Times New Roman" w:hAnsi="Times New Roman" w:cs="Times New Roman"/>
          <w:szCs w:val="24"/>
        </w:rPr>
        <w:t xml:space="preserve"> sublinha</w:t>
      </w:r>
      <w:r w:rsidR="008F5A58">
        <w:rPr>
          <w:rFonts w:ascii="Times New Roman" w:hAnsi="Times New Roman" w:cs="Times New Roman"/>
          <w:szCs w:val="24"/>
        </w:rPr>
        <w:t>m</w:t>
      </w:r>
      <w:r>
        <w:rPr>
          <w:rFonts w:ascii="Times New Roman" w:hAnsi="Times New Roman" w:cs="Times New Roman"/>
          <w:szCs w:val="24"/>
        </w:rPr>
        <w:t xml:space="preserve"> </w:t>
      </w:r>
      <w:r w:rsidRPr="00DC6E78">
        <w:rPr>
          <w:rFonts w:ascii="Times New Roman" w:hAnsi="Times New Roman" w:cs="Times New Roman"/>
          <w:szCs w:val="24"/>
        </w:rPr>
        <w:t>a dificuldade de identificar e quantificar a liberalização financeira externa em uma amostra ampla de países</w:t>
      </w:r>
      <w:r>
        <w:rPr>
          <w:rFonts w:ascii="Times New Roman" w:hAnsi="Times New Roman" w:cs="Times New Roman"/>
          <w:szCs w:val="24"/>
        </w:rPr>
        <w:t>, enquanto</w:t>
      </w:r>
      <w:r w:rsidRPr="00DC6E78">
        <w:rPr>
          <w:rFonts w:ascii="Times New Roman" w:hAnsi="Times New Roman" w:cs="Times New Roman"/>
          <w:szCs w:val="24"/>
        </w:rPr>
        <w:t xml:space="preserve"> Prasad </w:t>
      </w:r>
      <w:r w:rsidRPr="00DC6E78">
        <w:rPr>
          <w:rFonts w:ascii="Times New Roman" w:hAnsi="Times New Roman" w:cs="Times New Roman"/>
          <w:i/>
          <w:szCs w:val="24"/>
        </w:rPr>
        <w:t>et al.</w:t>
      </w:r>
      <w:r w:rsidRPr="00DC6E78">
        <w:rPr>
          <w:rFonts w:ascii="Times New Roman" w:hAnsi="Times New Roman" w:cs="Times New Roman"/>
          <w:szCs w:val="24"/>
        </w:rPr>
        <w:t xml:space="preserve"> (2003) </w:t>
      </w:r>
      <w:r>
        <w:rPr>
          <w:rFonts w:ascii="Times New Roman" w:hAnsi="Times New Roman" w:cs="Times New Roman"/>
          <w:szCs w:val="24"/>
        </w:rPr>
        <w:t>associa</w:t>
      </w:r>
      <w:r w:rsidR="008F5A58">
        <w:rPr>
          <w:rFonts w:ascii="Times New Roman" w:hAnsi="Times New Roman" w:cs="Times New Roman"/>
          <w:szCs w:val="24"/>
        </w:rPr>
        <w:t>m</w:t>
      </w:r>
      <w:r w:rsidRPr="00DC6E78">
        <w:rPr>
          <w:rFonts w:ascii="Times New Roman" w:hAnsi="Times New Roman" w:cs="Times New Roman"/>
          <w:szCs w:val="24"/>
        </w:rPr>
        <w:t xml:space="preserve"> a escassez de evidências favoráveis à liberalização </w:t>
      </w:r>
      <w:r>
        <w:rPr>
          <w:rFonts w:ascii="Times New Roman" w:hAnsi="Times New Roman" w:cs="Times New Roman"/>
          <w:szCs w:val="24"/>
        </w:rPr>
        <w:t>a fatores como</w:t>
      </w:r>
      <w:r w:rsidRPr="00DC6E78">
        <w:rPr>
          <w:rFonts w:ascii="Times New Roman" w:hAnsi="Times New Roman" w:cs="Times New Roman"/>
          <w:szCs w:val="24"/>
        </w:rPr>
        <w:t xml:space="preserve"> custo das crises financeiras, a manutenção de protecionismo comercial em países em desenvolvimento e a existência de especificidades institucionais.</w:t>
      </w:r>
      <w:r w:rsidR="001C4D62">
        <w:rPr>
          <w:rFonts w:ascii="Times New Roman" w:hAnsi="Times New Roman" w:cs="Times New Roman"/>
          <w:szCs w:val="24"/>
        </w:rPr>
        <w:t xml:space="preserve"> </w:t>
      </w:r>
      <w:r w:rsidR="00C801F4">
        <w:rPr>
          <w:rFonts w:ascii="Times New Roman" w:hAnsi="Times New Roman" w:cs="Times New Roman"/>
          <w:szCs w:val="24"/>
        </w:rPr>
        <w:t>Há também</w:t>
      </w:r>
      <w:r w:rsidR="001C4D62">
        <w:rPr>
          <w:rFonts w:ascii="Times New Roman" w:hAnsi="Times New Roman" w:cs="Times New Roman"/>
          <w:szCs w:val="24"/>
        </w:rPr>
        <w:t xml:space="preserve"> </w:t>
      </w:r>
      <w:r w:rsidR="00C801F4">
        <w:rPr>
          <w:rFonts w:ascii="Times New Roman" w:hAnsi="Times New Roman" w:cs="Times New Roman"/>
          <w:szCs w:val="24"/>
        </w:rPr>
        <w:t>estudos</w:t>
      </w:r>
      <w:r w:rsidR="001C4D62">
        <w:rPr>
          <w:rFonts w:ascii="Times New Roman" w:hAnsi="Times New Roman" w:cs="Times New Roman"/>
          <w:szCs w:val="24"/>
        </w:rPr>
        <w:t xml:space="preserve"> empíricos que apontam benefícios significativos decorrente</w:t>
      </w:r>
      <w:r w:rsidR="00C801F4">
        <w:rPr>
          <w:rFonts w:ascii="Times New Roman" w:hAnsi="Times New Roman" w:cs="Times New Roman"/>
          <w:szCs w:val="24"/>
        </w:rPr>
        <w:t xml:space="preserve">s do processo de liberalização como os </w:t>
      </w:r>
      <w:r w:rsidR="001C4D62">
        <w:rPr>
          <w:rFonts w:ascii="Times New Roman" w:hAnsi="Times New Roman" w:cs="Times New Roman"/>
          <w:szCs w:val="24"/>
        </w:rPr>
        <w:t xml:space="preserve">de </w:t>
      </w:r>
      <w:r w:rsidR="00A55DDF">
        <w:rPr>
          <w:rFonts w:ascii="Times New Roman" w:hAnsi="Times New Roman" w:cs="Times New Roman"/>
          <w:szCs w:val="24"/>
        </w:rPr>
        <w:t xml:space="preserve">Levine e Zervos (1996), </w:t>
      </w:r>
      <w:r w:rsidR="001C4D62">
        <w:rPr>
          <w:rFonts w:ascii="Times New Roman" w:hAnsi="Times New Roman" w:cs="Times New Roman"/>
          <w:szCs w:val="24"/>
        </w:rPr>
        <w:t xml:space="preserve">Quinn (1997), </w:t>
      </w:r>
      <w:r w:rsidR="001C4D62" w:rsidRPr="001C4D62">
        <w:rPr>
          <w:rFonts w:ascii="Times New Roman" w:hAnsi="Times New Roman" w:cs="Times New Roman"/>
          <w:szCs w:val="24"/>
        </w:rPr>
        <w:t>Klein (20</w:t>
      </w:r>
      <w:r w:rsidR="005B444B">
        <w:rPr>
          <w:rFonts w:ascii="Times New Roman" w:hAnsi="Times New Roman" w:cs="Times New Roman"/>
          <w:szCs w:val="24"/>
        </w:rPr>
        <w:t>12</w:t>
      </w:r>
      <w:r w:rsidR="001C4D62" w:rsidRPr="001C4D62">
        <w:rPr>
          <w:rFonts w:ascii="Times New Roman" w:hAnsi="Times New Roman" w:cs="Times New Roman"/>
          <w:szCs w:val="24"/>
        </w:rPr>
        <w:t>)</w:t>
      </w:r>
      <w:r w:rsidR="001C4D62">
        <w:rPr>
          <w:rFonts w:ascii="Times New Roman" w:hAnsi="Times New Roman" w:cs="Times New Roman"/>
          <w:szCs w:val="24"/>
        </w:rPr>
        <w:t xml:space="preserve">, dentre outros. Por outro lado, há vários autores que encontram resultados opostos, tais como </w:t>
      </w:r>
      <w:r w:rsidR="001C4D62" w:rsidRPr="001C4D62">
        <w:rPr>
          <w:rFonts w:ascii="Times New Roman" w:hAnsi="Times New Roman" w:cs="Times New Roman"/>
          <w:szCs w:val="24"/>
        </w:rPr>
        <w:t>Alesina, Grilli e Milesi-Ferretti (1993)</w:t>
      </w:r>
      <w:r w:rsidR="001C4D62">
        <w:rPr>
          <w:rFonts w:ascii="Times New Roman" w:hAnsi="Times New Roman" w:cs="Times New Roman"/>
          <w:szCs w:val="24"/>
        </w:rPr>
        <w:t>,</w:t>
      </w:r>
      <w:r w:rsidR="001C4D62" w:rsidRPr="001C4D62">
        <w:rPr>
          <w:rFonts w:ascii="Times New Roman" w:hAnsi="Times New Roman" w:cs="Times New Roman"/>
          <w:szCs w:val="24"/>
        </w:rPr>
        <w:t xml:space="preserve"> Damasceno (2008)</w:t>
      </w:r>
      <w:r w:rsidR="001C4D62">
        <w:rPr>
          <w:rFonts w:ascii="Times New Roman" w:hAnsi="Times New Roman" w:cs="Times New Roman"/>
          <w:szCs w:val="24"/>
        </w:rPr>
        <w:t xml:space="preserve">, </w:t>
      </w:r>
      <w:r w:rsidR="00A55DDF">
        <w:rPr>
          <w:rFonts w:ascii="Times New Roman" w:hAnsi="Times New Roman" w:cs="Times New Roman"/>
          <w:szCs w:val="24"/>
        </w:rPr>
        <w:t>Al-Sadig (2013),</w:t>
      </w:r>
      <w:r w:rsidR="001C4D62">
        <w:rPr>
          <w:rFonts w:ascii="Times New Roman" w:hAnsi="Times New Roman" w:cs="Times New Roman"/>
          <w:szCs w:val="24"/>
        </w:rPr>
        <w:t xml:space="preserve"> dentre outros.</w:t>
      </w:r>
    </w:p>
    <w:p w:rsidR="001C4D62" w:rsidRDefault="001C4D62" w:rsidP="00B35B71">
      <w:pPr>
        <w:spacing w:after="0" w:line="240" w:lineRule="auto"/>
        <w:rPr>
          <w:rFonts w:ascii="Times New Roman" w:hAnsi="Times New Roman" w:cs="Times New Roman"/>
          <w:szCs w:val="24"/>
        </w:rPr>
      </w:pPr>
      <w:r>
        <w:rPr>
          <w:rFonts w:ascii="Times New Roman" w:hAnsi="Times New Roman" w:cs="Times New Roman"/>
          <w:szCs w:val="24"/>
        </w:rPr>
        <w:tab/>
        <w:t xml:space="preserve">Quanto aos trabalhos </w:t>
      </w:r>
      <w:r w:rsidR="00C801F4">
        <w:rPr>
          <w:rFonts w:ascii="Times New Roman" w:hAnsi="Times New Roman" w:cs="Times New Roman"/>
          <w:szCs w:val="24"/>
        </w:rPr>
        <w:t xml:space="preserve">sobre </w:t>
      </w:r>
      <w:r>
        <w:rPr>
          <w:rFonts w:ascii="Times New Roman" w:hAnsi="Times New Roman" w:cs="Times New Roman"/>
          <w:szCs w:val="24"/>
        </w:rPr>
        <w:t xml:space="preserve">o caso brasileiro, </w:t>
      </w:r>
      <w:r w:rsidR="00A55DDF">
        <w:rPr>
          <w:rFonts w:ascii="Times New Roman" w:hAnsi="Times New Roman" w:cs="Times New Roman"/>
          <w:szCs w:val="24"/>
        </w:rPr>
        <w:t xml:space="preserve">estes </w:t>
      </w:r>
      <w:r w:rsidR="00A55DDF" w:rsidRPr="00A55DDF">
        <w:rPr>
          <w:rFonts w:ascii="Times New Roman" w:hAnsi="Times New Roman" w:cs="Times New Roman"/>
          <w:szCs w:val="24"/>
        </w:rPr>
        <w:t xml:space="preserve">podem ser divididos em dois grupos. O primeiro preocupa-se com a efetividade de medidas restritivas governamentais frente à pressão dos fluxos globais de capital. Já o segundo, no qual se insere </w:t>
      </w:r>
      <w:r w:rsidR="008F5A58">
        <w:rPr>
          <w:rFonts w:ascii="Times New Roman" w:hAnsi="Times New Roman" w:cs="Times New Roman"/>
          <w:szCs w:val="24"/>
        </w:rPr>
        <w:t>esse artigo</w:t>
      </w:r>
      <w:r w:rsidR="00A55DDF" w:rsidRPr="00A55DDF">
        <w:rPr>
          <w:rFonts w:ascii="Times New Roman" w:hAnsi="Times New Roman" w:cs="Times New Roman"/>
          <w:szCs w:val="24"/>
        </w:rPr>
        <w:t>, concentra-se nos efeitos macroeconômicos das mudanças nos graus de abertura da conta capital e financeira e de integração fin</w:t>
      </w:r>
      <w:r w:rsidR="00A55DDF">
        <w:rPr>
          <w:rFonts w:ascii="Times New Roman" w:hAnsi="Times New Roman" w:cs="Times New Roman"/>
          <w:szCs w:val="24"/>
        </w:rPr>
        <w:t xml:space="preserve">anceira da economia brasileira. </w:t>
      </w:r>
      <w:r w:rsidR="00A55DDF" w:rsidRPr="00A55DDF">
        <w:rPr>
          <w:rFonts w:ascii="Times New Roman" w:hAnsi="Times New Roman" w:cs="Times New Roman"/>
          <w:szCs w:val="24"/>
        </w:rPr>
        <w:t xml:space="preserve">Vale dizer que os trabalhos empíricos sobre um caso nacional diferenciam-se dos estudos </w:t>
      </w:r>
      <w:r w:rsidR="00A55DDF" w:rsidRPr="00A55DDF">
        <w:rPr>
          <w:rFonts w:ascii="Times New Roman" w:hAnsi="Times New Roman" w:cs="Times New Roman"/>
          <w:i/>
          <w:szCs w:val="24"/>
        </w:rPr>
        <w:t>cross-country</w:t>
      </w:r>
      <w:r w:rsidR="00A55DDF" w:rsidRPr="00A55DDF">
        <w:rPr>
          <w:rFonts w:ascii="Times New Roman" w:hAnsi="Times New Roman" w:cs="Times New Roman"/>
          <w:szCs w:val="24"/>
        </w:rPr>
        <w:t xml:space="preserve"> devido à realização de uma avaliação mais profunda, bem como de um maior número de decisões governamentais. Portanto, perde-se a possibilidade de enunciar conclusões mais gerais, porém se avança </w:t>
      </w:r>
      <w:r w:rsidR="00C801F4">
        <w:rPr>
          <w:rFonts w:ascii="Times New Roman" w:hAnsi="Times New Roman" w:cs="Times New Roman"/>
          <w:szCs w:val="24"/>
        </w:rPr>
        <w:t>n</w:t>
      </w:r>
      <w:r w:rsidR="00A55DDF" w:rsidRPr="00A55DDF">
        <w:rPr>
          <w:rFonts w:ascii="Times New Roman" w:hAnsi="Times New Roman" w:cs="Times New Roman"/>
          <w:szCs w:val="24"/>
        </w:rPr>
        <w:t>o detalhamento das especificidades da economia em questão, algo relevante quando o objetivo é formular políticas econômicas para países emergentes ou em desenvolvimento. Além disso, parte-se de séries temporais mensais ou trimestrais, caracterizadas por um maior número de observações, permitindo um acompanhamento mais adequado da evolução do processo de liberalização financeira externa, viabilizando o estabelecimento de relações mais robustas entre as variáveis analisadas.</w:t>
      </w:r>
    </w:p>
    <w:p w:rsidR="00A55DDF" w:rsidRPr="00A55DDF" w:rsidRDefault="00A55DDF" w:rsidP="00B35B71">
      <w:pPr>
        <w:spacing w:after="0" w:line="240" w:lineRule="auto"/>
        <w:rPr>
          <w:rFonts w:ascii="Times New Roman" w:hAnsi="Times New Roman" w:cs="Times New Roman"/>
          <w:szCs w:val="24"/>
        </w:rPr>
      </w:pPr>
      <w:r>
        <w:rPr>
          <w:rFonts w:ascii="Times New Roman" w:hAnsi="Times New Roman" w:cs="Times New Roman"/>
          <w:szCs w:val="24"/>
        </w:rPr>
        <w:tab/>
        <w:t xml:space="preserve">No primeiro grupo, os trabalhos de Cardoso e Goldfajn (1998), Carvalho e Garcia (2008), Munhoz (2013), dentre outros apontam que os controles de capital foram temporariamente efetivos na contenção dos influxos de capitais à economia brasileira, não obstante, tais medidas seriam efetivas quanto ao alongamento das maturidades dos fluxos. Já no segundo grupo, os esforços de Laan (2007), Faria </w:t>
      </w:r>
      <w:r>
        <w:rPr>
          <w:rFonts w:ascii="Times New Roman" w:hAnsi="Times New Roman" w:cs="Times New Roman"/>
          <w:i/>
          <w:szCs w:val="24"/>
        </w:rPr>
        <w:t xml:space="preserve">et al. </w:t>
      </w:r>
      <w:r>
        <w:rPr>
          <w:rFonts w:ascii="Times New Roman" w:hAnsi="Times New Roman" w:cs="Times New Roman"/>
          <w:szCs w:val="24"/>
        </w:rPr>
        <w:t xml:space="preserve">(2009), Paula </w:t>
      </w:r>
      <w:r>
        <w:rPr>
          <w:rFonts w:ascii="Times New Roman" w:hAnsi="Times New Roman" w:cs="Times New Roman"/>
          <w:i/>
          <w:szCs w:val="24"/>
        </w:rPr>
        <w:t xml:space="preserve">et al. </w:t>
      </w:r>
      <w:r>
        <w:rPr>
          <w:rFonts w:ascii="Times New Roman" w:hAnsi="Times New Roman" w:cs="Times New Roman"/>
          <w:szCs w:val="24"/>
        </w:rPr>
        <w:t xml:space="preserve">(2012), </w:t>
      </w:r>
      <w:r w:rsidR="00C801F4">
        <w:rPr>
          <w:rFonts w:ascii="Times New Roman" w:hAnsi="Times New Roman" w:cs="Times New Roman"/>
          <w:szCs w:val="24"/>
        </w:rPr>
        <w:t xml:space="preserve">Cunha e Laan </w:t>
      </w:r>
      <w:r>
        <w:rPr>
          <w:rFonts w:ascii="Times New Roman" w:hAnsi="Times New Roman" w:cs="Times New Roman"/>
          <w:szCs w:val="24"/>
        </w:rPr>
        <w:t>(2013)</w:t>
      </w:r>
      <w:r w:rsidR="008F5A58">
        <w:rPr>
          <w:rFonts w:ascii="Times New Roman" w:hAnsi="Times New Roman" w:cs="Times New Roman"/>
          <w:szCs w:val="24"/>
        </w:rPr>
        <w:t>, dentre outros o</w:t>
      </w:r>
      <w:r>
        <w:rPr>
          <w:rFonts w:ascii="Times New Roman" w:hAnsi="Times New Roman" w:cs="Times New Roman"/>
          <w:szCs w:val="24"/>
        </w:rPr>
        <w:t xml:space="preserve">bservam que a liberalização financeira externa esteve associada a impactos problemáticos ou, na melhor das hipóteses, pouco significativos, </w:t>
      </w:r>
      <w:r w:rsidR="009B21EF">
        <w:rPr>
          <w:rFonts w:ascii="Times New Roman" w:hAnsi="Times New Roman" w:cs="Times New Roman"/>
          <w:szCs w:val="24"/>
        </w:rPr>
        <w:t>Nota</w:t>
      </w:r>
      <w:r>
        <w:rPr>
          <w:rFonts w:ascii="Times New Roman" w:hAnsi="Times New Roman" w:cs="Times New Roman"/>
          <w:szCs w:val="24"/>
        </w:rPr>
        <w:t>-se que tais trabalhos construíram estimações com a intenção de avaliar os efeitos de um avanço marginal nos graus de abertura (medido pelo ICC) ou integração financeira (medido por estoques ou fluxos brutos ponderados pelo produto) sobre a evolução de variáveis macroeconômicas</w:t>
      </w:r>
      <w:r w:rsidR="00B46AAC">
        <w:rPr>
          <w:rFonts w:ascii="Times New Roman" w:hAnsi="Times New Roman" w:cs="Times New Roman"/>
          <w:szCs w:val="24"/>
        </w:rPr>
        <w:t xml:space="preserve"> como risco-país, taxa de juros, nível de atividade e volatilidade cambial.</w:t>
      </w:r>
    </w:p>
    <w:p w:rsidR="009B21EF" w:rsidRPr="009B21EF" w:rsidRDefault="009B21EF" w:rsidP="00B35B71">
      <w:pPr>
        <w:pStyle w:val="Ttulo2"/>
        <w:spacing w:before="120" w:line="240" w:lineRule="auto"/>
        <w:ind w:firstLine="708"/>
        <w:jc w:val="both"/>
        <w:rPr>
          <w:rFonts w:cs="Times New Roman"/>
          <w:szCs w:val="24"/>
        </w:rPr>
      </w:pPr>
      <w:bookmarkStart w:id="0" w:name="_Toc439170951"/>
      <w:r>
        <w:rPr>
          <w:rFonts w:cs="Times New Roman"/>
          <w:szCs w:val="24"/>
        </w:rPr>
        <w:t>Por fim</w:t>
      </w:r>
      <w:r w:rsidRPr="009B21EF">
        <w:rPr>
          <w:rFonts w:cs="Times New Roman"/>
          <w:szCs w:val="24"/>
        </w:rPr>
        <w:t>,</w:t>
      </w:r>
      <w:r>
        <w:rPr>
          <w:rFonts w:cs="Times New Roman"/>
          <w:szCs w:val="24"/>
        </w:rPr>
        <w:t xml:space="preserve"> antes de apresentar os indicadores do grau de liberalização a serem empregados no </w:t>
      </w:r>
      <w:r w:rsidRPr="009B21EF">
        <w:rPr>
          <w:rFonts w:cs="Times New Roman"/>
          <w:szCs w:val="24"/>
        </w:rPr>
        <w:t>presente estudo, destaca-se que a maioria de trabalhos empíricos sobre o caso brasileiro emprega modelos baseados apenas em modelos VAR, pois estes tomam todas as variáveis como endógenas, isto é, sem recorrer a suposições apriorísticas. Não obstante, a possível cointegração entre os indicadores de liberalização financeira externa e as principais variáveis macroeconômicas estabelece os modelos VEC como uma alternativa válida para o enfrentamento do tema central dessa dissertação. Por fim, vale notar que os estudos focados nos desdobramentos macroeconômicos da liberalização financeira externa brasileira ainda não inseriram o impacto do ciclo financeiro global na estimação econométrica.</w:t>
      </w:r>
    </w:p>
    <w:p w:rsidR="009B21EF" w:rsidRPr="009B21EF" w:rsidRDefault="009B21EF" w:rsidP="00B35B71">
      <w:pPr>
        <w:spacing w:after="0" w:line="240" w:lineRule="auto"/>
        <w:rPr>
          <w:rFonts w:ascii="Times New Roman" w:hAnsi="Times New Roman" w:cs="Times New Roman"/>
        </w:rPr>
      </w:pPr>
    </w:p>
    <w:p w:rsidR="006A59BC" w:rsidRPr="009B21EF" w:rsidRDefault="003729E4" w:rsidP="00B35B71">
      <w:pPr>
        <w:pStyle w:val="Ttulo2"/>
        <w:spacing w:before="120" w:line="240" w:lineRule="auto"/>
        <w:ind w:firstLine="0"/>
        <w:jc w:val="both"/>
        <w:rPr>
          <w:rFonts w:cs="Times New Roman"/>
          <w:b/>
          <w:i/>
          <w:szCs w:val="24"/>
        </w:rPr>
      </w:pPr>
      <w:r>
        <w:rPr>
          <w:rFonts w:cs="Times New Roman"/>
          <w:b/>
          <w:szCs w:val="24"/>
        </w:rPr>
        <w:t>4</w:t>
      </w:r>
      <w:r w:rsidR="006A59BC" w:rsidRPr="005F0ED3">
        <w:rPr>
          <w:rFonts w:cs="Times New Roman"/>
          <w:b/>
          <w:szCs w:val="24"/>
        </w:rPr>
        <w:t xml:space="preserve">. </w:t>
      </w:r>
      <w:r w:rsidR="009B21EF">
        <w:rPr>
          <w:rFonts w:cs="Times New Roman"/>
          <w:b/>
          <w:szCs w:val="24"/>
        </w:rPr>
        <w:t>A mensuração</w:t>
      </w:r>
      <w:r w:rsidR="006A59BC" w:rsidRPr="005F0ED3">
        <w:rPr>
          <w:rFonts w:cs="Times New Roman"/>
          <w:b/>
          <w:szCs w:val="24"/>
        </w:rPr>
        <w:t xml:space="preserve"> liberalização financeira externa: </w:t>
      </w:r>
      <w:bookmarkEnd w:id="0"/>
      <w:r w:rsidR="009B21EF">
        <w:rPr>
          <w:rFonts w:cs="Times New Roman"/>
          <w:b/>
          <w:szCs w:val="24"/>
        </w:rPr>
        <w:t xml:space="preserve">indicadores </w:t>
      </w:r>
      <w:r w:rsidR="009B21EF">
        <w:rPr>
          <w:rFonts w:cs="Times New Roman"/>
          <w:b/>
          <w:i/>
          <w:szCs w:val="24"/>
        </w:rPr>
        <w:t>de jure</w:t>
      </w:r>
      <w:r w:rsidR="009B21EF">
        <w:rPr>
          <w:rFonts w:cs="Times New Roman"/>
          <w:b/>
          <w:szCs w:val="24"/>
        </w:rPr>
        <w:t xml:space="preserve"> e </w:t>
      </w:r>
      <w:r w:rsidR="009B21EF">
        <w:rPr>
          <w:rFonts w:cs="Times New Roman"/>
          <w:b/>
          <w:i/>
          <w:szCs w:val="24"/>
        </w:rPr>
        <w:t>de facto</w:t>
      </w:r>
    </w:p>
    <w:p w:rsidR="005E2282" w:rsidRDefault="004B00DC" w:rsidP="00B35B71">
      <w:pPr>
        <w:spacing w:after="0" w:line="240" w:lineRule="auto"/>
        <w:rPr>
          <w:rFonts w:ascii="Times New Roman" w:hAnsi="Times New Roman" w:cs="Times New Roman"/>
          <w:szCs w:val="24"/>
        </w:rPr>
      </w:pPr>
      <w:r>
        <w:rPr>
          <w:rFonts w:ascii="Times New Roman" w:hAnsi="Times New Roman" w:cs="Times New Roman"/>
          <w:szCs w:val="24"/>
        </w:rPr>
        <w:tab/>
      </w:r>
      <w:r w:rsidR="005E2282">
        <w:rPr>
          <w:rFonts w:ascii="Times New Roman" w:hAnsi="Times New Roman" w:cs="Times New Roman"/>
          <w:szCs w:val="24"/>
        </w:rPr>
        <w:t>Nesta seção, serão apresentados dois indicadores referentes ao grau de liberalização financeira externa da economia brasileira. Nesse sentido, segue-se a sugestão de Edison</w:t>
      </w:r>
      <w:r w:rsidR="00FF786B">
        <w:rPr>
          <w:rFonts w:ascii="Times New Roman" w:hAnsi="Times New Roman" w:cs="Times New Roman"/>
          <w:szCs w:val="24"/>
        </w:rPr>
        <w:t xml:space="preserve"> </w:t>
      </w:r>
      <w:r w:rsidR="00FF786B">
        <w:rPr>
          <w:rFonts w:ascii="Times New Roman" w:hAnsi="Times New Roman" w:cs="Times New Roman"/>
          <w:i/>
          <w:szCs w:val="24"/>
        </w:rPr>
        <w:t>et al.</w:t>
      </w:r>
      <w:r w:rsidR="005E2282">
        <w:rPr>
          <w:rFonts w:ascii="Times New Roman" w:hAnsi="Times New Roman" w:cs="Times New Roman"/>
          <w:szCs w:val="24"/>
        </w:rPr>
        <w:t xml:space="preserve"> (2002a, 2002b) ao </w:t>
      </w:r>
      <w:r w:rsidR="005E2282">
        <w:rPr>
          <w:rFonts w:ascii="Times New Roman" w:hAnsi="Times New Roman" w:cs="Times New Roman"/>
          <w:szCs w:val="24"/>
        </w:rPr>
        <w:lastRenderedPageBreak/>
        <w:t xml:space="preserve">construir indicadores separados para as dimensões </w:t>
      </w:r>
      <w:r w:rsidR="005E2282">
        <w:rPr>
          <w:rFonts w:ascii="Times New Roman" w:hAnsi="Times New Roman" w:cs="Times New Roman"/>
          <w:i/>
          <w:szCs w:val="24"/>
        </w:rPr>
        <w:t xml:space="preserve">de jure </w:t>
      </w:r>
      <w:r w:rsidR="005E2282">
        <w:rPr>
          <w:rFonts w:ascii="Times New Roman" w:hAnsi="Times New Roman" w:cs="Times New Roman"/>
          <w:szCs w:val="24"/>
        </w:rPr>
        <w:t xml:space="preserve">(abertura) e </w:t>
      </w:r>
      <w:r w:rsidR="005E2282">
        <w:rPr>
          <w:rFonts w:ascii="Times New Roman" w:hAnsi="Times New Roman" w:cs="Times New Roman"/>
          <w:i/>
          <w:szCs w:val="24"/>
        </w:rPr>
        <w:t xml:space="preserve">de facto </w:t>
      </w:r>
      <w:r w:rsidR="005E2282">
        <w:rPr>
          <w:rFonts w:ascii="Times New Roman" w:hAnsi="Times New Roman" w:cs="Times New Roman"/>
          <w:szCs w:val="24"/>
        </w:rPr>
        <w:t xml:space="preserve">(integração), dado que ambas </w:t>
      </w:r>
      <w:r w:rsidR="005E2282" w:rsidRPr="005E2282">
        <w:rPr>
          <w:rFonts w:ascii="Times New Roman" w:hAnsi="Times New Roman" w:cs="Times New Roman"/>
          <w:szCs w:val="24"/>
        </w:rPr>
        <w:t xml:space="preserve">possuem vantagens e desvantagens, sendo, portanto, complementares. Se, por um lado, as medidas </w:t>
      </w:r>
      <w:r w:rsidR="005E2282" w:rsidRPr="005E2282">
        <w:rPr>
          <w:rFonts w:ascii="Times New Roman" w:hAnsi="Times New Roman" w:cs="Times New Roman"/>
          <w:i/>
          <w:szCs w:val="24"/>
        </w:rPr>
        <w:t>de jure</w:t>
      </w:r>
      <w:r w:rsidR="005E2282" w:rsidRPr="005E2282">
        <w:rPr>
          <w:rFonts w:ascii="Times New Roman" w:hAnsi="Times New Roman" w:cs="Times New Roman"/>
          <w:szCs w:val="24"/>
        </w:rPr>
        <w:t xml:space="preserve"> concentram-se nas decisões de política econômica de um dado país e, dessa maneira, são menos sensíveis a movimentos globais exógenos, por outro, a delimitação de fatores como amplitude, intensidade e efetividade das restrições governamentais responde a avaliações subjetivas dos pesquisadores. No que tange às medidas </w:t>
      </w:r>
      <w:r w:rsidR="005E2282" w:rsidRPr="005E2282">
        <w:rPr>
          <w:rFonts w:ascii="Times New Roman" w:hAnsi="Times New Roman" w:cs="Times New Roman"/>
          <w:i/>
          <w:szCs w:val="24"/>
        </w:rPr>
        <w:t>de facto</w:t>
      </w:r>
      <w:r w:rsidR="005E2282" w:rsidRPr="005E2282">
        <w:rPr>
          <w:rFonts w:ascii="Times New Roman" w:hAnsi="Times New Roman" w:cs="Times New Roman"/>
          <w:szCs w:val="24"/>
        </w:rPr>
        <w:t>, a maior objetividade dos dados básicos esbarra em problemas como a multiplicidade de fatores explicativos dos fluxos e a endogeneidade possível entre crescimento e movimento de capitais.</w:t>
      </w:r>
      <w:r w:rsidR="005E2282">
        <w:rPr>
          <w:rFonts w:ascii="Times New Roman" w:hAnsi="Times New Roman" w:cs="Times New Roman"/>
          <w:szCs w:val="24"/>
        </w:rPr>
        <w:t xml:space="preserve"> </w:t>
      </w:r>
    </w:p>
    <w:p w:rsidR="005E2282" w:rsidRDefault="005E2282" w:rsidP="00B35B71">
      <w:pPr>
        <w:spacing w:after="0" w:line="240" w:lineRule="auto"/>
        <w:ind w:firstLine="708"/>
        <w:rPr>
          <w:rFonts w:ascii="Times New Roman" w:hAnsi="Times New Roman" w:cs="Times New Roman"/>
          <w:szCs w:val="24"/>
        </w:rPr>
      </w:pPr>
      <w:r>
        <w:rPr>
          <w:rFonts w:ascii="Times New Roman" w:hAnsi="Times New Roman" w:cs="Times New Roman"/>
          <w:szCs w:val="24"/>
        </w:rPr>
        <w:t xml:space="preserve">No que tange à primeira dimensão, atualizou-se o ICC de Cardoso e Goldfajn (1998), conforme a metodologia adotada por </w:t>
      </w:r>
      <w:r w:rsidR="00040F21">
        <w:rPr>
          <w:rFonts w:ascii="Times New Roman" w:hAnsi="Times New Roman" w:cs="Times New Roman"/>
          <w:szCs w:val="24"/>
        </w:rPr>
        <w:t xml:space="preserve">Cunha e Laan </w:t>
      </w:r>
      <w:r>
        <w:rPr>
          <w:rFonts w:ascii="Times New Roman" w:hAnsi="Times New Roman" w:cs="Times New Roman"/>
          <w:szCs w:val="24"/>
        </w:rPr>
        <w:t xml:space="preserve">(2013). Nesse sentido, ao invés de conferir notas de mesmo valor absoluto para cada medida restritiva (-1) ou liberalizante (+1), sendo nota zero para medidas de caráter regulamentar, </w:t>
      </w:r>
      <w:r w:rsidR="000013B4">
        <w:rPr>
          <w:rFonts w:ascii="Times New Roman" w:hAnsi="Times New Roman" w:cs="Times New Roman"/>
          <w:szCs w:val="24"/>
        </w:rPr>
        <w:t xml:space="preserve">optou-se </w:t>
      </w:r>
      <w:r w:rsidR="000013B4" w:rsidRPr="006A59BC">
        <w:rPr>
          <w:rFonts w:ascii="Times New Roman" w:hAnsi="Times New Roman" w:cs="Times New Roman"/>
          <w:szCs w:val="24"/>
        </w:rPr>
        <w:t xml:space="preserve">atribuir notas entre -2 a +2 com intervalos de gradação de .25, permitindo diferenciar </w:t>
      </w:r>
      <w:r w:rsidR="000013B4">
        <w:rPr>
          <w:rFonts w:ascii="Times New Roman" w:hAnsi="Times New Roman" w:cs="Times New Roman"/>
          <w:szCs w:val="24"/>
        </w:rPr>
        <w:t>a intensidade e o sentido da</w:t>
      </w:r>
      <w:r w:rsidR="003013C8">
        <w:rPr>
          <w:rFonts w:ascii="Times New Roman" w:hAnsi="Times New Roman" w:cs="Times New Roman"/>
          <w:szCs w:val="24"/>
        </w:rPr>
        <w:t>s</w:t>
      </w:r>
      <w:r w:rsidR="000013B4" w:rsidRPr="006A59BC">
        <w:rPr>
          <w:rFonts w:ascii="Times New Roman" w:hAnsi="Times New Roman" w:cs="Times New Roman"/>
          <w:szCs w:val="24"/>
        </w:rPr>
        <w:t xml:space="preserve"> norma</w:t>
      </w:r>
      <w:r w:rsidR="000013B4">
        <w:rPr>
          <w:rFonts w:ascii="Times New Roman" w:hAnsi="Times New Roman" w:cs="Times New Roman"/>
          <w:szCs w:val="24"/>
        </w:rPr>
        <w:t>s constituintes da legislação pertinente aos fluxos de capitais no país</w:t>
      </w:r>
      <w:r w:rsidR="000013B4" w:rsidRPr="006A59BC">
        <w:rPr>
          <w:rFonts w:ascii="Times New Roman" w:hAnsi="Times New Roman" w:cs="Times New Roman"/>
          <w:szCs w:val="24"/>
        </w:rPr>
        <w:t>, editadas pelo Banco Central, pela Receita e pelo Planalto.</w:t>
      </w:r>
      <w:r w:rsidR="000013B4">
        <w:rPr>
          <w:rFonts w:ascii="Times New Roman" w:hAnsi="Times New Roman" w:cs="Times New Roman"/>
          <w:szCs w:val="24"/>
        </w:rPr>
        <w:t xml:space="preserve"> Além disso, a reformulaç</w:t>
      </w:r>
      <w:r w:rsidR="008F5A58">
        <w:rPr>
          <w:rFonts w:ascii="Times New Roman" w:hAnsi="Times New Roman" w:cs="Times New Roman"/>
          <w:szCs w:val="24"/>
        </w:rPr>
        <w:t xml:space="preserve">ão de </w:t>
      </w:r>
      <w:r w:rsidR="00040F21">
        <w:rPr>
          <w:rFonts w:ascii="Times New Roman" w:hAnsi="Times New Roman" w:cs="Times New Roman"/>
          <w:szCs w:val="24"/>
        </w:rPr>
        <w:t xml:space="preserve">Cunha e Laan </w:t>
      </w:r>
      <w:r w:rsidR="008F5A58">
        <w:rPr>
          <w:rFonts w:ascii="Times New Roman" w:hAnsi="Times New Roman" w:cs="Times New Roman"/>
          <w:szCs w:val="24"/>
        </w:rPr>
        <w:t xml:space="preserve">(2013) </w:t>
      </w:r>
      <w:r w:rsidR="000013B4">
        <w:rPr>
          <w:rFonts w:ascii="Times New Roman" w:hAnsi="Times New Roman" w:cs="Times New Roman"/>
          <w:szCs w:val="24"/>
        </w:rPr>
        <w:t xml:space="preserve">deixou de conferir pesos distintos a fluxos de entrada e saída, conforme fazia o ICC em Cardoso e Goldfajn (1998) </w:t>
      </w:r>
    </w:p>
    <w:p w:rsidR="000013B4" w:rsidRPr="000013B4" w:rsidRDefault="000013B4" w:rsidP="00B35B71">
      <w:pPr>
        <w:spacing w:after="0" w:line="240" w:lineRule="auto"/>
        <w:ind w:firstLine="708"/>
        <w:rPr>
          <w:rFonts w:ascii="Times New Roman" w:hAnsi="Times New Roman" w:cs="Times New Roman"/>
          <w:szCs w:val="24"/>
        </w:rPr>
      </w:pPr>
      <w:r>
        <w:rPr>
          <w:rFonts w:ascii="Times New Roman" w:hAnsi="Times New Roman" w:cs="Times New Roman"/>
          <w:szCs w:val="24"/>
        </w:rPr>
        <w:t xml:space="preserve">Dessa maneira, a medida </w:t>
      </w:r>
      <w:r>
        <w:rPr>
          <w:rFonts w:ascii="Times New Roman" w:hAnsi="Times New Roman" w:cs="Times New Roman"/>
          <w:i/>
          <w:szCs w:val="24"/>
        </w:rPr>
        <w:t>de jure</w:t>
      </w:r>
      <w:r>
        <w:rPr>
          <w:rFonts w:ascii="Times New Roman" w:hAnsi="Times New Roman" w:cs="Times New Roman"/>
          <w:szCs w:val="24"/>
        </w:rPr>
        <w:t xml:space="preserve"> utilizada leva em consideração a crítica que </w:t>
      </w:r>
      <w:r w:rsidRPr="000013B4">
        <w:rPr>
          <w:rFonts w:ascii="Times New Roman" w:hAnsi="Times New Roman" w:cs="Times New Roman"/>
          <w:szCs w:val="24"/>
        </w:rPr>
        <w:t xml:space="preserve">Quinn (1997), </w:t>
      </w:r>
      <w:r>
        <w:rPr>
          <w:rFonts w:ascii="Times New Roman" w:hAnsi="Times New Roman" w:cs="Times New Roman"/>
          <w:szCs w:val="24"/>
        </w:rPr>
        <w:t>Klein (20</w:t>
      </w:r>
      <w:r w:rsidR="004662FD">
        <w:rPr>
          <w:rFonts w:ascii="Times New Roman" w:hAnsi="Times New Roman" w:cs="Times New Roman"/>
          <w:szCs w:val="24"/>
        </w:rPr>
        <w:t>12</w:t>
      </w:r>
      <w:r>
        <w:rPr>
          <w:rFonts w:ascii="Times New Roman" w:hAnsi="Times New Roman" w:cs="Times New Roman"/>
          <w:szCs w:val="24"/>
        </w:rPr>
        <w:t>)</w:t>
      </w:r>
      <w:r w:rsidR="008F5A58">
        <w:rPr>
          <w:rFonts w:ascii="Times New Roman" w:hAnsi="Times New Roman" w:cs="Times New Roman"/>
          <w:szCs w:val="24"/>
        </w:rPr>
        <w:t xml:space="preserve"> e</w:t>
      </w:r>
      <w:r>
        <w:rPr>
          <w:rFonts w:ascii="Times New Roman" w:hAnsi="Times New Roman" w:cs="Times New Roman"/>
          <w:szCs w:val="24"/>
        </w:rPr>
        <w:t xml:space="preserve"> </w:t>
      </w:r>
      <w:r w:rsidRPr="000013B4">
        <w:rPr>
          <w:rFonts w:ascii="Times New Roman" w:hAnsi="Times New Roman" w:cs="Times New Roman"/>
          <w:szCs w:val="24"/>
        </w:rPr>
        <w:t>Schindler (2009)</w:t>
      </w:r>
      <w:r>
        <w:rPr>
          <w:rFonts w:ascii="Times New Roman" w:hAnsi="Times New Roman" w:cs="Times New Roman"/>
          <w:szCs w:val="24"/>
        </w:rPr>
        <w:t xml:space="preserve"> fazem aos indicadores basea</w:t>
      </w:r>
      <w:r w:rsidR="008F5A58">
        <w:rPr>
          <w:rFonts w:ascii="Times New Roman" w:hAnsi="Times New Roman" w:cs="Times New Roman"/>
          <w:szCs w:val="24"/>
        </w:rPr>
        <w:t xml:space="preserve">dos no relatório AREAER do FMI ao </w:t>
      </w:r>
      <w:r>
        <w:rPr>
          <w:rFonts w:ascii="Times New Roman" w:hAnsi="Times New Roman" w:cs="Times New Roman"/>
          <w:szCs w:val="24"/>
        </w:rPr>
        <w:t>incorpora</w:t>
      </w:r>
      <w:r w:rsidR="008F5A58">
        <w:rPr>
          <w:rFonts w:ascii="Times New Roman" w:hAnsi="Times New Roman" w:cs="Times New Roman"/>
          <w:szCs w:val="24"/>
        </w:rPr>
        <w:t>r</w:t>
      </w:r>
      <w:r>
        <w:rPr>
          <w:rFonts w:ascii="Times New Roman" w:hAnsi="Times New Roman" w:cs="Times New Roman"/>
          <w:szCs w:val="24"/>
        </w:rPr>
        <w:t xml:space="preserve"> tanto a intensidade das medidas quanto a evolução do grau de abertura da conta capital e financeira. Sublinha-se também que o emprego do ICC permite a comparação com outros estudos que o adotam, tais como </w:t>
      </w:r>
      <w:r w:rsidRPr="006A59BC">
        <w:rPr>
          <w:rFonts w:ascii="Times New Roman" w:hAnsi="Times New Roman" w:cs="Times New Roman"/>
          <w:szCs w:val="24"/>
        </w:rPr>
        <w:t xml:space="preserve">Soihet (2002), Laan (2007), Faria </w:t>
      </w:r>
      <w:r w:rsidRPr="006A59BC">
        <w:rPr>
          <w:rFonts w:ascii="Times New Roman" w:hAnsi="Times New Roman" w:cs="Times New Roman"/>
          <w:i/>
          <w:szCs w:val="24"/>
        </w:rPr>
        <w:t>et al.</w:t>
      </w:r>
      <w:r w:rsidRPr="006A59BC">
        <w:rPr>
          <w:rFonts w:ascii="Times New Roman" w:hAnsi="Times New Roman" w:cs="Times New Roman"/>
          <w:szCs w:val="24"/>
        </w:rPr>
        <w:t xml:space="preserve">, (2009), Paula </w:t>
      </w:r>
      <w:r w:rsidRPr="006A59BC">
        <w:rPr>
          <w:rFonts w:ascii="Times New Roman" w:hAnsi="Times New Roman" w:cs="Times New Roman"/>
          <w:i/>
          <w:szCs w:val="24"/>
        </w:rPr>
        <w:t>et al</w:t>
      </w:r>
      <w:r>
        <w:rPr>
          <w:rFonts w:ascii="Times New Roman" w:hAnsi="Times New Roman" w:cs="Times New Roman"/>
          <w:szCs w:val="24"/>
        </w:rPr>
        <w:t>. (2012), dentre outros.</w:t>
      </w:r>
    </w:p>
    <w:p w:rsidR="006A59BC" w:rsidRPr="006A59BC" w:rsidRDefault="006A59BC" w:rsidP="00B35B71">
      <w:pPr>
        <w:spacing w:after="0" w:line="240" w:lineRule="auto"/>
        <w:rPr>
          <w:rFonts w:ascii="Times New Roman" w:hAnsi="Times New Roman" w:cs="Times New Roman"/>
          <w:szCs w:val="24"/>
        </w:rPr>
      </w:pPr>
      <w:r w:rsidRPr="006A59BC">
        <w:rPr>
          <w:rFonts w:ascii="Times New Roman" w:hAnsi="Times New Roman" w:cs="Times New Roman"/>
          <w:szCs w:val="24"/>
        </w:rPr>
        <w:tab/>
      </w:r>
      <w:r w:rsidR="0075362A">
        <w:rPr>
          <w:rFonts w:ascii="Times New Roman" w:hAnsi="Times New Roman" w:cs="Times New Roman"/>
          <w:szCs w:val="24"/>
        </w:rPr>
        <w:t>A</w:t>
      </w:r>
      <w:r w:rsidRPr="006A59BC">
        <w:rPr>
          <w:rFonts w:ascii="Times New Roman" w:hAnsi="Times New Roman" w:cs="Times New Roman"/>
          <w:szCs w:val="24"/>
        </w:rPr>
        <w:t xml:space="preserve"> amostra mensal do ICC entre 1995 e 2014 foi fruto das seguintes fontes: i) Soihet (2002), que foi fonte de consulta de 103 normas, editadas entre 1995 e 2000; ii) Laan (2007), para mais 84 normativos até setembro de 2005; iii) </w:t>
      </w:r>
      <w:r w:rsidR="00040F21">
        <w:rPr>
          <w:rFonts w:ascii="Times New Roman" w:hAnsi="Times New Roman" w:cs="Times New Roman"/>
          <w:szCs w:val="24"/>
        </w:rPr>
        <w:t xml:space="preserve">Cunha e Laan </w:t>
      </w:r>
      <w:r w:rsidRPr="006A59BC">
        <w:rPr>
          <w:rFonts w:ascii="Times New Roman" w:hAnsi="Times New Roman" w:cs="Times New Roman"/>
          <w:szCs w:val="24"/>
        </w:rPr>
        <w:t>(2013), para 131 regulamentos editados até final de 2011 e para atribuição de notas ponderadas para os normativos analisados por Soihet (2002) e Laan (2007); e iv) consulta direta, em fonte primária, nos sites do Banco Central, Receita Federal e Planalto para outros 43 normativos editados entre 2012 e 2014</w:t>
      </w:r>
      <w:r w:rsidR="0075362A" w:rsidRPr="006A59BC">
        <w:rPr>
          <w:rStyle w:val="Refdenotaderodap"/>
          <w:rFonts w:ascii="Times New Roman" w:hAnsi="Times New Roman" w:cs="Times New Roman"/>
          <w:szCs w:val="24"/>
        </w:rPr>
        <w:footnoteReference w:id="6"/>
      </w:r>
      <w:r w:rsidRPr="006A59BC">
        <w:rPr>
          <w:rFonts w:ascii="Times New Roman" w:hAnsi="Times New Roman" w:cs="Times New Roman"/>
          <w:szCs w:val="24"/>
        </w:rPr>
        <w:t xml:space="preserve">. </w:t>
      </w:r>
      <w:r w:rsidR="000013B4">
        <w:rPr>
          <w:rFonts w:ascii="Times New Roman" w:hAnsi="Times New Roman" w:cs="Times New Roman"/>
          <w:szCs w:val="24"/>
        </w:rPr>
        <w:t>Quanto</w:t>
      </w:r>
      <w:r w:rsidRPr="006A59BC">
        <w:rPr>
          <w:rFonts w:ascii="Times New Roman" w:hAnsi="Times New Roman" w:cs="Times New Roman"/>
          <w:szCs w:val="24"/>
        </w:rPr>
        <w:t xml:space="preserve"> à composição das medidas do período, veja a tabela a</w:t>
      </w:r>
      <w:r w:rsidR="000013B4">
        <w:rPr>
          <w:rFonts w:ascii="Times New Roman" w:hAnsi="Times New Roman" w:cs="Times New Roman"/>
          <w:szCs w:val="24"/>
        </w:rPr>
        <w:t xml:space="preserve"> seguir</w:t>
      </w:r>
      <w:r w:rsidRPr="006A59BC">
        <w:rPr>
          <w:rFonts w:ascii="Times New Roman" w:hAnsi="Times New Roman" w:cs="Times New Roman"/>
          <w:szCs w:val="24"/>
        </w:rPr>
        <w:t>:</w:t>
      </w:r>
    </w:p>
    <w:p w:rsidR="00001811" w:rsidRDefault="00001811" w:rsidP="00B35B71">
      <w:pPr>
        <w:spacing w:after="0" w:line="240" w:lineRule="auto"/>
        <w:jc w:val="center"/>
        <w:rPr>
          <w:rFonts w:ascii="Times New Roman" w:hAnsi="Times New Roman" w:cs="Times New Roman"/>
          <w:sz w:val="20"/>
          <w:szCs w:val="24"/>
        </w:rPr>
      </w:pPr>
    </w:p>
    <w:p w:rsidR="006A59BC" w:rsidRPr="00BD513C" w:rsidRDefault="006A59BC" w:rsidP="00B35B71">
      <w:pPr>
        <w:spacing w:after="0" w:line="240" w:lineRule="auto"/>
        <w:jc w:val="center"/>
        <w:rPr>
          <w:rFonts w:ascii="Times New Roman" w:hAnsi="Times New Roman" w:cs="Times New Roman"/>
          <w:sz w:val="20"/>
          <w:szCs w:val="24"/>
        </w:rPr>
      </w:pPr>
      <w:r w:rsidRPr="00BD513C">
        <w:rPr>
          <w:rFonts w:ascii="Times New Roman" w:hAnsi="Times New Roman" w:cs="Times New Roman"/>
          <w:sz w:val="20"/>
          <w:szCs w:val="24"/>
        </w:rPr>
        <w:t>Tabela 01 - Síntese da legislação (1995-2014)</w:t>
      </w:r>
    </w:p>
    <w:tbl>
      <w:tblPr>
        <w:tblW w:w="3740" w:type="dxa"/>
        <w:jc w:val="center"/>
        <w:tblCellMar>
          <w:left w:w="70" w:type="dxa"/>
          <w:right w:w="70" w:type="dxa"/>
        </w:tblCellMar>
        <w:tblLook w:val="04A0" w:firstRow="1" w:lastRow="0" w:firstColumn="1" w:lastColumn="0" w:noHBand="0" w:noVBand="1"/>
      </w:tblPr>
      <w:tblGrid>
        <w:gridCol w:w="1620"/>
        <w:gridCol w:w="1160"/>
        <w:gridCol w:w="960"/>
      </w:tblGrid>
      <w:tr w:rsidR="006A59BC" w:rsidRPr="00BD513C" w:rsidTr="00EA30C7">
        <w:trPr>
          <w:trHeight w:val="255"/>
          <w:jc w:val="center"/>
        </w:trPr>
        <w:tc>
          <w:tcPr>
            <w:tcW w:w="1620" w:type="dxa"/>
            <w:tcBorders>
              <w:top w:val="single" w:sz="4" w:space="0" w:color="auto"/>
              <w:left w:val="nil"/>
              <w:bottom w:val="single" w:sz="4" w:space="0" w:color="auto"/>
              <w:right w:val="nil"/>
            </w:tcBorders>
            <w:shd w:val="clear" w:color="auto" w:fill="auto"/>
            <w:noWrap/>
            <w:vAlign w:val="bottom"/>
            <w:hideMark/>
          </w:tcPr>
          <w:p w:rsidR="006A59BC" w:rsidRPr="00BD513C" w:rsidRDefault="006A59BC" w:rsidP="00B35B71">
            <w:pPr>
              <w:spacing w:after="0" w:line="240" w:lineRule="auto"/>
              <w:jc w:val="center"/>
              <w:rPr>
                <w:rFonts w:ascii="Times New Roman" w:eastAsia="Times New Roman" w:hAnsi="Times New Roman" w:cs="Times New Roman"/>
                <w:color w:val="000000"/>
                <w:sz w:val="20"/>
                <w:szCs w:val="24"/>
                <w:lang w:eastAsia="pt-BR"/>
              </w:rPr>
            </w:pPr>
            <w:r w:rsidRPr="00BD513C">
              <w:rPr>
                <w:rFonts w:ascii="Times New Roman" w:eastAsia="Times New Roman" w:hAnsi="Times New Roman" w:cs="Times New Roman"/>
                <w:color w:val="000000"/>
                <w:sz w:val="20"/>
                <w:szCs w:val="24"/>
                <w:lang w:eastAsia="pt-BR"/>
              </w:rPr>
              <w:t>Natureza</w:t>
            </w:r>
          </w:p>
        </w:tc>
        <w:tc>
          <w:tcPr>
            <w:tcW w:w="1160" w:type="dxa"/>
            <w:tcBorders>
              <w:top w:val="single" w:sz="4" w:space="0" w:color="auto"/>
              <w:left w:val="nil"/>
              <w:bottom w:val="single" w:sz="4" w:space="0" w:color="auto"/>
              <w:right w:val="nil"/>
            </w:tcBorders>
            <w:shd w:val="clear" w:color="auto" w:fill="auto"/>
            <w:noWrap/>
            <w:vAlign w:val="bottom"/>
            <w:hideMark/>
          </w:tcPr>
          <w:p w:rsidR="006A59BC" w:rsidRPr="00BD513C" w:rsidRDefault="006A59BC" w:rsidP="00B35B71">
            <w:pPr>
              <w:spacing w:after="0" w:line="240" w:lineRule="auto"/>
              <w:jc w:val="center"/>
              <w:rPr>
                <w:rFonts w:ascii="Times New Roman" w:eastAsia="Times New Roman" w:hAnsi="Times New Roman" w:cs="Times New Roman"/>
                <w:color w:val="000000"/>
                <w:sz w:val="20"/>
                <w:szCs w:val="24"/>
                <w:lang w:eastAsia="pt-BR"/>
              </w:rPr>
            </w:pPr>
            <w:r w:rsidRPr="00BD513C">
              <w:rPr>
                <w:rFonts w:ascii="Times New Roman" w:eastAsia="Times New Roman" w:hAnsi="Times New Roman" w:cs="Times New Roman"/>
                <w:color w:val="000000"/>
                <w:sz w:val="20"/>
                <w:szCs w:val="24"/>
                <w:lang w:eastAsia="pt-BR"/>
              </w:rPr>
              <w:t>Quantidade</w:t>
            </w:r>
          </w:p>
        </w:tc>
        <w:tc>
          <w:tcPr>
            <w:tcW w:w="960" w:type="dxa"/>
            <w:tcBorders>
              <w:top w:val="single" w:sz="4" w:space="0" w:color="auto"/>
              <w:left w:val="nil"/>
              <w:bottom w:val="single" w:sz="4" w:space="0" w:color="auto"/>
              <w:right w:val="nil"/>
            </w:tcBorders>
            <w:shd w:val="clear" w:color="auto" w:fill="auto"/>
            <w:noWrap/>
            <w:vAlign w:val="bottom"/>
            <w:hideMark/>
          </w:tcPr>
          <w:p w:rsidR="006A59BC" w:rsidRPr="00BD513C" w:rsidRDefault="006A59BC" w:rsidP="00B35B71">
            <w:pPr>
              <w:spacing w:after="0" w:line="240" w:lineRule="auto"/>
              <w:jc w:val="center"/>
              <w:rPr>
                <w:rFonts w:ascii="Times New Roman" w:eastAsia="Times New Roman" w:hAnsi="Times New Roman" w:cs="Times New Roman"/>
                <w:color w:val="000000"/>
                <w:sz w:val="20"/>
                <w:szCs w:val="24"/>
                <w:lang w:eastAsia="pt-BR"/>
              </w:rPr>
            </w:pPr>
            <w:r w:rsidRPr="00BD513C">
              <w:rPr>
                <w:rFonts w:ascii="Times New Roman" w:eastAsia="Times New Roman" w:hAnsi="Times New Roman" w:cs="Times New Roman"/>
                <w:color w:val="000000"/>
                <w:sz w:val="20"/>
                <w:szCs w:val="24"/>
                <w:lang w:eastAsia="pt-BR"/>
              </w:rPr>
              <w:t>%</w:t>
            </w:r>
          </w:p>
        </w:tc>
      </w:tr>
      <w:tr w:rsidR="006A59BC" w:rsidRPr="00BD513C" w:rsidTr="00EA30C7">
        <w:trPr>
          <w:trHeight w:val="255"/>
          <w:jc w:val="center"/>
        </w:trPr>
        <w:tc>
          <w:tcPr>
            <w:tcW w:w="1620" w:type="dxa"/>
            <w:tcBorders>
              <w:top w:val="nil"/>
              <w:left w:val="nil"/>
              <w:bottom w:val="nil"/>
              <w:right w:val="nil"/>
            </w:tcBorders>
            <w:shd w:val="clear" w:color="auto" w:fill="auto"/>
            <w:noWrap/>
            <w:vAlign w:val="bottom"/>
            <w:hideMark/>
          </w:tcPr>
          <w:p w:rsidR="006A59BC" w:rsidRPr="00BD513C" w:rsidRDefault="006A59BC" w:rsidP="00B35B71">
            <w:pPr>
              <w:spacing w:after="0" w:line="240" w:lineRule="auto"/>
              <w:jc w:val="center"/>
              <w:rPr>
                <w:rFonts w:ascii="Times New Roman" w:eastAsia="Times New Roman" w:hAnsi="Times New Roman" w:cs="Times New Roman"/>
                <w:color w:val="000000"/>
                <w:sz w:val="20"/>
                <w:szCs w:val="24"/>
                <w:lang w:eastAsia="pt-BR"/>
              </w:rPr>
            </w:pPr>
            <w:r w:rsidRPr="00BD513C">
              <w:rPr>
                <w:rFonts w:ascii="Times New Roman" w:eastAsia="Times New Roman" w:hAnsi="Times New Roman" w:cs="Times New Roman"/>
                <w:color w:val="000000"/>
                <w:sz w:val="20"/>
                <w:szCs w:val="24"/>
                <w:lang w:eastAsia="pt-BR"/>
              </w:rPr>
              <w:t>Liberalizante</w:t>
            </w:r>
          </w:p>
        </w:tc>
        <w:tc>
          <w:tcPr>
            <w:tcW w:w="1160" w:type="dxa"/>
            <w:tcBorders>
              <w:top w:val="nil"/>
              <w:left w:val="nil"/>
              <w:bottom w:val="nil"/>
              <w:right w:val="nil"/>
            </w:tcBorders>
            <w:shd w:val="clear" w:color="auto" w:fill="auto"/>
            <w:noWrap/>
            <w:vAlign w:val="bottom"/>
            <w:hideMark/>
          </w:tcPr>
          <w:p w:rsidR="006A59BC" w:rsidRPr="00BD513C" w:rsidRDefault="006A59BC" w:rsidP="00B35B71">
            <w:pPr>
              <w:spacing w:after="0" w:line="240" w:lineRule="auto"/>
              <w:jc w:val="center"/>
              <w:rPr>
                <w:rFonts w:ascii="Times New Roman" w:eastAsia="Times New Roman" w:hAnsi="Times New Roman" w:cs="Times New Roman"/>
                <w:color w:val="000000"/>
                <w:sz w:val="20"/>
                <w:szCs w:val="24"/>
                <w:lang w:eastAsia="pt-BR"/>
              </w:rPr>
            </w:pPr>
            <w:r w:rsidRPr="00BD513C">
              <w:rPr>
                <w:rFonts w:ascii="Times New Roman" w:eastAsia="Times New Roman" w:hAnsi="Times New Roman" w:cs="Times New Roman"/>
                <w:color w:val="000000"/>
                <w:sz w:val="20"/>
                <w:szCs w:val="24"/>
                <w:lang w:eastAsia="pt-BR"/>
              </w:rPr>
              <w:t>144</w:t>
            </w:r>
          </w:p>
        </w:tc>
        <w:tc>
          <w:tcPr>
            <w:tcW w:w="960" w:type="dxa"/>
            <w:tcBorders>
              <w:top w:val="nil"/>
              <w:left w:val="nil"/>
              <w:bottom w:val="nil"/>
              <w:right w:val="nil"/>
            </w:tcBorders>
            <w:shd w:val="clear" w:color="auto" w:fill="auto"/>
            <w:noWrap/>
            <w:vAlign w:val="bottom"/>
            <w:hideMark/>
          </w:tcPr>
          <w:p w:rsidR="006A59BC" w:rsidRPr="00BD513C" w:rsidRDefault="006A59BC" w:rsidP="00B35B71">
            <w:pPr>
              <w:spacing w:after="0" w:line="240" w:lineRule="auto"/>
              <w:jc w:val="center"/>
              <w:rPr>
                <w:rFonts w:ascii="Times New Roman" w:eastAsia="Times New Roman" w:hAnsi="Times New Roman" w:cs="Times New Roman"/>
                <w:sz w:val="20"/>
                <w:szCs w:val="24"/>
                <w:lang w:eastAsia="pt-BR"/>
              </w:rPr>
            </w:pPr>
            <w:r w:rsidRPr="00BD513C">
              <w:rPr>
                <w:rFonts w:ascii="Times New Roman" w:eastAsia="Times New Roman" w:hAnsi="Times New Roman" w:cs="Times New Roman"/>
                <w:sz w:val="20"/>
                <w:szCs w:val="24"/>
                <w:lang w:eastAsia="pt-BR"/>
              </w:rPr>
              <w:t>39,9</w:t>
            </w:r>
          </w:p>
        </w:tc>
      </w:tr>
      <w:tr w:rsidR="006A59BC" w:rsidRPr="00BD513C" w:rsidTr="00EA30C7">
        <w:trPr>
          <w:trHeight w:val="255"/>
          <w:jc w:val="center"/>
        </w:trPr>
        <w:tc>
          <w:tcPr>
            <w:tcW w:w="1620" w:type="dxa"/>
            <w:tcBorders>
              <w:top w:val="nil"/>
              <w:left w:val="nil"/>
              <w:bottom w:val="nil"/>
              <w:right w:val="nil"/>
            </w:tcBorders>
            <w:shd w:val="clear" w:color="auto" w:fill="auto"/>
            <w:noWrap/>
            <w:vAlign w:val="bottom"/>
            <w:hideMark/>
          </w:tcPr>
          <w:p w:rsidR="006A59BC" w:rsidRPr="00BD513C" w:rsidRDefault="006A59BC" w:rsidP="00B35B71">
            <w:pPr>
              <w:spacing w:after="0" w:line="240" w:lineRule="auto"/>
              <w:jc w:val="center"/>
              <w:rPr>
                <w:rFonts w:ascii="Times New Roman" w:eastAsia="Times New Roman" w:hAnsi="Times New Roman" w:cs="Times New Roman"/>
                <w:color w:val="000000"/>
                <w:sz w:val="20"/>
                <w:szCs w:val="24"/>
                <w:lang w:eastAsia="pt-BR"/>
              </w:rPr>
            </w:pPr>
            <w:r w:rsidRPr="00BD513C">
              <w:rPr>
                <w:rFonts w:ascii="Times New Roman" w:eastAsia="Times New Roman" w:hAnsi="Times New Roman" w:cs="Times New Roman"/>
                <w:color w:val="000000"/>
                <w:sz w:val="20"/>
                <w:szCs w:val="24"/>
                <w:lang w:eastAsia="pt-BR"/>
              </w:rPr>
              <w:t>Restritiva</w:t>
            </w:r>
          </w:p>
        </w:tc>
        <w:tc>
          <w:tcPr>
            <w:tcW w:w="1160" w:type="dxa"/>
            <w:tcBorders>
              <w:top w:val="nil"/>
              <w:left w:val="nil"/>
              <w:bottom w:val="nil"/>
              <w:right w:val="nil"/>
            </w:tcBorders>
            <w:shd w:val="clear" w:color="auto" w:fill="auto"/>
            <w:noWrap/>
            <w:vAlign w:val="bottom"/>
            <w:hideMark/>
          </w:tcPr>
          <w:p w:rsidR="006A59BC" w:rsidRPr="00BD513C" w:rsidRDefault="006A59BC" w:rsidP="00B35B71">
            <w:pPr>
              <w:spacing w:after="0" w:line="240" w:lineRule="auto"/>
              <w:jc w:val="center"/>
              <w:rPr>
                <w:rFonts w:ascii="Times New Roman" w:eastAsia="Times New Roman" w:hAnsi="Times New Roman" w:cs="Times New Roman"/>
                <w:color w:val="000000"/>
                <w:sz w:val="20"/>
                <w:szCs w:val="24"/>
                <w:lang w:eastAsia="pt-BR"/>
              </w:rPr>
            </w:pPr>
            <w:r w:rsidRPr="00BD513C">
              <w:rPr>
                <w:rFonts w:ascii="Times New Roman" w:eastAsia="Times New Roman" w:hAnsi="Times New Roman" w:cs="Times New Roman"/>
                <w:color w:val="000000"/>
                <w:sz w:val="20"/>
                <w:szCs w:val="24"/>
                <w:lang w:eastAsia="pt-BR"/>
              </w:rPr>
              <w:t>56</w:t>
            </w:r>
          </w:p>
        </w:tc>
        <w:tc>
          <w:tcPr>
            <w:tcW w:w="960" w:type="dxa"/>
            <w:tcBorders>
              <w:top w:val="nil"/>
              <w:left w:val="nil"/>
              <w:bottom w:val="nil"/>
              <w:right w:val="nil"/>
            </w:tcBorders>
            <w:shd w:val="clear" w:color="auto" w:fill="auto"/>
            <w:noWrap/>
            <w:vAlign w:val="bottom"/>
            <w:hideMark/>
          </w:tcPr>
          <w:p w:rsidR="006A59BC" w:rsidRPr="00BD513C" w:rsidRDefault="006A59BC" w:rsidP="00B35B71">
            <w:pPr>
              <w:spacing w:after="0" w:line="240" w:lineRule="auto"/>
              <w:jc w:val="center"/>
              <w:rPr>
                <w:rFonts w:ascii="Times New Roman" w:eastAsia="Times New Roman" w:hAnsi="Times New Roman" w:cs="Times New Roman"/>
                <w:sz w:val="20"/>
                <w:szCs w:val="24"/>
                <w:lang w:eastAsia="pt-BR"/>
              </w:rPr>
            </w:pPr>
            <w:r w:rsidRPr="00BD513C">
              <w:rPr>
                <w:rFonts w:ascii="Times New Roman" w:eastAsia="Times New Roman" w:hAnsi="Times New Roman" w:cs="Times New Roman"/>
                <w:sz w:val="20"/>
                <w:szCs w:val="24"/>
                <w:lang w:eastAsia="pt-BR"/>
              </w:rPr>
              <w:t>15,5</w:t>
            </w:r>
          </w:p>
        </w:tc>
      </w:tr>
      <w:tr w:rsidR="006A59BC" w:rsidRPr="00BD513C" w:rsidTr="00EA30C7">
        <w:trPr>
          <w:trHeight w:val="255"/>
          <w:jc w:val="center"/>
        </w:trPr>
        <w:tc>
          <w:tcPr>
            <w:tcW w:w="1620" w:type="dxa"/>
            <w:tcBorders>
              <w:top w:val="nil"/>
              <w:left w:val="nil"/>
              <w:bottom w:val="nil"/>
              <w:right w:val="nil"/>
            </w:tcBorders>
            <w:shd w:val="clear" w:color="auto" w:fill="auto"/>
            <w:noWrap/>
            <w:vAlign w:val="bottom"/>
            <w:hideMark/>
          </w:tcPr>
          <w:p w:rsidR="006A59BC" w:rsidRPr="00BD513C" w:rsidRDefault="006A59BC" w:rsidP="00B35B71">
            <w:pPr>
              <w:spacing w:after="0" w:line="240" w:lineRule="auto"/>
              <w:jc w:val="center"/>
              <w:rPr>
                <w:rFonts w:ascii="Times New Roman" w:eastAsia="Times New Roman" w:hAnsi="Times New Roman" w:cs="Times New Roman"/>
                <w:color w:val="000000"/>
                <w:sz w:val="20"/>
                <w:szCs w:val="24"/>
                <w:lang w:eastAsia="pt-BR"/>
              </w:rPr>
            </w:pPr>
            <w:r w:rsidRPr="00BD513C">
              <w:rPr>
                <w:rFonts w:ascii="Times New Roman" w:eastAsia="Times New Roman" w:hAnsi="Times New Roman" w:cs="Times New Roman"/>
                <w:color w:val="000000"/>
                <w:sz w:val="20"/>
                <w:szCs w:val="24"/>
                <w:lang w:eastAsia="pt-BR"/>
              </w:rPr>
              <w:t>Neutra</w:t>
            </w:r>
          </w:p>
        </w:tc>
        <w:tc>
          <w:tcPr>
            <w:tcW w:w="1160" w:type="dxa"/>
            <w:tcBorders>
              <w:top w:val="nil"/>
              <w:left w:val="nil"/>
              <w:bottom w:val="nil"/>
              <w:right w:val="nil"/>
            </w:tcBorders>
            <w:shd w:val="clear" w:color="auto" w:fill="auto"/>
            <w:noWrap/>
            <w:vAlign w:val="bottom"/>
            <w:hideMark/>
          </w:tcPr>
          <w:p w:rsidR="006A59BC" w:rsidRPr="00BD513C" w:rsidRDefault="006A59BC" w:rsidP="00B35B71">
            <w:pPr>
              <w:spacing w:after="0" w:line="240" w:lineRule="auto"/>
              <w:jc w:val="center"/>
              <w:rPr>
                <w:rFonts w:ascii="Times New Roman" w:eastAsia="Times New Roman" w:hAnsi="Times New Roman" w:cs="Times New Roman"/>
                <w:color w:val="000000"/>
                <w:sz w:val="20"/>
                <w:szCs w:val="24"/>
                <w:lang w:eastAsia="pt-BR"/>
              </w:rPr>
            </w:pPr>
            <w:r w:rsidRPr="00BD513C">
              <w:rPr>
                <w:rFonts w:ascii="Times New Roman" w:eastAsia="Times New Roman" w:hAnsi="Times New Roman" w:cs="Times New Roman"/>
                <w:color w:val="000000"/>
                <w:sz w:val="20"/>
                <w:szCs w:val="24"/>
                <w:lang w:eastAsia="pt-BR"/>
              </w:rPr>
              <w:t>161</w:t>
            </w:r>
          </w:p>
        </w:tc>
        <w:tc>
          <w:tcPr>
            <w:tcW w:w="960" w:type="dxa"/>
            <w:tcBorders>
              <w:top w:val="nil"/>
              <w:left w:val="nil"/>
              <w:bottom w:val="nil"/>
              <w:right w:val="nil"/>
            </w:tcBorders>
            <w:shd w:val="clear" w:color="auto" w:fill="auto"/>
            <w:noWrap/>
            <w:vAlign w:val="bottom"/>
            <w:hideMark/>
          </w:tcPr>
          <w:p w:rsidR="006A59BC" w:rsidRPr="00BD513C" w:rsidRDefault="006A59BC" w:rsidP="00B35B71">
            <w:pPr>
              <w:spacing w:after="0" w:line="240" w:lineRule="auto"/>
              <w:jc w:val="center"/>
              <w:rPr>
                <w:rFonts w:ascii="Times New Roman" w:eastAsia="Times New Roman" w:hAnsi="Times New Roman" w:cs="Times New Roman"/>
                <w:sz w:val="20"/>
                <w:szCs w:val="24"/>
                <w:lang w:eastAsia="pt-BR"/>
              </w:rPr>
            </w:pPr>
            <w:r w:rsidRPr="00BD513C">
              <w:rPr>
                <w:rFonts w:ascii="Times New Roman" w:eastAsia="Times New Roman" w:hAnsi="Times New Roman" w:cs="Times New Roman"/>
                <w:sz w:val="20"/>
                <w:szCs w:val="24"/>
                <w:lang w:eastAsia="pt-BR"/>
              </w:rPr>
              <w:t>44,6</w:t>
            </w:r>
          </w:p>
        </w:tc>
      </w:tr>
      <w:tr w:rsidR="006A59BC" w:rsidRPr="00BD513C" w:rsidTr="00EA30C7">
        <w:trPr>
          <w:trHeight w:val="255"/>
          <w:jc w:val="center"/>
        </w:trPr>
        <w:tc>
          <w:tcPr>
            <w:tcW w:w="1620" w:type="dxa"/>
            <w:tcBorders>
              <w:top w:val="nil"/>
              <w:left w:val="nil"/>
              <w:bottom w:val="single" w:sz="4" w:space="0" w:color="auto"/>
              <w:right w:val="nil"/>
            </w:tcBorders>
            <w:shd w:val="clear" w:color="auto" w:fill="auto"/>
            <w:noWrap/>
            <w:vAlign w:val="bottom"/>
            <w:hideMark/>
          </w:tcPr>
          <w:p w:rsidR="006A59BC" w:rsidRPr="00BD513C" w:rsidRDefault="006A59BC" w:rsidP="00B35B71">
            <w:pPr>
              <w:spacing w:after="0" w:line="240" w:lineRule="auto"/>
              <w:jc w:val="center"/>
              <w:rPr>
                <w:rFonts w:ascii="Times New Roman" w:eastAsia="Times New Roman" w:hAnsi="Times New Roman" w:cs="Times New Roman"/>
                <w:color w:val="000000"/>
                <w:sz w:val="20"/>
                <w:szCs w:val="24"/>
                <w:lang w:eastAsia="pt-BR"/>
              </w:rPr>
            </w:pPr>
            <w:r w:rsidRPr="00BD513C">
              <w:rPr>
                <w:rFonts w:ascii="Times New Roman" w:eastAsia="Times New Roman" w:hAnsi="Times New Roman" w:cs="Times New Roman"/>
                <w:color w:val="000000"/>
                <w:sz w:val="20"/>
                <w:szCs w:val="24"/>
                <w:lang w:eastAsia="pt-BR"/>
              </w:rPr>
              <w:t>Total</w:t>
            </w:r>
          </w:p>
        </w:tc>
        <w:tc>
          <w:tcPr>
            <w:tcW w:w="1160" w:type="dxa"/>
            <w:tcBorders>
              <w:top w:val="nil"/>
              <w:left w:val="nil"/>
              <w:bottom w:val="nil"/>
              <w:right w:val="nil"/>
            </w:tcBorders>
            <w:shd w:val="clear" w:color="auto" w:fill="auto"/>
            <w:noWrap/>
            <w:vAlign w:val="bottom"/>
            <w:hideMark/>
          </w:tcPr>
          <w:p w:rsidR="006A59BC" w:rsidRPr="00BD513C" w:rsidRDefault="006A59BC" w:rsidP="00B35B71">
            <w:pPr>
              <w:spacing w:after="0" w:line="240" w:lineRule="auto"/>
              <w:jc w:val="center"/>
              <w:rPr>
                <w:rFonts w:ascii="Times New Roman" w:eastAsia="Times New Roman" w:hAnsi="Times New Roman" w:cs="Times New Roman"/>
                <w:color w:val="000000"/>
                <w:sz w:val="20"/>
                <w:szCs w:val="24"/>
                <w:lang w:eastAsia="pt-BR"/>
              </w:rPr>
            </w:pPr>
            <w:r w:rsidRPr="00BD513C">
              <w:rPr>
                <w:rFonts w:ascii="Times New Roman" w:eastAsia="Times New Roman" w:hAnsi="Times New Roman" w:cs="Times New Roman"/>
                <w:color w:val="000000"/>
                <w:sz w:val="20"/>
                <w:szCs w:val="24"/>
                <w:lang w:eastAsia="pt-BR"/>
              </w:rPr>
              <w:t>361</w:t>
            </w:r>
          </w:p>
        </w:tc>
        <w:tc>
          <w:tcPr>
            <w:tcW w:w="960" w:type="dxa"/>
            <w:tcBorders>
              <w:top w:val="nil"/>
              <w:left w:val="nil"/>
              <w:bottom w:val="nil"/>
              <w:right w:val="nil"/>
            </w:tcBorders>
            <w:shd w:val="clear" w:color="auto" w:fill="auto"/>
            <w:noWrap/>
            <w:vAlign w:val="bottom"/>
            <w:hideMark/>
          </w:tcPr>
          <w:p w:rsidR="006A59BC" w:rsidRPr="00BD513C" w:rsidRDefault="006A59BC" w:rsidP="00B35B71">
            <w:pPr>
              <w:spacing w:after="0" w:line="240" w:lineRule="auto"/>
              <w:jc w:val="center"/>
              <w:rPr>
                <w:rFonts w:ascii="Times New Roman" w:eastAsia="Times New Roman" w:hAnsi="Times New Roman" w:cs="Times New Roman"/>
                <w:sz w:val="20"/>
                <w:szCs w:val="24"/>
                <w:lang w:eastAsia="pt-BR"/>
              </w:rPr>
            </w:pPr>
            <w:r w:rsidRPr="00BD513C">
              <w:rPr>
                <w:rFonts w:ascii="Times New Roman" w:eastAsia="Times New Roman" w:hAnsi="Times New Roman" w:cs="Times New Roman"/>
                <w:sz w:val="20"/>
                <w:szCs w:val="24"/>
                <w:lang w:eastAsia="pt-BR"/>
              </w:rPr>
              <w:t>100,0</w:t>
            </w:r>
          </w:p>
        </w:tc>
      </w:tr>
      <w:tr w:rsidR="006A59BC" w:rsidRPr="00BD513C" w:rsidTr="00EA30C7">
        <w:trPr>
          <w:trHeight w:val="255"/>
          <w:jc w:val="center"/>
        </w:trPr>
        <w:tc>
          <w:tcPr>
            <w:tcW w:w="3740" w:type="dxa"/>
            <w:gridSpan w:val="3"/>
            <w:tcBorders>
              <w:top w:val="single" w:sz="4" w:space="0" w:color="auto"/>
              <w:left w:val="nil"/>
              <w:right w:val="nil"/>
            </w:tcBorders>
            <w:shd w:val="clear" w:color="auto" w:fill="auto"/>
            <w:noWrap/>
            <w:vAlign w:val="center"/>
          </w:tcPr>
          <w:p w:rsidR="006A59BC" w:rsidRPr="00BD513C" w:rsidRDefault="006A59BC" w:rsidP="00B35B71">
            <w:pPr>
              <w:spacing w:after="0" w:line="240" w:lineRule="auto"/>
              <w:rPr>
                <w:rFonts w:ascii="Times New Roman" w:hAnsi="Times New Roman" w:cs="Times New Roman"/>
                <w:sz w:val="20"/>
                <w:szCs w:val="24"/>
              </w:rPr>
            </w:pPr>
            <w:r w:rsidRPr="00BD513C">
              <w:rPr>
                <w:rFonts w:ascii="Times New Roman" w:hAnsi="Times New Roman" w:cs="Times New Roman"/>
                <w:sz w:val="20"/>
                <w:szCs w:val="24"/>
              </w:rPr>
              <w:t>Fonte: elaboração própria.</w:t>
            </w:r>
          </w:p>
        </w:tc>
      </w:tr>
    </w:tbl>
    <w:p w:rsidR="006A59BC" w:rsidRPr="00BD513C" w:rsidRDefault="006A59BC" w:rsidP="00B35B71">
      <w:pPr>
        <w:spacing w:after="0" w:line="240" w:lineRule="auto"/>
        <w:rPr>
          <w:rFonts w:ascii="Times New Roman" w:hAnsi="Times New Roman" w:cs="Times New Roman"/>
          <w:sz w:val="20"/>
          <w:szCs w:val="24"/>
        </w:rPr>
      </w:pPr>
    </w:p>
    <w:p w:rsidR="006A59BC" w:rsidRPr="00BD513C" w:rsidRDefault="006A59BC" w:rsidP="00B35B71">
      <w:pPr>
        <w:spacing w:after="0" w:line="240" w:lineRule="auto"/>
        <w:rPr>
          <w:rFonts w:ascii="Times New Roman" w:hAnsi="Times New Roman" w:cs="Times New Roman"/>
          <w:sz w:val="20"/>
          <w:szCs w:val="24"/>
        </w:rPr>
      </w:pPr>
      <w:r w:rsidRPr="006A59BC">
        <w:rPr>
          <w:rFonts w:ascii="Times New Roman" w:hAnsi="Times New Roman" w:cs="Times New Roman"/>
          <w:szCs w:val="24"/>
        </w:rPr>
        <w:tab/>
      </w:r>
      <w:r w:rsidR="00312375">
        <w:rPr>
          <w:rFonts w:ascii="Times New Roman" w:hAnsi="Times New Roman" w:cs="Times New Roman"/>
          <w:szCs w:val="24"/>
        </w:rPr>
        <w:t>A partir do gráfico abaixo, observa</w:t>
      </w:r>
      <w:r w:rsidR="00312375" w:rsidRPr="00312375">
        <w:rPr>
          <w:rFonts w:ascii="Times New Roman" w:hAnsi="Times New Roman" w:cs="Times New Roman"/>
          <w:szCs w:val="24"/>
        </w:rPr>
        <w:t>-se que a evolução do ICC Acumulado (ICCAC)</w:t>
      </w:r>
      <w:r w:rsidR="00312375">
        <w:rPr>
          <w:rFonts w:ascii="Times New Roman" w:hAnsi="Times New Roman" w:cs="Times New Roman"/>
          <w:szCs w:val="24"/>
        </w:rPr>
        <w:t xml:space="preserve"> apresentou uma trajetória gradual, mas crescente</w:t>
      </w:r>
      <w:r w:rsidR="00312375" w:rsidRPr="00312375">
        <w:rPr>
          <w:rFonts w:ascii="Times New Roman" w:hAnsi="Times New Roman" w:cs="Times New Roman"/>
          <w:szCs w:val="24"/>
        </w:rPr>
        <w:t xml:space="preserve"> ao grau de abertura financeira da economia brasileira. Dessa </w:t>
      </w:r>
      <w:r w:rsidR="00312375">
        <w:rPr>
          <w:rFonts w:ascii="Times New Roman" w:hAnsi="Times New Roman" w:cs="Times New Roman"/>
          <w:szCs w:val="24"/>
        </w:rPr>
        <w:t>maneira</w:t>
      </w:r>
      <w:r w:rsidR="00312375" w:rsidRPr="00312375">
        <w:rPr>
          <w:rFonts w:ascii="Times New Roman" w:hAnsi="Times New Roman" w:cs="Times New Roman"/>
          <w:szCs w:val="24"/>
        </w:rPr>
        <w:t xml:space="preserve">, o índice </w:t>
      </w:r>
      <w:r w:rsidR="008F5A58">
        <w:rPr>
          <w:rFonts w:ascii="Times New Roman" w:hAnsi="Times New Roman" w:cs="Times New Roman"/>
          <w:szCs w:val="24"/>
        </w:rPr>
        <w:t>está</w:t>
      </w:r>
      <w:r w:rsidR="00312375" w:rsidRPr="00312375">
        <w:rPr>
          <w:rFonts w:ascii="Times New Roman" w:hAnsi="Times New Roman" w:cs="Times New Roman"/>
          <w:szCs w:val="24"/>
        </w:rPr>
        <w:t xml:space="preserve"> em linha com o argumento de Biancarelli (2004), pois o movimento no sentido da </w:t>
      </w:r>
      <w:r w:rsidR="00312375" w:rsidRPr="00312375">
        <w:rPr>
          <w:rFonts w:ascii="Times New Roman" w:hAnsi="Times New Roman" w:cs="Times New Roman"/>
          <w:szCs w:val="24"/>
        </w:rPr>
        <w:lastRenderedPageBreak/>
        <w:t>desregulamentação não significou a recusa ao emprego de instrumentos restritivos conjunturais frente a fluxos excessivos de capital (ver Gráfico 01).</w:t>
      </w:r>
    </w:p>
    <w:p w:rsidR="006A59BC" w:rsidRPr="003013C8" w:rsidRDefault="006A59BC" w:rsidP="00B35B71">
      <w:pPr>
        <w:spacing w:after="0" w:line="240" w:lineRule="auto"/>
        <w:jc w:val="center"/>
        <w:rPr>
          <w:rFonts w:ascii="Times New Roman" w:hAnsi="Times New Roman" w:cs="Times New Roman"/>
          <w:sz w:val="22"/>
        </w:rPr>
      </w:pPr>
      <w:r w:rsidRPr="003013C8">
        <w:rPr>
          <w:rFonts w:ascii="Times New Roman" w:hAnsi="Times New Roman" w:cs="Times New Roman"/>
          <w:sz w:val="22"/>
        </w:rPr>
        <w:t>Gráfico 01 – Índice de Controle de Capitais Acumulado (1995/2014)</w:t>
      </w:r>
    </w:p>
    <w:p w:rsidR="006A59BC" w:rsidRPr="00BD513C" w:rsidRDefault="006A59BC" w:rsidP="00B35B71">
      <w:pPr>
        <w:spacing w:after="0" w:line="240" w:lineRule="auto"/>
        <w:jc w:val="center"/>
        <w:rPr>
          <w:rFonts w:ascii="Times New Roman" w:hAnsi="Times New Roman" w:cs="Times New Roman"/>
          <w:sz w:val="20"/>
          <w:szCs w:val="24"/>
        </w:rPr>
      </w:pPr>
      <w:r w:rsidRPr="00BD513C">
        <w:rPr>
          <w:rFonts w:ascii="Times New Roman" w:hAnsi="Times New Roman" w:cs="Times New Roman"/>
          <w:noProof/>
          <w:sz w:val="20"/>
          <w:szCs w:val="24"/>
          <w:lang w:eastAsia="pt-BR"/>
        </w:rPr>
        <w:drawing>
          <wp:inline distT="0" distB="0" distL="0" distR="0" wp14:anchorId="0389552D" wp14:editId="46955958">
            <wp:extent cx="2804994" cy="1654895"/>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A59BC" w:rsidRPr="00B35B71" w:rsidRDefault="006A59BC" w:rsidP="00B35B71">
      <w:pPr>
        <w:spacing w:after="0" w:line="240" w:lineRule="auto"/>
        <w:jc w:val="center"/>
        <w:rPr>
          <w:rFonts w:ascii="Times New Roman" w:hAnsi="Times New Roman" w:cs="Times New Roman"/>
          <w:sz w:val="16"/>
          <w:szCs w:val="16"/>
        </w:rPr>
      </w:pPr>
      <w:r w:rsidRPr="00B35B71">
        <w:rPr>
          <w:rFonts w:ascii="Times New Roman" w:hAnsi="Times New Roman" w:cs="Times New Roman"/>
          <w:sz w:val="16"/>
          <w:szCs w:val="16"/>
        </w:rPr>
        <w:t>Fonte: elaboração própria.</w:t>
      </w:r>
    </w:p>
    <w:p w:rsidR="006A59BC" w:rsidRPr="00BD513C" w:rsidRDefault="006A59BC" w:rsidP="00B35B71">
      <w:pPr>
        <w:spacing w:after="0" w:line="240" w:lineRule="auto"/>
        <w:rPr>
          <w:rFonts w:ascii="Times New Roman" w:hAnsi="Times New Roman" w:cs="Times New Roman"/>
          <w:sz w:val="20"/>
          <w:szCs w:val="24"/>
        </w:rPr>
      </w:pPr>
    </w:p>
    <w:p w:rsidR="00A56524" w:rsidRPr="00A56524" w:rsidRDefault="006A59BC" w:rsidP="00B35B71">
      <w:pPr>
        <w:spacing w:after="0" w:line="240" w:lineRule="auto"/>
        <w:rPr>
          <w:rFonts w:ascii="Times New Roman" w:hAnsi="Times New Roman" w:cs="Times New Roman"/>
          <w:szCs w:val="24"/>
        </w:rPr>
      </w:pPr>
      <w:r w:rsidRPr="006A59BC">
        <w:rPr>
          <w:rFonts w:ascii="Times New Roman" w:hAnsi="Times New Roman" w:cs="Times New Roman"/>
          <w:szCs w:val="24"/>
        </w:rPr>
        <w:tab/>
      </w:r>
      <w:r w:rsidR="00A56524">
        <w:rPr>
          <w:rFonts w:ascii="Times New Roman" w:hAnsi="Times New Roman" w:cs="Times New Roman"/>
          <w:szCs w:val="24"/>
        </w:rPr>
        <w:t>Passando</w:t>
      </w:r>
      <w:r w:rsidRPr="006A59BC">
        <w:rPr>
          <w:rFonts w:ascii="Times New Roman" w:hAnsi="Times New Roman" w:cs="Times New Roman"/>
          <w:szCs w:val="24"/>
        </w:rPr>
        <w:t xml:space="preserve"> à mensuração da dimensão </w:t>
      </w:r>
      <w:r w:rsidRPr="006A59BC">
        <w:rPr>
          <w:rFonts w:ascii="Times New Roman" w:hAnsi="Times New Roman" w:cs="Times New Roman"/>
          <w:i/>
          <w:szCs w:val="24"/>
        </w:rPr>
        <w:t>de facto</w:t>
      </w:r>
      <w:r w:rsidRPr="006A59BC">
        <w:rPr>
          <w:rFonts w:ascii="Times New Roman" w:hAnsi="Times New Roman" w:cs="Times New Roman"/>
          <w:szCs w:val="24"/>
        </w:rPr>
        <w:t xml:space="preserve"> da l</w:t>
      </w:r>
      <w:r w:rsidR="00A56524">
        <w:rPr>
          <w:rFonts w:ascii="Times New Roman" w:hAnsi="Times New Roman" w:cs="Times New Roman"/>
          <w:szCs w:val="24"/>
        </w:rPr>
        <w:t xml:space="preserve">iberalização financeira externa, </w:t>
      </w:r>
      <w:r w:rsidR="00A56524" w:rsidRPr="00A56524">
        <w:rPr>
          <w:rFonts w:ascii="Times New Roman" w:hAnsi="Times New Roman" w:cs="Times New Roman"/>
          <w:szCs w:val="24"/>
        </w:rPr>
        <w:t>a literatura empírica traz as seguintes alternativas: i) medida do diferencial de preços no mercado de ativos; ii) ponderação dos estoques financeiros pelo produto nominal; iii) ponderação dos fluxos brutos de capital pelo produto nominal; e iv) consideração do</w:t>
      </w:r>
      <w:r w:rsidR="00EF1A87">
        <w:rPr>
          <w:rFonts w:ascii="Times New Roman" w:hAnsi="Times New Roman" w:cs="Times New Roman"/>
          <w:szCs w:val="24"/>
        </w:rPr>
        <w:t xml:space="preserve"> volume dos fluxos financeiros. A</w:t>
      </w:r>
      <w:r w:rsidR="00A56524" w:rsidRPr="00A56524">
        <w:rPr>
          <w:rFonts w:ascii="Times New Roman" w:hAnsi="Times New Roman" w:cs="Times New Roman"/>
          <w:szCs w:val="24"/>
        </w:rPr>
        <w:t xml:space="preserve"> primeira alternativa foi empregada por Chamon e Garcia (2014), e remonta aos trabalhos de Obstfeld e Taylor (2004) e Prasad </w:t>
      </w:r>
      <w:r w:rsidR="00A56524" w:rsidRPr="00EF1A87">
        <w:rPr>
          <w:rFonts w:ascii="Times New Roman" w:hAnsi="Times New Roman" w:cs="Times New Roman"/>
          <w:i/>
          <w:szCs w:val="24"/>
        </w:rPr>
        <w:t>et al.</w:t>
      </w:r>
      <w:r w:rsidR="00A56524" w:rsidRPr="00A56524">
        <w:rPr>
          <w:rFonts w:ascii="Times New Roman" w:hAnsi="Times New Roman" w:cs="Times New Roman"/>
          <w:szCs w:val="24"/>
        </w:rPr>
        <w:t xml:space="preserve"> (2003). No entanto, é possível apontar dois grupos de problemas relacionados a essa saída metodológica. Em termos gerais, há o risco de tais retornos moverem-se por fatores exógenos ao avanço da liberalização financeira externa, de modo que a redução no diferencial de preços pode refletir choques comuns ao invés de um aumento na integração. Além disso, há fatores específicos ao caso das economias em desenvolvimento como a brasileira.</w:t>
      </w:r>
    </w:p>
    <w:p w:rsidR="006A59BC" w:rsidRPr="006A59BC" w:rsidRDefault="00EF1A87" w:rsidP="00B35B71">
      <w:pPr>
        <w:spacing w:after="0" w:line="240" w:lineRule="auto"/>
        <w:rPr>
          <w:rFonts w:ascii="Times New Roman" w:hAnsi="Times New Roman" w:cs="Times New Roman"/>
          <w:szCs w:val="24"/>
        </w:rPr>
      </w:pPr>
      <w:r>
        <w:rPr>
          <w:rFonts w:ascii="Times New Roman" w:hAnsi="Times New Roman" w:cs="Times New Roman"/>
          <w:szCs w:val="24"/>
        </w:rPr>
        <w:tab/>
      </w:r>
      <w:r w:rsidR="00040F21">
        <w:rPr>
          <w:rFonts w:ascii="Times New Roman" w:hAnsi="Times New Roman" w:cs="Times New Roman"/>
          <w:szCs w:val="24"/>
        </w:rPr>
        <w:t>No caso brasileiro, a</w:t>
      </w:r>
      <w:r>
        <w:rPr>
          <w:rFonts w:ascii="Times New Roman" w:hAnsi="Times New Roman" w:cs="Times New Roman"/>
          <w:szCs w:val="24"/>
        </w:rPr>
        <w:t xml:space="preserve"> adoção do segundo indicador, nos termos de </w:t>
      </w:r>
      <w:r w:rsidR="00A56524" w:rsidRPr="00A56524">
        <w:rPr>
          <w:rFonts w:ascii="Times New Roman" w:hAnsi="Times New Roman" w:cs="Times New Roman"/>
          <w:szCs w:val="24"/>
        </w:rPr>
        <w:t xml:space="preserve">Faria </w:t>
      </w:r>
      <w:r w:rsidR="00A56524" w:rsidRPr="00EF1A87">
        <w:rPr>
          <w:rFonts w:ascii="Times New Roman" w:hAnsi="Times New Roman" w:cs="Times New Roman"/>
          <w:i/>
          <w:szCs w:val="24"/>
        </w:rPr>
        <w:t>et al.</w:t>
      </w:r>
      <w:r w:rsidR="00A56524" w:rsidRPr="00A56524">
        <w:rPr>
          <w:rFonts w:ascii="Times New Roman" w:hAnsi="Times New Roman" w:cs="Times New Roman"/>
          <w:szCs w:val="24"/>
        </w:rPr>
        <w:t xml:space="preserve"> (2009), </w:t>
      </w:r>
      <w:r>
        <w:rPr>
          <w:rFonts w:ascii="Times New Roman" w:hAnsi="Times New Roman" w:cs="Times New Roman"/>
          <w:szCs w:val="24"/>
        </w:rPr>
        <w:t xml:space="preserve">também apresenta problemas </w:t>
      </w:r>
      <w:r w:rsidR="00C90349">
        <w:rPr>
          <w:rFonts w:ascii="Times New Roman" w:hAnsi="Times New Roman" w:cs="Times New Roman"/>
          <w:szCs w:val="24"/>
        </w:rPr>
        <w:t>como a</w:t>
      </w:r>
      <w:r>
        <w:rPr>
          <w:rFonts w:ascii="Times New Roman" w:hAnsi="Times New Roman" w:cs="Times New Roman"/>
          <w:szCs w:val="24"/>
        </w:rPr>
        <w:t xml:space="preserve"> imprecisão na quantificação </w:t>
      </w:r>
      <w:r w:rsidR="00C90349">
        <w:rPr>
          <w:rFonts w:ascii="Times New Roman" w:hAnsi="Times New Roman" w:cs="Times New Roman"/>
          <w:szCs w:val="24"/>
        </w:rPr>
        <w:t xml:space="preserve">dos ativos estrangeiros e amostra reduzida (dado o seu caráter anual e o começo apenas em 2005). </w:t>
      </w:r>
      <w:r w:rsidR="00040F21">
        <w:rPr>
          <w:rFonts w:ascii="Times New Roman" w:hAnsi="Times New Roman" w:cs="Times New Roman"/>
          <w:szCs w:val="24"/>
        </w:rPr>
        <w:t>Por isso</w:t>
      </w:r>
      <w:r w:rsidR="00C90349">
        <w:rPr>
          <w:rFonts w:ascii="Times New Roman" w:hAnsi="Times New Roman" w:cs="Times New Roman"/>
          <w:szCs w:val="24"/>
        </w:rPr>
        <w:t xml:space="preserve">, </w:t>
      </w:r>
      <w:r w:rsidR="00017E62">
        <w:rPr>
          <w:rFonts w:ascii="Times New Roman" w:hAnsi="Times New Roman" w:cs="Times New Roman"/>
          <w:szCs w:val="24"/>
        </w:rPr>
        <w:t>o Índice de Integração Financeira</w:t>
      </w:r>
      <w:r w:rsidR="008F5A58">
        <w:rPr>
          <w:rFonts w:ascii="Times New Roman" w:hAnsi="Times New Roman" w:cs="Times New Roman"/>
          <w:szCs w:val="24"/>
        </w:rPr>
        <w:t xml:space="preserve"> (IIF)</w:t>
      </w:r>
      <w:r w:rsidR="00017E62">
        <w:rPr>
          <w:rFonts w:ascii="Times New Roman" w:hAnsi="Times New Roman" w:cs="Times New Roman"/>
          <w:szCs w:val="24"/>
        </w:rPr>
        <w:t xml:space="preserve"> segue o exposto em Kraay (1998) e Laan (2007), dentre outros ao partir da razão entre soma em módulo dos fluxos de entrada e saída e </w:t>
      </w:r>
      <w:r w:rsidR="00040F21">
        <w:rPr>
          <w:rFonts w:ascii="Times New Roman" w:hAnsi="Times New Roman" w:cs="Times New Roman"/>
          <w:szCs w:val="24"/>
        </w:rPr>
        <w:t>o</w:t>
      </w:r>
      <w:r w:rsidR="00017E62">
        <w:rPr>
          <w:rFonts w:ascii="Times New Roman" w:hAnsi="Times New Roman" w:cs="Times New Roman"/>
          <w:szCs w:val="24"/>
        </w:rPr>
        <w:t xml:space="preserve"> </w:t>
      </w:r>
      <w:r w:rsidR="00017E62" w:rsidRPr="006A59BC">
        <w:rPr>
          <w:rFonts w:ascii="Times New Roman" w:hAnsi="Times New Roman" w:cs="Times New Roman"/>
          <w:szCs w:val="24"/>
        </w:rPr>
        <w:t>PIB nominal estimado pelo Banco Central do Brasil</w:t>
      </w:r>
      <w:r w:rsidR="00017E62">
        <w:rPr>
          <w:rFonts w:ascii="Times New Roman" w:hAnsi="Times New Roman" w:cs="Times New Roman"/>
          <w:szCs w:val="24"/>
        </w:rPr>
        <w:t xml:space="preserve">. Em que pese às distorções decorrentes do movimento cambial, como destacam </w:t>
      </w:r>
      <w:r w:rsidR="00040F21">
        <w:rPr>
          <w:rFonts w:ascii="Times New Roman" w:hAnsi="Times New Roman" w:cs="Times New Roman"/>
          <w:szCs w:val="24"/>
        </w:rPr>
        <w:t xml:space="preserve">Cunha e Laan </w:t>
      </w:r>
      <w:r w:rsidR="00017E62">
        <w:rPr>
          <w:rFonts w:ascii="Times New Roman" w:hAnsi="Times New Roman" w:cs="Times New Roman"/>
          <w:szCs w:val="24"/>
        </w:rPr>
        <w:t xml:space="preserve">(2013), esta foi a forma encontrada para acessar o </w:t>
      </w:r>
      <w:r w:rsidR="00017E62">
        <w:rPr>
          <w:rFonts w:ascii="Times New Roman" w:hAnsi="Times New Roman" w:cs="Times New Roman"/>
          <w:i/>
          <w:szCs w:val="24"/>
        </w:rPr>
        <w:t>grau</w:t>
      </w:r>
      <w:r w:rsidR="00017E62">
        <w:rPr>
          <w:rFonts w:ascii="Times New Roman" w:hAnsi="Times New Roman" w:cs="Times New Roman"/>
          <w:szCs w:val="24"/>
        </w:rPr>
        <w:t xml:space="preserve"> de integração financeira externa, ou seja, o peso dos fluxos brutos na economia brasileira. Veja o gráfico a seguir:</w:t>
      </w:r>
    </w:p>
    <w:p w:rsidR="003013C8" w:rsidRDefault="003013C8" w:rsidP="00B35B71">
      <w:pPr>
        <w:spacing w:after="0" w:line="240" w:lineRule="auto"/>
        <w:ind w:firstLine="708"/>
        <w:jc w:val="center"/>
        <w:rPr>
          <w:rFonts w:ascii="Times New Roman" w:hAnsi="Times New Roman" w:cs="Times New Roman"/>
          <w:sz w:val="20"/>
          <w:szCs w:val="24"/>
        </w:rPr>
      </w:pPr>
    </w:p>
    <w:p w:rsidR="006A59BC" w:rsidRPr="003013C8" w:rsidRDefault="006A59BC" w:rsidP="00B35B71">
      <w:pPr>
        <w:spacing w:after="0" w:line="240" w:lineRule="auto"/>
        <w:jc w:val="center"/>
        <w:rPr>
          <w:rFonts w:ascii="Times New Roman" w:hAnsi="Times New Roman" w:cs="Times New Roman"/>
          <w:sz w:val="22"/>
        </w:rPr>
      </w:pPr>
      <w:r w:rsidRPr="003013C8">
        <w:rPr>
          <w:rFonts w:ascii="Times New Roman" w:hAnsi="Times New Roman" w:cs="Times New Roman"/>
          <w:sz w:val="22"/>
        </w:rPr>
        <w:t>Gráfico 02 – Índice de Integração Financeira (1995/2014) – Participação no PIB (%)</w:t>
      </w:r>
    </w:p>
    <w:p w:rsidR="006A59BC" w:rsidRPr="00BD513C" w:rsidRDefault="006A59BC" w:rsidP="00B35B71">
      <w:pPr>
        <w:spacing w:after="0" w:line="240" w:lineRule="auto"/>
        <w:jc w:val="center"/>
        <w:rPr>
          <w:rFonts w:ascii="Times New Roman" w:hAnsi="Times New Roman" w:cs="Times New Roman"/>
          <w:sz w:val="20"/>
          <w:szCs w:val="24"/>
        </w:rPr>
      </w:pPr>
      <w:r w:rsidRPr="00B35B71">
        <w:rPr>
          <w:rFonts w:ascii="Times New Roman" w:hAnsi="Times New Roman" w:cs="Times New Roman"/>
          <w:noProof/>
          <w:sz w:val="16"/>
          <w:szCs w:val="16"/>
          <w:lang w:eastAsia="pt-BR"/>
        </w:rPr>
        <w:drawing>
          <wp:inline distT="0" distB="0" distL="0" distR="0" wp14:anchorId="6A914F12" wp14:editId="63935807">
            <wp:extent cx="4233982" cy="1783921"/>
            <wp:effectExtent l="0" t="0" r="0" b="698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A59BC" w:rsidRPr="00BD513C" w:rsidRDefault="006A59BC" w:rsidP="00B35B71">
      <w:pPr>
        <w:spacing w:after="0" w:line="240" w:lineRule="auto"/>
        <w:jc w:val="center"/>
        <w:rPr>
          <w:rFonts w:ascii="Times New Roman" w:hAnsi="Times New Roman" w:cs="Times New Roman"/>
          <w:sz w:val="20"/>
          <w:szCs w:val="24"/>
        </w:rPr>
      </w:pPr>
      <w:r w:rsidRPr="00BD513C">
        <w:rPr>
          <w:rFonts w:ascii="Times New Roman" w:hAnsi="Times New Roman" w:cs="Times New Roman"/>
          <w:sz w:val="20"/>
          <w:szCs w:val="24"/>
        </w:rPr>
        <w:t>Fonte: elaboração própria.</w:t>
      </w:r>
    </w:p>
    <w:p w:rsidR="006A59BC" w:rsidRPr="00BD513C" w:rsidRDefault="006A59BC" w:rsidP="00B35B71">
      <w:pPr>
        <w:spacing w:after="0" w:line="240" w:lineRule="auto"/>
        <w:jc w:val="center"/>
        <w:rPr>
          <w:rFonts w:ascii="Times New Roman" w:hAnsi="Times New Roman" w:cs="Times New Roman"/>
          <w:sz w:val="20"/>
          <w:szCs w:val="24"/>
        </w:rPr>
      </w:pPr>
    </w:p>
    <w:p w:rsidR="00442BA7" w:rsidRDefault="006A59BC" w:rsidP="00B35B71">
      <w:pPr>
        <w:spacing w:after="0" w:line="240" w:lineRule="auto"/>
        <w:rPr>
          <w:rFonts w:ascii="Times New Roman" w:hAnsi="Times New Roman" w:cs="Times New Roman"/>
          <w:szCs w:val="24"/>
        </w:rPr>
      </w:pPr>
      <w:r w:rsidRPr="006A59BC">
        <w:rPr>
          <w:rFonts w:ascii="Times New Roman" w:hAnsi="Times New Roman" w:cs="Times New Roman"/>
          <w:szCs w:val="24"/>
        </w:rPr>
        <w:lastRenderedPageBreak/>
        <w:tab/>
      </w:r>
      <w:r w:rsidR="00040F21">
        <w:rPr>
          <w:rFonts w:ascii="Times New Roman" w:hAnsi="Times New Roman" w:cs="Times New Roman"/>
          <w:szCs w:val="24"/>
        </w:rPr>
        <w:t>N</w:t>
      </w:r>
      <w:r w:rsidR="00017E62">
        <w:rPr>
          <w:rFonts w:ascii="Times New Roman" w:hAnsi="Times New Roman" w:cs="Times New Roman"/>
          <w:szCs w:val="24"/>
        </w:rPr>
        <w:t>ota-se que o IIF caracteriza-se pela alta volatilidade, o que corrobora argumentos críticos baseados no caráter autônomo das decisões tomadas pelos agentes privados atuantes nos mercados financeiros globalizados</w:t>
      </w:r>
      <w:r w:rsidRPr="006A59BC">
        <w:rPr>
          <w:rFonts w:ascii="Times New Roman" w:hAnsi="Times New Roman" w:cs="Times New Roman"/>
          <w:szCs w:val="24"/>
        </w:rPr>
        <w:t xml:space="preserve"> (GALLAGHER, 2012; PALLEY, 2009; REY, 2013). </w:t>
      </w:r>
      <w:r w:rsidR="00017E62">
        <w:rPr>
          <w:rFonts w:ascii="Times New Roman" w:hAnsi="Times New Roman" w:cs="Times New Roman"/>
          <w:szCs w:val="24"/>
        </w:rPr>
        <w:t>Observa-se também a vigência de um padrão cíclico dos fluxos direcionados ao Brasil</w:t>
      </w:r>
      <w:r w:rsidR="00BF085B">
        <w:rPr>
          <w:rFonts w:ascii="Times New Roman" w:hAnsi="Times New Roman" w:cs="Times New Roman"/>
          <w:szCs w:val="24"/>
        </w:rPr>
        <w:t xml:space="preserve">, o que se verifica em outros países periféricos, segundo autores como </w:t>
      </w:r>
      <w:r w:rsidRPr="006A59BC">
        <w:rPr>
          <w:rFonts w:ascii="Times New Roman" w:hAnsi="Times New Roman" w:cs="Times New Roman"/>
          <w:szCs w:val="24"/>
        </w:rPr>
        <w:t>Akyüz (2015</w:t>
      </w:r>
      <w:r w:rsidR="008F2C6E">
        <w:rPr>
          <w:rFonts w:ascii="Times New Roman" w:hAnsi="Times New Roman" w:cs="Times New Roman"/>
          <w:szCs w:val="24"/>
        </w:rPr>
        <w:t>)</w:t>
      </w:r>
      <w:r w:rsidR="00BF085B">
        <w:rPr>
          <w:rFonts w:ascii="Times New Roman" w:hAnsi="Times New Roman" w:cs="Times New Roman"/>
          <w:szCs w:val="24"/>
        </w:rPr>
        <w:t>,</w:t>
      </w:r>
      <w:r w:rsidRPr="006A59BC">
        <w:rPr>
          <w:rFonts w:ascii="Times New Roman" w:hAnsi="Times New Roman" w:cs="Times New Roman"/>
          <w:szCs w:val="24"/>
        </w:rPr>
        <w:t xml:space="preserve"> Palma (20</w:t>
      </w:r>
      <w:r w:rsidR="004662FD">
        <w:rPr>
          <w:rFonts w:ascii="Times New Roman" w:hAnsi="Times New Roman" w:cs="Times New Roman"/>
          <w:szCs w:val="24"/>
        </w:rPr>
        <w:t>12</w:t>
      </w:r>
      <w:r w:rsidRPr="006A59BC">
        <w:rPr>
          <w:rFonts w:ascii="Times New Roman" w:hAnsi="Times New Roman" w:cs="Times New Roman"/>
          <w:szCs w:val="24"/>
        </w:rPr>
        <w:t>)</w:t>
      </w:r>
      <w:r w:rsidR="00BF085B">
        <w:rPr>
          <w:rFonts w:ascii="Times New Roman" w:hAnsi="Times New Roman" w:cs="Times New Roman"/>
          <w:szCs w:val="24"/>
        </w:rPr>
        <w:t>, dentre outros</w:t>
      </w:r>
      <w:r w:rsidRPr="006A59BC">
        <w:rPr>
          <w:rFonts w:ascii="Times New Roman" w:hAnsi="Times New Roman" w:cs="Times New Roman"/>
          <w:szCs w:val="24"/>
        </w:rPr>
        <w:t>.</w:t>
      </w:r>
    </w:p>
    <w:p w:rsidR="006A59BC" w:rsidRDefault="006A59BC" w:rsidP="00B35B71">
      <w:pPr>
        <w:spacing w:after="0" w:line="240" w:lineRule="auto"/>
        <w:rPr>
          <w:rFonts w:ascii="Times New Roman" w:hAnsi="Times New Roman" w:cs="Times New Roman"/>
          <w:szCs w:val="24"/>
        </w:rPr>
      </w:pPr>
      <w:r w:rsidRPr="006A59BC">
        <w:rPr>
          <w:rFonts w:ascii="Times New Roman" w:hAnsi="Times New Roman" w:cs="Times New Roman"/>
          <w:szCs w:val="24"/>
        </w:rPr>
        <w:t xml:space="preserve"> </w:t>
      </w:r>
    </w:p>
    <w:p w:rsidR="00C26502" w:rsidRPr="005F0ED3" w:rsidRDefault="00517FB4" w:rsidP="00B35B71">
      <w:pPr>
        <w:pStyle w:val="Ttulo2"/>
        <w:spacing w:before="120" w:line="240" w:lineRule="auto"/>
        <w:ind w:firstLine="0"/>
        <w:jc w:val="both"/>
        <w:rPr>
          <w:rFonts w:cs="Times New Roman"/>
          <w:b/>
          <w:szCs w:val="24"/>
        </w:rPr>
      </w:pPr>
      <w:bookmarkStart w:id="1" w:name="_Toc439170955"/>
      <w:r>
        <w:rPr>
          <w:rFonts w:cs="Times New Roman"/>
          <w:b/>
          <w:szCs w:val="24"/>
        </w:rPr>
        <w:t>5</w:t>
      </w:r>
      <w:r w:rsidR="00A44FF8" w:rsidRPr="005F0ED3">
        <w:rPr>
          <w:rFonts w:cs="Times New Roman"/>
          <w:b/>
          <w:szCs w:val="24"/>
        </w:rPr>
        <w:t>.</w:t>
      </w:r>
      <w:r w:rsidR="00C26502" w:rsidRPr="005F0ED3">
        <w:rPr>
          <w:rFonts w:cs="Times New Roman"/>
          <w:b/>
          <w:szCs w:val="24"/>
        </w:rPr>
        <w:t xml:space="preserve"> Os </w:t>
      </w:r>
      <w:r>
        <w:rPr>
          <w:rFonts w:cs="Times New Roman"/>
          <w:b/>
          <w:szCs w:val="24"/>
        </w:rPr>
        <w:t>impactos</w:t>
      </w:r>
      <w:r w:rsidR="00C26502" w:rsidRPr="005F0ED3">
        <w:rPr>
          <w:rFonts w:cs="Times New Roman"/>
          <w:b/>
          <w:szCs w:val="24"/>
        </w:rPr>
        <w:t xml:space="preserve"> macroeconômicos da liberalização financeira externa: uma análise a partir do modelo </w:t>
      </w:r>
      <w:bookmarkEnd w:id="1"/>
      <w:r>
        <w:rPr>
          <w:rFonts w:cs="Times New Roman"/>
          <w:b/>
          <w:szCs w:val="24"/>
        </w:rPr>
        <w:t>VEC</w:t>
      </w:r>
    </w:p>
    <w:p w:rsidR="00C170F9" w:rsidRPr="00B46AAC" w:rsidRDefault="00017E62" w:rsidP="00B35B71">
      <w:pPr>
        <w:spacing w:after="0" w:line="240" w:lineRule="auto"/>
        <w:ind w:firstLine="708"/>
        <w:rPr>
          <w:rFonts w:ascii="Times New Roman" w:hAnsi="Times New Roman" w:cs="Times New Roman"/>
          <w:szCs w:val="20"/>
        </w:rPr>
      </w:pPr>
      <w:r w:rsidRPr="00017E62">
        <w:rPr>
          <w:rFonts w:ascii="Times New Roman" w:hAnsi="Times New Roman" w:cs="Times New Roman"/>
          <w:szCs w:val="24"/>
        </w:rPr>
        <w:t>Nesta seç</w:t>
      </w:r>
      <w:r>
        <w:rPr>
          <w:rFonts w:ascii="Times New Roman" w:hAnsi="Times New Roman" w:cs="Times New Roman"/>
          <w:szCs w:val="24"/>
        </w:rPr>
        <w:t>ão, realiza-se o objetivo principal do presente artigo ao se estimar</w:t>
      </w:r>
      <w:r w:rsidR="00517FB4" w:rsidRPr="00517FB4">
        <w:rPr>
          <w:rFonts w:ascii="Times New Roman" w:eastAsia="Calibri" w:hAnsi="Times New Roman" w:cs="Times New Roman"/>
          <w:szCs w:val="20"/>
        </w:rPr>
        <w:t xml:space="preserve"> um modelo de vetores autorregressivos com correção de erros vetorial (VEC), o qual permite avaliar a interação entre variáveis que apresentam relação de cointegração, sem a necessidade de definições </w:t>
      </w:r>
      <w:r w:rsidR="00517FB4" w:rsidRPr="00442BA7">
        <w:rPr>
          <w:rFonts w:ascii="Times New Roman" w:eastAsia="Calibri" w:hAnsi="Times New Roman" w:cs="Times New Roman"/>
          <w:i/>
          <w:szCs w:val="20"/>
        </w:rPr>
        <w:t>a priori</w:t>
      </w:r>
      <w:r w:rsidR="00517FB4" w:rsidRPr="00517FB4">
        <w:rPr>
          <w:rFonts w:ascii="Times New Roman" w:eastAsia="Calibri" w:hAnsi="Times New Roman" w:cs="Times New Roman"/>
          <w:szCs w:val="20"/>
        </w:rPr>
        <w:t xml:space="preserve"> acerca da ordem de causalidade e determinação das variáveis, considerando todas as variáveis como endógenas. Nesse sentido, as conclusões obtidas a partir da modelagem VEC apontam para o longo prazo, tendo um caráter mais estrutural do que as observadas pela estimação de modelos VAR. Quanto à especificação dos dado</w:t>
      </w:r>
      <w:r w:rsidR="00517FB4" w:rsidRPr="00B46AAC">
        <w:rPr>
          <w:rFonts w:ascii="Times New Roman" w:eastAsia="Calibri" w:hAnsi="Times New Roman" w:cs="Times New Roman"/>
          <w:szCs w:val="20"/>
        </w:rPr>
        <w:t xml:space="preserve">s, parte-se </w:t>
      </w:r>
      <w:r w:rsidR="00C170F9" w:rsidRPr="00B46AAC">
        <w:rPr>
          <w:rFonts w:ascii="Times New Roman" w:eastAsia="Calibri" w:hAnsi="Times New Roman" w:cs="Times New Roman"/>
          <w:szCs w:val="20"/>
        </w:rPr>
        <w:t xml:space="preserve">de uma amostra composta por </w:t>
      </w:r>
      <w:r w:rsidR="00442BA7">
        <w:rPr>
          <w:rFonts w:ascii="Times New Roman" w:eastAsia="Calibri" w:hAnsi="Times New Roman" w:cs="Times New Roman"/>
          <w:szCs w:val="20"/>
        </w:rPr>
        <w:t>seis</w:t>
      </w:r>
      <w:r w:rsidR="00C170F9" w:rsidRPr="00B46AAC">
        <w:rPr>
          <w:rFonts w:ascii="Times New Roman" w:eastAsia="Calibri" w:hAnsi="Times New Roman" w:cs="Times New Roman"/>
          <w:szCs w:val="20"/>
        </w:rPr>
        <w:t xml:space="preserve"> séries</w:t>
      </w:r>
      <w:r w:rsidR="00D06A55" w:rsidRPr="00B46AAC">
        <w:rPr>
          <w:rStyle w:val="Refdenotaderodap"/>
          <w:rFonts w:ascii="Times New Roman" w:hAnsi="Times New Roman" w:cs="Times New Roman"/>
          <w:szCs w:val="24"/>
        </w:rPr>
        <w:footnoteReference w:id="7"/>
      </w:r>
      <w:r w:rsidR="00C170F9" w:rsidRPr="00B46AAC">
        <w:rPr>
          <w:rFonts w:ascii="Times New Roman" w:eastAsia="Calibri" w:hAnsi="Times New Roman" w:cs="Times New Roman"/>
          <w:szCs w:val="20"/>
        </w:rPr>
        <w:t>, as quais sofreram</w:t>
      </w:r>
      <w:r w:rsidR="00517FB4" w:rsidRPr="00B46AAC">
        <w:rPr>
          <w:rFonts w:ascii="Times New Roman" w:eastAsia="Calibri" w:hAnsi="Times New Roman" w:cs="Times New Roman"/>
          <w:szCs w:val="20"/>
        </w:rPr>
        <w:t xml:space="preserve"> tratamento das séries por meio de ajuste sazonal e transformação monotônica em logaritmo natural</w:t>
      </w:r>
      <w:r w:rsidR="00517FB4" w:rsidRPr="00B46AAC">
        <w:rPr>
          <w:rFonts w:ascii="Times New Roman" w:eastAsia="Calibri" w:hAnsi="Times New Roman" w:cs="Times New Roman"/>
          <w:szCs w:val="20"/>
          <w:vertAlign w:val="superscript"/>
        </w:rPr>
        <w:footnoteReference w:id="8"/>
      </w:r>
      <w:r w:rsidR="00517FB4" w:rsidRPr="00B46AAC">
        <w:rPr>
          <w:rFonts w:ascii="Times New Roman" w:eastAsia="Calibri" w:hAnsi="Times New Roman" w:cs="Times New Roman"/>
          <w:szCs w:val="20"/>
        </w:rPr>
        <w:t xml:space="preserve">. </w:t>
      </w:r>
      <w:r w:rsidR="00B46AAC" w:rsidRPr="00B46AAC">
        <w:rPr>
          <w:rFonts w:ascii="Times New Roman" w:hAnsi="Times New Roman" w:cs="Times New Roman"/>
        </w:rPr>
        <w:t xml:space="preserve">Segundo Nier, Sedik e Mondino (2014), a literatura empírica acerca do ciclo financeiro global utiliza o VIX como medida da aversão ao risco e da incerteza no mercado financeiro global, já que o índice aponta a expectativa de volatilidade no mercado de ações ao longo dos próximos trinta dias. </w:t>
      </w:r>
      <w:r w:rsidR="00442BA7" w:rsidRPr="00442BA7">
        <w:rPr>
          <w:rFonts w:ascii="Times New Roman" w:hAnsi="Times New Roman" w:cs="Times New Roman"/>
        </w:rPr>
        <w:t>Em momentos de ascensão do ciclo financeiro global, verifica-se um baixo nível de volatilidade; já nos momentos de declínio, observa-se um nível mais elevado de volatilidade.</w:t>
      </w:r>
      <w:r w:rsidR="00B46AAC" w:rsidRPr="00B46AAC">
        <w:rPr>
          <w:rFonts w:ascii="Times New Roman" w:hAnsi="Times New Roman" w:cs="Times New Roman"/>
        </w:rPr>
        <w:t xml:space="preserve"> </w:t>
      </w:r>
      <w:r w:rsidR="00C170F9" w:rsidRPr="00B46AAC">
        <w:rPr>
          <w:rFonts w:ascii="Times New Roman" w:eastAsia="Calibri" w:hAnsi="Times New Roman" w:cs="Times New Roman"/>
          <w:szCs w:val="20"/>
        </w:rPr>
        <w:t>Veja abaixo:</w:t>
      </w:r>
    </w:p>
    <w:tbl>
      <w:tblPr>
        <w:tblW w:w="9952" w:type="dxa"/>
        <w:jc w:val="center"/>
        <w:tblCellMar>
          <w:left w:w="70" w:type="dxa"/>
          <w:right w:w="70" w:type="dxa"/>
        </w:tblCellMar>
        <w:tblLook w:val="04A0" w:firstRow="1" w:lastRow="0" w:firstColumn="1" w:lastColumn="0" w:noHBand="0" w:noVBand="1"/>
      </w:tblPr>
      <w:tblGrid>
        <w:gridCol w:w="2010"/>
        <w:gridCol w:w="1596"/>
        <w:gridCol w:w="6346"/>
      </w:tblGrid>
      <w:tr w:rsidR="00C170F9" w:rsidRPr="003013C8" w:rsidTr="003013C8">
        <w:trPr>
          <w:trHeight w:val="255"/>
          <w:jc w:val="center"/>
        </w:trPr>
        <w:tc>
          <w:tcPr>
            <w:tcW w:w="9952" w:type="dxa"/>
            <w:gridSpan w:val="3"/>
            <w:tcBorders>
              <w:top w:val="nil"/>
              <w:left w:val="nil"/>
              <w:bottom w:val="single" w:sz="4" w:space="0" w:color="auto"/>
              <w:right w:val="nil"/>
            </w:tcBorders>
            <w:shd w:val="clear" w:color="auto" w:fill="auto"/>
            <w:noWrap/>
            <w:vAlign w:val="center"/>
            <w:hideMark/>
          </w:tcPr>
          <w:p w:rsidR="00B35B71" w:rsidRDefault="00B35B71" w:rsidP="00B35B71">
            <w:pPr>
              <w:spacing w:after="0" w:line="240" w:lineRule="auto"/>
              <w:jc w:val="center"/>
              <w:rPr>
                <w:rFonts w:ascii="Times New Roman" w:eastAsia="Times New Roman" w:hAnsi="Times New Roman" w:cs="Times New Roman"/>
                <w:color w:val="000000"/>
                <w:sz w:val="22"/>
                <w:lang w:eastAsia="pt-BR"/>
              </w:rPr>
            </w:pPr>
          </w:p>
          <w:p w:rsidR="00C170F9" w:rsidRPr="003013C8" w:rsidRDefault="00C170F9" w:rsidP="00B35B71">
            <w:pPr>
              <w:spacing w:after="0" w:line="240" w:lineRule="auto"/>
              <w:jc w:val="center"/>
              <w:rPr>
                <w:rFonts w:ascii="Times New Roman" w:eastAsia="Times New Roman" w:hAnsi="Times New Roman" w:cs="Times New Roman"/>
                <w:color w:val="000000"/>
                <w:sz w:val="22"/>
                <w:lang w:eastAsia="pt-BR"/>
              </w:rPr>
            </w:pPr>
            <w:r w:rsidRPr="003013C8">
              <w:rPr>
                <w:rFonts w:ascii="Times New Roman" w:eastAsia="Times New Roman" w:hAnsi="Times New Roman" w:cs="Times New Roman"/>
                <w:color w:val="000000"/>
                <w:sz w:val="22"/>
                <w:lang w:eastAsia="pt-BR"/>
              </w:rPr>
              <w:t>Quadro 01 - Especificação das variáveis</w:t>
            </w:r>
          </w:p>
        </w:tc>
      </w:tr>
      <w:tr w:rsidR="00C170F9" w:rsidRPr="00C26502" w:rsidTr="003013C8">
        <w:trPr>
          <w:trHeight w:val="315"/>
          <w:jc w:val="center"/>
        </w:trPr>
        <w:tc>
          <w:tcPr>
            <w:tcW w:w="2010" w:type="dxa"/>
            <w:tcBorders>
              <w:top w:val="single" w:sz="4" w:space="0" w:color="auto"/>
              <w:left w:val="nil"/>
              <w:bottom w:val="single" w:sz="4" w:space="0" w:color="auto"/>
              <w:right w:val="nil"/>
            </w:tcBorders>
            <w:shd w:val="clear" w:color="auto" w:fill="auto"/>
            <w:noWrap/>
            <w:vAlign w:val="center"/>
            <w:hideMark/>
          </w:tcPr>
          <w:p w:rsidR="00C170F9" w:rsidRPr="00C26502" w:rsidRDefault="00C170F9" w:rsidP="00B35B71">
            <w:pPr>
              <w:spacing w:after="0" w:line="240" w:lineRule="auto"/>
              <w:jc w:val="center"/>
              <w:rPr>
                <w:rFonts w:ascii="Times New Roman" w:eastAsia="Times New Roman" w:hAnsi="Times New Roman" w:cs="Times New Roman"/>
                <w:color w:val="000000"/>
                <w:sz w:val="20"/>
                <w:szCs w:val="24"/>
                <w:lang w:eastAsia="pt-BR"/>
              </w:rPr>
            </w:pPr>
            <w:r w:rsidRPr="00C26502">
              <w:rPr>
                <w:rFonts w:ascii="Times New Roman" w:eastAsia="Times New Roman" w:hAnsi="Times New Roman" w:cs="Times New Roman"/>
                <w:color w:val="000000"/>
                <w:sz w:val="20"/>
                <w:szCs w:val="24"/>
                <w:lang w:eastAsia="pt-BR"/>
              </w:rPr>
              <w:t>Série</w:t>
            </w:r>
          </w:p>
        </w:tc>
        <w:tc>
          <w:tcPr>
            <w:tcW w:w="1596" w:type="dxa"/>
            <w:tcBorders>
              <w:top w:val="single" w:sz="4" w:space="0" w:color="auto"/>
              <w:left w:val="nil"/>
              <w:bottom w:val="single" w:sz="4" w:space="0" w:color="auto"/>
              <w:right w:val="nil"/>
            </w:tcBorders>
            <w:shd w:val="clear" w:color="auto" w:fill="auto"/>
            <w:noWrap/>
            <w:vAlign w:val="center"/>
            <w:hideMark/>
          </w:tcPr>
          <w:p w:rsidR="00C170F9" w:rsidRPr="00C26502" w:rsidRDefault="00C170F9" w:rsidP="00B35B71">
            <w:pPr>
              <w:spacing w:after="0" w:line="240" w:lineRule="auto"/>
              <w:jc w:val="center"/>
              <w:rPr>
                <w:rFonts w:ascii="Times New Roman" w:eastAsia="Times New Roman" w:hAnsi="Times New Roman" w:cs="Times New Roman"/>
                <w:color w:val="000000"/>
                <w:sz w:val="20"/>
                <w:szCs w:val="24"/>
                <w:lang w:eastAsia="pt-BR"/>
              </w:rPr>
            </w:pPr>
            <w:r w:rsidRPr="00C26502">
              <w:rPr>
                <w:rFonts w:ascii="Times New Roman" w:eastAsia="Times New Roman" w:hAnsi="Times New Roman" w:cs="Times New Roman"/>
                <w:color w:val="000000"/>
                <w:sz w:val="20"/>
                <w:szCs w:val="24"/>
                <w:lang w:eastAsia="pt-BR"/>
              </w:rPr>
              <w:t>Nome</w:t>
            </w:r>
          </w:p>
        </w:tc>
        <w:tc>
          <w:tcPr>
            <w:tcW w:w="6346" w:type="dxa"/>
            <w:tcBorders>
              <w:top w:val="single" w:sz="4" w:space="0" w:color="auto"/>
              <w:left w:val="nil"/>
              <w:bottom w:val="single" w:sz="4" w:space="0" w:color="auto"/>
              <w:right w:val="nil"/>
            </w:tcBorders>
            <w:shd w:val="clear" w:color="auto" w:fill="auto"/>
            <w:noWrap/>
            <w:vAlign w:val="center"/>
            <w:hideMark/>
          </w:tcPr>
          <w:p w:rsidR="00C170F9" w:rsidRPr="00C26502" w:rsidRDefault="00C170F9" w:rsidP="00B35B71">
            <w:pPr>
              <w:spacing w:after="0" w:line="240" w:lineRule="auto"/>
              <w:jc w:val="center"/>
              <w:rPr>
                <w:rFonts w:ascii="Times New Roman" w:eastAsia="Times New Roman" w:hAnsi="Times New Roman" w:cs="Times New Roman"/>
                <w:color w:val="000000"/>
                <w:sz w:val="20"/>
                <w:szCs w:val="24"/>
                <w:lang w:eastAsia="pt-BR"/>
              </w:rPr>
            </w:pPr>
            <w:r w:rsidRPr="00C26502">
              <w:rPr>
                <w:rFonts w:ascii="Times New Roman" w:eastAsia="Times New Roman" w:hAnsi="Times New Roman" w:cs="Times New Roman"/>
                <w:color w:val="000000"/>
                <w:sz w:val="20"/>
                <w:szCs w:val="24"/>
                <w:lang w:eastAsia="pt-BR"/>
              </w:rPr>
              <w:t>Descrição</w:t>
            </w:r>
          </w:p>
        </w:tc>
      </w:tr>
      <w:tr w:rsidR="00C170F9" w:rsidRPr="00C26502" w:rsidTr="003013C8">
        <w:trPr>
          <w:trHeight w:val="255"/>
          <w:jc w:val="center"/>
        </w:trPr>
        <w:tc>
          <w:tcPr>
            <w:tcW w:w="2010" w:type="dxa"/>
            <w:tcBorders>
              <w:top w:val="single" w:sz="4" w:space="0" w:color="auto"/>
              <w:left w:val="nil"/>
              <w:right w:val="nil"/>
            </w:tcBorders>
            <w:shd w:val="clear" w:color="auto" w:fill="auto"/>
            <w:noWrap/>
            <w:vAlign w:val="center"/>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sidRPr="00C26502">
              <w:rPr>
                <w:rFonts w:ascii="Times New Roman" w:eastAsia="Times New Roman" w:hAnsi="Times New Roman" w:cs="Times New Roman"/>
                <w:color w:val="000000"/>
                <w:sz w:val="20"/>
                <w:szCs w:val="24"/>
                <w:lang w:eastAsia="pt-BR"/>
              </w:rPr>
              <w:t>Índice de Controle de Capitais</w:t>
            </w:r>
          </w:p>
        </w:tc>
        <w:tc>
          <w:tcPr>
            <w:tcW w:w="1596" w:type="dxa"/>
            <w:tcBorders>
              <w:top w:val="single" w:sz="4" w:space="0" w:color="auto"/>
              <w:left w:val="nil"/>
              <w:right w:val="nil"/>
            </w:tcBorders>
            <w:shd w:val="clear" w:color="auto" w:fill="auto"/>
            <w:noWrap/>
            <w:vAlign w:val="center"/>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Pr>
                <w:rFonts w:ascii="Times New Roman" w:eastAsia="Times New Roman" w:hAnsi="Times New Roman" w:cs="Times New Roman"/>
                <w:color w:val="000000"/>
                <w:sz w:val="20"/>
                <w:szCs w:val="24"/>
                <w:lang w:eastAsia="pt-BR"/>
              </w:rPr>
              <w:t>L</w:t>
            </w:r>
            <w:r w:rsidRPr="00C26502">
              <w:rPr>
                <w:rFonts w:ascii="Times New Roman" w:eastAsia="Times New Roman" w:hAnsi="Times New Roman" w:cs="Times New Roman"/>
                <w:color w:val="000000"/>
                <w:sz w:val="20"/>
                <w:szCs w:val="24"/>
                <w:lang w:eastAsia="pt-BR"/>
              </w:rPr>
              <w:t>ICCAC</w:t>
            </w:r>
          </w:p>
        </w:tc>
        <w:tc>
          <w:tcPr>
            <w:tcW w:w="6346" w:type="dxa"/>
            <w:tcBorders>
              <w:top w:val="single" w:sz="4" w:space="0" w:color="auto"/>
              <w:left w:val="nil"/>
              <w:right w:val="nil"/>
            </w:tcBorders>
            <w:shd w:val="clear" w:color="auto" w:fill="auto"/>
            <w:noWrap/>
            <w:vAlign w:val="center"/>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sidRPr="00C26502">
              <w:rPr>
                <w:rFonts w:ascii="Times New Roman" w:eastAsia="Times New Roman" w:hAnsi="Times New Roman" w:cs="Times New Roman"/>
                <w:color w:val="000000"/>
                <w:sz w:val="20"/>
                <w:szCs w:val="24"/>
                <w:lang w:eastAsia="pt-BR"/>
              </w:rPr>
              <w:t>Indicador explicado na seção anterior.</w:t>
            </w:r>
          </w:p>
        </w:tc>
      </w:tr>
      <w:tr w:rsidR="00C170F9" w:rsidRPr="00C26502" w:rsidTr="003013C8">
        <w:trPr>
          <w:trHeight w:val="255"/>
          <w:jc w:val="center"/>
        </w:trPr>
        <w:tc>
          <w:tcPr>
            <w:tcW w:w="2010" w:type="dxa"/>
            <w:tcBorders>
              <w:left w:val="nil"/>
              <w:bottom w:val="nil"/>
              <w:right w:val="nil"/>
            </w:tcBorders>
            <w:shd w:val="clear" w:color="auto" w:fill="auto"/>
            <w:noWrap/>
            <w:vAlign w:val="center"/>
            <w:hideMark/>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sidRPr="00C26502">
              <w:rPr>
                <w:rFonts w:ascii="Times New Roman" w:eastAsia="Times New Roman" w:hAnsi="Times New Roman" w:cs="Times New Roman"/>
                <w:color w:val="000000"/>
                <w:sz w:val="20"/>
                <w:szCs w:val="24"/>
                <w:lang w:eastAsia="pt-BR"/>
              </w:rPr>
              <w:t>Índice de Integração Financeira</w:t>
            </w:r>
          </w:p>
        </w:tc>
        <w:tc>
          <w:tcPr>
            <w:tcW w:w="1596" w:type="dxa"/>
            <w:tcBorders>
              <w:left w:val="nil"/>
              <w:bottom w:val="nil"/>
              <w:right w:val="nil"/>
            </w:tcBorders>
            <w:shd w:val="clear" w:color="auto" w:fill="auto"/>
            <w:noWrap/>
            <w:vAlign w:val="center"/>
            <w:hideMark/>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Pr>
                <w:rFonts w:ascii="Times New Roman" w:eastAsia="Times New Roman" w:hAnsi="Times New Roman" w:cs="Times New Roman"/>
                <w:color w:val="000000"/>
                <w:sz w:val="20"/>
                <w:szCs w:val="24"/>
                <w:lang w:eastAsia="pt-BR"/>
              </w:rPr>
              <w:t>L</w:t>
            </w:r>
            <w:r w:rsidRPr="00C26502">
              <w:rPr>
                <w:rFonts w:ascii="Times New Roman" w:eastAsia="Times New Roman" w:hAnsi="Times New Roman" w:cs="Times New Roman"/>
                <w:color w:val="000000"/>
                <w:sz w:val="20"/>
                <w:szCs w:val="24"/>
                <w:lang w:eastAsia="pt-BR"/>
              </w:rPr>
              <w:t>IIF</w:t>
            </w:r>
          </w:p>
        </w:tc>
        <w:tc>
          <w:tcPr>
            <w:tcW w:w="6346" w:type="dxa"/>
            <w:tcBorders>
              <w:left w:val="nil"/>
              <w:bottom w:val="nil"/>
              <w:right w:val="nil"/>
            </w:tcBorders>
            <w:shd w:val="clear" w:color="auto" w:fill="auto"/>
            <w:noWrap/>
            <w:vAlign w:val="center"/>
            <w:hideMark/>
          </w:tcPr>
          <w:p w:rsidR="00C170F9" w:rsidRPr="00C26502" w:rsidRDefault="00C170F9" w:rsidP="00B35B71">
            <w:pPr>
              <w:spacing w:after="0" w:line="240" w:lineRule="auto"/>
              <w:rPr>
                <w:rFonts w:ascii="Times New Roman" w:hAnsi="Times New Roman" w:cs="Times New Roman"/>
                <w:sz w:val="20"/>
                <w:szCs w:val="24"/>
              </w:rPr>
            </w:pPr>
            <w:r w:rsidRPr="00C26502">
              <w:rPr>
                <w:rFonts w:ascii="Times New Roman" w:eastAsia="Times New Roman" w:hAnsi="Times New Roman" w:cs="Times New Roman"/>
                <w:color w:val="000000"/>
                <w:sz w:val="20"/>
                <w:szCs w:val="24"/>
                <w:lang w:eastAsia="pt-BR"/>
              </w:rPr>
              <w:t>Indicador explicado na seção anterior.</w:t>
            </w:r>
          </w:p>
        </w:tc>
      </w:tr>
      <w:tr w:rsidR="00C170F9" w:rsidRPr="00C26502" w:rsidTr="003013C8">
        <w:trPr>
          <w:trHeight w:val="255"/>
          <w:jc w:val="center"/>
        </w:trPr>
        <w:tc>
          <w:tcPr>
            <w:tcW w:w="2010" w:type="dxa"/>
            <w:tcBorders>
              <w:top w:val="nil"/>
              <w:left w:val="nil"/>
              <w:bottom w:val="nil"/>
              <w:right w:val="nil"/>
            </w:tcBorders>
            <w:shd w:val="clear" w:color="auto" w:fill="auto"/>
            <w:noWrap/>
            <w:vAlign w:val="center"/>
            <w:hideMark/>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sidRPr="00C26502">
              <w:rPr>
                <w:rFonts w:ascii="Times New Roman" w:eastAsia="Times New Roman" w:hAnsi="Times New Roman" w:cs="Times New Roman"/>
                <w:color w:val="000000"/>
                <w:sz w:val="20"/>
                <w:szCs w:val="24"/>
                <w:lang w:eastAsia="pt-BR"/>
              </w:rPr>
              <w:t>Nível de Atividade</w:t>
            </w:r>
          </w:p>
        </w:tc>
        <w:tc>
          <w:tcPr>
            <w:tcW w:w="1596" w:type="dxa"/>
            <w:tcBorders>
              <w:top w:val="nil"/>
              <w:left w:val="nil"/>
              <w:bottom w:val="nil"/>
              <w:right w:val="nil"/>
            </w:tcBorders>
            <w:shd w:val="clear" w:color="auto" w:fill="auto"/>
            <w:noWrap/>
            <w:vAlign w:val="center"/>
            <w:hideMark/>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Pr>
                <w:rFonts w:ascii="Times New Roman" w:eastAsia="Times New Roman" w:hAnsi="Times New Roman" w:cs="Times New Roman"/>
                <w:color w:val="000000"/>
                <w:sz w:val="20"/>
                <w:szCs w:val="24"/>
                <w:lang w:eastAsia="pt-BR"/>
              </w:rPr>
              <w:t>L</w:t>
            </w:r>
            <w:r w:rsidRPr="00C26502">
              <w:rPr>
                <w:rFonts w:ascii="Times New Roman" w:eastAsia="Times New Roman" w:hAnsi="Times New Roman" w:cs="Times New Roman"/>
                <w:color w:val="000000"/>
                <w:sz w:val="20"/>
                <w:szCs w:val="24"/>
                <w:lang w:eastAsia="pt-BR"/>
              </w:rPr>
              <w:t>PROD</w:t>
            </w:r>
          </w:p>
        </w:tc>
        <w:tc>
          <w:tcPr>
            <w:tcW w:w="6346" w:type="dxa"/>
            <w:tcBorders>
              <w:top w:val="nil"/>
              <w:left w:val="nil"/>
              <w:bottom w:val="nil"/>
              <w:right w:val="nil"/>
            </w:tcBorders>
            <w:shd w:val="clear" w:color="auto" w:fill="auto"/>
            <w:noWrap/>
            <w:vAlign w:val="center"/>
            <w:hideMark/>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sidRPr="00C26502">
              <w:rPr>
                <w:rFonts w:ascii="Times New Roman" w:eastAsia="Times New Roman" w:hAnsi="Times New Roman" w:cs="Times New Roman"/>
                <w:color w:val="000000"/>
                <w:sz w:val="20"/>
                <w:szCs w:val="24"/>
                <w:lang w:eastAsia="pt-BR"/>
              </w:rPr>
              <w:t>Produção industrial - indústria geral - quantum - índice dessazonalizado (média 2002 = 100), divulgado na PIM/IBGE.</w:t>
            </w:r>
          </w:p>
        </w:tc>
      </w:tr>
      <w:tr w:rsidR="00C170F9" w:rsidRPr="00C26502" w:rsidTr="003013C8">
        <w:trPr>
          <w:trHeight w:val="255"/>
          <w:jc w:val="center"/>
        </w:trPr>
        <w:tc>
          <w:tcPr>
            <w:tcW w:w="2010" w:type="dxa"/>
            <w:tcBorders>
              <w:top w:val="nil"/>
              <w:left w:val="nil"/>
              <w:bottom w:val="nil"/>
              <w:right w:val="nil"/>
            </w:tcBorders>
            <w:shd w:val="clear" w:color="auto" w:fill="auto"/>
            <w:noWrap/>
            <w:vAlign w:val="center"/>
            <w:hideMark/>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sidRPr="00C26502">
              <w:rPr>
                <w:rFonts w:ascii="Times New Roman" w:eastAsia="Times New Roman" w:hAnsi="Times New Roman" w:cs="Times New Roman"/>
                <w:color w:val="000000"/>
                <w:sz w:val="20"/>
                <w:szCs w:val="24"/>
                <w:lang w:eastAsia="pt-BR"/>
              </w:rPr>
              <w:t>Volatilidade Cambial</w:t>
            </w:r>
          </w:p>
        </w:tc>
        <w:tc>
          <w:tcPr>
            <w:tcW w:w="1596" w:type="dxa"/>
            <w:tcBorders>
              <w:top w:val="nil"/>
              <w:left w:val="nil"/>
              <w:bottom w:val="nil"/>
              <w:right w:val="nil"/>
            </w:tcBorders>
            <w:shd w:val="clear" w:color="auto" w:fill="auto"/>
            <w:noWrap/>
            <w:vAlign w:val="center"/>
            <w:hideMark/>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Pr>
                <w:rFonts w:ascii="Times New Roman" w:eastAsia="Times New Roman" w:hAnsi="Times New Roman" w:cs="Times New Roman"/>
                <w:color w:val="000000"/>
                <w:sz w:val="20"/>
                <w:szCs w:val="24"/>
                <w:lang w:eastAsia="pt-BR"/>
              </w:rPr>
              <w:t>L</w:t>
            </w:r>
            <w:r w:rsidRPr="00C26502">
              <w:rPr>
                <w:rFonts w:ascii="Times New Roman" w:eastAsia="Times New Roman" w:hAnsi="Times New Roman" w:cs="Times New Roman"/>
                <w:color w:val="000000"/>
                <w:sz w:val="20"/>
                <w:szCs w:val="24"/>
                <w:lang w:eastAsia="pt-BR"/>
              </w:rPr>
              <w:t>CAVOL</w:t>
            </w:r>
          </w:p>
        </w:tc>
        <w:tc>
          <w:tcPr>
            <w:tcW w:w="6346" w:type="dxa"/>
            <w:tcBorders>
              <w:top w:val="nil"/>
              <w:left w:val="nil"/>
              <w:bottom w:val="nil"/>
              <w:right w:val="nil"/>
            </w:tcBorders>
            <w:shd w:val="clear" w:color="auto" w:fill="auto"/>
            <w:noWrap/>
            <w:vAlign w:val="center"/>
            <w:hideMark/>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sidRPr="00C26502">
              <w:rPr>
                <w:rFonts w:ascii="Times New Roman" w:eastAsia="Times New Roman" w:hAnsi="Times New Roman" w:cs="Times New Roman"/>
                <w:color w:val="000000"/>
                <w:sz w:val="20"/>
                <w:szCs w:val="24"/>
                <w:lang w:eastAsia="pt-BR"/>
              </w:rPr>
              <w:t>Volatilidade da taxa de câmbio, série BC 1 - Taxa de câmbio - Livre - Dólar americano (venda) - diário - u.m.c./USD, venda fim de período, calculada pelo desvio-padrão mensal da média diária (Ptax800), divulgada pelo Depin.</w:t>
            </w:r>
          </w:p>
        </w:tc>
      </w:tr>
      <w:tr w:rsidR="00C170F9" w:rsidRPr="00C26502" w:rsidTr="003013C8">
        <w:trPr>
          <w:trHeight w:val="255"/>
          <w:jc w:val="center"/>
        </w:trPr>
        <w:tc>
          <w:tcPr>
            <w:tcW w:w="2010" w:type="dxa"/>
            <w:tcBorders>
              <w:top w:val="nil"/>
              <w:left w:val="nil"/>
              <w:bottom w:val="nil"/>
              <w:right w:val="nil"/>
            </w:tcBorders>
            <w:shd w:val="clear" w:color="auto" w:fill="auto"/>
            <w:noWrap/>
            <w:vAlign w:val="center"/>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sidRPr="00C26502">
              <w:rPr>
                <w:rFonts w:ascii="Times New Roman" w:eastAsia="Times New Roman" w:hAnsi="Times New Roman" w:cs="Times New Roman"/>
                <w:color w:val="000000"/>
                <w:sz w:val="20"/>
                <w:szCs w:val="24"/>
                <w:lang w:eastAsia="pt-BR"/>
              </w:rPr>
              <w:t>Ciclo Financeiro Global</w:t>
            </w:r>
          </w:p>
        </w:tc>
        <w:tc>
          <w:tcPr>
            <w:tcW w:w="1596" w:type="dxa"/>
            <w:tcBorders>
              <w:top w:val="nil"/>
              <w:left w:val="nil"/>
              <w:bottom w:val="nil"/>
              <w:right w:val="nil"/>
            </w:tcBorders>
            <w:shd w:val="clear" w:color="auto" w:fill="auto"/>
            <w:noWrap/>
            <w:vAlign w:val="center"/>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Pr>
                <w:rFonts w:ascii="Times New Roman" w:eastAsia="Times New Roman" w:hAnsi="Times New Roman" w:cs="Times New Roman"/>
                <w:color w:val="000000"/>
                <w:sz w:val="20"/>
                <w:szCs w:val="24"/>
                <w:lang w:eastAsia="pt-BR"/>
              </w:rPr>
              <w:t>L</w:t>
            </w:r>
            <w:r w:rsidRPr="00C26502">
              <w:rPr>
                <w:rFonts w:ascii="Times New Roman" w:eastAsia="Times New Roman" w:hAnsi="Times New Roman" w:cs="Times New Roman"/>
                <w:color w:val="000000"/>
                <w:sz w:val="20"/>
                <w:szCs w:val="24"/>
                <w:lang w:eastAsia="pt-BR"/>
              </w:rPr>
              <w:t>VIX</w:t>
            </w:r>
          </w:p>
        </w:tc>
        <w:tc>
          <w:tcPr>
            <w:tcW w:w="6346" w:type="dxa"/>
            <w:tcBorders>
              <w:top w:val="nil"/>
              <w:left w:val="nil"/>
              <w:bottom w:val="nil"/>
              <w:right w:val="nil"/>
            </w:tcBorders>
            <w:shd w:val="clear" w:color="auto" w:fill="auto"/>
            <w:noWrap/>
            <w:vAlign w:val="center"/>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sidRPr="00C26502">
              <w:rPr>
                <w:rFonts w:ascii="Times New Roman" w:eastAsia="Times New Roman" w:hAnsi="Times New Roman" w:cs="Times New Roman"/>
                <w:color w:val="000000"/>
                <w:sz w:val="20"/>
                <w:szCs w:val="24"/>
                <w:lang w:eastAsia="pt-BR"/>
              </w:rPr>
              <w:t>Índice de Volatilidade, calculado pelo CBOE – média mensal.</w:t>
            </w:r>
          </w:p>
        </w:tc>
      </w:tr>
      <w:tr w:rsidR="00C170F9" w:rsidRPr="00C26502" w:rsidTr="003013C8">
        <w:trPr>
          <w:trHeight w:val="255"/>
          <w:jc w:val="center"/>
        </w:trPr>
        <w:tc>
          <w:tcPr>
            <w:tcW w:w="2010" w:type="dxa"/>
            <w:tcBorders>
              <w:top w:val="nil"/>
              <w:left w:val="nil"/>
              <w:bottom w:val="nil"/>
              <w:right w:val="nil"/>
            </w:tcBorders>
            <w:shd w:val="clear" w:color="auto" w:fill="auto"/>
            <w:noWrap/>
            <w:vAlign w:val="center"/>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sidRPr="00C26502">
              <w:rPr>
                <w:rFonts w:ascii="Times New Roman" w:eastAsia="Times New Roman" w:hAnsi="Times New Roman" w:cs="Times New Roman"/>
                <w:color w:val="000000"/>
                <w:sz w:val="20"/>
                <w:szCs w:val="24"/>
                <w:lang w:eastAsia="pt-BR"/>
              </w:rPr>
              <w:t>Risco Brasil</w:t>
            </w:r>
          </w:p>
        </w:tc>
        <w:tc>
          <w:tcPr>
            <w:tcW w:w="1596" w:type="dxa"/>
            <w:tcBorders>
              <w:top w:val="nil"/>
              <w:left w:val="nil"/>
              <w:bottom w:val="nil"/>
              <w:right w:val="nil"/>
            </w:tcBorders>
            <w:shd w:val="clear" w:color="auto" w:fill="auto"/>
            <w:noWrap/>
            <w:vAlign w:val="center"/>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Pr>
                <w:rFonts w:ascii="Times New Roman" w:eastAsia="Times New Roman" w:hAnsi="Times New Roman" w:cs="Times New Roman"/>
                <w:color w:val="000000"/>
                <w:sz w:val="20"/>
                <w:szCs w:val="24"/>
                <w:lang w:eastAsia="pt-BR"/>
              </w:rPr>
              <w:t>L</w:t>
            </w:r>
            <w:r w:rsidRPr="00C26502">
              <w:rPr>
                <w:rFonts w:ascii="Times New Roman" w:eastAsia="Times New Roman" w:hAnsi="Times New Roman" w:cs="Times New Roman"/>
                <w:color w:val="000000"/>
                <w:sz w:val="20"/>
                <w:szCs w:val="24"/>
                <w:lang w:eastAsia="pt-BR"/>
              </w:rPr>
              <w:t>RISCO</w:t>
            </w:r>
          </w:p>
        </w:tc>
        <w:tc>
          <w:tcPr>
            <w:tcW w:w="6346" w:type="dxa"/>
            <w:tcBorders>
              <w:top w:val="nil"/>
              <w:left w:val="nil"/>
              <w:bottom w:val="nil"/>
              <w:right w:val="nil"/>
            </w:tcBorders>
            <w:shd w:val="clear" w:color="auto" w:fill="auto"/>
            <w:noWrap/>
            <w:vAlign w:val="center"/>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sidRPr="00C26502">
              <w:rPr>
                <w:rFonts w:ascii="Times New Roman" w:eastAsia="Times New Roman" w:hAnsi="Times New Roman" w:cs="Times New Roman"/>
                <w:color w:val="000000"/>
                <w:sz w:val="20"/>
                <w:szCs w:val="24"/>
                <w:lang w:eastAsia="pt-BR"/>
              </w:rPr>
              <w:t>Risco-Brasil, calculado pelo JPMorgan. EMBI+ Risco- Brasil- média mensal.</w:t>
            </w:r>
          </w:p>
        </w:tc>
      </w:tr>
      <w:tr w:rsidR="00C170F9" w:rsidRPr="00C26502" w:rsidTr="003013C8">
        <w:trPr>
          <w:trHeight w:val="654"/>
          <w:jc w:val="center"/>
        </w:trPr>
        <w:tc>
          <w:tcPr>
            <w:tcW w:w="9952" w:type="dxa"/>
            <w:gridSpan w:val="3"/>
            <w:tcBorders>
              <w:top w:val="single" w:sz="4" w:space="0" w:color="auto"/>
              <w:left w:val="nil"/>
              <w:bottom w:val="nil"/>
              <w:right w:val="nil"/>
            </w:tcBorders>
            <w:vAlign w:val="center"/>
            <w:hideMark/>
          </w:tcPr>
          <w:p w:rsidR="00C170F9" w:rsidRPr="00C26502" w:rsidRDefault="00C170F9" w:rsidP="00B35B71">
            <w:pPr>
              <w:spacing w:after="0" w:line="240" w:lineRule="auto"/>
              <w:rPr>
                <w:rFonts w:ascii="Times New Roman" w:eastAsia="Times New Roman" w:hAnsi="Times New Roman" w:cs="Times New Roman"/>
                <w:color w:val="000000"/>
                <w:sz w:val="20"/>
                <w:szCs w:val="24"/>
                <w:lang w:eastAsia="pt-BR"/>
              </w:rPr>
            </w:pPr>
            <w:r w:rsidRPr="00C26502">
              <w:rPr>
                <w:rFonts w:ascii="Times New Roman" w:eastAsia="Times New Roman" w:hAnsi="Times New Roman" w:cs="Times New Roman"/>
                <w:color w:val="000000"/>
                <w:sz w:val="20"/>
                <w:szCs w:val="24"/>
                <w:lang w:eastAsia="pt-BR"/>
              </w:rPr>
              <w:t xml:space="preserve">Fonte: Instituto de Pesquisa Econômica Aplicada (IPEA); Banco Central do Brasil (BCB); </w:t>
            </w:r>
            <w:r w:rsidRPr="00C26502">
              <w:rPr>
                <w:rFonts w:ascii="Times New Roman" w:hAnsi="Times New Roman" w:cs="Times New Roman"/>
                <w:i/>
                <w:sz w:val="20"/>
                <w:szCs w:val="24"/>
              </w:rPr>
              <w:t>Chicago Board Options Exchange Market</w:t>
            </w:r>
            <w:r w:rsidRPr="00C26502">
              <w:rPr>
                <w:rFonts w:ascii="Times New Roman" w:hAnsi="Times New Roman" w:cs="Times New Roman"/>
                <w:sz w:val="20"/>
                <w:szCs w:val="24"/>
              </w:rPr>
              <w:t xml:space="preserve"> (CBOE).</w:t>
            </w:r>
          </w:p>
        </w:tc>
      </w:tr>
    </w:tbl>
    <w:p w:rsidR="003013C8" w:rsidRPr="00442BA7" w:rsidRDefault="003013C8" w:rsidP="00B35B71">
      <w:pPr>
        <w:spacing w:after="0" w:line="240" w:lineRule="auto"/>
        <w:ind w:firstLine="708"/>
        <w:rPr>
          <w:rFonts w:ascii="Times New Roman" w:eastAsia="Calibri" w:hAnsi="Times New Roman" w:cs="Times New Roman"/>
          <w:sz w:val="20"/>
          <w:szCs w:val="20"/>
        </w:rPr>
      </w:pPr>
    </w:p>
    <w:p w:rsidR="00517FB4" w:rsidRPr="00517FB4" w:rsidRDefault="00517FB4" w:rsidP="00B35B71">
      <w:pPr>
        <w:spacing w:after="0" w:line="240" w:lineRule="auto"/>
        <w:ind w:firstLine="708"/>
        <w:rPr>
          <w:rFonts w:ascii="Times New Roman" w:eastAsia="Calibri" w:hAnsi="Times New Roman" w:cs="Times New Roman"/>
          <w:szCs w:val="20"/>
        </w:rPr>
      </w:pPr>
      <w:r w:rsidRPr="00517FB4">
        <w:rPr>
          <w:rFonts w:ascii="Times New Roman" w:eastAsia="Calibri" w:hAnsi="Times New Roman" w:cs="Times New Roman"/>
          <w:szCs w:val="20"/>
        </w:rPr>
        <w:lastRenderedPageBreak/>
        <w:t xml:space="preserve">O primeiro passo da identificação do modelo VEC consiste na verificação do grau de integração das séries envolvidas. Com auxílio do software </w:t>
      </w:r>
      <w:r w:rsidRPr="00517FB4">
        <w:rPr>
          <w:rFonts w:ascii="Times New Roman" w:eastAsia="Calibri" w:hAnsi="Times New Roman" w:cs="Times New Roman"/>
          <w:i/>
          <w:szCs w:val="20"/>
        </w:rPr>
        <w:t xml:space="preserve">EViews </w:t>
      </w:r>
      <w:r w:rsidRPr="00517FB4">
        <w:rPr>
          <w:rFonts w:ascii="Times New Roman" w:eastAsia="Calibri" w:hAnsi="Times New Roman" w:cs="Times New Roman"/>
          <w:szCs w:val="20"/>
        </w:rPr>
        <w:t>(versões 5.0 e 9.0), foram realizados os testes ADF (Dickey-Fuller aumentado), PP (Phillips-Perron) e PP com quebras estruturais.</w:t>
      </w:r>
      <w:r w:rsidR="00C170F9">
        <w:rPr>
          <w:rFonts w:ascii="Times New Roman" w:eastAsia="Calibri" w:hAnsi="Times New Roman" w:cs="Times New Roman"/>
          <w:szCs w:val="20"/>
        </w:rPr>
        <w:t xml:space="preserve"> Veja a seguir:</w:t>
      </w:r>
    </w:p>
    <w:p w:rsidR="00442BA7" w:rsidRDefault="00442BA7" w:rsidP="00B35B71">
      <w:pPr>
        <w:spacing w:after="0" w:line="240" w:lineRule="auto"/>
        <w:jc w:val="center"/>
        <w:rPr>
          <w:rFonts w:ascii="Times New Roman" w:eastAsia="Calibri" w:hAnsi="Times New Roman" w:cs="Times New Roman"/>
          <w:sz w:val="22"/>
        </w:rPr>
      </w:pPr>
    </w:p>
    <w:p w:rsidR="00517FB4" w:rsidRPr="003013C8" w:rsidRDefault="00517FB4" w:rsidP="00B35B71">
      <w:pPr>
        <w:spacing w:after="0" w:line="240" w:lineRule="auto"/>
        <w:jc w:val="center"/>
        <w:rPr>
          <w:rFonts w:ascii="Times New Roman" w:eastAsia="Calibri" w:hAnsi="Times New Roman" w:cs="Times New Roman"/>
          <w:sz w:val="22"/>
        </w:rPr>
      </w:pPr>
      <w:r w:rsidRPr="003013C8">
        <w:rPr>
          <w:rFonts w:ascii="Times New Roman" w:eastAsia="Calibri" w:hAnsi="Times New Roman" w:cs="Times New Roman"/>
          <w:sz w:val="22"/>
        </w:rPr>
        <w:t>Tabela 0</w:t>
      </w:r>
      <w:r w:rsidR="00C170F9" w:rsidRPr="003013C8">
        <w:rPr>
          <w:rFonts w:ascii="Times New Roman" w:eastAsia="Calibri" w:hAnsi="Times New Roman" w:cs="Times New Roman"/>
          <w:sz w:val="22"/>
        </w:rPr>
        <w:t>2</w:t>
      </w:r>
      <w:r w:rsidRPr="003013C8">
        <w:rPr>
          <w:rFonts w:ascii="Times New Roman" w:eastAsia="Calibri" w:hAnsi="Times New Roman" w:cs="Times New Roman"/>
          <w:sz w:val="22"/>
        </w:rPr>
        <w:t xml:space="preserve"> – Testes de raiz unitária – amostra inicial - valores de probabilidade</w:t>
      </w:r>
      <w:r w:rsidRPr="00C170F9">
        <w:rPr>
          <w:rFonts w:ascii="Times New Roman" w:eastAsia="Calibri" w:hAnsi="Times New Roman" w:cs="Times New Roman"/>
          <w:sz w:val="22"/>
        </w:rPr>
        <w:fldChar w:fldCharType="begin"/>
      </w:r>
      <w:r w:rsidRPr="003013C8">
        <w:rPr>
          <w:rFonts w:ascii="Times New Roman" w:eastAsia="Calibri" w:hAnsi="Times New Roman" w:cs="Times New Roman"/>
          <w:sz w:val="22"/>
        </w:rPr>
        <w:instrText xml:space="preserve"> LINK Excel.Sheet.8 "D:\\Modelo Final3\\Dados Finais_SA.xls" Plan2!L2C2:L13C5 \a \f 4 \h  \* MERGEFORMAT </w:instrText>
      </w:r>
      <w:r w:rsidRPr="00C170F9">
        <w:rPr>
          <w:rFonts w:ascii="Times New Roman" w:eastAsia="Calibri" w:hAnsi="Times New Roman" w:cs="Times New Roman"/>
          <w:sz w:val="22"/>
        </w:rPr>
        <w:fldChar w:fldCharType="separate"/>
      </w:r>
    </w:p>
    <w:tbl>
      <w:tblPr>
        <w:tblW w:w="6468" w:type="dxa"/>
        <w:jc w:val="center"/>
        <w:tblCellMar>
          <w:left w:w="70" w:type="dxa"/>
          <w:right w:w="70" w:type="dxa"/>
        </w:tblCellMar>
        <w:tblLook w:val="04A0" w:firstRow="1" w:lastRow="0" w:firstColumn="1" w:lastColumn="0" w:noHBand="0" w:noVBand="1"/>
      </w:tblPr>
      <w:tblGrid>
        <w:gridCol w:w="1219"/>
        <w:gridCol w:w="1226"/>
        <w:gridCol w:w="1276"/>
        <w:gridCol w:w="1417"/>
        <w:gridCol w:w="1330"/>
      </w:tblGrid>
      <w:tr w:rsidR="00517FB4" w:rsidRPr="00C170F9" w:rsidTr="00517FB4">
        <w:trPr>
          <w:trHeight w:val="300"/>
          <w:jc w:val="center"/>
        </w:trPr>
        <w:tc>
          <w:tcPr>
            <w:tcW w:w="1219" w:type="dxa"/>
            <w:tcBorders>
              <w:top w:val="single" w:sz="4" w:space="0" w:color="auto"/>
              <w:left w:val="nil"/>
              <w:bottom w:val="single" w:sz="4" w:space="0" w:color="auto"/>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Série</w:t>
            </w:r>
          </w:p>
        </w:tc>
        <w:tc>
          <w:tcPr>
            <w:tcW w:w="1226" w:type="dxa"/>
            <w:tcBorders>
              <w:top w:val="single" w:sz="4" w:space="0" w:color="auto"/>
              <w:left w:val="nil"/>
              <w:bottom w:val="single" w:sz="4" w:space="0" w:color="auto"/>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ADF</w:t>
            </w:r>
          </w:p>
        </w:tc>
        <w:tc>
          <w:tcPr>
            <w:tcW w:w="1276" w:type="dxa"/>
            <w:tcBorders>
              <w:top w:val="single" w:sz="4" w:space="0" w:color="auto"/>
              <w:left w:val="nil"/>
              <w:bottom w:val="single" w:sz="4" w:space="0" w:color="auto"/>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PP</w:t>
            </w:r>
          </w:p>
        </w:tc>
        <w:tc>
          <w:tcPr>
            <w:tcW w:w="1417" w:type="dxa"/>
            <w:tcBorders>
              <w:top w:val="single" w:sz="4" w:space="0" w:color="auto"/>
              <w:left w:val="nil"/>
              <w:bottom w:val="single" w:sz="4" w:space="0" w:color="auto"/>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PP com quebra</w:t>
            </w:r>
          </w:p>
        </w:tc>
        <w:tc>
          <w:tcPr>
            <w:tcW w:w="1330" w:type="dxa"/>
            <w:tcBorders>
              <w:top w:val="single" w:sz="4" w:space="0" w:color="auto"/>
              <w:left w:val="nil"/>
              <w:bottom w:val="single" w:sz="4" w:space="0" w:color="auto"/>
              <w:right w:val="nil"/>
            </w:tcBorders>
            <w:vAlign w:val="center"/>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Quebra</w:t>
            </w:r>
          </w:p>
        </w:tc>
      </w:tr>
      <w:tr w:rsidR="00517FB4" w:rsidRPr="00C170F9" w:rsidTr="00517FB4">
        <w:trPr>
          <w:trHeight w:val="300"/>
          <w:jc w:val="center"/>
        </w:trPr>
        <w:tc>
          <w:tcPr>
            <w:tcW w:w="1219"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left"/>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LVIX</w:t>
            </w:r>
          </w:p>
        </w:tc>
        <w:tc>
          <w:tcPr>
            <w:tcW w:w="1226"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0,0505 (c+t)</w:t>
            </w:r>
          </w:p>
        </w:tc>
        <w:tc>
          <w:tcPr>
            <w:tcW w:w="1276"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0,0207 (c)</w:t>
            </w:r>
          </w:p>
        </w:tc>
        <w:tc>
          <w:tcPr>
            <w:tcW w:w="1417"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0,2089 (c)</w:t>
            </w:r>
          </w:p>
        </w:tc>
        <w:tc>
          <w:tcPr>
            <w:tcW w:w="1330" w:type="dxa"/>
            <w:tcBorders>
              <w:top w:val="nil"/>
              <w:left w:val="nil"/>
              <w:bottom w:val="nil"/>
              <w:right w:val="nil"/>
            </w:tcBorders>
            <w:vAlign w:val="center"/>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2008 (10)</w:t>
            </w:r>
          </w:p>
        </w:tc>
      </w:tr>
      <w:tr w:rsidR="00517FB4" w:rsidRPr="00C170F9" w:rsidTr="00517FB4">
        <w:trPr>
          <w:trHeight w:val="300"/>
          <w:jc w:val="center"/>
        </w:trPr>
        <w:tc>
          <w:tcPr>
            <w:tcW w:w="1219"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left"/>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LIIF</w:t>
            </w:r>
          </w:p>
        </w:tc>
        <w:tc>
          <w:tcPr>
            <w:tcW w:w="1226"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0,0482 (c+t)</w:t>
            </w:r>
          </w:p>
        </w:tc>
        <w:tc>
          <w:tcPr>
            <w:tcW w:w="1276"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0,0000 (c)</w:t>
            </w:r>
          </w:p>
        </w:tc>
        <w:tc>
          <w:tcPr>
            <w:tcW w:w="1417"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0,0666 (c)</w:t>
            </w:r>
          </w:p>
        </w:tc>
        <w:tc>
          <w:tcPr>
            <w:tcW w:w="1330" w:type="dxa"/>
            <w:tcBorders>
              <w:top w:val="nil"/>
              <w:left w:val="nil"/>
              <w:bottom w:val="nil"/>
              <w:right w:val="nil"/>
            </w:tcBorders>
            <w:vAlign w:val="center"/>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1997 (03)</w:t>
            </w:r>
          </w:p>
        </w:tc>
      </w:tr>
      <w:tr w:rsidR="00517FB4" w:rsidRPr="00C170F9" w:rsidTr="00517FB4">
        <w:trPr>
          <w:trHeight w:val="300"/>
          <w:jc w:val="center"/>
        </w:trPr>
        <w:tc>
          <w:tcPr>
            <w:tcW w:w="1219"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left"/>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LICCAC</w:t>
            </w:r>
          </w:p>
        </w:tc>
        <w:tc>
          <w:tcPr>
            <w:tcW w:w="1226"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0,0233 (c)</w:t>
            </w:r>
          </w:p>
        </w:tc>
        <w:tc>
          <w:tcPr>
            <w:tcW w:w="1276"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0,0719 (c)</w:t>
            </w:r>
          </w:p>
        </w:tc>
        <w:tc>
          <w:tcPr>
            <w:tcW w:w="1417"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&lt; 0,01 (c)</w:t>
            </w:r>
          </w:p>
        </w:tc>
        <w:tc>
          <w:tcPr>
            <w:tcW w:w="1330" w:type="dxa"/>
            <w:tcBorders>
              <w:top w:val="nil"/>
              <w:left w:val="nil"/>
              <w:bottom w:val="nil"/>
              <w:right w:val="nil"/>
            </w:tcBorders>
            <w:vAlign w:val="center"/>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1996 (08)</w:t>
            </w:r>
          </w:p>
        </w:tc>
      </w:tr>
      <w:tr w:rsidR="00517FB4" w:rsidRPr="00C170F9" w:rsidTr="00517FB4">
        <w:trPr>
          <w:trHeight w:val="300"/>
          <w:jc w:val="center"/>
        </w:trPr>
        <w:tc>
          <w:tcPr>
            <w:tcW w:w="1219"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left"/>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LRISCO</w:t>
            </w:r>
          </w:p>
        </w:tc>
        <w:tc>
          <w:tcPr>
            <w:tcW w:w="1226"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0,3339 (c+t)</w:t>
            </w:r>
          </w:p>
        </w:tc>
        <w:tc>
          <w:tcPr>
            <w:tcW w:w="1276"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0,4532 (c)</w:t>
            </w:r>
          </w:p>
        </w:tc>
        <w:tc>
          <w:tcPr>
            <w:tcW w:w="1417"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0,1255 (c)</w:t>
            </w:r>
          </w:p>
        </w:tc>
        <w:tc>
          <w:tcPr>
            <w:tcW w:w="1330" w:type="dxa"/>
            <w:tcBorders>
              <w:top w:val="nil"/>
              <w:left w:val="nil"/>
              <w:bottom w:val="nil"/>
              <w:right w:val="nil"/>
            </w:tcBorders>
            <w:vAlign w:val="center"/>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2004 (05)</w:t>
            </w:r>
          </w:p>
        </w:tc>
      </w:tr>
      <w:tr w:rsidR="00517FB4" w:rsidRPr="00C170F9" w:rsidTr="00517FB4">
        <w:trPr>
          <w:trHeight w:val="300"/>
          <w:jc w:val="center"/>
        </w:trPr>
        <w:tc>
          <w:tcPr>
            <w:tcW w:w="1219"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left"/>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LCAVOL</w:t>
            </w:r>
          </w:p>
        </w:tc>
        <w:tc>
          <w:tcPr>
            <w:tcW w:w="1226"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0,0800 (c+t)</w:t>
            </w:r>
          </w:p>
        </w:tc>
        <w:tc>
          <w:tcPr>
            <w:tcW w:w="1276"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0,0014 (c)</w:t>
            </w:r>
          </w:p>
        </w:tc>
        <w:tc>
          <w:tcPr>
            <w:tcW w:w="1417"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&lt; 0,01 (c)</w:t>
            </w:r>
          </w:p>
        </w:tc>
        <w:tc>
          <w:tcPr>
            <w:tcW w:w="1330" w:type="dxa"/>
            <w:tcBorders>
              <w:top w:val="nil"/>
              <w:left w:val="nil"/>
              <w:bottom w:val="nil"/>
              <w:right w:val="nil"/>
            </w:tcBorders>
            <w:vAlign w:val="center"/>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1998 (12)</w:t>
            </w:r>
          </w:p>
        </w:tc>
      </w:tr>
      <w:tr w:rsidR="00517FB4" w:rsidRPr="00C170F9" w:rsidTr="00517FB4">
        <w:trPr>
          <w:trHeight w:val="300"/>
          <w:jc w:val="center"/>
        </w:trPr>
        <w:tc>
          <w:tcPr>
            <w:tcW w:w="1219" w:type="dxa"/>
            <w:tcBorders>
              <w:top w:val="nil"/>
              <w:left w:val="nil"/>
              <w:bottom w:val="single" w:sz="4" w:space="0" w:color="auto"/>
              <w:right w:val="nil"/>
            </w:tcBorders>
            <w:shd w:val="clear" w:color="auto" w:fill="auto"/>
            <w:noWrap/>
            <w:vAlign w:val="center"/>
            <w:hideMark/>
          </w:tcPr>
          <w:p w:rsidR="00517FB4" w:rsidRPr="00C170F9" w:rsidRDefault="00517FB4" w:rsidP="00B35B71">
            <w:pPr>
              <w:spacing w:after="0" w:line="240" w:lineRule="auto"/>
              <w:jc w:val="left"/>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LPROD</w:t>
            </w:r>
          </w:p>
        </w:tc>
        <w:tc>
          <w:tcPr>
            <w:tcW w:w="1226" w:type="dxa"/>
            <w:tcBorders>
              <w:top w:val="nil"/>
              <w:left w:val="nil"/>
              <w:bottom w:val="single" w:sz="4" w:space="0" w:color="auto"/>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0,0339 (c+t)</w:t>
            </w:r>
          </w:p>
        </w:tc>
        <w:tc>
          <w:tcPr>
            <w:tcW w:w="1276" w:type="dxa"/>
            <w:tcBorders>
              <w:top w:val="nil"/>
              <w:left w:val="nil"/>
              <w:bottom w:val="single" w:sz="4" w:space="0" w:color="auto"/>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0,7315 (c)</w:t>
            </w:r>
          </w:p>
        </w:tc>
        <w:tc>
          <w:tcPr>
            <w:tcW w:w="1417" w:type="dxa"/>
            <w:tcBorders>
              <w:top w:val="nil"/>
              <w:left w:val="nil"/>
              <w:bottom w:val="nil"/>
              <w:right w:val="nil"/>
            </w:tcBorders>
            <w:shd w:val="clear" w:color="auto" w:fill="auto"/>
            <w:noWrap/>
            <w:vAlign w:val="center"/>
            <w:hideMark/>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0,4204 (c)</w:t>
            </w:r>
          </w:p>
        </w:tc>
        <w:tc>
          <w:tcPr>
            <w:tcW w:w="1330" w:type="dxa"/>
            <w:tcBorders>
              <w:top w:val="nil"/>
              <w:left w:val="nil"/>
              <w:bottom w:val="nil"/>
              <w:right w:val="nil"/>
            </w:tcBorders>
            <w:vAlign w:val="center"/>
          </w:tcPr>
          <w:p w:rsidR="00517FB4" w:rsidRPr="00C170F9"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2003 (07)</w:t>
            </w:r>
          </w:p>
        </w:tc>
      </w:tr>
      <w:tr w:rsidR="00517FB4" w:rsidRPr="00C170F9" w:rsidTr="00517FB4">
        <w:trPr>
          <w:trHeight w:val="411"/>
          <w:jc w:val="center"/>
        </w:trPr>
        <w:tc>
          <w:tcPr>
            <w:tcW w:w="6468" w:type="dxa"/>
            <w:gridSpan w:val="5"/>
            <w:tcBorders>
              <w:top w:val="single" w:sz="4" w:space="0" w:color="auto"/>
              <w:left w:val="nil"/>
              <w:right w:val="nil"/>
            </w:tcBorders>
            <w:vAlign w:val="center"/>
          </w:tcPr>
          <w:p w:rsidR="00517FB4" w:rsidRPr="00C170F9" w:rsidRDefault="003013C8" w:rsidP="00B35B71">
            <w:pPr>
              <w:spacing w:after="0" w:line="240" w:lineRule="auto"/>
              <w:rPr>
                <w:rFonts w:ascii="Times New Roman" w:eastAsia="Times New Roman" w:hAnsi="Times New Roman" w:cs="Times New Roman"/>
                <w:color w:val="000000"/>
                <w:sz w:val="20"/>
                <w:szCs w:val="20"/>
                <w:lang w:eastAsia="pt-BR"/>
              </w:rPr>
            </w:pPr>
            <w:r w:rsidRPr="00C170F9">
              <w:rPr>
                <w:rFonts w:ascii="Times New Roman" w:eastAsia="Times New Roman" w:hAnsi="Times New Roman" w:cs="Times New Roman"/>
                <w:color w:val="000000"/>
                <w:sz w:val="20"/>
                <w:szCs w:val="20"/>
                <w:lang w:eastAsia="pt-BR"/>
              </w:rPr>
              <w:t>Fonte: elaboração própria.</w:t>
            </w:r>
            <w:r>
              <w:rPr>
                <w:rFonts w:ascii="Times New Roman" w:eastAsia="Times New Roman" w:hAnsi="Times New Roman" w:cs="Times New Roman"/>
                <w:color w:val="000000"/>
                <w:sz w:val="20"/>
                <w:szCs w:val="20"/>
                <w:lang w:eastAsia="pt-BR"/>
              </w:rPr>
              <w:t xml:space="preserve"> OBS: </w:t>
            </w:r>
            <w:r w:rsidR="00517FB4" w:rsidRPr="00C170F9">
              <w:rPr>
                <w:rFonts w:ascii="Times New Roman" w:eastAsia="Times New Roman" w:hAnsi="Times New Roman" w:cs="Times New Roman"/>
                <w:color w:val="000000"/>
                <w:sz w:val="20"/>
                <w:szCs w:val="20"/>
                <w:lang w:eastAsia="pt-BR"/>
              </w:rPr>
              <w:t>t representa adição de tendência determinística na especificação da equação de teste e c, uma constante. Um valor de probabilidade inferior a 0,0</w:t>
            </w:r>
            <w:r w:rsidR="00D165C8">
              <w:rPr>
                <w:rFonts w:ascii="Times New Roman" w:eastAsia="Times New Roman" w:hAnsi="Times New Roman" w:cs="Times New Roman"/>
                <w:color w:val="000000"/>
                <w:sz w:val="20"/>
                <w:szCs w:val="20"/>
                <w:lang w:eastAsia="pt-BR"/>
              </w:rPr>
              <w:t>5</w:t>
            </w:r>
            <w:r w:rsidR="00517FB4" w:rsidRPr="00C170F9">
              <w:rPr>
                <w:rFonts w:ascii="Times New Roman" w:eastAsia="Times New Roman" w:hAnsi="Times New Roman" w:cs="Times New Roman"/>
                <w:color w:val="000000"/>
                <w:sz w:val="20"/>
                <w:szCs w:val="20"/>
                <w:lang w:eastAsia="pt-BR"/>
              </w:rPr>
              <w:t xml:space="preserve"> aponta a rejeição da hipótese nula de existência de raiz unitária com um nível de significância de </w:t>
            </w:r>
            <w:r w:rsidR="00D165C8">
              <w:rPr>
                <w:rFonts w:ascii="Times New Roman" w:eastAsia="Times New Roman" w:hAnsi="Times New Roman" w:cs="Times New Roman"/>
                <w:color w:val="000000"/>
                <w:sz w:val="20"/>
                <w:szCs w:val="20"/>
                <w:lang w:eastAsia="pt-BR"/>
              </w:rPr>
              <w:t>5</w:t>
            </w:r>
            <w:r w:rsidR="00517FB4" w:rsidRPr="00C170F9">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 xml:space="preserve"> </w:t>
            </w:r>
          </w:p>
        </w:tc>
      </w:tr>
    </w:tbl>
    <w:p w:rsidR="00517FB4" w:rsidRPr="00517FB4" w:rsidRDefault="00517FB4" w:rsidP="00B35B71">
      <w:pPr>
        <w:spacing w:after="0" w:line="240" w:lineRule="auto"/>
        <w:jc w:val="center"/>
        <w:rPr>
          <w:rFonts w:ascii="Times New Roman" w:eastAsia="Calibri" w:hAnsi="Times New Roman" w:cs="Times New Roman"/>
          <w:sz w:val="20"/>
          <w:szCs w:val="20"/>
        </w:rPr>
      </w:pPr>
      <w:r w:rsidRPr="00C170F9">
        <w:rPr>
          <w:rFonts w:ascii="Times New Roman" w:eastAsia="Calibri" w:hAnsi="Times New Roman" w:cs="Times New Roman"/>
          <w:sz w:val="20"/>
          <w:szCs w:val="20"/>
        </w:rPr>
        <w:fldChar w:fldCharType="end"/>
      </w:r>
    </w:p>
    <w:p w:rsidR="00517FB4" w:rsidRPr="00FE2797" w:rsidRDefault="00517FB4" w:rsidP="00B35B71">
      <w:pPr>
        <w:spacing w:after="0" w:line="240" w:lineRule="auto"/>
        <w:rPr>
          <w:rFonts w:ascii="Times New Roman" w:eastAsia="Calibri" w:hAnsi="Times New Roman" w:cs="Times New Roman"/>
          <w:szCs w:val="20"/>
        </w:rPr>
      </w:pPr>
      <w:r w:rsidRPr="00517FB4">
        <w:rPr>
          <w:rFonts w:ascii="Times New Roman" w:eastAsia="Calibri" w:hAnsi="Times New Roman" w:cs="Times New Roman"/>
          <w:szCs w:val="20"/>
        </w:rPr>
        <w:tab/>
        <w:t>A partir d</w:t>
      </w:r>
      <w:r w:rsidR="001F1DD7">
        <w:rPr>
          <w:rFonts w:ascii="Times New Roman" w:eastAsia="Calibri" w:hAnsi="Times New Roman" w:cs="Times New Roman"/>
          <w:szCs w:val="20"/>
        </w:rPr>
        <w:t>isso</w:t>
      </w:r>
      <w:r w:rsidRPr="00517FB4">
        <w:rPr>
          <w:rFonts w:ascii="Times New Roman" w:eastAsia="Calibri" w:hAnsi="Times New Roman" w:cs="Times New Roman"/>
          <w:szCs w:val="20"/>
        </w:rPr>
        <w:t>, é possível tirar duas conclusões. Em primeiro lugar, dado que a maior parte das séries apresenta raiz unitária, a 99% de confiança, torna-se possível modelar as séries em uma estrutura econométrica fundamentada no modelo VEC</w:t>
      </w:r>
      <w:r w:rsidRPr="00517FB4">
        <w:rPr>
          <w:rFonts w:ascii="Times New Roman" w:eastAsia="Calibri" w:hAnsi="Times New Roman" w:cs="Times New Roman"/>
          <w:szCs w:val="20"/>
          <w:vertAlign w:val="superscript"/>
        </w:rPr>
        <w:footnoteReference w:id="9"/>
      </w:r>
      <w:r w:rsidRPr="00517FB4">
        <w:rPr>
          <w:rFonts w:ascii="Times New Roman" w:eastAsia="Calibri" w:hAnsi="Times New Roman" w:cs="Times New Roman"/>
          <w:szCs w:val="20"/>
        </w:rPr>
        <w:t xml:space="preserve">. Em segundo lugar, o resultado do teste PP chama atenção para a existência de quebras estruturais em todas as variáveis do modelo. Frente isso, procedeu-se o tratamento de todas as séries a partir do modelo estrutural de Harvey (1989), o qual permite a estimação do nível da variável em questão, separando a evolução deste de eventuais quebras e </w:t>
      </w:r>
      <w:r w:rsidRPr="00517FB4">
        <w:rPr>
          <w:rFonts w:ascii="Times New Roman" w:eastAsia="Calibri" w:hAnsi="Times New Roman" w:cs="Times New Roman"/>
          <w:i/>
          <w:szCs w:val="20"/>
        </w:rPr>
        <w:t>outliers</w:t>
      </w:r>
      <w:r w:rsidRPr="00517FB4">
        <w:rPr>
          <w:rFonts w:ascii="Times New Roman" w:eastAsia="Calibri" w:hAnsi="Times New Roman" w:cs="Times New Roman"/>
          <w:szCs w:val="20"/>
        </w:rPr>
        <w:t xml:space="preserve">. Dessa maneira, ao invés de se impor uma </w:t>
      </w:r>
      <w:r w:rsidRPr="00517FB4">
        <w:rPr>
          <w:rFonts w:ascii="Times New Roman" w:eastAsia="Calibri" w:hAnsi="Times New Roman" w:cs="Times New Roman"/>
          <w:i/>
          <w:szCs w:val="20"/>
        </w:rPr>
        <w:t>dummy</w:t>
      </w:r>
      <w:r w:rsidRPr="00517FB4">
        <w:rPr>
          <w:rFonts w:ascii="Times New Roman" w:eastAsia="Calibri" w:hAnsi="Times New Roman" w:cs="Times New Roman"/>
          <w:szCs w:val="20"/>
        </w:rPr>
        <w:t xml:space="preserve"> de intervenção nos meses em que se sucederam alterações nos níveis das variáveis endógenas, opta-se por tratar cada série separadamente</w:t>
      </w:r>
      <w:r w:rsidR="00FE2797">
        <w:rPr>
          <w:rStyle w:val="Refdenotaderodap"/>
          <w:rFonts w:ascii="Times New Roman" w:eastAsia="Calibri" w:hAnsi="Times New Roman" w:cs="Times New Roman"/>
          <w:szCs w:val="20"/>
        </w:rPr>
        <w:footnoteReference w:id="10"/>
      </w:r>
      <w:r w:rsidR="007124D0">
        <w:rPr>
          <w:rFonts w:ascii="Times New Roman" w:eastAsia="Calibri" w:hAnsi="Times New Roman" w:cs="Times New Roman"/>
          <w:szCs w:val="20"/>
        </w:rPr>
        <w:t>, a partir do</w:t>
      </w:r>
      <w:r w:rsidRPr="00517FB4">
        <w:rPr>
          <w:rFonts w:ascii="Times New Roman" w:eastAsia="Calibri" w:hAnsi="Times New Roman" w:cs="Times New Roman"/>
          <w:szCs w:val="20"/>
        </w:rPr>
        <w:t xml:space="preserve"> </w:t>
      </w:r>
      <w:r w:rsidR="007124D0">
        <w:rPr>
          <w:rFonts w:ascii="Times New Roman" w:eastAsia="Calibri" w:hAnsi="Times New Roman" w:cs="Times New Roman"/>
          <w:szCs w:val="20"/>
        </w:rPr>
        <w:t xml:space="preserve">software </w:t>
      </w:r>
      <w:r w:rsidR="007124D0">
        <w:rPr>
          <w:rFonts w:ascii="Times New Roman" w:eastAsia="Calibri" w:hAnsi="Times New Roman" w:cs="Times New Roman"/>
          <w:i/>
          <w:szCs w:val="20"/>
        </w:rPr>
        <w:t>STAMP 8.20</w:t>
      </w:r>
      <w:r w:rsidR="007124D0" w:rsidRPr="007124D0">
        <w:rPr>
          <w:rFonts w:ascii="Times New Roman" w:eastAsia="Calibri" w:hAnsi="Times New Roman" w:cs="Times New Roman"/>
          <w:szCs w:val="20"/>
        </w:rPr>
        <w:t>,</w:t>
      </w:r>
      <w:r w:rsidR="007124D0">
        <w:rPr>
          <w:rFonts w:ascii="Times New Roman" w:eastAsia="Calibri" w:hAnsi="Times New Roman" w:cs="Times New Roman"/>
          <w:i/>
          <w:szCs w:val="20"/>
        </w:rPr>
        <w:t xml:space="preserve"> </w:t>
      </w:r>
      <w:r w:rsidRPr="00517FB4">
        <w:rPr>
          <w:rFonts w:ascii="Times New Roman" w:eastAsia="Calibri" w:hAnsi="Times New Roman" w:cs="Times New Roman"/>
          <w:szCs w:val="20"/>
        </w:rPr>
        <w:t xml:space="preserve">para, após isso, passar </w:t>
      </w:r>
      <w:r w:rsidR="00D165C8">
        <w:rPr>
          <w:rFonts w:ascii="Times New Roman" w:eastAsia="Calibri" w:hAnsi="Times New Roman" w:cs="Times New Roman"/>
          <w:szCs w:val="20"/>
        </w:rPr>
        <w:t>à</w:t>
      </w:r>
      <w:r w:rsidRPr="00517FB4">
        <w:rPr>
          <w:rFonts w:ascii="Times New Roman" w:eastAsia="Calibri" w:hAnsi="Times New Roman" w:cs="Times New Roman"/>
          <w:szCs w:val="20"/>
        </w:rPr>
        <w:t xml:space="preserve"> </w:t>
      </w:r>
      <w:r w:rsidR="007124D0">
        <w:rPr>
          <w:rFonts w:ascii="Times New Roman" w:eastAsia="Calibri" w:hAnsi="Times New Roman" w:cs="Times New Roman"/>
          <w:szCs w:val="20"/>
        </w:rPr>
        <w:t>modelagem VEC propriamente dita</w:t>
      </w:r>
      <w:r w:rsidR="00FE2797" w:rsidRPr="00FE2797">
        <w:rPr>
          <w:rFonts w:ascii="Times New Roman" w:eastAsia="Calibri" w:hAnsi="Times New Roman" w:cs="Times New Roman"/>
          <w:szCs w:val="20"/>
        </w:rPr>
        <w:t>.</w:t>
      </w:r>
      <w:r w:rsidR="00FE2797">
        <w:rPr>
          <w:rFonts w:ascii="Times New Roman" w:eastAsia="Calibri" w:hAnsi="Times New Roman" w:cs="Times New Roman"/>
          <w:szCs w:val="20"/>
        </w:rPr>
        <w:t xml:space="preserve"> Na tabela seguinte</w:t>
      </w:r>
      <w:r w:rsidRPr="00517FB4">
        <w:rPr>
          <w:rFonts w:ascii="Times New Roman" w:eastAsia="Calibri" w:hAnsi="Times New Roman" w:cs="Times New Roman"/>
          <w:szCs w:val="20"/>
        </w:rPr>
        <w:t>, são repetidos os testes ADF e PP, agora com as variáveis resultantes do tratamento via modelos estruturais, confirmando o caráter não estacionário da maior parte delas a 99% de confiança e, consequentemente, a viabilidade da estratégia de estima</w:t>
      </w:r>
      <w:r w:rsidR="00FE2797">
        <w:rPr>
          <w:rFonts w:ascii="Times New Roman" w:eastAsia="Calibri" w:hAnsi="Times New Roman" w:cs="Times New Roman"/>
          <w:szCs w:val="20"/>
        </w:rPr>
        <w:t>ção assentada na modelagem VEC.</w:t>
      </w:r>
    </w:p>
    <w:p w:rsidR="00B35B71" w:rsidRDefault="00B35B71" w:rsidP="00B35B71">
      <w:pPr>
        <w:spacing w:after="0" w:line="240" w:lineRule="auto"/>
        <w:jc w:val="center"/>
        <w:rPr>
          <w:rFonts w:ascii="Times New Roman" w:eastAsia="Calibri" w:hAnsi="Times New Roman" w:cs="Times New Roman"/>
          <w:sz w:val="22"/>
        </w:rPr>
      </w:pPr>
    </w:p>
    <w:p w:rsidR="00517FB4" w:rsidRPr="003013C8" w:rsidRDefault="00517FB4" w:rsidP="00B35B71">
      <w:pPr>
        <w:spacing w:after="0" w:line="240" w:lineRule="auto"/>
        <w:jc w:val="center"/>
        <w:rPr>
          <w:rFonts w:ascii="Times New Roman" w:eastAsia="Calibri" w:hAnsi="Times New Roman" w:cs="Times New Roman"/>
          <w:sz w:val="22"/>
        </w:rPr>
      </w:pPr>
      <w:r w:rsidRPr="003013C8">
        <w:rPr>
          <w:rFonts w:ascii="Times New Roman" w:eastAsia="Calibri" w:hAnsi="Times New Roman" w:cs="Times New Roman"/>
          <w:sz w:val="22"/>
        </w:rPr>
        <w:t>Tabela 0</w:t>
      </w:r>
      <w:r w:rsidR="00BA57B5" w:rsidRPr="003013C8">
        <w:rPr>
          <w:rFonts w:ascii="Times New Roman" w:eastAsia="Calibri" w:hAnsi="Times New Roman" w:cs="Times New Roman"/>
          <w:sz w:val="22"/>
        </w:rPr>
        <w:t>3</w:t>
      </w:r>
      <w:r w:rsidRPr="003013C8">
        <w:rPr>
          <w:rFonts w:ascii="Times New Roman" w:eastAsia="Calibri" w:hAnsi="Times New Roman" w:cs="Times New Roman"/>
          <w:sz w:val="22"/>
        </w:rPr>
        <w:t xml:space="preserve"> – Testes de raiz unitária – séries ajustadas - valores de probabilidade</w:t>
      </w:r>
      <w:r w:rsidRPr="00517FB4">
        <w:rPr>
          <w:rFonts w:ascii="Times New Roman" w:eastAsia="Calibri" w:hAnsi="Times New Roman" w:cs="Times New Roman"/>
          <w:sz w:val="22"/>
        </w:rPr>
        <w:fldChar w:fldCharType="begin"/>
      </w:r>
      <w:r w:rsidRPr="003013C8">
        <w:rPr>
          <w:rFonts w:ascii="Times New Roman" w:eastAsia="Calibri" w:hAnsi="Times New Roman" w:cs="Times New Roman"/>
          <w:sz w:val="22"/>
        </w:rPr>
        <w:instrText xml:space="preserve"> LINK Excel.Sheet.8 "D:\\Modelo Final3\\Dados Finais_SA.xls" Plan2!L2C2:L13C5 \a \f 4 \h  \* MERGEFORMAT </w:instrText>
      </w:r>
      <w:r w:rsidRPr="00517FB4">
        <w:rPr>
          <w:rFonts w:ascii="Times New Roman" w:eastAsia="Calibri" w:hAnsi="Times New Roman" w:cs="Times New Roman"/>
          <w:sz w:val="22"/>
        </w:rPr>
        <w:fldChar w:fldCharType="separate"/>
      </w:r>
    </w:p>
    <w:tbl>
      <w:tblPr>
        <w:tblW w:w="8349" w:type="dxa"/>
        <w:jc w:val="center"/>
        <w:tblCellMar>
          <w:left w:w="70" w:type="dxa"/>
          <w:right w:w="70" w:type="dxa"/>
        </w:tblCellMar>
        <w:tblLook w:val="04A0" w:firstRow="1" w:lastRow="0" w:firstColumn="1" w:lastColumn="0" w:noHBand="0" w:noVBand="1"/>
      </w:tblPr>
      <w:tblGrid>
        <w:gridCol w:w="3349"/>
        <w:gridCol w:w="2279"/>
        <w:gridCol w:w="2721"/>
      </w:tblGrid>
      <w:tr w:rsidR="00517FB4" w:rsidRPr="00517FB4" w:rsidTr="00517FB4">
        <w:trPr>
          <w:trHeight w:val="300"/>
          <w:jc w:val="center"/>
        </w:trPr>
        <w:tc>
          <w:tcPr>
            <w:tcW w:w="3349" w:type="dxa"/>
            <w:tcBorders>
              <w:top w:val="single" w:sz="4" w:space="0" w:color="auto"/>
              <w:left w:val="nil"/>
              <w:bottom w:val="single" w:sz="4" w:space="0" w:color="auto"/>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Série</w:t>
            </w:r>
          </w:p>
        </w:tc>
        <w:tc>
          <w:tcPr>
            <w:tcW w:w="2279" w:type="dxa"/>
            <w:tcBorders>
              <w:top w:val="single" w:sz="4" w:space="0" w:color="auto"/>
              <w:left w:val="nil"/>
              <w:bottom w:val="single" w:sz="4" w:space="0" w:color="auto"/>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ADF</w:t>
            </w:r>
          </w:p>
        </w:tc>
        <w:tc>
          <w:tcPr>
            <w:tcW w:w="2721" w:type="dxa"/>
            <w:tcBorders>
              <w:top w:val="single" w:sz="4" w:space="0" w:color="auto"/>
              <w:left w:val="nil"/>
              <w:bottom w:val="single" w:sz="4" w:space="0" w:color="auto"/>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PP</w:t>
            </w:r>
          </w:p>
        </w:tc>
      </w:tr>
      <w:tr w:rsidR="00517FB4" w:rsidRPr="00517FB4" w:rsidTr="00517FB4">
        <w:trPr>
          <w:trHeight w:val="300"/>
          <w:jc w:val="center"/>
        </w:trPr>
        <w:tc>
          <w:tcPr>
            <w:tcW w:w="3349"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left"/>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LVIX</w:t>
            </w:r>
          </w:p>
        </w:tc>
        <w:tc>
          <w:tcPr>
            <w:tcW w:w="2279"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0,0505 (c+t)</w:t>
            </w:r>
          </w:p>
        </w:tc>
        <w:tc>
          <w:tcPr>
            <w:tcW w:w="2721"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0,4422 (c)</w:t>
            </w:r>
          </w:p>
        </w:tc>
      </w:tr>
      <w:tr w:rsidR="00517FB4" w:rsidRPr="00517FB4" w:rsidTr="00517FB4">
        <w:trPr>
          <w:trHeight w:val="300"/>
          <w:jc w:val="center"/>
        </w:trPr>
        <w:tc>
          <w:tcPr>
            <w:tcW w:w="3349"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left"/>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LIIF</w:t>
            </w:r>
          </w:p>
        </w:tc>
        <w:tc>
          <w:tcPr>
            <w:tcW w:w="2279"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0,0482 (c+t)</w:t>
            </w:r>
          </w:p>
        </w:tc>
        <w:tc>
          <w:tcPr>
            <w:tcW w:w="2721"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0,1833 (c)</w:t>
            </w:r>
          </w:p>
        </w:tc>
      </w:tr>
      <w:tr w:rsidR="00517FB4" w:rsidRPr="00517FB4" w:rsidTr="00517FB4">
        <w:trPr>
          <w:trHeight w:val="300"/>
          <w:jc w:val="center"/>
        </w:trPr>
        <w:tc>
          <w:tcPr>
            <w:tcW w:w="3349"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left"/>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LICCAC</w:t>
            </w:r>
          </w:p>
        </w:tc>
        <w:tc>
          <w:tcPr>
            <w:tcW w:w="2279"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0,0233 (c)</w:t>
            </w:r>
          </w:p>
        </w:tc>
        <w:tc>
          <w:tcPr>
            <w:tcW w:w="2721"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0,0029 (c)</w:t>
            </w:r>
          </w:p>
        </w:tc>
      </w:tr>
      <w:tr w:rsidR="00517FB4" w:rsidRPr="00517FB4" w:rsidTr="00517FB4">
        <w:trPr>
          <w:trHeight w:val="300"/>
          <w:jc w:val="center"/>
        </w:trPr>
        <w:tc>
          <w:tcPr>
            <w:tcW w:w="3349"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left"/>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LRISCO</w:t>
            </w:r>
          </w:p>
        </w:tc>
        <w:tc>
          <w:tcPr>
            <w:tcW w:w="2279"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0,3339 (c+t)</w:t>
            </w:r>
          </w:p>
        </w:tc>
        <w:tc>
          <w:tcPr>
            <w:tcW w:w="2721"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0,6892 (c)</w:t>
            </w:r>
          </w:p>
        </w:tc>
      </w:tr>
      <w:tr w:rsidR="00517FB4" w:rsidRPr="00517FB4" w:rsidTr="00517FB4">
        <w:trPr>
          <w:trHeight w:val="300"/>
          <w:jc w:val="center"/>
        </w:trPr>
        <w:tc>
          <w:tcPr>
            <w:tcW w:w="3349"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left"/>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LCAVOL</w:t>
            </w:r>
          </w:p>
        </w:tc>
        <w:tc>
          <w:tcPr>
            <w:tcW w:w="2279"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0,0800 (c+t)</w:t>
            </w:r>
          </w:p>
        </w:tc>
        <w:tc>
          <w:tcPr>
            <w:tcW w:w="2721"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0,2485 (c)</w:t>
            </w:r>
          </w:p>
        </w:tc>
      </w:tr>
      <w:tr w:rsidR="00517FB4" w:rsidRPr="00517FB4" w:rsidTr="00517FB4">
        <w:trPr>
          <w:trHeight w:val="300"/>
          <w:jc w:val="center"/>
        </w:trPr>
        <w:tc>
          <w:tcPr>
            <w:tcW w:w="3349" w:type="dxa"/>
            <w:tcBorders>
              <w:top w:val="nil"/>
              <w:left w:val="nil"/>
              <w:bottom w:val="single" w:sz="4" w:space="0" w:color="auto"/>
              <w:right w:val="nil"/>
            </w:tcBorders>
            <w:shd w:val="clear" w:color="auto" w:fill="auto"/>
            <w:noWrap/>
            <w:vAlign w:val="center"/>
            <w:hideMark/>
          </w:tcPr>
          <w:p w:rsidR="00517FB4" w:rsidRPr="00517FB4" w:rsidRDefault="00517FB4" w:rsidP="00B35B71">
            <w:pPr>
              <w:spacing w:after="0" w:line="240" w:lineRule="auto"/>
              <w:jc w:val="left"/>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LPROD</w:t>
            </w:r>
          </w:p>
        </w:tc>
        <w:tc>
          <w:tcPr>
            <w:tcW w:w="2279" w:type="dxa"/>
            <w:tcBorders>
              <w:top w:val="nil"/>
              <w:left w:val="nil"/>
              <w:bottom w:val="single" w:sz="4" w:space="0" w:color="auto"/>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0,0339 (c+t)</w:t>
            </w:r>
          </w:p>
        </w:tc>
        <w:tc>
          <w:tcPr>
            <w:tcW w:w="2721" w:type="dxa"/>
            <w:tcBorders>
              <w:top w:val="nil"/>
              <w:left w:val="nil"/>
              <w:bottom w:val="single" w:sz="4" w:space="0" w:color="auto"/>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0,8799 (c)</w:t>
            </w:r>
          </w:p>
        </w:tc>
      </w:tr>
      <w:tr w:rsidR="00517FB4" w:rsidRPr="00517FB4" w:rsidTr="00517FB4">
        <w:trPr>
          <w:trHeight w:val="411"/>
          <w:jc w:val="center"/>
        </w:trPr>
        <w:tc>
          <w:tcPr>
            <w:tcW w:w="8349" w:type="dxa"/>
            <w:gridSpan w:val="3"/>
            <w:tcBorders>
              <w:top w:val="single" w:sz="4" w:space="0" w:color="auto"/>
              <w:left w:val="nil"/>
            </w:tcBorders>
            <w:vAlign w:val="center"/>
          </w:tcPr>
          <w:p w:rsidR="00517FB4" w:rsidRPr="00B35B71" w:rsidRDefault="003013C8" w:rsidP="00B35B71">
            <w:pPr>
              <w:spacing w:after="0" w:line="240" w:lineRule="auto"/>
              <w:rPr>
                <w:rFonts w:ascii="Times New Roman" w:eastAsia="Times New Roman" w:hAnsi="Times New Roman" w:cs="Times New Roman"/>
                <w:color w:val="000000"/>
                <w:sz w:val="16"/>
                <w:szCs w:val="16"/>
                <w:lang w:eastAsia="pt-BR"/>
              </w:rPr>
            </w:pPr>
            <w:r w:rsidRPr="00B35B71">
              <w:rPr>
                <w:rFonts w:ascii="Times New Roman" w:eastAsia="Times New Roman" w:hAnsi="Times New Roman" w:cs="Times New Roman"/>
                <w:color w:val="000000"/>
                <w:sz w:val="16"/>
                <w:szCs w:val="16"/>
                <w:lang w:eastAsia="pt-BR"/>
              </w:rPr>
              <w:lastRenderedPageBreak/>
              <w:t xml:space="preserve">Fonte: elaboração própria. </w:t>
            </w:r>
            <w:r w:rsidR="00517FB4" w:rsidRPr="00B35B71">
              <w:rPr>
                <w:rFonts w:ascii="Times New Roman" w:eastAsia="Times New Roman" w:hAnsi="Times New Roman" w:cs="Times New Roman"/>
                <w:color w:val="000000"/>
                <w:sz w:val="16"/>
                <w:szCs w:val="16"/>
                <w:lang w:eastAsia="pt-BR"/>
              </w:rPr>
              <w:t>Obs: t representa adição de tendência determinística na especificação da equação de teste e c, uma constante. Um valor de probabilidade inferior a 0,0</w:t>
            </w:r>
            <w:r w:rsidR="00D165C8" w:rsidRPr="00B35B71">
              <w:rPr>
                <w:rFonts w:ascii="Times New Roman" w:eastAsia="Times New Roman" w:hAnsi="Times New Roman" w:cs="Times New Roman"/>
                <w:color w:val="000000"/>
                <w:sz w:val="16"/>
                <w:szCs w:val="16"/>
                <w:lang w:eastAsia="pt-BR"/>
              </w:rPr>
              <w:t>5</w:t>
            </w:r>
            <w:r w:rsidR="00517FB4" w:rsidRPr="00B35B71">
              <w:rPr>
                <w:rFonts w:ascii="Times New Roman" w:eastAsia="Times New Roman" w:hAnsi="Times New Roman" w:cs="Times New Roman"/>
                <w:color w:val="000000"/>
                <w:sz w:val="16"/>
                <w:szCs w:val="16"/>
                <w:lang w:eastAsia="pt-BR"/>
              </w:rPr>
              <w:t xml:space="preserve"> aponta a rejeição da hipótese nula de existência de raiz unitária com um nível de significância de </w:t>
            </w:r>
            <w:r w:rsidR="00D165C8" w:rsidRPr="00B35B71">
              <w:rPr>
                <w:rFonts w:ascii="Times New Roman" w:eastAsia="Times New Roman" w:hAnsi="Times New Roman" w:cs="Times New Roman"/>
                <w:color w:val="000000"/>
                <w:sz w:val="16"/>
                <w:szCs w:val="16"/>
                <w:lang w:eastAsia="pt-BR"/>
              </w:rPr>
              <w:t>5</w:t>
            </w:r>
            <w:r w:rsidR="00517FB4" w:rsidRPr="00B35B71">
              <w:rPr>
                <w:rFonts w:ascii="Times New Roman" w:eastAsia="Times New Roman" w:hAnsi="Times New Roman" w:cs="Times New Roman"/>
                <w:color w:val="000000"/>
                <w:sz w:val="16"/>
                <w:szCs w:val="16"/>
                <w:lang w:eastAsia="pt-BR"/>
              </w:rPr>
              <w:t>%.</w:t>
            </w:r>
          </w:p>
        </w:tc>
      </w:tr>
    </w:tbl>
    <w:p w:rsidR="00517FB4" w:rsidRPr="00517FB4" w:rsidRDefault="00517FB4" w:rsidP="00B35B71">
      <w:pPr>
        <w:spacing w:after="0" w:line="240" w:lineRule="auto"/>
        <w:jc w:val="center"/>
        <w:rPr>
          <w:rFonts w:ascii="Times New Roman" w:eastAsia="Calibri" w:hAnsi="Times New Roman" w:cs="Times New Roman"/>
          <w:sz w:val="20"/>
          <w:szCs w:val="20"/>
        </w:rPr>
      </w:pPr>
      <w:r w:rsidRPr="00517FB4">
        <w:rPr>
          <w:rFonts w:ascii="Times New Roman" w:eastAsia="Calibri" w:hAnsi="Times New Roman" w:cs="Times New Roman"/>
          <w:szCs w:val="20"/>
        </w:rPr>
        <w:fldChar w:fldCharType="end"/>
      </w:r>
    </w:p>
    <w:p w:rsidR="00517FB4" w:rsidRPr="00517FB4" w:rsidRDefault="00517FB4" w:rsidP="00B35B71">
      <w:pPr>
        <w:spacing w:after="0" w:line="240" w:lineRule="auto"/>
        <w:rPr>
          <w:rFonts w:ascii="Times New Roman" w:eastAsia="Calibri" w:hAnsi="Times New Roman" w:cs="Times New Roman"/>
          <w:szCs w:val="20"/>
        </w:rPr>
      </w:pPr>
      <w:r w:rsidRPr="00517FB4">
        <w:rPr>
          <w:rFonts w:ascii="Times New Roman" w:eastAsia="Calibri" w:hAnsi="Times New Roman" w:cs="Times New Roman"/>
          <w:szCs w:val="20"/>
        </w:rPr>
        <w:tab/>
        <w:t xml:space="preserve">O próximo passo consiste na determinação da estrutura adequada de defasagens, ou seja, o número de </w:t>
      </w:r>
      <w:r w:rsidRPr="00517FB4">
        <w:rPr>
          <w:rFonts w:ascii="Times New Roman" w:eastAsia="Calibri" w:hAnsi="Times New Roman" w:cs="Times New Roman"/>
          <w:i/>
          <w:szCs w:val="20"/>
        </w:rPr>
        <w:t>lags</w:t>
      </w:r>
      <w:r w:rsidRPr="00517FB4">
        <w:rPr>
          <w:rFonts w:ascii="Times New Roman" w:eastAsia="Calibri" w:hAnsi="Times New Roman" w:cs="Times New Roman"/>
          <w:szCs w:val="20"/>
        </w:rPr>
        <w:t xml:space="preserve"> necessários para capturar as inter-relações dinâmicas no modelo VEC. Para isso, foram observados os critérios de informação de Akaike (AIC) e Schwarz (SBC), bem como o comportamento dos resíduos. Parte-se de um número mínimo de defasagens igual a 2, uma vez que é a quantidade mínima para se atingir raízes complexas no sistema considerado de equações. A tabela a seguir sumariza as estatísticas de AIC, SBC e os testes de autocorrelação residual (Multiplicador de Lagrange) e heteroscedasticidade (White).</w:t>
      </w:r>
    </w:p>
    <w:p w:rsidR="00B35B71" w:rsidRDefault="00B35B71" w:rsidP="00B35B71">
      <w:pPr>
        <w:spacing w:after="0" w:line="240" w:lineRule="auto"/>
        <w:jc w:val="center"/>
        <w:rPr>
          <w:rFonts w:ascii="Times New Roman" w:eastAsia="Calibri" w:hAnsi="Times New Roman" w:cs="Times New Roman"/>
          <w:sz w:val="22"/>
        </w:rPr>
      </w:pPr>
    </w:p>
    <w:p w:rsidR="00A14BF8" w:rsidRPr="00271119" w:rsidRDefault="00BA57B5" w:rsidP="00B35B71">
      <w:pPr>
        <w:spacing w:after="0" w:line="240" w:lineRule="auto"/>
        <w:jc w:val="center"/>
        <w:rPr>
          <w:rFonts w:ascii="Times New Roman" w:eastAsia="Calibri" w:hAnsi="Times New Roman" w:cs="Times New Roman"/>
          <w:sz w:val="22"/>
        </w:rPr>
      </w:pPr>
      <w:r w:rsidRPr="00271119">
        <w:rPr>
          <w:rFonts w:ascii="Times New Roman" w:eastAsia="Calibri" w:hAnsi="Times New Roman" w:cs="Times New Roman"/>
          <w:sz w:val="22"/>
        </w:rPr>
        <w:t>Tabela 04 - Critério de informação de Akaike e Schwarz, teste de autocorrelação residual Multiplicador de Lagrange e teste White de heteroscedasticidade</w:t>
      </w:r>
    </w:p>
    <w:tbl>
      <w:tblPr>
        <w:tblW w:w="8280" w:type="dxa"/>
        <w:jc w:val="center"/>
        <w:tblCellMar>
          <w:left w:w="70" w:type="dxa"/>
          <w:right w:w="70" w:type="dxa"/>
        </w:tblCellMar>
        <w:tblLook w:val="04A0" w:firstRow="1" w:lastRow="0" w:firstColumn="1" w:lastColumn="0" w:noHBand="0" w:noVBand="1"/>
      </w:tblPr>
      <w:tblGrid>
        <w:gridCol w:w="640"/>
        <w:gridCol w:w="740"/>
        <w:gridCol w:w="760"/>
        <w:gridCol w:w="767"/>
        <w:gridCol w:w="773"/>
        <w:gridCol w:w="760"/>
        <w:gridCol w:w="760"/>
        <w:gridCol w:w="780"/>
        <w:gridCol w:w="760"/>
        <w:gridCol w:w="767"/>
        <w:gridCol w:w="773"/>
      </w:tblGrid>
      <w:tr w:rsidR="00A14BF8" w:rsidRPr="00B35B71" w:rsidTr="00A14BF8">
        <w:trPr>
          <w:trHeight w:val="300"/>
          <w:jc w:val="center"/>
        </w:trPr>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Ordem</w:t>
            </w:r>
          </w:p>
        </w:tc>
        <w:tc>
          <w:tcPr>
            <w:tcW w:w="1500" w:type="dxa"/>
            <w:gridSpan w:val="2"/>
            <w:tcBorders>
              <w:top w:val="single" w:sz="4" w:space="0" w:color="auto"/>
              <w:left w:val="nil"/>
              <w:bottom w:val="single" w:sz="4" w:space="0" w:color="auto"/>
              <w:right w:val="single" w:sz="4" w:space="0" w:color="auto"/>
            </w:tcBorders>
            <w:shd w:val="clear" w:color="auto" w:fill="auto"/>
            <w:noWrap/>
            <w:vAlign w:val="center"/>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w:t>
            </w:r>
          </w:p>
        </w:tc>
        <w:tc>
          <w:tcPr>
            <w:tcW w:w="15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w:t>
            </w:r>
          </w:p>
        </w:tc>
        <w:tc>
          <w:tcPr>
            <w:tcW w:w="1520" w:type="dxa"/>
            <w:gridSpan w:val="2"/>
            <w:tcBorders>
              <w:top w:val="single" w:sz="4" w:space="0" w:color="auto"/>
              <w:left w:val="nil"/>
              <w:bottom w:val="single" w:sz="4" w:space="0" w:color="auto"/>
              <w:right w:val="single" w:sz="4" w:space="0" w:color="auto"/>
            </w:tcBorders>
            <w:shd w:val="clear" w:color="auto" w:fill="auto"/>
            <w:noWrap/>
            <w:vAlign w:val="center"/>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4</w:t>
            </w:r>
          </w:p>
        </w:tc>
        <w:tc>
          <w:tcPr>
            <w:tcW w:w="15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5</w:t>
            </w:r>
          </w:p>
        </w:tc>
        <w:tc>
          <w:tcPr>
            <w:tcW w:w="1540" w:type="dxa"/>
            <w:gridSpan w:val="2"/>
            <w:tcBorders>
              <w:top w:val="single" w:sz="4" w:space="0" w:color="auto"/>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6</w:t>
            </w:r>
          </w:p>
        </w:tc>
      </w:tr>
      <w:tr w:rsidR="00A14BF8" w:rsidRPr="00B35B71" w:rsidTr="00A14BF8">
        <w:trPr>
          <w:trHeight w:val="300"/>
          <w:jc w:val="center"/>
        </w:trPr>
        <w:tc>
          <w:tcPr>
            <w:tcW w:w="640" w:type="dxa"/>
            <w:tcBorders>
              <w:top w:val="nil"/>
              <w:left w:val="nil"/>
              <w:bottom w:val="nil"/>
              <w:right w:val="nil"/>
            </w:tcBorders>
            <w:shd w:val="clear" w:color="auto" w:fill="auto"/>
            <w:noWrap/>
            <w:vAlign w:val="center"/>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p>
        </w:tc>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AIC</w:t>
            </w:r>
          </w:p>
        </w:tc>
        <w:tc>
          <w:tcPr>
            <w:tcW w:w="76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SBC</w:t>
            </w:r>
          </w:p>
        </w:tc>
        <w:tc>
          <w:tcPr>
            <w:tcW w:w="767"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AIC</w:t>
            </w:r>
          </w:p>
        </w:tc>
        <w:tc>
          <w:tcPr>
            <w:tcW w:w="773"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SBC</w:t>
            </w:r>
          </w:p>
        </w:tc>
        <w:tc>
          <w:tcPr>
            <w:tcW w:w="76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AIC</w:t>
            </w:r>
          </w:p>
        </w:tc>
        <w:tc>
          <w:tcPr>
            <w:tcW w:w="76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SBC</w:t>
            </w:r>
          </w:p>
        </w:tc>
        <w:tc>
          <w:tcPr>
            <w:tcW w:w="78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AIC</w:t>
            </w:r>
          </w:p>
        </w:tc>
        <w:tc>
          <w:tcPr>
            <w:tcW w:w="76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SBC</w:t>
            </w:r>
          </w:p>
        </w:tc>
        <w:tc>
          <w:tcPr>
            <w:tcW w:w="767"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AIC</w:t>
            </w:r>
          </w:p>
        </w:tc>
        <w:tc>
          <w:tcPr>
            <w:tcW w:w="773" w:type="dxa"/>
            <w:tcBorders>
              <w:top w:val="nil"/>
              <w:left w:val="nil"/>
              <w:bottom w:val="single" w:sz="4" w:space="0" w:color="auto"/>
              <w:right w:val="nil"/>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SBC</w:t>
            </w:r>
          </w:p>
        </w:tc>
      </w:tr>
      <w:tr w:rsidR="00A14BF8" w:rsidRPr="00B35B71" w:rsidTr="00A14BF8">
        <w:trPr>
          <w:trHeight w:val="300"/>
          <w:jc w:val="center"/>
        </w:trPr>
        <w:tc>
          <w:tcPr>
            <w:tcW w:w="64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lef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 </w:t>
            </w:r>
          </w:p>
        </w:tc>
        <w:tc>
          <w:tcPr>
            <w:tcW w:w="740" w:type="dxa"/>
            <w:tcBorders>
              <w:top w:val="nil"/>
              <w:left w:val="nil"/>
              <w:bottom w:val="single" w:sz="4" w:space="0" w:color="auto"/>
              <w:right w:val="single" w:sz="4" w:space="0" w:color="auto"/>
            </w:tcBorders>
            <w:shd w:val="clear" w:color="auto" w:fill="auto"/>
            <w:vAlign w:val="center"/>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-21,728</w:t>
            </w:r>
          </w:p>
        </w:tc>
        <w:tc>
          <w:tcPr>
            <w:tcW w:w="76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-20,396</w:t>
            </w:r>
          </w:p>
        </w:tc>
        <w:tc>
          <w:tcPr>
            <w:tcW w:w="767"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-21,639</w:t>
            </w:r>
          </w:p>
        </w:tc>
        <w:tc>
          <w:tcPr>
            <w:tcW w:w="773"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-19,775</w:t>
            </w:r>
          </w:p>
        </w:tc>
        <w:tc>
          <w:tcPr>
            <w:tcW w:w="760" w:type="dxa"/>
            <w:tcBorders>
              <w:top w:val="nil"/>
              <w:left w:val="nil"/>
              <w:bottom w:val="single" w:sz="4" w:space="0" w:color="auto"/>
              <w:right w:val="single" w:sz="4" w:space="0" w:color="auto"/>
            </w:tcBorders>
            <w:shd w:val="clear" w:color="auto" w:fill="auto"/>
            <w:vAlign w:val="center"/>
            <w:hideMark/>
          </w:tcPr>
          <w:p w:rsidR="00A14BF8" w:rsidRPr="00B35B71" w:rsidRDefault="00A14BF8" w:rsidP="00B35B71">
            <w:pPr>
              <w:spacing w:after="0" w:line="240" w:lineRule="auto"/>
              <w:jc w:val="right"/>
              <w:rPr>
                <w:rFonts w:ascii="Times New Roman" w:eastAsia="Times New Roman" w:hAnsi="Times New Roman" w:cs="Times New Roman"/>
                <w:sz w:val="18"/>
                <w:szCs w:val="18"/>
                <w:lang w:eastAsia="pt-BR"/>
              </w:rPr>
            </w:pPr>
            <w:r w:rsidRPr="00B35B71">
              <w:rPr>
                <w:rFonts w:ascii="Times New Roman" w:eastAsia="Times New Roman" w:hAnsi="Times New Roman" w:cs="Times New Roman"/>
                <w:sz w:val="18"/>
                <w:szCs w:val="18"/>
                <w:lang w:eastAsia="pt-BR"/>
              </w:rPr>
              <w:t>-21,495</w:t>
            </w:r>
          </w:p>
        </w:tc>
        <w:tc>
          <w:tcPr>
            <w:tcW w:w="76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-19,095</w:t>
            </w:r>
          </w:p>
        </w:tc>
        <w:tc>
          <w:tcPr>
            <w:tcW w:w="780" w:type="dxa"/>
            <w:tcBorders>
              <w:top w:val="nil"/>
              <w:left w:val="nil"/>
              <w:bottom w:val="single" w:sz="4" w:space="0" w:color="auto"/>
              <w:right w:val="single" w:sz="4" w:space="0" w:color="auto"/>
            </w:tcBorders>
            <w:shd w:val="clear" w:color="auto" w:fill="auto"/>
            <w:vAlign w:val="center"/>
            <w:hideMark/>
          </w:tcPr>
          <w:p w:rsidR="00A14BF8" w:rsidRPr="00B35B71" w:rsidRDefault="00A14BF8" w:rsidP="00B35B71">
            <w:pPr>
              <w:spacing w:after="0" w:line="240" w:lineRule="auto"/>
              <w:jc w:val="right"/>
              <w:rPr>
                <w:rFonts w:ascii="Times New Roman" w:eastAsia="Times New Roman" w:hAnsi="Times New Roman" w:cs="Times New Roman"/>
                <w:sz w:val="18"/>
                <w:szCs w:val="18"/>
                <w:lang w:eastAsia="pt-BR"/>
              </w:rPr>
            </w:pPr>
            <w:r w:rsidRPr="00B35B71">
              <w:rPr>
                <w:rFonts w:ascii="Times New Roman" w:eastAsia="Times New Roman" w:hAnsi="Times New Roman" w:cs="Times New Roman"/>
                <w:sz w:val="18"/>
                <w:szCs w:val="18"/>
                <w:lang w:eastAsia="pt-BR"/>
              </w:rPr>
              <w:t>-21,397</w:t>
            </w:r>
          </w:p>
        </w:tc>
        <w:tc>
          <w:tcPr>
            <w:tcW w:w="76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-18,459</w:t>
            </w:r>
          </w:p>
        </w:tc>
        <w:tc>
          <w:tcPr>
            <w:tcW w:w="767"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-21,251</w:t>
            </w:r>
          </w:p>
        </w:tc>
        <w:tc>
          <w:tcPr>
            <w:tcW w:w="773"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-17,770</w:t>
            </w:r>
          </w:p>
        </w:tc>
      </w:tr>
      <w:tr w:rsidR="00A14BF8" w:rsidRPr="00B35B71" w:rsidTr="00A14BF8">
        <w:trPr>
          <w:trHeight w:val="300"/>
          <w:jc w:val="center"/>
        </w:trPr>
        <w:tc>
          <w:tcPr>
            <w:tcW w:w="8280" w:type="dxa"/>
            <w:gridSpan w:val="11"/>
            <w:tcBorders>
              <w:top w:val="single" w:sz="4" w:space="0" w:color="auto"/>
              <w:left w:val="nil"/>
              <w:bottom w:val="single" w:sz="4" w:space="0" w:color="auto"/>
              <w:right w:val="nil"/>
            </w:tcBorders>
            <w:shd w:val="clear" w:color="auto" w:fill="auto"/>
            <w:noWrap/>
            <w:vAlign w:val="bottom"/>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Teste de Autocorrelação Residual LM</w:t>
            </w:r>
          </w:p>
        </w:tc>
      </w:tr>
      <w:tr w:rsidR="00A14BF8" w:rsidRPr="00B35B71" w:rsidTr="00A14BF8">
        <w:trPr>
          <w:trHeight w:val="300"/>
          <w:jc w:val="center"/>
        </w:trPr>
        <w:tc>
          <w:tcPr>
            <w:tcW w:w="64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lef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Ordem</w:t>
            </w:r>
          </w:p>
        </w:tc>
        <w:tc>
          <w:tcPr>
            <w:tcW w:w="74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lef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Est. LM</w:t>
            </w:r>
          </w:p>
        </w:tc>
        <w:tc>
          <w:tcPr>
            <w:tcW w:w="76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lef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p-valor</w:t>
            </w:r>
          </w:p>
        </w:tc>
        <w:tc>
          <w:tcPr>
            <w:tcW w:w="767"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lef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Est. LM</w:t>
            </w:r>
          </w:p>
        </w:tc>
        <w:tc>
          <w:tcPr>
            <w:tcW w:w="773"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lef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p-valor</w:t>
            </w:r>
          </w:p>
        </w:tc>
        <w:tc>
          <w:tcPr>
            <w:tcW w:w="76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lef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Est. LM</w:t>
            </w:r>
          </w:p>
        </w:tc>
        <w:tc>
          <w:tcPr>
            <w:tcW w:w="76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lef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p-valor</w:t>
            </w:r>
          </w:p>
        </w:tc>
        <w:tc>
          <w:tcPr>
            <w:tcW w:w="78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lef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Est. LM</w:t>
            </w:r>
          </w:p>
        </w:tc>
        <w:tc>
          <w:tcPr>
            <w:tcW w:w="76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lef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p-valor</w:t>
            </w:r>
          </w:p>
        </w:tc>
        <w:tc>
          <w:tcPr>
            <w:tcW w:w="767"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lef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Est. LM</w:t>
            </w:r>
          </w:p>
        </w:tc>
        <w:tc>
          <w:tcPr>
            <w:tcW w:w="773"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lef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p-valor</w:t>
            </w:r>
          </w:p>
        </w:tc>
      </w:tr>
      <w:tr w:rsidR="00A14BF8" w:rsidRPr="00B35B71" w:rsidTr="00A14BF8">
        <w:trPr>
          <w:trHeight w:val="300"/>
          <w:jc w:val="center"/>
        </w:trPr>
        <w:tc>
          <w:tcPr>
            <w:tcW w:w="640" w:type="dxa"/>
            <w:tcBorders>
              <w:top w:val="nil"/>
              <w:left w:val="nil"/>
              <w:bottom w:val="nil"/>
              <w:right w:val="single" w:sz="4" w:space="0" w:color="auto"/>
            </w:tcBorders>
            <w:shd w:val="clear" w:color="auto" w:fill="auto"/>
            <w:vAlign w:val="center"/>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1</w:t>
            </w:r>
          </w:p>
        </w:tc>
        <w:tc>
          <w:tcPr>
            <w:tcW w:w="740" w:type="dxa"/>
            <w:tcBorders>
              <w:top w:val="nil"/>
              <w:left w:val="nil"/>
              <w:bottom w:val="nil"/>
              <w:right w:val="single" w:sz="4" w:space="0" w:color="auto"/>
            </w:tcBorders>
            <w:shd w:val="clear" w:color="auto" w:fill="auto"/>
            <w:vAlign w:val="center"/>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46,2542</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0,1177</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37,2275</w:t>
            </w:r>
          </w:p>
        </w:tc>
        <w:tc>
          <w:tcPr>
            <w:tcW w:w="773" w:type="dxa"/>
            <w:tcBorders>
              <w:top w:val="nil"/>
              <w:left w:val="nil"/>
              <w:bottom w:val="nil"/>
              <w:right w:val="single" w:sz="4" w:space="0" w:color="auto"/>
            </w:tcBorders>
            <w:shd w:val="clear" w:color="auto" w:fill="auto"/>
            <w:vAlign w:val="center"/>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0,4124</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42,3089</w:t>
            </w:r>
          </w:p>
        </w:tc>
        <w:tc>
          <w:tcPr>
            <w:tcW w:w="760" w:type="dxa"/>
            <w:tcBorders>
              <w:top w:val="nil"/>
              <w:left w:val="nil"/>
              <w:bottom w:val="nil"/>
              <w:right w:val="single" w:sz="4" w:space="0" w:color="auto"/>
            </w:tcBorders>
            <w:shd w:val="clear" w:color="auto" w:fill="auto"/>
            <w:vAlign w:val="center"/>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0,2172</w:t>
            </w:r>
          </w:p>
        </w:tc>
        <w:tc>
          <w:tcPr>
            <w:tcW w:w="780" w:type="dxa"/>
            <w:tcBorders>
              <w:top w:val="nil"/>
              <w:left w:val="nil"/>
              <w:bottom w:val="nil"/>
              <w:right w:val="single" w:sz="4" w:space="0" w:color="auto"/>
            </w:tcBorders>
            <w:shd w:val="clear" w:color="auto" w:fill="auto"/>
            <w:vAlign w:val="center"/>
            <w:hideMark/>
          </w:tcPr>
          <w:p w:rsidR="00A14BF8" w:rsidRPr="00B35B71" w:rsidRDefault="00A14BF8" w:rsidP="00B35B71">
            <w:pPr>
              <w:spacing w:after="0" w:line="240" w:lineRule="auto"/>
              <w:jc w:val="right"/>
              <w:rPr>
                <w:rFonts w:ascii="Times New Roman" w:eastAsia="Times New Roman" w:hAnsi="Times New Roman" w:cs="Times New Roman"/>
                <w:sz w:val="18"/>
                <w:szCs w:val="18"/>
                <w:lang w:eastAsia="pt-BR"/>
              </w:rPr>
            </w:pPr>
            <w:r w:rsidRPr="00B35B71">
              <w:rPr>
                <w:rFonts w:ascii="Times New Roman" w:eastAsia="Times New Roman" w:hAnsi="Times New Roman" w:cs="Times New Roman"/>
                <w:sz w:val="18"/>
                <w:szCs w:val="18"/>
                <w:lang w:eastAsia="pt-BR"/>
              </w:rPr>
              <w:t>24,3287</w:t>
            </w:r>
          </w:p>
        </w:tc>
        <w:tc>
          <w:tcPr>
            <w:tcW w:w="760" w:type="dxa"/>
            <w:tcBorders>
              <w:top w:val="nil"/>
              <w:left w:val="nil"/>
              <w:bottom w:val="nil"/>
              <w:right w:val="single" w:sz="4" w:space="0" w:color="auto"/>
            </w:tcBorders>
            <w:shd w:val="clear" w:color="auto" w:fill="auto"/>
            <w:vAlign w:val="center"/>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0,9305</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28,8173</w:t>
            </w:r>
          </w:p>
        </w:tc>
        <w:tc>
          <w:tcPr>
            <w:tcW w:w="773" w:type="dxa"/>
            <w:tcBorders>
              <w:top w:val="nil"/>
              <w:left w:val="nil"/>
              <w:bottom w:val="nil"/>
              <w:right w:val="nil"/>
            </w:tcBorders>
            <w:shd w:val="clear" w:color="auto" w:fill="auto"/>
            <w:vAlign w:val="center"/>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0,7968</w:t>
            </w:r>
          </w:p>
        </w:tc>
      </w:tr>
      <w:tr w:rsidR="00A14BF8" w:rsidRPr="00B35B71" w:rsidTr="00A14BF8">
        <w:trPr>
          <w:trHeight w:val="300"/>
          <w:jc w:val="center"/>
        </w:trPr>
        <w:tc>
          <w:tcPr>
            <w:tcW w:w="64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w:t>
            </w:r>
          </w:p>
        </w:tc>
        <w:tc>
          <w:tcPr>
            <w:tcW w:w="74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35,0506</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0,5136</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27,9825</w:t>
            </w:r>
          </w:p>
        </w:tc>
        <w:tc>
          <w:tcPr>
            <w:tcW w:w="773"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0,8278</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31,0670</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0,7022</w:t>
            </w:r>
          </w:p>
        </w:tc>
        <w:tc>
          <w:tcPr>
            <w:tcW w:w="78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30,4526</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0,7294</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22,5925</w:t>
            </w:r>
          </w:p>
        </w:tc>
        <w:tc>
          <w:tcPr>
            <w:tcW w:w="773" w:type="dxa"/>
            <w:tcBorders>
              <w:top w:val="nil"/>
              <w:left w:val="nil"/>
              <w:bottom w:val="nil"/>
              <w:right w:val="nil"/>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0,9602</w:t>
            </w:r>
          </w:p>
        </w:tc>
      </w:tr>
      <w:tr w:rsidR="00A14BF8" w:rsidRPr="00B35B71" w:rsidTr="00A14BF8">
        <w:trPr>
          <w:trHeight w:val="300"/>
          <w:jc w:val="center"/>
        </w:trPr>
        <w:tc>
          <w:tcPr>
            <w:tcW w:w="64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w:t>
            </w:r>
          </w:p>
        </w:tc>
        <w:tc>
          <w:tcPr>
            <w:tcW w:w="74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30,7860</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0,7147</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32,6235</w:t>
            </w:r>
          </w:p>
        </w:tc>
        <w:tc>
          <w:tcPr>
            <w:tcW w:w="773"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0,6300</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39,3573</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0,3220</w:t>
            </w:r>
          </w:p>
        </w:tc>
        <w:tc>
          <w:tcPr>
            <w:tcW w:w="78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35,4563</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0,4943</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35,2360</w:t>
            </w:r>
          </w:p>
        </w:tc>
        <w:tc>
          <w:tcPr>
            <w:tcW w:w="773" w:type="dxa"/>
            <w:tcBorders>
              <w:top w:val="nil"/>
              <w:left w:val="nil"/>
              <w:bottom w:val="nil"/>
              <w:right w:val="nil"/>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0,5047</w:t>
            </w:r>
          </w:p>
        </w:tc>
      </w:tr>
      <w:tr w:rsidR="00A14BF8" w:rsidRPr="00B35B71" w:rsidTr="00A14BF8">
        <w:trPr>
          <w:trHeight w:val="300"/>
          <w:jc w:val="center"/>
        </w:trPr>
        <w:tc>
          <w:tcPr>
            <w:tcW w:w="64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4</w:t>
            </w:r>
          </w:p>
        </w:tc>
        <w:tc>
          <w:tcPr>
            <w:tcW w:w="74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44,1583</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0,1649</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42,6135</w:t>
            </w:r>
          </w:p>
        </w:tc>
        <w:tc>
          <w:tcPr>
            <w:tcW w:w="773"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0,2079</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33,3822</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0,5937</w:t>
            </w:r>
          </w:p>
        </w:tc>
        <w:tc>
          <w:tcPr>
            <w:tcW w:w="78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29,3871</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0,7743</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26,9910</w:t>
            </w:r>
          </w:p>
        </w:tc>
        <w:tc>
          <w:tcPr>
            <w:tcW w:w="773" w:type="dxa"/>
            <w:tcBorders>
              <w:top w:val="nil"/>
              <w:left w:val="nil"/>
              <w:bottom w:val="nil"/>
              <w:right w:val="nil"/>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0,8612</w:t>
            </w:r>
          </w:p>
        </w:tc>
      </w:tr>
      <w:tr w:rsidR="00A14BF8" w:rsidRPr="00B35B71" w:rsidTr="00A14BF8">
        <w:trPr>
          <w:trHeight w:val="300"/>
          <w:jc w:val="center"/>
        </w:trPr>
        <w:tc>
          <w:tcPr>
            <w:tcW w:w="64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5</w:t>
            </w:r>
          </w:p>
        </w:tc>
        <w:tc>
          <w:tcPr>
            <w:tcW w:w="74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38,2928</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0,3658</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33,3281</w:t>
            </w:r>
          </w:p>
        </w:tc>
        <w:tc>
          <w:tcPr>
            <w:tcW w:w="773"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0,5963</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31,4892</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0,6830</w:t>
            </w:r>
          </w:p>
        </w:tc>
        <w:tc>
          <w:tcPr>
            <w:tcW w:w="78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35,4557</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0,4943</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31,9162</w:t>
            </w:r>
          </w:p>
        </w:tc>
        <w:tc>
          <w:tcPr>
            <w:tcW w:w="773" w:type="dxa"/>
            <w:tcBorders>
              <w:top w:val="nil"/>
              <w:left w:val="nil"/>
              <w:bottom w:val="nil"/>
              <w:right w:val="nil"/>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0,6633</w:t>
            </w:r>
          </w:p>
        </w:tc>
      </w:tr>
      <w:tr w:rsidR="00A14BF8" w:rsidRPr="00B35B71" w:rsidTr="00A14BF8">
        <w:trPr>
          <w:trHeight w:val="300"/>
          <w:jc w:val="center"/>
        </w:trPr>
        <w:tc>
          <w:tcPr>
            <w:tcW w:w="64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6</w:t>
            </w:r>
          </w:p>
        </w:tc>
        <w:tc>
          <w:tcPr>
            <w:tcW w:w="74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39,6381</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0,3110</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32,7272</w:t>
            </w:r>
          </w:p>
        </w:tc>
        <w:tc>
          <w:tcPr>
            <w:tcW w:w="773"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0,6251</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30,1286</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0,7434</w:t>
            </w:r>
          </w:p>
        </w:tc>
        <w:tc>
          <w:tcPr>
            <w:tcW w:w="78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30,4719</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0,7286</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37,7995</w:t>
            </w:r>
          </w:p>
        </w:tc>
        <w:tc>
          <w:tcPr>
            <w:tcW w:w="773" w:type="dxa"/>
            <w:tcBorders>
              <w:top w:val="nil"/>
              <w:left w:val="nil"/>
              <w:bottom w:val="nil"/>
              <w:right w:val="nil"/>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0,3871</w:t>
            </w:r>
          </w:p>
        </w:tc>
      </w:tr>
      <w:tr w:rsidR="00A14BF8" w:rsidRPr="00B35B71" w:rsidTr="00A14BF8">
        <w:trPr>
          <w:trHeight w:val="300"/>
          <w:jc w:val="center"/>
        </w:trPr>
        <w:tc>
          <w:tcPr>
            <w:tcW w:w="64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7</w:t>
            </w:r>
          </w:p>
        </w:tc>
        <w:tc>
          <w:tcPr>
            <w:tcW w:w="74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34,2535</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0,5518</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35,5669</w:t>
            </w:r>
          </w:p>
        </w:tc>
        <w:tc>
          <w:tcPr>
            <w:tcW w:w="773"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0,4890</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44,1357</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0,1655</w:t>
            </w:r>
          </w:p>
        </w:tc>
        <w:tc>
          <w:tcPr>
            <w:tcW w:w="78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41,2576</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0,2516</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39,1797</w:t>
            </w:r>
          </w:p>
        </w:tc>
        <w:tc>
          <w:tcPr>
            <w:tcW w:w="773" w:type="dxa"/>
            <w:tcBorders>
              <w:top w:val="nil"/>
              <w:left w:val="nil"/>
              <w:bottom w:val="nil"/>
              <w:right w:val="nil"/>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0,3291</w:t>
            </w:r>
          </w:p>
        </w:tc>
      </w:tr>
      <w:tr w:rsidR="00A14BF8" w:rsidRPr="00B35B71" w:rsidTr="00A14BF8">
        <w:trPr>
          <w:trHeight w:val="300"/>
          <w:jc w:val="center"/>
        </w:trPr>
        <w:tc>
          <w:tcPr>
            <w:tcW w:w="64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8</w:t>
            </w:r>
          </w:p>
        </w:tc>
        <w:tc>
          <w:tcPr>
            <w:tcW w:w="74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34,6478</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0,5329</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37,1183</w:t>
            </w:r>
          </w:p>
        </w:tc>
        <w:tc>
          <w:tcPr>
            <w:tcW w:w="773"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0,4173</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36,8196</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0,4308</w:t>
            </w:r>
          </w:p>
        </w:tc>
        <w:tc>
          <w:tcPr>
            <w:tcW w:w="78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33,4082</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0,5925</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29,4330</w:t>
            </w:r>
          </w:p>
        </w:tc>
        <w:tc>
          <w:tcPr>
            <w:tcW w:w="773" w:type="dxa"/>
            <w:tcBorders>
              <w:top w:val="nil"/>
              <w:left w:val="nil"/>
              <w:bottom w:val="nil"/>
              <w:right w:val="nil"/>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0,7724</w:t>
            </w:r>
          </w:p>
        </w:tc>
      </w:tr>
      <w:tr w:rsidR="00A14BF8" w:rsidRPr="00B35B71" w:rsidTr="00A14BF8">
        <w:trPr>
          <w:trHeight w:val="300"/>
          <w:jc w:val="center"/>
        </w:trPr>
        <w:tc>
          <w:tcPr>
            <w:tcW w:w="64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9</w:t>
            </w:r>
          </w:p>
        </w:tc>
        <w:tc>
          <w:tcPr>
            <w:tcW w:w="74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38,6487</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0,3509</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35,4682</w:t>
            </w:r>
          </w:p>
        </w:tc>
        <w:tc>
          <w:tcPr>
            <w:tcW w:w="773"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0,4937</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26,2448</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0,8836</w:t>
            </w:r>
          </w:p>
        </w:tc>
        <w:tc>
          <w:tcPr>
            <w:tcW w:w="78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27,3461</w:t>
            </w:r>
          </w:p>
        </w:tc>
        <w:tc>
          <w:tcPr>
            <w:tcW w:w="760"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0,8497</w:t>
            </w:r>
          </w:p>
        </w:tc>
        <w:tc>
          <w:tcPr>
            <w:tcW w:w="767" w:type="dxa"/>
            <w:tcBorders>
              <w:top w:val="nil"/>
              <w:left w:val="nil"/>
              <w:bottom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27,4047</w:t>
            </w:r>
          </w:p>
        </w:tc>
        <w:tc>
          <w:tcPr>
            <w:tcW w:w="773" w:type="dxa"/>
            <w:tcBorders>
              <w:top w:val="nil"/>
              <w:left w:val="nil"/>
              <w:bottom w:val="nil"/>
              <w:right w:val="nil"/>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0,8477</w:t>
            </w:r>
          </w:p>
        </w:tc>
      </w:tr>
      <w:tr w:rsidR="00A14BF8" w:rsidRPr="00B35B71" w:rsidTr="00847437">
        <w:trPr>
          <w:trHeight w:val="300"/>
          <w:jc w:val="center"/>
        </w:trPr>
        <w:tc>
          <w:tcPr>
            <w:tcW w:w="640" w:type="dxa"/>
            <w:tcBorders>
              <w:top w:val="nil"/>
              <w:left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10</w:t>
            </w:r>
          </w:p>
        </w:tc>
        <w:tc>
          <w:tcPr>
            <w:tcW w:w="740" w:type="dxa"/>
            <w:tcBorders>
              <w:top w:val="nil"/>
              <w:left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20,0262</w:t>
            </w:r>
          </w:p>
        </w:tc>
        <w:tc>
          <w:tcPr>
            <w:tcW w:w="760" w:type="dxa"/>
            <w:tcBorders>
              <w:top w:val="nil"/>
              <w:left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0,9856</w:t>
            </w:r>
          </w:p>
        </w:tc>
        <w:tc>
          <w:tcPr>
            <w:tcW w:w="767" w:type="dxa"/>
            <w:tcBorders>
              <w:top w:val="nil"/>
              <w:left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19,6625</w:t>
            </w:r>
          </w:p>
        </w:tc>
        <w:tc>
          <w:tcPr>
            <w:tcW w:w="773" w:type="dxa"/>
            <w:tcBorders>
              <w:top w:val="nil"/>
              <w:left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0,9878</w:t>
            </w:r>
          </w:p>
        </w:tc>
        <w:tc>
          <w:tcPr>
            <w:tcW w:w="760" w:type="dxa"/>
            <w:tcBorders>
              <w:top w:val="nil"/>
              <w:left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24,5823</w:t>
            </w:r>
          </w:p>
        </w:tc>
        <w:tc>
          <w:tcPr>
            <w:tcW w:w="760" w:type="dxa"/>
            <w:tcBorders>
              <w:top w:val="nil"/>
              <w:left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0,9252</w:t>
            </w:r>
          </w:p>
        </w:tc>
        <w:tc>
          <w:tcPr>
            <w:tcW w:w="780" w:type="dxa"/>
            <w:tcBorders>
              <w:top w:val="nil"/>
              <w:left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21,8999</w:t>
            </w:r>
          </w:p>
        </w:tc>
        <w:tc>
          <w:tcPr>
            <w:tcW w:w="760" w:type="dxa"/>
            <w:tcBorders>
              <w:top w:val="nil"/>
              <w:left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0,9690</w:t>
            </w:r>
          </w:p>
        </w:tc>
        <w:tc>
          <w:tcPr>
            <w:tcW w:w="767" w:type="dxa"/>
            <w:tcBorders>
              <w:top w:val="nil"/>
              <w:left w:val="nil"/>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21,3207</w:t>
            </w:r>
          </w:p>
        </w:tc>
        <w:tc>
          <w:tcPr>
            <w:tcW w:w="773" w:type="dxa"/>
            <w:tcBorders>
              <w:top w:val="nil"/>
              <w:left w:val="nil"/>
              <w:right w:val="nil"/>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0,9751</w:t>
            </w:r>
          </w:p>
        </w:tc>
      </w:tr>
      <w:tr w:rsidR="00A14BF8" w:rsidRPr="00B35B71" w:rsidTr="00847437">
        <w:trPr>
          <w:trHeight w:val="300"/>
          <w:jc w:val="center"/>
        </w:trPr>
        <w:tc>
          <w:tcPr>
            <w:tcW w:w="64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11</w:t>
            </w:r>
          </w:p>
        </w:tc>
        <w:tc>
          <w:tcPr>
            <w:tcW w:w="74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31,8247</w:t>
            </w:r>
          </w:p>
        </w:tc>
        <w:tc>
          <w:tcPr>
            <w:tcW w:w="76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0,6675</w:t>
            </w:r>
          </w:p>
        </w:tc>
        <w:tc>
          <w:tcPr>
            <w:tcW w:w="767"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32,4858</w:t>
            </w:r>
          </w:p>
        </w:tc>
        <w:tc>
          <w:tcPr>
            <w:tcW w:w="773"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0,6365</w:t>
            </w:r>
          </w:p>
        </w:tc>
        <w:tc>
          <w:tcPr>
            <w:tcW w:w="76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29,5754</w:t>
            </w:r>
          </w:p>
        </w:tc>
        <w:tc>
          <w:tcPr>
            <w:tcW w:w="76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0,7666</w:t>
            </w:r>
          </w:p>
        </w:tc>
        <w:tc>
          <w:tcPr>
            <w:tcW w:w="78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32,5655</w:t>
            </w:r>
          </w:p>
        </w:tc>
        <w:tc>
          <w:tcPr>
            <w:tcW w:w="76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0,6327</w:t>
            </w:r>
          </w:p>
        </w:tc>
        <w:tc>
          <w:tcPr>
            <w:tcW w:w="767"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34,3612</w:t>
            </w:r>
          </w:p>
        </w:tc>
        <w:tc>
          <w:tcPr>
            <w:tcW w:w="773" w:type="dxa"/>
            <w:tcBorders>
              <w:top w:val="nil"/>
              <w:left w:val="nil"/>
              <w:bottom w:val="single" w:sz="4" w:space="0" w:color="auto"/>
              <w:right w:val="nil"/>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0,5466</w:t>
            </w:r>
          </w:p>
        </w:tc>
      </w:tr>
      <w:tr w:rsidR="00A14BF8" w:rsidRPr="00B35B71" w:rsidTr="00847437">
        <w:trPr>
          <w:trHeight w:val="300"/>
          <w:jc w:val="center"/>
        </w:trPr>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12</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43,3188</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0,1874</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45,6485</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0,1301</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42,7711</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0,2032</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44,3149</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0,1610</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43,7837</w:t>
            </w:r>
          </w:p>
        </w:tc>
        <w:tc>
          <w:tcPr>
            <w:tcW w:w="773" w:type="dxa"/>
            <w:tcBorders>
              <w:top w:val="single" w:sz="4" w:space="0" w:color="auto"/>
              <w:left w:val="nil"/>
              <w:bottom w:val="single" w:sz="4" w:space="0" w:color="auto"/>
              <w:right w:val="nil"/>
            </w:tcBorders>
            <w:shd w:val="clear" w:color="auto" w:fill="auto"/>
            <w:noWrap/>
            <w:vAlign w:val="bottom"/>
            <w:hideMark/>
          </w:tcPr>
          <w:p w:rsidR="00A14BF8" w:rsidRPr="00B35B71" w:rsidRDefault="00A14BF8" w:rsidP="00B35B71">
            <w:pPr>
              <w:spacing w:after="0" w:line="240" w:lineRule="auto"/>
              <w:jc w:val="righ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0,1747</w:t>
            </w:r>
          </w:p>
        </w:tc>
      </w:tr>
      <w:tr w:rsidR="00A14BF8" w:rsidRPr="00B35B71" w:rsidTr="00A14BF8">
        <w:trPr>
          <w:trHeight w:val="300"/>
          <w:jc w:val="center"/>
        </w:trPr>
        <w:tc>
          <w:tcPr>
            <w:tcW w:w="8280" w:type="dxa"/>
            <w:gridSpan w:val="11"/>
            <w:tcBorders>
              <w:top w:val="nil"/>
              <w:left w:val="nil"/>
              <w:bottom w:val="single" w:sz="4" w:space="0" w:color="auto"/>
              <w:right w:val="nil"/>
            </w:tcBorders>
            <w:shd w:val="clear" w:color="auto" w:fill="auto"/>
            <w:noWrap/>
            <w:vAlign w:val="bottom"/>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Teste de Heterodecasticidade de White</w:t>
            </w:r>
          </w:p>
        </w:tc>
      </w:tr>
      <w:tr w:rsidR="00A14BF8" w:rsidRPr="00B35B71" w:rsidTr="00A14BF8">
        <w:trPr>
          <w:trHeight w:val="300"/>
          <w:jc w:val="center"/>
        </w:trPr>
        <w:tc>
          <w:tcPr>
            <w:tcW w:w="640" w:type="dxa"/>
            <w:tcBorders>
              <w:top w:val="nil"/>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lef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Ordem</w:t>
            </w:r>
          </w:p>
        </w:tc>
        <w:tc>
          <w:tcPr>
            <w:tcW w:w="1500" w:type="dxa"/>
            <w:gridSpan w:val="2"/>
            <w:tcBorders>
              <w:top w:val="single" w:sz="4" w:space="0" w:color="auto"/>
              <w:left w:val="nil"/>
              <w:bottom w:val="single" w:sz="4" w:space="0" w:color="auto"/>
              <w:right w:val="single" w:sz="4" w:space="0" w:color="auto"/>
            </w:tcBorders>
            <w:shd w:val="clear" w:color="auto" w:fill="auto"/>
            <w:noWrap/>
            <w:vAlign w:val="center"/>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2</w:t>
            </w:r>
          </w:p>
        </w:tc>
        <w:tc>
          <w:tcPr>
            <w:tcW w:w="15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3</w:t>
            </w:r>
          </w:p>
        </w:tc>
        <w:tc>
          <w:tcPr>
            <w:tcW w:w="1520" w:type="dxa"/>
            <w:gridSpan w:val="2"/>
            <w:tcBorders>
              <w:top w:val="single" w:sz="4" w:space="0" w:color="auto"/>
              <w:left w:val="nil"/>
              <w:bottom w:val="single" w:sz="4" w:space="0" w:color="auto"/>
              <w:right w:val="single" w:sz="4" w:space="0" w:color="auto"/>
            </w:tcBorders>
            <w:shd w:val="clear" w:color="auto" w:fill="auto"/>
            <w:noWrap/>
            <w:vAlign w:val="center"/>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4</w:t>
            </w:r>
          </w:p>
        </w:tc>
        <w:tc>
          <w:tcPr>
            <w:tcW w:w="15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5</w:t>
            </w:r>
          </w:p>
        </w:tc>
        <w:tc>
          <w:tcPr>
            <w:tcW w:w="1540" w:type="dxa"/>
            <w:gridSpan w:val="2"/>
            <w:tcBorders>
              <w:top w:val="single" w:sz="4" w:space="0" w:color="auto"/>
              <w:left w:val="single" w:sz="4" w:space="0" w:color="auto"/>
              <w:bottom w:val="single" w:sz="4" w:space="0" w:color="auto"/>
              <w:right w:val="nil"/>
            </w:tcBorders>
            <w:shd w:val="clear" w:color="auto" w:fill="auto"/>
            <w:noWrap/>
            <w:vAlign w:val="bottom"/>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6</w:t>
            </w:r>
          </w:p>
        </w:tc>
      </w:tr>
      <w:tr w:rsidR="00A14BF8" w:rsidRPr="00B35B71" w:rsidTr="00A14BF8">
        <w:trPr>
          <w:trHeight w:val="300"/>
          <w:jc w:val="center"/>
        </w:trPr>
        <w:tc>
          <w:tcPr>
            <w:tcW w:w="640" w:type="dxa"/>
            <w:tcBorders>
              <w:top w:val="nil"/>
              <w:left w:val="nil"/>
              <w:bottom w:val="single" w:sz="4" w:space="0" w:color="auto"/>
              <w:right w:val="nil"/>
            </w:tcBorders>
            <w:shd w:val="clear" w:color="auto" w:fill="auto"/>
            <w:noWrap/>
            <w:vAlign w:val="bottom"/>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 </w:t>
            </w:r>
          </w:p>
        </w:tc>
        <w:tc>
          <w:tcPr>
            <w:tcW w:w="15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0,0026</w:t>
            </w:r>
          </w:p>
        </w:tc>
        <w:tc>
          <w:tcPr>
            <w:tcW w:w="1540" w:type="dxa"/>
            <w:gridSpan w:val="2"/>
            <w:tcBorders>
              <w:top w:val="single" w:sz="4" w:space="0" w:color="auto"/>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0,0248</w:t>
            </w:r>
          </w:p>
        </w:tc>
        <w:tc>
          <w:tcPr>
            <w:tcW w:w="1520" w:type="dxa"/>
            <w:gridSpan w:val="2"/>
            <w:tcBorders>
              <w:top w:val="single" w:sz="4" w:space="0" w:color="auto"/>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0,0416</w:t>
            </w:r>
          </w:p>
        </w:tc>
        <w:tc>
          <w:tcPr>
            <w:tcW w:w="1540" w:type="dxa"/>
            <w:gridSpan w:val="2"/>
            <w:tcBorders>
              <w:top w:val="single" w:sz="4" w:space="0" w:color="auto"/>
              <w:left w:val="nil"/>
              <w:bottom w:val="single" w:sz="4" w:space="0" w:color="auto"/>
              <w:right w:val="single" w:sz="4" w:space="0" w:color="auto"/>
            </w:tcBorders>
            <w:shd w:val="clear" w:color="auto" w:fill="auto"/>
            <w:noWrap/>
            <w:vAlign w:val="bottom"/>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0,1242</w:t>
            </w:r>
          </w:p>
        </w:tc>
        <w:tc>
          <w:tcPr>
            <w:tcW w:w="1540" w:type="dxa"/>
            <w:gridSpan w:val="2"/>
            <w:tcBorders>
              <w:top w:val="nil"/>
              <w:left w:val="nil"/>
              <w:bottom w:val="single" w:sz="4" w:space="0" w:color="auto"/>
              <w:right w:val="nil"/>
            </w:tcBorders>
            <w:shd w:val="clear" w:color="auto" w:fill="auto"/>
            <w:noWrap/>
            <w:vAlign w:val="bottom"/>
            <w:hideMark/>
          </w:tcPr>
          <w:p w:rsidR="00A14BF8" w:rsidRPr="00B35B71" w:rsidRDefault="00A14BF8" w:rsidP="00B35B71">
            <w:pPr>
              <w:spacing w:after="0" w:line="240" w:lineRule="auto"/>
              <w:jc w:val="center"/>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0,0153</w:t>
            </w:r>
          </w:p>
        </w:tc>
      </w:tr>
      <w:tr w:rsidR="00A14BF8" w:rsidRPr="00B35B71" w:rsidTr="00A14BF8">
        <w:trPr>
          <w:trHeight w:val="555"/>
          <w:jc w:val="center"/>
        </w:trPr>
        <w:tc>
          <w:tcPr>
            <w:tcW w:w="8280" w:type="dxa"/>
            <w:gridSpan w:val="11"/>
            <w:tcBorders>
              <w:top w:val="single" w:sz="4" w:space="0" w:color="auto"/>
              <w:left w:val="nil"/>
              <w:bottom w:val="nil"/>
              <w:right w:val="nil"/>
            </w:tcBorders>
            <w:shd w:val="clear" w:color="auto" w:fill="auto"/>
            <w:vAlign w:val="center"/>
            <w:hideMark/>
          </w:tcPr>
          <w:p w:rsidR="00A14BF8" w:rsidRPr="00B35B71" w:rsidRDefault="00A14BF8" w:rsidP="00B35B71">
            <w:pPr>
              <w:spacing w:after="0" w:line="240" w:lineRule="auto"/>
              <w:jc w:val="lef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Obs: Um valor de probabilidade inferior a 0,05 aponta a rejeição da hipótese nula de ausência de autocorrelação residual ou de heteroscedasticidade residual com um nível de significância de 5%.</w:t>
            </w:r>
          </w:p>
        </w:tc>
      </w:tr>
      <w:tr w:rsidR="00A14BF8" w:rsidRPr="00B35B71" w:rsidTr="00A14BF8">
        <w:trPr>
          <w:trHeight w:val="300"/>
          <w:jc w:val="center"/>
        </w:trPr>
        <w:tc>
          <w:tcPr>
            <w:tcW w:w="8280" w:type="dxa"/>
            <w:gridSpan w:val="11"/>
            <w:tcBorders>
              <w:top w:val="nil"/>
              <w:left w:val="nil"/>
              <w:bottom w:val="nil"/>
              <w:right w:val="nil"/>
            </w:tcBorders>
            <w:shd w:val="clear" w:color="auto" w:fill="auto"/>
            <w:noWrap/>
            <w:vAlign w:val="center"/>
            <w:hideMark/>
          </w:tcPr>
          <w:p w:rsidR="00A14BF8" w:rsidRPr="00B35B71" w:rsidRDefault="00A14BF8" w:rsidP="00B35B71">
            <w:pPr>
              <w:spacing w:after="0" w:line="240" w:lineRule="auto"/>
              <w:jc w:val="left"/>
              <w:rPr>
                <w:rFonts w:ascii="Times New Roman" w:eastAsia="Times New Roman" w:hAnsi="Times New Roman" w:cs="Times New Roman"/>
                <w:color w:val="000000"/>
                <w:sz w:val="18"/>
                <w:szCs w:val="18"/>
                <w:lang w:eastAsia="pt-BR"/>
              </w:rPr>
            </w:pPr>
            <w:r w:rsidRPr="00B35B71">
              <w:rPr>
                <w:rFonts w:ascii="Times New Roman" w:eastAsia="Times New Roman" w:hAnsi="Times New Roman" w:cs="Times New Roman"/>
                <w:color w:val="000000"/>
                <w:sz w:val="18"/>
                <w:szCs w:val="18"/>
                <w:lang w:eastAsia="pt-BR"/>
              </w:rPr>
              <w:t>Fonte: elaboração própria.</w:t>
            </w:r>
          </w:p>
        </w:tc>
      </w:tr>
    </w:tbl>
    <w:p w:rsidR="00271119" w:rsidRDefault="00517FB4" w:rsidP="00B35B71">
      <w:pPr>
        <w:spacing w:after="0" w:line="240" w:lineRule="auto"/>
        <w:rPr>
          <w:rFonts w:ascii="Times New Roman" w:eastAsia="Calibri" w:hAnsi="Times New Roman" w:cs="Times New Roman"/>
          <w:szCs w:val="20"/>
        </w:rPr>
      </w:pPr>
      <w:r w:rsidRPr="00517FB4">
        <w:rPr>
          <w:rFonts w:ascii="Times New Roman" w:eastAsia="Calibri" w:hAnsi="Times New Roman" w:cs="Times New Roman"/>
          <w:szCs w:val="20"/>
        </w:rPr>
        <w:tab/>
      </w:r>
    </w:p>
    <w:p w:rsidR="00517FB4" w:rsidRPr="00517FB4" w:rsidRDefault="00517FB4" w:rsidP="00B35B71">
      <w:pPr>
        <w:spacing w:after="0" w:line="240" w:lineRule="auto"/>
        <w:ind w:firstLine="708"/>
        <w:rPr>
          <w:rFonts w:ascii="Times New Roman" w:eastAsia="Calibri" w:hAnsi="Times New Roman" w:cs="Times New Roman"/>
          <w:szCs w:val="20"/>
        </w:rPr>
      </w:pPr>
      <w:r w:rsidRPr="00517FB4">
        <w:rPr>
          <w:rFonts w:ascii="Times New Roman" w:eastAsia="Calibri" w:hAnsi="Times New Roman" w:cs="Times New Roman"/>
          <w:szCs w:val="20"/>
        </w:rPr>
        <w:t xml:space="preserve">Em primeiro lugar, observa-se que, em qualquer das defasagens analisadas, não há problema de autocorrelação residual até a 12ª ordem, considerando um nível de significância de </w:t>
      </w:r>
      <w:r w:rsidR="00666040">
        <w:rPr>
          <w:rFonts w:ascii="Times New Roman" w:eastAsia="Calibri" w:hAnsi="Times New Roman" w:cs="Times New Roman"/>
          <w:szCs w:val="20"/>
        </w:rPr>
        <w:t>5</w:t>
      </w:r>
      <w:r w:rsidRPr="00517FB4">
        <w:rPr>
          <w:rFonts w:ascii="Times New Roman" w:eastAsia="Calibri" w:hAnsi="Times New Roman" w:cs="Times New Roman"/>
          <w:szCs w:val="20"/>
        </w:rPr>
        <w:t xml:space="preserve">%. No que tange aos critérios de informação, tanto o AIC quanto o SBC apontam a estrutura de estimação com 2 defasagens como a mais adequada. Não obstante, todas as formatações com número de defasagens inferior a 5 apresentam heteroscedasticidade residual, partindo de um nível de significância de </w:t>
      </w:r>
      <w:r w:rsidR="00666040">
        <w:rPr>
          <w:rFonts w:ascii="Times New Roman" w:eastAsia="Calibri" w:hAnsi="Times New Roman" w:cs="Times New Roman"/>
          <w:szCs w:val="20"/>
        </w:rPr>
        <w:t>5</w:t>
      </w:r>
      <w:r w:rsidRPr="00517FB4">
        <w:rPr>
          <w:rFonts w:ascii="Times New Roman" w:eastAsia="Calibri" w:hAnsi="Times New Roman" w:cs="Times New Roman"/>
          <w:szCs w:val="20"/>
        </w:rPr>
        <w:t xml:space="preserve">%. Isso é corrigido a partir da estimação de um VEC (5), o qual supera o de ordem 6 segundo os critérios de AIC e SBC, bem como apresenta resíduos que se aproximam de um ruído branco, considerando um grau de confiança de </w:t>
      </w:r>
      <w:r w:rsidRPr="00517FB4">
        <w:rPr>
          <w:rFonts w:ascii="Times New Roman" w:eastAsia="Calibri" w:hAnsi="Times New Roman" w:cs="Times New Roman"/>
          <w:szCs w:val="20"/>
        </w:rPr>
        <w:lastRenderedPageBreak/>
        <w:t>9</w:t>
      </w:r>
      <w:r w:rsidR="00666040">
        <w:rPr>
          <w:rFonts w:ascii="Times New Roman" w:eastAsia="Calibri" w:hAnsi="Times New Roman" w:cs="Times New Roman"/>
          <w:szCs w:val="20"/>
        </w:rPr>
        <w:t>5</w:t>
      </w:r>
      <w:r w:rsidRPr="00517FB4">
        <w:rPr>
          <w:rFonts w:ascii="Times New Roman" w:eastAsia="Calibri" w:hAnsi="Times New Roman" w:cs="Times New Roman"/>
          <w:szCs w:val="20"/>
        </w:rPr>
        <w:t xml:space="preserve">%. Dito isso, realiza-se o teste de Johansen, </w:t>
      </w:r>
      <w:r w:rsidR="00BA57B5">
        <w:rPr>
          <w:rFonts w:ascii="Times New Roman" w:eastAsia="Calibri" w:hAnsi="Times New Roman" w:cs="Times New Roman"/>
          <w:szCs w:val="20"/>
        </w:rPr>
        <w:t xml:space="preserve">conforme </w:t>
      </w:r>
      <w:r w:rsidR="00BA57B5" w:rsidRPr="00BA57B5">
        <w:rPr>
          <w:rFonts w:ascii="Times New Roman" w:eastAsia="Calibri" w:hAnsi="Times New Roman" w:cs="Times New Roman"/>
          <w:szCs w:val="20"/>
        </w:rPr>
        <w:t>Johansen e Juselius (1990)</w:t>
      </w:r>
      <w:r w:rsidRPr="00517FB4">
        <w:rPr>
          <w:rFonts w:ascii="Times New Roman" w:eastAsia="Calibri" w:hAnsi="Times New Roman" w:cs="Times New Roman"/>
          <w:szCs w:val="20"/>
        </w:rPr>
        <w:t>, com o objetivo de delimitar a existência e o número de equações cointegradas.</w:t>
      </w:r>
    </w:p>
    <w:p w:rsidR="003013C8" w:rsidRDefault="003013C8" w:rsidP="00B35B71">
      <w:pPr>
        <w:spacing w:after="0" w:line="240" w:lineRule="auto"/>
        <w:rPr>
          <w:rFonts w:ascii="Times New Roman" w:eastAsia="Calibri" w:hAnsi="Times New Roman" w:cs="Times New Roman"/>
          <w:sz w:val="20"/>
          <w:szCs w:val="20"/>
        </w:rPr>
      </w:pPr>
    </w:p>
    <w:p w:rsidR="00B35B71" w:rsidRDefault="00B35B71" w:rsidP="00B35B71">
      <w:pPr>
        <w:spacing w:after="0" w:line="240" w:lineRule="auto"/>
        <w:jc w:val="center"/>
        <w:rPr>
          <w:rFonts w:ascii="Times New Roman" w:eastAsia="Calibri" w:hAnsi="Times New Roman" w:cs="Times New Roman"/>
          <w:sz w:val="22"/>
        </w:rPr>
      </w:pPr>
    </w:p>
    <w:p w:rsidR="00517FB4" w:rsidRPr="003013C8" w:rsidRDefault="00517FB4" w:rsidP="00B35B71">
      <w:pPr>
        <w:spacing w:after="0" w:line="240" w:lineRule="auto"/>
        <w:jc w:val="center"/>
        <w:rPr>
          <w:rFonts w:ascii="Times New Roman" w:eastAsia="Calibri" w:hAnsi="Times New Roman" w:cs="Times New Roman"/>
          <w:sz w:val="22"/>
        </w:rPr>
      </w:pPr>
      <w:r w:rsidRPr="003013C8">
        <w:rPr>
          <w:rFonts w:ascii="Times New Roman" w:eastAsia="Calibri" w:hAnsi="Times New Roman" w:cs="Times New Roman"/>
          <w:sz w:val="22"/>
        </w:rPr>
        <w:t>Tabela 0</w:t>
      </w:r>
      <w:r w:rsidR="00BB02B2" w:rsidRPr="003013C8">
        <w:rPr>
          <w:rFonts w:ascii="Times New Roman" w:eastAsia="Calibri" w:hAnsi="Times New Roman" w:cs="Times New Roman"/>
          <w:sz w:val="22"/>
        </w:rPr>
        <w:t>5</w:t>
      </w:r>
      <w:r w:rsidRPr="003013C8">
        <w:rPr>
          <w:rFonts w:ascii="Times New Roman" w:eastAsia="Calibri" w:hAnsi="Times New Roman" w:cs="Times New Roman"/>
          <w:sz w:val="22"/>
        </w:rPr>
        <w:t xml:space="preserve"> – Teste de cointegração de Joahasen para um VEC (5)</w:t>
      </w:r>
      <w:r w:rsidRPr="003013C8">
        <w:rPr>
          <w:rFonts w:ascii="Times New Roman" w:eastAsia="Calibri" w:hAnsi="Times New Roman" w:cs="Times New Roman"/>
          <w:sz w:val="22"/>
        </w:rPr>
        <w:fldChar w:fldCharType="begin"/>
      </w:r>
      <w:r w:rsidRPr="003013C8">
        <w:rPr>
          <w:rFonts w:ascii="Times New Roman" w:eastAsia="Calibri" w:hAnsi="Times New Roman" w:cs="Times New Roman"/>
          <w:sz w:val="22"/>
        </w:rPr>
        <w:instrText xml:space="preserve"> LINK Excel.Sheet.8 "F:\\Modelo Final3\\Dados Finais_SAE.xls" "Plan1!L2C2:L11C6" \a \f 4 \h  \* MERGEFORMAT </w:instrText>
      </w:r>
      <w:r w:rsidRPr="003013C8">
        <w:rPr>
          <w:rFonts w:ascii="Times New Roman" w:eastAsia="Calibri" w:hAnsi="Times New Roman" w:cs="Times New Roman"/>
          <w:sz w:val="22"/>
        </w:rPr>
        <w:fldChar w:fldCharType="separate"/>
      </w:r>
    </w:p>
    <w:tbl>
      <w:tblPr>
        <w:tblW w:w="5812" w:type="dxa"/>
        <w:jc w:val="center"/>
        <w:tblLayout w:type="fixed"/>
        <w:tblCellMar>
          <w:left w:w="70" w:type="dxa"/>
          <w:right w:w="70" w:type="dxa"/>
        </w:tblCellMar>
        <w:tblLook w:val="04A0" w:firstRow="1" w:lastRow="0" w:firstColumn="1" w:lastColumn="0" w:noHBand="0" w:noVBand="1"/>
      </w:tblPr>
      <w:tblGrid>
        <w:gridCol w:w="1348"/>
        <w:gridCol w:w="1204"/>
        <w:gridCol w:w="1134"/>
        <w:gridCol w:w="1134"/>
        <w:gridCol w:w="992"/>
      </w:tblGrid>
      <w:tr w:rsidR="00517FB4" w:rsidRPr="003013C8" w:rsidTr="00666040">
        <w:trPr>
          <w:trHeight w:val="780"/>
          <w:jc w:val="center"/>
        </w:trPr>
        <w:tc>
          <w:tcPr>
            <w:tcW w:w="1348" w:type="dxa"/>
            <w:tcBorders>
              <w:top w:val="single" w:sz="4" w:space="0" w:color="auto"/>
              <w:left w:val="nil"/>
              <w:bottom w:val="single" w:sz="4" w:space="0" w:color="auto"/>
              <w:right w:val="nil"/>
            </w:tcBorders>
            <w:shd w:val="clear" w:color="auto" w:fill="auto"/>
            <w:vAlign w:val="center"/>
            <w:hideMark/>
          </w:tcPr>
          <w:p w:rsidR="00517FB4" w:rsidRPr="00847437"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847437">
              <w:rPr>
                <w:rFonts w:ascii="Times New Roman" w:eastAsia="Times New Roman" w:hAnsi="Times New Roman" w:cs="Times New Roman"/>
                <w:color w:val="000000"/>
                <w:sz w:val="20"/>
                <w:szCs w:val="20"/>
                <w:lang w:eastAsia="pt-BR"/>
              </w:rPr>
              <w:t>Nº de eq. Cointegradas</w:t>
            </w:r>
          </w:p>
        </w:tc>
        <w:tc>
          <w:tcPr>
            <w:tcW w:w="1204" w:type="dxa"/>
            <w:tcBorders>
              <w:top w:val="single" w:sz="4" w:space="0" w:color="auto"/>
              <w:left w:val="nil"/>
              <w:bottom w:val="single" w:sz="4" w:space="0" w:color="auto"/>
              <w:right w:val="nil"/>
            </w:tcBorders>
            <w:shd w:val="clear" w:color="auto" w:fill="auto"/>
            <w:vAlign w:val="center"/>
            <w:hideMark/>
          </w:tcPr>
          <w:p w:rsidR="00517FB4" w:rsidRPr="00847437"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847437">
              <w:rPr>
                <w:rFonts w:ascii="Times New Roman" w:eastAsia="Times New Roman" w:hAnsi="Times New Roman" w:cs="Times New Roman"/>
                <w:color w:val="000000"/>
                <w:sz w:val="20"/>
                <w:szCs w:val="20"/>
                <w:lang w:eastAsia="pt-BR"/>
              </w:rPr>
              <w:t>Estatística Traço</w:t>
            </w:r>
          </w:p>
        </w:tc>
        <w:tc>
          <w:tcPr>
            <w:tcW w:w="1134" w:type="dxa"/>
            <w:tcBorders>
              <w:top w:val="single" w:sz="4" w:space="0" w:color="auto"/>
              <w:left w:val="nil"/>
              <w:bottom w:val="single" w:sz="4" w:space="0" w:color="auto"/>
              <w:right w:val="nil"/>
            </w:tcBorders>
            <w:shd w:val="clear" w:color="auto" w:fill="auto"/>
            <w:vAlign w:val="center"/>
            <w:hideMark/>
          </w:tcPr>
          <w:p w:rsidR="00517FB4" w:rsidRPr="00847437"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847437">
              <w:rPr>
                <w:rFonts w:ascii="Times New Roman" w:eastAsia="Times New Roman" w:hAnsi="Times New Roman" w:cs="Times New Roman"/>
                <w:color w:val="000000"/>
                <w:sz w:val="20"/>
                <w:szCs w:val="20"/>
                <w:lang w:eastAsia="pt-BR"/>
              </w:rPr>
              <w:t>VC - 5%</w:t>
            </w:r>
          </w:p>
        </w:tc>
        <w:tc>
          <w:tcPr>
            <w:tcW w:w="1134" w:type="dxa"/>
            <w:tcBorders>
              <w:top w:val="single" w:sz="4" w:space="0" w:color="auto"/>
              <w:left w:val="nil"/>
              <w:bottom w:val="single" w:sz="4" w:space="0" w:color="auto"/>
              <w:right w:val="nil"/>
            </w:tcBorders>
            <w:shd w:val="clear" w:color="auto" w:fill="auto"/>
            <w:vAlign w:val="center"/>
            <w:hideMark/>
          </w:tcPr>
          <w:p w:rsidR="00517FB4" w:rsidRPr="00847437"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847437">
              <w:rPr>
                <w:rFonts w:ascii="Times New Roman" w:eastAsia="Times New Roman" w:hAnsi="Times New Roman" w:cs="Times New Roman"/>
                <w:color w:val="000000"/>
                <w:sz w:val="20"/>
                <w:szCs w:val="20"/>
                <w:lang w:eastAsia="pt-BR"/>
              </w:rPr>
              <w:t>Estatística Máximo-Autovalor</w:t>
            </w:r>
          </w:p>
        </w:tc>
        <w:tc>
          <w:tcPr>
            <w:tcW w:w="992" w:type="dxa"/>
            <w:tcBorders>
              <w:top w:val="single" w:sz="4" w:space="0" w:color="auto"/>
              <w:left w:val="nil"/>
              <w:bottom w:val="single" w:sz="4" w:space="0" w:color="auto"/>
              <w:right w:val="nil"/>
            </w:tcBorders>
            <w:shd w:val="clear" w:color="auto" w:fill="auto"/>
            <w:vAlign w:val="center"/>
            <w:hideMark/>
          </w:tcPr>
          <w:p w:rsidR="00517FB4" w:rsidRPr="00847437"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847437">
              <w:rPr>
                <w:rFonts w:ascii="Times New Roman" w:eastAsia="Times New Roman" w:hAnsi="Times New Roman" w:cs="Times New Roman"/>
                <w:color w:val="000000"/>
                <w:sz w:val="20"/>
                <w:szCs w:val="20"/>
                <w:lang w:eastAsia="pt-BR"/>
              </w:rPr>
              <w:t>VC - 5%</w:t>
            </w:r>
          </w:p>
        </w:tc>
      </w:tr>
      <w:tr w:rsidR="00847437" w:rsidRPr="003013C8" w:rsidTr="00847437">
        <w:trPr>
          <w:trHeight w:val="300"/>
          <w:jc w:val="center"/>
        </w:trPr>
        <w:tc>
          <w:tcPr>
            <w:tcW w:w="1348" w:type="dxa"/>
            <w:tcBorders>
              <w:top w:val="nil"/>
              <w:left w:val="nil"/>
              <w:bottom w:val="nil"/>
              <w:right w:val="nil"/>
            </w:tcBorders>
            <w:shd w:val="clear" w:color="auto" w:fill="auto"/>
            <w:noWrap/>
            <w:vAlign w:val="center"/>
            <w:hideMark/>
          </w:tcPr>
          <w:p w:rsidR="00847437" w:rsidRPr="00847437" w:rsidRDefault="00847437" w:rsidP="00B35B71">
            <w:pPr>
              <w:spacing w:after="0" w:line="240" w:lineRule="auto"/>
              <w:jc w:val="center"/>
              <w:rPr>
                <w:rFonts w:ascii="Times New Roman" w:eastAsia="Times New Roman" w:hAnsi="Times New Roman" w:cs="Times New Roman"/>
                <w:color w:val="000000"/>
                <w:sz w:val="20"/>
                <w:szCs w:val="20"/>
                <w:lang w:eastAsia="pt-BR"/>
              </w:rPr>
            </w:pPr>
            <w:r w:rsidRPr="00847437">
              <w:rPr>
                <w:rFonts w:ascii="Times New Roman" w:eastAsia="Times New Roman" w:hAnsi="Times New Roman" w:cs="Times New Roman"/>
                <w:color w:val="000000"/>
                <w:sz w:val="20"/>
                <w:szCs w:val="20"/>
                <w:lang w:eastAsia="pt-BR"/>
              </w:rPr>
              <w:t>Nenhuma</w:t>
            </w:r>
          </w:p>
        </w:tc>
        <w:tc>
          <w:tcPr>
            <w:tcW w:w="1204" w:type="dxa"/>
            <w:tcBorders>
              <w:top w:val="nil"/>
              <w:left w:val="nil"/>
              <w:bottom w:val="nil"/>
              <w:right w:val="nil"/>
            </w:tcBorders>
            <w:shd w:val="clear" w:color="auto" w:fill="auto"/>
            <w:noWrap/>
            <w:vAlign w:val="bottom"/>
            <w:hideMark/>
          </w:tcPr>
          <w:p w:rsidR="00847437" w:rsidRPr="00847437" w:rsidRDefault="00847437" w:rsidP="00B35B71">
            <w:pPr>
              <w:spacing w:after="0" w:line="240" w:lineRule="auto"/>
              <w:jc w:val="right"/>
              <w:rPr>
                <w:rFonts w:ascii="Times New Roman" w:hAnsi="Times New Roman" w:cs="Times New Roman"/>
                <w:color w:val="000000"/>
                <w:sz w:val="20"/>
                <w:szCs w:val="20"/>
              </w:rPr>
            </w:pPr>
            <w:r w:rsidRPr="00847437">
              <w:rPr>
                <w:rFonts w:ascii="Times New Roman" w:hAnsi="Times New Roman" w:cs="Times New Roman"/>
                <w:color w:val="000000"/>
                <w:sz w:val="20"/>
                <w:szCs w:val="20"/>
              </w:rPr>
              <w:t>124,681</w:t>
            </w:r>
          </w:p>
        </w:tc>
        <w:tc>
          <w:tcPr>
            <w:tcW w:w="1134" w:type="dxa"/>
            <w:tcBorders>
              <w:top w:val="nil"/>
              <w:left w:val="nil"/>
              <w:bottom w:val="nil"/>
              <w:right w:val="nil"/>
            </w:tcBorders>
            <w:shd w:val="clear" w:color="auto" w:fill="auto"/>
            <w:noWrap/>
            <w:vAlign w:val="bottom"/>
            <w:hideMark/>
          </w:tcPr>
          <w:p w:rsidR="00847437" w:rsidRPr="00847437" w:rsidRDefault="00847437" w:rsidP="00B35B71">
            <w:pPr>
              <w:spacing w:after="0" w:line="240" w:lineRule="auto"/>
              <w:jc w:val="right"/>
              <w:rPr>
                <w:rFonts w:ascii="Times New Roman" w:hAnsi="Times New Roman" w:cs="Times New Roman"/>
                <w:color w:val="000000"/>
                <w:sz w:val="20"/>
                <w:szCs w:val="20"/>
              </w:rPr>
            </w:pPr>
            <w:r w:rsidRPr="00847437">
              <w:rPr>
                <w:rFonts w:ascii="Times New Roman" w:hAnsi="Times New Roman" w:cs="Times New Roman"/>
                <w:color w:val="000000"/>
                <w:sz w:val="20"/>
                <w:szCs w:val="20"/>
              </w:rPr>
              <w:t>117,708</w:t>
            </w:r>
          </w:p>
        </w:tc>
        <w:tc>
          <w:tcPr>
            <w:tcW w:w="1134" w:type="dxa"/>
            <w:tcBorders>
              <w:top w:val="nil"/>
              <w:left w:val="nil"/>
              <w:bottom w:val="nil"/>
              <w:right w:val="nil"/>
            </w:tcBorders>
            <w:shd w:val="clear" w:color="auto" w:fill="auto"/>
            <w:noWrap/>
            <w:vAlign w:val="bottom"/>
          </w:tcPr>
          <w:p w:rsidR="00847437" w:rsidRPr="00847437" w:rsidRDefault="00847437" w:rsidP="00B35B71">
            <w:pPr>
              <w:spacing w:after="0" w:line="240" w:lineRule="auto"/>
              <w:jc w:val="right"/>
              <w:rPr>
                <w:rFonts w:ascii="Times New Roman" w:hAnsi="Times New Roman" w:cs="Times New Roman"/>
                <w:color w:val="000000"/>
                <w:sz w:val="20"/>
                <w:szCs w:val="20"/>
              </w:rPr>
            </w:pPr>
            <w:r w:rsidRPr="00847437">
              <w:rPr>
                <w:rFonts w:ascii="Times New Roman" w:hAnsi="Times New Roman" w:cs="Times New Roman"/>
                <w:color w:val="000000"/>
                <w:sz w:val="20"/>
                <w:szCs w:val="20"/>
              </w:rPr>
              <w:t>49,496</w:t>
            </w:r>
          </w:p>
        </w:tc>
        <w:tc>
          <w:tcPr>
            <w:tcW w:w="992" w:type="dxa"/>
            <w:tcBorders>
              <w:top w:val="nil"/>
              <w:left w:val="nil"/>
              <w:bottom w:val="nil"/>
              <w:right w:val="nil"/>
            </w:tcBorders>
            <w:shd w:val="clear" w:color="auto" w:fill="auto"/>
            <w:noWrap/>
            <w:vAlign w:val="bottom"/>
          </w:tcPr>
          <w:p w:rsidR="00847437" w:rsidRPr="00847437" w:rsidRDefault="00847437" w:rsidP="00B35B71">
            <w:pPr>
              <w:spacing w:after="0" w:line="240" w:lineRule="auto"/>
              <w:jc w:val="right"/>
              <w:rPr>
                <w:rFonts w:ascii="Times New Roman" w:hAnsi="Times New Roman" w:cs="Times New Roman"/>
                <w:color w:val="000000"/>
                <w:sz w:val="20"/>
                <w:szCs w:val="20"/>
              </w:rPr>
            </w:pPr>
            <w:r w:rsidRPr="00847437">
              <w:rPr>
                <w:rFonts w:ascii="Times New Roman" w:hAnsi="Times New Roman" w:cs="Times New Roman"/>
                <w:color w:val="000000"/>
                <w:sz w:val="20"/>
                <w:szCs w:val="20"/>
              </w:rPr>
              <w:t>44,497</w:t>
            </w:r>
          </w:p>
        </w:tc>
      </w:tr>
      <w:tr w:rsidR="00847437" w:rsidRPr="003013C8" w:rsidTr="00847437">
        <w:trPr>
          <w:trHeight w:val="300"/>
          <w:jc w:val="center"/>
        </w:trPr>
        <w:tc>
          <w:tcPr>
            <w:tcW w:w="1348" w:type="dxa"/>
            <w:tcBorders>
              <w:top w:val="nil"/>
              <w:left w:val="nil"/>
              <w:bottom w:val="nil"/>
              <w:right w:val="nil"/>
            </w:tcBorders>
            <w:shd w:val="clear" w:color="auto" w:fill="auto"/>
            <w:noWrap/>
            <w:vAlign w:val="center"/>
            <w:hideMark/>
          </w:tcPr>
          <w:p w:rsidR="00847437" w:rsidRPr="00847437" w:rsidRDefault="00847437" w:rsidP="00B35B71">
            <w:pPr>
              <w:spacing w:after="0" w:line="240" w:lineRule="auto"/>
              <w:jc w:val="center"/>
              <w:rPr>
                <w:rFonts w:ascii="Times New Roman" w:eastAsia="Times New Roman" w:hAnsi="Times New Roman" w:cs="Times New Roman"/>
                <w:color w:val="000000"/>
                <w:sz w:val="20"/>
                <w:szCs w:val="20"/>
                <w:lang w:eastAsia="pt-BR"/>
              </w:rPr>
            </w:pPr>
            <w:r w:rsidRPr="00847437">
              <w:rPr>
                <w:rFonts w:ascii="Times New Roman" w:eastAsia="Times New Roman" w:hAnsi="Times New Roman" w:cs="Times New Roman"/>
                <w:color w:val="000000"/>
                <w:sz w:val="20"/>
                <w:szCs w:val="20"/>
                <w:lang w:eastAsia="pt-BR"/>
              </w:rPr>
              <w:t>Até 1</w:t>
            </w:r>
          </w:p>
        </w:tc>
        <w:tc>
          <w:tcPr>
            <w:tcW w:w="1204" w:type="dxa"/>
            <w:tcBorders>
              <w:top w:val="nil"/>
              <w:left w:val="nil"/>
              <w:bottom w:val="nil"/>
              <w:right w:val="nil"/>
            </w:tcBorders>
            <w:shd w:val="clear" w:color="auto" w:fill="auto"/>
            <w:noWrap/>
            <w:vAlign w:val="bottom"/>
            <w:hideMark/>
          </w:tcPr>
          <w:p w:rsidR="00847437" w:rsidRPr="00847437" w:rsidRDefault="00847437" w:rsidP="00B35B71">
            <w:pPr>
              <w:spacing w:after="0" w:line="240" w:lineRule="auto"/>
              <w:jc w:val="right"/>
              <w:rPr>
                <w:rFonts w:ascii="Times New Roman" w:hAnsi="Times New Roman" w:cs="Times New Roman"/>
                <w:color w:val="000000"/>
                <w:sz w:val="20"/>
                <w:szCs w:val="20"/>
              </w:rPr>
            </w:pPr>
            <w:r w:rsidRPr="00847437">
              <w:rPr>
                <w:rFonts w:ascii="Times New Roman" w:hAnsi="Times New Roman" w:cs="Times New Roman"/>
                <w:color w:val="000000"/>
                <w:sz w:val="20"/>
                <w:szCs w:val="20"/>
              </w:rPr>
              <w:t>75,186</w:t>
            </w:r>
          </w:p>
        </w:tc>
        <w:tc>
          <w:tcPr>
            <w:tcW w:w="1134" w:type="dxa"/>
            <w:tcBorders>
              <w:top w:val="nil"/>
              <w:left w:val="nil"/>
              <w:bottom w:val="nil"/>
              <w:right w:val="nil"/>
            </w:tcBorders>
            <w:shd w:val="clear" w:color="auto" w:fill="auto"/>
            <w:noWrap/>
            <w:vAlign w:val="bottom"/>
            <w:hideMark/>
          </w:tcPr>
          <w:p w:rsidR="00847437" w:rsidRPr="00847437" w:rsidRDefault="00847437" w:rsidP="00B35B71">
            <w:pPr>
              <w:spacing w:after="0" w:line="240" w:lineRule="auto"/>
              <w:jc w:val="right"/>
              <w:rPr>
                <w:rFonts w:ascii="Times New Roman" w:hAnsi="Times New Roman" w:cs="Times New Roman"/>
                <w:color w:val="000000"/>
                <w:sz w:val="20"/>
                <w:szCs w:val="20"/>
              </w:rPr>
            </w:pPr>
            <w:r w:rsidRPr="00847437">
              <w:rPr>
                <w:rFonts w:ascii="Times New Roman" w:hAnsi="Times New Roman" w:cs="Times New Roman"/>
                <w:color w:val="000000"/>
                <w:sz w:val="20"/>
                <w:szCs w:val="20"/>
              </w:rPr>
              <w:t>88,804</w:t>
            </w:r>
          </w:p>
        </w:tc>
        <w:tc>
          <w:tcPr>
            <w:tcW w:w="1134" w:type="dxa"/>
            <w:tcBorders>
              <w:top w:val="nil"/>
              <w:left w:val="nil"/>
              <w:bottom w:val="nil"/>
              <w:right w:val="nil"/>
            </w:tcBorders>
            <w:shd w:val="clear" w:color="auto" w:fill="auto"/>
            <w:noWrap/>
            <w:vAlign w:val="bottom"/>
          </w:tcPr>
          <w:p w:rsidR="00847437" w:rsidRPr="00847437" w:rsidRDefault="00847437" w:rsidP="00B35B71">
            <w:pPr>
              <w:spacing w:after="0" w:line="240" w:lineRule="auto"/>
              <w:jc w:val="right"/>
              <w:rPr>
                <w:rFonts w:ascii="Times New Roman" w:hAnsi="Times New Roman" w:cs="Times New Roman"/>
                <w:color w:val="000000"/>
                <w:sz w:val="20"/>
                <w:szCs w:val="20"/>
              </w:rPr>
            </w:pPr>
            <w:r w:rsidRPr="00847437">
              <w:rPr>
                <w:rFonts w:ascii="Times New Roman" w:hAnsi="Times New Roman" w:cs="Times New Roman"/>
                <w:color w:val="000000"/>
                <w:sz w:val="20"/>
                <w:szCs w:val="20"/>
              </w:rPr>
              <w:t>25,505</w:t>
            </w:r>
          </w:p>
        </w:tc>
        <w:tc>
          <w:tcPr>
            <w:tcW w:w="992" w:type="dxa"/>
            <w:tcBorders>
              <w:top w:val="nil"/>
              <w:left w:val="nil"/>
              <w:bottom w:val="nil"/>
              <w:right w:val="nil"/>
            </w:tcBorders>
            <w:shd w:val="clear" w:color="auto" w:fill="auto"/>
            <w:noWrap/>
            <w:vAlign w:val="bottom"/>
          </w:tcPr>
          <w:p w:rsidR="00847437" w:rsidRPr="00847437" w:rsidRDefault="00847437" w:rsidP="00B35B71">
            <w:pPr>
              <w:spacing w:after="0" w:line="240" w:lineRule="auto"/>
              <w:jc w:val="right"/>
              <w:rPr>
                <w:rFonts w:ascii="Times New Roman" w:hAnsi="Times New Roman" w:cs="Times New Roman"/>
                <w:color w:val="000000"/>
                <w:sz w:val="20"/>
                <w:szCs w:val="20"/>
              </w:rPr>
            </w:pPr>
            <w:r w:rsidRPr="00847437">
              <w:rPr>
                <w:rFonts w:ascii="Times New Roman" w:hAnsi="Times New Roman" w:cs="Times New Roman"/>
                <w:color w:val="000000"/>
                <w:sz w:val="20"/>
                <w:szCs w:val="20"/>
              </w:rPr>
              <w:t>38,331</w:t>
            </w:r>
          </w:p>
        </w:tc>
      </w:tr>
      <w:tr w:rsidR="00847437" w:rsidRPr="003013C8" w:rsidTr="00847437">
        <w:trPr>
          <w:trHeight w:val="300"/>
          <w:jc w:val="center"/>
        </w:trPr>
        <w:tc>
          <w:tcPr>
            <w:tcW w:w="1348" w:type="dxa"/>
            <w:tcBorders>
              <w:top w:val="nil"/>
              <w:left w:val="nil"/>
              <w:right w:val="nil"/>
            </w:tcBorders>
            <w:shd w:val="clear" w:color="auto" w:fill="auto"/>
            <w:noWrap/>
            <w:vAlign w:val="center"/>
            <w:hideMark/>
          </w:tcPr>
          <w:p w:rsidR="00847437" w:rsidRPr="00847437" w:rsidRDefault="00847437" w:rsidP="00B35B71">
            <w:pPr>
              <w:spacing w:after="0" w:line="240" w:lineRule="auto"/>
              <w:jc w:val="center"/>
              <w:rPr>
                <w:rFonts w:ascii="Times New Roman" w:eastAsia="Times New Roman" w:hAnsi="Times New Roman" w:cs="Times New Roman"/>
                <w:color w:val="000000"/>
                <w:sz w:val="20"/>
                <w:szCs w:val="20"/>
                <w:lang w:eastAsia="pt-BR"/>
              </w:rPr>
            </w:pPr>
            <w:r w:rsidRPr="00847437">
              <w:rPr>
                <w:rFonts w:ascii="Times New Roman" w:eastAsia="Times New Roman" w:hAnsi="Times New Roman" w:cs="Times New Roman"/>
                <w:color w:val="000000"/>
                <w:sz w:val="20"/>
                <w:szCs w:val="20"/>
                <w:lang w:eastAsia="pt-BR"/>
              </w:rPr>
              <w:t>Até 2</w:t>
            </w:r>
          </w:p>
        </w:tc>
        <w:tc>
          <w:tcPr>
            <w:tcW w:w="1204" w:type="dxa"/>
            <w:tcBorders>
              <w:top w:val="nil"/>
              <w:left w:val="nil"/>
              <w:right w:val="nil"/>
            </w:tcBorders>
            <w:shd w:val="clear" w:color="auto" w:fill="auto"/>
            <w:noWrap/>
            <w:vAlign w:val="bottom"/>
            <w:hideMark/>
          </w:tcPr>
          <w:p w:rsidR="00847437" w:rsidRPr="00847437" w:rsidRDefault="00847437" w:rsidP="00B35B71">
            <w:pPr>
              <w:spacing w:after="0" w:line="240" w:lineRule="auto"/>
              <w:jc w:val="right"/>
              <w:rPr>
                <w:rFonts w:ascii="Times New Roman" w:hAnsi="Times New Roman" w:cs="Times New Roman"/>
                <w:color w:val="000000"/>
                <w:sz w:val="20"/>
                <w:szCs w:val="20"/>
              </w:rPr>
            </w:pPr>
            <w:r w:rsidRPr="00847437">
              <w:rPr>
                <w:rFonts w:ascii="Times New Roman" w:hAnsi="Times New Roman" w:cs="Times New Roman"/>
                <w:color w:val="000000"/>
                <w:sz w:val="20"/>
                <w:szCs w:val="20"/>
              </w:rPr>
              <w:t>49,681</w:t>
            </w:r>
          </w:p>
        </w:tc>
        <w:tc>
          <w:tcPr>
            <w:tcW w:w="1134" w:type="dxa"/>
            <w:tcBorders>
              <w:top w:val="nil"/>
              <w:left w:val="nil"/>
              <w:right w:val="nil"/>
            </w:tcBorders>
            <w:shd w:val="clear" w:color="auto" w:fill="auto"/>
            <w:noWrap/>
            <w:vAlign w:val="bottom"/>
            <w:hideMark/>
          </w:tcPr>
          <w:p w:rsidR="00847437" w:rsidRPr="00847437" w:rsidRDefault="00847437" w:rsidP="00B35B71">
            <w:pPr>
              <w:spacing w:after="0" w:line="240" w:lineRule="auto"/>
              <w:jc w:val="right"/>
              <w:rPr>
                <w:rFonts w:ascii="Times New Roman" w:hAnsi="Times New Roman" w:cs="Times New Roman"/>
                <w:color w:val="000000"/>
                <w:sz w:val="20"/>
                <w:szCs w:val="20"/>
              </w:rPr>
            </w:pPr>
            <w:r w:rsidRPr="00847437">
              <w:rPr>
                <w:rFonts w:ascii="Times New Roman" w:hAnsi="Times New Roman" w:cs="Times New Roman"/>
                <w:color w:val="000000"/>
                <w:sz w:val="20"/>
                <w:szCs w:val="20"/>
              </w:rPr>
              <w:t>63,876</w:t>
            </w:r>
          </w:p>
        </w:tc>
        <w:tc>
          <w:tcPr>
            <w:tcW w:w="1134" w:type="dxa"/>
            <w:tcBorders>
              <w:top w:val="nil"/>
              <w:left w:val="nil"/>
              <w:right w:val="nil"/>
            </w:tcBorders>
            <w:shd w:val="clear" w:color="auto" w:fill="auto"/>
            <w:noWrap/>
            <w:vAlign w:val="bottom"/>
          </w:tcPr>
          <w:p w:rsidR="00847437" w:rsidRPr="00847437" w:rsidRDefault="00847437" w:rsidP="00B35B71">
            <w:pPr>
              <w:spacing w:after="0" w:line="240" w:lineRule="auto"/>
              <w:jc w:val="right"/>
              <w:rPr>
                <w:rFonts w:ascii="Times New Roman" w:hAnsi="Times New Roman" w:cs="Times New Roman"/>
                <w:color w:val="000000"/>
                <w:sz w:val="20"/>
                <w:szCs w:val="20"/>
              </w:rPr>
            </w:pPr>
            <w:r w:rsidRPr="00847437">
              <w:rPr>
                <w:rFonts w:ascii="Times New Roman" w:hAnsi="Times New Roman" w:cs="Times New Roman"/>
                <w:color w:val="000000"/>
                <w:sz w:val="20"/>
                <w:szCs w:val="20"/>
              </w:rPr>
              <w:t>21,605</w:t>
            </w:r>
          </w:p>
        </w:tc>
        <w:tc>
          <w:tcPr>
            <w:tcW w:w="992" w:type="dxa"/>
            <w:tcBorders>
              <w:top w:val="nil"/>
              <w:left w:val="nil"/>
              <w:right w:val="nil"/>
            </w:tcBorders>
            <w:shd w:val="clear" w:color="auto" w:fill="auto"/>
            <w:noWrap/>
            <w:vAlign w:val="bottom"/>
          </w:tcPr>
          <w:p w:rsidR="00847437" w:rsidRPr="00847437" w:rsidRDefault="00847437" w:rsidP="00B35B71">
            <w:pPr>
              <w:spacing w:after="0" w:line="240" w:lineRule="auto"/>
              <w:jc w:val="right"/>
              <w:rPr>
                <w:rFonts w:ascii="Times New Roman" w:hAnsi="Times New Roman" w:cs="Times New Roman"/>
                <w:color w:val="000000"/>
                <w:sz w:val="20"/>
                <w:szCs w:val="20"/>
              </w:rPr>
            </w:pPr>
            <w:r w:rsidRPr="00847437">
              <w:rPr>
                <w:rFonts w:ascii="Times New Roman" w:hAnsi="Times New Roman" w:cs="Times New Roman"/>
                <w:color w:val="000000"/>
                <w:sz w:val="20"/>
                <w:szCs w:val="20"/>
              </w:rPr>
              <w:t>32,118</w:t>
            </w:r>
          </w:p>
        </w:tc>
      </w:tr>
      <w:tr w:rsidR="00517FB4" w:rsidRPr="003013C8" w:rsidTr="00517FB4">
        <w:trPr>
          <w:trHeight w:val="540"/>
          <w:jc w:val="center"/>
        </w:trPr>
        <w:tc>
          <w:tcPr>
            <w:tcW w:w="5812" w:type="dxa"/>
            <w:gridSpan w:val="5"/>
            <w:tcBorders>
              <w:top w:val="single" w:sz="4" w:space="0" w:color="auto"/>
              <w:left w:val="nil"/>
              <w:bottom w:val="nil"/>
              <w:right w:val="nil"/>
            </w:tcBorders>
            <w:shd w:val="clear" w:color="auto" w:fill="auto"/>
            <w:vAlign w:val="center"/>
            <w:hideMark/>
          </w:tcPr>
          <w:p w:rsidR="00517FB4" w:rsidRPr="00B35B71" w:rsidRDefault="00517FB4" w:rsidP="00B35B71">
            <w:pPr>
              <w:spacing w:after="0" w:line="240" w:lineRule="auto"/>
              <w:rPr>
                <w:rFonts w:ascii="Times New Roman" w:eastAsia="Times New Roman" w:hAnsi="Times New Roman" w:cs="Times New Roman"/>
                <w:color w:val="000000"/>
                <w:sz w:val="16"/>
                <w:szCs w:val="16"/>
                <w:lang w:eastAsia="pt-BR"/>
              </w:rPr>
            </w:pPr>
            <w:r w:rsidRPr="00B35B71">
              <w:rPr>
                <w:rFonts w:ascii="Times New Roman" w:eastAsia="Times New Roman" w:hAnsi="Times New Roman" w:cs="Times New Roman"/>
                <w:color w:val="000000"/>
                <w:sz w:val="16"/>
                <w:szCs w:val="16"/>
                <w:lang w:eastAsia="pt-BR"/>
              </w:rPr>
              <w:t>Obs: Quando a estatística supera o valor crítico (VC), rejeita-se a hipótese nula de ausência de cointegração.</w:t>
            </w:r>
          </w:p>
        </w:tc>
      </w:tr>
      <w:tr w:rsidR="00517FB4" w:rsidRPr="003013C8" w:rsidTr="00517FB4">
        <w:trPr>
          <w:trHeight w:val="300"/>
          <w:jc w:val="center"/>
        </w:trPr>
        <w:tc>
          <w:tcPr>
            <w:tcW w:w="5812" w:type="dxa"/>
            <w:gridSpan w:val="5"/>
            <w:tcBorders>
              <w:top w:val="nil"/>
              <w:left w:val="nil"/>
              <w:bottom w:val="nil"/>
              <w:right w:val="nil"/>
            </w:tcBorders>
            <w:shd w:val="clear" w:color="auto" w:fill="auto"/>
            <w:noWrap/>
            <w:vAlign w:val="center"/>
            <w:hideMark/>
          </w:tcPr>
          <w:p w:rsidR="00517FB4" w:rsidRPr="00B35B71" w:rsidRDefault="00517FB4" w:rsidP="00B35B71">
            <w:pPr>
              <w:spacing w:after="0" w:line="240" w:lineRule="auto"/>
              <w:jc w:val="left"/>
              <w:rPr>
                <w:rFonts w:ascii="Times New Roman" w:eastAsia="Times New Roman" w:hAnsi="Times New Roman" w:cs="Times New Roman"/>
                <w:color w:val="000000"/>
                <w:sz w:val="16"/>
                <w:szCs w:val="16"/>
                <w:lang w:eastAsia="pt-BR"/>
              </w:rPr>
            </w:pPr>
            <w:r w:rsidRPr="00B35B71">
              <w:rPr>
                <w:rFonts w:ascii="Times New Roman" w:eastAsia="Times New Roman" w:hAnsi="Times New Roman" w:cs="Times New Roman"/>
                <w:color w:val="000000"/>
                <w:sz w:val="16"/>
                <w:szCs w:val="16"/>
                <w:lang w:eastAsia="pt-BR"/>
              </w:rPr>
              <w:t>Fonte: elaboração própria</w:t>
            </w:r>
          </w:p>
        </w:tc>
      </w:tr>
    </w:tbl>
    <w:p w:rsidR="00517FB4" w:rsidRPr="00517FB4" w:rsidRDefault="00517FB4" w:rsidP="00B35B71">
      <w:pPr>
        <w:spacing w:after="0" w:line="240" w:lineRule="auto"/>
        <w:jc w:val="center"/>
        <w:rPr>
          <w:rFonts w:ascii="Times New Roman" w:eastAsia="Calibri" w:hAnsi="Times New Roman" w:cs="Times New Roman"/>
          <w:sz w:val="20"/>
          <w:szCs w:val="20"/>
        </w:rPr>
      </w:pPr>
      <w:r w:rsidRPr="003013C8">
        <w:rPr>
          <w:rFonts w:ascii="Times New Roman" w:eastAsia="Calibri" w:hAnsi="Times New Roman" w:cs="Times New Roman"/>
          <w:sz w:val="22"/>
        </w:rPr>
        <w:fldChar w:fldCharType="end"/>
      </w:r>
    </w:p>
    <w:p w:rsidR="00517FB4" w:rsidRPr="00517FB4" w:rsidRDefault="00517FB4" w:rsidP="00B35B71">
      <w:pPr>
        <w:spacing w:after="0" w:line="240" w:lineRule="auto"/>
        <w:rPr>
          <w:rFonts w:ascii="Times New Roman" w:eastAsia="Calibri" w:hAnsi="Times New Roman" w:cs="Times New Roman"/>
          <w:sz w:val="20"/>
          <w:szCs w:val="20"/>
        </w:rPr>
      </w:pPr>
      <w:r w:rsidRPr="00517FB4">
        <w:rPr>
          <w:rFonts w:ascii="Times New Roman" w:eastAsia="Calibri" w:hAnsi="Times New Roman" w:cs="Times New Roman"/>
          <w:szCs w:val="20"/>
        </w:rPr>
        <w:tab/>
        <w:t>O modelo pr</w:t>
      </w:r>
      <w:r w:rsidR="00BB02B2">
        <w:rPr>
          <w:rFonts w:ascii="Times New Roman" w:eastAsia="Calibri" w:hAnsi="Times New Roman" w:cs="Times New Roman"/>
          <w:szCs w:val="20"/>
        </w:rPr>
        <w:t xml:space="preserve">oposto apresenta </w:t>
      </w:r>
      <w:r w:rsidR="00666040">
        <w:rPr>
          <w:rFonts w:ascii="Times New Roman" w:eastAsia="Calibri" w:hAnsi="Times New Roman" w:cs="Times New Roman"/>
          <w:szCs w:val="20"/>
        </w:rPr>
        <w:t>uma equação</w:t>
      </w:r>
      <w:r w:rsidRPr="00517FB4">
        <w:rPr>
          <w:rFonts w:ascii="Times New Roman" w:eastAsia="Calibri" w:hAnsi="Times New Roman" w:cs="Times New Roman"/>
          <w:szCs w:val="20"/>
        </w:rPr>
        <w:t xml:space="preserve"> de cointegração pelo</w:t>
      </w:r>
      <w:r w:rsidR="00666040">
        <w:rPr>
          <w:rFonts w:ascii="Times New Roman" w:eastAsia="Calibri" w:hAnsi="Times New Roman" w:cs="Times New Roman"/>
          <w:szCs w:val="20"/>
        </w:rPr>
        <w:t>s</w:t>
      </w:r>
      <w:r w:rsidRPr="00517FB4">
        <w:rPr>
          <w:rFonts w:ascii="Times New Roman" w:eastAsia="Calibri" w:hAnsi="Times New Roman" w:cs="Times New Roman"/>
          <w:szCs w:val="20"/>
        </w:rPr>
        <w:t xml:space="preserve"> critério</w:t>
      </w:r>
      <w:r w:rsidR="00666040">
        <w:rPr>
          <w:rFonts w:ascii="Times New Roman" w:eastAsia="Calibri" w:hAnsi="Times New Roman" w:cs="Times New Roman"/>
          <w:szCs w:val="20"/>
        </w:rPr>
        <w:t>s</w:t>
      </w:r>
      <w:r w:rsidRPr="00517FB4">
        <w:rPr>
          <w:rFonts w:ascii="Times New Roman" w:eastAsia="Calibri" w:hAnsi="Times New Roman" w:cs="Times New Roman"/>
          <w:szCs w:val="20"/>
        </w:rPr>
        <w:t xml:space="preserve"> de traço e de máximo-autovalor, partindo-se de um grau de confiança de 95%. De acordo com Dickey, Jansen e Thornton (2007), se há relações de cointegração entre as variáveis, o sistema de equações torna-se mais estável, de modo que o sistema estimado é estacionário em um conjunto de possíveis direções. </w:t>
      </w:r>
    </w:p>
    <w:p w:rsidR="00517FB4" w:rsidRDefault="00517FB4" w:rsidP="00B35B71">
      <w:pPr>
        <w:spacing w:after="0" w:line="240" w:lineRule="auto"/>
        <w:rPr>
          <w:rFonts w:ascii="Times New Roman" w:eastAsia="Calibri" w:hAnsi="Times New Roman" w:cs="Times New Roman"/>
          <w:szCs w:val="20"/>
        </w:rPr>
      </w:pPr>
      <w:r w:rsidRPr="00517FB4">
        <w:rPr>
          <w:rFonts w:ascii="Times New Roman" w:eastAsia="Calibri" w:hAnsi="Times New Roman" w:cs="Times New Roman"/>
          <w:szCs w:val="20"/>
        </w:rPr>
        <w:tab/>
        <w:t>Dado que o modelo está especificado adequadamente, passa-se à avaliação das funções de resposta ao impulso</w:t>
      </w:r>
      <w:r w:rsidR="00F45EB3">
        <w:rPr>
          <w:rFonts w:ascii="Times New Roman" w:eastAsia="Calibri" w:hAnsi="Times New Roman" w:cs="Times New Roman"/>
          <w:szCs w:val="20"/>
        </w:rPr>
        <w:t xml:space="preserve"> e</w:t>
      </w:r>
      <w:r w:rsidRPr="00517FB4">
        <w:rPr>
          <w:rFonts w:ascii="Times New Roman" w:eastAsia="Calibri" w:hAnsi="Times New Roman" w:cs="Times New Roman"/>
          <w:szCs w:val="20"/>
        </w:rPr>
        <w:t xml:space="preserve"> do teste de Granger-causalidade. Vale recordar que a análise se organiza em torno de três pontos: i) o impacto do ciclo financeiro global sobre os dois indicadores da liberalização financeira externa da economia brasileira</w:t>
      </w:r>
      <w:r w:rsidRPr="00517FB4">
        <w:rPr>
          <w:rFonts w:ascii="Times New Roman" w:eastAsia="Calibri" w:hAnsi="Times New Roman" w:cs="Times New Roman"/>
          <w:szCs w:val="20"/>
          <w:vertAlign w:val="superscript"/>
        </w:rPr>
        <w:footnoteReference w:id="11"/>
      </w:r>
      <w:r w:rsidRPr="00517FB4">
        <w:rPr>
          <w:rFonts w:ascii="Times New Roman" w:eastAsia="Calibri" w:hAnsi="Times New Roman" w:cs="Times New Roman"/>
          <w:szCs w:val="20"/>
        </w:rPr>
        <w:t xml:space="preserve">; ii) a relação entre as duas dimensões, </w:t>
      </w:r>
      <w:r w:rsidRPr="00517FB4">
        <w:rPr>
          <w:rFonts w:ascii="Times New Roman" w:eastAsia="Calibri" w:hAnsi="Times New Roman" w:cs="Times New Roman"/>
          <w:i/>
          <w:szCs w:val="20"/>
        </w:rPr>
        <w:t>de facto</w:t>
      </w:r>
      <w:r w:rsidRPr="00517FB4">
        <w:rPr>
          <w:rFonts w:ascii="Times New Roman" w:eastAsia="Calibri" w:hAnsi="Times New Roman" w:cs="Times New Roman"/>
          <w:szCs w:val="20"/>
        </w:rPr>
        <w:t xml:space="preserve"> e </w:t>
      </w:r>
      <w:r w:rsidRPr="00517FB4">
        <w:rPr>
          <w:rFonts w:ascii="Times New Roman" w:eastAsia="Calibri" w:hAnsi="Times New Roman" w:cs="Times New Roman"/>
          <w:i/>
          <w:szCs w:val="20"/>
        </w:rPr>
        <w:t>de jure</w:t>
      </w:r>
      <w:r w:rsidRPr="00517FB4">
        <w:rPr>
          <w:rFonts w:ascii="Times New Roman" w:eastAsia="Calibri" w:hAnsi="Times New Roman" w:cs="Times New Roman"/>
          <w:szCs w:val="20"/>
        </w:rPr>
        <w:t>, do processo de liberalização; e iii) a reação das variáveis macroeconômicas, presentes no modelo, frente a um aumento no grau de abertura ou integração financeira. Para fins de organização, apenas as respostas referentes a esses eixos foram plotadas no corpo do presente trabalho. Além destas, foram plotadas também a reaç</w:t>
      </w:r>
      <w:r w:rsidR="00950601">
        <w:rPr>
          <w:rFonts w:ascii="Times New Roman" w:eastAsia="Calibri" w:hAnsi="Times New Roman" w:cs="Times New Roman"/>
          <w:szCs w:val="20"/>
        </w:rPr>
        <w:t>ão</w:t>
      </w:r>
      <w:r w:rsidRPr="00517FB4">
        <w:rPr>
          <w:rFonts w:ascii="Times New Roman" w:eastAsia="Calibri" w:hAnsi="Times New Roman" w:cs="Times New Roman"/>
          <w:szCs w:val="20"/>
        </w:rPr>
        <w:t xml:space="preserve"> do IIF a </w:t>
      </w:r>
      <w:r w:rsidR="00950601">
        <w:rPr>
          <w:rFonts w:ascii="Times New Roman" w:eastAsia="Calibri" w:hAnsi="Times New Roman" w:cs="Times New Roman"/>
          <w:szCs w:val="20"/>
        </w:rPr>
        <w:t xml:space="preserve">um </w:t>
      </w:r>
      <w:r w:rsidRPr="00517FB4">
        <w:rPr>
          <w:rFonts w:ascii="Times New Roman" w:eastAsia="Calibri" w:hAnsi="Times New Roman" w:cs="Times New Roman"/>
          <w:szCs w:val="20"/>
        </w:rPr>
        <w:t>choque no nível de atividade, d</w:t>
      </w:r>
      <w:r w:rsidR="00BB02B2">
        <w:rPr>
          <w:rFonts w:ascii="Times New Roman" w:eastAsia="Calibri" w:hAnsi="Times New Roman" w:cs="Times New Roman"/>
          <w:szCs w:val="20"/>
        </w:rPr>
        <w:t>evido à</w:t>
      </w:r>
      <w:r w:rsidRPr="00517FB4">
        <w:rPr>
          <w:rFonts w:ascii="Times New Roman" w:eastAsia="Calibri" w:hAnsi="Times New Roman" w:cs="Times New Roman"/>
          <w:szCs w:val="20"/>
        </w:rPr>
        <w:t xml:space="preserve"> relevância </w:t>
      </w:r>
      <w:r w:rsidR="00950601">
        <w:rPr>
          <w:rFonts w:ascii="Times New Roman" w:eastAsia="Calibri" w:hAnsi="Times New Roman" w:cs="Times New Roman"/>
          <w:szCs w:val="20"/>
        </w:rPr>
        <w:t>em termos</w:t>
      </w:r>
      <w:r w:rsidRPr="00517FB4">
        <w:rPr>
          <w:rFonts w:ascii="Times New Roman" w:eastAsia="Calibri" w:hAnsi="Times New Roman" w:cs="Times New Roman"/>
          <w:szCs w:val="20"/>
        </w:rPr>
        <w:t xml:space="preserve"> de causalidade de Granger. Veja os gráficos das funções de resposta ao impulso na figura abaixo:</w:t>
      </w:r>
    </w:p>
    <w:p w:rsidR="00B35B71" w:rsidRDefault="00B35B71" w:rsidP="00B35B71">
      <w:pPr>
        <w:spacing w:after="0" w:line="240" w:lineRule="auto"/>
        <w:jc w:val="center"/>
        <w:rPr>
          <w:rFonts w:ascii="Times New Roman" w:eastAsia="Calibri" w:hAnsi="Times New Roman" w:cs="Times New Roman"/>
          <w:sz w:val="22"/>
        </w:rPr>
      </w:pPr>
    </w:p>
    <w:p w:rsidR="00B35B71" w:rsidRDefault="00B35B71" w:rsidP="00B35B71">
      <w:pPr>
        <w:spacing w:after="0" w:line="240" w:lineRule="auto"/>
        <w:jc w:val="center"/>
        <w:rPr>
          <w:rFonts w:ascii="Times New Roman" w:eastAsia="Calibri" w:hAnsi="Times New Roman" w:cs="Times New Roman"/>
          <w:sz w:val="22"/>
        </w:rPr>
      </w:pPr>
    </w:p>
    <w:p w:rsidR="00B35B71" w:rsidRDefault="00B35B71" w:rsidP="00B35B71">
      <w:pPr>
        <w:spacing w:after="0" w:line="240" w:lineRule="auto"/>
        <w:jc w:val="center"/>
        <w:rPr>
          <w:rFonts w:ascii="Times New Roman" w:eastAsia="Calibri" w:hAnsi="Times New Roman" w:cs="Times New Roman"/>
          <w:sz w:val="22"/>
        </w:rPr>
      </w:pPr>
    </w:p>
    <w:p w:rsidR="00B35B71" w:rsidRDefault="00B35B71" w:rsidP="00B35B71">
      <w:pPr>
        <w:spacing w:after="0" w:line="240" w:lineRule="auto"/>
        <w:jc w:val="center"/>
        <w:rPr>
          <w:rFonts w:ascii="Times New Roman" w:eastAsia="Calibri" w:hAnsi="Times New Roman" w:cs="Times New Roman"/>
          <w:sz w:val="22"/>
        </w:rPr>
      </w:pPr>
    </w:p>
    <w:p w:rsidR="00B35B71" w:rsidRDefault="00B35B71" w:rsidP="00B35B71">
      <w:pPr>
        <w:spacing w:after="0" w:line="240" w:lineRule="auto"/>
        <w:jc w:val="center"/>
        <w:rPr>
          <w:rFonts w:ascii="Times New Roman" w:eastAsia="Calibri" w:hAnsi="Times New Roman" w:cs="Times New Roman"/>
          <w:sz w:val="22"/>
        </w:rPr>
      </w:pPr>
    </w:p>
    <w:p w:rsidR="00B35B71" w:rsidRDefault="00B35B71" w:rsidP="00B35B71">
      <w:pPr>
        <w:spacing w:after="0" w:line="240" w:lineRule="auto"/>
        <w:jc w:val="center"/>
        <w:rPr>
          <w:rFonts w:ascii="Times New Roman" w:eastAsia="Calibri" w:hAnsi="Times New Roman" w:cs="Times New Roman"/>
          <w:sz w:val="22"/>
        </w:rPr>
      </w:pPr>
    </w:p>
    <w:p w:rsidR="00B35B71" w:rsidRDefault="00B35B71" w:rsidP="00B35B71">
      <w:pPr>
        <w:spacing w:after="0" w:line="240" w:lineRule="auto"/>
        <w:jc w:val="center"/>
        <w:rPr>
          <w:rFonts w:ascii="Times New Roman" w:eastAsia="Calibri" w:hAnsi="Times New Roman" w:cs="Times New Roman"/>
          <w:sz w:val="22"/>
        </w:rPr>
      </w:pPr>
    </w:p>
    <w:p w:rsidR="00B35B71" w:rsidRDefault="00B35B71" w:rsidP="00B35B71">
      <w:pPr>
        <w:spacing w:after="0" w:line="240" w:lineRule="auto"/>
        <w:jc w:val="center"/>
        <w:rPr>
          <w:rFonts w:ascii="Times New Roman" w:eastAsia="Calibri" w:hAnsi="Times New Roman" w:cs="Times New Roman"/>
          <w:sz w:val="22"/>
        </w:rPr>
      </w:pPr>
    </w:p>
    <w:p w:rsidR="00B35B71" w:rsidRDefault="00B35B71" w:rsidP="00B35B71">
      <w:pPr>
        <w:spacing w:after="0" w:line="240" w:lineRule="auto"/>
        <w:jc w:val="center"/>
        <w:rPr>
          <w:rFonts w:ascii="Times New Roman" w:eastAsia="Calibri" w:hAnsi="Times New Roman" w:cs="Times New Roman"/>
          <w:sz w:val="22"/>
        </w:rPr>
      </w:pPr>
    </w:p>
    <w:p w:rsidR="00B35B71" w:rsidRDefault="00B35B71" w:rsidP="00B35B71">
      <w:pPr>
        <w:spacing w:after="0" w:line="240" w:lineRule="auto"/>
        <w:jc w:val="center"/>
        <w:rPr>
          <w:rFonts w:ascii="Times New Roman" w:eastAsia="Calibri" w:hAnsi="Times New Roman" w:cs="Times New Roman"/>
          <w:sz w:val="22"/>
        </w:rPr>
      </w:pPr>
    </w:p>
    <w:p w:rsidR="00B35B71" w:rsidRDefault="00B35B71" w:rsidP="00B35B71">
      <w:pPr>
        <w:spacing w:after="0" w:line="240" w:lineRule="auto"/>
        <w:jc w:val="center"/>
        <w:rPr>
          <w:rFonts w:ascii="Times New Roman" w:eastAsia="Calibri" w:hAnsi="Times New Roman" w:cs="Times New Roman"/>
          <w:sz w:val="22"/>
        </w:rPr>
      </w:pPr>
    </w:p>
    <w:p w:rsidR="00B35B71" w:rsidRDefault="00B35B71" w:rsidP="00B35B71">
      <w:pPr>
        <w:spacing w:after="0" w:line="240" w:lineRule="auto"/>
        <w:jc w:val="center"/>
        <w:rPr>
          <w:rFonts w:ascii="Times New Roman" w:eastAsia="Calibri" w:hAnsi="Times New Roman" w:cs="Times New Roman"/>
          <w:sz w:val="22"/>
        </w:rPr>
      </w:pPr>
    </w:p>
    <w:p w:rsidR="00517FB4" w:rsidRPr="003013C8" w:rsidRDefault="00517FB4" w:rsidP="00B35B71">
      <w:pPr>
        <w:spacing w:after="0" w:line="240" w:lineRule="auto"/>
        <w:jc w:val="center"/>
        <w:rPr>
          <w:rFonts w:ascii="Times New Roman" w:eastAsia="Calibri" w:hAnsi="Times New Roman" w:cs="Times New Roman"/>
          <w:sz w:val="22"/>
        </w:rPr>
      </w:pPr>
      <w:r w:rsidRPr="003013C8">
        <w:rPr>
          <w:rFonts w:ascii="Times New Roman" w:eastAsia="Calibri" w:hAnsi="Times New Roman" w:cs="Times New Roman"/>
          <w:sz w:val="22"/>
        </w:rPr>
        <w:lastRenderedPageBreak/>
        <w:t xml:space="preserve">Gráfico </w:t>
      </w:r>
      <w:r w:rsidR="00BB02B2" w:rsidRPr="003013C8">
        <w:rPr>
          <w:rFonts w:ascii="Times New Roman" w:eastAsia="Calibri" w:hAnsi="Times New Roman" w:cs="Times New Roman"/>
          <w:sz w:val="22"/>
        </w:rPr>
        <w:t>0</w:t>
      </w:r>
      <w:r w:rsidR="002022A3">
        <w:rPr>
          <w:rFonts w:ascii="Times New Roman" w:eastAsia="Calibri" w:hAnsi="Times New Roman" w:cs="Times New Roman"/>
          <w:sz w:val="22"/>
        </w:rPr>
        <w:t>3</w:t>
      </w:r>
      <w:r w:rsidRPr="003013C8">
        <w:rPr>
          <w:rFonts w:ascii="Times New Roman" w:eastAsia="Calibri" w:hAnsi="Times New Roman" w:cs="Times New Roman"/>
          <w:sz w:val="22"/>
        </w:rPr>
        <w:t xml:space="preserve"> – Funções de resposta ao impulso estimadas a partir do modelo VEC (5)</w:t>
      </w:r>
      <w:r w:rsidRPr="003013C8">
        <w:rPr>
          <w:rFonts w:ascii="Times New Roman" w:eastAsia="Calibri" w:hAnsi="Times New Roman" w:cs="Times New Roman"/>
          <w:sz w:val="22"/>
          <w:vertAlign w:val="superscript"/>
        </w:rPr>
        <w:footnoteReference w:id="12"/>
      </w:r>
    </w:p>
    <w:p w:rsidR="00517FB4" w:rsidRPr="00517FB4" w:rsidRDefault="002C3671" w:rsidP="00B35B71">
      <w:pPr>
        <w:spacing w:after="0" w:line="240" w:lineRule="auto"/>
        <w:jc w:val="center"/>
        <w:rPr>
          <w:rFonts w:ascii="Times New Roman" w:eastAsia="Calibri" w:hAnsi="Times New Roman" w:cs="Times New Roman"/>
          <w:szCs w:val="20"/>
        </w:rPr>
      </w:pPr>
      <w:r>
        <w:rPr>
          <w:rFonts w:ascii="Times New Roman" w:eastAsia="Calibri" w:hAnsi="Times New Roman" w:cs="Times New Roman"/>
          <w:noProof/>
          <w:szCs w:val="20"/>
          <w:lang w:eastAsia="pt-BR"/>
        </w:rPr>
        <w:drawing>
          <wp:inline distT="0" distB="0" distL="0" distR="0">
            <wp:extent cx="5909366" cy="623164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9071" cy="6241876"/>
                    </a:xfrm>
                    <a:prstGeom prst="rect">
                      <a:avLst/>
                    </a:prstGeom>
                    <a:noFill/>
                    <a:ln>
                      <a:noFill/>
                    </a:ln>
                  </pic:spPr>
                </pic:pic>
              </a:graphicData>
            </a:graphic>
          </wp:inline>
        </w:drawing>
      </w:r>
    </w:p>
    <w:p w:rsidR="00517FB4" w:rsidRPr="00B35B71" w:rsidRDefault="00517FB4" w:rsidP="00B35B71">
      <w:pPr>
        <w:spacing w:after="0" w:line="240" w:lineRule="auto"/>
        <w:jc w:val="center"/>
        <w:rPr>
          <w:rFonts w:ascii="Times New Roman" w:eastAsia="Calibri" w:hAnsi="Times New Roman" w:cs="Times New Roman"/>
          <w:sz w:val="16"/>
          <w:szCs w:val="16"/>
        </w:rPr>
      </w:pPr>
      <w:r w:rsidRPr="00B35B71">
        <w:rPr>
          <w:rFonts w:ascii="Times New Roman" w:eastAsia="Calibri" w:hAnsi="Times New Roman" w:cs="Times New Roman"/>
          <w:sz w:val="16"/>
          <w:szCs w:val="16"/>
        </w:rPr>
        <w:t>Fonte: elaboração própria.</w:t>
      </w:r>
    </w:p>
    <w:p w:rsidR="00517FB4" w:rsidRPr="00517FB4" w:rsidRDefault="00517FB4" w:rsidP="00B35B71">
      <w:pPr>
        <w:spacing w:after="0" w:line="240" w:lineRule="auto"/>
        <w:jc w:val="center"/>
        <w:rPr>
          <w:rFonts w:ascii="Times New Roman" w:eastAsia="Calibri" w:hAnsi="Times New Roman" w:cs="Times New Roman"/>
          <w:sz w:val="20"/>
          <w:szCs w:val="20"/>
        </w:rPr>
      </w:pPr>
    </w:p>
    <w:p w:rsidR="00517FB4" w:rsidRPr="00517FB4" w:rsidRDefault="00517FB4" w:rsidP="00B35B71">
      <w:pPr>
        <w:spacing w:after="0" w:line="240" w:lineRule="auto"/>
        <w:rPr>
          <w:rFonts w:ascii="Times New Roman" w:eastAsia="Calibri" w:hAnsi="Times New Roman" w:cs="Times New Roman"/>
          <w:szCs w:val="20"/>
        </w:rPr>
      </w:pPr>
      <w:r w:rsidRPr="00517FB4">
        <w:rPr>
          <w:rFonts w:ascii="Times New Roman" w:eastAsia="Calibri" w:hAnsi="Times New Roman" w:cs="Times New Roman"/>
          <w:szCs w:val="20"/>
        </w:rPr>
        <w:tab/>
        <w:t xml:space="preserve">Passando ao primeiro eixo, os resultados corroboram a formulação crítica ao apontarem que o ciclo financeiro global condiciona a evolução da liberalização financeira externa do sistema econômico em questão. Dessa maneira, um aumento na volatilidade financeira internacional, mensurada pelo VIX, gera uma </w:t>
      </w:r>
      <w:r w:rsidR="00950601">
        <w:rPr>
          <w:rFonts w:ascii="Times New Roman" w:eastAsia="Calibri" w:hAnsi="Times New Roman" w:cs="Times New Roman"/>
          <w:szCs w:val="20"/>
        </w:rPr>
        <w:t>elevação</w:t>
      </w:r>
      <w:r w:rsidRPr="00517FB4">
        <w:rPr>
          <w:rFonts w:ascii="Times New Roman" w:eastAsia="Calibri" w:hAnsi="Times New Roman" w:cs="Times New Roman"/>
          <w:szCs w:val="20"/>
        </w:rPr>
        <w:t xml:space="preserve"> do grau de integração aos mercados financeiros globalizados (reação </w:t>
      </w:r>
      <w:r w:rsidR="00950601">
        <w:rPr>
          <w:rFonts w:ascii="Times New Roman" w:eastAsia="Calibri" w:hAnsi="Times New Roman" w:cs="Times New Roman"/>
          <w:szCs w:val="20"/>
        </w:rPr>
        <w:t>positiva</w:t>
      </w:r>
      <w:r w:rsidRPr="00517FB4">
        <w:rPr>
          <w:rFonts w:ascii="Times New Roman" w:eastAsia="Calibri" w:hAnsi="Times New Roman" w:cs="Times New Roman"/>
          <w:szCs w:val="20"/>
        </w:rPr>
        <w:t xml:space="preserve"> do IIF)</w:t>
      </w:r>
      <w:r w:rsidR="00F45A9C">
        <w:rPr>
          <w:rFonts w:ascii="Times New Roman" w:eastAsia="Calibri" w:hAnsi="Times New Roman" w:cs="Times New Roman"/>
          <w:szCs w:val="20"/>
        </w:rPr>
        <w:t xml:space="preserve">, </w:t>
      </w:r>
      <w:r w:rsidR="00F45A9C">
        <w:rPr>
          <w:rFonts w:ascii="Times New Roman" w:eastAsia="Calibri" w:hAnsi="Times New Roman" w:cs="Times New Roman"/>
          <w:szCs w:val="20"/>
        </w:rPr>
        <w:lastRenderedPageBreak/>
        <w:t>a qual</w:t>
      </w:r>
      <w:r w:rsidRPr="00517FB4">
        <w:rPr>
          <w:rFonts w:ascii="Times New Roman" w:eastAsia="Calibri" w:hAnsi="Times New Roman" w:cs="Times New Roman"/>
          <w:szCs w:val="20"/>
        </w:rPr>
        <w:t xml:space="preserve"> é reforçada </w:t>
      </w:r>
      <w:r w:rsidR="00F45A9C">
        <w:rPr>
          <w:rFonts w:ascii="Times New Roman" w:eastAsia="Calibri" w:hAnsi="Times New Roman" w:cs="Times New Roman"/>
          <w:szCs w:val="20"/>
        </w:rPr>
        <w:t>pel</w:t>
      </w:r>
      <w:r w:rsidRPr="00517FB4">
        <w:rPr>
          <w:rFonts w:ascii="Times New Roman" w:eastAsia="Calibri" w:hAnsi="Times New Roman" w:cs="Times New Roman"/>
          <w:szCs w:val="20"/>
        </w:rPr>
        <w:t xml:space="preserve">o teste de Granger-causalidade, afinal, uma mudança no VIX precede uma variação no IIF, com um grau de confiança de 95%. </w:t>
      </w:r>
      <w:r w:rsidR="00F45A9C">
        <w:rPr>
          <w:rFonts w:ascii="Times New Roman" w:eastAsia="Calibri" w:hAnsi="Times New Roman" w:cs="Times New Roman"/>
          <w:szCs w:val="20"/>
        </w:rPr>
        <w:t xml:space="preserve">Esse desdobramento está em linha com o exposto por Nier, Sedik e Mondino (2014), e, possivelmente, explica-se pelo salto nos fluxos de saída de capital, que fogem para qualidade, em períodos de maior volatilidade financeira global. </w:t>
      </w:r>
      <w:r w:rsidRPr="00517FB4">
        <w:rPr>
          <w:rFonts w:ascii="Times New Roman" w:eastAsia="Calibri" w:hAnsi="Times New Roman" w:cs="Times New Roman"/>
          <w:szCs w:val="20"/>
        </w:rPr>
        <w:t xml:space="preserve">Quanto ao grau de abertura financeira, a resposta é </w:t>
      </w:r>
      <w:r w:rsidR="00F45A9C">
        <w:rPr>
          <w:rFonts w:ascii="Times New Roman" w:eastAsia="Calibri" w:hAnsi="Times New Roman" w:cs="Times New Roman"/>
          <w:szCs w:val="20"/>
        </w:rPr>
        <w:t>negativa, o que coloca uma nova dimensão da endogeneidade dos controles, que reagiriam não somente aos influxos excessivos, mas também ao ciclo financeiro global. Todavia, tal reação não é</w:t>
      </w:r>
      <w:r w:rsidRPr="00517FB4">
        <w:rPr>
          <w:rFonts w:ascii="Times New Roman" w:eastAsia="Calibri" w:hAnsi="Times New Roman" w:cs="Times New Roman"/>
          <w:szCs w:val="20"/>
        </w:rPr>
        <w:t xml:space="preserve"> sustentada por uma relação de Granger-causalidade, considerando um nível de significância de 5%.</w:t>
      </w:r>
    </w:p>
    <w:p w:rsidR="00517FB4" w:rsidRPr="00517FB4" w:rsidRDefault="00517FB4" w:rsidP="00B35B71">
      <w:pPr>
        <w:spacing w:after="0" w:line="240" w:lineRule="auto"/>
        <w:rPr>
          <w:rFonts w:ascii="Times New Roman" w:eastAsia="Calibri" w:hAnsi="Times New Roman" w:cs="Times New Roman"/>
          <w:i/>
          <w:szCs w:val="20"/>
        </w:rPr>
      </w:pPr>
      <w:r w:rsidRPr="00517FB4">
        <w:rPr>
          <w:rFonts w:ascii="Times New Roman" w:eastAsia="Calibri" w:hAnsi="Times New Roman" w:cs="Times New Roman"/>
          <w:szCs w:val="20"/>
        </w:rPr>
        <w:tab/>
      </w:r>
      <w:r w:rsidR="00F45A9C">
        <w:rPr>
          <w:rFonts w:ascii="Times New Roman" w:eastAsia="Calibri" w:hAnsi="Times New Roman" w:cs="Times New Roman"/>
          <w:szCs w:val="20"/>
        </w:rPr>
        <w:t>N</w:t>
      </w:r>
      <w:r w:rsidRPr="00517FB4">
        <w:rPr>
          <w:rFonts w:ascii="Times New Roman" w:eastAsia="Calibri" w:hAnsi="Times New Roman" w:cs="Times New Roman"/>
          <w:szCs w:val="20"/>
        </w:rPr>
        <w:t xml:space="preserve">a relação entre os dois indicadores da liberalização financeira externa, como esperado, um choque de medidas regulatórias liberalizantes leva a um aumento no grau de integração financeira da economia brasileira. Já um impulso positivo no IIF gera uma reação oscilante por parte do ICCAC com um saldo líquido de redução do grau de abertura financeira, isto é, ampliação dos controles de capital. Todavia, há que se relativizar a força dessas relações, dado que nenhuma das séries precede a outra no sentido de Granger, considerando um grau de confiança de 95%. </w:t>
      </w:r>
    </w:p>
    <w:p w:rsidR="00517FB4" w:rsidRPr="00517FB4" w:rsidRDefault="00517FB4" w:rsidP="00B35B71">
      <w:pPr>
        <w:spacing w:after="0" w:line="240" w:lineRule="auto"/>
        <w:ind w:firstLine="708"/>
        <w:rPr>
          <w:rFonts w:ascii="Times New Roman" w:eastAsia="Calibri" w:hAnsi="Times New Roman" w:cs="Times New Roman"/>
          <w:szCs w:val="20"/>
        </w:rPr>
      </w:pPr>
      <w:r w:rsidRPr="00517FB4">
        <w:rPr>
          <w:rFonts w:ascii="Times New Roman" w:eastAsia="Calibri" w:hAnsi="Times New Roman" w:cs="Times New Roman"/>
          <w:szCs w:val="20"/>
        </w:rPr>
        <w:t xml:space="preserve">No que tange aos desdobramentos macroeconômicos da liberalização financeira externa, vale à pena diferenciar os efeitos associados a uma elevação no grau de integração financeira frente aos impactos de medidas regulatórias liberalizantes, dado que a primeira tende a produzir desdobramentos de maior montante e robustez estatística. Nesse sentido, um avanço na desregulamentação financeira leva a um pequeno aumento </w:t>
      </w:r>
      <w:r w:rsidR="001F0121">
        <w:rPr>
          <w:rFonts w:ascii="Times New Roman" w:eastAsia="Calibri" w:hAnsi="Times New Roman" w:cs="Times New Roman"/>
          <w:szCs w:val="20"/>
        </w:rPr>
        <w:t>no nível de atividade, e a uma pequena queda</w:t>
      </w:r>
      <w:r w:rsidRPr="00517FB4">
        <w:rPr>
          <w:rFonts w:ascii="Times New Roman" w:eastAsia="Calibri" w:hAnsi="Times New Roman" w:cs="Times New Roman"/>
          <w:szCs w:val="20"/>
        </w:rPr>
        <w:t xml:space="preserve"> no risco-país e na volatilidade cambial. Ao passo que </w:t>
      </w:r>
      <w:r w:rsidR="001F0121">
        <w:rPr>
          <w:rFonts w:ascii="Times New Roman" w:eastAsia="Calibri" w:hAnsi="Times New Roman" w:cs="Times New Roman"/>
          <w:szCs w:val="20"/>
        </w:rPr>
        <w:t>isso</w:t>
      </w:r>
      <w:r w:rsidRPr="00517FB4">
        <w:rPr>
          <w:rFonts w:ascii="Times New Roman" w:eastAsia="Calibri" w:hAnsi="Times New Roman" w:cs="Times New Roman"/>
          <w:szCs w:val="20"/>
        </w:rPr>
        <w:t xml:space="preserve"> parece fortalecer a tese favorável à conversibilidade plena da conta capital e financeira, reforça a perspectiva crítica o fato de que o Índice de Controle de Capitais acumulado não precede no sentido de Granger nenhuma das variáveis do modelo</w:t>
      </w:r>
      <w:r w:rsidR="00F45EB3">
        <w:rPr>
          <w:rFonts w:ascii="Times New Roman" w:eastAsia="Calibri" w:hAnsi="Times New Roman" w:cs="Times New Roman"/>
          <w:szCs w:val="20"/>
        </w:rPr>
        <w:t>.</w:t>
      </w:r>
    </w:p>
    <w:p w:rsidR="00517FB4" w:rsidRPr="00517FB4" w:rsidRDefault="00517FB4" w:rsidP="00B35B71">
      <w:pPr>
        <w:spacing w:after="0" w:line="240" w:lineRule="auto"/>
        <w:rPr>
          <w:rFonts w:ascii="Times New Roman" w:eastAsia="Calibri" w:hAnsi="Times New Roman" w:cs="Times New Roman"/>
          <w:szCs w:val="20"/>
        </w:rPr>
      </w:pPr>
      <w:r w:rsidRPr="00517FB4">
        <w:rPr>
          <w:rFonts w:ascii="Times New Roman" w:eastAsia="Calibri" w:hAnsi="Times New Roman" w:cs="Times New Roman"/>
          <w:szCs w:val="20"/>
        </w:rPr>
        <w:tab/>
        <w:t>Quanto aos desdobramentos macroeconômicos de um aumento no grau de integração financeira, as funções de resposta ao impulso apresentam impactos problemáticos, caracterizados por uma amplitude maior. Dessa forma, as críticas a uma política econômica voltada à integração aos mercados financeiros globais são corroboradas pelo aumento do risco-país</w:t>
      </w:r>
      <w:r w:rsidR="001F0121">
        <w:rPr>
          <w:rFonts w:ascii="Times New Roman" w:eastAsia="Calibri" w:hAnsi="Times New Roman" w:cs="Times New Roman"/>
          <w:szCs w:val="20"/>
        </w:rPr>
        <w:t xml:space="preserve"> e</w:t>
      </w:r>
      <w:r w:rsidRPr="00517FB4">
        <w:rPr>
          <w:rFonts w:ascii="Times New Roman" w:eastAsia="Calibri" w:hAnsi="Times New Roman" w:cs="Times New Roman"/>
          <w:szCs w:val="20"/>
        </w:rPr>
        <w:t xml:space="preserve"> da volatilidade cambial, bem como pela perda em termos de nível de atividade. Tal resultado é ainda mais robusto no caso do risco-país, pois a variação na primeira variável é causada no sentido de Granger pela variação no IIF</w:t>
      </w:r>
      <w:r w:rsidR="00F45EB3">
        <w:rPr>
          <w:rFonts w:ascii="Times New Roman" w:eastAsia="Calibri" w:hAnsi="Times New Roman" w:cs="Times New Roman"/>
          <w:szCs w:val="20"/>
        </w:rPr>
        <w:t>.</w:t>
      </w:r>
    </w:p>
    <w:p w:rsidR="00517FB4" w:rsidRDefault="00517FB4" w:rsidP="00B35B71">
      <w:pPr>
        <w:spacing w:after="0" w:line="240" w:lineRule="auto"/>
        <w:ind w:firstLine="708"/>
        <w:rPr>
          <w:rFonts w:ascii="Times New Roman" w:eastAsia="Calibri" w:hAnsi="Times New Roman" w:cs="Times New Roman"/>
          <w:szCs w:val="20"/>
        </w:rPr>
      </w:pPr>
      <w:r w:rsidRPr="00517FB4">
        <w:rPr>
          <w:rFonts w:ascii="Times New Roman" w:eastAsia="Calibri" w:hAnsi="Times New Roman" w:cs="Times New Roman"/>
          <w:szCs w:val="20"/>
        </w:rPr>
        <w:t xml:space="preserve">Na tabela abaixo, são expostos os testes de causalidade de Granger, os quais envolvem os dois indicadores da liberalização financeira externa da economia brasileira e rejeitam a hipótese nula de ausência de Granger-causalidade, considerando um grau de confiança de 95%. </w:t>
      </w:r>
    </w:p>
    <w:p w:rsidR="00517FB4" w:rsidRPr="00517FB4" w:rsidRDefault="00517FB4" w:rsidP="00B35B71">
      <w:pPr>
        <w:spacing w:after="0" w:line="240" w:lineRule="auto"/>
        <w:rPr>
          <w:rFonts w:ascii="Times New Roman" w:eastAsia="Calibri" w:hAnsi="Times New Roman" w:cs="Times New Roman"/>
          <w:sz w:val="20"/>
          <w:szCs w:val="20"/>
        </w:rPr>
      </w:pPr>
    </w:p>
    <w:p w:rsidR="00517FB4" w:rsidRPr="00E900A4" w:rsidRDefault="00517FB4" w:rsidP="00B35B71">
      <w:pPr>
        <w:spacing w:after="0" w:line="240" w:lineRule="auto"/>
        <w:jc w:val="center"/>
        <w:rPr>
          <w:rFonts w:ascii="Times New Roman" w:eastAsia="Calibri" w:hAnsi="Times New Roman" w:cs="Times New Roman"/>
          <w:sz w:val="22"/>
        </w:rPr>
      </w:pPr>
      <w:r w:rsidRPr="00E900A4">
        <w:rPr>
          <w:rFonts w:ascii="Times New Roman" w:eastAsia="Calibri" w:hAnsi="Times New Roman" w:cs="Times New Roman"/>
          <w:sz w:val="22"/>
        </w:rPr>
        <w:t xml:space="preserve">Tabela </w:t>
      </w:r>
      <w:r w:rsidR="00BB02B2" w:rsidRPr="00E900A4">
        <w:rPr>
          <w:rFonts w:ascii="Times New Roman" w:eastAsia="Calibri" w:hAnsi="Times New Roman" w:cs="Times New Roman"/>
          <w:sz w:val="22"/>
        </w:rPr>
        <w:t>06</w:t>
      </w:r>
      <w:r w:rsidRPr="00E900A4">
        <w:rPr>
          <w:rFonts w:ascii="Times New Roman" w:eastAsia="Calibri" w:hAnsi="Times New Roman" w:cs="Times New Roman"/>
          <w:sz w:val="22"/>
        </w:rPr>
        <w:t xml:space="preserve"> – Testes de causalidade de Granger</w:t>
      </w:r>
    </w:p>
    <w:tbl>
      <w:tblPr>
        <w:tblW w:w="6410" w:type="dxa"/>
        <w:jc w:val="center"/>
        <w:tblCellMar>
          <w:left w:w="70" w:type="dxa"/>
          <w:right w:w="70" w:type="dxa"/>
        </w:tblCellMar>
        <w:tblLook w:val="04A0" w:firstRow="1" w:lastRow="0" w:firstColumn="1" w:lastColumn="0" w:noHBand="0" w:noVBand="1"/>
      </w:tblPr>
      <w:tblGrid>
        <w:gridCol w:w="3906"/>
        <w:gridCol w:w="463"/>
        <w:gridCol w:w="1257"/>
        <w:gridCol w:w="784"/>
      </w:tblGrid>
      <w:tr w:rsidR="00517FB4" w:rsidRPr="00517FB4" w:rsidTr="00950601">
        <w:trPr>
          <w:trHeight w:val="302"/>
          <w:jc w:val="center"/>
        </w:trPr>
        <w:tc>
          <w:tcPr>
            <w:tcW w:w="3906" w:type="dxa"/>
            <w:tcBorders>
              <w:top w:val="single" w:sz="4" w:space="0" w:color="auto"/>
              <w:left w:val="nil"/>
              <w:bottom w:val="single" w:sz="4" w:space="0" w:color="auto"/>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Hipótese Nula - 5 Lags</w:t>
            </w:r>
          </w:p>
        </w:tc>
        <w:tc>
          <w:tcPr>
            <w:tcW w:w="463" w:type="dxa"/>
            <w:tcBorders>
              <w:top w:val="single" w:sz="4" w:space="0" w:color="auto"/>
              <w:left w:val="nil"/>
              <w:bottom w:val="single" w:sz="4" w:space="0" w:color="auto"/>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Obs</w:t>
            </w:r>
          </w:p>
        </w:tc>
        <w:tc>
          <w:tcPr>
            <w:tcW w:w="1257" w:type="dxa"/>
            <w:tcBorders>
              <w:top w:val="single" w:sz="4" w:space="0" w:color="auto"/>
              <w:left w:val="nil"/>
              <w:bottom w:val="single" w:sz="4" w:space="0" w:color="auto"/>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Estatística F</w:t>
            </w:r>
          </w:p>
        </w:tc>
        <w:tc>
          <w:tcPr>
            <w:tcW w:w="784" w:type="dxa"/>
            <w:tcBorders>
              <w:top w:val="single" w:sz="4" w:space="0" w:color="auto"/>
              <w:left w:val="nil"/>
              <w:bottom w:val="single" w:sz="4" w:space="0" w:color="auto"/>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p-valor</w:t>
            </w:r>
          </w:p>
        </w:tc>
      </w:tr>
      <w:tr w:rsidR="00517FB4" w:rsidRPr="00517FB4" w:rsidTr="00950601">
        <w:trPr>
          <w:trHeight w:val="300"/>
          <w:jc w:val="center"/>
        </w:trPr>
        <w:tc>
          <w:tcPr>
            <w:tcW w:w="3906"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left"/>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D(LVIX) não Granger-causa D(LIIF)</w:t>
            </w:r>
          </w:p>
        </w:tc>
        <w:tc>
          <w:tcPr>
            <w:tcW w:w="463"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234</w:t>
            </w:r>
          </w:p>
        </w:tc>
        <w:tc>
          <w:tcPr>
            <w:tcW w:w="1257"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2,3020</w:t>
            </w:r>
          </w:p>
        </w:tc>
        <w:tc>
          <w:tcPr>
            <w:tcW w:w="784"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0,0458</w:t>
            </w:r>
          </w:p>
        </w:tc>
      </w:tr>
      <w:tr w:rsidR="00517FB4" w:rsidRPr="00517FB4" w:rsidTr="00950601">
        <w:trPr>
          <w:trHeight w:val="300"/>
          <w:jc w:val="center"/>
        </w:trPr>
        <w:tc>
          <w:tcPr>
            <w:tcW w:w="3906"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left"/>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D(LIIF) não Granger-causa D(LRISCO)</w:t>
            </w:r>
          </w:p>
        </w:tc>
        <w:tc>
          <w:tcPr>
            <w:tcW w:w="463"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234</w:t>
            </w:r>
          </w:p>
        </w:tc>
        <w:tc>
          <w:tcPr>
            <w:tcW w:w="1257"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2,3532</w:t>
            </w:r>
          </w:p>
        </w:tc>
        <w:tc>
          <w:tcPr>
            <w:tcW w:w="784" w:type="dxa"/>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0,0416</w:t>
            </w:r>
          </w:p>
        </w:tc>
      </w:tr>
      <w:tr w:rsidR="00517FB4" w:rsidRPr="00517FB4" w:rsidTr="00950601">
        <w:trPr>
          <w:trHeight w:val="300"/>
          <w:jc w:val="center"/>
        </w:trPr>
        <w:tc>
          <w:tcPr>
            <w:tcW w:w="3906" w:type="dxa"/>
            <w:tcBorders>
              <w:top w:val="nil"/>
              <w:left w:val="nil"/>
              <w:bottom w:val="single" w:sz="4" w:space="0" w:color="auto"/>
              <w:right w:val="nil"/>
            </w:tcBorders>
            <w:shd w:val="clear" w:color="auto" w:fill="auto"/>
            <w:noWrap/>
            <w:vAlign w:val="center"/>
            <w:hideMark/>
          </w:tcPr>
          <w:p w:rsidR="00517FB4" w:rsidRPr="00517FB4" w:rsidRDefault="00517FB4" w:rsidP="00B35B71">
            <w:pPr>
              <w:spacing w:after="0" w:line="240" w:lineRule="auto"/>
              <w:jc w:val="left"/>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D(LPROD) não Granger-causa D(LIIF)</w:t>
            </w:r>
          </w:p>
        </w:tc>
        <w:tc>
          <w:tcPr>
            <w:tcW w:w="463" w:type="dxa"/>
            <w:tcBorders>
              <w:top w:val="nil"/>
              <w:left w:val="nil"/>
              <w:bottom w:val="single" w:sz="4" w:space="0" w:color="auto"/>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234</w:t>
            </w:r>
          </w:p>
        </w:tc>
        <w:tc>
          <w:tcPr>
            <w:tcW w:w="1257" w:type="dxa"/>
            <w:tcBorders>
              <w:top w:val="nil"/>
              <w:left w:val="nil"/>
              <w:bottom w:val="single" w:sz="4" w:space="0" w:color="auto"/>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2,8182</w:t>
            </w:r>
          </w:p>
        </w:tc>
        <w:tc>
          <w:tcPr>
            <w:tcW w:w="784" w:type="dxa"/>
            <w:tcBorders>
              <w:top w:val="nil"/>
              <w:left w:val="nil"/>
              <w:bottom w:val="single" w:sz="4" w:space="0" w:color="auto"/>
              <w:right w:val="nil"/>
            </w:tcBorders>
            <w:shd w:val="clear" w:color="auto" w:fill="auto"/>
            <w:noWrap/>
            <w:vAlign w:val="center"/>
            <w:hideMark/>
          </w:tcPr>
          <w:p w:rsidR="00517FB4" w:rsidRPr="00517FB4" w:rsidRDefault="00517FB4" w:rsidP="00B35B71">
            <w:pPr>
              <w:spacing w:after="0" w:line="240" w:lineRule="auto"/>
              <w:jc w:val="center"/>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0,0172</w:t>
            </w:r>
          </w:p>
        </w:tc>
      </w:tr>
      <w:tr w:rsidR="00517FB4" w:rsidRPr="00517FB4" w:rsidTr="00950601">
        <w:trPr>
          <w:trHeight w:val="300"/>
          <w:jc w:val="center"/>
        </w:trPr>
        <w:tc>
          <w:tcPr>
            <w:tcW w:w="6410" w:type="dxa"/>
            <w:gridSpan w:val="4"/>
            <w:tcBorders>
              <w:top w:val="nil"/>
              <w:left w:val="nil"/>
              <w:bottom w:val="nil"/>
              <w:right w:val="nil"/>
            </w:tcBorders>
            <w:shd w:val="clear" w:color="auto" w:fill="auto"/>
            <w:noWrap/>
            <w:vAlign w:val="center"/>
            <w:hideMark/>
          </w:tcPr>
          <w:p w:rsidR="00517FB4" w:rsidRPr="00517FB4" w:rsidRDefault="00517FB4" w:rsidP="00B35B71">
            <w:pPr>
              <w:spacing w:after="0" w:line="240" w:lineRule="auto"/>
              <w:jc w:val="left"/>
              <w:rPr>
                <w:rFonts w:ascii="Times New Roman" w:eastAsia="Times New Roman" w:hAnsi="Times New Roman" w:cs="Times New Roman"/>
                <w:color w:val="000000"/>
                <w:sz w:val="20"/>
                <w:szCs w:val="20"/>
                <w:lang w:eastAsia="pt-BR"/>
              </w:rPr>
            </w:pPr>
            <w:r w:rsidRPr="00517FB4">
              <w:rPr>
                <w:rFonts w:ascii="Times New Roman" w:eastAsia="Times New Roman" w:hAnsi="Times New Roman" w:cs="Times New Roman"/>
                <w:color w:val="000000"/>
                <w:sz w:val="20"/>
                <w:szCs w:val="20"/>
                <w:lang w:eastAsia="pt-BR"/>
              </w:rPr>
              <w:t>Fonte: elaboração própria.</w:t>
            </w:r>
          </w:p>
        </w:tc>
      </w:tr>
    </w:tbl>
    <w:p w:rsidR="00517FB4" w:rsidRPr="00517FB4" w:rsidRDefault="00517FB4" w:rsidP="00B35B71">
      <w:pPr>
        <w:spacing w:after="0" w:line="240" w:lineRule="auto"/>
        <w:jc w:val="center"/>
        <w:rPr>
          <w:rFonts w:ascii="Times New Roman" w:eastAsia="Calibri" w:hAnsi="Times New Roman" w:cs="Times New Roman"/>
          <w:sz w:val="20"/>
          <w:szCs w:val="20"/>
        </w:rPr>
      </w:pPr>
    </w:p>
    <w:p w:rsidR="00517FB4" w:rsidRPr="00517FB4" w:rsidRDefault="00517FB4" w:rsidP="00B35B71">
      <w:pPr>
        <w:spacing w:after="0" w:line="240" w:lineRule="auto"/>
        <w:ind w:firstLine="708"/>
        <w:rPr>
          <w:rFonts w:ascii="Times New Roman" w:eastAsia="Calibri" w:hAnsi="Times New Roman" w:cs="Times New Roman"/>
          <w:szCs w:val="20"/>
        </w:rPr>
      </w:pPr>
      <w:r w:rsidRPr="00517FB4">
        <w:rPr>
          <w:rFonts w:ascii="Times New Roman" w:eastAsia="Calibri" w:hAnsi="Times New Roman" w:cs="Times New Roman"/>
          <w:szCs w:val="20"/>
        </w:rPr>
        <w:t>Ainda que não seja objeto d</w:t>
      </w:r>
      <w:r w:rsidR="00164C3A">
        <w:rPr>
          <w:rFonts w:ascii="Times New Roman" w:eastAsia="Calibri" w:hAnsi="Times New Roman" w:cs="Times New Roman"/>
          <w:szCs w:val="20"/>
        </w:rPr>
        <w:t>o</w:t>
      </w:r>
      <w:r w:rsidRPr="00517FB4">
        <w:rPr>
          <w:rFonts w:ascii="Times New Roman" w:eastAsia="Calibri" w:hAnsi="Times New Roman" w:cs="Times New Roman"/>
          <w:szCs w:val="20"/>
        </w:rPr>
        <w:t xml:space="preserve"> presente </w:t>
      </w:r>
      <w:r w:rsidR="00164C3A">
        <w:rPr>
          <w:rFonts w:ascii="Times New Roman" w:eastAsia="Calibri" w:hAnsi="Times New Roman" w:cs="Times New Roman"/>
          <w:szCs w:val="20"/>
        </w:rPr>
        <w:t>estudo</w:t>
      </w:r>
      <w:r w:rsidRPr="00517FB4">
        <w:rPr>
          <w:rFonts w:ascii="Times New Roman" w:eastAsia="Calibri" w:hAnsi="Times New Roman" w:cs="Times New Roman"/>
          <w:szCs w:val="20"/>
        </w:rPr>
        <w:t xml:space="preserve">, vale à pena destacar a precedência, no sentido de Granger, do nível de atividade frente ao grau de integração financeira da economia brasileira, considerando um grau de confiança de 95%. </w:t>
      </w:r>
      <w:r w:rsidR="00104237">
        <w:rPr>
          <w:rFonts w:ascii="Times New Roman" w:eastAsia="Calibri" w:hAnsi="Times New Roman" w:cs="Times New Roman"/>
          <w:szCs w:val="20"/>
        </w:rPr>
        <w:t xml:space="preserve">Esse resultado é </w:t>
      </w:r>
      <w:r w:rsidRPr="00517FB4">
        <w:rPr>
          <w:rFonts w:ascii="Times New Roman" w:eastAsia="Calibri" w:hAnsi="Times New Roman" w:cs="Times New Roman"/>
          <w:szCs w:val="20"/>
        </w:rPr>
        <w:t xml:space="preserve">pouco intuitivo do ponto de vista teórico, afinal, espera-se que um melhor desempenho do nível de atividade amplie a atratividade da economia junto aos mercados financeiros globais. Por outro lado, um sistema econômico em expansão motiva o setor privado a novos investimentos, o que poderia influenciar negativamente sobre a saída de capitais, que compõe o numerador do IIF. Além disso, há uma explicação metodológica, já que, tudo o mais constante, um aumento no produto nominal (denominador do IIF) gera uma queda no indicador referente </w:t>
      </w:r>
      <w:r w:rsidRPr="00517FB4">
        <w:rPr>
          <w:rFonts w:ascii="Times New Roman" w:eastAsia="Calibri" w:hAnsi="Times New Roman" w:cs="Times New Roman"/>
          <w:szCs w:val="20"/>
        </w:rPr>
        <w:lastRenderedPageBreak/>
        <w:t xml:space="preserve">ao grau de integração financeira. Tal suspeita encontra eco quando se comparam os resultados obtidos pelo estudo de Faria </w:t>
      </w:r>
      <w:r w:rsidRPr="00517FB4">
        <w:rPr>
          <w:rFonts w:ascii="Times New Roman" w:eastAsia="Calibri" w:hAnsi="Times New Roman" w:cs="Times New Roman"/>
          <w:i/>
          <w:szCs w:val="20"/>
        </w:rPr>
        <w:t>et al</w:t>
      </w:r>
      <w:r w:rsidRPr="00517FB4">
        <w:rPr>
          <w:rFonts w:ascii="Times New Roman" w:eastAsia="Calibri" w:hAnsi="Times New Roman" w:cs="Times New Roman"/>
          <w:szCs w:val="20"/>
        </w:rPr>
        <w:t>. (2009), pois o primeiro, que emprega um IIF com o produto nominal como denominador, obtém uma reação negativa do indicador em questão a um impulso no nível de atividade, já o segundo, que lida apenas com o montante dos fluxos financeiros, aponta uma relação inversa.</w:t>
      </w:r>
    </w:p>
    <w:p w:rsidR="00517FB4" w:rsidRPr="00517FB4" w:rsidRDefault="00517FB4" w:rsidP="00B35B71">
      <w:pPr>
        <w:spacing w:after="0" w:line="240" w:lineRule="auto"/>
        <w:ind w:firstLine="708"/>
        <w:rPr>
          <w:rFonts w:ascii="Times New Roman" w:eastAsia="Calibri" w:hAnsi="Times New Roman" w:cs="Times New Roman"/>
          <w:szCs w:val="20"/>
        </w:rPr>
      </w:pPr>
      <w:r w:rsidRPr="00517FB4">
        <w:rPr>
          <w:rFonts w:ascii="Times New Roman" w:eastAsia="Calibri" w:hAnsi="Times New Roman" w:cs="Times New Roman"/>
          <w:szCs w:val="20"/>
        </w:rPr>
        <w:t xml:space="preserve">Antes de passar às considerações finais, sublinha-se aqui </w:t>
      </w:r>
      <w:r w:rsidR="00164C3A">
        <w:rPr>
          <w:rFonts w:ascii="Times New Roman" w:eastAsia="Calibri" w:hAnsi="Times New Roman" w:cs="Times New Roman"/>
          <w:szCs w:val="20"/>
        </w:rPr>
        <w:t>dois</w:t>
      </w:r>
      <w:r w:rsidRPr="00517FB4">
        <w:rPr>
          <w:rFonts w:ascii="Times New Roman" w:eastAsia="Calibri" w:hAnsi="Times New Roman" w:cs="Times New Roman"/>
          <w:szCs w:val="20"/>
        </w:rPr>
        <w:t xml:space="preserve"> aspectos advindos da estimação do modelo VEC. Em termos de metodologia econométrica, </w:t>
      </w:r>
      <w:r w:rsidR="00164C3A">
        <w:rPr>
          <w:rFonts w:ascii="Times New Roman" w:eastAsia="Calibri" w:hAnsi="Times New Roman" w:cs="Times New Roman"/>
          <w:szCs w:val="20"/>
        </w:rPr>
        <w:t>t</w:t>
      </w:r>
      <w:r w:rsidRPr="00517FB4">
        <w:rPr>
          <w:rFonts w:ascii="Times New Roman" w:eastAsia="Calibri" w:hAnsi="Times New Roman" w:cs="Times New Roman"/>
          <w:szCs w:val="20"/>
        </w:rPr>
        <w:t>a</w:t>
      </w:r>
      <w:r w:rsidR="00164C3A">
        <w:rPr>
          <w:rFonts w:ascii="Times New Roman" w:eastAsia="Calibri" w:hAnsi="Times New Roman" w:cs="Times New Roman"/>
          <w:szCs w:val="20"/>
        </w:rPr>
        <w:t>l</w:t>
      </w:r>
      <w:r w:rsidRPr="00517FB4">
        <w:rPr>
          <w:rFonts w:ascii="Times New Roman" w:eastAsia="Calibri" w:hAnsi="Times New Roman" w:cs="Times New Roman"/>
          <w:szCs w:val="20"/>
        </w:rPr>
        <w:t xml:space="preserve"> estimação contribui ao apontar a existência de relações de cointegração - e, portanto, estáveis no longo prazo - entre os dois indicadores da liberalização financeira externa, o ciclo financeiro global e as demais variáveis referentes ao desempenho macroeconômico brasileiro. Além disso, tais resultados foram alcançados sem a perda excessiva de graus de liberdade e assentados em resíduos bem comportados. No que tange à discussão teórica, os resultados reforçam a tese crítica à liberalização devido aos seguintes pontos: i) a influência do ciclo financeiro global sobre a evolução da liberalização financeira externa brasileira; ii) o impacto pouco relevante de decisões regulatórias voltadas à abertura financeira; e iii) as consequências negativas de um aumento no grau de integração financeira sobre o desempenho macroeconômico brasileiro, principalmente, quando se trata do risco-país, cuja variação é causada no sentido de Granger por uma variação no IIF.</w:t>
      </w:r>
    </w:p>
    <w:p w:rsidR="00C26502" w:rsidRDefault="00C26502" w:rsidP="00B35B71">
      <w:pPr>
        <w:spacing w:after="0" w:line="240" w:lineRule="auto"/>
        <w:rPr>
          <w:rFonts w:ascii="Times New Roman" w:hAnsi="Times New Roman" w:cs="Times New Roman"/>
          <w:szCs w:val="24"/>
        </w:rPr>
      </w:pPr>
    </w:p>
    <w:p w:rsidR="0075362A" w:rsidRDefault="0075362A" w:rsidP="00B35B71">
      <w:pPr>
        <w:spacing w:after="0" w:line="240" w:lineRule="auto"/>
        <w:rPr>
          <w:rFonts w:ascii="Times New Roman" w:hAnsi="Times New Roman" w:cs="Times New Roman"/>
          <w:b/>
          <w:szCs w:val="24"/>
        </w:rPr>
      </w:pPr>
      <w:r>
        <w:rPr>
          <w:rFonts w:ascii="Times New Roman" w:hAnsi="Times New Roman" w:cs="Times New Roman"/>
          <w:b/>
          <w:szCs w:val="24"/>
        </w:rPr>
        <w:t>5. Considerações finais</w:t>
      </w:r>
    </w:p>
    <w:p w:rsidR="001F5969" w:rsidRDefault="00E7767F" w:rsidP="00B35B71">
      <w:pPr>
        <w:spacing w:after="0" w:line="240" w:lineRule="auto"/>
        <w:ind w:firstLine="708"/>
        <w:rPr>
          <w:rFonts w:ascii="Times New Roman" w:eastAsia="Calibri" w:hAnsi="Times New Roman" w:cs="Times New Roman"/>
          <w:szCs w:val="24"/>
        </w:rPr>
      </w:pPr>
      <w:r w:rsidRPr="00E7767F">
        <w:rPr>
          <w:rFonts w:ascii="Times New Roman" w:eastAsia="Calibri" w:hAnsi="Times New Roman" w:cs="Times New Roman"/>
          <w:szCs w:val="24"/>
        </w:rPr>
        <w:t>O presente estudo teve como principal objetivo identificar os desdobramentos macroeconômicos do processo brasileiro de liberalização financeira externa, partindo de uma amostra mensal de duas décadas, o período entre 1995 e 2014. Ademais, o esforço de pesquisa empreendido busca contribuir com os trabalhos posteriores à Crise Financeira Global de 2007-2008, dado que reconhece a existência da instabilidade financeira global e busca, a partir disso, avaliar políticas econômicas específicas à luz de seus resultados empíricos.</w:t>
      </w:r>
      <w:r w:rsidR="00D06A55">
        <w:rPr>
          <w:rFonts w:ascii="Times New Roman" w:eastAsia="Calibri" w:hAnsi="Times New Roman" w:cs="Times New Roman"/>
          <w:szCs w:val="24"/>
        </w:rPr>
        <w:t xml:space="preserve"> </w:t>
      </w:r>
      <w:r w:rsidR="001F5969">
        <w:rPr>
          <w:rFonts w:ascii="Times New Roman" w:eastAsia="Calibri" w:hAnsi="Times New Roman" w:cs="Times New Roman"/>
          <w:szCs w:val="24"/>
        </w:rPr>
        <w:t xml:space="preserve">Em termos de contribuição potencialmente original, </w:t>
      </w:r>
      <w:r w:rsidR="00AD544A">
        <w:rPr>
          <w:rFonts w:ascii="Times New Roman" w:eastAsia="Calibri" w:hAnsi="Times New Roman" w:cs="Times New Roman"/>
          <w:szCs w:val="24"/>
        </w:rPr>
        <w:t>considera-se</w:t>
      </w:r>
      <w:r w:rsidR="001F5969" w:rsidRPr="00E7767F">
        <w:rPr>
          <w:rFonts w:ascii="Times New Roman" w:eastAsia="Calibri" w:hAnsi="Times New Roman" w:cs="Times New Roman"/>
          <w:szCs w:val="24"/>
        </w:rPr>
        <w:t xml:space="preserve"> </w:t>
      </w:r>
      <w:r w:rsidR="00AD544A">
        <w:rPr>
          <w:rFonts w:ascii="Times New Roman" w:eastAsia="Calibri" w:hAnsi="Times New Roman" w:cs="Times New Roman"/>
          <w:szCs w:val="24"/>
        </w:rPr>
        <w:t>a</w:t>
      </w:r>
      <w:r w:rsidR="001F5969" w:rsidRPr="00E7767F">
        <w:rPr>
          <w:rFonts w:ascii="Times New Roman" w:eastAsia="Calibri" w:hAnsi="Times New Roman" w:cs="Times New Roman"/>
          <w:szCs w:val="24"/>
        </w:rPr>
        <w:t xml:space="preserve"> influência do ciclo financeiro global sobre uma economia emergente como a brasileira</w:t>
      </w:r>
      <w:r w:rsidR="001F5969">
        <w:rPr>
          <w:rFonts w:ascii="Times New Roman" w:eastAsia="Calibri" w:hAnsi="Times New Roman" w:cs="Times New Roman"/>
          <w:szCs w:val="24"/>
        </w:rPr>
        <w:t xml:space="preserve">. </w:t>
      </w:r>
      <w:r w:rsidR="002C09A3">
        <w:rPr>
          <w:rFonts w:ascii="Times New Roman" w:eastAsia="Calibri" w:hAnsi="Times New Roman" w:cs="Times New Roman"/>
          <w:szCs w:val="24"/>
        </w:rPr>
        <w:t>Quanto às</w:t>
      </w:r>
      <w:r w:rsidR="005325B7" w:rsidRPr="005325B7">
        <w:rPr>
          <w:rFonts w:ascii="Times New Roman" w:eastAsia="Calibri" w:hAnsi="Times New Roman" w:cs="Times New Roman"/>
          <w:szCs w:val="24"/>
        </w:rPr>
        <w:t xml:space="preserve"> conclusões, </w:t>
      </w:r>
      <w:r w:rsidR="00093D49">
        <w:rPr>
          <w:rFonts w:ascii="Times New Roman" w:eastAsia="Calibri" w:hAnsi="Times New Roman" w:cs="Times New Roman"/>
          <w:szCs w:val="24"/>
        </w:rPr>
        <w:t xml:space="preserve">observou-se </w:t>
      </w:r>
      <w:r w:rsidR="005325B7" w:rsidRPr="005325B7">
        <w:rPr>
          <w:rFonts w:ascii="Times New Roman" w:eastAsia="Calibri" w:hAnsi="Times New Roman" w:cs="Times New Roman"/>
          <w:szCs w:val="24"/>
        </w:rPr>
        <w:t>a precedência, no sentido de Granger, dos movimentos do ciclo financeiro global frente ao grau de integração financeira da economia brasileira</w:t>
      </w:r>
      <w:r w:rsidR="00093D49">
        <w:rPr>
          <w:rFonts w:ascii="Times New Roman" w:eastAsia="Calibri" w:hAnsi="Times New Roman" w:cs="Times New Roman"/>
          <w:szCs w:val="24"/>
        </w:rPr>
        <w:t>.</w:t>
      </w:r>
      <w:r w:rsidR="007E2745">
        <w:rPr>
          <w:rFonts w:ascii="Times New Roman" w:eastAsia="Calibri" w:hAnsi="Times New Roman" w:cs="Times New Roman"/>
          <w:szCs w:val="24"/>
        </w:rPr>
        <w:t xml:space="preserve"> </w:t>
      </w:r>
      <w:r w:rsidR="00093D49">
        <w:rPr>
          <w:rFonts w:ascii="Times New Roman" w:eastAsia="Calibri" w:hAnsi="Times New Roman" w:cs="Times New Roman"/>
          <w:szCs w:val="24"/>
        </w:rPr>
        <w:t xml:space="preserve">No que tange aos desdobramentos macroeconômicos, </w:t>
      </w:r>
      <w:r w:rsidR="00093D49" w:rsidRPr="00093D49">
        <w:rPr>
          <w:rFonts w:ascii="Times New Roman" w:eastAsia="Calibri" w:hAnsi="Times New Roman" w:cs="Times New Roman"/>
          <w:szCs w:val="24"/>
        </w:rPr>
        <w:t>um avanço no grau de abertura da conta capital e financeira, a estimação do modelo VEC</w:t>
      </w:r>
      <w:r w:rsidR="00093D49">
        <w:rPr>
          <w:rFonts w:ascii="Times New Roman" w:eastAsia="Calibri" w:hAnsi="Times New Roman" w:cs="Times New Roman"/>
          <w:szCs w:val="24"/>
        </w:rPr>
        <w:t xml:space="preserve"> e</w:t>
      </w:r>
      <w:r w:rsidR="00093D49" w:rsidRPr="00093D49">
        <w:rPr>
          <w:rFonts w:ascii="Times New Roman" w:eastAsia="Calibri" w:hAnsi="Times New Roman" w:cs="Times New Roman"/>
          <w:szCs w:val="24"/>
        </w:rPr>
        <w:t xml:space="preserve"> dos testes de causalidade de Granger não apontou a existência de efeitos significativos por parte de decisões em favor da desregulamentação. Esse resultado </w:t>
      </w:r>
      <w:r w:rsidR="00E900A4">
        <w:rPr>
          <w:rFonts w:ascii="Times New Roman" w:eastAsia="Calibri" w:hAnsi="Times New Roman" w:cs="Times New Roman"/>
          <w:szCs w:val="24"/>
        </w:rPr>
        <w:t>não nos autoriza a corroborar os</w:t>
      </w:r>
      <w:r w:rsidR="00093D49" w:rsidRPr="00093D49">
        <w:rPr>
          <w:rFonts w:ascii="Times New Roman" w:eastAsia="Calibri" w:hAnsi="Times New Roman" w:cs="Times New Roman"/>
          <w:szCs w:val="24"/>
        </w:rPr>
        <w:t xml:space="preserve"> benefícios listados por Arida (2003a, 2003b, 2004), problematizando a sustentação da tese favorável à plena conversibilidade da conta capital e financeira no Brasil.</w:t>
      </w:r>
      <w:r w:rsidR="00093D49">
        <w:rPr>
          <w:rFonts w:ascii="Times New Roman" w:eastAsia="Calibri" w:hAnsi="Times New Roman" w:cs="Times New Roman"/>
          <w:szCs w:val="24"/>
        </w:rPr>
        <w:t xml:space="preserve"> </w:t>
      </w:r>
      <w:r w:rsidR="00E900A4">
        <w:rPr>
          <w:rFonts w:ascii="Times New Roman" w:eastAsia="Calibri" w:hAnsi="Times New Roman" w:cs="Times New Roman"/>
          <w:szCs w:val="24"/>
        </w:rPr>
        <w:t>Ao contrário</w:t>
      </w:r>
      <w:r w:rsidR="00093D49" w:rsidRPr="00093D49">
        <w:rPr>
          <w:rFonts w:ascii="Times New Roman" w:eastAsia="Calibri" w:hAnsi="Times New Roman" w:cs="Times New Roman"/>
          <w:szCs w:val="24"/>
        </w:rPr>
        <w:t xml:space="preserve">, uma ampliação no grau de integração financeira gera impactos problemáticos </w:t>
      </w:r>
      <w:r w:rsidR="004D4842">
        <w:rPr>
          <w:rFonts w:ascii="Times New Roman" w:eastAsia="Calibri" w:hAnsi="Times New Roman" w:cs="Times New Roman"/>
          <w:szCs w:val="24"/>
        </w:rPr>
        <w:t>como, por exemplo,</w:t>
      </w:r>
      <w:r w:rsidR="00093D49" w:rsidRPr="00093D49">
        <w:rPr>
          <w:rFonts w:ascii="Times New Roman" w:eastAsia="Calibri" w:hAnsi="Times New Roman" w:cs="Times New Roman"/>
          <w:szCs w:val="24"/>
        </w:rPr>
        <w:t xml:space="preserve"> precede</w:t>
      </w:r>
      <w:r w:rsidR="004D4842">
        <w:rPr>
          <w:rFonts w:ascii="Times New Roman" w:eastAsia="Calibri" w:hAnsi="Times New Roman" w:cs="Times New Roman"/>
          <w:szCs w:val="24"/>
        </w:rPr>
        <w:t>r,</w:t>
      </w:r>
      <w:r w:rsidR="00093D49" w:rsidRPr="00093D49">
        <w:rPr>
          <w:rFonts w:ascii="Times New Roman" w:eastAsia="Calibri" w:hAnsi="Times New Roman" w:cs="Times New Roman"/>
          <w:szCs w:val="24"/>
        </w:rPr>
        <w:t xml:space="preserve"> no sentido de Granger</w:t>
      </w:r>
      <w:r w:rsidR="004D4842">
        <w:rPr>
          <w:rFonts w:ascii="Times New Roman" w:eastAsia="Calibri" w:hAnsi="Times New Roman" w:cs="Times New Roman"/>
          <w:szCs w:val="24"/>
        </w:rPr>
        <w:t>,</w:t>
      </w:r>
      <w:r w:rsidR="00093D49" w:rsidRPr="00093D49">
        <w:rPr>
          <w:rFonts w:ascii="Times New Roman" w:eastAsia="Calibri" w:hAnsi="Times New Roman" w:cs="Times New Roman"/>
          <w:szCs w:val="24"/>
        </w:rPr>
        <w:t xml:space="preserve"> uma elevação do risco-país.</w:t>
      </w:r>
    </w:p>
    <w:p w:rsidR="00EB5AF7" w:rsidRPr="00EB5AF7" w:rsidRDefault="00EB5AF7" w:rsidP="00B35B71">
      <w:pPr>
        <w:spacing w:after="0" w:line="240" w:lineRule="auto"/>
        <w:ind w:firstLine="708"/>
        <w:rPr>
          <w:rFonts w:ascii="Times New Roman" w:eastAsia="Calibri" w:hAnsi="Times New Roman" w:cs="Times New Roman"/>
          <w:szCs w:val="24"/>
        </w:rPr>
      </w:pPr>
      <w:r w:rsidRPr="00EB5AF7">
        <w:rPr>
          <w:rFonts w:ascii="Times New Roman" w:eastAsia="Calibri" w:hAnsi="Times New Roman" w:cs="Times New Roman"/>
          <w:szCs w:val="24"/>
        </w:rPr>
        <w:t xml:space="preserve">Dessa maneira, a formulação de uma política econômica a respeito das relações financeiras da economia brasileira com o resto do mundo deve levar em consideração a influência do ciclo financeiro global sobre as duas dimensões da liberalização financeira externa, principalmente, sobre o grau de integração da economia em questão com os mercados financeiros globalizados. Além disso, as medidas regulatórias liberalizantes não parecem ter um efeito estatisticamente significativo sobre o desempenho macroeconômico, bem como um aumento do grau de integração aos mercados financeiros globalizados engendra desdobramentos problemáticos e mais relevantes do ponto de vista estatístico. Nesse sentido, se não é possível descartar os benefícios da abertura financeira, há que se redobrar a atenção frente a seus riscos, considerando também as consequências em termos de grau de integração financeira. </w:t>
      </w:r>
    </w:p>
    <w:p w:rsidR="00EB5AF7" w:rsidRPr="00EB5AF7" w:rsidRDefault="00EB5AF7" w:rsidP="00B35B71">
      <w:pPr>
        <w:spacing w:after="0" w:line="240" w:lineRule="auto"/>
        <w:ind w:firstLine="708"/>
        <w:rPr>
          <w:rFonts w:ascii="Times New Roman" w:eastAsia="Calibri" w:hAnsi="Times New Roman" w:cs="Times New Roman"/>
          <w:szCs w:val="24"/>
        </w:rPr>
      </w:pPr>
      <w:r w:rsidRPr="00EB5AF7">
        <w:rPr>
          <w:rFonts w:ascii="Times New Roman" w:eastAsia="Calibri" w:hAnsi="Times New Roman" w:cs="Times New Roman"/>
          <w:szCs w:val="24"/>
        </w:rPr>
        <w:t xml:space="preserve">Os motivos para prudência ficam mais claros a partir de um exemplo centrado nos impactos da liberalização sobre o risco-país, variável simbólica por ser o centro do argumento favorável à conversibilidade plena da conta capital e financeira. Inicialmente, os resultados do presente estudo apontam que um avanço na desregulamentação financeira gera uma redução pequena e não significativa no risco-país. O mesmo choque liberalizante leva a um aumento maior, mas ainda não significativo, do grau de integração financeira da economia brasileira. Todavia, uma ampliação no grau de integração financeira engendra uma elevação relevante e significativa do risco-país. Dessa maneira, uma política </w:t>
      </w:r>
      <w:r w:rsidRPr="00EB5AF7">
        <w:rPr>
          <w:rFonts w:ascii="Times New Roman" w:eastAsia="Calibri" w:hAnsi="Times New Roman" w:cs="Times New Roman"/>
          <w:szCs w:val="24"/>
        </w:rPr>
        <w:lastRenderedPageBreak/>
        <w:t>econômica somente pode ser bem-sucedida na busca da redução do risco-país, ou de qualquer outro objetivo, se considerar todos os desdobramentos advindos de cada medida, bem como as inter-relações entre tais desdobramentos.</w:t>
      </w:r>
    </w:p>
    <w:p w:rsidR="00EB5AF7" w:rsidRDefault="00EB5AF7" w:rsidP="00B35B71">
      <w:pPr>
        <w:spacing w:after="0" w:line="240" w:lineRule="auto"/>
        <w:ind w:firstLine="708"/>
        <w:rPr>
          <w:rFonts w:ascii="Times New Roman" w:eastAsia="Calibri" w:hAnsi="Times New Roman" w:cs="Times New Roman"/>
          <w:szCs w:val="24"/>
        </w:rPr>
      </w:pPr>
      <w:r>
        <w:rPr>
          <w:rFonts w:ascii="Times New Roman" w:eastAsia="Calibri" w:hAnsi="Times New Roman" w:cs="Times New Roman"/>
          <w:szCs w:val="24"/>
        </w:rPr>
        <w:t>Por fim, a</w:t>
      </w:r>
      <w:r w:rsidRPr="00EB5AF7">
        <w:rPr>
          <w:rFonts w:ascii="Times New Roman" w:eastAsia="Calibri" w:hAnsi="Times New Roman" w:cs="Times New Roman"/>
          <w:szCs w:val="24"/>
        </w:rPr>
        <w:t xml:space="preserve">s conclusões </w:t>
      </w:r>
      <w:r>
        <w:rPr>
          <w:rFonts w:ascii="Times New Roman" w:eastAsia="Calibri" w:hAnsi="Times New Roman" w:cs="Times New Roman"/>
          <w:szCs w:val="24"/>
        </w:rPr>
        <w:t>do presente artigo</w:t>
      </w:r>
      <w:r w:rsidRPr="00EB5AF7">
        <w:rPr>
          <w:rFonts w:ascii="Times New Roman" w:eastAsia="Calibri" w:hAnsi="Times New Roman" w:cs="Times New Roman"/>
          <w:szCs w:val="24"/>
        </w:rPr>
        <w:t xml:space="preserve"> também vão ao encontro da atual visão institucional do </w:t>
      </w:r>
      <w:r w:rsidRPr="00614960">
        <w:rPr>
          <w:rFonts w:ascii="Times New Roman" w:eastAsia="Calibri" w:hAnsi="Times New Roman" w:cs="Times New Roman"/>
          <w:szCs w:val="24"/>
        </w:rPr>
        <w:t>FMI e com a experiência histórica bem-sucedida de outros países emergentes em termos de liberalização financeira externa, como</w:t>
      </w:r>
      <w:r w:rsidRPr="00EB5AF7">
        <w:rPr>
          <w:rFonts w:ascii="Times New Roman" w:eastAsia="Calibri" w:hAnsi="Times New Roman" w:cs="Times New Roman"/>
          <w:szCs w:val="24"/>
        </w:rPr>
        <w:t xml:space="preserve"> China e Índia</w:t>
      </w:r>
      <w:r w:rsidR="00614960">
        <w:rPr>
          <w:rFonts w:ascii="Times New Roman" w:eastAsia="Calibri" w:hAnsi="Times New Roman" w:cs="Times New Roman"/>
          <w:szCs w:val="24"/>
        </w:rPr>
        <w:t xml:space="preserve"> (Pilbeam, 2013; Gallagher, 2014; BIS, 2015)</w:t>
      </w:r>
      <w:r w:rsidRPr="00EB5AF7">
        <w:rPr>
          <w:rFonts w:ascii="Times New Roman" w:eastAsia="Calibri" w:hAnsi="Times New Roman" w:cs="Times New Roman"/>
          <w:szCs w:val="24"/>
        </w:rPr>
        <w:t xml:space="preserve">. Assim, mesmo </w:t>
      </w:r>
      <w:r w:rsidR="00F60A6C">
        <w:rPr>
          <w:rFonts w:ascii="Times New Roman" w:eastAsia="Calibri" w:hAnsi="Times New Roman" w:cs="Times New Roman"/>
          <w:szCs w:val="24"/>
        </w:rPr>
        <w:t>se mantida a suposição convencional a respeito dos benefícios d</w:t>
      </w:r>
      <w:r w:rsidRPr="00EB5AF7">
        <w:rPr>
          <w:rFonts w:ascii="Times New Roman" w:eastAsia="Calibri" w:hAnsi="Times New Roman" w:cs="Times New Roman"/>
          <w:szCs w:val="24"/>
        </w:rPr>
        <w:t xml:space="preserve">as medidas de desregulamentação financeira, há que se perseguir uma estratégia pragmática, a qual </w:t>
      </w:r>
      <w:r w:rsidR="006630B1">
        <w:rPr>
          <w:rFonts w:ascii="Times New Roman" w:eastAsia="Calibri" w:hAnsi="Times New Roman" w:cs="Times New Roman"/>
          <w:szCs w:val="24"/>
        </w:rPr>
        <w:t>não prescinde</w:t>
      </w:r>
      <w:r w:rsidRPr="00EB5AF7">
        <w:rPr>
          <w:rFonts w:ascii="Times New Roman" w:eastAsia="Calibri" w:hAnsi="Times New Roman" w:cs="Times New Roman"/>
          <w:szCs w:val="24"/>
        </w:rPr>
        <w:t xml:space="preserve"> </w:t>
      </w:r>
      <w:r w:rsidR="006630B1">
        <w:rPr>
          <w:rFonts w:ascii="Times New Roman" w:eastAsia="Calibri" w:hAnsi="Times New Roman" w:cs="Times New Roman"/>
          <w:szCs w:val="24"/>
        </w:rPr>
        <w:t>d</w:t>
      </w:r>
      <w:r w:rsidRPr="00EB5AF7">
        <w:rPr>
          <w:rFonts w:ascii="Times New Roman" w:eastAsia="Calibri" w:hAnsi="Times New Roman" w:cs="Times New Roman"/>
          <w:szCs w:val="24"/>
        </w:rPr>
        <w:t>o emprego de controles de capital e medidas macroprudenciais, principalmente, durante a ascensão do ciclo financeiro global, período no qual as economias emergentes e em desenvolvimento precisam lidar com influxos excessivos de capitais de curto prazo, advindos das economias centrais e caracterizados pelo caráter pró-cíclico e altamente volátil.</w:t>
      </w:r>
    </w:p>
    <w:p w:rsidR="007B57CF" w:rsidRPr="00B35B71" w:rsidRDefault="007B57CF" w:rsidP="00B35B71">
      <w:pPr>
        <w:spacing w:after="0" w:line="240" w:lineRule="auto"/>
        <w:rPr>
          <w:rFonts w:ascii="Times New Roman" w:hAnsi="Times New Roman" w:cs="Times New Roman"/>
          <w:b/>
          <w:szCs w:val="24"/>
        </w:rPr>
      </w:pPr>
    </w:p>
    <w:p w:rsidR="007E2745" w:rsidRPr="002B39EE" w:rsidRDefault="007E2745" w:rsidP="00B35B71">
      <w:pPr>
        <w:spacing w:after="0" w:line="240" w:lineRule="auto"/>
        <w:rPr>
          <w:rFonts w:ascii="Times New Roman" w:hAnsi="Times New Roman" w:cs="Times New Roman"/>
          <w:b/>
          <w:szCs w:val="24"/>
          <w:lang w:val="en-US"/>
        </w:rPr>
      </w:pPr>
      <w:r w:rsidRPr="002B39EE">
        <w:rPr>
          <w:rFonts w:ascii="Times New Roman" w:hAnsi="Times New Roman" w:cs="Times New Roman"/>
          <w:b/>
          <w:szCs w:val="24"/>
          <w:lang w:val="en-US"/>
        </w:rPr>
        <w:t>Referências</w:t>
      </w:r>
    </w:p>
    <w:p w:rsidR="004662FD" w:rsidRPr="00614960" w:rsidRDefault="004662FD" w:rsidP="00B35B71">
      <w:pPr>
        <w:pStyle w:val="Lista"/>
        <w:spacing w:before="120"/>
        <w:jc w:val="both"/>
        <w:rPr>
          <w:sz w:val="24"/>
          <w:szCs w:val="24"/>
          <w:lang w:val="en-US"/>
        </w:rPr>
      </w:pPr>
      <w:r w:rsidRPr="00614960">
        <w:rPr>
          <w:sz w:val="24"/>
          <w:szCs w:val="24"/>
          <w:lang w:val="en-US"/>
        </w:rPr>
        <w:t xml:space="preserve">AKYÜZ, Y. Internationalization of finance and changing vulnerabilities in emerging and developing economies. South Centre Research Paper, Switzerland, n. 60, </w:t>
      </w:r>
      <w:r w:rsidR="00614960">
        <w:rPr>
          <w:sz w:val="24"/>
          <w:szCs w:val="24"/>
          <w:lang w:val="en-US"/>
        </w:rPr>
        <w:t>Jan</w:t>
      </w:r>
      <w:r w:rsidRPr="00614960">
        <w:rPr>
          <w:sz w:val="24"/>
          <w:szCs w:val="24"/>
          <w:lang w:val="en-US"/>
        </w:rPr>
        <w:t>. 2015.</w:t>
      </w:r>
    </w:p>
    <w:p w:rsidR="004662FD" w:rsidRPr="00614960" w:rsidRDefault="004662FD" w:rsidP="00B35B71">
      <w:pPr>
        <w:pStyle w:val="Lista"/>
        <w:spacing w:before="120"/>
        <w:jc w:val="both"/>
        <w:rPr>
          <w:sz w:val="24"/>
          <w:szCs w:val="24"/>
          <w:lang w:val="en-US"/>
        </w:rPr>
      </w:pPr>
      <w:r w:rsidRPr="00614960">
        <w:rPr>
          <w:sz w:val="24"/>
          <w:szCs w:val="24"/>
          <w:lang w:val="en-US"/>
        </w:rPr>
        <w:t xml:space="preserve">ALESINA, A.; GRILLI, V.; MILESI-FERRETTI, G. The political economy of capital controls. NBER Working Paper Series, Cambridge (MA), n. 4353, </w:t>
      </w:r>
      <w:r w:rsidR="00614960">
        <w:rPr>
          <w:sz w:val="24"/>
          <w:szCs w:val="24"/>
          <w:lang w:val="en-US"/>
        </w:rPr>
        <w:t>May</w:t>
      </w:r>
      <w:r w:rsidRPr="00614960">
        <w:rPr>
          <w:sz w:val="24"/>
          <w:szCs w:val="24"/>
          <w:lang w:val="en-US"/>
        </w:rPr>
        <w:t>. 1993.</w:t>
      </w:r>
    </w:p>
    <w:p w:rsidR="004662FD" w:rsidRPr="00614960" w:rsidRDefault="004662FD" w:rsidP="00B35B71">
      <w:pPr>
        <w:pStyle w:val="Lista"/>
        <w:spacing w:before="120"/>
        <w:jc w:val="both"/>
        <w:rPr>
          <w:sz w:val="24"/>
          <w:szCs w:val="24"/>
          <w:lang w:val="en-US"/>
        </w:rPr>
      </w:pPr>
      <w:r w:rsidRPr="00614960">
        <w:rPr>
          <w:sz w:val="24"/>
          <w:szCs w:val="24"/>
          <w:lang w:val="en-US"/>
        </w:rPr>
        <w:t xml:space="preserve">AL-SADIG, A. J. Outward foreign direct investment and domestic investment: the case of developing countries. IMF Working Paper, Washington D. C. n. 52, </w:t>
      </w:r>
      <w:r w:rsidR="00614960">
        <w:rPr>
          <w:sz w:val="24"/>
          <w:szCs w:val="24"/>
          <w:lang w:val="en-US"/>
        </w:rPr>
        <w:t>Feb</w:t>
      </w:r>
      <w:r w:rsidRPr="00614960">
        <w:rPr>
          <w:sz w:val="24"/>
          <w:szCs w:val="24"/>
          <w:lang w:val="en-US"/>
        </w:rPr>
        <w:t>. 2013.</w:t>
      </w:r>
    </w:p>
    <w:p w:rsidR="004662FD" w:rsidRPr="00614960" w:rsidRDefault="004662FD" w:rsidP="00B35B71">
      <w:pPr>
        <w:pStyle w:val="Lista"/>
        <w:spacing w:before="120"/>
        <w:jc w:val="both"/>
        <w:rPr>
          <w:sz w:val="24"/>
          <w:szCs w:val="24"/>
          <w:lang w:val="en-US"/>
        </w:rPr>
      </w:pPr>
      <w:r w:rsidRPr="00614960">
        <w:rPr>
          <w:sz w:val="24"/>
          <w:szCs w:val="24"/>
          <w:lang w:val="en-US"/>
        </w:rPr>
        <w:t>AMSDEN, A. The rise of ‘the ‘Rest’: challenges to the west from late-industrializing economies. New York City: Oxford University Press, 2001.</w:t>
      </w:r>
    </w:p>
    <w:p w:rsidR="004662FD" w:rsidRPr="00614960" w:rsidRDefault="004662FD" w:rsidP="00B35B71">
      <w:pPr>
        <w:pStyle w:val="Lista"/>
        <w:spacing w:before="120"/>
        <w:jc w:val="both"/>
        <w:rPr>
          <w:sz w:val="24"/>
          <w:szCs w:val="24"/>
          <w:lang w:val="en-US"/>
        </w:rPr>
      </w:pPr>
      <w:r w:rsidRPr="00614960">
        <w:rPr>
          <w:sz w:val="24"/>
          <w:szCs w:val="24"/>
          <w:lang w:val="en-US"/>
        </w:rPr>
        <w:t>ARESTIS, P.; PAULA, L. F. R. Introduction. In: ARESTIS, P. (Org.); PAULA, L. F. R. (Org.). Financial Liberalization and Economic Performance in Emerging Countries. Basingstoke: Palgrave Macmillan, 2008.</w:t>
      </w:r>
    </w:p>
    <w:p w:rsidR="004662FD" w:rsidRPr="00F0604E" w:rsidRDefault="004662FD" w:rsidP="00B35B71">
      <w:pPr>
        <w:pStyle w:val="Lista"/>
        <w:spacing w:before="120"/>
        <w:jc w:val="both"/>
        <w:rPr>
          <w:sz w:val="24"/>
          <w:szCs w:val="24"/>
        </w:rPr>
      </w:pPr>
      <w:r w:rsidRPr="00F0604E">
        <w:rPr>
          <w:sz w:val="24"/>
          <w:szCs w:val="24"/>
        </w:rPr>
        <w:t>ARIDA, P. Ainda a conversibilidade. Revista de Economia Política, São Paulo, v. 23, n. 3, p. 135-142, jul.-set. 2003a.</w:t>
      </w:r>
    </w:p>
    <w:p w:rsidR="004662FD" w:rsidRPr="00F0604E" w:rsidRDefault="004662FD" w:rsidP="00B35B71">
      <w:pPr>
        <w:pStyle w:val="Lista"/>
        <w:spacing w:before="120"/>
        <w:jc w:val="both"/>
        <w:rPr>
          <w:sz w:val="24"/>
          <w:szCs w:val="24"/>
        </w:rPr>
      </w:pPr>
      <w:r w:rsidRPr="00F0604E">
        <w:rPr>
          <w:sz w:val="24"/>
          <w:szCs w:val="24"/>
        </w:rPr>
        <w:t>ARIDA, P. Aspectos macroeconômicos da conversibilidade: uma discussão do caso brasileiro. 2004. Disponível em: http://www.econ.puc-rio.br/gfranco/Conversibilidade.Arida.25.02.pdf. Acesso em: 15 mar. 2015.</w:t>
      </w:r>
    </w:p>
    <w:p w:rsidR="004662FD" w:rsidRPr="00F0604E" w:rsidRDefault="004662FD" w:rsidP="00B35B71">
      <w:pPr>
        <w:pStyle w:val="Lista"/>
        <w:spacing w:before="120"/>
        <w:jc w:val="both"/>
        <w:rPr>
          <w:sz w:val="24"/>
          <w:szCs w:val="24"/>
        </w:rPr>
      </w:pPr>
      <w:r w:rsidRPr="00F0604E">
        <w:rPr>
          <w:sz w:val="24"/>
          <w:szCs w:val="24"/>
        </w:rPr>
        <w:t>ARIDA, P. Por uma moeda plenamente conversível. Revista de Economia Política, São Paulo, v. 23, n. 3, p. 151-154, jul.-set. 2003b.</w:t>
      </w:r>
    </w:p>
    <w:p w:rsidR="004662FD" w:rsidRPr="00F0604E" w:rsidRDefault="004662FD" w:rsidP="00B35B71">
      <w:pPr>
        <w:pStyle w:val="Lista"/>
        <w:spacing w:before="120"/>
        <w:jc w:val="both"/>
        <w:rPr>
          <w:sz w:val="24"/>
          <w:szCs w:val="24"/>
        </w:rPr>
      </w:pPr>
      <w:r w:rsidRPr="00F0604E">
        <w:rPr>
          <w:sz w:val="24"/>
          <w:szCs w:val="24"/>
        </w:rPr>
        <w:t>BELLUZZO, L. G.; CARNEIRO, R. O mito da conversibilidade. Revista de Economia Política, São Paulo, v. 24, n. 2, p. 218-222, abr.-jun. 2004.</w:t>
      </w:r>
    </w:p>
    <w:p w:rsidR="004662FD" w:rsidRPr="00F0604E" w:rsidRDefault="004662FD" w:rsidP="00B35B71">
      <w:pPr>
        <w:pStyle w:val="Lista"/>
        <w:spacing w:before="120"/>
        <w:jc w:val="both"/>
        <w:rPr>
          <w:sz w:val="24"/>
          <w:szCs w:val="24"/>
        </w:rPr>
      </w:pPr>
      <w:r w:rsidRPr="00F0604E">
        <w:rPr>
          <w:sz w:val="24"/>
          <w:szCs w:val="24"/>
        </w:rPr>
        <w:t>BIANCARELI, A. Liberalização financeira e política econômica no Brasil recente: três momentos e duas visões. In: Anais do IX Encontro Nacional de Economia Política, Uberlândia: SEP, 2004.</w:t>
      </w:r>
    </w:p>
    <w:p w:rsidR="004662FD" w:rsidRPr="00614960" w:rsidRDefault="004662FD" w:rsidP="00B35B71">
      <w:pPr>
        <w:pStyle w:val="Lista"/>
        <w:spacing w:before="120"/>
        <w:jc w:val="both"/>
        <w:rPr>
          <w:sz w:val="24"/>
          <w:szCs w:val="24"/>
          <w:lang w:val="en-US"/>
        </w:rPr>
      </w:pPr>
      <w:r w:rsidRPr="00614960">
        <w:rPr>
          <w:sz w:val="24"/>
          <w:szCs w:val="24"/>
          <w:lang w:val="en-US"/>
        </w:rPr>
        <w:t>BIS. 85th Annual Report. Basileia: Bank for International Settlements, 2015.</w:t>
      </w:r>
    </w:p>
    <w:p w:rsidR="004662FD" w:rsidRPr="00F0604E" w:rsidRDefault="004662FD" w:rsidP="00B35B71">
      <w:pPr>
        <w:pStyle w:val="Lista"/>
        <w:spacing w:before="120"/>
        <w:jc w:val="both"/>
        <w:rPr>
          <w:sz w:val="24"/>
          <w:szCs w:val="24"/>
          <w:lang w:val="es-AR"/>
        </w:rPr>
      </w:pPr>
      <w:r w:rsidRPr="00F0604E">
        <w:rPr>
          <w:sz w:val="24"/>
          <w:szCs w:val="24"/>
          <w:lang w:val="es-AR"/>
        </w:rPr>
        <w:t>BLOCK, F. L. Las Orígenes del Desorden Económico Internacional. Ciudad de Mexico: Fondo de Cultura, 1980.</w:t>
      </w:r>
    </w:p>
    <w:p w:rsidR="004662FD" w:rsidRPr="00614960" w:rsidRDefault="004662FD" w:rsidP="00B35B71">
      <w:pPr>
        <w:pStyle w:val="Lista"/>
        <w:spacing w:before="120"/>
        <w:jc w:val="both"/>
        <w:rPr>
          <w:sz w:val="24"/>
          <w:szCs w:val="24"/>
          <w:lang w:val="en-US"/>
        </w:rPr>
      </w:pPr>
      <w:r w:rsidRPr="00614960">
        <w:rPr>
          <w:sz w:val="24"/>
          <w:szCs w:val="24"/>
          <w:lang w:val="en-US"/>
        </w:rPr>
        <w:t>BORIO, C. The financial cycle and macroeconomics: What have we learnt? BIS Working Paper, Basle, n. 395, dez. 2012.</w:t>
      </w:r>
    </w:p>
    <w:p w:rsidR="004662FD" w:rsidRPr="00F0604E" w:rsidRDefault="004662FD" w:rsidP="00B35B71">
      <w:pPr>
        <w:pStyle w:val="Lista"/>
        <w:spacing w:before="120"/>
        <w:jc w:val="both"/>
        <w:rPr>
          <w:sz w:val="24"/>
          <w:szCs w:val="24"/>
        </w:rPr>
      </w:pPr>
      <w:r w:rsidRPr="00614960">
        <w:rPr>
          <w:sz w:val="24"/>
          <w:szCs w:val="24"/>
          <w:lang w:val="en-US"/>
        </w:rPr>
        <w:t xml:space="preserve">BORIO, C. The international monetary and financial system: its Achilles heel and what to do about it. </w:t>
      </w:r>
      <w:r w:rsidRPr="00F0604E">
        <w:rPr>
          <w:sz w:val="24"/>
          <w:szCs w:val="24"/>
        </w:rPr>
        <w:t>BIS Working Papers, Basle, n. 456, ago. 2014.</w:t>
      </w:r>
    </w:p>
    <w:p w:rsidR="004662FD" w:rsidRPr="00614960" w:rsidRDefault="004662FD" w:rsidP="00B35B71">
      <w:pPr>
        <w:pStyle w:val="Lista"/>
        <w:spacing w:before="120"/>
        <w:jc w:val="both"/>
        <w:rPr>
          <w:sz w:val="24"/>
          <w:szCs w:val="24"/>
          <w:lang w:val="en-US"/>
        </w:rPr>
      </w:pPr>
      <w:r w:rsidRPr="00614960">
        <w:rPr>
          <w:sz w:val="24"/>
          <w:szCs w:val="24"/>
          <w:lang w:val="en-US"/>
        </w:rPr>
        <w:lastRenderedPageBreak/>
        <w:t>CAMPBELL, J.Y.; PERRON, P. Pitfalls and opportunities: what macroeconomists should know about unit roots and cointegration. Cambridge, MA: MIT Press, 1991.</w:t>
      </w:r>
    </w:p>
    <w:p w:rsidR="004662FD" w:rsidRPr="00614960" w:rsidRDefault="004662FD" w:rsidP="00B35B71">
      <w:pPr>
        <w:pStyle w:val="Lista"/>
        <w:spacing w:before="120"/>
        <w:jc w:val="both"/>
        <w:rPr>
          <w:sz w:val="24"/>
          <w:szCs w:val="24"/>
          <w:lang w:val="en-US"/>
        </w:rPr>
      </w:pPr>
      <w:r w:rsidRPr="00614960">
        <w:rPr>
          <w:sz w:val="24"/>
          <w:szCs w:val="24"/>
          <w:lang w:val="en-US"/>
        </w:rPr>
        <w:t>CARDOSO, E., GOLDFAJN, I. Capital Flows to Brazil: endogeneity of capital controls. IMF Staff Papers, Washington D. C., v. 45, n. 1, p. 161-202, mar. 1998.</w:t>
      </w:r>
    </w:p>
    <w:p w:rsidR="004662FD" w:rsidRPr="00614960" w:rsidRDefault="004662FD" w:rsidP="00B35B71">
      <w:pPr>
        <w:pStyle w:val="Lista"/>
        <w:spacing w:before="120"/>
        <w:jc w:val="both"/>
        <w:rPr>
          <w:sz w:val="24"/>
          <w:szCs w:val="24"/>
          <w:lang w:val="en-US"/>
        </w:rPr>
      </w:pPr>
      <w:r w:rsidRPr="00614960">
        <w:rPr>
          <w:sz w:val="24"/>
          <w:szCs w:val="24"/>
          <w:lang w:val="en-US"/>
        </w:rPr>
        <w:t>CARVALHO, B.; GARCIA, M. Ineffective controls on capital inflows under sophisticated financial markets: Brazil in the nineties. In: EDWARDS, S.; GARCIA, M. Financial markets volatility and performance in emerging markets. Chicago: University of Chicago Press, 2008. p. 29-95.</w:t>
      </w:r>
    </w:p>
    <w:p w:rsidR="004662FD" w:rsidRPr="00614960" w:rsidRDefault="004662FD" w:rsidP="00B35B71">
      <w:pPr>
        <w:pStyle w:val="Lista"/>
        <w:spacing w:before="120"/>
        <w:jc w:val="both"/>
        <w:rPr>
          <w:sz w:val="24"/>
          <w:szCs w:val="24"/>
          <w:lang w:val="en-US"/>
        </w:rPr>
      </w:pPr>
      <w:r w:rsidRPr="00614960">
        <w:rPr>
          <w:sz w:val="24"/>
          <w:szCs w:val="24"/>
          <w:lang w:val="en-US"/>
        </w:rPr>
        <w:t>CHAMON, M.; GARCIA, M. Capital controls in Brazil: effective? Paper presented at the 15th Jacques Polak annual conference, Washington D. C., nov. 2014.</w:t>
      </w:r>
    </w:p>
    <w:p w:rsidR="004662FD" w:rsidRPr="00614960" w:rsidRDefault="004662FD" w:rsidP="00B35B71">
      <w:pPr>
        <w:pStyle w:val="Lista"/>
        <w:spacing w:before="120"/>
        <w:jc w:val="both"/>
        <w:rPr>
          <w:sz w:val="24"/>
          <w:szCs w:val="24"/>
          <w:lang w:val="en-US"/>
        </w:rPr>
      </w:pPr>
      <w:r w:rsidRPr="00614960">
        <w:rPr>
          <w:sz w:val="24"/>
          <w:szCs w:val="24"/>
          <w:lang w:val="en-US"/>
        </w:rPr>
        <w:t>CHIN, M.; ITO, H. A New Measure of Financial Openness. Journal of Comparative Policy Analysis, v. 10, p. 309–22, 2008.</w:t>
      </w:r>
    </w:p>
    <w:p w:rsidR="004662FD" w:rsidRPr="00614960" w:rsidRDefault="004662FD" w:rsidP="00B35B71">
      <w:pPr>
        <w:pStyle w:val="Lista"/>
        <w:spacing w:before="120"/>
        <w:jc w:val="both"/>
        <w:rPr>
          <w:sz w:val="24"/>
          <w:szCs w:val="24"/>
          <w:lang w:val="en-US"/>
        </w:rPr>
      </w:pPr>
      <w:r w:rsidRPr="00614960">
        <w:rPr>
          <w:sz w:val="24"/>
          <w:szCs w:val="24"/>
          <w:lang w:val="en-US"/>
        </w:rPr>
        <w:t>CROOTY, J. On Keynes and capital flight. Journal of Economic Literature, Pittsburgh, v. 21, n. 1, p. 59-65, mar. 1983.</w:t>
      </w:r>
    </w:p>
    <w:p w:rsidR="00814A28" w:rsidRPr="003A10CF" w:rsidRDefault="00814A28" w:rsidP="00814A28">
      <w:pPr>
        <w:tabs>
          <w:tab w:val="left" w:pos="720"/>
        </w:tabs>
        <w:spacing w:after="0" w:line="240" w:lineRule="auto"/>
        <w:ind w:left="397" w:hanging="397"/>
        <w:rPr>
          <w:rFonts w:ascii="Times New Roman" w:hAnsi="Times New Roman" w:cs="Times New Roman"/>
          <w:szCs w:val="24"/>
        </w:rPr>
      </w:pPr>
      <w:r w:rsidRPr="003A10CF">
        <w:rPr>
          <w:rFonts w:ascii="Times New Roman" w:hAnsi="Times New Roman" w:cs="Times New Roman"/>
          <w:szCs w:val="24"/>
        </w:rPr>
        <w:t>CUNHA, A. M.; LAAN, C. R. V. D. Uma nova ordem financeira internacional? Avaliando alternativas para o Brasil. Texto para Discussão UFRGS, Porto Alegre, n. 5, 2013.</w:t>
      </w:r>
    </w:p>
    <w:p w:rsidR="004662FD" w:rsidRPr="00F0604E" w:rsidRDefault="004662FD" w:rsidP="00B35B71">
      <w:pPr>
        <w:pStyle w:val="Lista"/>
        <w:spacing w:before="120"/>
        <w:jc w:val="both"/>
        <w:rPr>
          <w:sz w:val="24"/>
          <w:szCs w:val="24"/>
        </w:rPr>
      </w:pPr>
      <w:bookmarkStart w:id="2" w:name="_GoBack"/>
      <w:bookmarkEnd w:id="2"/>
      <w:r w:rsidRPr="00001811">
        <w:rPr>
          <w:sz w:val="24"/>
          <w:szCs w:val="24"/>
        </w:rPr>
        <w:t>DAMASCENO, A. O. Liberalização da conta de capitais e crescimento econômico: evidências de dados em painel para a América L</w:t>
      </w:r>
      <w:r w:rsidRPr="00F0604E">
        <w:rPr>
          <w:sz w:val="24"/>
          <w:szCs w:val="24"/>
        </w:rPr>
        <w:t>atina. Revista de Economia Política, São Paulo, v. 28, p. 595-611, 2008.</w:t>
      </w:r>
    </w:p>
    <w:p w:rsidR="004662FD" w:rsidRPr="00F0604E" w:rsidRDefault="004662FD" w:rsidP="00B35B71">
      <w:pPr>
        <w:pStyle w:val="Lista"/>
        <w:spacing w:before="120"/>
        <w:jc w:val="both"/>
        <w:rPr>
          <w:sz w:val="24"/>
          <w:szCs w:val="24"/>
        </w:rPr>
      </w:pPr>
      <w:r w:rsidRPr="00F0604E">
        <w:rPr>
          <w:sz w:val="24"/>
          <w:szCs w:val="24"/>
        </w:rPr>
        <w:t>DAVIDSON, P. Financial Markets, Money and the Real World. Aldershot: Edward Elgar, 2002.</w:t>
      </w:r>
    </w:p>
    <w:p w:rsidR="004662FD" w:rsidRPr="00614960" w:rsidRDefault="004662FD" w:rsidP="00B35B71">
      <w:pPr>
        <w:pStyle w:val="Lista"/>
        <w:spacing w:before="120"/>
        <w:jc w:val="both"/>
        <w:rPr>
          <w:sz w:val="24"/>
          <w:szCs w:val="24"/>
          <w:lang w:val="en-US"/>
        </w:rPr>
      </w:pPr>
      <w:r w:rsidRPr="00614960">
        <w:rPr>
          <w:sz w:val="24"/>
          <w:szCs w:val="24"/>
          <w:lang w:val="en-US"/>
        </w:rPr>
        <w:t>DICKEY, D.; JANSEN, D.; THORNTON, D. A primer on cointegration with an application to money and income. In: RAO, B. Cointegration for the applied economist. 2. ed. New York City: Palgrave Macmillan, 2007.</w:t>
      </w:r>
    </w:p>
    <w:p w:rsidR="004662FD" w:rsidRPr="00614960" w:rsidRDefault="004662FD" w:rsidP="00B35B71">
      <w:pPr>
        <w:pStyle w:val="Lista"/>
        <w:spacing w:before="120"/>
        <w:jc w:val="both"/>
        <w:rPr>
          <w:sz w:val="24"/>
          <w:szCs w:val="24"/>
          <w:lang w:val="en-US"/>
        </w:rPr>
      </w:pPr>
      <w:r w:rsidRPr="00614960">
        <w:rPr>
          <w:sz w:val="24"/>
          <w:szCs w:val="24"/>
          <w:lang w:val="en-US"/>
        </w:rPr>
        <w:t>EDISON, H.; KLEIN, M.; RICCI, L.; SLOK, T. Capital Account Liberalization and Economic Performance: a review of the literature. IMF Working Paper, Washington D. C., n. 120, jul. 2002a.</w:t>
      </w:r>
    </w:p>
    <w:p w:rsidR="004662FD" w:rsidRPr="00614960" w:rsidRDefault="004662FD" w:rsidP="00B35B71">
      <w:pPr>
        <w:pStyle w:val="Lista"/>
        <w:spacing w:before="120"/>
        <w:jc w:val="both"/>
        <w:rPr>
          <w:sz w:val="24"/>
          <w:szCs w:val="24"/>
          <w:lang w:val="en-US"/>
        </w:rPr>
      </w:pPr>
      <w:r w:rsidRPr="00614960">
        <w:rPr>
          <w:sz w:val="24"/>
          <w:szCs w:val="24"/>
          <w:lang w:val="en-US"/>
        </w:rPr>
        <w:t>EDISON, H.; LEVINE, R.; RICCI, L.; SLOK, T. International Financial Integration and Economic Growth. Journal of International Money and Finance, v. 21, n. 6, pp. 749–76, ago. 2002b.</w:t>
      </w:r>
    </w:p>
    <w:p w:rsidR="004662FD" w:rsidRPr="00F0604E" w:rsidRDefault="004662FD" w:rsidP="00B35B71">
      <w:pPr>
        <w:pStyle w:val="Lista"/>
        <w:spacing w:before="120"/>
        <w:jc w:val="both"/>
        <w:rPr>
          <w:sz w:val="24"/>
          <w:szCs w:val="24"/>
          <w:lang w:val="en-US"/>
        </w:rPr>
      </w:pPr>
      <w:r w:rsidRPr="00F0604E">
        <w:rPr>
          <w:sz w:val="24"/>
          <w:szCs w:val="24"/>
        </w:rPr>
        <w:t xml:space="preserve">EICHENGREEN, B. A globalização do capital: uma história do sistema monetário internacional. </w:t>
      </w:r>
      <w:r w:rsidRPr="00F0604E">
        <w:rPr>
          <w:sz w:val="24"/>
          <w:szCs w:val="24"/>
          <w:lang w:val="en-US"/>
        </w:rPr>
        <w:t>São Paulo: Editora 34, 2000.</w:t>
      </w:r>
    </w:p>
    <w:p w:rsidR="004662FD" w:rsidRPr="00F0604E" w:rsidRDefault="004662FD" w:rsidP="00B35B71">
      <w:pPr>
        <w:pStyle w:val="Lista"/>
        <w:spacing w:before="120"/>
        <w:jc w:val="both"/>
        <w:rPr>
          <w:sz w:val="24"/>
          <w:szCs w:val="24"/>
        </w:rPr>
      </w:pPr>
      <w:r w:rsidRPr="00614960">
        <w:rPr>
          <w:sz w:val="24"/>
          <w:szCs w:val="24"/>
          <w:lang w:val="en-US"/>
        </w:rPr>
        <w:t xml:space="preserve">FARIA, J.A.; PAULA, L. F. R.; MEYER, T. R.; PIRES, M. C. C. Financial liberalization, economic performance and macroeconomic stability in Brazil: an assessment of the recent period. </w:t>
      </w:r>
      <w:r w:rsidRPr="00F0604E">
        <w:rPr>
          <w:sz w:val="24"/>
          <w:szCs w:val="24"/>
        </w:rPr>
        <w:t>In: Anais do 37º Encontro Nacional de Economia da ANPEC. Foz do Iguaçu: ANPEC, 2009.</w:t>
      </w:r>
    </w:p>
    <w:p w:rsidR="004662FD" w:rsidRPr="00F0604E" w:rsidRDefault="004662FD" w:rsidP="00B35B71">
      <w:pPr>
        <w:pStyle w:val="Lista"/>
        <w:spacing w:before="120"/>
        <w:jc w:val="both"/>
        <w:rPr>
          <w:sz w:val="24"/>
          <w:szCs w:val="24"/>
        </w:rPr>
      </w:pPr>
      <w:r w:rsidRPr="00F0604E">
        <w:rPr>
          <w:sz w:val="24"/>
          <w:szCs w:val="24"/>
        </w:rPr>
        <w:t>FERRARI FILHO, F.; JAYME JUNIOR, F.; LIMA, G. T; OREIRO, J. L; PAULA, L. F. Uma avaliação crítica da proposta de conversibilidade plena do Real. Revista de Economia Política, São Paulo, v. 25, n. 1, jan.-mar. 2005.</w:t>
      </w:r>
    </w:p>
    <w:p w:rsidR="004662FD" w:rsidRPr="00614960" w:rsidRDefault="004662FD" w:rsidP="00B35B71">
      <w:pPr>
        <w:pStyle w:val="Lista"/>
        <w:spacing w:before="120"/>
        <w:jc w:val="both"/>
        <w:rPr>
          <w:sz w:val="24"/>
          <w:szCs w:val="24"/>
          <w:lang w:val="en-US"/>
        </w:rPr>
      </w:pPr>
      <w:r w:rsidRPr="00614960">
        <w:rPr>
          <w:sz w:val="24"/>
          <w:szCs w:val="24"/>
          <w:lang w:val="en-US"/>
        </w:rPr>
        <w:t xml:space="preserve">FISCHER, S. Capital account liberalization and the role of IMF. Essays in International Finance, Princeton, n. 207, p. 1-11, </w:t>
      </w:r>
      <w:r w:rsidR="00614960">
        <w:rPr>
          <w:sz w:val="24"/>
          <w:szCs w:val="24"/>
          <w:lang w:val="en-US"/>
        </w:rPr>
        <w:t>M</w:t>
      </w:r>
      <w:r w:rsidR="00614960" w:rsidRPr="00614960">
        <w:rPr>
          <w:sz w:val="24"/>
          <w:szCs w:val="24"/>
          <w:lang w:val="en-US"/>
        </w:rPr>
        <w:t>ay</w:t>
      </w:r>
      <w:r w:rsidRPr="00614960">
        <w:rPr>
          <w:sz w:val="24"/>
          <w:szCs w:val="24"/>
          <w:lang w:val="en-US"/>
        </w:rPr>
        <w:t>. 1998.</w:t>
      </w:r>
    </w:p>
    <w:p w:rsidR="004662FD" w:rsidRDefault="004662FD" w:rsidP="00B35B71">
      <w:pPr>
        <w:pStyle w:val="Lista"/>
        <w:spacing w:before="120"/>
        <w:jc w:val="both"/>
        <w:rPr>
          <w:sz w:val="24"/>
          <w:szCs w:val="24"/>
          <w:lang w:val="en-US"/>
        </w:rPr>
      </w:pPr>
      <w:r w:rsidRPr="00614960">
        <w:rPr>
          <w:sz w:val="24"/>
          <w:szCs w:val="24"/>
          <w:lang w:val="en-US"/>
        </w:rPr>
        <w:t xml:space="preserve">GALLAGHER, K. P. The Myth of Financial Protectionism: The New (and Old) Economics of Capital Controls. PERI Working Paper, Amherst, n. 278, </w:t>
      </w:r>
      <w:r w:rsidR="00614960" w:rsidRPr="00614960">
        <w:rPr>
          <w:sz w:val="24"/>
          <w:szCs w:val="24"/>
          <w:lang w:val="en-US"/>
        </w:rPr>
        <w:t>Jan.</w:t>
      </w:r>
      <w:r w:rsidRPr="00614960">
        <w:rPr>
          <w:sz w:val="24"/>
          <w:szCs w:val="24"/>
          <w:lang w:val="en-US"/>
        </w:rPr>
        <w:t xml:space="preserve"> 2012.</w:t>
      </w:r>
    </w:p>
    <w:p w:rsidR="00614960" w:rsidRPr="00614960" w:rsidRDefault="00614960" w:rsidP="00B35B71">
      <w:pPr>
        <w:pStyle w:val="Lista"/>
        <w:spacing w:before="120"/>
        <w:jc w:val="both"/>
        <w:rPr>
          <w:sz w:val="24"/>
          <w:szCs w:val="24"/>
          <w:lang w:val="en-US"/>
        </w:rPr>
      </w:pPr>
      <w:r>
        <w:rPr>
          <w:sz w:val="24"/>
          <w:szCs w:val="24"/>
          <w:lang w:val="en-US"/>
        </w:rPr>
        <w:t xml:space="preserve">GALLAGHERM K. P. Ruling Capital: </w:t>
      </w:r>
      <w:r w:rsidRPr="00614960">
        <w:rPr>
          <w:sz w:val="24"/>
          <w:szCs w:val="24"/>
          <w:lang w:val="en-US"/>
        </w:rPr>
        <w:t>Emerging Markets and the Reregulation of Cross-Border Finance</w:t>
      </w:r>
      <w:r>
        <w:rPr>
          <w:sz w:val="24"/>
          <w:szCs w:val="24"/>
          <w:lang w:val="en-US"/>
        </w:rPr>
        <w:t xml:space="preserve">. </w:t>
      </w:r>
      <w:r w:rsidRPr="00614960">
        <w:rPr>
          <w:sz w:val="24"/>
          <w:szCs w:val="24"/>
          <w:lang w:val="en-US"/>
        </w:rPr>
        <w:t>Cornell University Press</w:t>
      </w:r>
    </w:p>
    <w:p w:rsidR="004662FD" w:rsidRPr="00614960" w:rsidRDefault="004662FD" w:rsidP="00B35B71">
      <w:pPr>
        <w:pStyle w:val="Lista"/>
        <w:spacing w:before="120"/>
        <w:jc w:val="both"/>
        <w:rPr>
          <w:sz w:val="24"/>
          <w:szCs w:val="24"/>
          <w:lang w:val="en-US"/>
        </w:rPr>
      </w:pPr>
      <w:r w:rsidRPr="00614960">
        <w:rPr>
          <w:sz w:val="24"/>
          <w:szCs w:val="24"/>
          <w:lang w:val="en-US"/>
        </w:rPr>
        <w:t>GRABEL, I. Speculation-led Economic Development: A Post-Keynesian Interpretation of Financial Liberalization in the Third World. International Review of Applied Economics, v. 9, n. 2, p. 127-149, 1995.</w:t>
      </w:r>
    </w:p>
    <w:p w:rsidR="004662FD" w:rsidRPr="00614960" w:rsidRDefault="004662FD" w:rsidP="00B35B71">
      <w:pPr>
        <w:pStyle w:val="Lista"/>
        <w:spacing w:before="120"/>
        <w:jc w:val="both"/>
        <w:rPr>
          <w:sz w:val="24"/>
          <w:szCs w:val="24"/>
          <w:lang w:val="en-US"/>
        </w:rPr>
      </w:pPr>
      <w:r w:rsidRPr="00614960">
        <w:rPr>
          <w:sz w:val="24"/>
          <w:szCs w:val="24"/>
          <w:lang w:val="en-US"/>
        </w:rPr>
        <w:lastRenderedPageBreak/>
        <w:t>HARVEY, A. C. Forecasting Structural Time Series Models and the Kalman Filter. Cambridge: Cambridge University Press, 1989.</w:t>
      </w:r>
    </w:p>
    <w:p w:rsidR="004662FD" w:rsidRPr="00614960" w:rsidRDefault="004662FD" w:rsidP="00B35B71">
      <w:pPr>
        <w:pStyle w:val="Lista"/>
        <w:spacing w:before="120"/>
        <w:jc w:val="both"/>
        <w:rPr>
          <w:sz w:val="24"/>
          <w:szCs w:val="24"/>
          <w:lang w:val="en-US"/>
        </w:rPr>
      </w:pPr>
      <w:r w:rsidRPr="00614960">
        <w:rPr>
          <w:sz w:val="24"/>
          <w:szCs w:val="24"/>
          <w:lang w:val="en-US"/>
        </w:rPr>
        <w:t>JOHANSEN, S; JUSELIUS, K. Maximum likelihood estimation and inference on cointegration with applications to demand for money. Oxford Bulletin of Economics Statistics, v. 52, n. 2, p. 169-210, 1990.</w:t>
      </w:r>
    </w:p>
    <w:p w:rsidR="004662FD" w:rsidRPr="00614960" w:rsidRDefault="004662FD" w:rsidP="00B35B71">
      <w:pPr>
        <w:pStyle w:val="Lista"/>
        <w:spacing w:before="120"/>
        <w:jc w:val="both"/>
        <w:rPr>
          <w:sz w:val="24"/>
          <w:szCs w:val="24"/>
          <w:lang w:val="en-US"/>
        </w:rPr>
      </w:pPr>
      <w:r w:rsidRPr="00614960">
        <w:rPr>
          <w:sz w:val="24"/>
          <w:szCs w:val="24"/>
          <w:lang w:val="en-US"/>
        </w:rPr>
        <w:t>JUSELIUS, K. The Cointegrated VAR Model. New York: Oxford University Press, 2006.</w:t>
      </w:r>
    </w:p>
    <w:p w:rsidR="004662FD" w:rsidRPr="00614960" w:rsidRDefault="004662FD" w:rsidP="00B35B71">
      <w:pPr>
        <w:pStyle w:val="Lista"/>
        <w:spacing w:before="120"/>
        <w:jc w:val="both"/>
        <w:rPr>
          <w:sz w:val="24"/>
          <w:szCs w:val="24"/>
          <w:lang w:val="en-US"/>
        </w:rPr>
      </w:pPr>
      <w:r w:rsidRPr="00614960">
        <w:rPr>
          <w:sz w:val="24"/>
          <w:szCs w:val="24"/>
          <w:lang w:val="en-US"/>
        </w:rPr>
        <w:t>KLEIN, M. Capital controls: gates versus walls. NBER Working Paper, Cambridge (MA), n. 18526, nov. 2012.</w:t>
      </w:r>
    </w:p>
    <w:p w:rsidR="004662FD" w:rsidRPr="00814A28" w:rsidRDefault="004662FD" w:rsidP="00B35B71">
      <w:pPr>
        <w:pStyle w:val="Lista"/>
        <w:spacing w:before="120"/>
        <w:jc w:val="both"/>
        <w:rPr>
          <w:sz w:val="24"/>
          <w:szCs w:val="24"/>
        </w:rPr>
      </w:pPr>
      <w:r w:rsidRPr="00614960">
        <w:rPr>
          <w:sz w:val="24"/>
          <w:szCs w:val="24"/>
          <w:lang w:val="en-US"/>
        </w:rPr>
        <w:t xml:space="preserve">KRAAY, A. In Search of Macroeconomic Effects of Capital Account Liberalization. </w:t>
      </w:r>
      <w:r w:rsidRPr="00814A28">
        <w:rPr>
          <w:sz w:val="24"/>
          <w:szCs w:val="24"/>
        </w:rPr>
        <w:t>Washington D.C.: World Bank, 1998.</w:t>
      </w:r>
    </w:p>
    <w:p w:rsidR="004662FD" w:rsidRPr="00F0604E" w:rsidRDefault="004662FD" w:rsidP="00B35B71">
      <w:pPr>
        <w:pStyle w:val="Lista"/>
        <w:spacing w:before="120"/>
        <w:jc w:val="both"/>
        <w:rPr>
          <w:sz w:val="24"/>
          <w:szCs w:val="24"/>
        </w:rPr>
      </w:pPr>
      <w:r w:rsidRPr="00F0604E">
        <w:rPr>
          <w:sz w:val="24"/>
          <w:szCs w:val="24"/>
        </w:rPr>
        <w:t>KREGEL, J. Riscos e implicações da globalização financeira para a autonomia de políticas nacionais. Economia e Sociedade, Campinas, n. 7, p. 29-49, dez. 1996.</w:t>
      </w:r>
    </w:p>
    <w:p w:rsidR="004662FD" w:rsidRPr="00614960" w:rsidRDefault="004662FD" w:rsidP="00B35B71">
      <w:pPr>
        <w:pStyle w:val="Lista"/>
        <w:spacing w:before="120"/>
        <w:jc w:val="both"/>
        <w:rPr>
          <w:sz w:val="24"/>
          <w:szCs w:val="24"/>
          <w:lang w:val="en-US"/>
        </w:rPr>
      </w:pPr>
      <w:r w:rsidRPr="00F0604E">
        <w:rPr>
          <w:sz w:val="24"/>
          <w:szCs w:val="24"/>
        </w:rPr>
        <w:t xml:space="preserve">LAAN, C. R. V. D. Liberalização da Conta de Capitais: Evolução e Evidências para o Caso Brasileiro Recente (1990-2005). </w:t>
      </w:r>
      <w:r w:rsidRPr="00614960">
        <w:rPr>
          <w:sz w:val="24"/>
          <w:szCs w:val="24"/>
          <w:lang w:val="en-US"/>
        </w:rPr>
        <w:t xml:space="preserve">Rio de Janeiro: BNDES, 2007.  </w:t>
      </w:r>
    </w:p>
    <w:p w:rsidR="004662FD" w:rsidRPr="00614960" w:rsidRDefault="004662FD" w:rsidP="00B35B71">
      <w:pPr>
        <w:pStyle w:val="Lista"/>
        <w:spacing w:before="120"/>
        <w:jc w:val="both"/>
        <w:rPr>
          <w:sz w:val="24"/>
          <w:szCs w:val="24"/>
          <w:lang w:val="en-US"/>
        </w:rPr>
      </w:pPr>
      <w:r w:rsidRPr="00614960">
        <w:rPr>
          <w:sz w:val="24"/>
          <w:szCs w:val="24"/>
          <w:lang w:val="en-US"/>
        </w:rPr>
        <w:t>LANE, P. R.; MILESI-FERRETTI G. M. The external wealth of nations mark II: revised and extended estimatives of foreign assets and liabilities, 1970-2004. IMF Working Paper, Washington D. C., n. 69, mar. 2006.</w:t>
      </w:r>
    </w:p>
    <w:p w:rsidR="004662FD" w:rsidRPr="00614960" w:rsidRDefault="004662FD" w:rsidP="00B35B71">
      <w:pPr>
        <w:pStyle w:val="Lista"/>
        <w:spacing w:before="120"/>
        <w:jc w:val="both"/>
        <w:rPr>
          <w:sz w:val="24"/>
          <w:szCs w:val="24"/>
          <w:lang w:val="en-US"/>
        </w:rPr>
      </w:pPr>
      <w:r w:rsidRPr="00614960">
        <w:rPr>
          <w:sz w:val="24"/>
          <w:szCs w:val="24"/>
          <w:lang w:val="en-US"/>
        </w:rPr>
        <w:t>LEVINE, R. International finance liberalization and economic growth. Review of International Economics, v. 9, n. 4, p. 688-702, 2001.</w:t>
      </w:r>
    </w:p>
    <w:p w:rsidR="004662FD" w:rsidRPr="00614960" w:rsidRDefault="004662FD" w:rsidP="00B35B71">
      <w:pPr>
        <w:pStyle w:val="Lista"/>
        <w:spacing w:before="120"/>
        <w:jc w:val="both"/>
        <w:rPr>
          <w:sz w:val="24"/>
          <w:szCs w:val="24"/>
          <w:lang w:val="en-US"/>
        </w:rPr>
      </w:pPr>
      <w:r w:rsidRPr="00614960">
        <w:rPr>
          <w:sz w:val="24"/>
          <w:szCs w:val="24"/>
          <w:lang w:val="en-US"/>
        </w:rPr>
        <w:t>LEVINE, R.; ZERVOS, S. Stock market development and long-run growth. World Bank Economic Review, Washington D. C., v. 10, n. 2, p. 323-39, mar. 1996.</w:t>
      </w:r>
    </w:p>
    <w:p w:rsidR="004662FD" w:rsidRPr="00614960" w:rsidRDefault="004662FD" w:rsidP="00B35B71">
      <w:pPr>
        <w:pStyle w:val="Lista"/>
        <w:spacing w:before="120"/>
        <w:jc w:val="both"/>
        <w:rPr>
          <w:sz w:val="24"/>
          <w:szCs w:val="24"/>
          <w:lang w:val="en-US"/>
        </w:rPr>
      </w:pPr>
      <w:r w:rsidRPr="00614960">
        <w:rPr>
          <w:sz w:val="24"/>
          <w:szCs w:val="24"/>
          <w:lang w:val="en-US"/>
        </w:rPr>
        <w:t>MCKINNON, R. I. Money and Capital in Economic Development. Washington, DC: Brookings Institution, 1973.</w:t>
      </w:r>
    </w:p>
    <w:p w:rsidR="004662FD" w:rsidRPr="00614960" w:rsidRDefault="004662FD" w:rsidP="00B35B71">
      <w:pPr>
        <w:pStyle w:val="Lista"/>
        <w:spacing w:before="120"/>
        <w:jc w:val="both"/>
        <w:rPr>
          <w:sz w:val="24"/>
          <w:szCs w:val="24"/>
          <w:lang w:val="en-US"/>
        </w:rPr>
      </w:pPr>
      <w:r w:rsidRPr="00614960">
        <w:rPr>
          <w:sz w:val="24"/>
          <w:szCs w:val="24"/>
          <w:lang w:val="en-US"/>
        </w:rPr>
        <w:t>MEESE, R. A.; ROGOFF, K. Was It Real? The Exchange Rate-Interest Differential Relation over the Modern Floating-Rate Period. Journal of Finance, n. 43, p. 933–48, fev. 1988.</w:t>
      </w:r>
    </w:p>
    <w:p w:rsidR="004662FD" w:rsidRPr="00F0604E" w:rsidRDefault="004662FD" w:rsidP="00B35B71">
      <w:pPr>
        <w:pStyle w:val="Lista"/>
        <w:spacing w:before="120"/>
        <w:jc w:val="both"/>
        <w:rPr>
          <w:sz w:val="24"/>
          <w:szCs w:val="24"/>
        </w:rPr>
      </w:pPr>
      <w:r w:rsidRPr="00614960">
        <w:rPr>
          <w:sz w:val="24"/>
          <w:szCs w:val="24"/>
          <w:lang w:val="en-US"/>
        </w:rPr>
        <w:t xml:space="preserve">MINSKY, H. P. Financial Integration and National Economic Policy. </w:t>
      </w:r>
      <w:r w:rsidRPr="00F0604E">
        <w:rPr>
          <w:sz w:val="24"/>
          <w:szCs w:val="24"/>
        </w:rPr>
        <w:t>1993. Disponível em: http://digitalcommons.bard.edu/hm_archive/41/. Acesso em: 15 mar. 2015.</w:t>
      </w:r>
    </w:p>
    <w:p w:rsidR="004662FD" w:rsidRPr="00614960" w:rsidRDefault="004662FD" w:rsidP="00B35B71">
      <w:pPr>
        <w:pStyle w:val="Lista"/>
        <w:spacing w:before="120"/>
        <w:jc w:val="both"/>
        <w:rPr>
          <w:sz w:val="24"/>
          <w:szCs w:val="24"/>
          <w:lang w:val="en-US"/>
        </w:rPr>
      </w:pPr>
      <w:r w:rsidRPr="00614960">
        <w:rPr>
          <w:sz w:val="24"/>
          <w:szCs w:val="24"/>
          <w:lang w:val="en-US"/>
        </w:rPr>
        <w:t>MINSKY, H. P. Stabilizing an unstable economy. New Haven: Yale University Press, 1986.</w:t>
      </w:r>
    </w:p>
    <w:p w:rsidR="004662FD" w:rsidRPr="00614960" w:rsidRDefault="004662FD" w:rsidP="00B35B71">
      <w:pPr>
        <w:pStyle w:val="Lista"/>
        <w:spacing w:before="120"/>
        <w:jc w:val="both"/>
        <w:rPr>
          <w:sz w:val="24"/>
          <w:szCs w:val="24"/>
          <w:lang w:val="en-US"/>
        </w:rPr>
      </w:pPr>
      <w:r w:rsidRPr="00614960">
        <w:rPr>
          <w:sz w:val="24"/>
          <w:szCs w:val="24"/>
          <w:lang w:val="en-US"/>
        </w:rPr>
        <w:t>MISHKIN, F. Is Financial Globalization Beneficial? NBER Working Paper, Cambridge (MA), n. 11891, dez. 2005.</w:t>
      </w:r>
    </w:p>
    <w:p w:rsidR="004662FD" w:rsidRPr="00614960" w:rsidRDefault="004662FD" w:rsidP="00B35B71">
      <w:pPr>
        <w:pStyle w:val="Lista"/>
        <w:spacing w:before="120"/>
        <w:jc w:val="both"/>
        <w:rPr>
          <w:sz w:val="24"/>
          <w:szCs w:val="24"/>
          <w:lang w:val="en-US"/>
        </w:rPr>
      </w:pPr>
      <w:r w:rsidRPr="00F0604E">
        <w:rPr>
          <w:sz w:val="24"/>
          <w:szCs w:val="24"/>
        </w:rPr>
        <w:t xml:space="preserve">MUNHOZ, V. C. V. Vulnerabilidade externa e controle de capitais no Brasil: uma análise das inter-relações entre câmbio, fluxos de capitais, IOF, juros e risco-país. </w:t>
      </w:r>
      <w:r w:rsidRPr="00614960">
        <w:rPr>
          <w:sz w:val="24"/>
          <w:szCs w:val="24"/>
          <w:lang w:val="en-US"/>
        </w:rPr>
        <w:t>Nova Economia, Belo Horizonte, v. 23, p. 371-402, 2013.</w:t>
      </w:r>
    </w:p>
    <w:p w:rsidR="004662FD" w:rsidRPr="00614960" w:rsidRDefault="004662FD" w:rsidP="00B35B71">
      <w:pPr>
        <w:pStyle w:val="Lista"/>
        <w:spacing w:before="120"/>
        <w:jc w:val="both"/>
        <w:rPr>
          <w:sz w:val="24"/>
          <w:szCs w:val="24"/>
          <w:lang w:val="en-US"/>
        </w:rPr>
      </w:pPr>
      <w:r w:rsidRPr="00614960">
        <w:rPr>
          <w:sz w:val="24"/>
          <w:szCs w:val="24"/>
          <w:lang w:val="en-US"/>
        </w:rPr>
        <w:t>NIER, E.; SEDIK, T. S.; MONDINO, T. Gross Private Capital Flows to Emerging Markets: Can the Global Financial Cycle Be Tamed? IMF Working Paper, Washington D. C., n. 196, out. 2014.</w:t>
      </w:r>
    </w:p>
    <w:p w:rsidR="004662FD" w:rsidRPr="00A672FF" w:rsidRDefault="004662FD" w:rsidP="00B35B71">
      <w:pPr>
        <w:pStyle w:val="Lista"/>
        <w:spacing w:before="120"/>
        <w:jc w:val="both"/>
        <w:rPr>
          <w:sz w:val="24"/>
          <w:szCs w:val="24"/>
        </w:rPr>
      </w:pPr>
      <w:r w:rsidRPr="00614960">
        <w:rPr>
          <w:sz w:val="24"/>
          <w:szCs w:val="24"/>
          <w:lang w:val="en-US"/>
        </w:rPr>
        <w:t xml:space="preserve">OBSTFELD, M.; TAYLOR, A. M. Global capital markets: integration, crisis and growth. </w:t>
      </w:r>
      <w:r w:rsidRPr="00A672FF">
        <w:rPr>
          <w:sz w:val="24"/>
          <w:szCs w:val="24"/>
        </w:rPr>
        <w:t>New York: Cambridge University Press, 2004.</w:t>
      </w:r>
    </w:p>
    <w:p w:rsidR="004662FD" w:rsidRPr="00F0604E" w:rsidRDefault="004662FD" w:rsidP="00B35B71">
      <w:pPr>
        <w:pStyle w:val="Lista"/>
        <w:spacing w:before="120"/>
        <w:jc w:val="both"/>
        <w:rPr>
          <w:sz w:val="24"/>
          <w:szCs w:val="24"/>
        </w:rPr>
      </w:pPr>
      <w:r w:rsidRPr="00F0604E">
        <w:rPr>
          <w:sz w:val="24"/>
          <w:szCs w:val="24"/>
        </w:rPr>
        <w:t>OREIRO, J. L. Autonomia de política econômica, fragilidade externa e equilíbrio do balanço de pagamentos: a teoria econômica dos controles de capitais. Economia &amp; Sociedade, Campinas, v. 13, n. 2 (23), p. 1-22, jul.-dez. 2004.</w:t>
      </w:r>
    </w:p>
    <w:p w:rsidR="004662FD" w:rsidRPr="00614960" w:rsidRDefault="004662FD" w:rsidP="00B35B71">
      <w:pPr>
        <w:pStyle w:val="Lista"/>
        <w:spacing w:before="120"/>
        <w:jc w:val="both"/>
        <w:rPr>
          <w:sz w:val="24"/>
          <w:szCs w:val="24"/>
          <w:lang w:val="en-US"/>
        </w:rPr>
      </w:pPr>
      <w:r w:rsidRPr="00A672FF">
        <w:rPr>
          <w:sz w:val="24"/>
          <w:szCs w:val="24"/>
          <w:lang w:val="en-US"/>
        </w:rPr>
        <w:t xml:space="preserve">OSTRY, J. D.; GHOSH, A. R.; HABERMEIER, K.; CHAMON, M.; QURESHI, M. S.; REINHARDT, D. B. S. Capital Inflows: The Role of Controls. </w:t>
      </w:r>
      <w:r w:rsidRPr="00614960">
        <w:rPr>
          <w:sz w:val="24"/>
          <w:szCs w:val="24"/>
          <w:lang w:val="en-US"/>
        </w:rPr>
        <w:t>Staff Position Note, Washington D. C., n. 4, fev. 2010.</w:t>
      </w:r>
    </w:p>
    <w:p w:rsidR="004662FD" w:rsidRPr="00614960" w:rsidRDefault="004662FD" w:rsidP="00B35B71">
      <w:pPr>
        <w:pStyle w:val="Lista"/>
        <w:spacing w:before="120"/>
        <w:jc w:val="both"/>
        <w:rPr>
          <w:sz w:val="24"/>
          <w:szCs w:val="24"/>
          <w:lang w:val="en-US"/>
        </w:rPr>
      </w:pPr>
      <w:r w:rsidRPr="00614960">
        <w:rPr>
          <w:sz w:val="24"/>
          <w:szCs w:val="24"/>
          <w:lang w:val="en-US"/>
        </w:rPr>
        <w:lastRenderedPageBreak/>
        <w:t>PALMA, G. How the full opening of the capital account to highly liquid financial markets led Latin America to two and a half cycles of ‘mania, panic and crash’. Cambridge Working Papers in Economics, Cambridge, n. 1201, jan. 2012.</w:t>
      </w:r>
    </w:p>
    <w:p w:rsidR="004662FD" w:rsidRPr="00614960" w:rsidRDefault="004662FD" w:rsidP="00B35B71">
      <w:pPr>
        <w:pStyle w:val="Lista"/>
        <w:spacing w:before="120"/>
        <w:jc w:val="both"/>
        <w:rPr>
          <w:sz w:val="24"/>
          <w:szCs w:val="24"/>
          <w:lang w:val="en-US"/>
        </w:rPr>
      </w:pPr>
      <w:r w:rsidRPr="00614960">
        <w:rPr>
          <w:sz w:val="24"/>
          <w:szCs w:val="24"/>
          <w:lang w:val="en-US"/>
        </w:rPr>
        <w:t xml:space="preserve">PAULA, L. F. R.; PIRES, M. C. C.; FARIA JUNIOR, J.A.; MEYER, T. R.. </w:t>
      </w:r>
      <w:r w:rsidRPr="00F0604E">
        <w:rPr>
          <w:sz w:val="24"/>
          <w:szCs w:val="24"/>
        </w:rPr>
        <w:t xml:space="preserve">Liberalização financeira, performance econômica e estabilidade macroeconômica no Brasil: uma análise do período 1994-2007. </w:t>
      </w:r>
      <w:r w:rsidRPr="00614960">
        <w:rPr>
          <w:sz w:val="24"/>
          <w:szCs w:val="24"/>
          <w:lang w:val="en-US"/>
        </w:rPr>
        <w:t>Nova Economia (Impresso), Belo Horizonte, v. 22, p. 561-596, 2012.</w:t>
      </w:r>
    </w:p>
    <w:p w:rsidR="004662FD" w:rsidRPr="00614960" w:rsidRDefault="004662FD" w:rsidP="00B35B71">
      <w:pPr>
        <w:pStyle w:val="Lista"/>
        <w:spacing w:before="120"/>
        <w:jc w:val="both"/>
        <w:rPr>
          <w:sz w:val="24"/>
          <w:szCs w:val="24"/>
          <w:lang w:val="en-US"/>
        </w:rPr>
      </w:pPr>
      <w:r w:rsidRPr="00614960">
        <w:rPr>
          <w:sz w:val="24"/>
          <w:szCs w:val="24"/>
          <w:lang w:val="en-US"/>
        </w:rPr>
        <w:t>PEREZ, C. Technological revolution and financial capital: the dynamics of bubbles and golden ages. Cheltenham: Edward Elgar, 2002.</w:t>
      </w:r>
    </w:p>
    <w:p w:rsidR="004662FD" w:rsidRPr="00614960" w:rsidRDefault="004662FD" w:rsidP="00B35B71">
      <w:pPr>
        <w:pStyle w:val="Lista"/>
        <w:spacing w:before="120"/>
        <w:jc w:val="both"/>
        <w:rPr>
          <w:sz w:val="24"/>
          <w:szCs w:val="24"/>
          <w:lang w:val="en-US"/>
        </w:rPr>
      </w:pPr>
      <w:r w:rsidRPr="00614960">
        <w:rPr>
          <w:sz w:val="24"/>
          <w:szCs w:val="24"/>
          <w:lang w:val="en-US"/>
        </w:rPr>
        <w:t>PESARAN, M. H.; SHIN, Y. Generalized impulse response analysis in linear multivariate models. Economics Letters, v. 58, n. 1, p. 17-29, 1998.</w:t>
      </w:r>
    </w:p>
    <w:p w:rsidR="004662FD" w:rsidRPr="00614960" w:rsidRDefault="004662FD" w:rsidP="00B35B71">
      <w:pPr>
        <w:pStyle w:val="Lista"/>
        <w:spacing w:before="120"/>
        <w:jc w:val="both"/>
        <w:rPr>
          <w:sz w:val="24"/>
          <w:szCs w:val="24"/>
          <w:lang w:val="en-US"/>
        </w:rPr>
      </w:pPr>
      <w:r w:rsidRPr="00614960">
        <w:rPr>
          <w:sz w:val="24"/>
          <w:szCs w:val="24"/>
          <w:lang w:val="en-US"/>
        </w:rPr>
        <w:t>PESARAN, M. H.; SHIN, Y. Generalized impulse response analysis in linear multivariate models. Economics Letters, v. 58, n. 1, p. 17-29, 1998.</w:t>
      </w:r>
    </w:p>
    <w:p w:rsidR="00614960" w:rsidRPr="00F0604E" w:rsidRDefault="00614960" w:rsidP="00B35B71">
      <w:pPr>
        <w:pStyle w:val="Lista"/>
        <w:spacing w:before="120"/>
        <w:jc w:val="both"/>
        <w:rPr>
          <w:sz w:val="24"/>
          <w:szCs w:val="24"/>
        </w:rPr>
      </w:pPr>
      <w:r w:rsidRPr="00614960">
        <w:rPr>
          <w:sz w:val="24"/>
          <w:szCs w:val="24"/>
          <w:lang w:val="en-US"/>
        </w:rPr>
        <w:t xml:space="preserve">PILBEAM, K. International Finance, 4th edition. </w:t>
      </w:r>
      <w:r w:rsidRPr="00F0604E">
        <w:rPr>
          <w:sz w:val="24"/>
          <w:szCs w:val="24"/>
        </w:rPr>
        <w:t>Houndmills: Palgrave Macmillan, 2013</w:t>
      </w:r>
    </w:p>
    <w:p w:rsidR="004662FD" w:rsidRPr="00F0604E" w:rsidRDefault="004662FD" w:rsidP="00B35B71">
      <w:pPr>
        <w:pStyle w:val="Lista"/>
        <w:spacing w:before="120"/>
        <w:jc w:val="both"/>
        <w:rPr>
          <w:sz w:val="24"/>
          <w:szCs w:val="24"/>
        </w:rPr>
      </w:pPr>
      <w:r w:rsidRPr="00F0604E">
        <w:rPr>
          <w:sz w:val="24"/>
          <w:szCs w:val="24"/>
        </w:rPr>
        <w:t>POLANYI, K. A Grande Transformação. Rio de Janeiro: Editora Elsevier, 2000.</w:t>
      </w:r>
    </w:p>
    <w:p w:rsidR="004662FD" w:rsidRPr="00614960" w:rsidRDefault="004662FD" w:rsidP="00B35B71">
      <w:pPr>
        <w:pStyle w:val="Lista"/>
        <w:spacing w:before="120"/>
        <w:jc w:val="both"/>
        <w:rPr>
          <w:sz w:val="24"/>
          <w:szCs w:val="24"/>
          <w:lang w:val="en-US"/>
        </w:rPr>
      </w:pPr>
      <w:r w:rsidRPr="00614960">
        <w:rPr>
          <w:sz w:val="24"/>
          <w:szCs w:val="24"/>
          <w:lang w:val="en-US"/>
        </w:rPr>
        <w:t>PRASAD, E.; RAJAN, R.; SUBRAMANIAN, A. Foreign capital and economic growth. IZA Discussion Papers, Bonn, n. 3186, nov. 2007.</w:t>
      </w:r>
    </w:p>
    <w:p w:rsidR="004662FD" w:rsidRPr="00614960" w:rsidRDefault="004662FD" w:rsidP="00B35B71">
      <w:pPr>
        <w:pStyle w:val="Lista"/>
        <w:spacing w:before="120"/>
        <w:jc w:val="both"/>
        <w:rPr>
          <w:sz w:val="24"/>
          <w:szCs w:val="24"/>
          <w:lang w:val="en-US"/>
        </w:rPr>
      </w:pPr>
      <w:r w:rsidRPr="00614960">
        <w:rPr>
          <w:sz w:val="24"/>
          <w:szCs w:val="24"/>
          <w:lang w:val="en-US"/>
        </w:rPr>
        <w:t>PRASAD, E.; ROGOFF, K.; WEI, S.; KOSE, M. A. Effects of Financial Globalization on Developing Countries: Some Empirical Evidence. Washington, DC: International Monetary Fund, 2003.</w:t>
      </w:r>
    </w:p>
    <w:p w:rsidR="004662FD" w:rsidRPr="00614960" w:rsidRDefault="004662FD" w:rsidP="00B35B71">
      <w:pPr>
        <w:pStyle w:val="Lista"/>
        <w:spacing w:before="120"/>
        <w:jc w:val="both"/>
        <w:rPr>
          <w:sz w:val="24"/>
          <w:szCs w:val="24"/>
          <w:lang w:val="en-US"/>
        </w:rPr>
      </w:pPr>
      <w:r w:rsidRPr="00614960">
        <w:rPr>
          <w:sz w:val="24"/>
          <w:szCs w:val="24"/>
          <w:lang w:val="en-US"/>
        </w:rPr>
        <w:t>QUINN, D.P. The correlates of changes in international financial regulation. American Political Science Review, Cambridge, v. 91, n. 3, p. 531-551, set. 1997.</w:t>
      </w:r>
    </w:p>
    <w:p w:rsidR="004662FD" w:rsidRPr="00614960" w:rsidRDefault="004662FD" w:rsidP="00B35B71">
      <w:pPr>
        <w:pStyle w:val="Lista"/>
        <w:spacing w:before="120"/>
        <w:jc w:val="both"/>
        <w:rPr>
          <w:sz w:val="24"/>
          <w:szCs w:val="24"/>
          <w:lang w:val="en-US"/>
        </w:rPr>
      </w:pPr>
      <w:r w:rsidRPr="00614960">
        <w:rPr>
          <w:sz w:val="24"/>
          <w:szCs w:val="24"/>
          <w:lang w:val="en-US"/>
        </w:rPr>
        <w:t>REY, H. Dilemma not Trilemma: The global financial cycle and monetary policy independence, Paper presented at the 25th Jackson Hole symposium, Kansas City, ago. 2013.</w:t>
      </w:r>
    </w:p>
    <w:p w:rsidR="004662FD" w:rsidRPr="00614960" w:rsidRDefault="004662FD" w:rsidP="00B35B71">
      <w:pPr>
        <w:pStyle w:val="Lista"/>
        <w:spacing w:before="120"/>
        <w:jc w:val="both"/>
        <w:rPr>
          <w:sz w:val="24"/>
          <w:szCs w:val="24"/>
          <w:lang w:val="en-US"/>
        </w:rPr>
      </w:pPr>
      <w:r w:rsidRPr="00614960">
        <w:rPr>
          <w:sz w:val="24"/>
          <w:szCs w:val="24"/>
          <w:lang w:val="en-US"/>
        </w:rPr>
        <w:t>SCHINDLER, M. Measuring financial integration: a new data set. IMF Staff Papers, Washington D. C., v. 56, n. 1, p. 222-238, 2009.</w:t>
      </w:r>
    </w:p>
    <w:p w:rsidR="004662FD" w:rsidRPr="00614960" w:rsidRDefault="004662FD" w:rsidP="00B35B71">
      <w:pPr>
        <w:pStyle w:val="Lista"/>
        <w:spacing w:before="120"/>
        <w:jc w:val="both"/>
        <w:rPr>
          <w:sz w:val="24"/>
          <w:szCs w:val="24"/>
          <w:lang w:val="en-US"/>
        </w:rPr>
      </w:pPr>
      <w:r w:rsidRPr="00614960">
        <w:rPr>
          <w:sz w:val="24"/>
          <w:szCs w:val="24"/>
          <w:lang w:val="en-US"/>
        </w:rPr>
        <w:t>SHAW, E. S. Financial Deepening in Economic Development. New York: Oxford University Press, 1973.</w:t>
      </w:r>
    </w:p>
    <w:p w:rsidR="004662FD" w:rsidRPr="00F0604E" w:rsidRDefault="004662FD" w:rsidP="00B35B71">
      <w:pPr>
        <w:pStyle w:val="Lista"/>
        <w:spacing w:before="120"/>
        <w:jc w:val="both"/>
        <w:rPr>
          <w:sz w:val="24"/>
          <w:szCs w:val="24"/>
        </w:rPr>
      </w:pPr>
      <w:r w:rsidRPr="00F0604E">
        <w:rPr>
          <w:sz w:val="24"/>
          <w:szCs w:val="24"/>
        </w:rPr>
        <w:t>SOIHET, E. Índice de controle de capitais: uma análise da legislação e dos determinantes do fluxo de capital no Brasil no período 1990-2000. Dissertação (Mestrado em Economia) - Fundação Getúlio Vargas, Rio de Janeiro, 2002.</w:t>
      </w:r>
    </w:p>
    <w:p w:rsidR="004662FD" w:rsidRPr="00614960" w:rsidRDefault="004662FD" w:rsidP="00B35B71">
      <w:pPr>
        <w:pStyle w:val="Lista"/>
        <w:spacing w:before="120"/>
        <w:jc w:val="both"/>
        <w:rPr>
          <w:sz w:val="24"/>
          <w:szCs w:val="24"/>
          <w:lang w:val="en-US"/>
        </w:rPr>
      </w:pPr>
      <w:r w:rsidRPr="00614960">
        <w:rPr>
          <w:sz w:val="24"/>
          <w:szCs w:val="24"/>
          <w:lang w:val="en-US"/>
        </w:rPr>
        <w:t>SOLOW, R. M.. A Contribution to the Theory of Economic Growth. The Quarterly Journal of Economics, Oxford, v. 70, n. 1. p. 65-94, 1956.</w:t>
      </w:r>
    </w:p>
    <w:p w:rsidR="004662FD" w:rsidRPr="00614960" w:rsidRDefault="004662FD" w:rsidP="00B35B71">
      <w:pPr>
        <w:pStyle w:val="Lista"/>
        <w:spacing w:before="120"/>
        <w:jc w:val="both"/>
        <w:rPr>
          <w:sz w:val="24"/>
          <w:szCs w:val="24"/>
          <w:lang w:val="en-US"/>
        </w:rPr>
      </w:pPr>
      <w:r w:rsidRPr="00614960">
        <w:rPr>
          <w:sz w:val="24"/>
          <w:szCs w:val="24"/>
          <w:lang w:val="en-US"/>
        </w:rPr>
        <w:t>STIGLITZ, J. Capital market liberalization, economic growth, and instability. World Development, Washington D. C., v. 28, n. 6, p. 1075-1086, 2000.</w:t>
      </w:r>
    </w:p>
    <w:p w:rsidR="004662FD" w:rsidRPr="00614960" w:rsidRDefault="004662FD" w:rsidP="00B35B71">
      <w:pPr>
        <w:pStyle w:val="Lista"/>
        <w:spacing w:before="120"/>
        <w:jc w:val="both"/>
        <w:rPr>
          <w:sz w:val="24"/>
          <w:szCs w:val="24"/>
          <w:lang w:val="en-US"/>
        </w:rPr>
      </w:pPr>
      <w:r w:rsidRPr="00614960">
        <w:rPr>
          <w:sz w:val="24"/>
          <w:szCs w:val="24"/>
          <w:lang w:val="en-US"/>
        </w:rPr>
        <w:t>STRANGE, S. Mad money: when markets outgrow governments. Ann Arbor: University of Michigan Press, 1998.</w:t>
      </w:r>
    </w:p>
    <w:p w:rsidR="004662FD" w:rsidRPr="00271119" w:rsidRDefault="004662FD" w:rsidP="00B35B71">
      <w:pPr>
        <w:pStyle w:val="Lista"/>
        <w:spacing w:before="120"/>
        <w:jc w:val="both"/>
        <w:rPr>
          <w:sz w:val="24"/>
          <w:szCs w:val="24"/>
          <w:lang w:val="en-US"/>
        </w:rPr>
      </w:pPr>
      <w:r w:rsidRPr="00F0604E">
        <w:rPr>
          <w:sz w:val="24"/>
          <w:szCs w:val="24"/>
        </w:rPr>
        <w:t xml:space="preserve">THIRLWALL, A. P. A Natureza do Crescimento Econômico: um referencial alternativo para compreender o desempenho das nações. </w:t>
      </w:r>
      <w:r w:rsidRPr="00271119">
        <w:rPr>
          <w:sz w:val="24"/>
          <w:szCs w:val="24"/>
          <w:lang w:val="en-US"/>
        </w:rPr>
        <w:t>Brasília: IPEA, 2005.</w:t>
      </w:r>
    </w:p>
    <w:p w:rsidR="00614960" w:rsidRPr="00271119" w:rsidRDefault="00614960" w:rsidP="00B35B71">
      <w:pPr>
        <w:pStyle w:val="Lista"/>
        <w:spacing w:before="120"/>
        <w:jc w:val="both"/>
        <w:rPr>
          <w:sz w:val="24"/>
          <w:szCs w:val="24"/>
          <w:lang w:val="en-US"/>
        </w:rPr>
      </w:pPr>
      <w:r w:rsidRPr="00271119">
        <w:rPr>
          <w:sz w:val="24"/>
          <w:szCs w:val="24"/>
          <w:lang w:val="en-US"/>
        </w:rPr>
        <w:t xml:space="preserve">TOMZ, M. International Finance. In: CARLSNAES, W.; RISSE, T.; SIMMONS, B. A. Handbook of International Relations. London: SAGE Publications Ltd, 2014. </w:t>
      </w:r>
    </w:p>
    <w:p w:rsidR="004662FD" w:rsidRPr="00614960" w:rsidRDefault="004662FD" w:rsidP="00B35B71">
      <w:pPr>
        <w:pStyle w:val="Lista"/>
        <w:spacing w:before="120"/>
        <w:jc w:val="both"/>
        <w:rPr>
          <w:sz w:val="24"/>
          <w:szCs w:val="24"/>
          <w:lang w:val="en-US"/>
        </w:rPr>
      </w:pPr>
      <w:r w:rsidRPr="00614960">
        <w:rPr>
          <w:sz w:val="24"/>
          <w:szCs w:val="24"/>
          <w:lang w:val="en-US"/>
        </w:rPr>
        <w:t>TSAY, R. Analysis of Financial Time Series. New Jersey: John Wiley &amp; Sons, 2005.</w:t>
      </w:r>
    </w:p>
    <w:p w:rsidR="004662FD" w:rsidRPr="00614960" w:rsidRDefault="004662FD" w:rsidP="00B35B71">
      <w:pPr>
        <w:pStyle w:val="Lista"/>
        <w:spacing w:before="120"/>
        <w:jc w:val="both"/>
        <w:rPr>
          <w:sz w:val="24"/>
          <w:szCs w:val="24"/>
          <w:lang w:val="en-US"/>
        </w:rPr>
      </w:pPr>
      <w:r w:rsidRPr="00614960">
        <w:rPr>
          <w:sz w:val="24"/>
          <w:szCs w:val="24"/>
          <w:lang w:val="en-US"/>
        </w:rPr>
        <w:t>WOLFSON, M. H.; EPSTEIN, G. A. The Handbook of the Political Economy of Financial Crises. Oxford: Oxford University Press, 2013.</w:t>
      </w:r>
    </w:p>
    <w:p w:rsidR="007E2745" w:rsidRPr="00614960" w:rsidRDefault="007E2745" w:rsidP="00B35B71">
      <w:pPr>
        <w:pStyle w:val="Lista"/>
        <w:spacing w:before="120" w:after="120" w:line="360" w:lineRule="auto"/>
        <w:jc w:val="both"/>
        <w:rPr>
          <w:sz w:val="24"/>
          <w:szCs w:val="24"/>
          <w:lang w:val="en-US"/>
        </w:rPr>
      </w:pPr>
    </w:p>
    <w:sectPr w:rsidR="007E2745" w:rsidRPr="00614960" w:rsidSect="00950601">
      <w:footerReference w:type="default" r:id="rId11"/>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7E1" w:rsidRDefault="007947E1" w:rsidP="0030403C">
      <w:pPr>
        <w:spacing w:before="0" w:after="0" w:line="240" w:lineRule="auto"/>
      </w:pPr>
      <w:r>
        <w:separator/>
      </w:r>
    </w:p>
  </w:endnote>
  <w:endnote w:type="continuationSeparator" w:id="0">
    <w:p w:rsidR="007947E1" w:rsidRDefault="007947E1" w:rsidP="003040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3966080"/>
      <w:docPartObj>
        <w:docPartGallery w:val="Page Numbers (Bottom of Page)"/>
        <w:docPartUnique/>
      </w:docPartObj>
    </w:sdtPr>
    <w:sdtEndPr>
      <w:rPr>
        <w:sz w:val="18"/>
        <w:szCs w:val="18"/>
      </w:rPr>
    </w:sdtEndPr>
    <w:sdtContent>
      <w:p w:rsidR="00DF7396" w:rsidRPr="003013C8" w:rsidRDefault="00DF7396">
        <w:pPr>
          <w:pStyle w:val="Rodap"/>
          <w:jc w:val="right"/>
          <w:rPr>
            <w:sz w:val="18"/>
            <w:szCs w:val="18"/>
          </w:rPr>
        </w:pPr>
        <w:r w:rsidRPr="003013C8">
          <w:rPr>
            <w:sz w:val="18"/>
            <w:szCs w:val="18"/>
          </w:rPr>
          <w:fldChar w:fldCharType="begin"/>
        </w:r>
        <w:r w:rsidRPr="003013C8">
          <w:rPr>
            <w:sz w:val="18"/>
            <w:szCs w:val="18"/>
          </w:rPr>
          <w:instrText>PAGE   \* MERGEFORMAT</w:instrText>
        </w:r>
        <w:r w:rsidRPr="003013C8">
          <w:rPr>
            <w:sz w:val="18"/>
            <w:szCs w:val="18"/>
          </w:rPr>
          <w:fldChar w:fldCharType="separate"/>
        </w:r>
        <w:r w:rsidR="00814A28">
          <w:rPr>
            <w:noProof/>
            <w:sz w:val="18"/>
            <w:szCs w:val="18"/>
          </w:rPr>
          <w:t>1</w:t>
        </w:r>
        <w:r w:rsidRPr="003013C8">
          <w:rPr>
            <w:sz w:val="18"/>
            <w:szCs w:val="18"/>
          </w:rPr>
          <w:fldChar w:fldCharType="end"/>
        </w:r>
      </w:p>
    </w:sdtContent>
  </w:sdt>
  <w:p w:rsidR="00DF7396" w:rsidRDefault="00DF739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7E1" w:rsidRDefault="007947E1" w:rsidP="0030403C">
      <w:pPr>
        <w:spacing w:before="0" w:after="0" w:line="240" w:lineRule="auto"/>
      </w:pPr>
      <w:r>
        <w:separator/>
      </w:r>
    </w:p>
  </w:footnote>
  <w:footnote w:type="continuationSeparator" w:id="0">
    <w:p w:rsidR="007947E1" w:rsidRDefault="007947E1" w:rsidP="0030403C">
      <w:pPr>
        <w:spacing w:before="0" w:after="0" w:line="240" w:lineRule="auto"/>
      </w:pPr>
      <w:r>
        <w:continuationSeparator/>
      </w:r>
    </w:p>
  </w:footnote>
  <w:footnote w:id="1">
    <w:p w:rsidR="00DF7396" w:rsidRPr="00A272EC" w:rsidRDefault="00DF7396" w:rsidP="00F0604E">
      <w:pPr>
        <w:pStyle w:val="Textodenotaderodap"/>
        <w:ind w:firstLine="0"/>
        <w:jc w:val="both"/>
        <w:rPr>
          <w:sz w:val="18"/>
          <w:szCs w:val="18"/>
        </w:rPr>
      </w:pPr>
      <w:r w:rsidRPr="00A272EC">
        <w:rPr>
          <w:rStyle w:val="Refdenotaderodap"/>
          <w:sz w:val="18"/>
          <w:szCs w:val="18"/>
        </w:rPr>
        <w:footnoteRef/>
      </w:r>
      <w:r w:rsidRPr="00A272EC">
        <w:rPr>
          <w:sz w:val="18"/>
          <w:szCs w:val="18"/>
        </w:rPr>
        <w:t xml:space="preserve"> </w:t>
      </w:r>
      <w:r>
        <w:rPr>
          <w:sz w:val="18"/>
          <w:szCs w:val="18"/>
        </w:rPr>
        <w:t>Doutorando</w:t>
      </w:r>
      <w:r w:rsidRPr="00A272EC">
        <w:rPr>
          <w:sz w:val="18"/>
          <w:szCs w:val="18"/>
        </w:rPr>
        <w:t xml:space="preserve"> no Programa de Pós-Graduação em Economia d</w:t>
      </w:r>
      <w:r>
        <w:rPr>
          <w:sz w:val="18"/>
          <w:szCs w:val="18"/>
        </w:rPr>
        <w:t xml:space="preserve">a </w:t>
      </w:r>
      <w:r w:rsidRPr="00A272EC">
        <w:rPr>
          <w:sz w:val="18"/>
          <w:szCs w:val="18"/>
        </w:rPr>
        <w:t>Universidade Federal do Rio Grande do Sul. Email:</w:t>
      </w:r>
      <w:r w:rsidRPr="00A272EC">
        <w:t xml:space="preserve"> </w:t>
      </w:r>
      <w:r w:rsidRPr="00A272EC">
        <w:rPr>
          <w:sz w:val="18"/>
          <w:szCs w:val="18"/>
        </w:rPr>
        <w:t>pperfeitodasilva@gmail.com</w:t>
      </w:r>
    </w:p>
  </w:footnote>
  <w:footnote w:id="2">
    <w:p w:rsidR="00DF7396" w:rsidRPr="007369AF" w:rsidRDefault="00DF7396" w:rsidP="00F0604E">
      <w:pPr>
        <w:pStyle w:val="Textodenotaderodap"/>
        <w:ind w:firstLine="0"/>
        <w:jc w:val="both"/>
        <w:rPr>
          <w:sz w:val="18"/>
          <w:szCs w:val="18"/>
        </w:rPr>
      </w:pPr>
      <w:r w:rsidRPr="007369AF">
        <w:rPr>
          <w:rStyle w:val="Refdenotaderodap"/>
          <w:sz w:val="18"/>
          <w:szCs w:val="18"/>
        </w:rPr>
        <w:footnoteRef/>
      </w:r>
      <w:r w:rsidRPr="007369AF">
        <w:rPr>
          <w:sz w:val="18"/>
          <w:szCs w:val="18"/>
        </w:rPr>
        <w:t xml:space="preserve"> Professor Associado do DERI/UFRGS e Pesquisador do CNPq. E-mail: andre.cunha@ufrgs.br.</w:t>
      </w:r>
    </w:p>
  </w:footnote>
  <w:footnote w:id="3">
    <w:p w:rsidR="00DF7396" w:rsidRDefault="00DF7396" w:rsidP="00F0604E">
      <w:pPr>
        <w:pStyle w:val="Textodenotaderodap"/>
        <w:ind w:firstLine="0"/>
        <w:jc w:val="both"/>
      </w:pPr>
      <w:r w:rsidRPr="00866A0F">
        <w:rPr>
          <w:rStyle w:val="Refdenotaderodap"/>
        </w:rPr>
        <w:footnoteRef/>
      </w:r>
      <w:r w:rsidRPr="00866A0F">
        <w:t xml:space="preserve"> </w:t>
      </w:r>
      <w:r w:rsidRPr="00866A0F">
        <w:rPr>
          <w:sz w:val="18"/>
          <w:szCs w:val="18"/>
        </w:rPr>
        <w:t>Professor Adjunto do DERI/UFRGS. E-mail: afhaines@ufrgs.br.</w:t>
      </w:r>
    </w:p>
  </w:footnote>
  <w:footnote w:id="4">
    <w:p w:rsidR="00DF7396" w:rsidRDefault="00DF7396" w:rsidP="00010567">
      <w:pPr>
        <w:pStyle w:val="Textodenotaderodap"/>
        <w:ind w:firstLine="0"/>
      </w:pPr>
      <w:r>
        <w:rPr>
          <w:rStyle w:val="Refdenotaderodap"/>
        </w:rPr>
        <w:footnoteRef/>
      </w:r>
      <w:r>
        <w:t xml:space="preserve"> Para mais informações, ver Minsky (1993), Strange (1998), Eichengreeen (2000), dentre outros.</w:t>
      </w:r>
    </w:p>
  </w:footnote>
  <w:footnote w:id="5">
    <w:p w:rsidR="00DF7396" w:rsidRDefault="00DF7396" w:rsidP="00863FBE">
      <w:pPr>
        <w:pStyle w:val="Textodenotaderodap"/>
        <w:ind w:firstLine="0"/>
        <w:jc w:val="both"/>
      </w:pPr>
      <w:r>
        <w:rPr>
          <w:rStyle w:val="Refdenotaderodap"/>
        </w:rPr>
        <w:footnoteRef/>
      </w:r>
      <w:r>
        <w:t xml:space="preserve"> Por conta capital e financeira, compreende-se os itens registrados sob essa terminologia nas metodologias mais recentes no que tange à mensuração do balanço de pagamentos, tais como a BPM5 e a BPM6. </w:t>
      </w:r>
    </w:p>
  </w:footnote>
  <w:footnote w:id="6">
    <w:p w:rsidR="00DF7396" w:rsidRPr="007A1917" w:rsidRDefault="00DF7396" w:rsidP="007A1917">
      <w:pPr>
        <w:pStyle w:val="Textodenotaderodap"/>
        <w:ind w:firstLine="0"/>
        <w:jc w:val="both"/>
      </w:pPr>
      <w:r w:rsidRPr="007A1917">
        <w:rPr>
          <w:rStyle w:val="Refdenotaderodap"/>
        </w:rPr>
        <w:footnoteRef/>
      </w:r>
      <w:r w:rsidRPr="007A1917">
        <w:t xml:space="preserve"> Lista dos normativos avaliados: 1995-2000: ver Soihet (2002); 2001-2005T3: ver Laan (2007); 2005T4-2011: ver </w:t>
      </w:r>
      <w:r>
        <w:t>Cunha e Laan</w:t>
      </w:r>
      <w:r w:rsidRPr="007A1917">
        <w:t xml:space="preserve"> (2013); 2012: Circular 3570, Resolução 4051, Circular 3575, Decreto 7683, Circular 3580, Decreto 7698, Circular 3584, Decreto 7699, Circular 3589, Resolução 4063, Resolução 4071, Resolução 4074, Circular 3592, Decreto 7751, Resolução 4103, Resolução 4104, Circular 3604, Circular 3591, Circular 3605, Resolução 4113, Circular 3607, Decreto 7853, Circular 3612 e Circular 3617. 2013: Decreto 7894, Resolução 4198, Circular 3627, Circular 3650, Circular 3653, Decreto 8023, Decreto 8027, Circular 3661, Circular 3672, Circular 3688, Circular 3689, Circular 3690, Circular 3691, Decreto 8165 e Decreto 8175. 2014: Circular 3702, Resolução 4335, Decreto 8263, Resolução 4373 e Decreto 8325.</w:t>
      </w:r>
    </w:p>
  </w:footnote>
  <w:footnote w:id="7">
    <w:p w:rsidR="00DF7396" w:rsidRDefault="00DF7396" w:rsidP="00D06A55">
      <w:pPr>
        <w:pStyle w:val="Textodenotaderodap"/>
        <w:ind w:firstLine="0"/>
        <w:jc w:val="both"/>
      </w:pPr>
      <w:r>
        <w:rPr>
          <w:rStyle w:val="Refdenotaderodap"/>
        </w:rPr>
        <w:footnoteRef/>
      </w:r>
      <w:r>
        <w:t xml:space="preserve"> O passo inicial de um trabalho assentado na Econometria de Séries de Tempo é a delimitação do período temporal. Aqui, optou-se por uma amostra que vai de janeiro de 1995 a dezembro de 2014, constituindo um período de duas décadas. Reconhece-se que o ideal seria dispor de mais observações, não obstante se adota o Plano Real enquanto marco inicial, afinal, a utilização de dados anteriores poderia dificultar a modelagem, devido à volatilidade macroeconômica do período inflacionário.</w:t>
      </w:r>
    </w:p>
  </w:footnote>
  <w:footnote w:id="8">
    <w:p w:rsidR="00DF7396" w:rsidRPr="007A1917" w:rsidRDefault="00DF7396" w:rsidP="007A1917">
      <w:pPr>
        <w:pStyle w:val="Textodenotaderodap"/>
        <w:ind w:firstLine="0"/>
        <w:jc w:val="both"/>
      </w:pPr>
      <w:r w:rsidRPr="007A1917">
        <w:rPr>
          <w:rStyle w:val="Refdenotaderodap"/>
        </w:rPr>
        <w:footnoteRef/>
      </w:r>
      <w:r w:rsidRPr="007A1917">
        <w:t xml:space="preserve"> </w:t>
      </w:r>
      <w:r>
        <w:t>Antes d</w:t>
      </w:r>
      <w:r w:rsidRPr="007A1917">
        <w:t xml:space="preserve">a transformação logarítmica, </w:t>
      </w:r>
      <w:r>
        <w:t>realizou</w:t>
      </w:r>
      <w:r w:rsidRPr="007A1917">
        <w:t xml:space="preserve">-se outra transformação </w:t>
      </w:r>
      <w:r>
        <w:t>na</w:t>
      </w:r>
      <w:r w:rsidRPr="007A1917">
        <w:t xml:space="preserve"> série </w:t>
      </w:r>
      <w:r>
        <w:t>ICCAC</w:t>
      </w:r>
      <w:r w:rsidRPr="007A1917">
        <w:t>, de forma que 1994/12 = 100.</w:t>
      </w:r>
    </w:p>
  </w:footnote>
  <w:footnote w:id="9">
    <w:p w:rsidR="00DF7396" w:rsidRPr="007A1917" w:rsidRDefault="00DF7396" w:rsidP="007A1917">
      <w:pPr>
        <w:pStyle w:val="Textodenotaderodap"/>
        <w:ind w:firstLine="0"/>
        <w:jc w:val="both"/>
      </w:pPr>
      <w:r w:rsidRPr="007A1917">
        <w:rPr>
          <w:rStyle w:val="Refdenotaderodap"/>
        </w:rPr>
        <w:footnoteRef/>
      </w:r>
      <w:r w:rsidRPr="007A1917">
        <w:t xml:space="preserve"> Para detalhes sobre modelos VEC, ver Juselius (2006). De acordo com Campbell e Perron (1991), ao se alcançar um processo cointegrado entre duas séries não estacionárias, a adição de uma série estacionária no vetor de correção de erro não leva a mudanças significativas nas estatísticas de robustez da regressão. Nesse sentido, a inclusão de séries estacionárias</w:t>
      </w:r>
      <w:r>
        <w:t xml:space="preserve"> </w:t>
      </w:r>
      <w:r w:rsidRPr="007A1917">
        <w:t>não gera maiores problemas para a presente estimação.</w:t>
      </w:r>
    </w:p>
  </w:footnote>
  <w:footnote w:id="10">
    <w:p w:rsidR="00DF7396" w:rsidRPr="00FE2797" w:rsidRDefault="00DF7396" w:rsidP="00FE2797">
      <w:pPr>
        <w:pStyle w:val="Textodenotaderodap"/>
        <w:ind w:firstLine="0"/>
        <w:jc w:val="both"/>
      </w:pPr>
      <w:r>
        <w:rPr>
          <w:rStyle w:val="Refdenotaderodap"/>
        </w:rPr>
        <w:footnoteRef/>
      </w:r>
      <w:r>
        <w:t xml:space="preserve"> Além dos diversos </w:t>
      </w:r>
      <w:r>
        <w:rPr>
          <w:i/>
        </w:rPr>
        <w:t>outliers</w:t>
      </w:r>
      <w:r>
        <w:t>, as séries apresentaram as seguintes quebras estruturais: LVIX (2008/10); LIIF (1999/01; 1999/07); LICCAC (1995/</w:t>
      </w:r>
      <w:r w:rsidRPr="00FE2797">
        <w:t>03; 1995</w:t>
      </w:r>
      <w:r>
        <w:t>/08</w:t>
      </w:r>
      <w:r w:rsidRPr="00FE2797">
        <w:t xml:space="preserve"> 1996</w:t>
      </w:r>
      <w:r>
        <w:t>/</w:t>
      </w:r>
      <w:r w:rsidRPr="00FE2797">
        <w:t>02</w:t>
      </w:r>
      <w:r>
        <w:t>; 2005/</w:t>
      </w:r>
      <w:r w:rsidRPr="00FE2797">
        <w:t>09)</w:t>
      </w:r>
      <w:r>
        <w:t>; LCAVOL (</w:t>
      </w:r>
      <w:r w:rsidRPr="00FE2797">
        <w:t>1999</w:t>
      </w:r>
      <w:r>
        <w:t>/</w:t>
      </w:r>
      <w:r w:rsidRPr="00FE2797">
        <w:t>04; 2002</w:t>
      </w:r>
      <w:r>
        <w:t>/</w:t>
      </w:r>
      <w:r w:rsidRPr="00FE2797">
        <w:t>06)</w:t>
      </w:r>
      <w:r>
        <w:t>; LRISCO (1997/11; 1998/09; 1998/</w:t>
      </w:r>
      <w:r w:rsidRPr="00666040">
        <w:t>10; 1998</w:t>
      </w:r>
      <w:r>
        <w:t>/</w:t>
      </w:r>
      <w:r w:rsidRPr="00666040">
        <w:t>11; 1999</w:t>
      </w:r>
      <w:r>
        <w:t>/</w:t>
      </w:r>
      <w:r w:rsidRPr="00666040">
        <w:t>04; 2008</w:t>
      </w:r>
      <w:r>
        <w:t>/10</w:t>
      </w:r>
      <w:r w:rsidRPr="00666040">
        <w:t>; 2010</w:t>
      </w:r>
      <w:r>
        <w:t>/</w:t>
      </w:r>
      <w:r w:rsidRPr="00666040">
        <w:t>05</w:t>
      </w:r>
      <w:r>
        <w:t>); LPROD (2008/11).</w:t>
      </w:r>
    </w:p>
  </w:footnote>
  <w:footnote w:id="11">
    <w:p w:rsidR="00DF7396" w:rsidRPr="007A1917" w:rsidRDefault="00DF7396" w:rsidP="007A1917">
      <w:pPr>
        <w:pStyle w:val="Textodenotaderodap"/>
        <w:ind w:firstLine="0"/>
        <w:jc w:val="both"/>
      </w:pPr>
      <w:r w:rsidRPr="007A1917">
        <w:rPr>
          <w:rStyle w:val="Refdenotaderodap"/>
        </w:rPr>
        <w:footnoteRef/>
      </w:r>
      <w:r w:rsidRPr="007A1917">
        <w:t xml:space="preserve"> </w:t>
      </w:r>
      <w:r>
        <w:t>N</w:t>
      </w:r>
      <w:r w:rsidRPr="007A1917">
        <w:t>ão são apresentadas as funções referentes ao impacto do ICCAC e do IIF sobre o VIX, dado que não haveria sentido assumir que as mudanças no grau de liberalização financeira externa uma economia em desenvolvimento e sem moeda conversível possam afetar significativamente a evolução do ciclo financeiro global.</w:t>
      </w:r>
    </w:p>
  </w:footnote>
  <w:footnote w:id="12">
    <w:p w:rsidR="00DF7396" w:rsidRPr="007A1917" w:rsidRDefault="00DF7396" w:rsidP="007A1917">
      <w:pPr>
        <w:pStyle w:val="Textodenotaderodap"/>
        <w:ind w:firstLine="0"/>
        <w:jc w:val="both"/>
      </w:pPr>
      <w:r w:rsidRPr="007A1917">
        <w:rPr>
          <w:rStyle w:val="Refdenotaderodap"/>
        </w:rPr>
        <w:footnoteRef/>
      </w:r>
      <w:r w:rsidRPr="007A1917">
        <w:t xml:space="preserve"> </w:t>
      </w:r>
      <w:r w:rsidRPr="00C26502">
        <w:rPr>
          <w:rFonts w:eastAsia="Times New Roman"/>
          <w:szCs w:val="24"/>
        </w:rPr>
        <w:t>Tsay (2005) sublinha que, tal como os modelos univariados, um VAR pode ser escrito como um vetor de médias móveis, isto é, como uma função linear dos choques passados (</w:t>
      </w:r>
      <m:oMath>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t</m:t>
            </m:r>
          </m:sub>
        </m:sSub>
        <m:r>
          <m:rPr>
            <m:sty m:val="p"/>
          </m:rPr>
          <w:rPr>
            <w:rFonts w:ascii="Cambria Math" w:hAnsi="Cambria Math"/>
            <w:szCs w:val="24"/>
          </w:rPr>
          <m:t>=μ+</m:t>
        </m:r>
        <m:nary>
          <m:naryPr>
            <m:chr m:val="∑"/>
            <m:limLoc m:val="undOvr"/>
            <m:ctrlPr>
              <w:rPr>
                <w:rFonts w:ascii="Cambria Math" w:hAnsi="Cambria Math"/>
                <w:szCs w:val="24"/>
              </w:rPr>
            </m:ctrlPr>
          </m:naryPr>
          <m:sub>
            <m:r>
              <m:rPr>
                <m:sty m:val="p"/>
              </m:rPr>
              <w:rPr>
                <w:rFonts w:ascii="Cambria Math" w:hAnsi="Cambria Math"/>
                <w:szCs w:val="24"/>
              </w:rPr>
              <m:t>i=0</m:t>
            </m:r>
          </m:sub>
          <m:sup>
            <m:r>
              <m:rPr>
                <m:sty m:val="p"/>
              </m:rPr>
              <w:rPr>
                <w:rFonts w:ascii="Cambria Math" w:hAnsi="Cambria Math"/>
                <w:szCs w:val="24"/>
              </w:rPr>
              <m:t>∞</m:t>
            </m:r>
          </m:sup>
          <m:e>
            <m:sSub>
              <m:sSubPr>
                <m:ctrlPr>
                  <w:rPr>
                    <w:rFonts w:ascii="Cambria Math" w:hAnsi="Cambria Math"/>
                    <w:szCs w:val="24"/>
                  </w:rPr>
                </m:ctrlPr>
              </m:sSubPr>
              <m:e>
                <m:r>
                  <m:rPr>
                    <m:sty m:val="p"/>
                  </m:rPr>
                  <w:rPr>
                    <w:rFonts w:ascii="Cambria Math" w:hAnsi="Cambria Math"/>
                    <w:szCs w:val="24"/>
                  </w:rPr>
                  <m:t>∅</m:t>
                </m:r>
              </m:e>
              <m:sub>
                <m:r>
                  <m:rPr>
                    <m:sty m:val="p"/>
                  </m:rPr>
                  <w:rPr>
                    <w:rFonts w:ascii="Cambria Math" w:hAnsi="Cambria Math"/>
                    <w:szCs w:val="24"/>
                  </w:rPr>
                  <m:t>i</m:t>
                </m:r>
              </m:sub>
            </m:sSub>
            <m:sSub>
              <m:sSubPr>
                <m:ctrlPr>
                  <w:rPr>
                    <w:rFonts w:ascii="Cambria Math" w:hAnsi="Cambria Math"/>
                    <w:szCs w:val="24"/>
                  </w:rPr>
                </m:ctrlPr>
              </m:sSubPr>
              <m:e>
                <m:r>
                  <m:rPr>
                    <m:sty m:val="p"/>
                  </m:rPr>
                  <w:rPr>
                    <w:rFonts w:ascii="Cambria Math" w:hAnsi="Cambria Math"/>
                    <w:szCs w:val="24"/>
                  </w:rPr>
                  <m:t>ε</m:t>
                </m:r>
              </m:e>
              <m:sub>
                <m:r>
                  <m:rPr>
                    <m:sty m:val="p"/>
                  </m:rPr>
                  <w:rPr>
                    <w:rFonts w:ascii="Cambria Math" w:hAnsi="Cambria Math"/>
                    <w:szCs w:val="24"/>
                  </w:rPr>
                  <m:t>t-i</m:t>
                </m:r>
              </m:sub>
            </m:sSub>
          </m:e>
        </m:nary>
      </m:oMath>
      <w:r w:rsidRPr="00C26502">
        <w:rPr>
          <w:rFonts w:eastAsia="Times New Roman"/>
          <w:szCs w:val="24"/>
        </w:rPr>
        <w:t xml:space="preserve">). Dessa maneira, os coeficientes </w:t>
      </w:r>
      <m:oMath>
        <m:sSub>
          <m:sSubPr>
            <m:ctrlPr>
              <w:rPr>
                <w:rFonts w:ascii="Cambria Math" w:hAnsi="Cambria Math"/>
                <w:szCs w:val="24"/>
              </w:rPr>
            </m:ctrlPr>
          </m:sSubPr>
          <m:e>
            <m:r>
              <m:rPr>
                <m:sty m:val="p"/>
              </m:rPr>
              <w:rPr>
                <w:rFonts w:ascii="Cambria Math" w:hAnsi="Cambria Math"/>
                <w:szCs w:val="24"/>
              </w:rPr>
              <m:t>∅</m:t>
            </m:r>
          </m:e>
          <m:sub>
            <m:r>
              <m:rPr>
                <m:sty m:val="p"/>
              </m:rPr>
              <w:rPr>
                <w:rFonts w:ascii="Cambria Math" w:hAnsi="Cambria Math"/>
                <w:szCs w:val="24"/>
              </w:rPr>
              <m:t>i</m:t>
            </m:r>
          </m:sub>
        </m:sSub>
      </m:oMath>
      <w:r w:rsidRPr="00C26502">
        <w:rPr>
          <w:rFonts w:eastAsia="Times New Roman"/>
          <w:szCs w:val="24"/>
        </w:rPr>
        <w:t xml:space="preserve"> transmitem o efeito de choques nas diversas séries do modelo à própria trajetória destas. Uma função de resposta ao impulso é, portanto, fruto do acúmulo dos efeitos de um choque em determinada série sobre a própria série ou outra que componha o modelo em questão. Segundo Enders (2010), a decomposição de Choleski apresenta o problema de que a alteração da ordem das equações pode alterar dramaticamente as respostas aos impulsos. Frente a isso, Pesaran e Shin (1998) propuseram uma função de resposta a impulsos generalizados, as quais não dependem da ordem das variáveis em questão e consistem na aplicação de um fator de Choleski específico para cada variável no sistema.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92F7A"/>
    <w:multiLevelType w:val="hybridMultilevel"/>
    <w:tmpl w:val="314CC2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D7E"/>
    <w:rsid w:val="000013B4"/>
    <w:rsid w:val="00001811"/>
    <w:rsid w:val="00010567"/>
    <w:rsid w:val="00012DC6"/>
    <w:rsid w:val="00017E62"/>
    <w:rsid w:val="00036C5A"/>
    <w:rsid w:val="00040F21"/>
    <w:rsid w:val="00067EE2"/>
    <w:rsid w:val="00093D49"/>
    <w:rsid w:val="00094BD2"/>
    <w:rsid w:val="000951C9"/>
    <w:rsid w:val="000B1D7E"/>
    <w:rsid w:val="000B588C"/>
    <w:rsid w:val="000B62E5"/>
    <w:rsid w:val="00104237"/>
    <w:rsid w:val="001263A0"/>
    <w:rsid w:val="001306D8"/>
    <w:rsid w:val="00137005"/>
    <w:rsid w:val="00137F66"/>
    <w:rsid w:val="00164C3A"/>
    <w:rsid w:val="001C4D62"/>
    <w:rsid w:val="001D0312"/>
    <w:rsid w:val="001F0121"/>
    <w:rsid w:val="001F1DD7"/>
    <w:rsid w:val="001F5969"/>
    <w:rsid w:val="002003C0"/>
    <w:rsid w:val="002022A3"/>
    <w:rsid w:val="0020419C"/>
    <w:rsid w:val="00211B07"/>
    <w:rsid w:val="00215A1B"/>
    <w:rsid w:val="00240DB7"/>
    <w:rsid w:val="002529B0"/>
    <w:rsid w:val="00261A8E"/>
    <w:rsid w:val="00271119"/>
    <w:rsid w:val="002A2A90"/>
    <w:rsid w:val="002B39EE"/>
    <w:rsid w:val="002B4925"/>
    <w:rsid w:val="002C09A3"/>
    <w:rsid w:val="002C3671"/>
    <w:rsid w:val="002C4077"/>
    <w:rsid w:val="002F11C5"/>
    <w:rsid w:val="003013C8"/>
    <w:rsid w:val="003028FE"/>
    <w:rsid w:val="0030403C"/>
    <w:rsid w:val="0031175D"/>
    <w:rsid w:val="00312375"/>
    <w:rsid w:val="00320E73"/>
    <w:rsid w:val="00352067"/>
    <w:rsid w:val="003615BD"/>
    <w:rsid w:val="0037020A"/>
    <w:rsid w:val="003729E4"/>
    <w:rsid w:val="00382A3F"/>
    <w:rsid w:val="003866F2"/>
    <w:rsid w:val="003A2087"/>
    <w:rsid w:val="003A476C"/>
    <w:rsid w:val="003C5BA3"/>
    <w:rsid w:val="003D1527"/>
    <w:rsid w:val="003D23C6"/>
    <w:rsid w:val="003D7872"/>
    <w:rsid w:val="003E0C32"/>
    <w:rsid w:val="00417980"/>
    <w:rsid w:val="00442BA7"/>
    <w:rsid w:val="004662FD"/>
    <w:rsid w:val="004B00DC"/>
    <w:rsid w:val="004C73DF"/>
    <w:rsid w:val="004D4842"/>
    <w:rsid w:val="005117FD"/>
    <w:rsid w:val="00517FB4"/>
    <w:rsid w:val="005325B7"/>
    <w:rsid w:val="00564E3A"/>
    <w:rsid w:val="00566AB5"/>
    <w:rsid w:val="005774FE"/>
    <w:rsid w:val="005A178A"/>
    <w:rsid w:val="005B444B"/>
    <w:rsid w:val="005C4A78"/>
    <w:rsid w:val="005C74A4"/>
    <w:rsid w:val="005E2282"/>
    <w:rsid w:val="005E2A9F"/>
    <w:rsid w:val="005F0ED3"/>
    <w:rsid w:val="00603774"/>
    <w:rsid w:val="00614960"/>
    <w:rsid w:val="00615C0F"/>
    <w:rsid w:val="006447A3"/>
    <w:rsid w:val="006630B1"/>
    <w:rsid w:val="00663BDE"/>
    <w:rsid w:val="00666040"/>
    <w:rsid w:val="006679FD"/>
    <w:rsid w:val="006721F2"/>
    <w:rsid w:val="00694393"/>
    <w:rsid w:val="006A59BC"/>
    <w:rsid w:val="006B45B1"/>
    <w:rsid w:val="006C275E"/>
    <w:rsid w:val="006D5BC0"/>
    <w:rsid w:val="00705B3D"/>
    <w:rsid w:val="00710D38"/>
    <w:rsid w:val="007124D0"/>
    <w:rsid w:val="00747026"/>
    <w:rsid w:val="0075062E"/>
    <w:rsid w:val="0075362A"/>
    <w:rsid w:val="0075391E"/>
    <w:rsid w:val="00753C45"/>
    <w:rsid w:val="00773F3A"/>
    <w:rsid w:val="00791E12"/>
    <w:rsid w:val="007947E1"/>
    <w:rsid w:val="007A1917"/>
    <w:rsid w:val="007B57CF"/>
    <w:rsid w:val="007D101A"/>
    <w:rsid w:val="007E2745"/>
    <w:rsid w:val="008141F1"/>
    <w:rsid w:val="00814A28"/>
    <w:rsid w:val="008253F9"/>
    <w:rsid w:val="008324DF"/>
    <w:rsid w:val="00842C4F"/>
    <w:rsid w:val="00847437"/>
    <w:rsid w:val="00851A67"/>
    <w:rsid w:val="00863FBE"/>
    <w:rsid w:val="008867F8"/>
    <w:rsid w:val="00893546"/>
    <w:rsid w:val="008A0677"/>
    <w:rsid w:val="008B1AA4"/>
    <w:rsid w:val="008D1FB3"/>
    <w:rsid w:val="008D6042"/>
    <w:rsid w:val="008D7C40"/>
    <w:rsid w:val="008D7F08"/>
    <w:rsid w:val="008E251E"/>
    <w:rsid w:val="008F1A92"/>
    <w:rsid w:val="008F2C6E"/>
    <w:rsid w:val="008F5264"/>
    <w:rsid w:val="008F5A58"/>
    <w:rsid w:val="009154B8"/>
    <w:rsid w:val="00916860"/>
    <w:rsid w:val="00920911"/>
    <w:rsid w:val="00931980"/>
    <w:rsid w:val="009449E4"/>
    <w:rsid w:val="00950601"/>
    <w:rsid w:val="00981CEF"/>
    <w:rsid w:val="00983E97"/>
    <w:rsid w:val="00992CBA"/>
    <w:rsid w:val="009932E3"/>
    <w:rsid w:val="009A1B24"/>
    <w:rsid w:val="009B1895"/>
    <w:rsid w:val="009B21EF"/>
    <w:rsid w:val="009B5846"/>
    <w:rsid w:val="009B67A2"/>
    <w:rsid w:val="009C6538"/>
    <w:rsid w:val="009C6CAE"/>
    <w:rsid w:val="009E7857"/>
    <w:rsid w:val="00A1230C"/>
    <w:rsid w:val="00A14BF8"/>
    <w:rsid w:val="00A1555C"/>
    <w:rsid w:val="00A32CF5"/>
    <w:rsid w:val="00A41D1E"/>
    <w:rsid w:val="00A44FF8"/>
    <w:rsid w:val="00A55DDF"/>
    <w:rsid w:val="00A56524"/>
    <w:rsid w:val="00A573D3"/>
    <w:rsid w:val="00A60FC2"/>
    <w:rsid w:val="00A672FF"/>
    <w:rsid w:val="00A94662"/>
    <w:rsid w:val="00AA50AD"/>
    <w:rsid w:val="00AD544A"/>
    <w:rsid w:val="00B02B3D"/>
    <w:rsid w:val="00B35B71"/>
    <w:rsid w:val="00B37076"/>
    <w:rsid w:val="00B4451A"/>
    <w:rsid w:val="00B46AAC"/>
    <w:rsid w:val="00BA57B5"/>
    <w:rsid w:val="00BB02B2"/>
    <w:rsid w:val="00BC5DAC"/>
    <w:rsid w:val="00BD513C"/>
    <w:rsid w:val="00BE1ECA"/>
    <w:rsid w:val="00BE316D"/>
    <w:rsid w:val="00BF085B"/>
    <w:rsid w:val="00BF7691"/>
    <w:rsid w:val="00C170F9"/>
    <w:rsid w:val="00C2561E"/>
    <w:rsid w:val="00C26502"/>
    <w:rsid w:val="00C269F7"/>
    <w:rsid w:val="00C66546"/>
    <w:rsid w:val="00C701EC"/>
    <w:rsid w:val="00C71044"/>
    <w:rsid w:val="00C801F4"/>
    <w:rsid w:val="00C81D7E"/>
    <w:rsid w:val="00C86CCF"/>
    <w:rsid w:val="00C90349"/>
    <w:rsid w:val="00C964B3"/>
    <w:rsid w:val="00CB1ACB"/>
    <w:rsid w:val="00CC25E2"/>
    <w:rsid w:val="00CF756C"/>
    <w:rsid w:val="00D067E7"/>
    <w:rsid w:val="00D06A55"/>
    <w:rsid w:val="00D0742D"/>
    <w:rsid w:val="00D165C8"/>
    <w:rsid w:val="00D26B63"/>
    <w:rsid w:val="00D45A8E"/>
    <w:rsid w:val="00D60874"/>
    <w:rsid w:val="00D701AB"/>
    <w:rsid w:val="00D84FB7"/>
    <w:rsid w:val="00D91774"/>
    <w:rsid w:val="00D931E8"/>
    <w:rsid w:val="00D96126"/>
    <w:rsid w:val="00D975CD"/>
    <w:rsid w:val="00DA3115"/>
    <w:rsid w:val="00DB3059"/>
    <w:rsid w:val="00DB3BA2"/>
    <w:rsid w:val="00DC6E78"/>
    <w:rsid w:val="00DD69C0"/>
    <w:rsid w:val="00DE1CA6"/>
    <w:rsid w:val="00DF7396"/>
    <w:rsid w:val="00E04DD2"/>
    <w:rsid w:val="00E1519A"/>
    <w:rsid w:val="00E22514"/>
    <w:rsid w:val="00E22DEA"/>
    <w:rsid w:val="00E3280C"/>
    <w:rsid w:val="00E3345D"/>
    <w:rsid w:val="00E72D73"/>
    <w:rsid w:val="00E7767F"/>
    <w:rsid w:val="00E900A4"/>
    <w:rsid w:val="00EA30C7"/>
    <w:rsid w:val="00EB5AF7"/>
    <w:rsid w:val="00EC348E"/>
    <w:rsid w:val="00EF1A87"/>
    <w:rsid w:val="00F0304F"/>
    <w:rsid w:val="00F0604E"/>
    <w:rsid w:val="00F113CF"/>
    <w:rsid w:val="00F13D8A"/>
    <w:rsid w:val="00F20713"/>
    <w:rsid w:val="00F4340B"/>
    <w:rsid w:val="00F45A9C"/>
    <w:rsid w:val="00F45EB3"/>
    <w:rsid w:val="00F54556"/>
    <w:rsid w:val="00F60A6C"/>
    <w:rsid w:val="00F84A9D"/>
    <w:rsid w:val="00F86123"/>
    <w:rsid w:val="00FB0FAD"/>
    <w:rsid w:val="00FC20F2"/>
    <w:rsid w:val="00FE2797"/>
    <w:rsid w:val="00FE5F9A"/>
    <w:rsid w:val="00FF58D5"/>
    <w:rsid w:val="00FF624E"/>
    <w:rsid w:val="00FF78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079E67-CC55-41CC-A18E-9EC68794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2E5"/>
    <w:pPr>
      <w:spacing w:before="120" w:after="120" w:line="360" w:lineRule="auto"/>
      <w:jc w:val="both"/>
    </w:pPr>
    <w:rPr>
      <w:rFonts w:ascii="Arial" w:hAnsi="Arial"/>
      <w:sz w:val="24"/>
    </w:rPr>
  </w:style>
  <w:style w:type="paragraph" w:styleId="Ttulo1">
    <w:name w:val="heading 1"/>
    <w:basedOn w:val="Normal"/>
    <w:next w:val="Normal"/>
    <w:link w:val="Ttulo1Char"/>
    <w:uiPriority w:val="9"/>
    <w:qFormat/>
    <w:rsid w:val="0030403C"/>
    <w:pPr>
      <w:keepNext/>
      <w:keepLines/>
      <w:spacing w:before="0" w:after="0"/>
      <w:ind w:firstLine="709"/>
      <w:jc w:val="left"/>
      <w:outlineLvl w:val="0"/>
    </w:pPr>
    <w:rPr>
      <w:rFonts w:ascii="Times New Roman" w:eastAsiaTheme="majorEastAsia" w:hAnsi="Times New Roman" w:cstheme="majorBidi"/>
      <w:bCs/>
      <w:szCs w:val="28"/>
    </w:rPr>
  </w:style>
  <w:style w:type="paragraph" w:styleId="Ttulo2">
    <w:name w:val="heading 2"/>
    <w:basedOn w:val="Normal"/>
    <w:next w:val="Normal"/>
    <w:link w:val="Ttulo2Char"/>
    <w:uiPriority w:val="9"/>
    <w:unhideWhenUsed/>
    <w:qFormat/>
    <w:rsid w:val="0030403C"/>
    <w:pPr>
      <w:keepNext/>
      <w:keepLines/>
      <w:spacing w:before="0" w:after="0"/>
      <w:ind w:firstLine="709"/>
      <w:jc w:val="left"/>
      <w:outlineLvl w:val="1"/>
    </w:pPr>
    <w:rPr>
      <w:rFonts w:ascii="Times New Roman" w:eastAsiaTheme="majorEastAsia" w:hAnsi="Times New Roman" w:cstheme="majorBidi"/>
      <w:bCs/>
      <w:szCs w:val="26"/>
    </w:rPr>
  </w:style>
  <w:style w:type="paragraph" w:styleId="Ttulo3">
    <w:name w:val="heading 3"/>
    <w:basedOn w:val="Normal"/>
    <w:next w:val="Normal"/>
    <w:link w:val="Ttulo3Char"/>
    <w:uiPriority w:val="9"/>
    <w:unhideWhenUsed/>
    <w:qFormat/>
    <w:rsid w:val="0030403C"/>
    <w:pPr>
      <w:keepNext/>
      <w:keepLines/>
      <w:spacing w:before="0" w:after="0"/>
      <w:jc w:val="left"/>
      <w:outlineLvl w:val="2"/>
    </w:pPr>
    <w:rPr>
      <w:rFonts w:ascii="Times New Roman" w:eastAsiaTheme="majorEastAsia" w:hAnsi="Times New Roman" w:cstheme="majorBidi"/>
      <w:bCs/>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0403C"/>
    <w:rPr>
      <w:rFonts w:ascii="Times New Roman" w:eastAsiaTheme="majorEastAsia" w:hAnsi="Times New Roman" w:cstheme="majorBidi"/>
      <w:bCs/>
      <w:sz w:val="24"/>
      <w:szCs w:val="28"/>
    </w:rPr>
  </w:style>
  <w:style w:type="character" w:customStyle="1" w:styleId="Ttulo2Char">
    <w:name w:val="Título 2 Char"/>
    <w:basedOn w:val="Fontepargpadro"/>
    <w:link w:val="Ttulo2"/>
    <w:uiPriority w:val="9"/>
    <w:rsid w:val="0030403C"/>
    <w:rPr>
      <w:rFonts w:ascii="Times New Roman" w:eastAsiaTheme="majorEastAsia" w:hAnsi="Times New Roman" w:cstheme="majorBidi"/>
      <w:bCs/>
      <w:sz w:val="24"/>
      <w:szCs w:val="26"/>
    </w:rPr>
  </w:style>
  <w:style w:type="character" w:customStyle="1" w:styleId="Ttulo3Char">
    <w:name w:val="Título 3 Char"/>
    <w:basedOn w:val="Fontepargpadro"/>
    <w:link w:val="Ttulo3"/>
    <w:uiPriority w:val="9"/>
    <w:rsid w:val="0030403C"/>
    <w:rPr>
      <w:rFonts w:ascii="Times New Roman" w:eastAsiaTheme="majorEastAsia" w:hAnsi="Times New Roman" w:cstheme="majorBidi"/>
      <w:bCs/>
      <w:sz w:val="24"/>
      <w:szCs w:val="20"/>
    </w:rPr>
  </w:style>
  <w:style w:type="paragraph" w:styleId="Textodenotaderodap">
    <w:name w:val="footnote text"/>
    <w:aliases w:val="Char Char Char,Char ChaFootnote Text,Char Char, Char Char Char, Char Char,Footnote Text Char1 Char1,Footnote Text Char Char Char1,Footnote Text Char1 Char Char,Footnote Text Char Char Char Char,FOOTNOTES,fn,single space,f"/>
    <w:basedOn w:val="Normal"/>
    <w:link w:val="TextodenotaderodapChar"/>
    <w:uiPriority w:val="99"/>
    <w:unhideWhenUsed/>
    <w:rsid w:val="0030403C"/>
    <w:pPr>
      <w:spacing w:before="0" w:after="0" w:line="240" w:lineRule="auto"/>
      <w:ind w:firstLine="709"/>
      <w:jc w:val="left"/>
    </w:pPr>
    <w:rPr>
      <w:rFonts w:ascii="Times New Roman" w:eastAsia="Calibri" w:hAnsi="Times New Roman" w:cs="Times New Roman"/>
      <w:sz w:val="20"/>
      <w:szCs w:val="20"/>
    </w:rPr>
  </w:style>
  <w:style w:type="character" w:customStyle="1" w:styleId="TextodenotaderodapChar">
    <w:name w:val="Texto de nota de rodapé Char"/>
    <w:aliases w:val="Char Char Char Char,Char ChaFootnote Text Char,Char Char Char1, Char Char Char Char, Char Char Char1,Footnote Text Char1 Char1 Char,Footnote Text Char Char Char1 Char,Footnote Text Char1 Char Char Char,FOOTNOTES Char,fn Char"/>
    <w:basedOn w:val="Fontepargpadro"/>
    <w:link w:val="Textodenotaderodap"/>
    <w:uiPriority w:val="99"/>
    <w:rsid w:val="0030403C"/>
    <w:rPr>
      <w:rFonts w:ascii="Times New Roman" w:eastAsia="Calibri" w:hAnsi="Times New Roman" w:cs="Times New Roman"/>
      <w:sz w:val="20"/>
      <w:szCs w:val="20"/>
    </w:rPr>
  </w:style>
  <w:style w:type="character" w:styleId="Refdenotaderodap">
    <w:name w:val="footnote reference"/>
    <w:aliases w:val="de nota al pie,Ref,Error-Fußnotenzeichen5,Error-Fußnotenzeichen6,Error-Fußnotenzeichen3,BVI fnr"/>
    <w:uiPriority w:val="99"/>
    <w:unhideWhenUsed/>
    <w:rsid w:val="0030403C"/>
    <w:rPr>
      <w:vertAlign w:val="superscript"/>
    </w:rPr>
  </w:style>
  <w:style w:type="paragraph" w:styleId="Cabealho">
    <w:name w:val="header"/>
    <w:basedOn w:val="Normal"/>
    <w:link w:val="CabealhoChar"/>
    <w:uiPriority w:val="99"/>
    <w:unhideWhenUsed/>
    <w:rsid w:val="0030403C"/>
    <w:pPr>
      <w:tabs>
        <w:tab w:val="center" w:pos="4252"/>
        <w:tab w:val="right" w:pos="8504"/>
      </w:tabs>
      <w:spacing w:before="0" w:after="0"/>
      <w:ind w:firstLine="709"/>
      <w:jc w:val="left"/>
    </w:pPr>
    <w:rPr>
      <w:rFonts w:ascii="Times New Roman" w:eastAsia="Calibri" w:hAnsi="Times New Roman" w:cs="Times New Roman"/>
      <w:szCs w:val="20"/>
    </w:rPr>
  </w:style>
  <w:style w:type="character" w:customStyle="1" w:styleId="CabealhoChar">
    <w:name w:val="Cabeçalho Char"/>
    <w:basedOn w:val="Fontepargpadro"/>
    <w:link w:val="Cabealho"/>
    <w:uiPriority w:val="99"/>
    <w:rsid w:val="0030403C"/>
    <w:rPr>
      <w:rFonts w:ascii="Times New Roman" w:eastAsia="Calibri" w:hAnsi="Times New Roman" w:cs="Times New Roman"/>
      <w:sz w:val="24"/>
      <w:szCs w:val="20"/>
    </w:rPr>
  </w:style>
  <w:style w:type="paragraph" w:styleId="Rodap">
    <w:name w:val="footer"/>
    <w:basedOn w:val="Normal"/>
    <w:link w:val="RodapChar"/>
    <w:uiPriority w:val="99"/>
    <w:unhideWhenUsed/>
    <w:rsid w:val="0030403C"/>
    <w:pPr>
      <w:tabs>
        <w:tab w:val="center" w:pos="4252"/>
        <w:tab w:val="right" w:pos="8504"/>
      </w:tabs>
      <w:spacing w:before="0" w:after="0"/>
      <w:ind w:firstLine="709"/>
      <w:jc w:val="left"/>
    </w:pPr>
    <w:rPr>
      <w:rFonts w:ascii="Times New Roman" w:eastAsia="Calibri" w:hAnsi="Times New Roman" w:cs="Times New Roman"/>
      <w:szCs w:val="20"/>
    </w:rPr>
  </w:style>
  <w:style w:type="character" w:customStyle="1" w:styleId="RodapChar">
    <w:name w:val="Rodapé Char"/>
    <w:basedOn w:val="Fontepargpadro"/>
    <w:link w:val="Rodap"/>
    <w:uiPriority w:val="99"/>
    <w:rsid w:val="0030403C"/>
    <w:rPr>
      <w:rFonts w:ascii="Times New Roman" w:eastAsia="Calibri" w:hAnsi="Times New Roman" w:cs="Times New Roman"/>
      <w:sz w:val="24"/>
      <w:szCs w:val="20"/>
    </w:rPr>
  </w:style>
  <w:style w:type="paragraph" w:styleId="Textodebalo">
    <w:name w:val="Balloon Text"/>
    <w:basedOn w:val="Normal"/>
    <w:link w:val="TextodebaloChar"/>
    <w:uiPriority w:val="99"/>
    <w:semiHidden/>
    <w:unhideWhenUsed/>
    <w:rsid w:val="0030403C"/>
    <w:pPr>
      <w:spacing w:before="0" w:after="0" w:line="240" w:lineRule="auto"/>
      <w:ind w:firstLine="709"/>
      <w:jc w:val="left"/>
    </w:pPr>
    <w:rPr>
      <w:rFonts w:ascii="Tahoma" w:eastAsia="Calibri" w:hAnsi="Tahoma" w:cs="Tahoma"/>
      <w:sz w:val="16"/>
      <w:szCs w:val="16"/>
    </w:rPr>
  </w:style>
  <w:style w:type="character" w:customStyle="1" w:styleId="TextodebaloChar">
    <w:name w:val="Texto de balão Char"/>
    <w:basedOn w:val="Fontepargpadro"/>
    <w:link w:val="Textodebalo"/>
    <w:uiPriority w:val="99"/>
    <w:semiHidden/>
    <w:rsid w:val="0030403C"/>
    <w:rPr>
      <w:rFonts w:ascii="Tahoma" w:eastAsia="Calibri" w:hAnsi="Tahoma" w:cs="Tahoma"/>
      <w:sz w:val="16"/>
      <w:szCs w:val="16"/>
    </w:rPr>
  </w:style>
  <w:style w:type="paragraph" w:styleId="Lista">
    <w:name w:val="List"/>
    <w:basedOn w:val="Normal"/>
    <w:semiHidden/>
    <w:rsid w:val="0030403C"/>
    <w:pPr>
      <w:spacing w:before="0" w:after="0" w:line="240" w:lineRule="auto"/>
      <w:ind w:left="283" w:hanging="283"/>
      <w:jc w:val="left"/>
    </w:pPr>
    <w:rPr>
      <w:rFonts w:ascii="Times New Roman" w:eastAsia="SimSun" w:hAnsi="Times New Roman" w:cs="Times New Roman"/>
      <w:sz w:val="20"/>
      <w:szCs w:val="20"/>
      <w:lang w:eastAsia="pt-BR"/>
    </w:rPr>
  </w:style>
  <w:style w:type="paragraph" w:styleId="Subttulo">
    <w:name w:val="Subtitle"/>
    <w:basedOn w:val="Normal"/>
    <w:next w:val="Normal"/>
    <w:link w:val="SubttuloChar"/>
    <w:uiPriority w:val="11"/>
    <w:qFormat/>
    <w:rsid w:val="0030403C"/>
    <w:pPr>
      <w:numPr>
        <w:ilvl w:val="1"/>
      </w:numPr>
      <w:spacing w:before="0" w:after="0"/>
      <w:ind w:firstLine="709"/>
      <w:jc w:val="left"/>
    </w:pPr>
    <w:rPr>
      <w:rFonts w:ascii="Times New Roman" w:eastAsiaTheme="majorEastAsia" w:hAnsi="Times New Roman" w:cstheme="majorBidi"/>
      <w:iCs/>
      <w:spacing w:val="15"/>
      <w:szCs w:val="24"/>
    </w:rPr>
  </w:style>
  <w:style w:type="character" w:customStyle="1" w:styleId="SubttuloChar">
    <w:name w:val="Subtítulo Char"/>
    <w:basedOn w:val="Fontepargpadro"/>
    <w:link w:val="Subttulo"/>
    <w:uiPriority w:val="11"/>
    <w:rsid w:val="0030403C"/>
    <w:rPr>
      <w:rFonts w:ascii="Times New Roman" w:eastAsiaTheme="majorEastAsia" w:hAnsi="Times New Roman" w:cstheme="majorBidi"/>
      <w:iCs/>
      <w:spacing w:val="15"/>
      <w:sz w:val="24"/>
      <w:szCs w:val="24"/>
    </w:rPr>
  </w:style>
  <w:style w:type="paragraph" w:styleId="CabealhodoSumrio">
    <w:name w:val="TOC Heading"/>
    <w:basedOn w:val="Ttulo1"/>
    <w:next w:val="Normal"/>
    <w:uiPriority w:val="39"/>
    <w:unhideWhenUsed/>
    <w:qFormat/>
    <w:rsid w:val="0030403C"/>
    <w:pPr>
      <w:spacing w:before="480" w:line="276" w:lineRule="auto"/>
      <w:ind w:firstLine="0"/>
      <w:outlineLvl w:val="9"/>
    </w:pPr>
    <w:rPr>
      <w:rFonts w:asciiTheme="majorHAnsi" w:hAnsiTheme="majorHAnsi"/>
      <w:b/>
      <w:color w:val="2E74B5" w:themeColor="accent1" w:themeShade="BF"/>
      <w:sz w:val="28"/>
      <w:lang w:eastAsia="pt-BR"/>
    </w:rPr>
  </w:style>
  <w:style w:type="paragraph" w:styleId="Sumrio1">
    <w:name w:val="toc 1"/>
    <w:basedOn w:val="Normal"/>
    <w:next w:val="Normal"/>
    <w:autoRedefine/>
    <w:uiPriority w:val="39"/>
    <w:unhideWhenUsed/>
    <w:rsid w:val="0030403C"/>
    <w:pPr>
      <w:tabs>
        <w:tab w:val="right" w:leader="dot" w:pos="8494"/>
      </w:tabs>
      <w:spacing w:before="0" w:after="100"/>
    </w:pPr>
    <w:rPr>
      <w:rFonts w:ascii="Times New Roman" w:eastAsia="Calibri" w:hAnsi="Times New Roman" w:cs="Times New Roman"/>
      <w:szCs w:val="20"/>
    </w:rPr>
  </w:style>
  <w:style w:type="paragraph" w:styleId="Sumrio2">
    <w:name w:val="toc 2"/>
    <w:basedOn w:val="Normal"/>
    <w:next w:val="Normal"/>
    <w:autoRedefine/>
    <w:uiPriority w:val="39"/>
    <w:unhideWhenUsed/>
    <w:rsid w:val="0030403C"/>
    <w:pPr>
      <w:spacing w:before="0" w:after="100"/>
      <w:ind w:left="240" w:firstLine="709"/>
      <w:jc w:val="left"/>
    </w:pPr>
    <w:rPr>
      <w:rFonts w:ascii="Times New Roman" w:eastAsia="Calibri" w:hAnsi="Times New Roman" w:cs="Times New Roman"/>
      <w:szCs w:val="20"/>
    </w:rPr>
  </w:style>
  <w:style w:type="character" w:styleId="Hyperlink">
    <w:name w:val="Hyperlink"/>
    <w:basedOn w:val="Fontepargpadro"/>
    <w:uiPriority w:val="99"/>
    <w:unhideWhenUsed/>
    <w:rsid w:val="0030403C"/>
    <w:rPr>
      <w:color w:val="0563C1" w:themeColor="hyperlink"/>
      <w:u w:val="single"/>
    </w:rPr>
  </w:style>
  <w:style w:type="paragraph" w:styleId="Sumrio3">
    <w:name w:val="toc 3"/>
    <w:basedOn w:val="Normal"/>
    <w:next w:val="Normal"/>
    <w:autoRedefine/>
    <w:uiPriority w:val="39"/>
    <w:unhideWhenUsed/>
    <w:rsid w:val="0030403C"/>
    <w:pPr>
      <w:spacing w:before="0" w:after="100"/>
      <w:ind w:left="480" w:firstLine="709"/>
      <w:jc w:val="left"/>
    </w:pPr>
    <w:rPr>
      <w:rFonts w:ascii="Times New Roman" w:eastAsia="Calibri" w:hAnsi="Times New Roman" w:cs="Times New Roman"/>
      <w:szCs w:val="20"/>
    </w:rPr>
  </w:style>
  <w:style w:type="character" w:styleId="Refdecomentrio">
    <w:name w:val="annotation reference"/>
    <w:basedOn w:val="Fontepargpadro"/>
    <w:uiPriority w:val="99"/>
    <w:semiHidden/>
    <w:unhideWhenUsed/>
    <w:rsid w:val="0030403C"/>
    <w:rPr>
      <w:sz w:val="16"/>
      <w:szCs w:val="16"/>
    </w:rPr>
  </w:style>
  <w:style w:type="paragraph" w:styleId="Textodecomentrio">
    <w:name w:val="annotation text"/>
    <w:basedOn w:val="Normal"/>
    <w:link w:val="TextodecomentrioChar"/>
    <w:uiPriority w:val="99"/>
    <w:semiHidden/>
    <w:unhideWhenUsed/>
    <w:rsid w:val="0030403C"/>
    <w:pPr>
      <w:spacing w:before="0" w:after="0" w:line="240" w:lineRule="auto"/>
      <w:ind w:firstLine="709"/>
      <w:jc w:val="left"/>
    </w:pPr>
    <w:rPr>
      <w:rFonts w:ascii="Times New Roman" w:eastAsia="Calibri" w:hAnsi="Times New Roman" w:cs="Times New Roman"/>
      <w:sz w:val="20"/>
      <w:szCs w:val="20"/>
    </w:rPr>
  </w:style>
  <w:style w:type="character" w:customStyle="1" w:styleId="TextodecomentrioChar">
    <w:name w:val="Texto de comentário Char"/>
    <w:basedOn w:val="Fontepargpadro"/>
    <w:link w:val="Textodecomentrio"/>
    <w:uiPriority w:val="99"/>
    <w:semiHidden/>
    <w:rsid w:val="0030403C"/>
    <w:rPr>
      <w:rFonts w:ascii="Times New Roman" w:eastAsia="Calibri"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0403C"/>
    <w:rPr>
      <w:b/>
      <w:bCs/>
    </w:rPr>
  </w:style>
  <w:style w:type="character" w:customStyle="1" w:styleId="AssuntodocomentrioChar">
    <w:name w:val="Assunto do comentário Char"/>
    <w:basedOn w:val="TextodecomentrioChar"/>
    <w:link w:val="Assuntodocomentrio"/>
    <w:uiPriority w:val="99"/>
    <w:semiHidden/>
    <w:rsid w:val="0030403C"/>
    <w:rPr>
      <w:rFonts w:ascii="Times New Roman" w:eastAsia="Calibri" w:hAnsi="Times New Roman" w:cs="Times New Roman"/>
      <w:b/>
      <w:bCs/>
      <w:sz w:val="20"/>
      <w:szCs w:val="20"/>
    </w:rPr>
  </w:style>
  <w:style w:type="paragraph" w:styleId="PargrafodaLista">
    <w:name w:val="List Paragraph"/>
    <w:basedOn w:val="Normal"/>
    <w:uiPriority w:val="34"/>
    <w:qFormat/>
    <w:rsid w:val="00F13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913845">
      <w:bodyDiv w:val="1"/>
      <w:marLeft w:val="0"/>
      <w:marRight w:val="0"/>
      <w:marTop w:val="0"/>
      <w:marBottom w:val="0"/>
      <w:divBdr>
        <w:top w:val="none" w:sz="0" w:space="0" w:color="auto"/>
        <w:left w:val="none" w:sz="0" w:space="0" w:color="auto"/>
        <w:bottom w:val="none" w:sz="0" w:space="0" w:color="auto"/>
        <w:right w:val="none" w:sz="0" w:space="0" w:color="auto"/>
      </w:divBdr>
    </w:div>
    <w:div w:id="380833918">
      <w:bodyDiv w:val="1"/>
      <w:marLeft w:val="0"/>
      <w:marRight w:val="0"/>
      <w:marTop w:val="0"/>
      <w:marBottom w:val="0"/>
      <w:divBdr>
        <w:top w:val="none" w:sz="0" w:space="0" w:color="auto"/>
        <w:left w:val="none" w:sz="0" w:space="0" w:color="auto"/>
        <w:bottom w:val="none" w:sz="0" w:space="0" w:color="auto"/>
        <w:right w:val="none" w:sz="0" w:space="0" w:color="auto"/>
      </w:divBdr>
    </w:div>
    <w:div w:id="464549377">
      <w:bodyDiv w:val="1"/>
      <w:marLeft w:val="0"/>
      <w:marRight w:val="0"/>
      <w:marTop w:val="0"/>
      <w:marBottom w:val="0"/>
      <w:divBdr>
        <w:top w:val="none" w:sz="0" w:space="0" w:color="auto"/>
        <w:left w:val="none" w:sz="0" w:space="0" w:color="auto"/>
        <w:bottom w:val="none" w:sz="0" w:space="0" w:color="auto"/>
        <w:right w:val="none" w:sz="0" w:space="0" w:color="auto"/>
      </w:divBdr>
    </w:div>
    <w:div w:id="593977044">
      <w:bodyDiv w:val="1"/>
      <w:marLeft w:val="0"/>
      <w:marRight w:val="0"/>
      <w:marTop w:val="0"/>
      <w:marBottom w:val="0"/>
      <w:divBdr>
        <w:top w:val="none" w:sz="0" w:space="0" w:color="auto"/>
        <w:left w:val="none" w:sz="0" w:space="0" w:color="auto"/>
        <w:bottom w:val="none" w:sz="0" w:space="0" w:color="auto"/>
        <w:right w:val="none" w:sz="0" w:space="0" w:color="auto"/>
      </w:divBdr>
    </w:div>
    <w:div w:id="803546172">
      <w:bodyDiv w:val="1"/>
      <w:marLeft w:val="0"/>
      <w:marRight w:val="0"/>
      <w:marTop w:val="0"/>
      <w:marBottom w:val="0"/>
      <w:divBdr>
        <w:top w:val="none" w:sz="0" w:space="0" w:color="auto"/>
        <w:left w:val="none" w:sz="0" w:space="0" w:color="auto"/>
        <w:bottom w:val="none" w:sz="0" w:space="0" w:color="auto"/>
        <w:right w:val="none" w:sz="0" w:space="0" w:color="auto"/>
      </w:divBdr>
    </w:div>
    <w:div w:id="966474138">
      <w:bodyDiv w:val="1"/>
      <w:marLeft w:val="0"/>
      <w:marRight w:val="0"/>
      <w:marTop w:val="0"/>
      <w:marBottom w:val="0"/>
      <w:divBdr>
        <w:top w:val="none" w:sz="0" w:space="0" w:color="auto"/>
        <w:left w:val="none" w:sz="0" w:space="0" w:color="auto"/>
        <w:bottom w:val="none" w:sz="0" w:space="0" w:color="auto"/>
        <w:right w:val="none" w:sz="0" w:space="0" w:color="auto"/>
      </w:divBdr>
    </w:div>
    <w:div w:id="1059405309">
      <w:bodyDiv w:val="1"/>
      <w:marLeft w:val="0"/>
      <w:marRight w:val="0"/>
      <w:marTop w:val="0"/>
      <w:marBottom w:val="0"/>
      <w:divBdr>
        <w:top w:val="none" w:sz="0" w:space="0" w:color="auto"/>
        <w:left w:val="none" w:sz="0" w:space="0" w:color="auto"/>
        <w:bottom w:val="none" w:sz="0" w:space="0" w:color="auto"/>
        <w:right w:val="none" w:sz="0" w:space="0" w:color="auto"/>
      </w:divBdr>
    </w:div>
    <w:div w:id="1079597805">
      <w:bodyDiv w:val="1"/>
      <w:marLeft w:val="0"/>
      <w:marRight w:val="0"/>
      <w:marTop w:val="0"/>
      <w:marBottom w:val="0"/>
      <w:divBdr>
        <w:top w:val="none" w:sz="0" w:space="0" w:color="auto"/>
        <w:left w:val="none" w:sz="0" w:space="0" w:color="auto"/>
        <w:bottom w:val="none" w:sz="0" w:space="0" w:color="auto"/>
        <w:right w:val="none" w:sz="0" w:space="0" w:color="auto"/>
      </w:divBdr>
    </w:div>
    <w:div w:id="1157459127">
      <w:bodyDiv w:val="1"/>
      <w:marLeft w:val="0"/>
      <w:marRight w:val="0"/>
      <w:marTop w:val="0"/>
      <w:marBottom w:val="0"/>
      <w:divBdr>
        <w:top w:val="none" w:sz="0" w:space="0" w:color="auto"/>
        <w:left w:val="none" w:sz="0" w:space="0" w:color="auto"/>
        <w:bottom w:val="none" w:sz="0" w:space="0" w:color="auto"/>
        <w:right w:val="none" w:sz="0" w:space="0" w:color="auto"/>
      </w:divBdr>
    </w:div>
    <w:div w:id="1176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armem\Desktop\Disserta&#231;&#227;o\&#205;ndices\Modelo%20Final3\Dados%20Gerais2.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armem\Desktop\Disserta&#231;&#227;o\&#205;ndices\Modelo%20Final3\Dados%20Finai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ICC2!$N$1</c:f>
              <c:strCache>
                <c:ptCount val="1"/>
                <c:pt idx="0">
                  <c:v>ICC Acumulado</c:v>
                </c:pt>
              </c:strCache>
            </c:strRef>
          </c:tx>
          <c:marker>
            <c:symbol val="none"/>
          </c:marker>
          <c:cat>
            <c:numRef>
              <c:f>ICC2!$M$2:$M$241</c:f>
              <c:numCache>
                <c:formatCode>mmm\-yy</c:formatCode>
                <c:ptCount val="240"/>
                <c:pt idx="0">
                  <c:v>34700</c:v>
                </c:pt>
                <c:pt idx="1">
                  <c:v>34731</c:v>
                </c:pt>
                <c:pt idx="2">
                  <c:v>34759</c:v>
                </c:pt>
                <c:pt idx="3">
                  <c:v>34790</c:v>
                </c:pt>
                <c:pt idx="4">
                  <c:v>34820</c:v>
                </c:pt>
                <c:pt idx="5">
                  <c:v>34851</c:v>
                </c:pt>
                <c:pt idx="6">
                  <c:v>34881</c:v>
                </c:pt>
                <c:pt idx="7">
                  <c:v>34912</c:v>
                </c:pt>
                <c:pt idx="8">
                  <c:v>34943</c:v>
                </c:pt>
                <c:pt idx="9">
                  <c:v>34973</c:v>
                </c:pt>
                <c:pt idx="10">
                  <c:v>35004</c:v>
                </c:pt>
                <c:pt idx="11">
                  <c:v>35034</c:v>
                </c:pt>
                <c:pt idx="12">
                  <c:v>35065</c:v>
                </c:pt>
                <c:pt idx="13">
                  <c:v>35096</c:v>
                </c:pt>
                <c:pt idx="14">
                  <c:v>35125</c:v>
                </c:pt>
                <c:pt idx="15">
                  <c:v>35156</c:v>
                </c:pt>
                <c:pt idx="16">
                  <c:v>35186</c:v>
                </c:pt>
                <c:pt idx="17">
                  <c:v>35217</c:v>
                </c:pt>
                <c:pt idx="18">
                  <c:v>35247</c:v>
                </c:pt>
                <c:pt idx="19">
                  <c:v>35278</c:v>
                </c:pt>
                <c:pt idx="20">
                  <c:v>35309</c:v>
                </c:pt>
                <c:pt idx="21">
                  <c:v>35339</c:v>
                </c:pt>
                <c:pt idx="22">
                  <c:v>35370</c:v>
                </c:pt>
                <c:pt idx="23">
                  <c:v>35400</c:v>
                </c:pt>
                <c:pt idx="24">
                  <c:v>35431</c:v>
                </c:pt>
                <c:pt idx="25">
                  <c:v>35462</c:v>
                </c:pt>
                <c:pt idx="26">
                  <c:v>35490</c:v>
                </c:pt>
                <c:pt idx="27">
                  <c:v>35521</c:v>
                </c:pt>
                <c:pt idx="28">
                  <c:v>35551</c:v>
                </c:pt>
                <c:pt idx="29">
                  <c:v>35582</c:v>
                </c:pt>
                <c:pt idx="30">
                  <c:v>35612</c:v>
                </c:pt>
                <c:pt idx="31">
                  <c:v>35643</c:v>
                </c:pt>
                <c:pt idx="32">
                  <c:v>35674</c:v>
                </c:pt>
                <c:pt idx="33">
                  <c:v>35704</c:v>
                </c:pt>
                <c:pt idx="34">
                  <c:v>35735</c:v>
                </c:pt>
                <c:pt idx="35">
                  <c:v>35765</c:v>
                </c:pt>
                <c:pt idx="36">
                  <c:v>35796</c:v>
                </c:pt>
                <c:pt idx="37">
                  <c:v>35827</c:v>
                </c:pt>
                <c:pt idx="38">
                  <c:v>35855</c:v>
                </c:pt>
                <c:pt idx="39">
                  <c:v>35886</c:v>
                </c:pt>
                <c:pt idx="40">
                  <c:v>35916</c:v>
                </c:pt>
                <c:pt idx="41">
                  <c:v>35947</c:v>
                </c:pt>
                <c:pt idx="42">
                  <c:v>35977</c:v>
                </c:pt>
                <c:pt idx="43">
                  <c:v>36008</c:v>
                </c:pt>
                <c:pt idx="44">
                  <c:v>36039</c:v>
                </c:pt>
                <c:pt idx="45">
                  <c:v>36069</c:v>
                </c:pt>
                <c:pt idx="46">
                  <c:v>36100</c:v>
                </c:pt>
                <c:pt idx="47">
                  <c:v>36130</c:v>
                </c:pt>
                <c:pt idx="48">
                  <c:v>36161</c:v>
                </c:pt>
                <c:pt idx="49">
                  <c:v>36192</c:v>
                </c:pt>
                <c:pt idx="50">
                  <c:v>36220</c:v>
                </c:pt>
                <c:pt idx="51">
                  <c:v>36251</c:v>
                </c:pt>
                <c:pt idx="52">
                  <c:v>36281</c:v>
                </c:pt>
                <c:pt idx="53">
                  <c:v>36312</c:v>
                </c:pt>
                <c:pt idx="54">
                  <c:v>36342</c:v>
                </c:pt>
                <c:pt idx="55">
                  <c:v>36373</c:v>
                </c:pt>
                <c:pt idx="56">
                  <c:v>36404</c:v>
                </c:pt>
                <c:pt idx="57">
                  <c:v>36434</c:v>
                </c:pt>
                <c:pt idx="58">
                  <c:v>36465</c:v>
                </c:pt>
                <c:pt idx="59">
                  <c:v>36495</c:v>
                </c:pt>
                <c:pt idx="60">
                  <c:v>36526</c:v>
                </c:pt>
                <c:pt idx="61">
                  <c:v>36557</c:v>
                </c:pt>
                <c:pt idx="62">
                  <c:v>36586</c:v>
                </c:pt>
                <c:pt idx="63">
                  <c:v>36617</c:v>
                </c:pt>
                <c:pt idx="64">
                  <c:v>36647</c:v>
                </c:pt>
                <c:pt idx="65">
                  <c:v>36678</c:v>
                </c:pt>
                <c:pt idx="66">
                  <c:v>36708</c:v>
                </c:pt>
                <c:pt idx="67">
                  <c:v>36739</c:v>
                </c:pt>
                <c:pt idx="68">
                  <c:v>36770</c:v>
                </c:pt>
                <c:pt idx="69">
                  <c:v>36800</c:v>
                </c:pt>
                <c:pt idx="70">
                  <c:v>36831</c:v>
                </c:pt>
                <c:pt idx="71">
                  <c:v>36861</c:v>
                </c:pt>
                <c:pt idx="72">
                  <c:v>36892</c:v>
                </c:pt>
                <c:pt idx="73">
                  <c:v>36923</c:v>
                </c:pt>
                <c:pt idx="74">
                  <c:v>36951</c:v>
                </c:pt>
                <c:pt idx="75">
                  <c:v>36982</c:v>
                </c:pt>
                <c:pt idx="76">
                  <c:v>37012</c:v>
                </c:pt>
                <c:pt idx="77">
                  <c:v>37043</c:v>
                </c:pt>
                <c:pt idx="78">
                  <c:v>37073</c:v>
                </c:pt>
                <c:pt idx="79">
                  <c:v>37104</c:v>
                </c:pt>
                <c:pt idx="80">
                  <c:v>37135</c:v>
                </c:pt>
                <c:pt idx="81">
                  <c:v>37165</c:v>
                </c:pt>
                <c:pt idx="82">
                  <c:v>37196</c:v>
                </c:pt>
                <c:pt idx="83">
                  <c:v>37226</c:v>
                </c:pt>
                <c:pt idx="84">
                  <c:v>37257</c:v>
                </c:pt>
                <c:pt idx="85">
                  <c:v>37288</c:v>
                </c:pt>
                <c:pt idx="86">
                  <c:v>37316</c:v>
                </c:pt>
                <c:pt idx="87">
                  <c:v>37347</c:v>
                </c:pt>
                <c:pt idx="88">
                  <c:v>37377</c:v>
                </c:pt>
                <c:pt idx="89">
                  <c:v>37408</c:v>
                </c:pt>
                <c:pt idx="90">
                  <c:v>37438</c:v>
                </c:pt>
                <c:pt idx="91">
                  <c:v>37469</c:v>
                </c:pt>
                <c:pt idx="92">
                  <c:v>37500</c:v>
                </c:pt>
                <c:pt idx="93">
                  <c:v>37530</c:v>
                </c:pt>
                <c:pt idx="94">
                  <c:v>37561</c:v>
                </c:pt>
                <c:pt idx="95">
                  <c:v>37591</c:v>
                </c:pt>
                <c:pt idx="96">
                  <c:v>37622</c:v>
                </c:pt>
                <c:pt idx="97">
                  <c:v>37653</c:v>
                </c:pt>
                <c:pt idx="98">
                  <c:v>37681</c:v>
                </c:pt>
                <c:pt idx="99">
                  <c:v>37712</c:v>
                </c:pt>
                <c:pt idx="100">
                  <c:v>37742</c:v>
                </c:pt>
                <c:pt idx="101">
                  <c:v>37773</c:v>
                </c:pt>
                <c:pt idx="102">
                  <c:v>37803</c:v>
                </c:pt>
                <c:pt idx="103">
                  <c:v>37834</c:v>
                </c:pt>
                <c:pt idx="104">
                  <c:v>37865</c:v>
                </c:pt>
                <c:pt idx="105">
                  <c:v>37895</c:v>
                </c:pt>
                <c:pt idx="106">
                  <c:v>37926</c:v>
                </c:pt>
                <c:pt idx="107">
                  <c:v>37956</c:v>
                </c:pt>
                <c:pt idx="108">
                  <c:v>37987</c:v>
                </c:pt>
                <c:pt idx="109">
                  <c:v>38018</c:v>
                </c:pt>
                <c:pt idx="110">
                  <c:v>38047</c:v>
                </c:pt>
                <c:pt idx="111">
                  <c:v>38078</c:v>
                </c:pt>
                <c:pt idx="112">
                  <c:v>38108</c:v>
                </c:pt>
                <c:pt idx="113">
                  <c:v>38139</c:v>
                </c:pt>
                <c:pt idx="114">
                  <c:v>38169</c:v>
                </c:pt>
                <c:pt idx="115">
                  <c:v>38200</c:v>
                </c:pt>
                <c:pt idx="116">
                  <c:v>38231</c:v>
                </c:pt>
                <c:pt idx="117">
                  <c:v>38261</c:v>
                </c:pt>
                <c:pt idx="118">
                  <c:v>38292</c:v>
                </c:pt>
                <c:pt idx="119">
                  <c:v>38322</c:v>
                </c:pt>
                <c:pt idx="120">
                  <c:v>38353</c:v>
                </c:pt>
                <c:pt idx="121">
                  <c:v>38384</c:v>
                </c:pt>
                <c:pt idx="122">
                  <c:v>38412</c:v>
                </c:pt>
                <c:pt idx="123">
                  <c:v>38443</c:v>
                </c:pt>
                <c:pt idx="124">
                  <c:v>38473</c:v>
                </c:pt>
                <c:pt idx="125">
                  <c:v>38504</c:v>
                </c:pt>
                <c:pt idx="126">
                  <c:v>38534</c:v>
                </c:pt>
                <c:pt idx="127">
                  <c:v>38565</c:v>
                </c:pt>
                <c:pt idx="128">
                  <c:v>38596</c:v>
                </c:pt>
                <c:pt idx="129">
                  <c:v>38626</c:v>
                </c:pt>
                <c:pt idx="130">
                  <c:v>38657</c:v>
                </c:pt>
                <c:pt idx="131">
                  <c:v>38687</c:v>
                </c:pt>
                <c:pt idx="132">
                  <c:v>38718</c:v>
                </c:pt>
                <c:pt idx="133">
                  <c:v>38749</c:v>
                </c:pt>
                <c:pt idx="134">
                  <c:v>38777</c:v>
                </c:pt>
                <c:pt idx="135">
                  <c:v>38808</c:v>
                </c:pt>
                <c:pt idx="136">
                  <c:v>38838</c:v>
                </c:pt>
                <c:pt idx="137">
                  <c:v>38869</c:v>
                </c:pt>
                <c:pt idx="138">
                  <c:v>38899</c:v>
                </c:pt>
                <c:pt idx="139">
                  <c:v>38930</c:v>
                </c:pt>
                <c:pt idx="140">
                  <c:v>38961</c:v>
                </c:pt>
                <c:pt idx="141">
                  <c:v>38991</c:v>
                </c:pt>
                <c:pt idx="142">
                  <c:v>39022</c:v>
                </c:pt>
                <c:pt idx="143">
                  <c:v>39052</c:v>
                </c:pt>
                <c:pt idx="144">
                  <c:v>39083</c:v>
                </c:pt>
                <c:pt idx="145">
                  <c:v>39114</c:v>
                </c:pt>
                <c:pt idx="146">
                  <c:v>39142</c:v>
                </c:pt>
                <c:pt idx="147">
                  <c:v>39173</c:v>
                </c:pt>
                <c:pt idx="148">
                  <c:v>39203</c:v>
                </c:pt>
                <c:pt idx="149">
                  <c:v>39234</c:v>
                </c:pt>
                <c:pt idx="150">
                  <c:v>39264</c:v>
                </c:pt>
                <c:pt idx="151">
                  <c:v>39295</c:v>
                </c:pt>
                <c:pt idx="152">
                  <c:v>39326</c:v>
                </c:pt>
                <c:pt idx="153">
                  <c:v>39356</c:v>
                </c:pt>
                <c:pt idx="154">
                  <c:v>39387</c:v>
                </c:pt>
                <c:pt idx="155">
                  <c:v>39417</c:v>
                </c:pt>
                <c:pt idx="156">
                  <c:v>39448</c:v>
                </c:pt>
                <c:pt idx="157">
                  <c:v>39479</c:v>
                </c:pt>
                <c:pt idx="158">
                  <c:v>39508</c:v>
                </c:pt>
                <c:pt idx="159">
                  <c:v>39539</c:v>
                </c:pt>
                <c:pt idx="160">
                  <c:v>39569</c:v>
                </c:pt>
                <c:pt idx="161">
                  <c:v>39600</c:v>
                </c:pt>
                <c:pt idx="162">
                  <c:v>39630</c:v>
                </c:pt>
                <c:pt idx="163">
                  <c:v>39661</c:v>
                </c:pt>
                <c:pt idx="164">
                  <c:v>39692</c:v>
                </c:pt>
                <c:pt idx="165">
                  <c:v>39722</c:v>
                </c:pt>
                <c:pt idx="166">
                  <c:v>39753</c:v>
                </c:pt>
                <c:pt idx="167">
                  <c:v>39783</c:v>
                </c:pt>
                <c:pt idx="168">
                  <c:v>39814</c:v>
                </c:pt>
                <c:pt idx="169">
                  <c:v>39845</c:v>
                </c:pt>
                <c:pt idx="170">
                  <c:v>39873</c:v>
                </c:pt>
                <c:pt idx="171">
                  <c:v>39904</c:v>
                </c:pt>
                <c:pt idx="172">
                  <c:v>39934</c:v>
                </c:pt>
                <c:pt idx="173">
                  <c:v>39965</c:v>
                </c:pt>
                <c:pt idx="174">
                  <c:v>39995</c:v>
                </c:pt>
                <c:pt idx="175">
                  <c:v>40026</c:v>
                </c:pt>
                <c:pt idx="176">
                  <c:v>40057</c:v>
                </c:pt>
                <c:pt idx="177">
                  <c:v>40087</c:v>
                </c:pt>
                <c:pt idx="178">
                  <c:v>40118</c:v>
                </c:pt>
                <c:pt idx="179">
                  <c:v>40148</c:v>
                </c:pt>
                <c:pt idx="180">
                  <c:v>40179</c:v>
                </c:pt>
                <c:pt idx="181">
                  <c:v>40210</c:v>
                </c:pt>
                <c:pt idx="182">
                  <c:v>40238</c:v>
                </c:pt>
                <c:pt idx="183">
                  <c:v>40269</c:v>
                </c:pt>
                <c:pt idx="184">
                  <c:v>40299</c:v>
                </c:pt>
                <c:pt idx="185">
                  <c:v>40330</c:v>
                </c:pt>
                <c:pt idx="186">
                  <c:v>40360</c:v>
                </c:pt>
                <c:pt idx="187">
                  <c:v>40391</c:v>
                </c:pt>
                <c:pt idx="188">
                  <c:v>40422</c:v>
                </c:pt>
                <c:pt idx="189">
                  <c:v>40452</c:v>
                </c:pt>
                <c:pt idx="190">
                  <c:v>40483</c:v>
                </c:pt>
                <c:pt idx="191">
                  <c:v>40513</c:v>
                </c:pt>
                <c:pt idx="192">
                  <c:v>40544</c:v>
                </c:pt>
                <c:pt idx="193">
                  <c:v>40575</c:v>
                </c:pt>
                <c:pt idx="194">
                  <c:v>40603</c:v>
                </c:pt>
                <c:pt idx="195">
                  <c:v>40634</c:v>
                </c:pt>
                <c:pt idx="196">
                  <c:v>40664</c:v>
                </c:pt>
                <c:pt idx="197">
                  <c:v>40695</c:v>
                </c:pt>
                <c:pt idx="198">
                  <c:v>40725</c:v>
                </c:pt>
                <c:pt idx="199">
                  <c:v>40756</c:v>
                </c:pt>
                <c:pt idx="200">
                  <c:v>40787</c:v>
                </c:pt>
                <c:pt idx="201">
                  <c:v>40817</c:v>
                </c:pt>
                <c:pt idx="202">
                  <c:v>40848</c:v>
                </c:pt>
                <c:pt idx="203">
                  <c:v>40878</c:v>
                </c:pt>
                <c:pt idx="204">
                  <c:v>40909</c:v>
                </c:pt>
                <c:pt idx="205">
                  <c:v>40940</c:v>
                </c:pt>
                <c:pt idx="206">
                  <c:v>40969</c:v>
                </c:pt>
                <c:pt idx="207">
                  <c:v>41000</c:v>
                </c:pt>
                <c:pt idx="208">
                  <c:v>41030</c:v>
                </c:pt>
                <c:pt idx="209">
                  <c:v>41061</c:v>
                </c:pt>
                <c:pt idx="210">
                  <c:v>41091</c:v>
                </c:pt>
                <c:pt idx="211">
                  <c:v>41122</c:v>
                </c:pt>
                <c:pt idx="212">
                  <c:v>41153</c:v>
                </c:pt>
                <c:pt idx="213">
                  <c:v>41183</c:v>
                </c:pt>
                <c:pt idx="214">
                  <c:v>41214</c:v>
                </c:pt>
                <c:pt idx="215">
                  <c:v>41244</c:v>
                </c:pt>
                <c:pt idx="216">
                  <c:v>41275</c:v>
                </c:pt>
                <c:pt idx="217">
                  <c:v>41306</c:v>
                </c:pt>
                <c:pt idx="218">
                  <c:v>41334</c:v>
                </c:pt>
                <c:pt idx="219">
                  <c:v>41365</c:v>
                </c:pt>
                <c:pt idx="220">
                  <c:v>41395</c:v>
                </c:pt>
                <c:pt idx="221">
                  <c:v>41426</c:v>
                </c:pt>
                <c:pt idx="222">
                  <c:v>41456</c:v>
                </c:pt>
                <c:pt idx="223">
                  <c:v>41487</c:v>
                </c:pt>
                <c:pt idx="224">
                  <c:v>41518</c:v>
                </c:pt>
                <c:pt idx="225">
                  <c:v>41548</c:v>
                </c:pt>
                <c:pt idx="226">
                  <c:v>41579</c:v>
                </c:pt>
                <c:pt idx="227">
                  <c:v>41609</c:v>
                </c:pt>
                <c:pt idx="228">
                  <c:v>41640</c:v>
                </c:pt>
                <c:pt idx="229">
                  <c:v>41671</c:v>
                </c:pt>
                <c:pt idx="230">
                  <c:v>41699</c:v>
                </c:pt>
                <c:pt idx="231">
                  <c:v>41730</c:v>
                </c:pt>
                <c:pt idx="232">
                  <c:v>41760</c:v>
                </c:pt>
                <c:pt idx="233">
                  <c:v>41791</c:v>
                </c:pt>
                <c:pt idx="234">
                  <c:v>41821</c:v>
                </c:pt>
                <c:pt idx="235">
                  <c:v>41852</c:v>
                </c:pt>
                <c:pt idx="236">
                  <c:v>41883</c:v>
                </c:pt>
                <c:pt idx="237">
                  <c:v>41913</c:v>
                </c:pt>
                <c:pt idx="238">
                  <c:v>41944</c:v>
                </c:pt>
                <c:pt idx="239">
                  <c:v>41974</c:v>
                </c:pt>
              </c:numCache>
            </c:numRef>
          </c:cat>
          <c:val>
            <c:numRef>
              <c:f>ICC2!$N$2:$N$241</c:f>
              <c:numCache>
                <c:formatCode>General</c:formatCode>
                <c:ptCount val="240"/>
                <c:pt idx="0">
                  <c:v>-1.5</c:v>
                </c:pt>
                <c:pt idx="1">
                  <c:v>-1.5</c:v>
                </c:pt>
                <c:pt idx="2">
                  <c:v>1</c:v>
                </c:pt>
                <c:pt idx="3">
                  <c:v>2</c:v>
                </c:pt>
                <c:pt idx="4">
                  <c:v>2</c:v>
                </c:pt>
                <c:pt idx="5">
                  <c:v>3</c:v>
                </c:pt>
                <c:pt idx="6">
                  <c:v>3</c:v>
                </c:pt>
                <c:pt idx="7">
                  <c:v>0</c:v>
                </c:pt>
                <c:pt idx="8">
                  <c:v>1</c:v>
                </c:pt>
                <c:pt idx="9">
                  <c:v>1</c:v>
                </c:pt>
                <c:pt idx="10">
                  <c:v>1</c:v>
                </c:pt>
                <c:pt idx="11">
                  <c:v>1</c:v>
                </c:pt>
                <c:pt idx="12">
                  <c:v>1</c:v>
                </c:pt>
                <c:pt idx="13">
                  <c:v>-0.75000000000000278</c:v>
                </c:pt>
                <c:pt idx="14">
                  <c:v>-1.5</c:v>
                </c:pt>
                <c:pt idx="15">
                  <c:v>-2.5</c:v>
                </c:pt>
                <c:pt idx="16">
                  <c:v>-1.5</c:v>
                </c:pt>
                <c:pt idx="17">
                  <c:v>-1.5</c:v>
                </c:pt>
                <c:pt idx="18">
                  <c:v>-1.5</c:v>
                </c:pt>
                <c:pt idx="19">
                  <c:v>-1.5</c:v>
                </c:pt>
                <c:pt idx="20">
                  <c:v>2.5</c:v>
                </c:pt>
                <c:pt idx="21">
                  <c:v>2.5</c:v>
                </c:pt>
                <c:pt idx="22">
                  <c:v>3.5</c:v>
                </c:pt>
                <c:pt idx="23">
                  <c:v>5.5</c:v>
                </c:pt>
                <c:pt idx="24">
                  <c:v>5.5</c:v>
                </c:pt>
                <c:pt idx="25">
                  <c:v>7.5</c:v>
                </c:pt>
                <c:pt idx="26">
                  <c:v>6.5</c:v>
                </c:pt>
                <c:pt idx="27">
                  <c:v>8.5</c:v>
                </c:pt>
                <c:pt idx="28">
                  <c:v>9.5</c:v>
                </c:pt>
                <c:pt idx="29">
                  <c:v>11.5</c:v>
                </c:pt>
                <c:pt idx="30">
                  <c:v>11.5</c:v>
                </c:pt>
                <c:pt idx="31">
                  <c:v>11.5</c:v>
                </c:pt>
                <c:pt idx="32">
                  <c:v>11.5</c:v>
                </c:pt>
                <c:pt idx="33">
                  <c:v>11.5</c:v>
                </c:pt>
                <c:pt idx="34">
                  <c:v>12.5</c:v>
                </c:pt>
                <c:pt idx="35">
                  <c:v>12.5</c:v>
                </c:pt>
                <c:pt idx="36">
                  <c:v>12.5</c:v>
                </c:pt>
                <c:pt idx="37">
                  <c:v>11.5</c:v>
                </c:pt>
                <c:pt idx="38">
                  <c:v>13</c:v>
                </c:pt>
                <c:pt idx="39">
                  <c:v>13.25</c:v>
                </c:pt>
                <c:pt idx="40">
                  <c:v>13.25</c:v>
                </c:pt>
                <c:pt idx="41">
                  <c:v>14.75</c:v>
                </c:pt>
                <c:pt idx="42">
                  <c:v>14.75</c:v>
                </c:pt>
                <c:pt idx="43">
                  <c:v>18.75</c:v>
                </c:pt>
                <c:pt idx="44">
                  <c:v>18.75</c:v>
                </c:pt>
                <c:pt idx="45">
                  <c:v>18.75</c:v>
                </c:pt>
                <c:pt idx="46">
                  <c:v>18.75</c:v>
                </c:pt>
                <c:pt idx="47">
                  <c:v>18.25</c:v>
                </c:pt>
                <c:pt idx="48">
                  <c:v>20.25</c:v>
                </c:pt>
                <c:pt idx="49">
                  <c:v>20</c:v>
                </c:pt>
                <c:pt idx="50">
                  <c:v>21</c:v>
                </c:pt>
                <c:pt idx="51">
                  <c:v>22</c:v>
                </c:pt>
                <c:pt idx="52">
                  <c:v>22</c:v>
                </c:pt>
                <c:pt idx="53">
                  <c:v>23</c:v>
                </c:pt>
                <c:pt idx="54">
                  <c:v>26</c:v>
                </c:pt>
                <c:pt idx="55">
                  <c:v>28</c:v>
                </c:pt>
                <c:pt idx="56">
                  <c:v>28</c:v>
                </c:pt>
                <c:pt idx="57">
                  <c:v>28</c:v>
                </c:pt>
                <c:pt idx="58">
                  <c:v>28</c:v>
                </c:pt>
                <c:pt idx="59">
                  <c:v>30</c:v>
                </c:pt>
                <c:pt idx="60">
                  <c:v>34</c:v>
                </c:pt>
                <c:pt idx="61">
                  <c:v>36</c:v>
                </c:pt>
                <c:pt idx="62">
                  <c:v>37</c:v>
                </c:pt>
                <c:pt idx="63">
                  <c:v>37</c:v>
                </c:pt>
                <c:pt idx="64">
                  <c:v>37</c:v>
                </c:pt>
                <c:pt idx="65">
                  <c:v>37</c:v>
                </c:pt>
                <c:pt idx="66">
                  <c:v>37</c:v>
                </c:pt>
                <c:pt idx="67">
                  <c:v>40</c:v>
                </c:pt>
                <c:pt idx="68">
                  <c:v>40</c:v>
                </c:pt>
                <c:pt idx="69">
                  <c:v>40.5</c:v>
                </c:pt>
                <c:pt idx="70">
                  <c:v>41</c:v>
                </c:pt>
                <c:pt idx="71">
                  <c:v>41</c:v>
                </c:pt>
                <c:pt idx="72">
                  <c:v>42.25</c:v>
                </c:pt>
                <c:pt idx="73">
                  <c:v>41.75</c:v>
                </c:pt>
                <c:pt idx="74">
                  <c:v>41.75</c:v>
                </c:pt>
                <c:pt idx="75">
                  <c:v>41.75</c:v>
                </c:pt>
                <c:pt idx="76">
                  <c:v>41.75</c:v>
                </c:pt>
                <c:pt idx="77">
                  <c:v>42.25</c:v>
                </c:pt>
                <c:pt idx="78">
                  <c:v>45.25</c:v>
                </c:pt>
                <c:pt idx="79">
                  <c:v>45.25</c:v>
                </c:pt>
                <c:pt idx="80">
                  <c:v>47.25</c:v>
                </c:pt>
                <c:pt idx="81">
                  <c:v>47.25</c:v>
                </c:pt>
                <c:pt idx="82">
                  <c:v>47.25</c:v>
                </c:pt>
                <c:pt idx="83">
                  <c:v>47.25</c:v>
                </c:pt>
                <c:pt idx="84">
                  <c:v>47.75</c:v>
                </c:pt>
                <c:pt idx="85">
                  <c:v>47.75</c:v>
                </c:pt>
                <c:pt idx="86">
                  <c:v>47.75</c:v>
                </c:pt>
                <c:pt idx="87">
                  <c:v>47.75</c:v>
                </c:pt>
                <c:pt idx="88">
                  <c:v>47.75</c:v>
                </c:pt>
                <c:pt idx="89">
                  <c:v>47.75</c:v>
                </c:pt>
                <c:pt idx="90">
                  <c:v>49.75</c:v>
                </c:pt>
                <c:pt idx="91">
                  <c:v>51.75</c:v>
                </c:pt>
                <c:pt idx="92">
                  <c:v>51.75</c:v>
                </c:pt>
                <c:pt idx="93">
                  <c:v>53.75</c:v>
                </c:pt>
                <c:pt idx="94">
                  <c:v>53.75</c:v>
                </c:pt>
                <c:pt idx="95">
                  <c:v>54.25</c:v>
                </c:pt>
                <c:pt idx="96">
                  <c:v>54.5</c:v>
                </c:pt>
                <c:pt idx="97">
                  <c:v>54.5</c:v>
                </c:pt>
                <c:pt idx="98">
                  <c:v>54.5</c:v>
                </c:pt>
                <c:pt idx="99">
                  <c:v>56.5</c:v>
                </c:pt>
                <c:pt idx="100">
                  <c:v>56.5</c:v>
                </c:pt>
                <c:pt idx="101">
                  <c:v>56.5</c:v>
                </c:pt>
                <c:pt idx="102">
                  <c:v>56.5</c:v>
                </c:pt>
                <c:pt idx="103">
                  <c:v>56.5</c:v>
                </c:pt>
                <c:pt idx="104">
                  <c:v>57.5</c:v>
                </c:pt>
                <c:pt idx="105">
                  <c:v>57.5</c:v>
                </c:pt>
                <c:pt idx="106">
                  <c:v>56.5</c:v>
                </c:pt>
                <c:pt idx="107">
                  <c:v>57.5</c:v>
                </c:pt>
                <c:pt idx="108">
                  <c:v>57.5</c:v>
                </c:pt>
                <c:pt idx="109">
                  <c:v>58.5</c:v>
                </c:pt>
                <c:pt idx="110">
                  <c:v>59.5</c:v>
                </c:pt>
                <c:pt idx="111">
                  <c:v>59.5</c:v>
                </c:pt>
                <c:pt idx="112">
                  <c:v>59.5</c:v>
                </c:pt>
                <c:pt idx="113">
                  <c:v>60</c:v>
                </c:pt>
                <c:pt idx="114">
                  <c:v>62</c:v>
                </c:pt>
                <c:pt idx="115">
                  <c:v>62.5</c:v>
                </c:pt>
                <c:pt idx="116">
                  <c:v>62.5</c:v>
                </c:pt>
                <c:pt idx="117">
                  <c:v>62.5</c:v>
                </c:pt>
                <c:pt idx="118">
                  <c:v>63.5</c:v>
                </c:pt>
                <c:pt idx="119">
                  <c:v>65.5</c:v>
                </c:pt>
                <c:pt idx="120">
                  <c:v>65.5</c:v>
                </c:pt>
                <c:pt idx="121">
                  <c:v>66</c:v>
                </c:pt>
                <c:pt idx="122">
                  <c:v>68</c:v>
                </c:pt>
                <c:pt idx="123">
                  <c:v>68</c:v>
                </c:pt>
                <c:pt idx="124">
                  <c:v>68</c:v>
                </c:pt>
                <c:pt idx="125">
                  <c:v>68</c:v>
                </c:pt>
                <c:pt idx="126">
                  <c:v>68</c:v>
                </c:pt>
                <c:pt idx="127">
                  <c:v>68</c:v>
                </c:pt>
                <c:pt idx="128">
                  <c:v>76</c:v>
                </c:pt>
                <c:pt idx="129">
                  <c:v>76</c:v>
                </c:pt>
                <c:pt idx="130">
                  <c:v>77</c:v>
                </c:pt>
                <c:pt idx="131">
                  <c:v>83.5</c:v>
                </c:pt>
                <c:pt idx="132">
                  <c:v>83.5</c:v>
                </c:pt>
                <c:pt idx="133">
                  <c:v>83.5</c:v>
                </c:pt>
                <c:pt idx="134">
                  <c:v>84</c:v>
                </c:pt>
                <c:pt idx="135">
                  <c:v>84.25</c:v>
                </c:pt>
                <c:pt idx="136">
                  <c:v>84.75</c:v>
                </c:pt>
                <c:pt idx="137">
                  <c:v>84.75</c:v>
                </c:pt>
                <c:pt idx="138">
                  <c:v>84.75</c:v>
                </c:pt>
                <c:pt idx="139">
                  <c:v>88.75</c:v>
                </c:pt>
                <c:pt idx="140">
                  <c:v>88.75</c:v>
                </c:pt>
                <c:pt idx="141">
                  <c:v>89.5</c:v>
                </c:pt>
                <c:pt idx="142">
                  <c:v>89.5</c:v>
                </c:pt>
                <c:pt idx="143">
                  <c:v>89.75</c:v>
                </c:pt>
                <c:pt idx="144">
                  <c:v>89.75</c:v>
                </c:pt>
                <c:pt idx="145">
                  <c:v>89.75</c:v>
                </c:pt>
                <c:pt idx="146">
                  <c:v>89.75</c:v>
                </c:pt>
                <c:pt idx="147">
                  <c:v>89.75</c:v>
                </c:pt>
                <c:pt idx="148">
                  <c:v>89.75</c:v>
                </c:pt>
                <c:pt idx="149">
                  <c:v>89.5</c:v>
                </c:pt>
                <c:pt idx="150">
                  <c:v>89.5</c:v>
                </c:pt>
                <c:pt idx="151">
                  <c:v>89.5</c:v>
                </c:pt>
                <c:pt idx="152">
                  <c:v>89.5</c:v>
                </c:pt>
                <c:pt idx="153">
                  <c:v>89.5</c:v>
                </c:pt>
                <c:pt idx="154">
                  <c:v>89.5</c:v>
                </c:pt>
                <c:pt idx="155">
                  <c:v>89.5</c:v>
                </c:pt>
                <c:pt idx="156">
                  <c:v>89</c:v>
                </c:pt>
                <c:pt idx="157">
                  <c:v>89</c:v>
                </c:pt>
                <c:pt idx="158">
                  <c:v>90</c:v>
                </c:pt>
                <c:pt idx="159">
                  <c:v>90</c:v>
                </c:pt>
                <c:pt idx="160">
                  <c:v>90.25</c:v>
                </c:pt>
                <c:pt idx="161">
                  <c:v>90.25</c:v>
                </c:pt>
                <c:pt idx="162">
                  <c:v>90.25</c:v>
                </c:pt>
                <c:pt idx="163">
                  <c:v>91.25</c:v>
                </c:pt>
                <c:pt idx="164">
                  <c:v>91.5</c:v>
                </c:pt>
                <c:pt idx="165">
                  <c:v>96</c:v>
                </c:pt>
                <c:pt idx="166">
                  <c:v>98</c:v>
                </c:pt>
                <c:pt idx="167">
                  <c:v>99.75</c:v>
                </c:pt>
                <c:pt idx="168">
                  <c:v>100.75</c:v>
                </c:pt>
                <c:pt idx="169">
                  <c:v>100.75</c:v>
                </c:pt>
                <c:pt idx="170">
                  <c:v>101.75</c:v>
                </c:pt>
                <c:pt idx="171">
                  <c:v>102</c:v>
                </c:pt>
                <c:pt idx="172">
                  <c:v>102.5</c:v>
                </c:pt>
                <c:pt idx="173">
                  <c:v>102.5</c:v>
                </c:pt>
                <c:pt idx="174">
                  <c:v>102.5</c:v>
                </c:pt>
                <c:pt idx="175">
                  <c:v>102.5</c:v>
                </c:pt>
                <c:pt idx="176">
                  <c:v>102.5</c:v>
                </c:pt>
                <c:pt idx="177">
                  <c:v>100.5</c:v>
                </c:pt>
                <c:pt idx="178">
                  <c:v>100.25</c:v>
                </c:pt>
                <c:pt idx="179">
                  <c:v>100.25</c:v>
                </c:pt>
                <c:pt idx="180">
                  <c:v>100.25</c:v>
                </c:pt>
                <c:pt idx="181">
                  <c:v>100.25</c:v>
                </c:pt>
                <c:pt idx="182">
                  <c:v>101.25</c:v>
                </c:pt>
                <c:pt idx="183">
                  <c:v>101.25</c:v>
                </c:pt>
                <c:pt idx="184">
                  <c:v>101.25</c:v>
                </c:pt>
                <c:pt idx="185">
                  <c:v>101.25</c:v>
                </c:pt>
                <c:pt idx="186">
                  <c:v>101.25</c:v>
                </c:pt>
                <c:pt idx="187">
                  <c:v>101.25</c:v>
                </c:pt>
                <c:pt idx="188">
                  <c:v>101.25</c:v>
                </c:pt>
                <c:pt idx="189">
                  <c:v>96</c:v>
                </c:pt>
                <c:pt idx="190">
                  <c:v>96</c:v>
                </c:pt>
                <c:pt idx="191">
                  <c:v>94</c:v>
                </c:pt>
                <c:pt idx="192">
                  <c:v>92</c:v>
                </c:pt>
                <c:pt idx="193">
                  <c:v>92.25</c:v>
                </c:pt>
                <c:pt idx="194">
                  <c:v>89.75</c:v>
                </c:pt>
                <c:pt idx="195">
                  <c:v>87.5</c:v>
                </c:pt>
                <c:pt idx="196">
                  <c:v>87.5</c:v>
                </c:pt>
                <c:pt idx="197">
                  <c:v>87.5</c:v>
                </c:pt>
                <c:pt idx="198">
                  <c:v>86.25</c:v>
                </c:pt>
                <c:pt idx="199">
                  <c:v>86</c:v>
                </c:pt>
                <c:pt idx="200">
                  <c:v>85</c:v>
                </c:pt>
                <c:pt idx="201">
                  <c:v>85</c:v>
                </c:pt>
                <c:pt idx="202">
                  <c:v>85</c:v>
                </c:pt>
                <c:pt idx="203">
                  <c:v>86.25</c:v>
                </c:pt>
                <c:pt idx="204">
                  <c:v>86.75</c:v>
                </c:pt>
                <c:pt idx="205">
                  <c:v>85.5</c:v>
                </c:pt>
                <c:pt idx="206">
                  <c:v>84.25</c:v>
                </c:pt>
                <c:pt idx="207">
                  <c:v>84.5</c:v>
                </c:pt>
                <c:pt idx="208">
                  <c:v>84.5</c:v>
                </c:pt>
                <c:pt idx="209">
                  <c:v>85.75</c:v>
                </c:pt>
                <c:pt idx="210">
                  <c:v>85.5</c:v>
                </c:pt>
                <c:pt idx="211">
                  <c:v>85.75</c:v>
                </c:pt>
                <c:pt idx="212">
                  <c:v>85.75</c:v>
                </c:pt>
                <c:pt idx="213">
                  <c:v>85.75</c:v>
                </c:pt>
                <c:pt idx="214">
                  <c:v>86.75</c:v>
                </c:pt>
                <c:pt idx="215">
                  <c:v>87</c:v>
                </c:pt>
                <c:pt idx="216">
                  <c:v>87.25</c:v>
                </c:pt>
                <c:pt idx="217">
                  <c:v>87.25</c:v>
                </c:pt>
                <c:pt idx="218">
                  <c:v>87</c:v>
                </c:pt>
                <c:pt idx="219">
                  <c:v>87</c:v>
                </c:pt>
                <c:pt idx="220">
                  <c:v>87</c:v>
                </c:pt>
                <c:pt idx="221">
                  <c:v>88.5</c:v>
                </c:pt>
                <c:pt idx="222">
                  <c:v>88.75</c:v>
                </c:pt>
                <c:pt idx="223">
                  <c:v>88.75</c:v>
                </c:pt>
                <c:pt idx="224">
                  <c:v>88.75</c:v>
                </c:pt>
                <c:pt idx="225">
                  <c:v>88.75</c:v>
                </c:pt>
                <c:pt idx="226">
                  <c:v>88.75</c:v>
                </c:pt>
                <c:pt idx="227">
                  <c:v>88.25</c:v>
                </c:pt>
                <c:pt idx="228">
                  <c:v>88.25</c:v>
                </c:pt>
                <c:pt idx="229">
                  <c:v>88.25</c:v>
                </c:pt>
                <c:pt idx="230">
                  <c:v>88.25</c:v>
                </c:pt>
                <c:pt idx="231">
                  <c:v>88.25</c:v>
                </c:pt>
                <c:pt idx="232">
                  <c:v>88.25</c:v>
                </c:pt>
                <c:pt idx="233">
                  <c:v>88.75</c:v>
                </c:pt>
                <c:pt idx="234">
                  <c:v>88.75</c:v>
                </c:pt>
                <c:pt idx="235">
                  <c:v>88.75</c:v>
                </c:pt>
                <c:pt idx="236">
                  <c:v>88.75</c:v>
                </c:pt>
                <c:pt idx="237">
                  <c:v>89</c:v>
                </c:pt>
                <c:pt idx="238">
                  <c:v>89</c:v>
                </c:pt>
                <c:pt idx="239">
                  <c:v>89</c:v>
                </c:pt>
              </c:numCache>
            </c:numRef>
          </c:val>
          <c:smooth val="0"/>
        </c:ser>
        <c:dLbls>
          <c:showLegendKey val="0"/>
          <c:showVal val="0"/>
          <c:showCatName val="0"/>
          <c:showSerName val="0"/>
          <c:showPercent val="0"/>
          <c:showBubbleSize val="0"/>
        </c:dLbls>
        <c:smooth val="0"/>
        <c:axId val="303570464"/>
        <c:axId val="305039144"/>
      </c:lineChart>
      <c:dateAx>
        <c:axId val="303570464"/>
        <c:scaling>
          <c:orientation val="minMax"/>
          <c:min val="35034"/>
        </c:scaling>
        <c:delete val="0"/>
        <c:axPos val="b"/>
        <c:numFmt formatCode="mmm\-yy" sourceLinked="1"/>
        <c:majorTickMark val="out"/>
        <c:minorTickMark val="none"/>
        <c:tickLblPos val="nextTo"/>
        <c:crossAx val="305039144"/>
        <c:crosses val="autoZero"/>
        <c:auto val="1"/>
        <c:lblOffset val="100"/>
        <c:baseTimeUnit val="months"/>
        <c:majorUnit val="12"/>
        <c:majorTimeUnit val="months"/>
      </c:dateAx>
      <c:valAx>
        <c:axId val="305039144"/>
        <c:scaling>
          <c:orientation val="minMax"/>
        </c:scaling>
        <c:delete val="0"/>
        <c:axPos val="l"/>
        <c:numFmt formatCode="General" sourceLinked="1"/>
        <c:majorTickMark val="out"/>
        <c:minorTickMark val="none"/>
        <c:tickLblPos val="nextTo"/>
        <c:crossAx val="303570464"/>
        <c:crosses val="autoZero"/>
        <c:crossBetween val="between"/>
      </c:valAx>
      <c:spPr>
        <a:noFill/>
        <a:ln w="25400">
          <a:noFill/>
        </a:ln>
      </c:spPr>
    </c:plotArea>
    <c:plotVisOnly val="1"/>
    <c:dispBlanksAs val="gap"/>
    <c:showDLblsOverMax val="0"/>
  </c:chart>
  <c:spPr>
    <a:noFill/>
    <a:ln>
      <a:noFill/>
    </a:ln>
  </c:spPr>
  <c:txPr>
    <a:bodyPr/>
    <a:lstStyle/>
    <a:p>
      <a:pPr>
        <a:defRPr sz="800">
          <a:latin typeface="Times New Roman" panose="02020603050405020304" pitchFamily="18" charset="0"/>
          <a:cs typeface="Times New Roman" panose="02020603050405020304" pitchFamily="18" charset="0"/>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557174103237095"/>
          <c:y val="3.816570098549002E-2"/>
          <c:w val="0.84387270341207365"/>
          <c:h val="0.76145000742832003"/>
        </c:manualLayout>
      </c:layout>
      <c:lineChart>
        <c:grouping val="standard"/>
        <c:varyColors val="0"/>
        <c:ser>
          <c:idx val="0"/>
          <c:order val="0"/>
          <c:tx>
            <c:strRef>
              <c:f>Plan1!$B$1</c:f>
              <c:strCache>
                <c:ptCount val="1"/>
                <c:pt idx="0">
                  <c:v>IIF</c:v>
                </c:pt>
              </c:strCache>
            </c:strRef>
          </c:tx>
          <c:marker>
            <c:symbol val="none"/>
          </c:marker>
          <c:cat>
            <c:numRef>
              <c:f>Plan1!$A$2:$A$241</c:f>
              <c:numCache>
                <c:formatCode>mmm\-yy</c:formatCode>
                <c:ptCount val="240"/>
                <c:pt idx="0">
                  <c:v>34700</c:v>
                </c:pt>
                <c:pt idx="1">
                  <c:v>34731</c:v>
                </c:pt>
                <c:pt idx="2">
                  <c:v>34759</c:v>
                </c:pt>
                <c:pt idx="3">
                  <c:v>34790</c:v>
                </c:pt>
                <c:pt idx="4">
                  <c:v>34820</c:v>
                </c:pt>
                <c:pt idx="5">
                  <c:v>34851</c:v>
                </c:pt>
                <c:pt idx="6">
                  <c:v>34881</c:v>
                </c:pt>
                <c:pt idx="7">
                  <c:v>34912</c:v>
                </c:pt>
                <c:pt idx="8">
                  <c:v>34943</c:v>
                </c:pt>
                <c:pt idx="9">
                  <c:v>34973</c:v>
                </c:pt>
                <c:pt idx="10">
                  <c:v>35004</c:v>
                </c:pt>
                <c:pt idx="11">
                  <c:v>35034</c:v>
                </c:pt>
                <c:pt idx="12">
                  <c:v>35065</c:v>
                </c:pt>
                <c:pt idx="13">
                  <c:v>35096</c:v>
                </c:pt>
                <c:pt idx="14">
                  <c:v>35125</c:v>
                </c:pt>
                <c:pt idx="15">
                  <c:v>35156</c:v>
                </c:pt>
                <c:pt idx="16">
                  <c:v>35186</c:v>
                </c:pt>
                <c:pt idx="17">
                  <c:v>35217</c:v>
                </c:pt>
                <c:pt idx="18">
                  <c:v>35247</c:v>
                </c:pt>
                <c:pt idx="19">
                  <c:v>35278</c:v>
                </c:pt>
                <c:pt idx="20">
                  <c:v>35309</c:v>
                </c:pt>
                <c:pt idx="21">
                  <c:v>35339</c:v>
                </c:pt>
                <c:pt idx="22">
                  <c:v>35370</c:v>
                </c:pt>
                <c:pt idx="23">
                  <c:v>35400</c:v>
                </c:pt>
                <c:pt idx="24">
                  <c:v>35431</c:v>
                </c:pt>
                <c:pt idx="25">
                  <c:v>35462</c:v>
                </c:pt>
                <c:pt idx="26">
                  <c:v>35490</c:v>
                </c:pt>
                <c:pt idx="27">
                  <c:v>35521</c:v>
                </c:pt>
                <c:pt idx="28">
                  <c:v>35551</c:v>
                </c:pt>
                <c:pt idx="29">
                  <c:v>35582</c:v>
                </c:pt>
                <c:pt idx="30">
                  <c:v>35612</c:v>
                </c:pt>
                <c:pt idx="31">
                  <c:v>35643</c:v>
                </c:pt>
                <c:pt idx="32">
                  <c:v>35674</c:v>
                </c:pt>
                <c:pt idx="33">
                  <c:v>35704</c:v>
                </c:pt>
                <c:pt idx="34">
                  <c:v>35735</c:v>
                </c:pt>
                <c:pt idx="35">
                  <c:v>35765</c:v>
                </c:pt>
                <c:pt idx="36">
                  <c:v>35796</c:v>
                </c:pt>
                <c:pt idx="37">
                  <c:v>35827</c:v>
                </c:pt>
                <c:pt idx="38">
                  <c:v>35855</c:v>
                </c:pt>
                <c:pt idx="39">
                  <c:v>35886</c:v>
                </c:pt>
                <c:pt idx="40">
                  <c:v>35916</c:v>
                </c:pt>
                <c:pt idx="41">
                  <c:v>35947</c:v>
                </c:pt>
                <c:pt idx="42">
                  <c:v>35977</c:v>
                </c:pt>
                <c:pt idx="43">
                  <c:v>36008</c:v>
                </c:pt>
                <c:pt idx="44">
                  <c:v>36039</c:v>
                </c:pt>
                <c:pt idx="45">
                  <c:v>36069</c:v>
                </c:pt>
                <c:pt idx="46">
                  <c:v>36100</c:v>
                </c:pt>
                <c:pt idx="47">
                  <c:v>36130</c:v>
                </c:pt>
                <c:pt idx="48">
                  <c:v>36161</c:v>
                </c:pt>
                <c:pt idx="49">
                  <c:v>36192</c:v>
                </c:pt>
                <c:pt idx="50">
                  <c:v>36220</c:v>
                </c:pt>
                <c:pt idx="51">
                  <c:v>36251</c:v>
                </c:pt>
                <c:pt idx="52">
                  <c:v>36281</c:v>
                </c:pt>
                <c:pt idx="53">
                  <c:v>36312</c:v>
                </c:pt>
                <c:pt idx="54">
                  <c:v>36342</c:v>
                </c:pt>
                <c:pt idx="55">
                  <c:v>36373</c:v>
                </c:pt>
                <c:pt idx="56">
                  <c:v>36404</c:v>
                </c:pt>
                <c:pt idx="57">
                  <c:v>36434</c:v>
                </c:pt>
                <c:pt idx="58">
                  <c:v>36465</c:v>
                </c:pt>
                <c:pt idx="59">
                  <c:v>36495</c:v>
                </c:pt>
                <c:pt idx="60">
                  <c:v>36526</c:v>
                </c:pt>
                <c:pt idx="61">
                  <c:v>36557</c:v>
                </c:pt>
                <c:pt idx="62">
                  <c:v>36586</c:v>
                </c:pt>
                <c:pt idx="63">
                  <c:v>36617</c:v>
                </c:pt>
                <c:pt idx="64">
                  <c:v>36647</c:v>
                </c:pt>
                <c:pt idx="65">
                  <c:v>36678</c:v>
                </c:pt>
                <c:pt idx="66">
                  <c:v>36708</c:v>
                </c:pt>
                <c:pt idx="67">
                  <c:v>36739</c:v>
                </c:pt>
                <c:pt idx="68">
                  <c:v>36770</c:v>
                </c:pt>
                <c:pt idx="69">
                  <c:v>36800</c:v>
                </c:pt>
                <c:pt idx="70">
                  <c:v>36831</c:v>
                </c:pt>
                <c:pt idx="71">
                  <c:v>36861</c:v>
                </c:pt>
                <c:pt idx="72">
                  <c:v>36892</c:v>
                </c:pt>
                <c:pt idx="73">
                  <c:v>36923</c:v>
                </c:pt>
                <c:pt idx="74">
                  <c:v>36951</c:v>
                </c:pt>
                <c:pt idx="75">
                  <c:v>36982</c:v>
                </c:pt>
                <c:pt idx="76">
                  <c:v>37012</c:v>
                </c:pt>
                <c:pt idx="77">
                  <c:v>37043</c:v>
                </c:pt>
                <c:pt idx="78">
                  <c:v>37073</c:v>
                </c:pt>
                <c:pt idx="79">
                  <c:v>37104</c:v>
                </c:pt>
                <c:pt idx="80">
                  <c:v>37135</c:v>
                </c:pt>
                <c:pt idx="81">
                  <c:v>37165</c:v>
                </c:pt>
                <c:pt idx="82">
                  <c:v>37196</c:v>
                </c:pt>
                <c:pt idx="83">
                  <c:v>37226</c:v>
                </c:pt>
                <c:pt idx="84">
                  <c:v>37257</c:v>
                </c:pt>
                <c:pt idx="85">
                  <c:v>37288</c:v>
                </c:pt>
                <c:pt idx="86">
                  <c:v>37316</c:v>
                </c:pt>
                <c:pt idx="87">
                  <c:v>37347</c:v>
                </c:pt>
                <c:pt idx="88">
                  <c:v>37377</c:v>
                </c:pt>
                <c:pt idx="89">
                  <c:v>37408</c:v>
                </c:pt>
                <c:pt idx="90">
                  <c:v>37438</c:v>
                </c:pt>
                <c:pt idx="91">
                  <c:v>37469</c:v>
                </c:pt>
                <c:pt idx="92">
                  <c:v>37500</c:v>
                </c:pt>
                <c:pt idx="93">
                  <c:v>37530</c:v>
                </c:pt>
                <c:pt idx="94">
                  <c:v>37561</c:v>
                </c:pt>
                <c:pt idx="95">
                  <c:v>37591</c:v>
                </c:pt>
                <c:pt idx="96">
                  <c:v>37622</c:v>
                </c:pt>
                <c:pt idx="97">
                  <c:v>37653</c:v>
                </c:pt>
                <c:pt idx="98">
                  <c:v>37681</c:v>
                </c:pt>
                <c:pt idx="99">
                  <c:v>37712</c:v>
                </c:pt>
                <c:pt idx="100">
                  <c:v>37742</c:v>
                </c:pt>
                <c:pt idx="101">
                  <c:v>37773</c:v>
                </c:pt>
                <c:pt idx="102">
                  <c:v>37803</c:v>
                </c:pt>
                <c:pt idx="103">
                  <c:v>37834</c:v>
                </c:pt>
                <c:pt idx="104">
                  <c:v>37865</c:v>
                </c:pt>
                <c:pt idx="105">
                  <c:v>37895</c:v>
                </c:pt>
                <c:pt idx="106">
                  <c:v>37926</c:v>
                </c:pt>
                <c:pt idx="107">
                  <c:v>37956</c:v>
                </c:pt>
                <c:pt idx="108">
                  <c:v>37987</c:v>
                </c:pt>
                <c:pt idx="109">
                  <c:v>38018</c:v>
                </c:pt>
                <c:pt idx="110">
                  <c:v>38047</c:v>
                </c:pt>
                <c:pt idx="111">
                  <c:v>38078</c:v>
                </c:pt>
                <c:pt idx="112">
                  <c:v>38108</c:v>
                </c:pt>
                <c:pt idx="113">
                  <c:v>38139</c:v>
                </c:pt>
                <c:pt idx="114">
                  <c:v>38169</c:v>
                </c:pt>
                <c:pt idx="115">
                  <c:v>38200</c:v>
                </c:pt>
                <c:pt idx="116">
                  <c:v>38231</c:v>
                </c:pt>
                <c:pt idx="117">
                  <c:v>38261</c:v>
                </c:pt>
                <c:pt idx="118">
                  <c:v>38292</c:v>
                </c:pt>
                <c:pt idx="119">
                  <c:v>38322</c:v>
                </c:pt>
                <c:pt idx="120">
                  <c:v>38353</c:v>
                </c:pt>
                <c:pt idx="121">
                  <c:v>38384</c:v>
                </c:pt>
                <c:pt idx="122">
                  <c:v>38412</c:v>
                </c:pt>
                <c:pt idx="123">
                  <c:v>38443</c:v>
                </c:pt>
                <c:pt idx="124">
                  <c:v>38473</c:v>
                </c:pt>
                <c:pt idx="125">
                  <c:v>38504</c:v>
                </c:pt>
                <c:pt idx="126">
                  <c:v>38534</c:v>
                </c:pt>
                <c:pt idx="127">
                  <c:v>38565</c:v>
                </c:pt>
                <c:pt idx="128">
                  <c:v>38596</c:v>
                </c:pt>
                <c:pt idx="129">
                  <c:v>38626</c:v>
                </c:pt>
                <c:pt idx="130">
                  <c:v>38657</c:v>
                </c:pt>
                <c:pt idx="131">
                  <c:v>38687</c:v>
                </c:pt>
                <c:pt idx="132">
                  <c:v>38718</c:v>
                </c:pt>
                <c:pt idx="133">
                  <c:v>38749</c:v>
                </c:pt>
                <c:pt idx="134">
                  <c:v>38777</c:v>
                </c:pt>
                <c:pt idx="135">
                  <c:v>38808</c:v>
                </c:pt>
                <c:pt idx="136">
                  <c:v>38838</c:v>
                </c:pt>
                <c:pt idx="137">
                  <c:v>38869</c:v>
                </c:pt>
                <c:pt idx="138">
                  <c:v>38899</c:v>
                </c:pt>
                <c:pt idx="139">
                  <c:v>38930</c:v>
                </c:pt>
                <c:pt idx="140">
                  <c:v>38961</c:v>
                </c:pt>
                <c:pt idx="141">
                  <c:v>38991</c:v>
                </c:pt>
                <c:pt idx="142">
                  <c:v>39022</c:v>
                </c:pt>
                <c:pt idx="143">
                  <c:v>39052</c:v>
                </c:pt>
                <c:pt idx="144">
                  <c:v>39083</c:v>
                </c:pt>
                <c:pt idx="145">
                  <c:v>39114</c:v>
                </c:pt>
                <c:pt idx="146">
                  <c:v>39142</c:v>
                </c:pt>
                <c:pt idx="147">
                  <c:v>39173</c:v>
                </c:pt>
                <c:pt idx="148">
                  <c:v>39203</c:v>
                </c:pt>
                <c:pt idx="149">
                  <c:v>39234</c:v>
                </c:pt>
                <c:pt idx="150">
                  <c:v>39264</c:v>
                </c:pt>
                <c:pt idx="151">
                  <c:v>39295</c:v>
                </c:pt>
                <c:pt idx="152">
                  <c:v>39326</c:v>
                </c:pt>
                <c:pt idx="153">
                  <c:v>39356</c:v>
                </c:pt>
                <c:pt idx="154">
                  <c:v>39387</c:v>
                </c:pt>
                <c:pt idx="155">
                  <c:v>39417</c:v>
                </c:pt>
                <c:pt idx="156">
                  <c:v>39448</c:v>
                </c:pt>
                <c:pt idx="157">
                  <c:v>39479</c:v>
                </c:pt>
                <c:pt idx="158">
                  <c:v>39508</c:v>
                </c:pt>
                <c:pt idx="159">
                  <c:v>39539</c:v>
                </c:pt>
                <c:pt idx="160">
                  <c:v>39569</c:v>
                </c:pt>
                <c:pt idx="161">
                  <c:v>39600</c:v>
                </c:pt>
                <c:pt idx="162">
                  <c:v>39630</c:v>
                </c:pt>
                <c:pt idx="163">
                  <c:v>39661</c:v>
                </c:pt>
                <c:pt idx="164">
                  <c:v>39692</c:v>
                </c:pt>
                <c:pt idx="165">
                  <c:v>39722</c:v>
                </c:pt>
                <c:pt idx="166">
                  <c:v>39753</c:v>
                </c:pt>
                <c:pt idx="167">
                  <c:v>39783</c:v>
                </c:pt>
                <c:pt idx="168">
                  <c:v>39814</c:v>
                </c:pt>
                <c:pt idx="169">
                  <c:v>39845</c:v>
                </c:pt>
                <c:pt idx="170">
                  <c:v>39873</c:v>
                </c:pt>
                <c:pt idx="171">
                  <c:v>39904</c:v>
                </c:pt>
                <c:pt idx="172">
                  <c:v>39934</c:v>
                </c:pt>
                <c:pt idx="173">
                  <c:v>39965</c:v>
                </c:pt>
                <c:pt idx="174">
                  <c:v>39995</c:v>
                </c:pt>
                <c:pt idx="175">
                  <c:v>40026</c:v>
                </c:pt>
                <c:pt idx="176">
                  <c:v>40057</c:v>
                </c:pt>
                <c:pt idx="177">
                  <c:v>40087</c:v>
                </c:pt>
                <c:pt idx="178">
                  <c:v>40118</c:v>
                </c:pt>
                <c:pt idx="179">
                  <c:v>40148</c:v>
                </c:pt>
                <c:pt idx="180">
                  <c:v>40179</c:v>
                </c:pt>
                <c:pt idx="181">
                  <c:v>40210</c:v>
                </c:pt>
                <c:pt idx="182">
                  <c:v>40238</c:v>
                </c:pt>
                <c:pt idx="183">
                  <c:v>40269</c:v>
                </c:pt>
                <c:pt idx="184">
                  <c:v>40299</c:v>
                </c:pt>
                <c:pt idx="185">
                  <c:v>40330</c:v>
                </c:pt>
                <c:pt idx="186">
                  <c:v>40360</c:v>
                </c:pt>
                <c:pt idx="187">
                  <c:v>40391</c:v>
                </c:pt>
                <c:pt idx="188">
                  <c:v>40422</c:v>
                </c:pt>
                <c:pt idx="189">
                  <c:v>40452</c:v>
                </c:pt>
                <c:pt idx="190">
                  <c:v>40483</c:v>
                </c:pt>
                <c:pt idx="191">
                  <c:v>40513</c:v>
                </c:pt>
                <c:pt idx="192">
                  <c:v>40544</c:v>
                </c:pt>
                <c:pt idx="193">
                  <c:v>40575</c:v>
                </c:pt>
                <c:pt idx="194">
                  <c:v>40603</c:v>
                </c:pt>
                <c:pt idx="195">
                  <c:v>40634</c:v>
                </c:pt>
                <c:pt idx="196">
                  <c:v>40664</c:v>
                </c:pt>
                <c:pt idx="197">
                  <c:v>40695</c:v>
                </c:pt>
                <c:pt idx="198">
                  <c:v>40725</c:v>
                </c:pt>
                <c:pt idx="199">
                  <c:v>40756</c:v>
                </c:pt>
                <c:pt idx="200">
                  <c:v>40787</c:v>
                </c:pt>
                <c:pt idx="201">
                  <c:v>40817</c:v>
                </c:pt>
                <c:pt idx="202">
                  <c:v>40848</c:v>
                </c:pt>
                <c:pt idx="203">
                  <c:v>40878</c:v>
                </c:pt>
                <c:pt idx="204">
                  <c:v>40909</c:v>
                </c:pt>
                <c:pt idx="205">
                  <c:v>40940</c:v>
                </c:pt>
                <c:pt idx="206">
                  <c:v>40969</c:v>
                </c:pt>
                <c:pt idx="207">
                  <c:v>41000</c:v>
                </c:pt>
                <c:pt idx="208">
                  <c:v>41030</c:v>
                </c:pt>
                <c:pt idx="209">
                  <c:v>41061</c:v>
                </c:pt>
                <c:pt idx="210">
                  <c:v>41091</c:v>
                </c:pt>
                <c:pt idx="211">
                  <c:v>41122</c:v>
                </c:pt>
                <c:pt idx="212">
                  <c:v>41153</c:v>
                </c:pt>
                <c:pt idx="213">
                  <c:v>41183</c:v>
                </c:pt>
                <c:pt idx="214">
                  <c:v>41214</c:v>
                </c:pt>
                <c:pt idx="215">
                  <c:v>41244</c:v>
                </c:pt>
                <c:pt idx="216">
                  <c:v>41275</c:v>
                </c:pt>
                <c:pt idx="217">
                  <c:v>41306</c:v>
                </c:pt>
                <c:pt idx="218">
                  <c:v>41334</c:v>
                </c:pt>
                <c:pt idx="219">
                  <c:v>41365</c:v>
                </c:pt>
                <c:pt idx="220">
                  <c:v>41395</c:v>
                </c:pt>
                <c:pt idx="221">
                  <c:v>41426</c:v>
                </c:pt>
                <c:pt idx="222">
                  <c:v>41456</c:v>
                </c:pt>
                <c:pt idx="223">
                  <c:v>41487</c:v>
                </c:pt>
                <c:pt idx="224">
                  <c:v>41518</c:v>
                </c:pt>
                <c:pt idx="225">
                  <c:v>41548</c:v>
                </c:pt>
                <c:pt idx="226">
                  <c:v>41579</c:v>
                </c:pt>
                <c:pt idx="227">
                  <c:v>41609</c:v>
                </c:pt>
                <c:pt idx="228">
                  <c:v>41640</c:v>
                </c:pt>
                <c:pt idx="229">
                  <c:v>41671</c:v>
                </c:pt>
                <c:pt idx="230">
                  <c:v>41699</c:v>
                </c:pt>
                <c:pt idx="231">
                  <c:v>41730</c:v>
                </c:pt>
                <c:pt idx="232">
                  <c:v>41760</c:v>
                </c:pt>
                <c:pt idx="233">
                  <c:v>41791</c:v>
                </c:pt>
                <c:pt idx="234">
                  <c:v>41821</c:v>
                </c:pt>
                <c:pt idx="235">
                  <c:v>41852</c:v>
                </c:pt>
                <c:pt idx="236">
                  <c:v>41883</c:v>
                </c:pt>
                <c:pt idx="237">
                  <c:v>41913</c:v>
                </c:pt>
                <c:pt idx="238">
                  <c:v>41944</c:v>
                </c:pt>
                <c:pt idx="239">
                  <c:v>41974</c:v>
                </c:pt>
              </c:numCache>
            </c:numRef>
          </c:cat>
          <c:val>
            <c:numRef>
              <c:f>Plan1!$B$2:$B$241</c:f>
              <c:numCache>
                <c:formatCode>General</c:formatCode>
                <c:ptCount val="240"/>
                <c:pt idx="0">
                  <c:v>19.010737262072976</c:v>
                </c:pt>
                <c:pt idx="1">
                  <c:v>14.073644739297956</c:v>
                </c:pt>
                <c:pt idx="2">
                  <c:v>18.067714726291438</c:v>
                </c:pt>
                <c:pt idx="3">
                  <c:v>10.971055115137789</c:v>
                </c:pt>
                <c:pt idx="4">
                  <c:v>14.284623578216545</c:v>
                </c:pt>
                <c:pt idx="5">
                  <c:v>18.648460811501689</c:v>
                </c:pt>
                <c:pt idx="6">
                  <c:v>21.947680185399729</c:v>
                </c:pt>
                <c:pt idx="7">
                  <c:v>22.293160706696717</c:v>
                </c:pt>
                <c:pt idx="8">
                  <c:v>21.948306822842962</c:v>
                </c:pt>
                <c:pt idx="9">
                  <c:v>22.177815674353091</c:v>
                </c:pt>
                <c:pt idx="10">
                  <c:v>15.924143182423043</c:v>
                </c:pt>
                <c:pt idx="11">
                  <c:v>19.212702441190842</c:v>
                </c:pt>
                <c:pt idx="12">
                  <c:v>18.954610529206342</c:v>
                </c:pt>
                <c:pt idx="13">
                  <c:v>15.443622549481622</c:v>
                </c:pt>
                <c:pt idx="14">
                  <c:v>20.320128088446133</c:v>
                </c:pt>
                <c:pt idx="15">
                  <c:v>13.474483499439106</c:v>
                </c:pt>
                <c:pt idx="16">
                  <c:v>19.445332120980101</c:v>
                </c:pt>
                <c:pt idx="17">
                  <c:v>17.515797671061677</c:v>
                </c:pt>
                <c:pt idx="18">
                  <c:v>17.082396955572957</c:v>
                </c:pt>
                <c:pt idx="19">
                  <c:v>13.778850413863841</c:v>
                </c:pt>
                <c:pt idx="20">
                  <c:v>11.516199365753964</c:v>
                </c:pt>
                <c:pt idx="21">
                  <c:v>18.610463191557791</c:v>
                </c:pt>
                <c:pt idx="22">
                  <c:v>19.092065459435791</c:v>
                </c:pt>
                <c:pt idx="23">
                  <c:v>29.30093373203249</c:v>
                </c:pt>
                <c:pt idx="24">
                  <c:v>23.213369339558319</c:v>
                </c:pt>
                <c:pt idx="25">
                  <c:v>14.966364602656419</c:v>
                </c:pt>
                <c:pt idx="26">
                  <c:v>15.357368560181397</c:v>
                </c:pt>
                <c:pt idx="27">
                  <c:v>20.3422661494381</c:v>
                </c:pt>
                <c:pt idx="28">
                  <c:v>19.484613407502589</c:v>
                </c:pt>
                <c:pt idx="29">
                  <c:v>35.807899811031035</c:v>
                </c:pt>
                <c:pt idx="30">
                  <c:v>29.668075613212533</c:v>
                </c:pt>
                <c:pt idx="31">
                  <c:v>24.767506898126417</c:v>
                </c:pt>
                <c:pt idx="32">
                  <c:v>23.419591745504263</c:v>
                </c:pt>
                <c:pt idx="33">
                  <c:v>37.895620204851063</c:v>
                </c:pt>
                <c:pt idx="34">
                  <c:v>30.599059157864495</c:v>
                </c:pt>
                <c:pt idx="35">
                  <c:v>42.366145388836301</c:v>
                </c:pt>
                <c:pt idx="36">
                  <c:v>20.278699628947177</c:v>
                </c:pt>
                <c:pt idx="37">
                  <c:v>25.212977862345028</c:v>
                </c:pt>
                <c:pt idx="38">
                  <c:v>37.290445403613845</c:v>
                </c:pt>
                <c:pt idx="39">
                  <c:v>30.62516526422614</c:v>
                </c:pt>
                <c:pt idx="40">
                  <c:v>26.109642313780189</c:v>
                </c:pt>
                <c:pt idx="41">
                  <c:v>27.503262120227411</c:v>
                </c:pt>
                <c:pt idx="42">
                  <c:v>38.412078428357646</c:v>
                </c:pt>
                <c:pt idx="43">
                  <c:v>58.935198233818937</c:v>
                </c:pt>
                <c:pt idx="44">
                  <c:v>44.521508393513102</c:v>
                </c:pt>
                <c:pt idx="45">
                  <c:v>36.279951724297291</c:v>
                </c:pt>
                <c:pt idx="46">
                  <c:v>25.768712955965267</c:v>
                </c:pt>
                <c:pt idx="47">
                  <c:v>48.374817311676814</c:v>
                </c:pt>
                <c:pt idx="48">
                  <c:v>41.285898560029871</c:v>
                </c:pt>
                <c:pt idx="49">
                  <c:v>47.641889476259898</c:v>
                </c:pt>
                <c:pt idx="50">
                  <c:v>46.645880392454458</c:v>
                </c:pt>
                <c:pt idx="51">
                  <c:v>62.111297436768844</c:v>
                </c:pt>
                <c:pt idx="52">
                  <c:v>37.424063926092494</c:v>
                </c:pt>
                <c:pt idx="53">
                  <c:v>47.598423129763205</c:v>
                </c:pt>
                <c:pt idx="54">
                  <c:v>33.276334472941109</c:v>
                </c:pt>
                <c:pt idx="55">
                  <c:v>23.956926141073556</c:v>
                </c:pt>
                <c:pt idx="56">
                  <c:v>24.919215333310493</c:v>
                </c:pt>
                <c:pt idx="57">
                  <c:v>35.045729504443749</c:v>
                </c:pt>
                <c:pt idx="58">
                  <c:v>30.544326609080226</c:v>
                </c:pt>
                <c:pt idx="59">
                  <c:v>52.838203568757748</c:v>
                </c:pt>
                <c:pt idx="60">
                  <c:v>29.810109701564024</c:v>
                </c:pt>
                <c:pt idx="61">
                  <c:v>26.187973282136923</c:v>
                </c:pt>
                <c:pt idx="62">
                  <c:v>27.273555395635597</c:v>
                </c:pt>
                <c:pt idx="63">
                  <c:v>43.126825035636344</c:v>
                </c:pt>
                <c:pt idx="64">
                  <c:v>20.279821043358137</c:v>
                </c:pt>
                <c:pt idx="65">
                  <c:v>34.085868602285998</c:v>
                </c:pt>
                <c:pt idx="66">
                  <c:v>39.481078075272968</c:v>
                </c:pt>
                <c:pt idx="67">
                  <c:v>56.848933986207783</c:v>
                </c:pt>
                <c:pt idx="68">
                  <c:v>20.07689485056838</c:v>
                </c:pt>
                <c:pt idx="69">
                  <c:v>22.56182174128109</c:v>
                </c:pt>
                <c:pt idx="70">
                  <c:v>29.891148008507979</c:v>
                </c:pt>
                <c:pt idx="71">
                  <c:v>28.058459810268289</c:v>
                </c:pt>
                <c:pt idx="72">
                  <c:v>32.628319093494028</c:v>
                </c:pt>
                <c:pt idx="73">
                  <c:v>23.00726907387541</c:v>
                </c:pt>
                <c:pt idx="74">
                  <c:v>39.308479659918383</c:v>
                </c:pt>
                <c:pt idx="75">
                  <c:v>30.675732901271278</c:v>
                </c:pt>
                <c:pt idx="76">
                  <c:v>32.000043045623194</c:v>
                </c:pt>
                <c:pt idx="77">
                  <c:v>50.033812017100871</c:v>
                </c:pt>
                <c:pt idx="78">
                  <c:v>37.553403346486505</c:v>
                </c:pt>
                <c:pt idx="79">
                  <c:v>25.130756843776492</c:v>
                </c:pt>
                <c:pt idx="80">
                  <c:v>32.945531884316594</c:v>
                </c:pt>
                <c:pt idx="81">
                  <c:v>26.644099218798555</c:v>
                </c:pt>
                <c:pt idx="82">
                  <c:v>32.337892452879544</c:v>
                </c:pt>
                <c:pt idx="83">
                  <c:v>48.894288202782036</c:v>
                </c:pt>
                <c:pt idx="84">
                  <c:v>25.397320052127689</c:v>
                </c:pt>
                <c:pt idx="85">
                  <c:v>28.100191324705047</c:v>
                </c:pt>
                <c:pt idx="86">
                  <c:v>30.84558150952078</c:v>
                </c:pt>
                <c:pt idx="87">
                  <c:v>41.853640040608795</c:v>
                </c:pt>
                <c:pt idx="88">
                  <c:v>27.163134466017091</c:v>
                </c:pt>
                <c:pt idx="89">
                  <c:v>56.999156044934445</c:v>
                </c:pt>
                <c:pt idx="90">
                  <c:v>39.843925326021271</c:v>
                </c:pt>
                <c:pt idx="91">
                  <c:v>36.291130009040451</c:v>
                </c:pt>
                <c:pt idx="92">
                  <c:v>30.868016138452059</c:v>
                </c:pt>
                <c:pt idx="93">
                  <c:v>25.690797450977186</c:v>
                </c:pt>
                <c:pt idx="94">
                  <c:v>24.970395405320449</c:v>
                </c:pt>
                <c:pt idx="95">
                  <c:v>45.135322627038065</c:v>
                </c:pt>
                <c:pt idx="96">
                  <c:v>18.670625006949372</c:v>
                </c:pt>
                <c:pt idx="97">
                  <c:v>15.691163011542118</c:v>
                </c:pt>
                <c:pt idx="98">
                  <c:v>30.917238887956071</c:v>
                </c:pt>
                <c:pt idx="99">
                  <c:v>26.976097222316863</c:v>
                </c:pt>
                <c:pt idx="100">
                  <c:v>24.280152675984429</c:v>
                </c:pt>
                <c:pt idx="101">
                  <c:v>38.382571807815296</c:v>
                </c:pt>
                <c:pt idx="102">
                  <c:v>25.18904111891425</c:v>
                </c:pt>
                <c:pt idx="103">
                  <c:v>29.454524623221289</c:v>
                </c:pt>
                <c:pt idx="104">
                  <c:v>35.010167865950386</c:v>
                </c:pt>
                <c:pt idx="105">
                  <c:v>22.611166288329223</c:v>
                </c:pt>
                <c:pt idx="106">
                  <c:v>30.724779150480447</c:v>
                </c:pt>
                <c:pt idx="107">
                  <c:v>62.501293989218972</c:v>
                </c:pt>
                <c:pt idx="108">
                  <c:v>23.863488747122517</c:v>
                </c:pt>
                <c:pt idx="109">
                  <c:v>22.388135677637589</c:v>
                </c:pt>
                <c:pt idx="110">
                  <c:v>22.354184143205682</c:v>
                </c:pt>
                <c:pt idx="111">
                  <c:v>37.864607009702944</c:v>
                </c:pt>
                <c:pt idx="112">
                  <c:v>26.362484902789522</c:v>
                </c:pt>
                <c:pt idx="113">
                  <c:v>30.521698229265414</c:v>
                </c:pt>
                <c:pt idx="114">
                  <c:v>21.788494501949362</c:v>
                </c:pt>
                <c:pt idx="115">
                  <c:v>46.975060830131063</c:v>
                </c:pt>
                <c:pt idx="116">
                  <c:v>21.617841838547932</c:v>
                </c:pt>
                <c:pt idx="117">
                  <c:v>24.111538852635377</c:v>
                </c:pt>
                <c:pt idx="118">
                  <c:v>22.845231755538922</c:v>
                </c:pt>
                <c:pt idx="119">
                  <c:v>39.188858575160445</c:v>
                </c:pt>
                <c:pt idx="120">
                  <c:v>15.304236596129599</c:v>
                </c:pt>
                <c:pt idx="121">
                  <c:v>22.483703809700103</c:v>
                </c:pt>
                <c:pt idx="122">
                  <c:v>26.64027191359915</c:v>
                </c:pt>
                <c:pt idx="123">
                  <c:v>23.609490271200812</c:v>
                </c:pt>
                <c:pt idx="124">
                  <c:v>16.366886926450583</c:v>
                </c:pt>
                <c:pt idx="125">
                  <c:v>37.96436017729804</c:v>
                </c:pt>
                <c:pt idx="126">
                  <c:v>37.310979303459078</c:v>
                </c:pt>
                <c:pt idx="127">
                  <c:v>38.824041996201046</c:v>
                </c:pt>
                <c:pt idx="128">
                  <c:v>28.899990768188143</c:v>
                </c:pt>
                <c:pt idx="129">
                  <c:v>26.975712425910839</c:v>
                </c:pt>
                <c:pt idx="130">
                  <c:v>26.059613925735427</c:v>
                </c:pt>
                <c:pt idx="131">
                  <c:v>62.31376580650403</c:v>
                </c:pt>
                <c:pt idx="132">
                  <c:v>32.408018480158368</c:v>
                </c:pt>
                <c:pt idx="133">
                  <c:v>41.270309288731681</c:v>
                </c:pt>
                <c:pt idx="134">
                  <c:v>35.377154078107004</c:v>
                </c:pt>
                <c:pt idx="135">
                  <c:v>30.075208344211447</c:v>
                </c:pt>
                <c:pt idx="136">
                  <c:v>37.706983385371359</c:v>
                </c:pt>
                <c:pt idx="137">
                  <c:v>39.351743637439192</c:v>
                </c:pt>
                <c:pt idx="138">
                  <c:v>23.270744719005616</c:v>
                </c:pt>
                <c:pt idx="139">
                  <c:v>27.106557329487291</c:v>
                </c:pt>
                <c:pt idx="140">
                  <c:v>31.331204359516931</c:v>
                </c:pt>
                <c:pt idx="141">
                  <c:v>56.881368842149882</c:v>
                </c:pt>
                <c:pt idx="142">
                  <c:v>35.033581998660054</c:v>
                </c:pt>
                <c:pt idx="143">
                  <c:v>50.930808985527555</c:v>
                </c:pt>
                <c:pt idx="144">
                  <c:v>43.153561359506945</c:v>
                </c:pt>
                <c:pt idx="145">
                  <c:v>32.819934830298344</c:v>
                </c:pt>
                <c:pt idx="146">
                  <c:v>45.026842835231164</c:v>
                </c:pt>
                <c:pt idx="147">
                  <c:v>42.974005919805101</c:v>
                </c:pt>
                <c:pt idx="148">
                  <c:v>44.425429752497976</c:v>
                </c:pt>
                <c:pt idx="149">
                  <c:v>55.558219679116895</c:v>
                </c:pt>
                <c:pt idx="150">
                  <c:v>49.226628607006006</c:v>
                </c:pt>
                <c:pt idx="151">
                  <c:v>40.363292492221106</c:v>
                </c:pt>
                <c:pt idx="152">
                  <c:v>38.285492821323913</c:v>
                </c:pt>
                <c:pt idx="153">
                  <c:v>57.065398311776612</c:v>
                </c:pt>
                <c:pt idx="154">
                  <c:v>52.628957263989193</c:v>
                </c:pt>
                <c:pt idx="155">
                  <c:v>67.925037947158472</c:v>
                </c:pt>
                <c:pt idx="156">
                  <c:v>49.740220430389833</c:v>
                </c:pt>
                <c:pt idx="157">
                  <c:v>39.207087821030214</c:v>
                </c:pt>
                <c:pt idx="158">
                  <c:v>55.558449937946094</c:v>
                </c:pt>
                <c:pt idx="159">
                  <c:v>43.764920114407651</c:v>
                </c:pt>
                <c:pt idx="160">
                  <c:v>45.344694381304947</c:v>
                </c:pt>
                <c:pt idx="161">
                  <c:v>66.879555641699511</c:v>
                </c:pt>
                <c:pt idx="162">
                  <c:v>58.691449952851812</c:v>
                </c:pt>
                <c:pt idx="163">
                  <c:v>63.690537081206024</c:v>
                </c:pt>
                <c:pt idx="164">
                  <c:v>38.076044775809294</c:v>
                </c:pt>
                <c:pt idx="165">
                  <c:v>39.970116033291738</c:v>
                </c:pt>
                <c:pt idx="166">
                  <c:v>33.817104711156944</c:v>
                </c:pt>
                <c:pt idx="167">
                  <c:v>62.40732110673585</c:v>
                </c:pt>
                <c:pt idx="168">
                  <c:v>36.662757465155508</c:v>
                </c:pt>
                <c:pt idx="169">
                  <c:v>34.592272834756066</c:v>
                </c:pt>
                <c:pt idx="170">
                  <c:v>42.239854294106813</c:v>
                </c:pt>
                <c:pt idx="171">
                  <c:v>40.834876718731742</c:v>
                </c:pt>
                <c:pt idx="172">
                  <c:v>42.622540244903711</c:v>
                </c:pt>
                <c:pt idx="173">
                  <c:v>52.860713218367586</c:v>
                </c:pt>
                <c:pt idx="174">
                  <c:v>45.978480469862511</c:v>
                </c:pt>
                <c:pt idx="175">
                  <c:v>34.644995255887594</c:v>
                </c:pt>
                <c:pt idx="176">
                  <c:v>32.680016886555663</c:v>
                </c:pt>
                <c:pt idx="177">
                  <c:v>39.592077623054962</c:v>
                </c:pt>
                <c:pt idx="178">
                  <c:v>23.429646492065057</c:v>
                </c:pt>
                <c:pt idx="179">
                  <c:v>40.831532587641036</c:v>
                </c:pt>
                <c:pt idx="180">
                  <c:v>24.332508171854531</c:v>
                </c:pt>
                <c:pt idx="181">
                  <c:v>28.051410414626293</c:v>
                </c:pt>
                <c:pt idx="182">
                  <c:v>25.911836731587826</c:v>
                </c:pt>
                <c:pt idx="183">
                  <c:v>24.1230106678411</c:v>
                </c:pt>
                <c:pt idx="184">
                  <c:v>33.067274501807724</c:v>
                </c:pt>
                <c:pt idx="185">
                  <c:v>26.251301230608075</c:v>
                </c:pt>
                <c:pt idx="186">
                  <c:v>26.948802819884186</c:v>
                </c:pt>
                <c:pt idx="187">
                  <c:v>25.009698814234767</c:v>
                </c:pt>
                <c:pt idx="188">
                  <c:v>34.318682406099086</c:v>
                </c:pt>
                <c:pt idx="189">
                  <c:v>38.751454215468435</c:v>
                </c:pt>
                <c:pt idx="190">
                  <c:v>23.161793530931924</c:v>
                </c:pt>
                <c:pt idx="191">
                  <c:v>51.172031890356429</c:v>
                </c:pt>
                <c:pt idx="192">
                  <c:v>29.596325684112227</c:v>
                </c:pt>
                <c:pt idx="193">
                  <c:v>28.756649765262427</c:v>
                </c:pt>
                <c:pt idx="194">
                  <c:v>32.700181202060008</c:v>
                </c:pt>
                <c:pt idx="195">
                  <c:v>36.897451023755345</c:v>
                </c:pt>
                <c:pt idx="196">
                  <c:v>29.054749948735715</c:v>
                </c:pt>
                <c:pt idx="197">
                  <c:v>32.169972111903213</c:v>
                </c:pt>
                <c:pt idx="198">
                  <c:v>32.190516252422213</c:v>
                </c:pt>
                <c:pt idx="199">
                  <c:v>25.706903198480301</c:v>
                </c:pt>
                <c:pt idx="200">
                  <c:v>22.64986777992053</c:v>
                </c:pt>
                <c:pt idx="201">
                  <c:v>23.434145729613231</c:v>
                </c:pt>
                <c:pt idx="202">
                  <c:v>20.516902484425621</c:v>
                </c:pt>
                <c:pt idx="203">
                  <c:v>30.596798911013444</c:v>
                </c:pt>
                <c:pt idx="204">
                  <c:v>27.837862070559691</c:v>
                </c:pt>
                <c:pt idx="205">
                  <c:v>26.497806611856582</c:v>
                </c:pt>
                <c:pt idx="206">
                  <c:v>32.877406466315463</c:v>
                </c:pt>
                <c:pt idx="207">
                  <c:v>32.341948696129812</c:v>
                </c:pt>
                <c:pt idx="208">
                  <c:v>27.042243382976764</c:v>
                </c:pt>
                <c:pt idx="209">
                  <c:v>24.198035337887088</c:v>
                </c:pt>
                <c:pt idx="210">
                  <c:v>27.567908680529289</c:v>
                </c:pt>
                <c:pt idx="211">
                  <c:v>20.67598682412078</c:v>
                </c:pt>
                <c:pt idx="212">
                  <c:v>24.9812904662382</c:v>
                </c:pt>
                <c:pt idx="213">
                  <c:v>29.793923302539486</c:v>
                </c:pt>
                <c:pt idx="214">
                  <c:v>25.456791104323589</c:v>
                </c:pt>
                <c:pt idx="215">
                  <c:v>39.509684025226818</c:v>
                </c:pt>
                <c:pt idx="216">
                  <c:v>26.063611928204725</c:v>
                </c:pt>
                <c:pt idx="217">
                  <c:v>29.178616548007152</c:v>
                </c:pt>
                <c:pt idx="218">
                  <c:v>31.329464743987842</c:v>
                </c:pt>
                <c:pt idx="219">
                  <c:v>33.556802564006468</c:v>
                </c:pt>
                <c:pt idx="220">
                  <c:v>42.079546447482848</c:v>
                </c:pt>
                <c:pt idx="221">
                  <c:v>55.368274517718355</c:v>
                </c:pt>
                <c:pt idx="222">
                  <c:v>39.914235873940925</c:v>
                </c:pt>
                <c:pt idx="223">
                  <c:v>36.728783113256</c:v>
                </c:pt>
                <c:pt idx="224">
                  <c:v>43.494149461921999</c:v>
                </c:pt>
                <c:pt idx="225">
                  <c:v>34.482218119000009</c:v>
                </c:pt>
                <c:pt idx="226">
                  <c:v>34.726012709321516</c:v>
                </c:pt>
                <c:pt idx="227">
                  <c:v>45.13915793633911</c:v>
                </c:pt>
                <c:pt idx="228">
                  <c:v>46.772387399116596</c:v>
                </c:pt>
                <c:pt idx="229">
                  <c:v>35.278006970308219</c:v>
                </c:pt>
                <c:pt idx="230">
                  <c:v>37.907345572075883</c:v>
                </c:pt>
                <c:pt idx="231">
                  <c:v>43.067367901169391</c:v>
                </c:pt>
                <c:pt idx="232">
                  <c:v>44.121204289170301</c:v>
                </c:pt>
                <c:pt idx="233">
                  <c:v>44.103477510647991</c:v>
                </c:pt>
                <c:pt idx="234">
                  <c:v>47.998123840235628</c:v>
                </c:pt>
                <c:pt idx="235">
                  <c:v>44.876569956384444</c:v>
                </c:pt>
                <c:pt idx="236">
                  <c:v>43.468973441235782</c:v>
                </c:pt>
                <c:pt idx="237">
                  <c:v>49.433435650697199</c:v>
                </c:pt>
                <c:pt idx="238">
                  <c:v>34.774781932792827</c:v>
                </c:pt>
                <c:pt idx="239">
                  <c:v>48.513413027904853</c:v>
                </c:pt>
              </c:numCache>
            </c:numRef>
          </c:val>
          <c:smooth val="0"/>
        </c:ser>
        <c:dLbls>
          <c:showLegendKey val="0"/>
          <c:showVal val="0"/>
          <c:showCatName val="0"/>
          <c:showSerName val="0"/>
          <c:showPercent val="0"/>
          <c:showBubbleSize val="0"/>
        </c:dLbls>
        <c:smooth val="0"/>
        <c:axId val="305038360"/>
        <c:axId val="470188104"/>
      </c:lineChart>
      <c:dateAx>
        <c:axId val="305038360"/>
        <c:scaling>
          <c:orientation val="minMax"/>
          <c:min val="35034"/>
        </c:scaling>
        <c:delete val="0"/>
        <c:axPos val="b"/>
        <c:numFmt formatCode="mmm\-yy" sourceLinked="1"/>
        <c:majorTickMark val="none"/>
        <c:minorTickMark val="none"/>
        <c:tickLblPos val="nextTo"/>
        <c:crossAx val="470188104"/>
        <c:crosses val="autoZero"/>
        <c:auto val="1"/>
        <c:lblOffset val="100"/>
        <c:baseTimeUnit val="months"/>
        <c:majorUnit val="12"/>
        <c:minorUnit val="11"/>
      </c:dateAx>
      <c:valAx>
        <c:axId val="470188104"/>
        <c:scaling>
          <c:orientation val="minMax"/>
        </c:scaling>
        <c:delete val="0"/>
        <c:axPos val="l"/>
        <c:title>
          <c:tx>
            <c:rich>
              <a:bodyPr rot="0" vert="horz"/>
              <a:lstStyle/>
              <a:p>
                <a:pPr>
                  <a:defRPr/>
                </a:pPr>
                <a:r>
                  <a:rPr lang="en-US"/>
                  <a:t>%</a:t>
                </a:r>
              </a:p>
            </c:rich>
          </c:tx>
          <c:layout>
            <c:manualLayout>
              <c:xMode val="edge"/>
              <c:yMode val="edge"/>
              <c:x val="1.6666666666666701E-2"/>
              <c:y val="0.45596625893461584"/>
            </c:manualLayout>
          </c:layout>
          <c:overlay val="0"/>
        </c:title>
        <c:numFmt formatCode="General" sourceLinked="1"/>
        <c:majorTickMark val="none"/>
        <c:minorTickMark val="none"/>
        <c:tickLblPos val="nextTo"/>
        <c:crossAx val="305038360"/>
        <c:crosses val="autoZero"/>
        <c:crossBetween val="between"/>
      </c:valAx>
      <c:spPr>
        <a:noFill/>
        <a:ln>
          <a:noFill/>
        </a:ln>
        <a:effectLst/>
      </c:spPr>
    </c:plotArea>
    <c:plotVisOnly val="1"/>
    <c:dispBlanksAs val="gap"/>
    <c:showDLblsOverMax val="0"/>
  </c:chart>
  <c:spPr>
    <a:noFill/>
    <a:ln>
      <a:noFill/>
    </a:ln>
  </c:spPr>
  <c:txPr>
    <a:bodyPr/>
    <a:lstStyle/>
    <a:p>
      <a:pPr>
        <a:defRPr sz="800">
          <a:latin typeface="Times New Roman" panose="02020603050405020304" pitchFamily="18" charset="0"/>
          <a:cs typeface="Times New Roman" panose="02020603050405020304" pitchFamily="18" charset="0"/>
        </a:defRPr>
      </a:pPr>
      <a:endParaRPr lang="pt-B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59F74-270C-49E5-BB86-E37B2F70F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20</Pages>
  <Words>9563</Words>
  <Characters>51645</Characters>
  <Application>Microsoft Office Word</Application>
  <DocSecurity>0</DocSecurity>
  <Lines>430</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 Ramalho</dc:creator>
  <cp:lastModifiedBy>André Cunha</cp:lastModifiedBy>
  <cp:revision>28</cp:revision>
  <dcterms:created xsi:type="dcterms:W3CDTF">2016-07-03T21:32:00Z</dcterms:created>
  <dcterms:modified xsi:type="dcterms:W3CDTF">2016-07-07T18:34:00Z</dcterms:modified>
</cp:coreProperties>
</file>