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CF5" w:rsidRPr="00DC1747" w:rsidRDefault="00DC1747" w:rsidP="00EA30A5">
      <w:pPr>
        <w:spacing w:line="240" w:lineRule="auto"/>
        <w:jc w:val="center"/>
        <w:rPr>
          <w:rFonts w:ascii="Times New Roman" w:hAnsi="Times New Roman" w:cs="Times New Roman"/>
          <w:i/>
          <w:sz w:val="48"/>
          <w:szCs w:val="48"/>
          <w:lang w:val="en-GB"/>
        </w:rPr>
      </w:pPr>
      <w:r w:rsidRPr="00DC1747">
        <w:rPr>
          <w:rFonts w:ascii="Times New Roman" w:hAnsi="Times New Roman" w:cs="Times New Roman"/>
          <w:i/>
          <w:sz w:val="48"/>
          <w:szCs w:val="48"/>
          <w:lang w:val="en-GB"/>
        </w:rPr>
        <w:t>T</w:t>
      </w:r>
      <w:r w:rsidR="007A363D" w:rsidRPr="00DC1747">
        <w:rPr>
          <w:rFonts w:ascii="Times New Roman" w:hAnsi="Times New Roman" w:cs="Times New Roman"/>
          <w:i/>
          <w:sz w:val="48"/>
          <w:szCs w:val="48"/>
          <w:lang w:val="en-GB"/>
        </w:rPr>
        <w:t xml:space="preserve">he effectiveness of </w:t>
      </w:r>
      <w:r w:rsidRPr="00DC1747">
        <w:rPr>
          <w:rFonts w:ascii="Times New Roman" w:hAnsi="Times New Roman" w:cs="Times New Roman"/>
          <w:i/>
          <w:sz w:val="48"/>
          <w:szCs w:val="48"/>
          <w:lang w:val="en-GB"/>
        </w:rPr>
        <w:t>expansionary devaluation at</w:t>
      </w:r>
      <w:r w:rsidR="007A363D" w:rsidRPr="00DC1747">
        <w:rPr>
          <w:rFonts w:ascii="Times New Roman" w:hAnsi="Times New Roman" w:cs="Times New Roman"/>
          <w:i/>
          <w:sz w:val="48"/>
          <w:szCs w:val="48"/>
          <w:lang w:val="en-GB"/>
        </w:rPr>
        <w:t xml:space="preserve"> different stages of economic development </w:t>
      </w:r>
    </w:p>
    <w:p w:rsidR="00D058AC" w:rsidRDefault="00D058AC" w:rsidP="00EA30A5">
      <w:pPr>
        <w:spacing w:after="0" w:line="240" w:lineRule="auto"/>
        <w:jc w:val="center"/>
        <w:rPr>
          <w:rFonts w:ascii="Times New Roman" w:hAnsi="Times New Roman" w:cs="Times New Roman"/>
          <w:sz w:val="28"/>
          <w:szCs w:val="28"/>
        </w:rPr>
      </w:pPr>
    </w:p>
    <w:p w:rsidR="001704E7" w:rsidRDefault="007A363D" w:rsidP="00EA30A5">
      <w:pPr>
        <w:spacing w:after="0" w:line="240" w:lineRule="auto"/>
        <w:jc w:val="center"/>
        <w:rPr>
          <w:rFonts w:ascii="Times New Roman" w:hAnsi="Times New Roman" w:cs="Times New Roman"/>
          <w:sz w:val="24"/>
          <w:szCs w:val="24"/>
          <w:lang w:val="pt-BR"/>
        </w:rPr>
      </w:pPr>
      <w:r w:rsidRPr="00DC1747">
        <w:rPr>
          <w:rFonts w:ascii="Times New Roman" w:hAnsi="Times New Roman" w:cs="Times New Roman"/>
          <w:sz w:val="24"/>
          <w:szCs w:val="24"/>
          <w:lang w:val="pt-BR"/>
        </w:rPr>
        <w:t>GUILHERME RICCIOPPO MAGACHO*, IGOR LOPES ROCHA** &amp; RAFAEL S. M. RIBEIRO</w:t>
      </w:r>
      <w:r w:rsidR="00D058AC" w:rsidRPr="00DC1747">
        <w:rPr>
          <w:rFonts w:ascii="Times New Roman" w:hAnsi="Times New Roman" w:cs="Times New Roman"/>
          <w:sz w:val="24"/>
          <w:szCs w:val="24"/>
          <w:lang w:val="pt-BR"/>
        </w:rPr>
        <w:t>***</w:t>
      </w:r>
      <w:bookmarkStart w:id="0" w:name="_GoBack"/>
      <w:bookmarkEnd w:id="0"/>
    </w:p>
    <w:p w:rsidR="00EA30A5" w:rsidRPr="00DC1747" w:rsidRDefault="00EA30A5" w:rsidP="00EA30A5">
      <w:pPr>
        <w:spacing w:after="0" w:line="240" w:lineRule="auto"/>
        <w:jc w:val="center"/>
        <w:rPr>
          <w:rFonts w:ascii="Times New Roman" w:hAnsi="Times New Roman" w:cs="Times New Roman"/>
          <w:sz w:val="24"/>
          <w:szCs w:val="24"/>
          <w:lang w:val="pt-BR"/>
        </w:rPr>
      </w:pPr>
    </w:p>
    <w:p w:rsidR="007A363D" w:rsidRPr="00DC1747" w:rsidRDefault="007A363D" w:rsidP="00EA30A5">
      <w:pPr>
        <w:spacing w:after="0" w:line="240" w:lineRule="auto"/>
        <w:jc w:val="center"/>
        <w:rPr>
          <w:rFonts w:ascii="Times New Roman" w:hAnsi="Times New Roman" w:cs="Times New Roman"/>
          <w:i/>
          <w:sz w:val="24"/>
          <w:szCs w:val="24"/>
        </w:rPr>
      </w:pPr>
      <w:r w:rsidRPr="00DC1747">
        <w:rPr>
          <w:rFonts w:ascii="Times New Roman" w:hAnsi="Times New Roman" w:cs="Times New Roman"/>
          <w:i/>
          <w:sz w:val="24"/>
          <w:szCs w:val="24"/>
        </w:rPr>
        <w:t>*Department of Land Economy, University of Cambridge, UK; ** Department of Development Studies, University of Cambridge, UK; *** Department of Land Economy,</w:t>
      </w:r>
      <w:r w:rsidR="00DC1747">
        <w:rPr>
          <w:rFonts w:ascii="Times New Roman" w:hAnsi="Times New Roman" w:cs="Times New Roman"/>
          <w:i/>
          <w:sz w:val="24"/>
          <w:szCs w:val="24"/>
        </w:rPr>
        <w:t xml:space="preserve"> </w:t>
      </w:r>
      <w:r w:rsidR="001210EF" w:rsidRPr="00DC1747">
        <w:rPr>
          <w:rFonts w:ascii="Times New Roman" w:hAnsi="Times New Roman" w:cs="Times New Roman"/>
          <w:i/>
          <w:sz w:val="24"/>
          <w:szCs w:val="24"/>
        </w:rPr>
        <w:t>University of Cambridge, UK</w:t>
      </w:r>
      <w:r w:rsidRPr="00DC1747">
        <w:rPr>
          <w:rFonts w:ascii="Times New Roman" w:hAnsi="Times New Roman" w:cs="Times New Roman"/>
          <w:i/>
          <w:sz w:val="24"/>
          <w:szCs w:val="24"/>
        </w:rPr>
        <w:t xml:space="preserve"> </w:t>
      </w:r>
    </w:p>
    <w:p w:rsidR="001704E7" w:rsidRDefault="001704E7" w:rsidP="00EA30A5">
      <w:pPr>
        <w:spacing w:after="0" w:line="240" w:lineRule="auto"/>
        <w:jc w:val="both"/>
        <w:rPr>
          <w:rFonts w:ascii="Times New Roman" w:hAnsi="Times New Roman" w:cs="Times New Roman"/>
          <w:b/>
          <w:sz w:val="24"/>
          <w:szCs w:val="24"/>
        </w:rPr>
      </w:pPr>
    </w:p>
    <w:p w:rsidR="00EA30A5" w:rsidRDefault="00EA30A5" w:rsidP="00EA30A5">
      <w:pPr>
        <w:spacing w:after="0" w:line="240" w:lineRule="auto"/>
        <w:jc w:val="center"/>
        <w:rPr>
          <w:rFonts w:ascii="Times New Roman" w:hAnsi="Times New Roman" w:cs="Times New Roman"/>
          <w:b/>
          <w:sz w:val="24"/>
          <w:szCs w:val="24"/>
          <w:lang w:val="pt-BR"/>
        </w:rPr>
      </w:pPr>
      <w:r w:rsidRPr="00AE081A">
        <w:rPr>
          <w:rFonts w:ascii="Times New Roman" w:hAnsi="Times New Roman" w:cs="Times New Roman"/>
          <w:b/>
          <w:sz w:val="24"/>
          <w:szCs w:val="24"/>
          <w:lang w:val="pt-BR"/>
        </w:rPr>
        <w:t xml:space="preserve">Artigo Submetido para o </w:t>
      </w:r>
      <w:r w:rsidRPr="00EA30A5">
        <w:rPr>
          <w:rFonts w:ascii="Times New Roman" w:hAnsi="Times New Roman" w:cs="Times New Roman"/>
          <w:b/>
          <w:sz w:val="24"/>
          <w:szCs w:val="24"/>
          <w:lang w:val="pt-BR"/>
        </w:rPr>
        <w:t>44° Encontro Nacional de Economia</w:t>
      </w:r>
      <w:r>
        <w:rPr>
          <w:rFonts w:ascii="Times New Roman" w:hAnsi="Times New Roman" w:cs="Times New Roman"/>
          <w:b/>
          <w:sz w:val="24"/>
          <w:szCs w:val="24"/>
          <w:lang w:val="pt-BR"/>
        </w:rPr>
        <w:t xml:space="preserve"> da ANPEC</w:t>
      </w:r>
    </w:p>
    <w:p w:rsidR="00EA30A5" w:rsidRPr="00AE081A" w:rsidRDefault="00EA30A5" w:rsidP="00EA30A5">
      <w:pPr>
        <w:spacing w:after="0" w:line="240" w:lineRule="auto"/>
        <w:jc w:val="center"/>
        <w:rPr>
          <w:rFonts w:ascii="Times New Roman" w:hAnsi="Times New Roman" w:cs="Times New Roman"/>
          <w:b/>
          <w:sz w:val="24"/>
          <w:szCs w:val="24"/>
          <w:lang w:val="pt-BR"/>
        </w:rPr>
      </w:pPr>
    </w:p>
    <w:p w:rsidR="00EA30A5" w:rsidRPr="00EA30A5" w:rsidRDefault="00EA30A5" w:rsidP="00EA30A5">
      <w:pPr>
        <w:spacing w:after="0" w:line="240" w:lineRule="auto"/>
        <w:jc w:val="both"/>
        <w:rPr>
          <w:rFonts w:ascii="Times New Roman" w:hAnsi="Times New Roman" w:cs="Times New Roman"/>
          <w:b/>
          <w:sz w:val="24"/>
          <w:szCs w:val="24"/>
          <w:lang w:val="pt-BR"/>
        </w:rPr>
      </w:pPr>
    </w:p>
    <w:p w:rsidR="00EA30A5" w:rsidRPr="00EA30A5" w:rsidRDefault="00EA30A5" w:rsidP="00EA30A5">
      <w:pPr>
        <w:spacing w:after="0" w:line="240" w:lineRule="auto"/>
        <w:jc w:val="both"/>
        <w:rPr>
          <w:rFonts w:ascii="Times New Roman" w:hAnsi="Times New Roman" w:cs="Times New Roman"/>
          <w:b/>
          <w:sz w:val="24"/>
          <w:szCs w:val="24"/>
          <w:lang w:val="pt-BR"/>
        </w:rPr>
      </w:pPr>
    </w:p>
    <w:p w:rsidR="00D575A2" w:rsidRPr="008D6883" w:rsidRDefault="001704E7" w:rsidP="00EA30A5">
      <w:pPr>
        <w:spacing w:line="240" w:lineRule="auto"/>
        <w:jc w:val="both"/>
        <w:rPr>
          <w:rFonts w:ascii="Times New Roman" w:hAnsi="Times New Roman" w:cs="Times New Roman"/>
          <w:b/>
          <w:lang w:val="en-GB"/>
        </w:rPr>
      </w:pPr>
      <w:r w:rsidRPr="008D6883">
        <w:rPr>
          <w:rFonts w:ascii="Times New Roman" w:hAnsi="Times New Roman" w:cs="Times New Roman"/>
          <w:b/>
          <w:lang w:val="en-GB"/>
        </w:rPr>
        <w:t>Abstract</w:t>
      </w:r>
    </w:p>
    <w:p w:rsidR="005843BB" w:rsidRPr="008D6883" w:rsidRDefault="005843BB" w:rsidP="00EA30A5">
      <w:pPr>
        <w:spacing w:line="240" w:lineRule="auto"/>
        <w:jc w:val="both"/>
        <w:rPr>
          <w:rFonts w:ascii="Times New Roman" w:hAnsi="Times New Roman" w:cs="Times New Roman"/>
          <w:i/>
          <w:lang w:val="en-GB"/>
        </w:rPr>
      </w:pPr>
      <w:r w:rsidRPr="008D6883">
        <w:rPr>
          <w:rFonts w:ascii="Times New Roman" w:hAnsi="Times New Roman" w:cs="Times New Roman"/>
          <w:i/>
          <w:lang w:val="en-GB"/>
        </w:rPr>
        <w:t xml:space="preserve">This paper aims at empirically assessing variations in the magnitude of the impact of RER misalignments on output growth, subject to the stage of economic and technological development of the country. Heterogeneous regressions are undertaken in order to accomplish such a task for a sample of 100 countries from 1970-2010. </w:t>
      </w:r>
      <w:r w:rsidR="008D6883" w:rsidRPr="008D6883">
        <w:rPr>
          <w:rFonts w:ascii="Times New Roman" w:hAnsi="Times New Roman" w:cs="Times New Roman"/>
          <w:i/>
          <w:lang w:val="en-GB"/>
        </w:rPr>
        <w:t>E</w:t>
      </w:r>
      <w:r w:rsidRPr="008D6883">
        <w:rPr>
          <w:rFonts w:ascii="Times New Roman" w:hAnsi="Times New Roman" w:cs="Times New Roman"/>
          <w:i/>
          <w:lang w:val="en-GB"/>
        </w:rPr>
        <w:t xml:space="preserve">stimates show that both the level of the technological gap and the degree of outward-orientation simultaneously determine cross-country </w:t>
      </w:r>
      <w:r w:rsidR="008D6883" w:rsidRPr="008D6883">
        <w:rPr>
          <w:rFonts w:ascii="Times New Roman" w:hAnsi="Times New Roman" w:cs="Times New Roman"/>
          <w:i/>
          <w:lang w:val="en-GB"/>
        </w:rPr>
        <w:t>differences regarding</w:t>
      </w:r>
      <w:r w:rsidRPr="008D6883">
        <w:rPr>
          <w:rFonts w:ascii="Times New Roman" w:hAnsi="Times New Roman" w:cs="Times New Roman"/>
          <w:i/>
          <w:lang w:val="en-GB"/>
        </w:rPr>
        <w:t xml:space="preserve"> the effectiveness of devaluation as a macroeconomic policy tool.</w:t>
      </w:r>
      <w:r w:rsidR="008D6883" w:rsidRPr="008D6883">
        <w:rPr>
          <w:rFonts w:ascii="Times New Roman" w:hAnsi="Times New Roman" w:cs="Times New Roman"/>
          <w:i/>
          <w:lang w:val="en-GB"/>
        </w:rPr>
        <w:t xml:space="preserve"> Lastly, as a possible explanation for the main findings of this paper, it is suggested that in the first stages of the economic development, the competition of domestic products in foreign markets takes place mostly through price mechanisms instead of cutting-edge products and processes, as in developed economies.</w:t>
      </w:r>
    </w:p>
    <w:p w:rsidR="001704E7" w:rsidRPr="008D6883" w:rsidRDefault="001704E7" w:rsidP="00EA30A5">
      <w:pPr>
        <w:spacing w:line="240" w:lineRule="auto"/>
        <w:jc w:val="both"/>
        <w:rPr>
          <w:rFonts w:ascii="Times New Roman" w:hAnsi="Times New Roman" w:cs="Times New Roman"/>
          <w:b/>
        </w:rPr>
      </w:pPr>
      <w:r w:rsidRPr="008D6883">
        <w:rPr>
          <w:rFonts w:ascii="Times New Roman" w:hAnsi="Times New Roman" w:cs="Times New Roman"/>
          <w:b/>
        </w:rPr>
        <w:t xml:space="preserve">Key-words: </w:t>
      </w:r>
      <w:r w:rsidRPr="008D6883">
        <w:rPr>
          <w:rFonts w:ascii="Times New Roman" w:hAnsi="Times New Roman" w:cs="Times New Roman"/>
          <w:i/>
        </w:rPr>
        <w:t xml:space="preserve">Economic Growth, Exchange Rate, Productivity, </w:t>
      </w:r>
      <w:r w:rsidR="002476D6" w:rsidRPr="008D6883">
        <w:rPr>
          <w:rFonts w:ascii="Times New Roman" w:hAnsi="Times New Roman" w:cs="Times New Roman"/>
          <w:i/>
        </w:rPr>
        <w:t>Exports, Manufacturing</w:t>
      </w:r>
    </w:p>
    <w:p w:rsidR="00EA30A5" w:rsidRDefault="00EA30A5" w:rsidP="00EA30A5">
      <w:pPr>
        <w:spacing w:line="240" w:lineRule="auto"/>
        <w:jc w:val="both"/>
        <w:rPr>
          <w:rFonts w:ascii="Times New Roman" w:hAnsi="Times New Roman" w:cs="Times New Roman"/>
          <w:b/>
          <w:lang w:val="pt-BR"/>
        </w:rPr>
      </w:pPr>
    </w:p>
    <w:p w:rsidR="00EA30A5" w:rsidRPr="00744930" w:rsidRDefault="00EA30A5" w:rsidP="00EA30A5">
      <w:pPr>
        <w:spacing w:line="240" w:lineRule="auto"/>
        <w:jc w:val="both"/>
        <w:rPr>
          <w:rFonts w:ascii="Times New Roman" w:hAnsi="Times New Roman" w:cs="Times New Roman"/>
          <w:b/>
          <w:lang w:val="pt-BR"/>
        </w:rPr>
      </w:pPr>
      <w:r w:rsidRPr="00744930">
        <w:rPr>
          <w:rFonts w:ascii="Times New Roman" w:hAnsi="Times New Roman" w:cs="Times New Roman"/>
          <w:b/>
          <w:lang w:val="pt-BR"/>
        </w:rPr>
        <w:t>Resumo</w:t>
      </w:r>
    </w:p>
    <w:p w:rsidR="00EA30A5" w:rsidRPr="00744930" w:rsidRDefault="00EA30A5" w:rsidP="00EA30A5">
      <w:pPr>
        <w:spacing w:line="240" w:lineRule="auto"/>
        <w:jc w:val="both"/>
        <w:rPr>
          <w:rFonts w:ascii="Times New Roman" w:hAnsi="Times New Roman" w:cs="Times New Roman"/>
          <w:i/>
          <w:lang w:val="pt-BR"/>
        </w:rPr>
      </w:pPr>
      <w:r w:rsidRPr="00744930">
        <w:rPr>
          <w:rFonts w:ascii="Times New Roman" w:hAnsi="Times New Roman" w:cs="Times New Roman"/>
          <w:i/>
          <w:lang w:val="pt-BR"/>
        </w:rPr>
        <w:t xml:space="preserve">Este trabalho tem por objetivo </w:t>
      </w:r>
      <w:r>
        <w:rPr>
          <w:rFonts w:ascii="Times New Roman" w:hAnsi="Times New Roman" w:cs="Times New Roman"/>
          <w:i/>
          <w:lang w:val="pt-BR"/>
        </w:rPr>
        <w:t>analisar</w:t>
      </w:r>
      <w:r w:rsidRPr="00744930">
        <w:rPr>
          <w:rFonts w:ascii="Times New Roman" w:hAnsi="Times New Roman" w:cs="Times New Roman"/>
          <w:i/>
          <w:lang w:val="pt-BR"/>
        </w:rPr>
        <w:t xml:space="preserve"> empiricamente a magnitude do impacto dos desalinhamentos </w:t>
      </w:r>
      <w:r>
        <w:rPr>
          <w:rFonts w:ascii="Times New Roman" w:hAnsi="Times New Roman" w:cs="Times New Roman"/>
          <w:i/>
          <w:lang w:val="pt-BR"/>
        </w:rPr>
        <w:t>da taxa de câmbio real</w:t>
      </w:r>
      <w:r w:rsidRPr="00744930">
        <w:rPr>
          <w:rFonts w:ascii="Times New Roman" w:hAnsi="Times New Roman" w:cs="Times New Roman"/>
          <w:i/>
          <w:lang w:val="pt-BR"/>
        </w:rPr>
        <w:t xml:space="preserve"> </w:t>
      </w:r>
      <w:r>
        <w:rPr>
          <w:rFonts w:ascii="Times New Roman" w:hAnsi="Times New Roman" w:cs="Times New Roman"/>
          <w:i/>
          <w:lang w:val="pt-BR"/>
        </w:rPr>
        <w:t xml:space="preserve">sobre </w:t>
      </w:r>
      <w:r w:rsidRPr="00744930">
        <w:rPr>
          <w:rFonts w:ascii="Times New Roman" w:hAnsi="Times New Roman" w:cs="Times New Roman"/>
          <w:i/>
          <w:lang w:val="pt-BR"/>
        </w:rPr>
        <w:t>o crescimento do produto, sujeito ao estágio de desenvolvimento econômico e tecnológico do</w:t>
      </w:r>
      <w:r>
        <w:rPr>
          <w:rFonts w:ascii="Times New Roman" w:hAnsi="Times New Roman" w:cs="Times New Roman"/>
          <w:i/>
          <w:lang w:val="pt-BR"/>
        </w:rPr>
        <w:t>s</w:t>
      </w:r>
      <w:r w:rsidRPr="00744930">
        <w:rPr>
          <w:rFonts w:ascii="Times New Roman" w:hAnsi="Times New Roman" w:cs="Times New Roman"/>
          <w:i/>
          <w:lang w:val="pt-BR"/>
        </w:rPr>
        <w:t xml:space="preserve"> país</w:t>
      </w:r>
      <w:r>
        <w:rPr>
          <w:rFonts w:ascii="Times New Roman" w:hAnsi="Times New Roman" w:cs="Times New Roman"/>
          <w:i/>
          <w:lang w:val="pt-BR"/>
        </w:rPr>
        <w:t>es</w:t>
      </w:r>
      <w:r w:rsidRPr="00744930">
        <w:rPr>
          <w:rFonts w:ascii="Times New Roman" w:hAnsi="Times New Roman" w:cs="Times New Roman"/>
          <w:i/>
          <w:lang w:val="pt-BR"/>
        </w:rPr>
        <w:t xml:space="preserve">. </w:t>
      </w:r>
      <w:r>
        <w:rPr>
          <w:rFonts w:ascii="Times New Roman" w:hAnsi="Times New Roman" w:cs="Times New Roman"/>
          <w:i/>
          <w:lang w:val="pt-BR"/>
        </w:rPr>
        <w:t xml:space="preserve">Para tanto, são utilizadas </w:t>
      </w:r>
      <w:r w:rsidRPr="00744930">
        <w:rPr>
          <w:rFonts w:ascii="Times New Roman" w:hAnsi="Times New Roman" w:cs="Times New Roman"/>
          <w:i/>
          <w:lang w:val="pt-BR"/>
        </w:rPr>
        <w:t xml:space="preserve">regressões heterogêneas para uma amostra de 100 países </w:t>
      </w:r>
      <w:r>
        <w:rPr>
          <w:rFonts w:ascii="Times New Roman" w:hAnsi="Times New Roman" w:cs="Times New Roman"/>
          <w:i/>
          <w:lang w:val="pt-BR"/>
        </w:rPr>
        <w:t>entre 1</w:t>
      </w:r>
      <w:r w:rsidRPr="00744930">
        <w:rPr>
          <w:rFonts w:ascii="Times New Roman" w:hAnsi="Times New Roman" w:cs="Times New Roman"/>
          <w:i/>
          <w:lang w:val="pt-BR"/>
        </w:rPr>
        <w:t>970</w:t>
      </w:r>
      <w:r>
        <w:rPr>
          <w:rFonts w:ascii="Times New Roman" w:hAnsi="Times New Roman" w:cs="Times New Roman"/>
          <w:i/>
          <w:lang w:val="pt-BR"/>
        </w:rPr>
        <w:t xml:space="preserve"> e 2</w:t>
      </w:r>
      <w:r w:rsidRPr="00744930">
        <w:rPr>
          <w:rFonts w:ascii="Times New Roman" w:hAnsi="Times New Roman" w:cs="Times New Roman"/>
          <w:i/>
          <w:lang w:val="pt-BR"/>
        </w:rPr>
        <w:t xml:space="preserve">010. As estimativas mostram que o </w:t>
      </w:r>
      <w:r>
        <w:rPr>
          <w:rFonts w:ascii="Times New Roman" w:hAnsi="Times New Roman" w:cs="Times New Roman"/>
          <w:i/>
          <w:lang w:val="pt-BR"/>
        </w:rPr>
        <w:t>grau de defasagem</w:t>
      </w:r>
      <w:r w:rsidRPr="00744930">
        <w:rPr>
          <w:rFonts w:ascii="Times New Roman" w:hAnsi="Times New Roman" w:cs="Times New Roman"/>
          <w:i/>
          <w:lang w:val="pt-BR"/>
        </w:rPr>
        <w:t xml:space="preserve"> tecnológic</w:t>
      </w:r>
      <w:r>
        <w:rPr>
          <w:rFonts w:ascii="Times New Roman" w:hAnsi="Times New Roman" w:cs="Times New Roman"/>
          <w:i/>
          <w:lang w:val="pt-BR"/>
        </w:rPr>
        <w:t>a</w:t>
      </w:r>
      <w:r w:rsidRPr="00744930">
        <w:rPr>
          <w:rFonts w:ascii="Times New Roman" w:hAnsi="Times New Roman" w:cs="Times New Roman"/>
          <w:i/>
          <w:lang w:val="pt-BR"/>
        </w:rPr>
        <w:t xml:space="preserve"> </w:t>
      </w:r>
      <w:r>
        <w:rPr>
          <w:rFonts w:ascii="Times New Roman" w:hAnsi="Times New Roman" w:cs="Times New Roman"/>
          <w:i/>
          <w:lang w:val="pt-BR"/>
        </w:rPr>
        <w:t xml:space="preserve">e </w:t>
      </w:r>
      <w:r w:rsidRPr="00744930">
        <w:rPr>
          <w:rFonts w:ascii="Times New Roman" w:hAnsi="Times New Roman" w:cs="Times New Roman"/>
          <w:i/>
          <w:lang w:val="pt-BR"/>
        </w:rPr>
        <w:t xml:space="preserve">o grau de orientação </w:t>
      </w:r>
      <w:r>
        <w:rPr>
          <w:rFonts w:ascii="Times New Roman" w:hAnsi="Times New Roman" w:cs="Times New Roman"/>
          <w:i/>
          <w:lang w:val="pt-BR"/>
        </w:rPr>
        <w:t xml:space="preserve">para exportação </w:t>
      </w:r>
      <w:r w:rsidRPr="00744930">
        <w:rPr>
          <w:rFonts w:ascii="Times New Roman" w:hAnsi="Times New Roman" w:cs="Times New Roman"/>
          <w:i/>
          <w:lang w:val="pt-BR"/>
        </w:rPr>
        <w:t>determina</w:t>
      </w:r>
      <w:r>
        <w:rPr>
          <w:rFonts w:ascii="Times New Roman" w:hAnsi="Times New Roman" w:cs="Times New Roman"/>
          <w:i/>
          <w:lang w:val="pt-BR"/>
        </w:rPr>
        <w:t>m</w:t>
      </w:r>
      <w:r w:rsidRPr="00744930">
        <w:rPr>
          <w:rFonts w:ascii="Times New Roman" w:hAnsi="Times New Roman" w:cs="Times New Roman"/>
          <w:i/>
          <w:lang w:val="pt-BR"/>
        </w:rPr>
        <w:t xml:space="preserve">, simultaneamente, diferenças entre países no que </w:t>
      </w:r>
      <w:r>
        <w:rPr>
          <w:rFonts w:ascii="Times New Roman" w:hAnsi="Times New Roman" w:cs="Times New Roman"/>
          <w:i/>
          <w:lang w:val="pt-BR"/>
        </w:rPr>
        <w:t>diz respeito</w:t>
      </w:r>
      <w:r w:rsidRPr="00744930">
        <w:rPr>
          <w:rFonts w:ascii="Times New Roman" w:hAnsi="Times New Roman" w:cs="Times New Roman"/>
          <w:i/>
          <w:lang w:val="pt-BR"/>
        </w:rPr>
        <w:t xml:space="preserve"> à eficácia da desvalorização como uma ferramenta de política macroeconômica. </w:t>
      </w:r>
      <w:r>
        <w:rPr>
          <w:rFonts w:ascii="Times New Roman" w:hAnsi="Times New Roman" w:cs="Times New Roman"/>
          <w:i/>
          <w:lang w:val="pt-BR"/>
        </w:rPr>
        <w:t>Finalmente</w:t>
      </w:r>
      <w:r w:rsidRPr="00744930">
        <w:rPr>
          <w:rFonts w:ascii="Times New Roman" w:hAnsi="Times New Roman" w:cs="Times New Roman"/>
          <w:i/>
          <w:lang w:val="pt-BR"/>
        </w:rPr>
        <w:t xml:space="preserve">, como uma possível explicação para as principais conclusões deste trabalho, sugere-se que, nos primeiros estágios do desenvolvimento económico, a concorrência dos produtos nacionais nos mercados estrangeiros ocorre principalmente através de mecanismos de preços, </w:t>
      </w:r>
      <w:r>
        <w:rPr>
          <w:rFonts w:ascii="Times New Roman" w:hAnsi="Times New Roman" w:cs="Times New Roman"/>
          <w:i/>
          <w:lang w:val="pt-BR"/>
        </w:rPr>
        <w:t>enquanto em economias desenvolvidas a concorrência é pela qualidade e diferenciação de produtos</w:t>
      </w:r>
      <w:r w:rsidRPr="00744930">
        <w:rPr>
          <w:rFonts w:ascii="Times New Roman" w:hAnsi="Times New Roman" w:cs="Times New Roman"/>
          <w:i/>
          <w:lang w:val="pt-BR"/>
        </w:rPr>
        <w:t>.</w:t>
      </w:r>
    </w:p>
    <w:p w:rsidR="00EA30A5" w:rsidRPr="00744930" w:rsidRDefault="00EA30A5" w:rsidP="00EA30A5">
      <w:pPr>
        <w:spacing w:line="240" w:lineRule="auto"/>
        <w:jc w:val="both"/>
        <w:rPr>
          <w:rFonts w:ascii="Times New Roman" w:hAnsi="Times New Roman" w:cs="Times New Roman"/>
          <w:b/>
          <w:lang w:val="pt-BR"/>
        </w:rPr>
      </w:pPr>
      <w:r w:rsidRPr="00744930">
        <w:rPr>
          <w:rFonts w:ascii="Times New Roman" w:hAnsi="Times New Roman" w:cs="Times New Roman"/>
          <w:b/>
          <w:lang w:val="pt-BR"/>
        </w:rPr>
        <w:t xml:space="preserve">Palavras-chave: </w:t>
      </w:r>
      <w:r w:rsidRPr="00744930">
        <w:rPr>
          <w:rFonts w:ascii="Times New Roman" w:hAnsi="Times New Roman" w:cs="Times New Roman"/>
          <w:i/>
          <w:lang w:val="pt-BR"/>
        </w:rPr>
        <w:t xml:space="preserve">Crescimento Econômico, Taxas de câmbio, Produtividade, </w:t>
      </w:r>
      <w:r>
        <w:rPr>
          <w:rFonts w:ascii="Times New Roman" w:hAnsi="Times New Roman" w:cs="Times New Roman"/>
          <w:i/>
          <w:lang w:val="pt-BR"/>
        </w:rPr>
        <w:t>Exportações, Manufatura</w:t>
      </w:r>
    </w:p>
    <w:p w:rsidR="00EA30A5" w:rsidRPr="00EA30A5" w:rsidRDefault="00EA30A5" w:rsidP="00EA30A5">
      <w:pPr>
        <w:spacing w:line="240" w:lineRule="auto"/>
        <w:jc w:val="both"/>
        <w:rPr>
          <w:rFonts w:ascii="Times New Roman" w:hAnsi="Times New Roman" w:cs="Times New Roman"/>
          <w:b/>
          <w:lang w:val="pt-BR"/>
        </w:rPr>
      </w:pPr>
    </w:p>
    <w:p w:rsidR="001704E7" w:rsidRPr="008D6883" w:rsidRDefault="001210EF" w:rsidP="00EA30A5">
      <w:pPr>
        <w:spacing w:line="240" w:lineRule="auto"/>
        <w:jc w:val="both"/>
        <w:rPr>
          <w:rFonts w:ascii="Times New Roman" w:hAnsi="Times New Roman" w:cs="Times New Roman"/>
          <w:b/>
          <w:lang w:val="pt-BR"/>
        </w:rPr>
      </w:pPr>
      <w:proofErr w:type="spellStart"/>
      <w:r w:rsidRPr="008D6883">
        <w:rPr>
          <w:rFonts w:ascii="Times New Roman" w:hAnsi="Times New Roman" w:cs="Times New Roman"/>
          <w:b/>
          <w:lang w:val="pt-BR"/>
        </w:rPr>
        <w:t>J</w:t>
      </w:r>
      <w:r w:rsidR="001704E7" w:rsidRPr="008D6883">
        <w:rPr>
          <w:rFonts w:ascii="Times New Roman" w:hAnsi="Times New Roman" w:cs="Times New Roman"/>
          <w:b/>
          <w:lang w:val="pt-BR"/>
        </w:rPr>
        <w:t>el</w:t>
      </w:r>
      <w:proofErr w:type="spellEnd"/>
      <w:r w:rsidR="001704E7" w:rsidRPr="008D6883">
        <w:rPr>
          <w:rFonts w:ascii="Times New Roman" w:hAnsi="Times New Roman" w:cs="Times New Roman"/>
          <w:b/>
          <w:lang w:val="pt-BR"/>
        </w:rPr>
        <w:t xml:space="preserve"> </w:t>
      </w:r>
      <w:proofErr w:type="spellStart"/>
      <w:r w:rsidR="001704E7" w:rsidRPr="008D6883">
        <w:rPr>
          <w:rFonts w:ascii="Times New Roman" w:hAnsi="Times New Roman" w:cs="Times New Roman"/>
          <w:b/>
          <w:lang w:val="pt-BR"/>
        </w:rPr>
        <w:t>Code</w:t>
      </w:r>
      <w:proofErr w:type="spellEnd"/>
      <w:r w:rsidR="001704E7" w:rsidRPr="008D6883">
        <w:rPr>
          <w:rFonts w:ascii="Times New Roman" w:hAnsi="Times New Roman" w:cs="Times New Roman"/>
          <w:b/>
          <w:lang w:val="pt-BR"/>
        </w:rPr>
        <w:t>: O11, O14, O40, L60</w:t>
      </w:r>
    </w:p>
    <w:p w:rsidR="001704E7" w:rsidRDefault="001704E7" w:rsidP="00EA30A5">
      <w:pPr>
        <w:spacing w:line="240" w:lineRule="auto"/>
        <w:jc w:val="both"/>
        <w:rPr>
          <w:rFonts w:ascii="Times New Roman" w:hAnsi="Times New Roman" w:cs="Times New Roman"/>
          <w:sz w:val="24"/>
          <w:szCs w:val="24"/>
          <w:lang w:val="pt-BR"/>
        </w:rPr>
      </w:pPr>
    </w:p>
    <w:p w:rsidR="00EA30A5" w:rsidRPr="00EA30A5" w:rsidRDefault="00EA30A5" w:rsidP="00EA30A5">
      <w:pPr>
        <w:spacing w:line="240" w:lineRule="auto"/>
        <w:jc w:val="both"/>
        <w:rPr>
          <w:rFonts w:ascii="Times New Roman" w:hAnsi="Times New Roman" w:cs="Times New Roman"/>
          <w:b/>
          <w:lang w:val="pt-BR"/>
        </w:rPr>
      </w:pPr>
      <w:r w:rsidRPr="00EA30A5">
        <w:rPr>
          <w:rFonts w:ascii="Times New Roman" w:hAnsi="Times New Roman" w:cs="Times New Roman"/>
          <w:b/>
          <w:lang w:val="pt-BR"/>
        </w:rPr>
        <w:t xml:space="preserve">Área ANPEC: </w:t>
      </w:r>
      <w:r w:rsidRPr="00996FA7">
        <w:rPr>
          <w:rFonts w:ascii="Times New Roman" w:hAnsi="Times New Roman" w:cs="Times New Roman"/>
          <w:i/>
          <w:lang w:val="pt-BR"/>
        </w:rPr>
        <w:t>Área 6 - Crescimento, Desenvolvimento Econômico e Instituições</w:t>
      </w:r>
    </w:p>
    <w:p w:rsidR="00EA30A5" w:rsidRPr="001210EF" w:rsidRDefault="00EA30A5" w:rsidP="00EA30A5">
      <w:pPr>
        <w:spacing w:line="240" w:lineRule="auto"/>
        <w:jc w:val="both"/>
        <w:rPr>
          <w:rFonts w:ascii="Times New Roman" w:hAnsi="Times New Roman" w:cs="Times New Roman"/>
          <w:sz w:val="24"/>
          <w:szCs w:val="24"/>
          <w:lang w:val="pt-BR"/>
        </w:rPr>
      </w:pPr>
    </w:p>
    <w:p w:rsidR="00EA30A5" w:rsidRPr="00EA30A5" w:rsidRDefault="00EA30A5">
      <w:pPr>
        <w:rPr>
          <w:rFonts w:ascii="Times New Roman" w:hAnsi="Times New Roman" w:cs="Times New Roman"/>
          <w:b/>
          <w:sz w:val="24"/>
          <w:szCs w:val="24"/>
          <w:highlight w:val="lightGray"/>
          <w:lang w:val="pt-BR"/>
        </w:rPr>
      </w:pPr>
      <w:r w:rsidRPr="00EA30A5">
        <w:rPr>
          <w:rFonts w:ascii="Times New Roman" w:hAnsi="Times New Roman" w:cs="Times New Roman"/>
          <w:b/>
          <w:sz w:val="24"/>
          <w:szCs w:val="24"/>
          <w:highlight w:val="lightGray"/>
          <w:lang w:val="pt-BR"/>
        </w:rPr>
        <w:br w:type="page"/>
      </w:r>
    </w:p>
    <w:p w:rsidR="005F2A9C" w:rsidRPr="00EA30A5" w:rsidRDefault="00FC4652" w:rsidP="00EA30A5">
      <w:pPr>
        <w:pStyle w:val="PargrafodaLista"/>
        <w:numPr>
          <w:ilvl w:val="0"/>
          <w:numId w:val="11"/>
        </w:numPr>
        <w:spacing w:line="240" w:lineRule="auto"/>
        <w:jc w:val="both"/>
        <w:rPr>
          <w:rFonts w:ascii="Times New Roman" w:hAnsi="Times New Roman" w:cs="Times New Roman"/>
          <w:b/>
          <w:sz w:val="24"/>
          <w:szCs w:val="24"/>
          <w:lang w:val="en-GB"/>
        </w:rPr>
      </w:pPr>
      <w:r w:rsidRPr="00EA30A5">
        <w:rPr>
          <w:rFonts w:ascii="Times New Roman" w:hAnsi="Times New Roman" w:cs="Times New Roman"/>
          <w:b/>
          <w:sz w:val="24"/>
          <w:szCs w:val="24"/>
          <w:lang w:val="en-GB"/>
        </w:rPr>
        <w:lastRenderedPageBreak/>
        <w:t>Introduction</w:t>
      </w:r>
    </w:p>
    <w:p w:rsidR="00A86DA1" w:rsidRDefault="005F2A9C" w:rsidP="00EA30A5">
      <w:pPr>
        <w:spacing w:line="240" w:lineRule="auto"/>
        <w:jc w:val="both"/>
        <w:rPr>
          <w:rFonts w:ascii="Times New Roman" w:hAnsi="Times New Roman" w:cs="Times New Roman"/>
          <w:sz w:val="24"/>
          <w:szCs w:val="24"/>
          <w:lang w:val="en-GB"/>
        </w:rPr>
      </w:pPr>
      <w:r w:rsidRPr="005F2A9C">
        <w:rPr>
          <w:rFonts w:ascii="Times New Roman" w:hAnsi="Times New Roman" w:cs="Times New Roman"/>
          <w:sz w:val="24"/>
          <w:szCs w:val="24"/>
          <w:lang w:val="en-GB"/>
        </w:rPr>
        <w:t xml:space="preserve">Economic literature has extensively investigated the role played by competitive exchange rate in the most successful growth strategies over the past decades. </w:t>
      </w:r>
      <w:r>
        <w:rPr>
          <w:rFonts w:ascii="Times New Roman" w:hAnsi="Times New Roman" w:cs="Times New Roman"/>
          <w:sz w:val="24"/>
          <w:szCs w:val="24"/>
          <w:lang w:val="en-GB"/>
        </w:rPr>
        <w:t>M</w:t>
      </w:r>
      <w:r w:rsidRPr="005F2A9C">
        <w:rPr>
          <w:rFonts w:ascii="Times New Roman" w:hAnsi="Times New Roman" w:cs="Times New Roman"/>
          <w:sz w:val="24"/>
          <w:szCs w:val="24"/>
          <w:lang w:val="en-GB"/>
        </w:rPr>
        <w:t>any studies have been undertaken in order to assess the</w:t>
      </w:r>
      <w:r w:rsidR="00A86DA1">
        <w:rPr>
          <w:rFonts w:ascii="Times New Roman" w:hAnsi="Times New Roman" w:cs="Times New Roman"/>
          <w:sz w:val="24"/>
          <w:szCs w:val="24"/>
          <w:lang w:val="en-GB"/>
        </w:rPr>
        <w:t xml:space="preserve"> role played by </w:t>
      </w:r>
      <w:r w:rsidR="00A86DA1" w:rsidRPr="005F2A9C">
        <w:rPr>
          <w:rFonts w:ascii="Times New Roman" w:hAnsi="Times New Roman" w:cs="Times New Roman"/>
          <w:sz w:val="24"/>
          <w:szCs w:val="24"/>
          <w:lang w:val="en-GB"/>
        </w:rPr>
        <w:t>the maintenance of competitive currency</w:t>
      </w:r>
      <w:r w:rsidR="00A86DA1">
        <w:rPr>
          <w:rFonts w:ascii="Times New Roman" w:hAnsi="Times New Roman" w:cs="Times New Roman"/>
          <w:sz w:val="24"/>
          <w:szCs w:val="24"/>
          <w:lang w:val="en-GB"/>
        </w:rPr>
        <w:t xml:space="preserve"> for the successful </w:t>
      </w:r>
      <w:r w:rsidRPr="005F2A9C">
        <w:rPr>
          <w:rFonts w:ascii="Times New Roman" w:hAnsi="Times New Roman" w:cs="Times New Roman"/>
          <w:sz w:val="24"/>
          <w:szCs w:val="24"/>
          <w:lang w:val="en-GB"/>
        </w:rPr>
        <w:t>growth strategies</w:t>
      </w:r>
      <w:r w:rsidR="00A86DA1">
        <w:rPr>
          <w:rFonts w:ascii="Times New Roman" w:hAnsi="Times New Roman" w:cs="Times New Roman"/>
          <w:sz w:val="24"/>
          <w:szCs w:val="24"/>
          <w:lang w:val="en-GB"/>
        </w:rPr>
        <w:t xml:space="preserve"> of </w:t>
      </w:r>
      <w:r w:rsidR="00A86DA1" w:rsidRPr="005F2A9C">
        <w:rPr>
          <w:rFonts w:ascii="Times New Roman" w:hAnsi="Times New Roman" w:cs="Times New Roman"/>
          <w:sz w:val="24"/>
          <w:szCs w:val="24"/>
          <w:lang w:val="en-GB"/>
        </w:rPr>
        <w:t>East and Southeast Asian</w:t>
      </w:r>
      <w:r w:rsidR="00A86DA1">
        <w:rPr>
          <w:rFonts w:ascii="Times New Roman" w:hAnsi="Times New Roman" w:cs="Times New Roman"/>
          <w:sz w:val="24"/>
          <w:szCs w:val="24"/>
          <w:lang w:val="en-GB"/>
        </w:rPr>
        <w:t xml:space="preserve"> countries</w:t>
      </w:r>
      <w:r w:rsidRPr="005F2A9C">
        <w:rPr>
          <w:rFonts w:ascii="Times New Roman" w:hAnsi="Times New Roman" w:cs="Times New Roman"/>
          <w:sz w:val="24"/>
          <w:szCs w:val="24"/>
          <w:lang w:val="en-GB"/>
        </w:rPr>
        <w:t>. Contrastingly,</w:t>
      </w:r>
      <w:r>
        <w:rPr>
          <w:rFonts w:ascii="Times New Roman" w:hAnsi="Times New Roman" w:cs="Times New Roman"/>
          <w:sz w:val="24"/>
          <w:szCs w:val="24"/>
          <w:lang w:val="en-GB"/>
        </w:rPr>
        <w:t xml:space="preserve"> according to this literature,</w:t>
      </w:r>
      <w:r w:rsidRPr="005F2A9C">
        <w:rPr>
          <w:rFonts w:ascii="Times New Roman" w:hAnsi="Times New Roman" w:cs="Times New Roman"/>
          <w:sz w:val="24"/>
          <w:szCs w:val="24"/>
          <w:lang w:val="en-GB"/>
        </w:rPr>
        <w:t xml:space="preserve"> Latin American and African countries have fallen behind due to overvalued domestic currencies</w:t>
      </w:r>
      <w:r>
        <w:rPr>
          <w:rFonts w:ascii="Times New Roman" w:hAnsi="Times New Roman" w:cs="Times New Roman"/>
          <w:sz w:val="24"/>
          <w:szCs w:val="24"/>
          <w:lang w:val="en-GB"/>
        </w:rPr>
        <w:t>, amongst other factors</w:t>
      </w:r>
      <w:r w:rsidRPr="005F2A9C">
        <w:rPr>
          <w:rFonts w:ascii="Times New Roman" w:hAnsi="Times New Roman" w:cs="Times New Roman"/>
          <w:sz w:val="24"/>
          <w:szCs w:val="24"/>
          <w:lang w:val="en-GB"/>
        </w:rPr>
        <w:t>.</w:t>
      </w:r>
      <w:r w:rsidR="00A86DA1">
        <w:rPr>
          <w:rFonts w:ascii="Times New Roman" w:hAnsi="Times New Roman" w:cs="Times New Roman"/>
          <w:sz w:val="24"/>
          <w:szCs w:val="24"/>
          <w:lang w:val="en-GB"/>
        </w:rPr>
        <w:t xml:space="preserve"> The existing literature explores several transmission channels through which devaluation might propel growth. Some works</w:t>
      </w:r>
      <w:r w:rsidR="00A86DA1" w:rsidRPr="00421139">
        <w:rPr>
          <w:rFonts w:ascii="Times New Roman" w:hAnsi="Times New Roman" w:cs="Times New Roman"/>
          <w:sz w:val="24"/>
          <w:szCs w:val="24"/>
          <w:lang w:val="en-GB"/>
        </w:rPr>
        <w:t xml:space="preserve"> suggest that</w:t>
      </w:r>
      <w:r w:rsidR="00A86DA1">
        <w:rPr>
          <w:rFonts w:ascii="Times New Roman" w:hAnsi="Times New Roman" w:cs="Times New Roman"/>
          <w:sz w:val="24"/>
          <w:szCs w:val="24"/>
          <w:lang w:val="en-GB"/>
        </w:rPr>
        <w:t xml:space="preserve"> competitive devaluation</w:t>
      </w:r>
      <w:r w:rsidR="00A86DA1" w:rsidRPr="00421139">
        <w:rPr>
          <w:rFonts w:ascii="Times New Roman" w:hAnsi="Times New Roman" w:cs="Times New Roman"/>
          <w:sz w:val="24"/>
          <w:szCs w:val="24"/>
          <w:lang w:val="en-GB"/>
        </w:rPr>
        <w:t xml:space="preserve"> help</w:t>
      </w:r>
      <w:r w:rsidR="00A86DA1">
        <w:rPr>
          <w:rFonts w:ascii="Times New Roman" w:hAnsi="Times New Roman" w:cs="Times New Roman"/>
          <w:sz w:val="24"/>
          <w:szCs w:val="24"/>
          <w:lang w:val="en-GB"/>
        </w:rPr>
        <w:t>s</w:t>
      </w:r>
      <w:r w:rsidR="00A86DA1" w:rsidRPr="00421139">
        <w:rPr>
          <w:rFonts w:ascii="Times New Roman" w:hAnsi="Times New Roman" w:cs="Times New Roman"/>
          <w:sz w:val="24"/>
          <w:szCs w:val="24"/>
          <w:lang w:val="en-GB"/>
        </w:rPr>
        <w:t xml:space="preserve"> to outweigh the negative impact of bad institutions and market failure on the tradable sector and hence boost growth (e.g. </w:t>
      </w:r>
      <w:proofErr w:type="spellStart"/>
      <w:r w:rsidR="00A86DA1" w:rsidRPr="00421139">
        <w:rPr>
          <w:rFonts w:ascii="Times New Roman" w:hAnsi="Times New Roman" w:cs="Times New Roman"/>
          <w:sz w:val="24"/>
          <w:szCs w:val="24"/>
          <w:lang w:val="en-GB"/>
        </w:rPr>
        <w:t>Rodrik</w:t>
      </w:r>
      <w:proofErr w:type="spellEnd"/>
      <w:r w:rsidR="00A86DA1" w:rsidRPr="00421139">
        <w:rPr>
          <w:rFonts w:ascii="Times New Roman" w:hAnsi="Times New Roman" w:cs="Times New Roman"/>
          <w:sz w:val="24"/>
          <w:szCs w:val="24"/>
          <w:lang w:val="en-GB"/>
        </w:rPr>
        <w:t xml:space="preserve">, 2008). Some economists also argue that currency devaluation encourages exports, thus affecting positively growth due to economies of scale and adoption of new technologies (e.g. Gala and </w:t>
      </w:r>
      <w:proofErr w:type="spellStart"/>
      <w:r w:rsidR="00A86DA1" w:rsidRPr="00421139">
        <w:rPr>
          <w:rFonts w:ascii="Times New Roman" w:hAnsi="Times New Roman" w:cs="Times New Roman"/>
          <w:sz w:val="24"/>
          <w:szCs w:val="24"/>
          <w:lang w:val="en-GB"/>
        </w:rPr>
        <w:t>Libanio</w:t>
      </w:r>
      <w:proofErr w:type="spellEnd"/>
      <w:r w:rsidR="00A86DA1" w:rsidRPr="00421139">
        <w:rPr>
          <w:rFonts w:ascii="Times New Roman" w:hAnsi="Times New Roman" w:cs="Times New Roman"/>
          <w:sz w:val="24"/>
          <w:szCs w:val="24"/>
          <w:lang w:val="en-GB"/>
        </w:rPr>
        <w:t>, 2010). Others argue that devaluation boosts growth by increasing domestic savings (via reduction of wages) and investments (e.g. Gala, 2007; Levy</w:t>
      </w:r>
      <w:r w:rsidR="00A86DA1">
        <w:rPr>
          <w:rFonts w:ascii="Times New Roman" w:hAnsi="Times New Roman" w:cs="Times New Roman"/>
          <w:sz w:val="24"/>
          <w:szCs w:val="24"/>
          <w:lang w:val="en-GB"/>
        </w:rPr>
        <w:t>-</w:t>
      </w:r>
      <w:proofErr w:type="spellStart"/>
      <w:r w:rsidR="00A86DA1" w:rsidRPr="00421139">
        <w:rPr>
          <w:rFonts w:ascii="Times New Roman" w:hAnsi="Times New Roman" w:cs="Times New Roman"/>
          <w:sz w:val="24"/>
          <w:szCs w:val="24"/>
          <w:lang w:val="en-GB"/>
        </w:rPr>
        <w:t>Yeyati</w:t>
      </w:r>
      <w:proofErr w:type="spellEnd"/>
      <w:r w:rsidR="00A86DA1" w:rsidRPr="00421139">
        <w:rPr>
          <w:rFonts w:ascii="Times New Roman" w:hAnsi="Times New Roman" w:cs="Times New Roman"/>
          <w:sz w:val="24"/>
          <w:szCs w:val="24"/>
          <w:lang w:val="en-GB"/>
        </w:rPr>
        <w:t xml:space="preserve"> et al, 2013).</w:t>
      </w:r>
    </w:p>
    <w:p w:rsidR="00D0499D" w:rsidRDefault="00D0499D" w:rsidP="00EA30A5">
      <w:pPr>
        <w:spacing w:line="240" w:lineRule="auto"/>
        <w:ind w:firstLine="284"/>
        <w:jc w:val="both"/>
        <w:rPr>
          <w:rFonts w:ascii="Times New Roman" w:hAnsi="Times New Roman" w:cs="Times New Roman"/>
          <w:sz w:val="24"/>
          <w:szCs w:val="24"/>
          <w:lang w:val="en-GB"/>
        </w:rPr>
      </w:pPr>
      <w:r w:rsidRPr="00D0499D">
        <w:rPr>
          <w:rFonts w:ascii="Times New Roman" w:hAnsi="Times New Roman" w:cs="Times New Roman"/>
          <w:sz w:val="24"/>
          <w:szCs w:val="24"/>
          <w:lang w:val="en-GB"/>
        </w:rPr>
        <w:t xml:space="preserve">Despite the different types of methods, samples of countries and time periods considered </w:t>
      </w:r>
      <w:r>
        <w:rPr>
          <w:rFonts w:ascii="Times New Roman" w:hAnsi="Times New Roman" w:cs="Times New Roman"/>
          <w:sz w:val="24"/>
          <w:szCs w:val="24"/>
          <w:lang w:val="en-GB"/>
        </w:rPr>
        <w:t xml:space="preserve">within this literature, it is possible to </w:t>
      </w:r>
      <w:r w:rsidRPr="00D0499D">
        <w:rPr>
          <w:rFonts w:ascii="Times New Roman" w:hAnsi="Times New Roman" w:cs="Times New Roman"/>
          <w:sz w:val="24"/>
          <w:szCs w:val="24"/>
          <w:lang w:val="en-GB"/>
        </w:rPr>
        <w:t>identify th</w:t>
      </w:r>
      <w:r>
        <w:rPr>
          <w:rFonts w:ascii="Times New Roman" w:hAnsi="Times New Roman" w:cs="Times New Roman"/>
          <w:sz w:val="24"/>
          <w:szCs w:val="24"/>
          <w:lang w:val="en-GB"/>
        </w:rPr>
        <w:t>e emergence of certain patterns:</w:t>
      </w:r>
      <w:r w:rsidRPr="00D0499D">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by and large, most studies suggest a positive relationship between currency undervaluation and growth; ii) this correlation </w:t>
      </w:r>
      <w:r w:rsidR="00CF143B">
        <w:rPr>
          <w:rFonts w:ascii="Times New Roman" w:hAnsi="Times New Roman" w:cs="Times New Roman"/>
          <w:sz w:val="24"/>
          <w:szCs w:val="24"/>
          <w:lang w:val="en-GB"/>
        </w:rPr>
        <w:t>is observed mostly in developing</w:t>
      </w:r>
      <w:r>
        <w:rPr>
          <w:rFonts w:ascii="Times New Roman" w:hAnsi="Times New Roman" w:cs="Times New Roman"/>
          <w:sz w:val="24"/>
          <w:szCs w:val="24"/>
          <w:lang w:val="en-GB"/>
        </w:rPr>
        <w:t xml:space="preserve"> countries.</w:t>
      </w:r>
      <w:r w:rsidR="006C5350">
        <w:rPr>
          <w:rFonts w:ascii="Times New Roman" w:hAnsi="Times New Roman" w:cs="Times New Roman"/>
          <w:sz w:val="24"/>
          <w:szCs w:val="24"/>
          <w:lang w:val="en-GB"/>
        </w:rPr>
        <w:t xml:space="preserve"> In the present work we focus mostly on the </w:t>
      </w:r>
      <w:r w:rsidR="00CF143B">
        <w:rPr>
          <w:rFonts w:ascii="Times New Roman" w:hAnsi="Times New Roman" w:cs="Times New Roman"/>
          <w:sz w:val="24"/>
          <w:szCs w:val="24"/>
          <w:lang w:val="en-GB"/>
        </w:rPr>
        <w:t xml:space="preserve">second issue. That is, we want to answer the following question: ‘Why a positive relationship between devaluation and growth holds almost exclusively for developing countries?’ </w:t>
      </w:r>
      <w:proofErr w:type="spellStart"/>
      <w:r w:rsidR="00412D38">
        <w:rPr>
          <w:rFonts w:ascii="Times New Roman" w:hAnsi="Times New Roman" w:cs="Times New Roman"/>
          <w:sz w:val="24"/>
          <w:szCs w:val="24"/>
          <w:lang w:val="en-GB"/>
        </w:rPr>
        <w:t>Rodrik</w:t>
      </w:r>
      <w:proofErr w:type="spellEnd"/>
      <w:r w:rsidR="00412D38">
        <w:rPr>
          <w:rFonts w:ascii="Times New Roman" w:hAnsi="Times New Roman" w:cs="Times New Roman"/>
          <w:sz w:val="24"/>
          <w:szCs w:val="24"/>
          <w:lang w:val="en-GB"/>
        </w:rPr>
        <w:t xml:space="preserve"> (2008) provides a possible answer for this question from an orthodox standpoint.</w:t>
      </w:r>
      <w:r w:rsidR="00CF143B" w:rsidRPr="00CF143B">
        <w:rPr>
          <w:rFonts w:ascii="Times New Roman" w:hAnsi="Times New Roman" w:cs="Times New Roman"/>
          <w:sz w:val="24"/>
          <w:szCs w:val="24"/>
          <w:lang w:val="en-GB"/>
        </w:rPr>
        <w:t xml:space="preserve"> </w:t>
      </w:r>
      <w:r w:rsidR="00412D38">
        <w:rPr>
          <w:rFonts w:ascii="Times New Roman" w:hAnsi="Times New Roman" w:cs="Times New Roman"/>
          <w:sz w:val="24"/>
          <w:szCs w:val="24"/>
          <w:lang w:val="en-GB"/>
        </w:rPr>
        <w:t xml:space="preserve">To begin with, </w:t>
      </w:r>
      <w:proofErr w:type="spellStart"/>
      <w:r w:rsidR="002A736A">
        <w:rPr>
          <w:rFonts w:ascii="Times New Roman" w:hAnsi="Times New Roman" w:cs="Times New Roman"/>
          <w:sz w:val="24"/>
          <w:szCs w:val="24"/>
          <w:lang w:val="en-GB"/>
        </w:rPr>
        <w:t>Rodrik</w:t>
      </w:r>
      <w:proofErr w:type="spellEnd"/>
      <w:r w:rsidR="002A736A">
        <w:rPr>
          <w:rFonts w:ascii="Times New Roman" w:hAnsi="Times New Roman" w:cs="Times New Roman"/>
          <w:sz w:val="24"/>
          <w:szCs w:val="24"/>
          <w:lang w:val="en-GB"/>
        </w:rPr>
        <w:t xml:space="preserve"> argues that</w:t>
      </w:r>
      <w:r w:rsidR="00CF143B" w:rsidRPr="00CF143B">
        <w:rPr>
          <w:rFonts w:ascii="Times New Roman" w:hAnsi="Times New Roman" w:cs="Times New Roman"/>
          <w:sz w:val="24"/>
          <w:szCs w:val="24"/>
          <w:lang w:val="en-GB"/>
        </w:rPr>
        <w:t xml:space="preserve"> the tradables sector is </w:t>
      </w:r>
      <w:r w:rsidR="00412D38">
        <w:rPr>
          <w:rFonts w:ascii="Times New Roman" w:hAnsi="Times New Roman" w:cs="Times New Roman"/>
          <w:sz w:val="24"/>
          <w:szCs w:val="24"/>
          <w:lang w:val="en-GB"/>
        </w:rPr>
        <w:t>a special sector, as it is the main engine of</w:t>
      </w:r>
      <w:r w:rsidR="002A736A">
        <w:rPr>
          <w:rFonts w:ascii="Times New Roman" w:hAnsi="Times New Roman" w:cs="Times New Roman"/>
          <w:sz w:val="24"/>
          <w:szCs w:val="24"/>
          <w:lang w:val="en-GB"/>
        </w:rPr>
        <w:t xml:space="preserve"> </w:t>
      </w:r>
      <w:r w:rsidR="00CF143B" w:rsidRPr="00CF143B">
        <w:rPr>
          <w:rFonts w:ascii="Times New Roman" w:hAnsi="Times New Roman" w:cs="Times New Roman"/>
          <w:sz w:val="24"/>
          <w:szCs w:val="24"/>
          <w:lang w:val="en-GB"/>
        </w:rPr>
        <w:t>economic growth. Thus, in developing countries,</w:t>
      </w:r>
      <w:r w:rsidR="002A736A">
        <w:rPr>
          <w:rFonts w:ascii="Times New Roman" w:hAnsi="Times New Roman" w:cs="Times New Roman"/>
          <w:sz w:val="24"/>
          <w:szCs w:val="24"/>
          <w:lang w:val="en-GB"/>
        </w:rPr>
        <w:t xml:space="preserve"> </w:t>
      </w:r>
      <w:r w:rsidR="00412D38">
        <w:rPr>
          <w:rFonts w:ascii="Times New Roman" w:hAnsi="Times New Roman" w:cs="Times New Roman"/>
          <w:sz w:val="24"/>
          <w:szCs w:val="24"/>
          <w:lang w:val="en-GB"/>
        </w:rPr>
        <w:t>slow</w:t>
      </w:r>
      <w:r w:rsidR="002A736A" w:rsidRPr="00CF143B">
        <w:rPr>
          <w:rFonts w:ascii="Times New Roman" w:hAnsi="Times New Roman" w:cs="Times New Roman"/>
          <w:sz w:val="24"/>
          <w:szCs w:val="24"/>
          <w:lang w:val="en-GB"/>
        </w:rPr>
        <w:t xml:space="preserve"> economic growth</w:t>
      </w:r>
      <w:r w:rsidR="002A736A">
        <w:rPr>
          <w:rFonts w:ascii="Times New Roman" w:hAnsi="Times New Roman" w:cs="Times New Roman"/>
          <w:sz w:val="24"/>
          <w:szCs w:val="24"/>
          <w:lang w:val="en-GB"/>
        </w:rPr>
        <w:t xml:space="preserve"> is a consequence of</w:t>
      </w:r>
      <w:r w:rsidR="00CF143B" w:rsidRPr="00CF143B">
        <w:rPr>
          <w:rFonts w:ascii="Times New Roman" w:hAnsi="Times New Roman" w:cs="Times New Roman"/>
          <w:sz w:val="24"/>
          <w:szCs w:val="24"/>
          <w:lang w:val="en-GB"/>
        </w:rPr>
        <w:t xml:space="preserve"> the poor performance of the tradables sector. According to the author, the </w:t>
      </w:r>
      <w:r w:rsidR="00412D38">
        <w:rPr>
          <w:rFonts w:ascii="Times New Roman" w:hAnsi="Times New Roman" w:cs="Times New Roman"/>
          <w:sz w:val="24"/>
          <w:szCs w:val="24"/>
          <w:lang w:val="en-GB"/>
        </w:rPr>
        <w:t xml:space="preserve">rationale behind this argument </w:t>
      </w:r>
      <w:r w:rsidR="00CF143B" w:rsidRPr="00CF143B">
        <w:rPr>
          <w:rFonts w:ascii="Times New Roman" w:hAnsi="Times New Roman" w:cs="Times New Roman"/>
          <w:sz w:val="24"/>
          <w:szCs w:val="24"/>
          <w:lang w:val="en-GB"/>
        </w:rPr>
        <w:t>is</w:t>
      </w:r>
      <w:r w:rsidR="00412D38">
        <w:rPr>
          <w:rFonts w:ascii="Times New Roman" w:hAnsi="Times New Roman" w:cs="Times New Roman"/>
          <w:sz w:val="24"/>
          <w:szCs w:val="24"/>
          <w:lang w:val="en-GB"/>
        </w:rPr>
        <w:t xml:space="preserve"> that</w:t>
      </w:r>
      <w:r w:rsidR="00CF143B" w:rsidRPr="00CF143B">
        <w:rPr>
          <w:rFonts w:ascii="Times New Roman" w:hAnsi="Times New Roman" w:cs="Times New Roman"/>
          <w:sz w:val="24"/>
          <w:szCs w:val="24"/>
          <w:lang w:val="en-GB"/>
        </w:rPr>
        <w:t xml:space="preserve"> the existence of bad institutions and market failures </w:t>
      </w:r>
      <w:r w:rsidR="00412D38">
        <w:rPr>
          <w:rFonts w:ascii="Times New Roman" w:hAnsi="Times New Roman" w:cs="Times New Roman"/>
          <w:sz w:val="24"/>
          <w:szCs w:val="24"/>
          <w:lang w:val="en-GB"/>
        </w:rPr>
        <w:t>affect</w:t>
      </w:r>
      <w:r w:rsidR="00CF143B" w:rsidRPr="00CF143B">
        <w:rPr>
          <w:rFonts w:ascii="Times New Roman" w:hAnsi="Times New Roman" w:cs="Times New Roman"/>
          <w:sz w:val="24"/>
          <w:szCs w:val="24"/>
          <w:lang w:val="en-GB"/>
        </w:rPr>
        <w:t xml:space="preserve"> disproportionately the tradables sector in relation to the non-tradables. Thus, the improvement of institutions and the correction of market failures </w:t>
      </w:r>
      <w:r w:rsidR="00412D38">
        <w:rPr>
          <w:rFonts w:ascii="Times New Roman" w:hAnsi="Times New Roman" w:cs="Times New Roman"/>
          <w:sz w:val="24"/>
          <w:szCs w:val="24"/>
          <w:lang w:val="en-GB"/>
        </w:rPr>
        <w:t>is</w:t>
      </w:r>
      <w:r w:rsidR="00CF143B" w:rsidRPr="00CF143B">
        <w:rPr>
          <w:rFonts w:ascii="Times New Roman" w:hAnsi="Times New Roman" w:cs="Times New Roman"/>
          <w:sz w:val="24"/>
          <w:szCs w:val="24"/>
          <w:lang w:val="en-GB"/>
        </w:rPr>
        <w:t xml:space="preserve"> the best way to promote </w:t>
      </w:r>
      <w:r w:rsidR="00412D38">
        <w:rPr>
          <w:rFonts w:ascii="Times New Roman" w:hAnsi="Times New Roman" w:cs="Times New Roman"/>
          <w:sz w:val="24"/>
          <w:szCs w:val="24"/>
          <w:lang w:val="en-GB"/>
        </w:rPr>
        <w:t>economic development</w:t>
      </w:r>
      <w:r w:rsidR="00CF143B" w:rsidRPr="00CF143B">
        <w:rPr>
          <w:rFonts w:ascii="Times New Roman" w:hAnsi="Times New Roman" w:cs="Times New Roman"/>
          <w:sz w:val="24"/>
          <w:szCs w:val="24"/>
          <w:lang w:val="en-GB"/>
        </w:rPr>
        <w:t xml:space="preserve">. However, given the impossibility of </w:t>
      </w:r>
      <w:r w:rsidR="00412D38">
        <w:rPr>
          <w:rFonts w:ascii="Times New Roman" w:hAnsi="Times New Roman" w:cs="Times New Roman"/>
          <w:sz w:val="24"/>
          <w:szCs w:val="24"/>
          <w:lang w:val="en-GB"/>
        </w:rPr>
        <w:t>accomplishing these tasks</w:t>
      </w:r>
      <w:r w:rsidR="00CF143B" w:rsidRPr="00CF143B">
        <w:rPr>
          <w:rFonts w:ascii="Times New Roman" w:hAnsi="Times New Roman" w:cs="Times New Roman"/>
          <w:sz w:val="24"/>
          <w:szCs w:val="24"/>
          <w:lang w:val="en-GB"/>
        </w:rPr>
        <w:t xml:space="preserve"> in the short term, the depreciation of the real exchange rate becomes a second-best sol</w:t>
      </w:r>
      <w:r w:rsidR="00412D38">
        <w:rPr>
          <w:rFonts w:ascii="Times New Roman" w:hAnsi="Times New Roman" w:cs="Times New Roman"/>
          <w:sz w:val="24"/>
          <w:szCs w:val="24"/>
          <w:lang w:val="en-GB"/>
        </w:rPr>
        <w:t>ution to promote growth, since</w:t>
      </w:r>
      <w:r w:rsidR="00CF143B" w:rsidRPr="00CF143B">
        <w:rPr>
          <w:rFonts w:ascii="Times New Roman" w:hAnsi="Times New Roman" w:cs="Times New Roman"/>
          <w:sz w:val="24"/>
          <w:szCs w:val="24"/>
          <w:lang w:val="en-GB"/>
        </w:rPr>
        <w:t xml:space="preserve"> higher real exchange rate incre</w:t>
      </w:r>
      <w:r w:rsidR="00412D38">
        <w:rPr>
          <w:rFonts w:ascii="Times New Roman" w:hAnsi="Times New Roman" w:cs="Times New Roman"/>
          <w:sz w:val="24"/>
          <w:szCs w:val="24"/>
          <w:lang w:val="en-GB"/>
        </w:rPr>
        <w:t>ases profitability of</w:t>
      </w:r>
      <w:r w:rsidR="002A736A">
        <w:rPr>
          <w:rFonts w:ascii="Times New Roman" w:hAnsi="Times New Roman" w:cs="Times New Roman"/>
          <w:sz w:val="24"/>
          <w:szCs w:val="24"/>
          <w:lang w:val="en-GB"/>
        </w:rPr>
        <w:t xml:space="preserve"> trada</w:t>
      </w:r>
      <w:r w:rsidR="00CF143B" w:rsidRPr="00CF143B">
        <w:rPr>
          <w:rFonts w:ascii="Times New Roman" w:hAnsi="Times New Roman" w:cs="Times New Roman"/>
          <w:sz w:val="24"/>
          <w:szCs w:val="24"/>
          <w:lang w:val="en-GB"/>
        </w:rPr>
        <w:t>bles</w:t>
      </w:r>
      <w:r w:rsidR="00412D38">
        <w:rPr>
          <w:rFonts w:ascii="Times New Roman" w:hAnsi="Times New Roman" w:cs="Times New Roman"/>
          <w:sz w:val="24"/>
          <w:szCs w:val="24"/>
          <w:lang w:val="en-GB"/>
        </w:rPr>
        <w:t xml:space="preserve"> relative to non-tradables</w:t>
      </w:r>
      <w:r w:rsidR="00CF143B" w:rsidRPr="00CF143B">
        <w:rPr>
          <w:rFonts w:ascii="Times New Roman" w:hAnsi="Times New Roman" w:cs="Times New Roman"/>
          <w:sz w:val="24"/>
          <w:szCs w:val="24"/>
          <w:lang w:val="en-GB"/>
        </w:rPr>
        <w:t>.</w:t>
      </w:r>
    </w:p>
    <w:p w:rsidR="00704626" w:rsidRDefault="00704626" w:rsidP="00EA30A5">
      <w:pPr>
        <w:spacing w:line="240" w:lineRule="auto"/>
        <w:ind w:firstLine="284"/>
        <w:jc w:val="both"/>
        <w:rPr>
          <w:rFonts w:ascii="Times New Roman" w:hAnsi="Times New Roman" w:cs="Times New Roman"/>
          <w:sz w:val="24"/>
          <w:szCs w:val="24"/>
          <w:lang w:val="en-GB"/>
        </w:rPr>
      </w:pPr>
      <w:r w:rsidRPr="00704626">
        <w:rPr>
          <w:rFonts w:ascii="Times New Roman" w:hAnsi="Times New Roman" w:cs="Times New Roman"/>
          <w:sz w:val="24"/>
          <w:szCs w:val="24"/>
          <w:lang w:val="en-GB"/>
        </w:rPr>
        <w:t xml:space="preserve">The problem with this explanation is that even in the absence of bad institutions and market failures, nothing guarantees </w:t>
      </w:r>
      <w:r w:rsidRPr="00704626">
        <w:rPr>
          <w:rFonts w:ascii="Times New Roman" w:hAnsi="Times New Roman" w:cs="Times New Roman"/>
          <w:i/>
          <w:sz w:val="24"/>
          <w:szCs w:val="24"/>
          <w:lang w:val="en-GB"/>
        </w:rPr>
        <w:t>a priori</w:t>
      </w:r>
      <w:r w:rsidRPr="00704626">
        <w:rPr>
          <w:rFonts w:ascii="Times New Roman" w:hAnsi="Times New Roman" w:cs="Times New Roman"/>
          <w:sz w:val="24"/>
          <w:szCs w:val="24"/>
          <w:lang w:val="en-GB"/>
        </w:rPr>
        <w:t xml:space="preserve"> that only free</w:t>
      </w:r>
      <w:r>
        <w:rPr>
          <w:rFonts w:ascii="Times New Roman" w:hAnsi="Times New Roman" w:cs="Times New Roman"/>
          <w:sz w:val="24"/>
          <w:szCs w:val="24"/>
          <w:lang w:val="en-GB"/>
        </w:rPr>
        <w:t>-market</w:t>
      </w:r>
      <w:r w:rsidRPr="00704626">
        <w:rPr>
          <w:rFonts w:ascii="Times New Roman" w:hAnsi="Times New Roman" w:cs="Times New Roman"/>
          <w:sz w:val="24"/>
          <w:szCs w:val="24"/>
          <w:lang w:val="en-GB"/>
        </w:rPr>
        <w:t xml:space="preserve"> competition would be able to promote the development of the country. The author himself states in his text that economic development consists of structural changes and investments in new productive activities. </w:t>
      </w:r>
      <w:r>
        <w:rPr>
          <w:rFonts w:ascii="Times New Roman" w:hAnsi="Times New Roman" w:cs="Times New Roman"/>
          <w:sz w:val="24"/>
          <w:szCs w:val="24"/>
          <w:lang w:val="en-GB"/>
        </w:rPr>
        <w:t>Therefore</w:t>
      </w:r>
      <w:r w:rsidRPr="00704626">
        <w:rPr>
          <w:rFonts w:ascii="Times New Roman" w:hAnsi="Times New Roman" w:cs="Times New Roman"/>
          <w:sz w:val="24"/>
          <w:szCs w:val="24"/>
          <w:lang w:val="en-GB"/>
        </w:rPr>
        <w:t xml:space="preserve">, the </w:t>
      </w:r>
      <w:r>
        <w:rPr>
          <w:rFonts w:ascii="Times New Roman" w:hAnsi="Times New Roman" w:cs="Times New Roman"/>
          <w:sz w:val="24"/>
          <w:szCs w:val="24"/>
          <w:lang w:val="en-GB"/>
        </w:rPr>
        <w:t>underlying assumption made by</w:t>
      </w:r>
      <w:r w:rsidRPr="00704626">
        <w:rPr>
          <w:rFonts w:ascii="Times New Roman" w:hAnsi="Times New Roman" w:cs="Times New Roman"/>
          <w:sz w:val="24"/>
          <w:szCs w:val="24"/>
          <w:lang w:val="en-GB"/>
        </w:rPr>
        <w:t xml:space="preserve"> </w:t>
      </w:r>
      <w:proofErr w:type="spellStart"/>
      <w:r w:rsidRPr="00704626">
        <w:rPr>
          <w:rFonts w:ascii="Times New Roman" w:hAnsi="Times New Roman" w:cs="Times New Roman"/>
          <w:sz w:val="24"/>
          <w:szCs w:val="24"/>
          <w:lang w:val="en-GB"/>
        </w:rPr>
        <w:t>Rodrik</w:t>
      </w:r>
      <w:proofErr w:type="spellEnd"/>
      <w:r w:rsidRPr="00704626">
        <w:rPr>
          <w:rFonts w:ascii="Times New Roman" w:hAnsi="Times New Roman" w:cs="Times New Roman"/>
          <w:sz w:val="24"/>
          <w:szCs w:val="24"/>
          <w:lang w:val="en-GB"/>
        </w:rPr>
        <w:t xml:space="preserve"> that only free</w:t>
      </w:r>
      <w:r>
        <w:rPr>
          <w:rFonts w:ascii="Times New Roman" w:hAnsi="Times New Roman" w:cs="Times New Roman"/>
          <w:sz w:val="24"/>
          <w:szCs w:val="24"/>
          <w:lang w:val="en-GB"/>
        </w:rPr>
        <w:t>-market</w:t>
      </w:r>
      <w:r w:rsidRPr="00704626">
        <w:rPr>
          <w:rFonts w:ascii="Times New Roman" w:hAnsi="Times New Roman" w:cs="Times New Roman"/>
          <w:sz w:val="24"/>
          <w:szCs w:val="24"/>
          <w:lang w:val="en-GB"/>
        </w:rPr>
        <w:t xml:space="preserve"> competition wo</w:t>
      </w:r>
      <w:r>
        <w:rPr>
          <w:rFonts w:ascii="Times New Roman" w:hAnsi="Times New Roman" w:cs="Times New Roman"/>
          <w:sz w:val="24"/>
          <w:szCs w:val="24"/>
          <w:lang w:val="en-GB"/>
        </w:rPr>
        <w:t>uld be able to create the conditions for fast economic growth is, at best, misguided</w:t>
      </w:r>
      <w:r w:rsidRPr="00704626">
        <w:rPr>
          <w:rFonts w:ascii="Times New Roman" w:hAnsi="Times New Roman" w:cs="Times New Roman"/>
          <w:sz w:val="24"/>
          <w:szCs w:val="24"/>
          <w:lang w:val="en-GB"/>
        </w:rPr>
        <w:t>.</w:t>
      </w:r>
      <w:r>
        <w:rPr>
          <w:rFonts w:ascii="Times New Roman" w:hAnsi="Times New Roman" w:cs="Times New Roman"/>
          <w:sz w:val="24"/>
          <w:szCs w:val="24"/>
          <w:lang w:val="en-GB"/>
        </w:rPr>
        <w:t xml:space="preserve"> Therefore, alternative research on this issue is needed.</w:t>
      </w:r>
    </w:p>
    <w:p w:rsidR="00A86DA1" w:rsidRPr="00421139" w:rsidRDefault="00D0499D"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paper contributes to the literature in several aspects. </w:t>
      </w:r>
      <w:r w:rsidR="00C62C68">
        <w:rPr>
          <w:rFonts w:ascii="Times New Roman" w:hAnsi="Times New Roman" w:cs="Times New Roman"/>
          <w:sz w:val="24"/>
          <w:szCs w:val="24"/>
          <w:lang w:val="en-GB"/>
        </w:rPr>
        <w:t xml:space="preserve">First, </w:t>
      </w:r>
      <w:r w:rsidR="00C62C68" w:rsidRPr="00421139">
        <w:rPr>
          <w:rFonts w:ascii="Times New Roman" w:hAnsi="Times New Roman" w:cs="Times New Roman"/>
          <w:sz w:val="24"/>
          <w:szCs w:val="24"/>
          <w:lang w:val="en-GB"/>
        </w:rPr>
        <w:t>this study investigate</w:t>
      </w:r>
      <w:r w:rsidR="00C62C68">
        <w:rPr>
          <w:rFonts w:ascii="Times New Roman" w:hAnsi="Times New Roman" w:cs="Times New Roman"/>
          <w:sz w:val="24"/>
          <w:szCs w:val="24"/>
          <w:lang w:val="en-GB"/>
        </w:rPr>
        <w:t>s</w:t>
      </w:r>
      <w:r w:rsidR="00C62C68" w:rsidRPr="00421139">
        <w:rPr>
          <w:rFonts w:ascii="Times New Roman" w:hAnsi="Times New Roman" w:cs="Times New Roman"/>
          <w:sz w:val="24"/>
          <w:szCs w:val="24"/>
          <w:lang w:val="en-GB"/>
        </w:rPr>
        <w:t xml:space="preserve"> </w:t>
      </w:r>
      <w:r w:rsidR="00C62C68">
        <w:rPr>
          <w:rFonts w:ascii="Times New Roman" w:hAnsi="Times New Roman" w:cs="Times New Roman"/>
          <w:sz w:val="24"/>
          <w:szCs w:val="24"/>
          <w:lang w:val="en-GB"/>
        </w:rPr>
        <w:t xml:space="preserve">empirically </w:t>
      </w:r>
      <w:r w:rsidR="00C62C68" w:rsidRPr="00421139">
        <w:rPr>
          <w:rFonts w:ascii="Times New Roman" w:hAnsi="Times New Roman" w:cs="Times New Roman"/>
          <w:sz w:val="24"/>
          <w:szCs w:val="24"/>
          <w:lang w:val="en-GB"/>
        </w:rPr>
        <w:t>the impact of RER misalignments in distinct economic structures</w:t>
      </w:r>
      <w:r w:rsidR="00C62C68">
        <w:rPr>
          <w:rFonts w:ascii="Times New Roman" w:hAnsi="Times New Roman" w:cs="Times New Roman"/>
          <w:sz w:val="24"/>
          <w:szCs w:val="24"/>
          <w:lang w:val="en-GB"/>
        </w:rPr>
        <w:t>. It helps</w:t>
      </w:r>
      <w:r w:rsidR="00A86DA1">
        <w:rPr>
          <w:rFonts w:ascii="Times New Roman" w:hAnsi="Times New Roman" w:cs="Times New Roman"/>
          <w:sz w:val="24"/>
          <w:szCs w:val="24"/>
          <w:lang w:val="en-GB"/>
        </w:rPr>
        <w:t xml:space="preserve"> to identify to which</w:t>
      </w:r>
      <w:r w:rsidR="00A86DA1" w:rsidRPr="00421139">
        <w:rPr>
          <w:rFonts w:ascii="Times New Roman" w:hAnsi="Times New Roman" w:cs="Times New Roman"/>
          <w:sz w:val="24"/>
          <w:szCs w:val="24"/>
          <w:lang w:val="en-GB"/>
        </w:rPr>
        <w:t xml:space="preserve"> extent </w:t>
      </w:r>
      <w:r w:rsidR="00A86DA1">
        <w:rPr>
          <w:rFonts w:ascii="Times New Roman" w:hAnsi="Times New Roman" w:cs="Times New Roman"/>
          <w:sz w:val="24"/>
          <w:szCs w:val="24"/>
          <w:lang w:val="en-GB"/>
        </w:rPr>
        <w:t>undervalued domestic</w:t>
      </w:r>
      <w:r w:rsidR="00A86DA1" w:rsidRPr="00421139">
        <w:rPr>
          <w:rFonts w:ascii="Times New Roman" w:hAnsi="Times New Roman" w:cs="Times New Roman"/>
          <w:sz w:val="24"/>
          <w:szCs w:val="24"/>
          <w:lang w:val="en-GB"/>
        </w:rPr>
        <w:t xml:space="preserve"> currencies are able to boost countries </w:t>
      </w:r>
      <w:r w:rsidR="00A86DA1">
        <w:rPr>
          <w:rFonts w:ascii="Times New Roman" w:hAnsi="Times New Roman" w:cs="Times New Roman"/>
          <w:sz w:val="24"/>
          <w:szCs w:val="24"/>
          <w:lang w:val="en-GB"/>
        </w:rPr>
        <w:t xml:space="preserve">economic </w:t>
      </w:r>
      <w:r w:rsidR="00A86DA1" w:rsidRPr="00421139">
        <w:rPr>
          <w:rFonts w:ascii="Times New Roman" w:hAnsi="Times New Roman" w:cs="Times New Roman"/>
          <w:sz w:val="24"/>
          <w:szCs w:val="24"/>
          <w:lang w:val="en-GB"/>
        </w:rPr>
        <w:t xml:space="preserve">growth rates and </w:t>
      </w:r>
      <w:r w:rsidR="00A86DA1">
        <w:rPr>
          <w:rFonts w:ascii="Times New Roman" w:hAnsi="Times New Roman" w:cs="Times New Roman"/>
          <w:sz w:val="24"/>
          <w:szCs w:val="24"/>
          <w:lang w:val="en-GB"/>
        </w:rPr>
        <w:t>under</w:t>
      </w:r>
      <w:r w:rsidR="00A86DA1" w:rsidRPr="00421139">
        <w:rPr>
          <w:rFonts w:ascii="Times New Roman" w:hAnsi="Times New Roman" w:cs="Times New Roman"/>
          <w:sz w:val="24"/>
          <w:szCs w:val="24"/>
          <w:lang w:val="en-GB"/>
        </w:rPr>
        <w:t xml:space="preserve"> which con</w:t>
      </w:r>
      <w:r w:rsidR="00A86DA1">
        <w:rPr>
          <w:rFonts w:ascii="Times New Roman" w:hAnsi="Times New Roman" w:cs="Times New Roman"/>
          <w:sz w:val="24"/>
          <w:szCs w:val="24"/>
          <w:lang w:val="en-GB"/>
        </w:rPr>
        <w:t>ditions stronger expansionary devaluation can be observed</w:t>
      </w:r>
      <w:r w:rsidR="00C62C68">
        <w:rPr>
          <w:rFonts w:ascii="Times New Roman" w:hAnsi="Times New Roman" w:cs="Times New Roman"/>
          <w:sz w:val="24"/>
          <w:szCs w:val="24"/>
          <w:lang w:val="en-GB"/>
        </w:rPr>
        <w:t xml:space="preserve"> at different stages of the technological ladder</w:t>
      </w:r>
      <w:r w:rsidR="00A86DA1" w:rsidRPr="00421139">
        <w:rPr>
          <w:rFonts w:ascii="Times New Roman" w:hAnsi="Times New Roman" w:cs="Times New Roman"/>
          <w:sz w:val="24"/>
          <w:szCs w:val="24"/>
          <w:lang w:val="en-GB"/>
        </w:rPr>
        <w:t>.</w:t>
      </w:r>
      <w:r w:rsidR="0092630A">
        <w:rPr>
          <w:rFonts w:ascii="Times New Roman" w:hAnsi="Times New Roman" w:cs="Times New Roman"/>
          <w:sz w:val="24"/>
          <w:szCs w:val="24"/>
          <w:lang w:val="en-GB"/>
        </w:rPr>
        <w:t xml:space="preserve"> Second, the present work also adds to the existing literature by the use of heterogeneous regressions. As far as we know, this is a novel econometric technique within this literature. </w:t>
      </w:r>
      <w:r w:rsidR="00A86DA1" w:rsidRPr="00421139">
        <w:rPr>
          <w:rFonts w:ascii="Times New Roman" w:hAnsi="Times New Roman" w:cs="Times New Roman"/>
          <w:sz w:val="24"/>
          <w:szCs w:val="24"/>
          <w:lang w:val="en-GB"/>
        </w:rPr>
        <w:t xml:space="preserve">Different characteristics, such </w:t>
      </w:r>
      <w:r w:rsidR="00A86DA1">
        <w:rPr>
          <w:rFonts w:ascii="Times New Roman" w:hAnsi="Times New Roman" w:cs="Times New Roman"/>
          <w:sz w:val="24"/>
          <w:szCs w:val="24"/>
          <w:lang w:val="en-GB"/>
        </w:rPr>
        <w:t xml:space="preserve">as level of the </w:t>
      </w:r>
      <w:r w:rsidR="00A86DA1" w:rsidRPr="00421139">
        <w:rPr>
          <w:rFonts w:ascii="Times New Roman" w:hAnsi="Times New Roman" w:cs="Times New Roman"/>
          <w:sz w:val="24"/>
          <w:szCs w:val="24"/>
          <w:lang w:val="en-GB"/>
        </w:rPr>
        <w:t>technological gap</w:t>
      </w:r>
      <w:r w:rsidR="00A86DA1">
        <w:rPr>
          <w:rFonts w:ascii="Times New Roman" w:hAnsi="Times New Roman" w:cs="Times New Roman"/>
          <w:sz w:val="24"/>
          <w:szCs w:val="24"/>
          <w:lang w:val="en-GB"/>
        </w:rPr>
        <w:t xml:space="preserve"> and the degree of outward-orientation</w:t>
      </w:r>
      <w:r w:rsidR="00A86DA1" w:rsidRPr="00421139">
        <w:rPr>
          <w:rFonts w:ascii="Times New Roman" w:hAnsi="Times New Roman" w:cs="Times New Roman"/>
          <w:sz w:val="24"/>
          <w:szCs w:val="24"/>
          <w:lang w:val="en-GB"/>
        </w:rPr>
        <w:t xml:space="preserve"> are </w:t>
      </w:r>
      <w:r w:rsidR="00A86DA1">
        <w:rPr>
          <w:rFonts w:ascii="Times New Roman" w:hAnsi="Times New Roman" w:cs="Times New Roman"/>
          <w:sz w:val="24"/>
          <w:szCs w:val="24"/>
          <w:lang w:val="en-GB"/>
        </w:rPr>
        <w:t>taken into account</w:t>
      </w:r>
      <w:r w:rsidR="00A86DA1" w:rsidRPr="00421139">
        <w:rPr>
          <w:rFonts w:ascii="Times New Roman" w:hAnsi="Times New Roman" w:cs="Times New Roman"/>
          <w:sz w:val="24"/>
          <w:szCs w:val="24"/>
          <w:lang w:val="en-GB"/>
        </w:rPr>
        <w:t xml:space="preserve"> in the estimation of the impact of RER </w:t>
      </w:r>
      <w:r w:rsidR="00A86DA1">
        <w:rPr>
          <w:rFonts w:ascii="Times New Roman" w:hAnsi="Times New Roman" w:cs="Times New Roman"/>
          <w:sz w:val="24"/>
          <w:szCs w:val="24"/>
          <w:lang w:val="en-GB"/>
        </w:rPr>
        <w:t xml:space="preserve">misalignments </w:t>
      </w:r>
      <w:r w:rsidR="00A86DA1" w:rsidRPr="00421139">
        <w:rPr>
          <w:rFonts w:ascii="Times New Roman" w:hAnsi="Times New Roman" w:cs="Times New Roman"/>
          <w:sz w:val="24"/>
          <w:szCs w:val="24"/>
          <w:lang w:val="en-GB"/>
        </w:rPr>
        <w:t>on countries’ growth rate through heterogeneous regressions.</w:t>
      </w:r>
      <w:r w:rsidR="0092630A">
        <w:rPr>
          <w:rFonts w:ascii="Times New Roman" w:hAnsi="Times New Roman" w:cs="Times New Roman"/>
          <w:sz w:val="24"/>
          <w:szCs w:val="24"/>
          <w:lang w:val="en-GB"/>
        </w:rPr>
        <w:t xml:space="preserve"> Standard econometric models cannot fully assess </w:t>
      </w:r>
      <w:r w:rsidR="00362149">
        <w:rPr>
          <w:rFonts w:ascii="Times New Roman" w:hAnsi="Times New Roman" w:cs="Times New Roman"/>
          <w:sz w:val="24"/>
          <w:szCs w:val="24"/>
          <w:lang w:val="en-GB"/>
        </w:rPr>
        <w:t>differences</w:t>
      </w:r>
      <w:r w:rsidR="0092630A">
        <w:rPr>
          <w:rFonts w:ascii="Times New Roman" w:hAnsi="Times New Roman" w:cs="Times New Roman"/>
          <w:sz w:val="24"/>
          <w:szCs w:val="24"/>
          <w:lang w:val="en-GB"/>
        </w:rPr>
        <w:t xml:space="preserve">, if there is any, in the effectiveness of </w:t>
      </w:r>
      <w:r w:rsidR="0092630A">
        <w:rPr>
          <w:rFonts w:ascii="Times New Roman" w:hAnsi="Times New Roman" w:cs="Times New Roman"/>
          <w:sz w:val="24"/>
          <w:szCs w:val="24"/>
          <w:lang w:val="en-GB"/>
        </w:rPr>
        <w:lastRenderedPageBreak/>
        <w:t>expansionary devaluation at different stages of technological development.</w:t>
      </w:r>
      <w:r w:rsidR="00CC1191">
        <w:rPr>
          <w:rFonts w:ascii="Times New Roman" w:hAnsi="Times New Roman" w:cs="Times New Roman"/>
          <w:sz w:val="24"/>
          <w:szCs w:val="24"/>
          <w:lang w:val="en-GB"/>
        </w:rPr>
        <w:t xml:space="preserve"> Third, this work suggests</w:t>
      </w:r>
      <w:r w:rsidR="00362149">
        <w:rPr>
          <w:rFonts w:ascii="Times New Roman" w:hAnsi="Times New Roman" w:cs="Times New Roman"/>
          <w:sz w:val="24"/>
          <w:szCs w:val="24"/>
          <w:lang w:val="en-GB"/>
        </w:rPr>
        <w:t xml:space="preserve"> a brief,</w:t>
      </w:r>
      <w:r w:rsidR="00CC1191">
        <w:rPr>
          <w:rFonts w:ascii="Times New Roman" w:hAnsi="Times New Roman" w:cs="Times New Roman"/>
          <w:sz w:val="24"/>
          <w:szCs w:val="24"/>
          <w:lang w:val="en-GB"/>
        </w:rPr>
        <w:t xml:space="preserve"> alternative theoretical explanation for</w:t>
      </w:r>
      <w:r w:rsidR="00CF143B">
        <w:rPr>
          <w:rFonts w:ascii="Times New Roman" w:hAnsi="Times New Roman" w:cs="Times New Roman"/>
          <w:sz w:val="24"/>
          <w:szCs w:val="24"/>
          <w:lang w:val="en-GB"/>
        </w:rPr>
        <w:t xml:space="preserve"> the argument advanced by </w:t>
      </w:r>
      <w:proofErr w:type="spellStart"/>
      <w:r w:rsidR="00CF143B">
        <w:rPr>
          <w:rFonts w:ascii="Times New Roman" w:hAnsi="Times New Roman" w:cs="Times New Roman"/>
          <w:sz w:val="24"/>
          <w:szCs w:val="24"/>
          <w:lang w:val="en-GB"/>
        </w:rPr>
        <w:t>Rodrik</w:t>
      </w:r>
      <w:proofErr w:type="spellEnd"/>
      <w:r w:rsidR="00CF143B">
        <w:rPr>
          <w:rFonts w:ascii="Times New Roman" w:hAnsi="Times New Roman" w:cs="Times New Roman"/>
          <w:sz w:val="24"/>
          <w:szCs w:val="24"/>
          <w:lang w:val="en-GB"/>
        </w:rPr>
        <w:t xml:space="preserve"> (2008) relative to the differences in the impact of currency devaluation for developed and developing countries.</w:t>
      </w:r>
      <w:r w:rsidR="00CC1191">
        <w:rPr>
          <w:rFonts w:ascii="Times New Roman" w:hAnsi="Times New Roman" w:cs="Times New Roman"/>
          <w:sz w:val="24"/>
          <w:szCs w:val="24"/>
          <w:lang w:val="en-GB"/>
        </w:rPr>
        <w:t xml:space="preserve"> </w:t>
      </w:r>
      <w:r w:rsidR="00A86DA1">
        <w:rPr>
          <w:rFonts w:ascii="Times New Roman" w:hAnsi="Times New Roman" w:cs="Times New Roman"/>
          <w:sz w:val="24"/>
          <w:szCs w:val="24"/>
          <w:lang w:val="en-GB"/>
        </w:rPr>
        <w:t>Through t</w:t>
      </w:r>
      <w:r w:rsidR="00A86DA1" w:rsidRPr="00421139">
        <w:rPr>
          <w:rFonts w:ascii="Times New Roman" w:hAnsi="Times New Roman" w:cs="Times New Roman"/>
          <w:sz w:val="24"/>
          <w:szCs w:val="24"/>
          <w:lang w:val="en-GB"/>
        </w:rPr>
        <w:t xml:space="preserve">his approach is </w:t>
      </w:r>
      <w:r w:rsidR="00A86DA1">
        <w:rPr>
          <w:rFonts w:ascii="Times New Roman" w:hAnsi="Times New Roman" w:cs="Times New Roman"/>
          <w:sz w:val="24"/>
          <w:szCs w:val="24"/>
          <w:lang w:val="en-GB"/>
        </w:rPr>
        <w:t xml:space="preserve">possible </w:t>
      </w:r>
      <w:r w:rsidR="00A86DA1" w:rsidRPr="00421139">
        <w:rPr>
          <w:rFonts w:ascii="Times New Roman" w:hAnsi="Times New Roman" w:cs="Times New Roman"/>
          <w:sz w:val="24"/>
          <w:szCs w:val="24"/>
          <w:lang w:val="en-GB"/>
        </w:rPr>
        <w:t xml:space="preserve">to </w:t>
      </w:r>
      <w:r w:rsidR="00A86DA1">
        <w:rPr>
          <w:rFonts w:ascii="Times New Roman" w:hAnsi="Times New Roman" w:cs="Times New Roman"/>
          <w:sz w:val="24"/>
          <w:szCs w:val="24"/>
          <w:lang w:val="en-GB"/>
        </w:rPr>
        <w:t>provide additional knowledge for monetary authorities of developing countries aiming at making more informed decisions concerning the possible</w:t>
      </w:r>
      <w:r w:rsidR="00A86DA1" w:rsidRPr="00421139">
        <w:rPr>
          <w:rFonts w:ascii="Times New Roman" w:hAnsi="Times New Roman" w:cs="Times New Roman"/>
          <w:sz w:val="24"/>
          <w:szCs w:val="24"/>
          <w:lang w:val="en-GB"/>
        </w:rPr>
        <w:t xml:space="preserve"> </w:t>
      </w:r>
      <w:r w:rsidR="00C62C68">
        <w:rPr>
          <w:rFonts w:ascii="Times New Roman" w:hAnsi="Times New Roman" w:cs="Times New Roman"/>
          <w:sz w:val="24"/>
          <w:szCs w:val="24"/>
          <w:lang w:val="en-GB"/>
        </w:rPr>
        <w:t xml:space="preserve">costs and </w:t>
      </w:r>
      <w:r w:rsidR="00A86DA1" w:rsidRPr="00421139">
        <w:rPr>
          <w:rFonts w:ascii="Times New Roman" w:hAnsi="Times New Roman" w:cs="Times New Roman"/>
          <w:sz w:val="24"/>
          <w:szCs w:val="24"/>
          <w:lang w:val="en-GB"/>
        </w:rPr>
        <w:t>benefit</w:t>
      </w:r>
      <w:r w:rsidR="00A86DA1">
        <w:rPr>
          <w:rFonts w:ascii="Times New Roman" w:hAnsi="Times New Roman" w:cs="Times New Roman"/>
          <w:sz w:val="24"/>
          <w:szCs w:val="24"/>
          <w:lang w:val="en-GB"/>
        </w:rPr>
        <w:t>s</w:t>
      </w:r>
      <w:r w:rsidR="00A86DA1" w:rsidRPr="00421139">
        <w:rPr>
          <w:rFonts w:ascii="Times New Roman" w:hAnsi="Times New Roman" w:cs="Times New Roman"/>
          <w:sz w:val="24"/>
          <w:szCs w:val="24"/>
          <w:lang w:val="en-GB"/>
        </w:rPr>
        <w:t xml:space="preserve"> </w:t>
      </w:r>
      <w:r w:rsidR="00A86DA1">
        <w:rPr>
          <w:rFonts w:ascii="Times New Roman" w:hAnsi="Times New Roman" w:cs="Times New Roman"/>
          <w:sz w:val="24"/>
          <w:szCs w:val="24"/>
          <w:lang w:val="en-GB"/>
        </w:rPr>
        <w:t xml:space="preserve">of devaluation in terms of growth bonus. </w:t>
      </w:r>
    </w:p>
    <w:p w:rsidR="00A86DA1" w:rsidRPr="00421139" w:rsidRDefault="00A86DA1"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The remainder of this paper consists of three other sections</w:t>
      </w:r>
      <w:r w:rsidRPr="00421139">
        <w:rPr>
          <w:rFonts w:ascii="Times New Roman" w:hAnsi="Times New Roman" w:cs="Times New Roman"/>
          <w:sz w:val="24"/>
          <w:szCs w:val="24"/>
          <w:lang w:val="en-GB"/>
        </w:rPr>
        <w:t>. In section</w:t>
      </w:r>
      <w:r w:rsidR="00CC1191">
        <w:rPr>
          <w:rFonts w:ascii="Times New Roman" w:hAnsi="Times New Roman" w:cs="Times New Roman"/>
          <w:sz w:val="24"/>
          <w:szCs w:val="24"/>
          <w:lang w:val="en-GB"/>
        </w:rPr>
        <w:t xml:space="preserve"> 2</w:t>
      </w:r>
      <w:r w:rsidRPr="00421139">
        <w:rPr>
          <w:rFonts w:ascii="Times New Roman" w:hAnsi="Times New Roman" w:cs="Times New Roman"/>
          <w:sz w:val="24"/>
          <w:szCs w:val="24"/>
          <w:lang w:val="en-GB"/>
        </w:rPr>
        <w:t>,</w:t>
      </w:r>
      <w:r w:rsidR="00CC1191">
        <w:rPr>
          <w:rFonts w:ascii="Times New Roman" w:hAnsi="Times New Roman" w:cs="Times New Roman"/>
          <w:sz w:val="24"/>
          <w:szCs w:val="24"/>
          <w:lang w:val="en-GB"/>
        </w:rPr>
        <w:t xml:space="preserve"> we survey the empirical literature and show that heterogeneous regressions have not yet been applied in previous works. Section 3 presents</w:t>
      </w:r>
      <w:r w:rsidRPr="00421139">
        <w:rPr>
          <w:rFonts w:ascii="Times New Roman" w:hAnsi="Times New Roman" w:cs="Times New Roman"/>
          <w:sz w:val="24"/>
          <w:szCs w:val="24"/>
          <w:lang w:val="en-GB"/>
        </w:rPr>
        <w:t xml:space="preserve"> the </w:t>
      </w:r>
      <w:r>
        <w:rPr>
          <w:rFonts w:ascii="Times New Roman" w:hAnsi="Times New Roman" w:cs="Times New Roman"/>
          <w:sz w:val="24"/>
          <w:szCs w:val="24"/>
          <w:lang w:val="en-GB"/>
        </w:rPr>
        <w:t xml:space="preserve">baseline model and its extensions, as well as the estimation technique and the dataset. </w:t>
      </w:r>
      <w:r w:rsidR="00CC1191">
        <w:rPr>
          <w:rFonts w:ascii="Times New Roman" w:hAnsi="Times New Roman" w:cs="Times New Roman"/>
          <w:sz w:val="24"/>
          <w:szCs w:val="24"/>
          <w:lang w:val="en-GB"/>
        </w:rPr>
        <w:t>S</w:t>
      </w:r>
      <w:r>
        <w:rPr>
          <w:rFonts w:ascii="Times New Roman" w:hAnsi="Times New Roman" w:cs="Times New Roman"/>
          <w:sz w:val="24"/>
          <w:szCs w:val="24"/>
          <w:lang w:val="en-GB"/>
        </w:rPr>
        <w:t>ection</w:t>
      </w:r>
      <w:r w:rsidR="00CC1191">
        <w:rPr>
          <w:rFonts w:ascii="Times New Roman" w:hAnsi="Times New Roman" w:cs="Times New Roman"/>
          <w:sz w:val="24"/>
          <w:szCs w:val="24"/>
          <w:lang w:val="en-GB"/>
        </w:rPr>
        <w:t xml:space="preserve"> 4</w:t>
      </w:r>
      <w:r w:rsidRPr="0042113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discusses </w:t>
      </w:r>
      <w:r w:rsidRPr="00421139">
        <w:rPr>
          <w:rFonts w:ascii="Times New Roman" w:hAnsi="Times New Roman" w:cs="Times New Roman"/>
          <w:sz w:val="24"/>
          <w:szCs w:val="24"/>
          <w:lang w:val="en-GB"/>
        </w:rPr>
        <w:t>the results</w:t>
      </w:r>
      <w:r>
        <w:rPr>
          <w:rFonts w:ascii="Times New Roman" w:hAnsi="Times New Roman" w:cs="Times New Roman"/>
          <w:sz w:val="24"/>
          <w:szCs w:val="24"/>
          <w:lang w:val="en-GB"/>
        </w:rPr>
        <w:t>. The last section concludes.</w:t>
      </w:r>
    </w:p>
    <w:p w:rsidR="005F2A9C" w:rsidRPr="005F2A9C" w:rsidRDefault="005F2A9C" w:rsidP="00EA30A5">
      <w:pPr>
        <w:spacing w:line="240" w:lineRule="auto"/>
        <w:jc w:val="both"/>
        <w:rPr>
          <w:rFonts w:ascii="Times New Roman" w:hAnsi="Times New Roman" w:cs="Times New Roman"/>
          <w:sz w:val="24"/>
          <w:szCs w:val="24"/>
          <w:lang w:val="en-GB"/>
        </w:rPr>
      </w:pPr>
    </w:p>
    <w:p w:rsidR="005F2A9C" w:rsidRPr="00EA30A5" w:rsidRDefault="005F2A9C" w:rsidP="00EA30A5">
      <w:pPr>
        <w:pStyle w:val="PargrafodaLista"/>
        <w:numPr>
          <w:ilvl w:val="0"/>
          <w:numId w:val="11"/>
        </w:numPr>
        <w:spacing w:line="240" w:lineRule="auto"/>
        <w:jc w:val="both"/>
        <w:rPr>
          <w:rFonts w:ascii="Times New Roman" w:hAnsi="Times New Roman" w:cs="Times New Roman"/>
          <w:b/>
          <w:sz w:val="24"/>
          <w:szCs w:val="24"/>
          <w:lang w:val="en-GB"/>
        </w:rPr>
      </w:pPr>
      <w:r w:rsidRPr="00EA30A5">
        <w:rPr>
          <w:rFonts w:ascii="Times New Roman" w:hAnsi="Times New Roman" w:cs="Times New Roman"/>
          <w:b/>
          <w:sz w:val="24"/>
          <w:szCs w:val="24"/>
          <w:lang w:val="en-GB"/>
        </w:rPr>
        <w:t>Literature review: a brief overview</w:t>
      </w:r>
    </w:p>
    <w:p w:rsidR="00CF412C" w:rsidRPr="00421139" w:rsidRDefault="00FC4652" w:rsidP="00EA30A5">
      <w:pPr>
        <w:spacing w:line="240" w:lineRule="auto"/>
        <w:jc w:val="both"/>
        <w:rPr>
          <w:rFonts w:ascii="Times New Roman" w:hAnsi="Times New Roman" w:cs="Times New Roman"/>
          <w:sz w:val="24"/>
          <w:szCs w:val="24"/>
          <w:lang w:val="en-GB"/>
        </w:rPr>
      </w:pPr>
      <w:r w:rsidRPr="00421139">
        <w:rPr>
          <w:rFonts w:ascii="Times New Roman" w:hAnsi="Times New Roman" w:cs="Times New Roman"/>
          <w:sz w:val="24"/>
          <w:szCs w:val="24"/>
          <w:lang w:val="en-GB"/>
        </w:rPr>
        <w:t xml:space="preserve">There is a vast empirical literature testing the relationship between real exchange rate (RER) misalignments and </w:t>
      </w:r>
      <w:r w:rsidR="008E39A5">
        <w:rPr>
          <w:rFonts w:ascii="Times New Roman" w:hAnsi="Times New Roman" w:cs="Times New Roman"/>
          <w:sz w:val="24"/>
          <w:szCs w:val="24"/>
          <w:lang w:val="en-GB"/>
        </w:rPr>
        <w:t xml:space="preserve">economic </w:t>
      </w:r>
      <w:r w:rsidRPr="00421139">
        <w:rPr>
          <w:rFonts w:ascii="Times New Roman" w:hAnsi="Times New Roman" w:cs="Times New Roman"/>
          <w:sz w:val="24"/>
          <w:szCs w:val="24"/>
          <w:lang w:val="en-GB"/>
        </w:rPr>
        <w:t xml:space="preserve">growth. </w:t>
      </w:r>
      <w:r w:rsidR="00A47F83">
        <w:rPr>
          <w:rFonts w:ascii="Times New Roman" w:hAnsi="Times New Roman" w:cs="Times New Roman"/>
          <w:sz w:val="24"/>
          <w:szCs w:val="24"/>
          <w:lang w:val="en-GB"/>
        </w:rPr>
        <w:t>Below we</w:t>
      </w:r>
      <w:r w:rsidR="008E39A5">
        <w:rPr>
          <w:rFonts w:ascii="Times New Roman" w:hAnsi="Times New Roman" w:cs="Times New Roman"/>
          <w:sz w:val="24"/>
          <w:szCs w:val="24"/>
          <w:lang w:val="en-GB"/>
        </w:rPr>
        <w:t xml:space="preserve"> </w:t>
      </w:r>
      <w:r w:rsidR="00A47F83">
        <w:rPr>
          <w:rFonts w:ascii="Times New Roman" w:hAnsi="Times New Roman" w:cs="Times New Roman"/>
          <w:sz w:val="24"/>
          <w:szCs w:val="24"/>
          <w:lang w:val="en-GB"/>
        </w:rPr>
        <w:t>cover</w:t>
      </w:r>
      <w:r w:rsidRPr="00421139">
        <w:rPr>
          <w:rFonts w:ascii="Times New Roman" w:hAnsi="Times New Roman" w:cs="Times New Roman"/>
          <w:sz w:val="24"/>
          <w:szCs w:val="24"/>
          <w:lang w:val="en-GB"/>
        </w:rPr>
        <w:t xml:space="preserve"> some of the most relevant papers in this literature by highlighting their data set, econometric techniques and transmission channels through whic</w:t>
      </w:r>
      <w:r w:rsidR="00CF412C" w:rsidRPr="00421139">
        <w:rPr>
          <w:rFonts w:ascii="Times New Roman" w:hAnsi="Times New Roman" w:cs="Times New Roman"/>
          <w:sz w:val="24"/>
          <w:szCs w:val="24"/>
          <w:lang w:val="en-GB"/>
        </w:rPr>
        <w:t>h RER variations affect growth.</w:t>
      </w:r>
    </w:p>
    <w:p w:rsidR="00CF412C" w:rsidRPr="00421139" w:rsidRDefault="00FC4652" w:rsidP="00EA30A5">
      <w:pPr>
        <w:spacing w:line="240" w:lineRule="auto"/>
        <w:ind w:firstLine="284"/>
        <w:jc w:val="both"/>
        <w:rPr>
          <w:rFonts w:ascii="Times New Roman" w:hAnsi="Times New Roman" w:cs="Times New Roman"/>
          <w:sz w:val="24"/>
          <w:szCs w:val="24"/>
          <w:lang w:val="en-GB"/>
        </w:rPr>
      </w:pPr>
      <w:proofErr w:type="spellStart"/>
      <w:r w:rsidRPr="00421139">
        <w:rPr>
          <w:rFonts w:ascii="Times New Roman" w:hAnsi="Times New Roman" w:cs="Times New Roman"/>
          <w:sz w:val="24"/>
          <w:szCs w:val="24"/>
          <w:lang w:val="en-GB"/>
        </w:rPr>
        <w:t>Cottani</w:t>
      </w:r>
      <w:proofErr w:type="spellEnd"/>
      <w:r w:rsidRPr="00421139">
        <w:rPr>
          <w:rFonts w:ascii="Times New Roman" w:hAnsi="Times New Roman" w:cs="Times New Roman"/>
          <w:sz w:val="24"/>
          <w:szCs w:val="24"/>
          <w:lang w:val="en-GB"/>
        </w:rPr>
        <w:t xml:space="preserve"> et al (1990) analyses the effect of RER misalignments on several variables of economic performance such as per capita GDP growth, exports growth, investment rate, incremental capital-output ratio and agriculture growth for 24 less developed countries from 1960 to 1983. The estimation technique is pooled Ordinary Least Squares (OLS) and the economic performance equation are controlled for a measure of exchange rate variability. The authors find a significant negative impact of a RER overvalu</w:t>
      </w:r>
      <w:r w:rsidR="00CF412C" w:rsidRPr="00421139">
        <w:rPr>
          <w:rFonts w:ascii="Times New Roman" w:hAnsi="Times New Roman" w:cs="Times New Roman"/>
          <w:sz w:val="24"/>
          <w:szCs w:val="24"/>
          <w:lang w:val="en-GB"/>
        </w:rPr>
        <w:t>ation on per capita GDP growth.</w:t>
      </w:r>
      <w:r w:rsidR="000E2E89">
        <w:rPr>
          <w:rFonts w:ascii="Times New Roman" w:hAnsi="Times New Roman" w:cs="Times New Roman"/>
          <w:sz w:val="24"/>
          <w:szCs w:val="24"/>
          <w:lang w:val="en-GB"/>
        </w:rPr>
        <w:t xml:space="preserve"> </w:t>
      </w:r>
      <w:r w:rsidRPr="00421139">
        <w:rPr>
          <w:rFonts w:ascii="Times New Roman" w:hAnsi="Times New Roman" w:cs="Times New Roman"/>
          <w:sz w:val="24"/>
          <w:szCs w:val="24"/>
          <w:lang w:val="en-GB"/>
        </w:rPr>
        <w:t xml:space="preserve">Dollar (1992) claims that </w:t>
      </w:r>
      <w:r w:rsidR="001210EF">
        <w:rPr>
          <w:rFonts w:ascii="Times New Roman" w:hAnsi="Times New Roman" w:cs="Times New Roman"/>
          <w:sz w:val="24"/>
          <w:szCs w:val="24"/>
          <w:lang w:val="en-GB"/>
        </w:rPr>
        <w:t>outward-oriented policies and undervalued currency</w:t>
      </w:r>
      <w:r w:rsidRPr="00421139">
        <w:rPr>
          <w:rFonts w:ascii="Times New Roman" w:hAnsi="Times New Roman" w:cs="Times New Roman"/>
          <w:sz w:val="24"/>
          <w:szCs w:val="24"/>
          <w:lang w:val="en-GB"/>
        </w:rPr>
        <w:t xml:space="preserve"> boosted the growth of the Asian countries, whereas Latin America and African countries lagged behind due to inward oriented policies and overvalued RER. A pooled OLS testing the impact of a RER devaluation on per capita GDP growth is carried out for 95 developing countries from 1976 to 1985. He controls the per capita GDP growth for the investment rate and a measure of exchange rate variability and finds a statistically significant relationship bet</w:t>
      </w:r>
      <w:r w:rsidR="00CF412C" w:rsidRPr="00421139">
        <w:rPr>
          <w:rFonts w:ascii="Times New Roman" w:hAnsi="Times New Roman" w:cs="Times New Roman"/>
          <w:sz w:val="24"/>
          <w:szCs w:val="24"/>
          <w:lang w:val="en-GB"/>
        </w:rPr>
        <w:t>ween a devalued RER and growth.</w:t>
      </w:r>
      <w:r w:rsidR="000E2E89">
        <w:rPr>
          <w:rFonts w:ascii="Times New Roman" w:hAnsi="Times New Roman" w:cs="Times New Roman"/>
          <w:sz w:val="24"/>
          <w:szCs w:val="24"/>
          <w:lang w:val="en-GB"/>
        </w:rPr>
        <w:t xml:space="preserve"> </w:t>
      </w:r>
      <w:proofErr w:type="spellStart"/>
      <w:r w:rsidRPr="00421139">
        <w:rPr>
          <w:rFonts w:ascii="Times New Roman" w:hAnsi="Times New Roman" w:cs="Times New Roman"/>
          <w:sz w:val="24"/>
          <w:szCs w:val="24"/>
          <w:lang w:val="en-GB"/>
        </w:rPr>
        <w:t>Ghura</w:t>
      </w:r>
      <w:proofErr w:type="spellEnd"/>
      <w:r w:rsidRPr="00421139">
        <w:rPr>
          <w:rFonts w:ascii="Times New Roman" w:hAnsi="Times New Roman" w:cs="Times New Roman"/>
          <w:sz w:val="24"/>
          <w:szCs w:val="24"/>
          <w:lang w:val="en-GB"/>
        </w:rPr>
        <w:t xml:space="preserve"> and </w:t>
      </w:r>
      <w:proofErr w:type="spellStart"/>
      <w:r w:rsidRPr="00421139">
        <w:rPr>
          <w:rFonts w:ascii="Times New Roman" w:hAnsi="Times New Roman" w:cs="Times New Roman"/>
          <w:sz w:val="24"/>
          <w:szCs w:val="24"/>
          <w:lang w:val="en-GB"/>
        </w:rPr>
        <w:t>Grennes</w:t>
      </w:r>
      <w:proofErr w:type="spellEnd"/>
      <w:r w:rsidRPr="00421139">
        <w:rPr>
          <w:rFonts w:ascii="Times New Roman" w:hAnsi="Times New Roman" w:cs="Times New Roman"/>
          <w:sz w:val="24"/>
          <w:szCs w:val="24"/>
          <w:lang w:val="en-GB"/>
        </w:rPr>
        <w:t xml:space="preserve"> (1993) use a sample of 33 sub-Saharan African countries over the period 1972–1987 to estimate the impact of </w:t>
      </w:r>
      <w:r w:rsidR="000E2E89" w:rsidRPr="00421139">
        <w:rPr>
          <w:rFonts w:ascii="Times New Roman" w:hAnsi="Times New Roman" w:cs="Times New Roman"/>
          <w:sz w:val="24"/>
          <w:szCs w:val="24"/>
          <w:lang w:val="en-GB"/>
        </w:rPr>
        <w:t>RER</w:t>
      </w:r>
      <w:r w:rsidRPr="00421139">
        <w:rPr>
          <w:rFonts w:ascii="Times New Roman" w:hAnsi="Times New Roman" w:cs="Times New Roman"/>
          <w:sz w:val="24"/>
          <w:szCs w:val="24"/>
          <w:lang w:val="en-GB"/>
        </w:rPr>
        <w:t xml:space="preserve"> devaluation on economic growth and investments, amongst other measures of economic performance such as exports, imports and savings. They use pooled OLS and Instrumental Variables (IV) to regress these variables against alternative measures of RER misalignment. By using the investment rate, population growth and terms of trade growth as control variables, they find significant negative effects of a RER devalua</w:t>
      </w:r>
      <w:r w:rsidR="00CF412C" w:rsidRPr="00421139">
        <w:rPr>
          <w:rFonts w:ascii="Times New Roman" w:hAnsi="Times New Roman" w:cs="Times New Roman"/>
          <w:sz w:val="24"/>
          <w:szCs w:val="24"/>
          <w:lang w:val="en-GB"/>
        </w:rPr>
        <w:t>tion on growth and investments.</w:t>
      </w:r>
      <w:r w:rsidR="000E2E89">
        <w:rPr>
          <w:rFonts w:ascii="Times New Roman" w:hAnsi="Times New Roman" w:cs="Times New Roman"/>
          <w:sz w:val="24"/>
          <w:szCs w:val="24"/>
          <w:lang w:val="en-GB"/>
        </w:rPr>
        <w:t xml:space="preserve"> </w:t>
      </w:r>
      <w:proofErr w:type="spellStart"/>
      <w:r w:rsidRPr="00421139">
        <w:rPr>
          <w:rFonts w:ascii="Times New Roman" w:hAnsi="Times New Roman" w:cs="Times New Roman"/>
          <w:sz w:val="24"/>
          <w:szCs w:val="24"/>
          <w:lang w:val="en-GB"/>
        </w:rPr>
        <w:t>Bleaney</w:t>
      </w:r>
      <w:proofErr w:type="spellEnd"/>
      <w:r w:rsidRPr="00421139">
        <w:rPr>
          <w:rFonts w:ascii="Times New Roman" w:hAnsi="Times New Roman" w:cs="Times New Roman"/>
          <w:sz w:val="24"/>
          <w:szCs w:val="24"/>
          <w:lang w:val="en-GB"/>
        </w:rPr>
        <w:t xml:space="preserve"> and Greenaway (2001) investigated the effects of terms of trade and exchange rate volatility on countries heavily dependent on the exports of primary goods. They also used data from a sample of 14 sub-Saharan African countries from 1980 to 1995 and ran fixed effects panel regressions with IV for investments and GDP growth. After using lagged dependent variables as instruments, terms of trade and RER volatility as control variables, they found that </w:t>
      </w:r>
      <w:r w:rsidR="000E2E89" w:rsidRPr="00421139">
        <w:rPr>
          <w:rFonts w:ascii="Times New Roman" w:hAnsi="Times New Roman" w:cs="Times New Roman"/>
          <w:sz w:val="24"/>
          <w:szCs w:val="24"/>
          <w:lang w:val="en-GB"/>
        </w:rPr>
        <w:t>RER</w:t>
      </w:r>
      <w:r w:rsidRPr="00421139">
        <w:rPr>
          <w:rFonts w:ascii="Times New Roman" w:hAnsi="Times New Roman" w:cs="Times New Roman"/>
          <w:sz w:val="24"/>
          <w:szCs w:val="24"/>
          <w:lang w:val="en-GB"/>
        </w:rPr>
        <w:t xml:space="preserve"> devaluation boosts investments and growth. These conclusions for sub-Saharan African countries are in line with the results found by </w:t>
      </w:r>
      <w:proofErr w:type="spellStart"/>
      <w:r w:rsidRPr="00421139">
        <w:rPr>
          <w:rFonts w:ascii="Times New Roman" w:hAnsi="Times New Roman" w:cs="Times New Roman"/>
          <w:sz w:val="24"/>
          <w:szCs w:val="24"/>
          <w:lang w:val="en-GB"/>
        </w:rPr>
        <w:t>Ghura</w:t>
      </w:r>
      <w:proofErr w:type="spellEnd"/>
      <w:r w:rsidRPr="00421139">
        <w:rPr>
          <w:rFonts w:ascii="Times New Roman" w:hAnsi="Times New Roman" w:cs="Times New Roman"/>
          <w:sz w:val="24"/>
          <w:szCs w:val="24"/>
          <w:lang w:val="en-GB"/>
        </w:rPr>
        <w:t xml:space="preserve"> and </w:t>
      </w:r>
      <w:proofErr w:type="spellStart"/>
      <w:r w:rsidRPr="00421139">
        <w:rPr>
          <w:rFonts w:ascii="Times New Roman" w:hAnsi="Times New Roman" w:cs="Times New Roman"/>
          <w:sz w:val="24"/>
          <w:szCs w:val="24"/>
          <w:lang w:val="en-GB"/>
        </w:rPr>
        <w:t>Grennes</w:t>
      </w:r>
      <w:proofErr w:type="spellEnd"/>
      <w:r w:rsidRPr="00421139">
        <w:rPr>
          <w:rFonts w:ascii="Times New Roman" w:hAnsi="Times New Roman" w:cs="Times New Roman"/>
          <w:sz w:val="24"/>
          <w:szCs w:val="24"/>
          <w:lang w:val="en-GB"/>
        </w:rPr>
        <w:t xml:space="preserve"> (1993) for a previous period. </w:t>
      </w:r>
      <w:proofErr w:type="spellStart"/>
      <w:r w:rsidRPr="00421139">
        <w:rPr>
          <w:rFonts w:ascii="Times New Roman" w:hAnsi="Times New Roman" w:cs="Times New Roman"/>
          <w:sz w:val="24"/>
          <w:szCs w:val="24"/>
          <w:lang w:val="en-GB"/>
        </w:rPr>
        <w:t>Loayza</w:t>
      </w:r>
      <w:proofErr w:type="spellEnd"/>
      <w:r w:rsidRPr="00421139">
        <w:rPr>
          <w:rFonts w:ascii="Times New Roman" w:hAnsi="Times New Roman" w:cs="Times New Roman"/>
          <w:sz w:val="24"/>
          <w:szCs w:val="24"/>
          <w:lang w:val="en-GB"/>
        </w:rPr>
        <w:t xml:space="preserve"> et al (2005) estimated the impact of a RER misalignment on the growth rate of GDP per capita for a sample of 78 countries from 1961-2000. The controls they used are the initial GDP per capita, education, private credit-GDP ratio, a measure for trade openness, government consumption, a proxy for public infrastructure, inflation, GDP volatility, a proxy for systemic banking crises and terms of trade. The estimation technique is the Generalised Method of Moments (GMM) System on the sample based on 5-year </w:t>
      </w:r>
      <w:r w:rsidRPr="00421139">
        <w:rPr>
          <w:rFonts w:ascii="Times New Roman" w:hAnsi="Times New Roman" w:cs="Times New Roman"/>
          <w:sz w:val="24"/>
          <w:szCs w:val="24"/>
          <w:lang w:val="en-GB"/>
        </w:rPr>
        <w:lastRenderedPageBreak/>
        <w:t>averages. It is shown that the overvaluation of the RER has a negative impact o</w:t>
      </w:r>
      <w:r w:rsidR="00F20600" w:rsidRPr="00421139">
        <w:rPr>
          <w:rFonts w:ascii="Times New Roman" w:hAnsi="Times New Roman" w:cs="Times New Roman"/>
          <w:sz w:val="24"/>
          <w:szCs w:val="24"/>
          <w:lang w:val="en-GB"/>
        </w:rPr>
        <w:t>n growth.</w:t>
      </w:r>
      <w:r w:rsidR="000E2E89">
        <w:rPr>
          <w:rFonts w:ascii="Times New Roman" w:hAnsi="Times New Roman" w:cs="Times New Roman"/>
          <w:sz w:val="24"/>
          <w:szCs w:val="24"/>
          <w:lang w:val="en-GB"/>
        </w:rPr>
        <w:t xml:space="preserve"> </w:t>
      </w:r>
      <w:r w:rsidRPr="00421139">
        <w:rPr>
          <w:rFonts w:ascii="Times New Roman" w:hAnsi="Times New Roman" w:cs="Times New Roman"/>
          <w:sz w:val="24"/>
          <w:szCs w:val="24"/>
          <w:lang w:val="en-GB"/>
        </w:rPr>
        <w:t xml:space="preserve">Gala (2007) also presented evidence for the relationship between RER and growth based on a sample of 58 developing countries from 1960-1999. The GMM-System methodology was used and the baseline equation was controlled for initial GDP per capita, initial output gap, human capital, public infrastructure, governance, inflation, terms of trade, and population growth. His results show a positive impact of a currency devaluation and growth. He argues that </w:t>
      </w:r>
      <w:r w:rsidR="000E2E89" w:rsidRPr="00421139">
        <w:rPr>
          <w:rFonts w:ascii="Times New Roman" w:hAnsi="Times New Roman" w:cs="Times New Roman"/>
          <w:sz w:val="24"/>
          <w:szCs w:val="24"/>
          <w:lang w:val="en-GB"/>
        </w:rPr>
        <w:t>RER</w:t>
      </w:r>
      <w:r w:rsidRPr="00421139">
        <w:rPr>
          <w:rFonts w:ascii="Times New Roman" w:hAnsi="Times New Roman" w:cs="Times New Roman"/>
          <w:sz w:val="24"/>
          <w:szCs w:val="24"/>
          <w:lang w:val="en-GB"/>
        </w:rPr>
        <w:t xml:space="preserve"> devaluation increases profit margins by reducing wages, and hence</w:t>
      </w:r>
      <w:r w:rsidR="00CF412C" w:rsidRPr="00421139">
        <w:rPr>
          <w:rFonts w:ascii="Times New Roman" w:hAnsi="Times New Roman" w:cs="Times New Roman"/>
          <w:sz w:val="24"/>
          <w:szCs w:val="24"/>
          <w:lang w:val="en-GB"/>
        </w:rPr>
        <w:t xml:space="preserve"> boosts investments and output.</w:t>
      </w:r>
      <w:r w:rsidR="000E2E89">
        <w:rPr>
          <w:rFonts w:ascii="Times New Roman" w:hAnsi="Times New Roman" w:cs="Times New Roman"/>
          <w:sz w:val="24"/>
          <w:szCs w:val="24"/>
          <w:lang w:val="en-GB"/>
        </w:rPr>
        <w:t xml:space="preserve"> </w:t>
      </w:r>
      <w:r w:rsidR="003857F6">
        <w:rPr>
          <w:rFonts w:ascii="Times New Roman" w:hAnsi="Times New Roman" w:cs="Times New Roman"/>
          <w:sz w:val="24"/>
          <w:szCs w:val="24"/>
          <w:lang w:val="en-GB"/>
        </w:rPr>
        <w:tab/>
      </w:r>
      <w:proofErr w:type="spellStart"/>
      <w:r w:rsidRPr="00421139">
        <w:rPr>
          <w:rFonts w:ascii="Times New Roman" w:hAnsi="Times New Roman" w:cs="Times New Roman"/>
          <w:sz w:val="24"/>
          <w:szCs w:val="24"/>
          <w:lang w:val="en-GB"/>
        </w:rPr>
        <w:t>Rodrik</w:t>
      </w:r>
      <w:proofErr w:type="spellEnd"/>
      <w:r w:rsidRPr="00421139">
        <w:rPr>
          <w:rFonts w:ascii="Times New Roman" w:hAnsi="Times New Roman" w:cs="Times New Roman"/>
          <w:sz w:val="24"/>
          <w:szCs w:val="24"/>
          <w:lang w:val="en-GB"/>
        </w:rPr>
        <w:t xml:space="preserve"> (2008) argues that bad institutions and market failures put a heavier burden on the tradable sector than on the non-tradable sector, and hence </w:t>
      </w:r>
      <w:r w:rsidR="00033593" w:rsidRPr="00421139">
        <w:rPr>
          <w:rFonts w:ascii="Times New Roman" w:hAnsi="Times New Roman" w:cs="Times New Roman"/>
          <w:sz w:val="24"/>
          <w:szCs w:val="24"/>
          <w:lang w:val="en-GB"/>
        </w:rPr>
        <w:t>currency</w:t>
      </w:r>
      <w:r w:rsidRPr="00421139">
        <w:rPr>
          <w:rFonts w:ascii="Times New Roman" w:hAnsi="Times New Roman" w:cs="Times New Roman"/>
          <w:sz w:val="24"/>
          <w:szCs w:val="24"/>
          <w:lang w:val="en-GB"/>
        </w:rPr>
        <w:t xml:space="preserve"> devaluation might be able to correct this distortion on developing countries. He tests the relationship between currency devaluation and growth for 188 countries from 1950 to 2004. He uses fixed-effects panel data and includes in the baseline equation measures for institutional quality, government consumption, terms of trade, inflation, human capital, and saving rates. He also estimates the equation with the GMM-System. His findings support the claim that </w:t>
      </w:r>
      <w:r w:rsidR="00033593" w:rsidRPr="00421139">
        <w:rPr>
          <w:rFonts w:ascii="Times New Roman" w:hAnsi="Times New Roman" w:cs="Times New Roman"/>
          <w:sz w:val="24"/>
          <w:szCs w:val="24"/>
          <w:lang w:val="en-GB"/>
        </w:rPr>
        <w:t>RER</w:t>
      </w:r>
      <w:r w:rsidRPr="00421139">
        <w:rPr>
          <w:rFonts w:ascii="Times New Roman" w:hAnsi="Times New Roman" w:cs="Times New Roman"/>
          <w:sz w:val="24"/>
          <w:szCs w:val="24"/>
          <w:lang w:val="en-GB"/>
        </w:rPr>
        <w:t xml:space="preserve"> devaluation boosts growth. Gala and </w:t>
      </w:r>
      <w:proofErr w:type="spellStart"/>
      <w:r w:rsidRPr="00421139">
        <w:rPr>
          <w:rFonts w:ascii="Times New Roman" w:hAnsi="Times New Roman" w:cs="Times New Roman"/>
          <w:sz w:val="24"/>
          <w:szCs w:val="24"/>
          <w:lang w:val="en-GB"/>
        </w:rPr>
        <w:t>Libanio</w:t>
      </w:r>
      <w:proofErr w:type="spellEnd"/>
      <w:r w:rsidRPr="00421139">
        <w:rPr>
          <w:rFonts w:ascii="Times New Roman" w:hAnsi="Times New Roman" w:cs="Times New Roman"/>
          <w:sz w:val="24"/>
          <w:szCs w:val="24"/>
          <w:lang w:val="en-GB"/>
        </w:rPr>
        <w:t xml:space="preserve"> (2010) argue that a competitive currency boosts the manufacturing sector of the economy. Given the presence of increasing returns to scale in the industrial sector, </w:t>
      </w:r>
      <w:r w:rsidR="00033593" w:rsidRPr="00421139">
        <w:rPr>
          <w:rFonts w:ascii="Times New Roman" w:hAnsi="Times New Roman" w:cs="Times New Roman"/>
          <w:sz w:val="24"/>
          <w:szCs w:val="24"/>
          <w:lang w:val="en-GB"/>
        </w:rPr>
        <w:t>currency</w:t>
      </w:r>
      <w:r w:rsidRPr="00421139">
        <w:rPr>
          <w:rFonts w:ascii="Times New Roman" w:hAnsi="Times New Roman" w:cs="Times New Roman"/>
          <w:sz w:val="24"/>
          <w:szCs w:val="24"/>
          <w:lang w:val="en-GB"/>
        </w:rPr>
        <w:t xml:space="preserve"> devaluation helps to generate technological innovation, increases total productivity of the economy and propels the output growth rate. They examined the cases of Indonesia and Chile and suggested that the maintenance of a competitive currency was a key factor to explain the high growth rates of these countries over the 1980s and the 1990s.</w:t>
      </w:r>
      <w:r w:rsidR="000E2E89">
        <w:rPr>
          <w:rFonts w:ascii="Times New Roman" w:hAnsi="Times New Roman" w:cs="Times New Roman"/>
          <w:sz w:val="24"/>
          <w:szCs w:val="24"/>
          <w:lang w:val="en-GB"/>
        </w:rPr>
        <w:t xml:space="preserve"> </w:t>
      </w:r>
      <w:proofErr w:type="spellStart"/>
      <w:r w:rsidRPr="00421139">
        <w:rPr>
          <w:rFonts w:ascii="Times New Roman" w:hAnsi="Times New Roman" w:cs="Times New Roman"/>
          <w:sz w:val="24"/>
          <w:szCs w:val="24"/>
          <w:lang w:val="en-GB"/>
        </w:rPr>
        <w:t>Gluzmann</w:t>
      </w:r>
      <w:proofErr w:type="spellEnd"/>
      <w:r w:rsidRPr="00421139">
        <w:rPr>
          <w:rFonts w:ascii="Times New Roman" w:hAnsi="Times New Roman" w:cs="Times New Roman"/>
          <w:sz w:val="24"/>
          <w:szCs w:val="24"/>
          <w:lang w:val="en-GB"/>
        </w:rPr>
        <w:t xml:space="preserve"> et al (2012) replicate </w:t>
      </w:r>
      <w:proofErr w:type="spellStart"/>
      <w:r w:rsidRPr="00421139">
        <w:rPr>
          <w:rFonts w:ascii="Times New Roman" w:hAnsi="Times New Roman" w:cs="Times New Roman"/>
          <w:sz w:val="24"/>
          <w:szCs w:val="24"/>
          <w:lang w:val="en-GB"/>
        </w:rPr>
        <w:t>Rodrik’s</w:t>
      </w:r>
      <w:proofErr w:type="spellEnd"/>
      <w:r w:rsidRPr="00421139">
        <w:rPr>
          <w:rFonts w:ascii="Times New Roman" w:hAnsi="Times New Roman" w:cs="Times New Roman"/>
          <w:sz w:val="24"/>
          <w:szCs w:val="24"/>
          <w:lang w:val="en-GB"/>
        </w:rPr>
        <w:t xml:space="preserve"> (2008) work and estimate the contribution of an undervalued currency to output growth, consumption, savings, investments, exports and imports. They use a fixed-effects panel analysis with dummies for countries and time periods and also find a positive impact of </w:t>
      </w:r>
      <w:r w:rsidR="00033593" w:rsidRPr="00421139">
        <w:rPr>
          <w:rFonts w:ascii="Times New Roman" w:hAnsi="Times New Roman" w:cs="Times New Roman"/>
          <w:sz w:val="24"/>
          <w:szCs w:val="24"/>
          <w:lang w:val="en-GB"/>
        </w:rPr>
        <w:t>RER</w:t>
      </w:r>
      <w:r w:rsidRPr="00421139">
        <w:rPr>
          <w:rFonts w:ascii="Times New Roman" w:hAnsi="Times New Roman" w:cs="Times New Roman"/>
          <w:sz w:val="24"/>
          <w:szCs w:val="24"/>
          <w:lang w:val="en-GB"/>
        </w:rPr>
        <w:t xml:space="preserve"> devaluation on growth.</w:t>
      </w:r>
      <w:r w:rsidR="000E2E89">
        <w:rPr>
          <w:rFonts w:ascii="Times New Roman" w:hAnsi="Times New Roman" w:cs="Times New Roman"/>
          <w:sz w:val="24"/>
          <w:szCs w:val="24"/>
          <w:lang w:val="en-GB"/>
        </w:rPr>
        <w:t xml:space="preserve"> </w:t>
      </w:r>
      <w:proofErr w:type="spellStart"/>
      <w:r w:rsidRPr="00421139">
        <w:rPr>
          <w:rFonts w:ascii="Times New Roman" w:hAnsi="Times New Roman" w:cs="Times New Roman"/>
          <w:sz w:val="24"/>
          <w:szCs w:val="24"/>
          <w:lang w:val="en-GB"/>
        </w:rPr>
        <w:t>Razmi</w:t>
      </w:r>
      <w:proofErr w:type="spellEnd"/>
      <w:r w:rsidRPr="00421139">
        <w:rPr>
          <w:rFonts w:ascii="Times New Roman" w:hAnsi="Times New Roman" w:cs="Times New Roman"/>
          <w:sz w:val="24"/>
          <w:szCs w:val="24"/>
          <w:lang w:val="en-GB"/>
        </w:rPr>
        <w:t xml:space="preserve"> et al (2012) developed a model where </w:t>
      </w:r>
      <w:r w:rsidR="007B2B19" w:rsidRPr="00421139">
        <w:rPr>
          <w:rFonts w:ascii="Times New Roman" w:hAnsi="Times New Roman" w:cs="Times New Roman"/>
          <w:sz w:val="24"/>
          <w:szCs w:val="24"/>
          <w:lang w:val="en-GB"/>
        </w:rPr>
        <w:t>currency</w:t>
      </w:r>
      <w:r w:rsidRPr="00421139">
        <w:rPr>
          <w:rFonts w:ascii="Times New Roman" w:hAnsi="Times New Roman" w:cs="Times New Roman"/>
          <w:sz w:val="24"/>
          <w:szCs w:val="24"/>
          <w:lang w:val="en-GB"/>
        </w:rPr>
        <w:t xml:space="preserve"> devaluation spurs capital accumulation and growth in developing countries with high levels of underemployment in traditional sectors. For a data set of a maximum of 153 countries over the period 1960-2004, they carried out estimations using OLS and GMM and found a statistical positive relationship between RER devaluation and capital accumulation. Levy-</w:t>
      </w:r>
      <w:proofErr w:type="spellStart"/>
      <w:r w:rsidRPr="00421139">
        <w:rPr>
          <w:rFonts w:ascii="Times New Roman" w:hAnsi="Times New Roman" w:cs="Times New Roman"/>
          <w:sz w:val="24"/>
          <w:szCs w:val="24"/>
          <w:lang w:val="en-GB"/>
        </w:rPr>
        <w:t>Yeyati</w:t>
      </w:r>
      <w:proofErr w:type="spellEnd"/>
      <w:r w:rsidRPr="00421139">
        <w:rPr>
          <w:rFonts w:ascii="Times New Roman" w:hAnsi="Times New Roman" w:cs="Times New Roman"/>
          <w:sz w:val="24"/>
          <w:szCs w:val="24"/>
          <w:lang w:val="en-GB"/>
        </w:rPr>
        <w:t xml:space="preserve"> et al (2013) examined the relationship between RER devaluation and growth as well. Their dataset is constituted by 179 countries from 1974 to 2007 and the estimation technique employed is fixed effects panel regressions. The controls used include the terms of trade, the trade-weighted average of the GDP of the country's trading partners, the ratio of the financial account over GDP as a measure of capital inflows, and dummies for countries and time periods. Their findings support the idea that a currency devaluation boost growth by increasing domestic savings (via reduction of wages) and capital accumulation, rather than promoting export-led growth and import substitution. </w:t>
      </w:r>
      <w:r w:rsidR="003857F6">
        <w:rPr>
          <w:rFonts w:ascii="Times New Roman" w:hAnsi="Times New Roman" w:cs="Times New Roman"/>
          <w:sz w:val="24"/>
          <w:szCs w:val="24"/>
          <w:lang w:val="en-GB"/>
        </w:rPr>
        <w:tab/>
      </w:r>
      <w:r w:rsidRPr="00421139">
        <w:rPr>
          <w:rFonts w:ascii="Times New Roman" w:hAnsi="Times New Roman" w:cs="Times New Roman"/>
          <w:sz w:val="24"/>
          <w:szCs w:val="24"/>
          <w:lang w:val="en-GB"/>
        </w:rPr>
        <w:t>Last</w:t>
      </w:r>
      <w:r w:rsidR="000E2E89">
        <w:rPr>
          <w:rFonts w:ascii="Times New Roman" w:hAnsi="Times New Roman" w:cs="Times New Roman"/>
          <w:sz w:val="24"/>
          <w:szCs w:val="24"/>
          <w:lang w:val="en-GB"/>
        </w:rPr>
        <w:t>ly,</w:t>
      </w:r>
      <w:r w:rsidRPr="00421139">
        <w:rPr>
          <w:rFonts w:ascii="Times New Roman" w:hAnsi="Times New Roman" w:cs="Times New Roman"/>
          <w:sz w:val="24"/>
          <w:szCs w:val="24"/>
          <w:lang w:val="en-GB"/>
        </w:rPr>
        <w:t xml:space="preserve"> </w:t>
      </w:r>
      <w:proofErr w:type="spellStart"/>
      <w:r w:rsidRPr="00421139">
        <w:rPr>
          <w:rFonts w:ascii="Times New Roman" w:hAnsi="Times New Roman" w:cs="Times New Roman"/>
          <w:sz w:val="24"/>
          <w:szCs w:val="24"/>
          <w:lang w:val="en-GB"/>
        </w:rPr>
        <w:t>Vaz</w:t>
      </w:r>
      <w:proofErr w:type="spellEnd"/>
      <w:r w:rsidRPr="00421139">
        <w:rPr>
          <w:rFonts w:ascii="Times New Roman" w:hAnsi="Times New Roman" w:cs="Times New Roman"/>
          <w:sz w:val="24"/>
          <w:szCs w:val="24"/>
          <w:lang w:val="en-GB"/>
        </w:rPr>
        <w:t xml:space="preserve"> and Baer (2014) examine the relationship between RER and growth for 39 countries (8 from Latin America), covering the period 1995-2008. The aim of their study is to evaluate the impact of RER changes on the manufacturing sector in Latin America as opposed to the rest of the sample. They follow </w:t>
      </w:r>
      <w:proofErr w:type="spellStart"/>
      <w:r w:rsidRPr="00421139">
        <w:rPr>
          <w:rFonts w:ascii="Times New Roman" w:hAnsi="Times New Roman" w:cs="Times New Roman"/>
          <w:sz w:val="24"/>
          <w:szCs w:val="24"/>
          <w:lang w:val="en-GB"/>
        </w:rPr>
        <w:t>Rodrik</w:t>
      </w:r>
      <w:proofErr w:type="spellEnd"/>
      <w:r w:rsidRPr="00421139">
        <w:rPr>
          <w:rFonts w:ascii="Times New Roman" w:hAnsi="Times New Roman" w:cs="Times New Roman"/>
          <w:sz w:val="24"/>
          <w:szCs w:val="24"/>
          <w:lang w:val="en-GB"/>
        </w:rPr>
        <w:t xml:space="preserve"> (2008) so that their results can be compared to the literature; however, they employ a fixed-effect panel analysis, as they consider that it is unlikely that the output of a given sector can determine the exchange rate. After including controls in the baseline model such as the openness degree, consumption and investment rates, they found that a RER devaluation boosts growth. They also conclude that manufacturing sectors in Latin America have been more affected by currency over or undervaluation. </w:t>
      </w:r>
    </w:p>
    <w:p w:rsidR="00CF412C" w:rsidRDefault="00FC4652" w:rsidP="00EA30A5">
      <w:pPr>
        <w:spacing w:line="240" w:lineRule="auto"/>
        <w:ind w:firstLine="284"/>
        <w:jc w:val="both"/>
        <w:rPr>
          <w:rFonts w:ascii="Times New Roman" w:hAnsi="Times New Roman" w:cs="Times New Roman"/>
          <w:sz w:val="24"/>
          <w:szCs w:val="24"/>
          <w:lang w:val="en-GB"/>
        </w:rPr>
      </w:pPr>
      <w:r w:rsidRPr="00421139">
        <w:rPr>
          <w:rFonts w:ascii="Times New Roman" w:hAnsi="Times New Roman" w:cs="Times New Roman"/>
          <w:sz w:val="24"/>
          <w:szCs w:val="24"/>
          <w:lang w:val="en-GB"/>
        </w:rPr>
        <w:t xml:space="preserve">All the works cited above assume a linear effect of RER misalignments on growth. However, a more recent literature cast some doubts on this direct relationship between RER and growth by incorporating non-linearities in the previous models. Using data from 60 countries over the 1965-2003 period, Aguirre and Calderon (2005) identify a non-linear effect of a RER misalignment on growth. The GMM-System technique is employed to estimate the parameters of interest. By using the initial GDP per capita, a proxy for human capital, private credit-GDP ratio, </w:t>
      </w:r>
      <w:r w:rsidRPr="00421139">
        <w:rPr>
          <w:rFonts w:ascii="Times New Roman" w:hAnsi="Times New Roman" w:cs="Times New Roman"/>
          <w:sz w:val="24"/>
          <w:szCs w:val="24"/>
          <w:lang w:val="en-GB"/>
        </w:rPr>
        <w:lastRenderedPageBreak/>
        <w:t>a proxy for trade openness, inflation rate, a measure of currency crises, and terms of trade as control variables, they find that a small-to medium undervaluation spurs growth, whereas a sufficiently large undervaluation harms growth.</w:t>
      </w:r>
      <w:r w:rsidR="003857F6">
        <w:rPr>
          <w:rFonts w:ascii="Times New Roman" w:hAnsi="Times New Roman" w:cs="Times New Roman"/>
          <w:sz w:val="24"/>
          <w:szCs w:val="24"/>
          <w:lang w:val="en-GB"/>
        </w:rPr>
        <w:tab/>
      </w:r>
      <w:proofErr w:type="spellStart"/>
      <w:r w:rsidRPr="00421139">
        <w:rPr>
          <w:rFonts w:ascii="Times New Roman" w:hAnsi="Times New Roman" w:cs="Times New Roman"/>
          <w:sz w:val="24"/>
          <w:szCs w:val="24"/>
          <w:lang w:val="en-GB"/>
        </w:rPr>
        <w:t>Nouira</w:t>
      </w:r>
      <w:proofErr w:type="spellEnd"/>
      <w:r w:rsidRPr="00421139">
        <w:rPr>
          <w:rFonts w:ascii="Times New Roman" w:hAnsi="Times New Roman" w:cs="Times New Roman"/>
          <w:sz w:val="24"/>
          <w:szCs w:val="24"/>
          <w:lang w:val="en-GB"/>
        </w:rPr>
        <w:t xml:space="preserve"> and </w:t>
      </w:r>
      <w:proofErr w:type="spellStart"/>
      <w:r w:rsidRPr="00421139">
        <w:rPr>
          <w:rFonts w:ascii="Times New Roman" w:hAnsi="Times New Roman" w:cs="Times New Roman"/>
          <w:sz w:val="24"/>
          <w:szCs w:val="24"/>
          <w:lang w:val="en-GB"/>
        </w:rPr>
        <w:t>Sekkat</w:t>
      </w:r>
      <w:proofErr w:type="spellEnd"/>
      <w:r w:rsidRPr="00421139">
        <w:rPr>
          <w:rFonts w:ascii="Times New Roman" w:hAnsi="Times New Roman" w:cs="Times New Roman"/>
          <w:sz w:val="24"/>
          <w:szCs w:val="24"/>
          <w:lang w:val="en-GB"/>
        </w:rPr>
        <w:t xml:space="preserve"> (2012) use a panel of 30-50 countries over the period 1980-2005 to estimate the relationship between RER misalignment and growth. Three methods of estimation were used, namely, OLS, GMM and Panel Cointegration. They also used as explanatory variables the investment rate, school enrolment and population growth. They analyse separately the impacts of an overvaluation and an undervaluation on growth. Their results show that an undervaluation has no statistical effect on growth while an overvaluation might have an impact on growth.</w:t>
      </w:r>
      <w:r w:rsidR="000E2E89">
        <w:rPr>
          <w:rFonts w:ascii="Times New Roman" w:hAnsi="Times New Roman" w:cs="Times New Roman"/>
          <w:sz w:val="24"/>
          <w:szCs w:val="24"/>
          <w:lang w:val="en-GB"/>
        </w:rPr>
        <w:t xml:space="preserve"> </w:t>
      </w:r>
      <w:r w:rsidR="003857F6">
        <w:rPr>
          <w:rFonts w:ascii="Times New Roman" w:hAnsi="Times New Roman" w:cs="Times New Roman"/>
          <w:sz w:val="24"/>
          <w:szCs w:val="24"/>
          <w:lang w:val="en-GB"/>
        </w:rPr>
        <w:tab/>
      </w:r>
      <w:r w:rsidRPr="00421139">
        <w:rPr>
          <w:rFonts w:ascii="Times New Roman" w:hAnsi="Times New Roman" w:cs="Times New Roman"/>
          <w:sz w:val="24"/>
          <w:szCs w:val="24"/>
          <w:lang w:val="en-GB"/>
        </w:rPr>
        <w:t xml:space="preserve">Schroder (2013) estimates the impact of RER misalignments on growth for 63 developing countries over the period 1970-2007. He employs the GMM-System technique and controls the baseline equation for variables such as initial income, investments, terms of trade, government consumption, net foreign assets position, human capital and rule of law. He also separates RER misalignments in undervaluation and overvaluation variables and concludes that RER distortions of any kind have a negative impact on growth. </w:t>
      </w:r>
      <w:r w:rsidR="000E2E89">
        <w:rPr>
          <w:rFonts w:ascii="Times New Roman" w:hAnsi="Times New Roman" w:cs="Times New Roman"/>
          <w:sz w:val="24"/>
          <w:szCs w:val="24"/>
          <w:lang w:val="en-GB"/>
        </w:rPr>
        <w:t>And finally</w:t>
      </w:r>
      <w:r w:rsidRPr="00421139">
        <w:rPr>
          <w:rFonts w:ascii="Times New Roman" w:hAnsi="Times New Roman" w:cs="Times New Roman"/>
          <w:sz w:val="24"/>
          <w:szCs w:val="24"/>
          <w:lang w:val="en-GB"/>
        </w:rPr>
        <w:t xml:space="preserve">, </w:t>
      </w:r>
      <w:proofErr w:type="spellStart"/>
      <w:r w:rsidRPr="00421139">
        <w:rPr>
          <w:rFonts w:ascii="Times New Roman" w:hAnsi="Times New Roman" w:cs="Times New Roman"/>
          <w:sz w:val="24"/>
          <w:szCs w:val="24"/>
          <w:lang w:val="en-GB"/>
        </w:rPr>
        <w:t>Couharde</w:t>
      </w:r>
      <w:proofErr w:type="spellEnd"/>
      <w:r w:rsidRPr="00421139">
        <w:rPr>
          <w:rFonts w:ascii="Times New Roman" w:hAnsi="Times New Roman" w:cs="Times New Roman"/>
          <w:sz w:val="24"/>
          <w:szCs w:val="24"/>
          <w:lang w:val="en-GB"/>
        </w:rPr>
        <w:t xml:space="preserve"> and </w:t>
      </w:r>
      <w:proofErr w:type="spellStart"/>
      <w:r w:rsidRPr="00421139">
        <w:rPr>
          <w:rFonts w:ascii="Times New Roman" w:hAnsi="Times New Roman" w:cs="Times New Roman"/>
          <w:sz w:val="24"/>
          <w:szCs w:val="24"/>
          <w:lang w:val="en-GB"/>
        </w:rPr>
        <w:t>Sallenave</w:t>
      </w:r>
      <w:proofErr w:type="spellEnd"/>
      <w:r w:rsidRPr="00421139">
        <w:rPr>
          <w:rFonts w:ascii="Times New Roman" w:hAnsi="Times New Roman" w:cs="Times New Roman"/>
          <w:sz w:val="24"/>
          <w:szCs w:val="24"/>
          <w:lang w:val="en-GB"/>
        </w:rPr>
        <w:t xml:space="preserve"> (2013) also identify a non-linear impact of a currency devaluation on growth. Their sample constitutes of 25 countries over the period 1980-2009. They implement a panel smooth transition regression methodology to estima</w:t>
      </w:r>
      <w:r w:rsidR="00CC1191">
        <w:rPr>
          <w:rFonts w:ascii="Times New Roman" w:hAnsi="Times New Roman" w:cs="Times New Roman"/>
          <w:sz w:val="24"/>
          <w:szCs w:val="24"/>
          <w:lang w:val="en-GB"/>
        </w:rPr>
        <w:t xml:space="preserve">te the threshold beyond which </w:t>
      </w:r>
      <w:r w:rsidRPr="00421139">
        <w:rPr>
          <w:rFonts w:ascii="Times New Roman" w:hAnsi="Times New Roman" w:cs="Times New Roman"/>
          <w:sz w:val="24"/>
          <w:szCs w:val="24"/>
          <w:lang w:val="en-GB"/>
        </w:rPr>
        <w:t xml:space="preserve">currency devaluation reduces growth. After controlling for the initial GDP, investments, inflation and the degree of openness, their results show that any devaluation beyond 19.65% impacts the growth rate negatively. </w:t>
      </w:r>
    </w:p>
    <w:p w:rsidR="00CC1191" w:rsidRPr="00421139" w:rsidRDefault="006C5350"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Hence, it can be observed that none of the works aforementioned have conducted an empirical analysis of the correlation between RER and growth through the use of heterogeneous regressions. In the next section this novel econometric technique is described, as well as its application to the assessment of the effectiveness of expansionary devaluation on growth at different stages of technological development.</w:t>
      </w:r>
    </w:p>
    <w:p w:rsidR="00A47F83" w:rsidRPr="00C7149E" w:rsidRDefault="00A47F83" w:rsidP="00EA30A5">
      <w:pPr>
        <w:spacing w:line="240" w:lineRule="auto"/>
        <w:ind w:firstLine="284"/>
        <w:jc w:val="both"/>
        <w:rPr>
          <w:rFonts w:ascii="Times New Roman" w:hAnsi="Times New Roman" w:cs="Times New Roman"/>
          <w:sz w:val="24"/>
          <w:szCs w:val="24"/>
          <w:lang w:val="en-GB"/>
        </w:rPr>
      </w:pPr>
    </w:p>
    <w:p w:rsidR="00CF412C" w:rsidRPr="00421139" w:rsidRDefault="00E82F51" w:rsidP="00EA30A5">
      <w:pPr>
        <w:pStyle w:val="PargrafodaLista"/>
        <w:numPr>
          <w:ilvl w:val="0"/>
          <w:numId w:val="11"/>
        </w:numPr>
        <w:spacing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The model</w:t>
      </w:r>
    </w:p>
    <w:p w:rsidR="00EF355A" w:rsidRPr="00421139" w:rsidRDefault="00EF355A" w:rsidP="00EA30A5">
      <w:pPr>
        <w:pStyle w:val="PargrafodaLista"/>
        <w:spacing w:line="240" w:lineRule="auto"/>
        <w:jc w:val="both"/>
        <w:rPr>
          <w:rFonts w:ascii="Times New Roman" w:hAnsi="Times New Roman" w:cs="Times New Roman"/>
          <w:b/>
          <w:sz w:val="24"/>
          <w:szCs w:val="24"/>
          <w:lang w:val="en-GB"/>
        </w:rPr>
      </w:pPr>
    </w:p>
    <w:p w:rsidR="00EF355A" w:rsidRPr="00C7149E" w:rsidRDefault="00EF355A" w:rsidP="00EA30A5">
      <w:pPr>
        <w:pStyle w:val="PargrafodaLista"/>
        <w:numPr>
          <w:ilvl w:val="1"/>
          <w:numId w:val="11"/>
        </w:numPr>
        <w:spacing w:line="240" w:lineRule="auto"/>
        <w:jc w:val="both"/>
        <w:rPr>
          <w:rFonts w:ascii="Times New Roman" w:hAnsi="Times New Roman" w:cs="Times New Roman"/>
          <w:b/>
          <w:i/>
          <w:sz w:val="24"/>
          <w:szCs w:val="24"/>
          <w:lang w:val="en-GB"/>
        </w:rPr>
      </w:pPr>
      <w:r w:rsidRPr="00C7149E">
        <w:rPr>
          <w:rFonts w:ascii="Times New Roman" w:hAnsi="Times New Roman" w:cs="Times New Roman"/>
          <w:b/>
          <w:i/>
          <w:sz w:val="24"/>
          <w:szCs w:val="24"/>
          <w:lang w:val="en-GB"/>
        </w:rPr>
        <w:t xml:space="preserve"> The baseline model</w:t>
      </w:r>
    </w:p>
    <w:p w:rsidR="00400340" w:rsidRPr="00421139" w:rsidRDefault="006D7314" w:rsidP="00EA30A5">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begin with, let us define the RER</w:t>
      </w:r>
      <w:r w:rsidR="00F844A4" w:rsidRPr="00421139">
        <w:rPr>
          <w:rFonts w:ascii="Times New Roman" w:hAnsi="Times New Roman" w:cs="Times New Roman"/>
          <w:sz w:val="24"/>
          <w:szCs w:val="24"/>
          <w:lang w:val="en-GB"/>
        </w:rPr>
        <w:t xml:space="preserve"> misalignment</w:t>
      </w:r>
      <w:r>
        <w:rPr>
          <w:rFonts w:ascii="Times New Roman" w:hAnsi="Times New Roman" w:cs="Times New Roman"/>
          <w:sz w:val="24"/>
          <w:szCs w:val="24"/>
          <w:lang w:val="en-GB"/>
        </w:rPr>
        <w:t xml:space="preserve"> measurement employed in the present work</w:t>
      </w:r>
      <w:r w:rsidR="00F844A4" w:rsidRPr="00421139">
        <w:rPr>
          <w:rFonts w:ascii="Times New Roman" w:hAnsi="Times New Roman" w:cs="Times New Roman"/>
          <w:sz w:val="24"/>
          <w:szCs w:val="24"/>
          <w:lang w:val="en-GB"/>
        </w:rPr>
        <w:t xml:space="preserve">. The RER is </w:t>
      </w:r>
      <w:r w:rsidR="003855E8">
        <w:rPr>
          <w:rFonts w:ascii="Times New Roman" w:hAnsi="Times New Roman" w:cs="Times New Roman"/>
          <w:sz w:val="24"/>
          <w:szCs w:val="24"/>
          <w:lang w:val="en-GB"/>
        </w:rPr>
        <w:t xml:space="preserve">given by the foreign </w:t>
      </w:r>
      <w:r w:rsidR="003855E8" w:rsidRPr="00421139">
        <w:rPr>
          <w:rFonts w:ascii="Times New Roman" w:hAnsi="Times New Roman" w:cs="Times New Roman"/>
          <w:sz w:val="24"/>
          <w:szCs w:val="24"/>
          <w:lang w:val="en-GB"/>
        </w:rPr>
        <w:t>price level</w:t>
      </w:r>
      <w:r w:rsidR="003855E8">
        <w:rPr>
          <w:rFonts w:ascii="Times New Roman" w:hAnsi="Times New Roman" w:cs="Times New Roman"/>
          <w:sz w:val="24"/>
          <w:szCs w:val="24"/>
          <w:lang w:val="en-GB"/>
        </w:rPr>
        <w:t xml:space="preserve"> in terms of domestic currency divided by</w:t>
      </w:r>
      <w:r w:rsidR="003855E8" w:rsidRPr="00421139">
        <w:rPr>
          <w:rFonts w:ascii="Times New Roman" w:hAnsi="Times New Roman" w:cs="Times New Roman"/>
          <w:sz w:val="24"/>
          <w:szCs w:val="24"/>
          <w:lang w:val="en-GB"/>
        </w:rPr>
        <w:t xml:space="preserve"> </w:t>
      </w:r>
      <w:r w:rsidR="00F844A4" w:rsidRPr="00421139">
        <w:rPr>
          <w:rFonts w:ascii="Times New Roman" w:hAnsi="Times New Roman" w:cs="Times New Roman"/>
          <w:sz w:val="24"/>
          <w:szCs w:val="24"/>
          <w:lang w:val="en-GB"/>
        </w:rPr>
        <w:t>the domestic price</w:t>
      </w:r>
      <w:r w:rsidR="00AE0A96">
        <w:rPr>
          <w:rFonts w:ascii="Times New Roman" w:hAnsi="Times New Roman" w:cs="Times New Roman"/>
          <w:sz w:val="24"/>
          <w:szCs w:val="24"/>
          <w:lang w:val="en-GB"/>
        </w:rPr>
        <w:t xml:space="preserve"> level</w:t>
      </w:r>
      <w:r w:rsidR="00F844A4" w:rsidRPr="00421139">
        <w:rPr>
          <w:rFonts w:ascii="Times New Roman" w:hAnsi="Times New Roman" w:cs="Times New Roman"/>
          <w:sz w:val="24"/>
          <w:szCs w:val="24"/>
          <w:lang w:val="en-GB"/>
        </w:rPr>
        <w:t xml:space="preserve">. It can be </w:t>
      </w:r>
      <w:r w:rsidR="003855E8">
        <w:rPr>
          <w:rFonts w:ascii="Times New Roman" w:hAnsi="Times New Roman" w:cs="Times New Roman"/>
          <w:sz w:val="24"/>
          <w:szCs w:val="24"/>
          <w:lang w:val="en-GB"/>
        </w:rPr>
        <w:t>computed as the ratio of</w:t>
      </w:r>
      <w:r w:rsidR="00F844A4" w:rsidRPr="00421139">
        <w:rPr>
          <w:rFonts w:ascii="Times New Roman" w:hAnsi="Times New Roman" w:cs="Times New Roman"/>
          <w:sz w:val="24"/>
          <w:szCs w:val="24"/>
          <w:lang w:val="en-GB"/>
        </w:rPr>
        <w:t xml:space="preserve"> the nominal exchange rate (NER) </w:t>
      </w:r>
      <w:r w:rsidR="003855E8">
        <w:rPr>
          <w:rFonts w:ascii="Times New Roman" w:hAnsi="Times New Roman" w:cs="Times New Roman"/>
          <w:sz w:val="24"/>
          <w:szCs w:val="24"/>
          <w:lang w:val="en-GB"/>
        </w:rPr>
        <w:t xml:space="preserve">to the </w:t>
      </w:r>
      <w:r w:rsidR="00F844A4" w:rsidRPr="00421139">
        <w:rPr>
          <w:rFonts w:ascii="Times New Roman" w:hAnsi="Times New Roman" w:cs="Times New Roman"/>
          <w:sz w:val="24"/>
          <w:szCs w:val="24"/>
          <w:lang w:val="en-GB"/>
        </w:rPr>
        <w:t>Purchasing Power Parity (PPP)</w:t>
      </w:r>
      <w:r w:rsidR="003855E8">
        <w:rPr>
          <w:rFonts w:ascii="Times New Roman" w:hAnsi="Times New Roman" w:cs="Times New Roman"/>
          <w:sz w:val="24"/>
          <w:szCs w:val="24"/>
          <w:lang w:val="en-GB"/>
        </w:rPr>
        <w:t xml:space="preserve"> of the country</w:t>
      </w:r>
      <w:r w:rsidR="00F844A4" w:rsidRPr="00421139">
        <w:rPr>
          <w:rFonts w:ascii="Times New Roman" w:hAnsi="Times New Roman" w:cs="Times New Roman"/>
          <w:sz w:val="24"/>
          <w:szCs w:val="24"/>
          <w:lang w:val="en-GB"/>
        </w:rPr>
        <w:t>, as follow:</w:t>
      </w:r>
    </w:p>
    <w:p w:rsidR="00400340" w:rsidRPr="00421139" w:rsidRDefault="00F54CFA" w:rsidP="00EA30A5">
      <w:pPr>
        <w:spacing w:line="24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m:oMath>
        <m:r>
          <w:rPr>
            <w:rFonts w:ascii="Cambria Math" w:hAnsi="Cambria Math" w:cs="Times New Roman"/>
            <w:sz w:val="24"/>
            <w:szCs w:val="24"/>
            <w:lang w:val="en-GB"/>
          </w:rPr>
          <m:t>RE</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f>
          <m:fPr>
            <m:type m:val="lin"/>
            <m:ctrlPr>
              <w:rPr>
                <w:rFonts w:ascii="Cambria Math" w:hAnsi="Cambria Math" w:cs="Times New Roman"/>
                <w:i/>
                <w:sz w:val="24"/>
                <w:szCs w:val="24"/>
                <w:lang w:val="en-GB"/>
              </w:rPr>
            </m:ctrlPr>
          </m:fPr>
          <m:num>
            <m:r>
              <w:rPr>
                <w:rFonts w:ascii="Cambria Math" w:hAnsi="Cambria Math" w:cs="Times New Roman"/>
                <w:sz w:val="24"/>
                <w:szCs w:val="24"/>
                <w:lang w:val="en-GB"/>
              </w:rPr>
              <m:t>NE</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num>
          <m:den>
            <m:r>
              <w:rPr>
                <w:rFonts w:ascii="Cambria Math" w:hAnsi="Cambria Math" w:cs="Times New Roman"/>
                <w:sz w:val="24"/>
                <w:szCs w:val="24"/>
                <w:lang w:val="en-GB"/>
              </w:rPr>
              <m:t>PP</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it</m:t>
                </m:r>
              </m:sub>
            </m:sSub>
          </m:den>
        </m:f>
        <m:r>
          <w:rPr>
            <w:rFonts w:ascii="Cambria Math" w:hAnsi="Cambria Math" w:cs="Times New Roman"/>
            <w:sz w:val="24"/>
            <w:szCs w:val="24"/>
            <w:lang w:val="en-GB"/>
          </w:rPr>
          <m:t xml:space="preserve">                                                             (1)</m:t>
        </m:r>
      </m:oMath>
      <w:r w:rsidR="00D73B2E">
        <w:rPr>
          <w:rFonts w:ascii="Times New Roman" w:hAnsi="Times New Roman" w:cs="Times New Roman"/>
          <w:sz w:val="24"/>
          <w:szCs w:val="24"/>
          <w:lang w:val="en-GB"/>
        </w:rPr>
        <w:t xml:space="preserve"> </w:t>
      </w:r>
    </w:p>
    <w:p w:rsidR="00BA4F8E" w:rsidRPr="00421139" w:rsidRDefault="003855E8" w:rsidP="00EA30A5">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where </w:t>
      </w:r>
      <m:oMath>
        <m:r>
          <w:rPr>
            <w:rFonts w:ascii="Cambria Math" w:hAnsi="Cambria Math" w:cs="Times New Roman"/>
            <w:sz w:val="24"/>
            <w:szCs w:val="24"/>
            <w:lang w:val="en-GB"/>
          </w:rPr>
          <m:t>i</m:t>
        </m:r>
      </m:oMath>
      <w:r>
        <w:rPr>
          <w:rFonts w:ascii="Times New Roman" w:hAnsi="Times New Roman" w:cs="Times New Roman"/>
          <w:sz w:val="24"/>
          <w:szCs w:val="24"/>
          <w:lang w:val="en-GB"/>
        </w:rPr>
        <w:t xml:space="preserve"> denotes an index for countries and </w:t>
      </w:r>
      <m:oMath>
        <m:r>
          <w:rPr>
            <w:rFonts w:ascii="Cambria Math" w:hAnsi="Cambria Math" w:cs="Times New Roman"/>
            <w:sz w:val="24"/>
            <w:szCs w:val="24"/>
            <w:lang w:val="en-GB"/>
          </w:rPr>
          <m:t>t</m:t>
        </m:r>
      </m:oMath>
      <w:r>
        <w:rPr>
          <w:rFonts w:ascii="Times New Roman" w:hAnsi="Times New Roman" w:cs="Times New Roman"/>
          <w:sz w:val="24"/>
          <w:szCs w:val="24"/>
          <w:lang w:val="en-GB"/>
        </w:rPr>
        <w:t xml:space="preserve"> for time. </w:t>
      </w:r>
      <w:r w:rsidR="000C381E">
        <w:rPr>
          <w:rFonts w:ascii="Times New Roman" w:hAnsi="Times New Roman" w:cs="Times New Roman"/>
          <w:sz w:val="24"/>
          <w:szCs w:val="24"/>
          <w:lang w:val="en-GB"/>
        </w:rPr>
        <w:t>In other words, if the</w:t>
      </w:r>
      <w:r w:rsidR="00D80FDF">
        <w:rPr>
          <w:rFonts w:ascii="Times New Roman" w:hAnsi="Times New Roman" w:cs="Times New Roman"/>
          <w:sz w:val="24"/>
          <w:szCs w:val="24"/>
          <w:lang w:val="en-GB"/>
        </w:rPr>
        <w:t xml:space="preserve"> </w:t>
      </w:r>
      <w:r>
        <w:rPr>
          <w:rFonts w:ascii="Times New Roman" w:hAnsi="Times New Roman" w:cs="Times New Roman"/>
          <w:sz w:val="24"/>
          <w:szCs w:val="24"/>
          <w:lang w:val="en-GB"/>
        </w:rPr>
        <w:t>RER</w:t>
      </w:r>
      <w:r w:rsidR="000C381E">
        <w:rPr>
          <w:rFonts w:ascii="Times New Roman" w:hAnsi="Times New Roman" w:cs="Times New Roman"/>
          <w:sz w:val="24"/>
          <w:szCs w:val="24"/>
          <w:lang w:val="en-GB"/>
        </w:rPr>
        <w:t xml:space="preserve"> is</w:t>
      </w:r>
      <w:r>
        <w:rPr>
          <w:rFonts w:ascii="Times New Roman" w:hAnsi="Times New Roman" w:cs="Times New Roman"/>
          <w:sz w:val="24"/>
          <w:szCs w:val="24"/>
          <w:lang w:val="en-GB"/>
        </w:rPr>
        <w:t xml:space="preserve"> greater</w:t>
      </w:r>
      <w:r w:rsidR="007C586C">
        <w:rPr>
          <w:rFonts w:ascii="Times New Roman" w:hAnsi="Times New Roman" w:cs="Times New Roman"/>
          <w:sz w:val="24"/>
          <w:szCs w:val="24"/>
          <w:lang w:val="en-GB"/>
        </w:rPr>
        <w:t xml:space="preserve"> (smaller)</w:t>
      </w:r>
      <w:r>
        <w:rPr>
          <w:rFonts w:ascii="Times New Roman" w:hAnsi="Times New Roman" w:cs="Times New Roman"/>
          <w:sz w:val="24"/>
          <w:szCs w:val="24"/>
          <w:lang w:val="en-GB"/>
        </w:rPr>
        <w:t xml:space="preserve"> than one</w:t>
      </w:r>
      <w:r w:rsidR="000C381E">
        <w:rPr>
          <w:rFonts w:ascii="Times New Roman" w:hAnsi="Times New Roman" w:cs="Times New Roman"/>
          <w:sz w:val="24"/>
          <w:szCs w:val="24"/>
          <w:lang w:val="en-GB"/>
        </w:rPr>
        <w:t xml:space="preserve">, than the </w:t>
      </w:r>
      <w:r w:rsidR="007C586C">
        <w:rPr>
          <w:rFonts w:ascii="Times New Roman" w:hAnsi="Times New Roman" w:cs="Times New Roman"/>
          <w:sz w:val="24"/>
          <w:szCs w:val="24"/>
          <w:lang w:val="en-GB"/>
        </w:rPr>
        <w:t xml:space="preserve">value of the </w:t>
      </w:r>
      <w:r w:rsidR="000C381E">
        <w:rPr>
          <w:rFonts w:ascii="Times New Roman" w:hAnsi="Times New Roman" w:cs="Times New Roman"/>
          <w:sz w:val="24"/>
          <w:szCs w:val="24"/>
          <w:lang w:val="en-GB"/>
        </w:rPr>
        <w:t xml:space="preserve">domestic currency is </w:t>
      </w:r>
      <w:r w:rsidR="007C586C">
        <w:rPr>
          <w:rFonts w:ascii="Times New Roman" w:hAnsi="Times New Roman" w:cs="Times New Roman"/>
          <w:sz w:val="24"/>
          <w:szCs w:val="24"/>
          <w:lang w:val="en-GB"/>
        </w:rPr>
        <w:t>lower (higher)</w:t>
      </w:r>
      <w:r>
        <w:rPr>
          <w:rFonts w:ascii="Times New Roman" w:hAnsi="Times New Roman" w:cs="Times New Roman"/>
          <w:sz w:val="24"/>
          <w:szCs w:val="24"/>
          <w:lang w:val="en-GB"/>
        </w:rPr>
        <w:t>.</w:t>
      </w:r>
      <w:r w:rsidR="00D80FDF">
        <w:rPr>
          <w:rFonts w:ascii="Times New Roman" w:hAnsi="Times New Roman" w:cs="Times New Roman"/>
          <w:sz w:val="24"/>
          <w:szCs w:val="24"/>
          <w:lang w:val="en-GB"/>
        </w:rPr>
        <w:t xml:space="preserve"> However, according to the widely known Balassa-Samuelson effect,</w:t>
      </w:r>
      <w:r w:rsidR="000C381E">
        <w:rPr>
          <w:rFonts w:ascii="Times New Roman" w:hAnsi="Times New Roman" w:cs="Times New Roman"/>
          <w:sz w:val="24"/>
          <w:szCs w:val="24"/>
          <w:lang w:val="en-GB"/>
        </w:rPr>
        <w:t xml:space="preserve"> </w:t>
      </w:r>
      <w:r w:rsidR="00D80FDF">
        <w:rPr>
          <w:rFonts w:ascii="Times New Roman" w:hAnsi="Times New Roman" w:cs="Times New Roman"/>
          <w:sz w:val="24"/>
          <w:szCs w:val="24"/>
          <w:lang w:val="en-GB"/>
        </w:rPr>
        <w:t>poorer countries tend to</w:t>
      </w:r>
      <w:r w:rsidR="000C381E">
        <w:rPr>
          <w:rFonts w:ascii="Times New Roman" w:hAnsi="Times New Roman" w:cs="Times New Roman"/>
          <w:sz w:val="24"/>
          <w:szCs w:val="24"/>
          <w:lang w:val="en-GB"/>
        </w:rPr>
        <w:t xml:space="preserve"> have cheaper non-tradable goods and, consequently, higher RER. Hence, a more accurate RER misalignment index must take into account such an effect.</w:t>
      </w:r>
      <w:r w:rsidR="0093726B" w:rsidRPr="00421139">
        <w:rPr>
          <w:rFonts w:ascii="Times New Roman" w:hAnsi="Times New Roman" w:cs="Times New Roman"/>
          <w:sz w:val="24"/>
          <w:szCs w:val="24"/>
          <w:lang w:val="en-GB"/>
        </w:rPr>
        <w:t xml:space="preserve"> </w:t>
      </w:r>
      <w:r w:rsidR="000C381E">
        <w:rPr>
          <w:rFonts w:ascii="Times New Roman" w:hAnsi="Times New Roman" w:cs="Times New Roman"/>
          <w:sz w:val="24"/>
          <w:szCs w:val="24"/>
          <w:lang w:val="en-GB"/>
        </w:rPr>
        <w:t>Drawing upon</w:t>
      </w:r>
      <w:r w:rsidR="0093726B" w:rsidRPr="00421139">
        <w:rPr>
          <w:rFonts w:ascii="Times New Roman" w:hAnsi="Times New Roman" w:cs="Times New Roman"/>
          <w:sz w:val="24"/>
          <w:szCs w:val="24"/>
          <w:lang w:val="en-GB"/>
        </w:rPr>
        <w:t xml:space="preserve"> </w:t>
      </w:r>
      <w:proofErr w:type="spellStart"/>
      <w:r w:rsidR="0093726B" w:rsidRPr="00421139">
        <w:rPr>
          <w:rFonts w:ascii="Times New Roman" w:hAnsi="Times New Roman" w:cs="Times New Roman"/>
          <w:sz w:val="24"/>
          <w:szCs w:val="24"/>
          <w:lang w:val="en-GB"/>
        </w:rPr>
        <w:t>Rodrik</w:t>
      </w:r>
      <w:proofErr w:type="spellEnd"/>
      <w:r w:rsidR="0093726B" w:rsidRPr="00421139">
        <w:rPr>
          <w:rFonts w:ascii="Times New Roman" w:hAnsi="Times New Roman" w:cs="Times New Roman"/>
          <w:sz w:val="24"/>
          <w:szCs w:val="24"/>
          <w:lang w:val="en-GB"/>
        </w:rPr>
        <w:t xml:space="preserve"> (2008),</w:t>
      </w:r>
      <w:r w:rsidR="00EC0005">
        <w:rPr>
          <w:rFonts w:ascii="Times New Roman" w:hAnsi="Times New Roman" w:cs="Times New Roman"/>
          <w:sz w:val="24"/>
          <w:szCs w:val="24"/>
          <w:lang w:val="en-GB"/>
        </w:rPr>
        <w:t xml:space="preserve"> we regress the RER on per-capita GDP (</w:t>
      </w:r>
      <m:oMath>
        <m:r>
          <w:rPr>
            <w:rFonts w:ascii="Cambria Math" w:hAnsi="Cambria Math" w:cs="Times New Roman"/>
            <w:sz w:val="24"/>
            <w:szCs w:val="24"/>
            <w:lang w:val="en-GB"/>
          </w:rPr>
          <m:t>GDPpc</m:t>
        </m:r>
      </m:oMath>
      <w:r w:rsidR="00EC0005">
        <w:rPr>
          <w:rFonts w:ascii="Times New Roman" w:hAnsi="Times New Roman" w:cs="Times New Roman"/>
          <w:sz w:val="24"/>
          <w:szCs w:val="24"/>
          <w:lang w:val="en-GB"/>
        </w:rPr>
        <w:t>) in order to account for the Balassa-Samuelson effect:</w:t>
      </w:r>
    </w:p>
    <w:p w:rsidR="00BA4F8E" w:rsidRPr="00421139" w:rsidRDefault="00F54CFA" w:rsidP="00EA30A5">
      <w:pPr>
        <w:spacing w:line="24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m:oMath>
        <m:func>
          <m:funcPr>
            <m:ctrlPr>
              <w:rPr>
                <w:rFonts w:ascii="Cambria Math" w:hAnsi="Cambria Math" w:cs="Times New Roman"/>
                <w:sz w:val="24"/>
                <w:szCs w:val="24"/>
                <w:lang w:val="en-GB"/>
              </w:rPr>
            </m:ctrlPr>
          </m:funcPr>
          <m:fName>
            <m:r>
              <m:rPr>
                <m:sty m:val="p"/>
              </m:rPr>
              <w:rPr>
                <w:rFonts w:ascii="Cambria Math" w:hAnsi="Cambria Math" w:cs="Times New Roman"/>
                <w:sz w:val="24"/>
                <w:szCs w:val="24"/>
                <w:lang w:val="en-GB"/>
              </w:rPr>
              <m:t>ln</m:t>
            </m:r>
          </m:fName>
          <m:e>
            <m:d>
              <m:dPr>
                <m:ctrlPr>
                  <w:rPr>
                    <w:rFonts w:ascii="Cambria Math" w:hAnsi="Cambria Math" w:cs="Times New Roman"/>
                    <w:i/>
                    <w:sz w:val="24"/>
                    <w:szCs w:val="24"/>
                    <w:lang w:val="en-GB"/>
                  </w:rPr>
                </m:ctrlPr>
              </m:dPr>
              <m:e>
                <m:r>
                  <w:rPr>
                    <w:rFonts w:ascii="Cambria Math" w:hAnsi="Cambria Math" w:cs="Times New Roman"/>
                    <w:sz w:val="24"/>
                    <w:szCs w:val="24"/>
                    <w:lang w:val="en-GB"/>
                  </w:rPr>
                  <m:t>RE</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e>
            </m:d>
            <m:ctrlPr>
              <w:rPr>
                <w:rFonts w:ascii="Cambria Math" w:hAnsi="Cambria Math" w:cs="Times New Roman"/>
                <w:i/>
                <w:sz w:val="24"/>
                <w:szCs w:val="24"/>
                <w:lang w:val="en-GB"/>
              </w:rPr>
            </m:ctrlPr>
          </m:e>
        </m:func>
        <m:r>
          <w:rPr>
            <w:rFonts w:ascii="Cambria Math" w:hAnsi="Cambria Math" w:cs="Times New Roman"/>
            <w:sz w:val="24"/>
            <w:szCs w:val="24"/>
            <w:lang w:val="en-GB"/>
          </w:rPr>
          <m:t xml:space="preserve">=α+β </m:t>
        </m:r>
        <m:func>
          <m:funcPr>
            <m:ctrlPr>
              <w:rPr>
                <w:rFonts w:ascii="Cambria Math" w:hAnsi="Cambria Math" w:cs="Times New Roman"/>
                <w:sz w:val="24"/>
                <w:szCs w:val="24"/>
                <w:lang w:val="en-GB"/>
              </w:rPr>
            </m:ctrlPr>
          </m:funcPr>
          <m:fName>
            <m:r>
              <m:rPr>
                <m:sty m:val="p"/>
              </m:rPr>
              <w:rPr>
                <w:rFonts w:ascii="Cambria Math" w:hAnsi="Cambria Math" w:cs="Times New Roman"/>
                <w:sz w:val="24"/>
                <w:szCs w:val="24"/>
                <w:lang w:val="en-GB"/>
              </w:rPr>
              <m:t>ln</m:t>
            </m:r>
          </m:fName>
          <m:e>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GDPpc</m:t>
                    </m:r>
                  </m:e>
                  <m:sub>
                    <m:r>
                      <w:rPr>
                        <w:rFonts w:ascii="Cambria Math" w:hAnsi="Cambria Math" w:cs="Times New Roman"/>
                        <w:sz w:val="24"/>
                        <w:szCs w:val="24"/>
                        <w:lang w:val="en-GB"/>
                      </w:rPr>
                      <m:t>it</m:t>
                    </m:r>
                  </m:sub>
                </m:sSub>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i</m:t>
                </m:r>
              </m:sub>
            </m:sSub>
            <m:ctrlPr>
              <w:rPr>
                <w:rFonts w:ascii="Cambria Math" w:hAnsi="Cambria Math" w:cs="Times New Roman"/>
                <w:i/>
                <w:sz w:val="24"/>
                <w:szCs w:val="24"/>
                <w:lang w:val="en-GB"/>
              </w:rPr>
            </m:ctrlPr>
          </m:e>
        </m:func>
        <m:r>
          <w:rPr>
            <w:rFonts w:ascii="Cambria Math" w:hAnsi="Cambria Math" w:cs="Times New Roman"/>
            <w:sz w:val="24"/>
            <w:szCs w:val="24"/>
            <w:lang w:val="en-GB"/>
          </w:rPr>
          <m:t xml:space="preserve">                                             (2)</m:t>
        </m:r>
      </m:oMath>
    </w:p>
    <w:p w:rsidR="00BA4F8E" w:rsidRPr="00421139" w:rsidRDefault="00EC0005"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Therefore, the</w:t>
      </w:r>
      <w:r w:rsidRPr="00421139">
        <w:rPr>
          <w:rFonts w:ascii="Times New Roman" w:hAnsi="Times New Roman" w:cs="Times New Roman"/>
          <w:sz w:val="24"/>
          <w:szCs w:val="24"/>
          <w:lang w:val="en-GB"/>
        </w:rPr>
        <w:t xml:space="preserve"> RER undervaluation</w:t>
      </w:r>
      <w:r>
        <w:rPr>
          <w:rFonts w:ascii="Times New Roman" w:hAnsi="Times New Roman" w:cs="Times New Roman"/>
          <w:sz w:val="24"/>
          <w:szCs w:val="24"/>
          <w:lang w:val="en-GB"/>
        </w:rPr>
        <w:t xml:space="preserve"> index</w:t>
      </w:r>
      <w:r w:rsidRPr="00421139">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UNDVAL</m:t>
            </m:r>
          </m:e>
          <m:sub>
            <m:r>
              <w:rPr>
                <w:rFonts w:ascii="Cambria Math" w:hAnsi="Cambria Math" w:cs="Times New Roman"/>
                <w:sz w:val="24"/>
                <w:szCs w:val="24"/>
                <w:lang w:val="en-GB"/>
              </w:rPr>
              <m:t>it</m:t>
            </m:r>
          </m:sub>
        </m:sSub>
      </m:oMath>
      <w:r w:rsidRPr="00421139">
        <w:rPr>
          <w:rFonts w:ascii="Times New Roman" w:hAnsi="Times New Roman" w:cs="Times New Roman"/>
          <w:sz w:val="24"/>
          <w:szCs w:val="24"/>
          <w:lang w:val="en-GB"/>
        </w:rPr>
        <w:t xml:space="preserve">) </w:t>
      </w:r>
      <w:r>
        <w:rPr>
          <w:rFonts w:ascii="Times New Roman" w:hAnsi="Times New Roman" w:cs="Times New Roman"/>
          <w:sz w:val="24"/>
          <w:szCs w:val="24"/>
          <w:lang w:val="en-GB"/>
        </w:rPr>
        <w:t>is</w:t>
      </w:r>
      <w:r w:rsidRPr="00421139">
        <w:rPr>
          <w:rFonts w:ascii="Times New Roman" w:hAnsi="Times New Roman" w:cs="Times New Roman"/>
          <w:sz w:val="24"/>
          <w:szCs w:val="24"/>
          <w:lang w:val="en-GB"/>
        </w:rPr>
        <w:t xml:space="preserve"> </w:t>
      </w:r>
      <w:r>
        <w:rPr>
          <w:rFonts w:ascii="Times New Roman" w:hAnsi="Times New Roman" w:cs="Times New Roman"/>
          <w:sz w:val="24"/>
          <w:szCs w:val="24"/>
          <w:lang w:val="en-GB"/>
        </w:rPr>
        <w:t>given by</w:t>
      </w:r>
      <w:r w:rsidRPr="0042113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difference between the current RER and the </w:t>
      </w:r>
      <w:r w:rsidRPr="00421139">
        <w:rPr>
          <w:rFonts w:ascii="Times New Roman" w:hAnsi="Times New Roman" w:cs="Times New Roman"/>
          <w:sz w:val="24"/>
          <w:szCs w:val="24"/>
          <w:lang w:val="en-GB"/>
        </w:rPr>
        <w:t xml:space="preserve">RER </w:t>
      </w:r>
      <w:r>
        <w:rPr>
          <w:rFonts w:ascii="Times New Roman" w:hAnsi="Times New Roman" w:cs="Times New Roman"/>
          <w:sz w:val="24"/>
          <w:szCs w:val="24"/>
          <w:lang w:val="en-GB"/>
        </w:rPr>
        <w:t>adjusted by the per-</w:t>
      </w:r>
      <w:r w:rsidRPr="00421139">
        <w:rPr>
          <w:rFonts w:ascii="Times New Roman" w:hAnsi="Times New Roman" w:cs="Times New Roman"/>
          <w:sz w:val="24"/>
          <w:szCs w:val="24"/>
          <w:lang w:val="en-GB"/>
        </w:rPr>
        <w:t>capita income level:</w:t>
      </w:r>
    </w:p>
    <w:p w:rsidR="00BA4F8E" w:rsidRPr="00421139" w:rsidRDefault="00F54CFA" w:rsidP="00EA30A5">
      <w:pPr>
        <w:spacing w:line="240" w:lineRule="auto"/>
        <w:jc w:val="right"/>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r>
        <w:rPr>
          <w:rFonts w:ascii="Times New Roman" w:hAnsi="Times New Roman" w:cs="Times New Roman"/>
          <w:sz w:val="24"/>
          <w:szCs w:val="24"/>
          <w:lang w:val="en-GB"/>
        </w:rPr>
        <w:tab/>
      </w:r>
      <w:r>
        <w:rPr>
          <w:rFonts w:ascii="Times New Roman" w:hAnsi="Times New Roman" w:cs="Times New Roman"/>
          <w:sz w:val="24"/>
          <w:szCs w:val="24"/>
          <w:lang w:val="en-GB"/>
        </w:rPr>
        <w:tab/>
      </w:r>
      <m:oMath>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 xml:space="preserve"> ln⁡</m:t>
            </m:r>
            <m:r>
              <w:rPr>
                <w:rFonts w:ascii="Cambria Math" w:hAnsi="Cambria Math" w:cs="Times New Roman"/>
                <w:sz w:val="24"/>
                <w:szCs w:val="24"/>
                <w:lang w:val="en-GB"/>
              </w:rPr>
              <m:t>(UNDVAL</m:t>
            </m:r>
          </m:e>
          <m:sub>
            <m:r>
              <w:rPr>
                <w:rFonts w:ascii="Cambria Math" w:hAnsi="Cambria Math" w:cs="Times New Roman"/>
                <w:sz w:val="24"/>
                <w:szCs w:val="24"/>
                <w:lang w:val="en-GB"/>
              </w:rPr>
              <m:t>it</m:t>
            </m:r>
          </m:sub>
        </m:sSub>
        <m:r>
          <w:rPr>
            <w:rFonts w:ascii="Cambria Math" w:hAnsi="Cambria Math" w:cs="Times New Roman"/>
            <w:sz w:val="24"/>
            <w:szCs w:val="24"/>
            <w:lang w:val="en-GB"/>
          </w:rPr>
          <m:t>)=</m:t>
        </m:r>
        <m:func>
          <m:funcPr>
            <m:ctrlPr>
              <w:rPr>
                <w:rFonts w:ascii="Cambria Math" w:hAnsi="Cambria Math" w:cs="Times New Roman"/>
                <w:sz w:val="24"/>
                <w:szCs w:val="24"/>
                <w:lang w:val="en-GB"/>
              </w:rPr>
            </m:ctrlPr>
          </m:funcPr>
          <m:fName>
            <m:r>
              <m:rPr>
                <m:sty m:val="p"/>
              </m:rPr>
              <w:rPr>
                <w:rFonts w:ascii="Cambria Math" w:hAnsi="Cambria Math" w:cs="Times New Roman"/>
                <w:sz w:val="24"/>
                <w:szCs w:val="24"/>
                <w:lang w:val="en-GB"/>
              </w:rPr>
              <m:t>ln</m:t>
            </m:r>
          </m:fName>
          <m:e>
            <m:d>
              <m:dPr>
                <m:ctrlPr>
                  <w:rPr>
                    <w:rFonts w:ascii="Cambria Math" w:hAnsi="Cambria Math" w:cs="Times New Roman"/>
                    <w:i/>
                    <w:sz w:val="24"/>
                    <w:szCs w:val="24"/>
                    <w:lang w:val="en-GB"/>
                  </w:rPr>
                </m:ctrlPr>
              </m:dPr>
              <m:e>
                <m:r>
                  <w:rPr>
                    <w:rFonts w:ascii="Cambria Math" w:hAnsi="Cambria Math" w:cs="Times New Roman"/>
                    <w:sz w:val="24"/>
                    <w:szCs w:val="24"/>
                    <w:lang w:val="en-GB"/>
                  </w:rPr>
                  <m:t>RE</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e>
            </m:d>
            <m:ctrlPr>
              <w:rPr>
                <w:rFonts w:ascii="Cambria Math" w:hAnsi="Cambria Math" w:cs="Times New Roman"/>
                <w:i/>
                <w:sz w:val="24"/>
                <w:szCs w:val="24"/>
                <w:lang w:val="en-GB"/>
              </w:rPr>
            </m:ctrlPr>
          </m:e>
        </m:func>
        <m:r>
          <w:rPr>
            <w:rFonts w:ascii="Cambria Math" w:hAnsi="Cambria Math" w:cs="Times New Roman"/>
            <w:sz w:val="24"/>
            <w:szCs w:val="24"/>
            <w:lang w:val="en-GB"/>
          </w:rPr>
          <m:t>-</m:t>
        </m:r>
        <m:func>
          <m:funcPr>
            <m:ctrlPr>
              <w:rPr>
                <w:rFonts w:ascii="Cambria Math" w:hAnsi="Cambria Math" w:cs="Times New Roman"/>
                <w:sz w:val="24"/>
                <w:szCs w:val="24"/>
                <w:lang w:val="en-GB"/>
              </w:rPr>
            </m:ctrlPr>
          </m:funcPr>
          <m:fName>
            <m:r>
              <m:rPr>
                <m:sty m:val="p"/>
              </m:rPr>
              <w:rPr>
                <w:rFonts w:ascii="Cambria Math" w:hAnsi="Cambria Math" w:cs="Times New Roman"/>
                <w:sz w:val="24"/>
                <w:szCs w:val="24"/>
                <w:lang w:val="en-GB"/>
              </w:rPr>
              <m:t>ln</m:t>
            </m:r>
          </m:fName>
          <m:e>
            <m:d>
              <m:dPr>
                <m:ctrlPr>
                  <w:rPr>
                    <w:rFonts w:ascii="Cambria Math" w:hAnsi="Cambria Math" w:cs="Times New Roman"/>
                    <w:i/>
                    <w:sz w:val="24"/>
                    <w:szCs w:val="24"/>
                    <w:lang w:val="en-GB"/>
                  </w:rPr>
                </m:ctrlPr>
              </m:dPr>
              <m:e>
                <m:acc>
                  <m:accPr>
                    <m:ctrlPr>
                      <w:rPr>
                        <w:rFonts w:ascii="Cambria Math" w:hAnsi="Cambria Math" w:cs="Times New Roman"/>
                        <w:i/>
                        <w:sz w:val="24"/>
                        <w:szCs w:val="24"/>
                        <w:lang w:val="en-GB"/>
                      </w:rPr>
                    </m:ctrlPr>
                  </m:accPr>
                  <m:e>
                    <m:r>
                      <w:rPr>
                        <w:rFonts w:ascii="Cambria Math" w:hAnsi="Cambria Math" w:cs="Times New Roman"/>
                        <w:sz w:val="24"/>
                        <w:szCs w:val="24"/>
                        <w:lang w:val="en-GB"/>
                      </w:rPr>
                      <m:t>RE</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e>
                </m:acc>
              </m:e>
            </m:d>
            <m:ctrlPr>
              <w:rPr>
                <w:rFonts w:ascii="Cambria Math" w:hAnsi="Cambria Math" w:cs="Times New Roman"/>
                <w:i/>
                <w:sz w:val="24"/>
                <w:szCs w:val="24"/>
                <w:lang w:val="en-GB"/>
              </w:rPr>
            </m:ctrlPr>
          </m:e>
        </m:func>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(3)</m:t>
        </m:r>
      </m:oMath>
    </w:p>
    <w:p w:rsidR="00FD662D" w:rsidRPr="00421139" w:rsidRDefault="007C586C"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Once again, if</w:t>
      </w:r>
      <w:r w:rsidR="00FD662D" w:rsidRPr="00421139">
        <w:rPr>
          <w:rFonts w:ascii="Times New Roman" w:hAnsi="Times New Roman" w:cs="Times New Roman"/>
          <w:sz w:val="24"/>
          <w:szCs w:val="24"/>
          <w:lang w:val="en-GB"/>
        </w:rPr>
        <w:t xml:space="preserve"> </w:t>
      </w:r>
      <m:oMath>
        <m:r>
          <w:rPr>
            <w:rFonts w:ascii="Cambria Math" w:hAnsi="Cambria Math" w:cs="Times New Roman"/>
            <w:sz w:val="24"/>
            <w:szCs w:val="24"/>
            <w:lang w:val="en-GB"/>
          </w:rPr>
          <m:t>UNDVA</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L</m:t>
            </m:r>
          </m:e>
          <m:sub>
            <m:r>
              <w:rPr>
                <w:rFonts w:ascii="Cambria Math" w:hAnsi="Cambria Math" w:cs="Times New Roman"/>
                <w:sz w:val="24"/>
                <w:szCs w:val="24"/>
                <w:lang w:val="en-GB"/>
              </w:rPr>
              <m:t>i</m:t>
            </m:r>
          </m:sub>
        </m:sSub>
      </m:oMath>
      <w:r w:rsidR="00FD662D" w:rsidRPr="0042113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is greater (smaller) than unity, than the domestic currency is depreciated (appreciated).  </w:t>
      </w:r>
    </w:p>
    <w:p w:rsidR="00BA4F8E" w:rsidRPr="00421139" w:rsidRDefault="007C586C"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Next, we define</w:t>
      </w:r>
      <w:r w:rsidR="00F20600" w:rsidRPr="00421139">
        <w:rPr>
          <w:rFonts w:ascii="Times New Roman" w:hAnsi="Times New Roman" w:cs="Times New Roman"/>
          <w:sz w:val="24"/>
          <w:szCs w:val="24"/>
          <w:lang w:val="en-GB"/>
        </w:rPr>
        <w:t xml:space="preserve"> the baseline model. </w:t>
      </w:r>
      <w:r w:rsidR="00400340" w:rsidRPr="00421139">
        <w:rPr>
          <w:rFonts w:ascii="Times New Roman" w:hAnsi="Times New Roman" w:cs="Times New Roman"/>
          <w:sz w:val="24"/>
          <w:szCs w:val="24"/>
          <w:lang w:val="en-GB"/>
        </w:rPr>
        <w:t>Following</w:t>
      </w:r>
      <w:r w:rsidR="001210EF">
        <w:rPr>
          <w:rFonts w:ascii="Times New Roman" w:hAnsi="Times New Roman" w:cs="Times New Roman"/>
          <w:sz w:val="24"/>
          <w:szCs w:val="24"/>
          <w:lang w:val="en-GB"/>
        </w:rPr>
        <w:t xml:space="preserve"> the</w:t>
      </w:r>
      <w:r w:rsidR="00F20600" w:rsidRPr="00421139">
        <w:rPr>
          <w:rFonts w:ascii="Times New Roman" w:hAnsi="Times New Roman" w:cs="Times New Roman"/>
          <w:sz w:val="24"/>
          <w:szCs w:val="24"/>
          <w:lang w:val="en-GB"/>
        </w:rPr>
        <w:t xml:space="preserve"> vast </w:t>
      </w:r>
      <w:r w:rsidR="00D73B2E">
        <w:rPr>
          <w:rFonts w:ascii="Times New Roman" w:hAnsi="Times New Roman" w:cs="Times New Roman"/>
          <w:sz w:val="24"/>
          <w:szCs w:val="24"/>
          <w:lang w:val="en-GB"/>
        </w:rPr>
        <w:t>literature</w:t>
      </w:r>
      <w:r w:rsidR="00F20600" w:rsidRPr="00421139">
        <w:rPr>
          <w:rFonts w:ascii="Times New Roman" w:hAnsi="Times New Roman" w:cs="Times New Roman"/>
          <w:sz w:val="24"/>
          <w:szCs w:val="24"/>
          <w:lang w:val="en-GB"/>
        </w:rPr>
        <w:t xml:space="preserve"> of </w:t>
      </w:r>
      <w:r w:rsidR="00D73B2E">
        <w:rPr>
          <w:rFonts w:ascii="Times New Roman" w:hAnsi="Times New Roman" w:cs="Times New Roman"/>
          <w:sz w:val="24"/>
          <w:szCs w:val="24"/>
          <w:lang w:val="en-GB"/>
        </w:rPr>
        <w:t>empirical studies, we analys</w:t>
      </w:r>
      <w:r w:rsidR="00F20600" w:rsidRPr="00421139">
        <w:rPr>
          <w:rFonts w:ascii="Times New Roman" w:hAnsi="Times New Roman" w:cs="Times New Roman"/>
          <w:sz w:val="24"/>
          <w:szCs w:val="24"/>
          <w:lang w:val="en-GB"/>
        </w:rPr>
        <w:t xml:space="preserve">e the impact of </w:t>
      </w:r>
      <w:r w:rsidR="00D73B2E">
        <w:rPr>
          <w:rFonts w:ascii="Times New Roman" w:hAnsi="Times New Roman" w:cs="Times New Roman"/>
          <w:sz w:val="24"/>
          <w:szCs w:val="24"/>
          <w:lang w:val="en-GB"/>
        </w:rPr>
        <w:t>RER misalignment</w:t>
      </w:r>
      <w:r w:rsidR="00F20600" w:rsidRPr="00421139">
        <w:rPr>
          <w:rFonts w:ascii="Times New Roman" w:hAnsi="Times New Roman" w:cs="Times New Roman"/>
          <w:sz w:val="24"/>
          <w:szCs w:val="24"/>
          <w:lang w:val="en-GB"/>
        </w:rPr>
        <w:t xml:space="preserve"> on </w:t>
      </w:r>
      <w:r w:rsidR="00D73B2E">
        <w:rPr>
          <w:rFonts w:ascii="Times New Roman" w:hAnsi="Times New Roman" w:cs="Times New Roman"/>
          <w:sz w:val="24"/>
          <w:szCs w:val="24"/>
          <w:lang w:val="en-GB"/>
        </w:rPr>
        <w:t>output</w:t>
      </w:r>
      <w:r w:rsidR="00F20600" w:rsidRPr="00421139">
        <w:rPr>
          <w:rFonts w:ascii="Times New Roman" w:hAnsi="Times New Roman" w:cs="Times New Roman"/>
          <w:sz w:val="24"/>
          <w:szCs w:val="24"/>
          <w:lang w:val="en-GB"/>
        </w:rPr>
        <w:t xml:space="preserve"> growth rate. </w:t>
      </w:r>
      <w:r w:rsidR="00D75AFA" w:rsidRPr="00421139">
        <w:rPr>
          <w:rFonts w:ascii="Times New Roman" w:hAnsi="Times New Roman" w:cs="Times New Roman"/>
          <w:sz w:val="24"/>
          <w:szCs w:val="24"/>
          <w:lang w:val="en-GB"/>
        </w:rPr>
        <w:t xml:space="preserve">Therefore, the baseline model is </w:t>
      </w:r>
      <w:r w:rsidR="00D73B2E">
        <w:rPr>
          <w:rFonts w:ascii="Times New Roman" w:hAnsi="Times New Roman" w:cs="Times New Roman"/>
          <w:sz w:val="24"/>
          <w:szCs w:val="24"/>
          <w:lang w:val="en-GB"/>
        </w:rPr>
        <w:t>given by</w:t>
      </w:r>
      <w:r w:rsidR="00D75AFA" w:rsidRPr="00421139">
        <w:rPr>
          <w:rFonts w:ascii="Times New Roman" w:hAnsi="Times New Roman" w:cs="Times New Roman"/>
          <w:sz w:val="24"/>
          <w:szCs w:val="24"/>
          <w:lang w:val="en-GB"/>
        </w:rPr>
        <w:t>:</w:t>
      </w:r>
    </w:p>
    <w:p w:rsidR="00BA4F8E" w:rsidRDefault="00F54CFA" w:rsidP="00EA30A5">
      <w:pPr>
        <w:spacing w:line="24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ab/>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growth</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=α+δ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growth</m:t>
            </m:r>
          </m:e>
          <m:sub>
            <m:r>
              <w:rPr>
                <w:rFonts w:ascii="Cambria Math" w:hAnsi="Cambria Math" w:cs="Times New Roman"/>
                <w:sz w:val="24"/>
                <w:szCs w:val="24"/>
                <w:lang w:val="en-GB"/>
              </w:rPr>
              <m:t>i,t-1</m:t>
            </m:r>
          </m:sub>
        </m:sSub>
        <m:r>
          <w:rPr>
            <w:rFonts w:ascii="Cambria Math" w:hAnsi="Cambria Math" w:cs="Times New Roman"/>
            <w:sz w:val="24"/>
            <w:szCs w:val="24"/>
            <w:lang w:val="en-GB"/>
          </w:rPr>
          <m:t xml:space="preserve">+β </m:t>
        </m:r>
        <m:func>
          <m:funcPr>
            <m:ctrlPr>
              <w:rPr>
                <w:rFonts w:ascii="Cambria Math" w:hAnsi="Cambria Math" w:cs="Times New Roman"/>
                <w:sz w:val="24"/>
                <w:szCs w:val="24"/>
                <w:lang w:val="en-GB"/>
              </w:rPr>
            </m:ctrlPr>
          </m:funcPr>
          <m:fName>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ln⁡</m:t>
                </m:r>
                <m:r>
                  <w:rPr>
                    <w:rFonts w:ascii="Cambria Math" w:hAnsi="Cambria Math" w:cs="Times New Roman"/>
                    <w:sz w:val="24"/>
                    <w:szCs w:val="24"/>
                    <w:lang w:val="en-GB"/>
                  </w:rPr>
                  <m:t>(UNDVAL</m:t>
                </m:r>
              </m:e>
              <m:sub>
                <m:r>
                  <w:rPr>
                    <w:rFonts w:ascii="Cambria Math" w:hAnsi="Cambria Math" w:cs="Times New Roman"/>
                    <w:sz w:val="24"/>
                    <w:szCs w:val="24"/>
                    <w:lang w:val="en-GB"/>
                  </w:rPr>
                  <m:t>i,t</m:t>
                </m:r>
              </m:sub>
            </m:sSub>
            <m:r>
              <w:rPr>
                <w:rFonts w:ascii="Cambria Math" w:hAnsi="Cambria Math" w:cs="Times New Roman"/>
                <w:sz w:val="24"/>
                <w:szCs w:val="24"/>
                <w:lang w:val="en-GB"/>
              </w:rPr>
              <m:t>)</m:t>
            </m:r>
          </m:fName>
          <m:e>
            <m:r>
              <w:rPr>
                <w:rFonts w:ascii="Cambria Math" w:hAnsi="Cambria Math" w:cs="Times New Roman"/>
                <w:sz w:val="24"/>
                <w:szCs w:val="24"/>
                <w:lang w:val="en-GB"/>
              </w:rPr>
              <m:t xml:space="preserve">+γ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Z</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i,t</m:t>
                </m:r>
              </m:sub>
            </m:sSub>
            <m:ctrlPr>
              <w:rPr>
                <w:rFonts w:ascii="Cambria Math" w:hAnsi="Cambria Math" w:cs="Times New Roman"/>
                <w:i/>
                <w:sz w:val="24"/>
                <w:szCs w:val="24"/>
                <w:lang w:val="en-GB"/>
              </w:rPr>
            </m:ctrlPr>
          </m:e>
        </m:func>
        <m:r>
          <w:rPr>
            <w:rFonts w:ascii="Cambria Math" w:hAnsi="Cambria Math" w:cs="Times New Roman"/>
            <w:sz w:val="24"/>
            <w:szCs w:val="24"/>
            <w:lang w:val="en-GB"/>
          </w:rPr>
          <m:t xml:space="preserve">                 (4)</m:t>
        </m:r>
      </m:oMath>
    </w:p>
    <w:p w:rsidR="00CD31DA" w:rsidRPr="00421139" w:rsidRDefault="00D75AFA" w:rsidP="00EA30A5">
      <w:pPr>
        <w:spacing w:line="240" w:lineRule="auto"/>
        <w:jc w:val="both"/>
        <w:rPr>
          <w:rFonts w:ascii="Times New Roman" w:hAnsi="Times New Roman" w:cs="Times New Roman"/>
          <w:sz w:val="24"/>
          <w:szCs w:val="24"/>
          <w:lang w:val="en-GB"/>
        </w:rPr>
      </w:pPr>
      <w:r w:rsidRPr="00421139">
        <w:rPr>
          <w:rFonts w:ascii="Times New Roman" w:hAnsi="Times New Roman" w:cs="Times New Roman"/>
          <w:sz w:val="24"/>
          <w:szCs w:val="24"/>
          <w:lang w:val="en-GB"/>
        </w:rPr>
        <w:t xml:space="preserve">where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growth</m:t>
            </m:r>
          </m:e>
          <m:sub>
            <m:r>
              <w:rPr>
                <w:rFonts w:ascii="Cambria Math" w:hAnsi="Cambria Math" w:cs="Times New Roman"/>
                <w:sz w:val="24"/>
                <w:szCs w:val="24"/>
                <w:lang w:val="en-GB"/>
              </w:rPr>
              <m:t>i,t</m:t>
            </m:r>
          </m:sub>
        </m:sSub>
      </m:oMath>
      <w:r w:rsidRPr="00421139">
        <w:rPr>
          <w:rFonts w:ascii="Times New Roman" w:hAnsi="Times New Roman" w:cs="Times New Roman"/>
          <w:sz w:val="24"/>
          <w:szCs w:val="24"/>
          <w:lang w:val="en-GB"/>
        </w:rPr>
        <w:t xml:space="preserve"> is </w:t>
      </w:r>
      <w:r w:rsidR="00400340" w:rsidRPr="00421139">
        <w:rPr>
          <w:rFonts w:ascii="Times New Roman" w:hAnsi="Times New Roman" w:cs="Times New Roman"/>
          <w:sz w:val="24"/>
          <w:szCs w:val="24"/>
          <w:lang w:val="en-GB"/>
        </w:rPr>
        <w:t xml:space="preserve">the growth rate </w:t>
      </w:r>
      <w:r w:rsidR="008D370B" w:rsidRPr="00421139">
        <w:rPr>
          <w:rFonts w:ascii="Times New Roman" w:hAnsi="Times New Roman" w:cs="Times New Roman"/>
          <w:sz w:val="24"/>
          <w:szCs w:val="24"/>
          <w:lang w:val="en-GB"/>
        </w:rPr>
        <w:t xml:space="preserve">of country </w:t>
      </w:r>
      <m:oMath>
        <m:r>
          <w:rPr>
            <w:rFonts w:ascii="Cambria Math" w:hAnsi="Cambria Math" w:cs="Times New Roman"/>
            <w:sz w:val="24"/>
            <w:szCs w:val="24"/>
            <w:lang w:val="en-GB"/>
          </w:rPr>
          <m:t>i</m:t>
        </m:r>
      </m:oMath>
      <w:r w:rsidR="00BA4F8E" w:rsidRPr="00421139">
        <w:rPr>
          <w:rFonts w:ascii="Times New Roman" w:hAnsi="Times New Roman" w:cs="Times New Roman"/>
          <w:sz w:val="24"/>
          <w:szCs w:val="24"/>
          <w:lang w:val="en-GB"/>
        </w:rPr>
        <w:t>,</w:t>
      </w:r>
      <w:r w:rsidR="00E24C82" w:rsidRPr="00421139">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growth</m:t>
            </m:r>
          </m:e>
          <m:sub>
            <m:r>
              <w:rPr>
                <w:rFonts w:ascii="Cambria Math" w:hAnsi="Cambria Math" w:cs="Times New Roman"/>
                <w:sz w:val="24"/>
                <w:szCs w:val="24"/>
                <w:lang w:val="en-GB"/>
              </w:rPr>
              <m:t>i,t-1</m:t>
            </m:r>
          </m:sub>
        </m:sSub>
      </m:oMath>
      <w:r w:rsidR="00E24C82" w:rsidRPr="00421139">
        <w:rPr>
          <w:rFonts w:ascii="Times New Roman" w:hAnsi="Times New Roman" w:cs="Times New Roman"/>
          <w:sz w:val="24"/>
          <w:szCs w:val="24"/>
          <w:lang w:val="en-GB"/>
        </w:rPr>
        <w:t xml:space="preserve"> is the </w:t>
      </w:r>
      <w:r w:rsidR="00F17653">
        <w:rPr>
          <w:rFonts w:ascii="Times New Roman" w:hAnsi="Times New Roman" w:cs="Times New Roman"/>
          <w:sz w:val="24"/>
          <w:szCs w:val="24"/>
          <w:lang w:val="en-GB"/>
        </w:rPr>
        <w:t xml:space="preserve">lagged </w:t>
      </w:r>
      <w:r w:rsidR="00E24C82" w:rsidRPr="00421139">
        <w:rPr>
          <w:rFonts w:ascii="Times New Roman" w:hAnsi="Times New Roman" w:cs="Times New Roman"/>
          <w:sz w:val="24"/>
          <w:szCs w:val="24"/>
          <w:lang w:val="en-GB"/>
        </w:rPr>
        <w:t>growth rate</w:t>
      </w:r>
      <w:r w:rsidR="00400340" w:rsidRPr="00421139">
        <w:rPr>
          <w:rFonts w:ascii="Times New Roman" w:hAnsi="Times New Roman" w:cs="Times New Roman"/>
          <w:sz w:val="24"/>
          <w:szCs w:val="24"/>
          <w:lang w:val="en-GB"/>
        </w:rPr>
        <w:t xml:space="preserve"> </w:t>
      </w:r>
      <w:r w:rsidR="008D370B" w:rsidRPr="00421139">
        <w:rPr>
          <w:rFonts w:ascii="Times New Roman" w:hAnsi="Times New Roman" w:cs="Times New Roman"/>
          <w:sz w:val="24"/>
          <w:szCs w:val="24"/>
          <w:lang w:val="en-GB"/>
        </w:rPr>
        <w:t xml:space="preserve">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Z</m:t>
            </m:r>
          </m:e>
          <m:sub>
            <m:r>
              <w:rPr>
                <w:rFonts w:ascii="Cambria Math" w:hAnsi="Cambria Math" w:cs="Times New Roman"/>
                <w:sz w:val="24"/>
                <w:szCs w:val="24"/>
                <w:lang w:val="en-GB"/>
              </w:rPr>
              <m:t>i,t</m:t>
            </m:r>
          </m:sub>
        </m:sSub>
      </m:oMath>
      <w:r w:rsidR="008D370B" w:rsidRPr="00421139">
        <w:rPr>
          <w:rFonts w:ascii="Times New Roman" w:hAnsi="Times New Roman" w:cs="Times New Roman"/>
          <w:sz w:val="24"/>
          <w:szCs w:val="24"/>
          <w:lang w:val="en-GB"/>
        </w:rPr>
        <w:t xml:space="preserve"> </w:t>
      </w:r>
      <w:r w:rsidR="00BF2190">
        <w:rPr>
          <w:rFonts w:ascii="Times New Roman" w:hAnsi="Times New Roman" w:cs="Times New Roman"/>
          <w:sz w:val="24"/>
          <w:szCs w:val="24"/>
          <w:lang w:val="en-GB"/>
        </w:rPr>
        <w:t>denotes the set</w:t>
      </w:r>
      <w:r w:rsidR="008D370B" w:rsidRPr="00421139">
        <w:rPr>
          <w:rFonts w:ascii="Times New Roman" w:hAnsi="Times New Roman" w:cs="Times New Roman"/>
          <w:sz w:val="24"/>
          <w:szCs w:val="24"/>
          <w:lang w:val="en-GB"/>
        </w:rPr>
        <w:t xml:space="preserve"> controls </w:t>
      </w:r>
      <w:proofErr w:type="gramStart"/>
      <w:r w:rsidR="00BF2190">
        <w:rPr>
          <w:rFonts w:ascii="Times New Roman" w:hAnsi="Times New Roman" w:cs="Times New Roman"/>
          <w:sz w:val="24"/>
          <w:szCs w:val="24"/>
          <w:lang w:val="en-GB"/>
        </w:rPr>
        <w:t>variables</w:t>
      </w:r>
      <w:r w:rsidR="00BA4F8E" w:rsidRPr="00421139">
        <w:rPr>
          <w:rFonts w:ascii="Times New Roman" w:hAnsi="Times New Roman" w:cs="Times New Roman"/>
          <w:sz w:val="24"/>
          <w:szCs w:val="24"/>
          <w:lang w:val="en-GB"/>
        </w:rPr>
        <w:t>.</w:t>
      </w:r>
      <w:proofErr w:type="gramEnd"/>
      <w:r w:rsidR="00E04126" w:rsidRPr="00421139">
        <w:rPr>
          <w:rFonts w:ascii="Times New Roman" w:hAnsi="Times New Roman" w:cs="Times New Roman"/>
          <w:sz w:val="24"/>
          <w:szCs w:val="24"/>
          <w:lang w:val="en-GB"/>
        </w:rPr>
        <w:t xml:space="preserve"> The long-term impact of RER undervaluation on growth is given by:</w:t>
      </w:r>
    </w:p>
    <w:p w:rsidR="00EF355A" w:rsidRDefault="00F54CFA" w:rsidP="00EA30A5">
      <w:pPr>
        <w:spacing w:line="24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m:oMath>
        <m:r>
          <w:rPr>
            <w:rFonts w:ascii="Cambria Math" w:hAnsi="Cambria Math" w:cs="Times New Roman"/>
            <w:sz w:val="24"/>
            <w:szCs w:val="24"/>
            <w:lang w:val="en-GB"/>
          </w:rPr>
          <m:t>b=</m:t>
        </m:r>
        <m:f>
          <m:fPr>
            <m:ctrlPr>
              <w:rPr>
                <w:rFonts w:ascii="Cambria Math" w:hAnsi="Cambria Math" w:cs="Times New Roman"/>
                <w:i/>
                <w:sz w:val="24"/>
                <w:szCs w:val="24"/>
                <w:lang w:val="en-GB"/>
              </w:rPr>
            </m:ctrlPr>
          </m:fPr>
          <m:num>
            <m:r>
              <w:rPr>
                <w:rFonts w:ascii="Cambria Math" w:hAnsi="Cambria Math" w:cs="Times New Roman"/>
                <w:sz w:val="24"/>
                <w:szCs w:val="24"/>
                <w:lang w:val="en-GB"/>
              </w:rPr>
              <m:t>β</m:t>
            </m:r>
          </m:num>
          <m:den>
            <m:r>
              <w:rPr>
                <w:rFonts w:ascii="Cambria Math" w:hAnsi="Cambria Math" w:cs="Times New Roman"/>
                <w:sz w:val="24"/>
                <w:szCs w:val="24"/>
                <w:lang w:val="en-GB"/>
              </w:rPr>
              <m:t>1-δ</m:t>
            </m:r>
          </m:den>
        </m:f>
        <m:r>
          <w:rPr>
            <w:rFonts w:ascii="Cambria Math" w:hAnsi="Cambria Math" w:cs="Times New Roman"/>
            <w:sz w:val="24"/>
            <w:szCs w:val="24"/>
            <w:lang w:val="en-GB"/>
          </w:rPr>
          <m:t xml:space="preserve">                                                                        (5)</m:t>
        </m:r>
      </m:oMath>
      <w:r w:rsidR="007F1017">
        <w:rPr>
          <w:rFonts w:ascii="Times New Roman" w:hAnsi="Times New Roman" w:cs="Times New Roman"/>
          <w:sz w:val="24"/>
          <w:szCs w:val="24"/>
          <w:lang w:val="en-GB"/>
        </w:rPr>
        <w:t>.</w:t>
      </w:r>
    </w:p>
    <w:p w:rsidR="007F1017" w:rsidRDefault="007F1017" w:rsidP="00EA30A5">
      <w:pPr>
        <w:spacing w:line="240" w:lineRule="auto"/>
        <w:ind w:firstLine="360"/>
        <w:jc w:val="both"/>
        <w:rPr>
          <w:rFonts w:ascii="Times New Roman" w:hAnsi="Times New Roman" w:cs="Times New Roman"/>
          <w:sz w:val="24"/>
          <w:szCs w:val="24"/>
          <w:lang w:val="en-GB"/>
        </w:rPr>
      </w:pPr>
      <w:r w:rsidRPr="00362149">
        <w:rPr>
          <w:rFonts w:ascii="Times New Roman" w:hAnsi="Times New Roman" w:cs="Times New Roman"/>
          <w:sz w:val="24"/>
          <w:szCs w:val="24"/>
          <w:lang w:val="en-GB"/>
        </w:rPr>
        <w:t>This e</w:t>
      </w:r>
      <w:r w:rsidR="00362149">
        <w:rPr>
          <w:rFonts w:ascii="Times New Roman" w:hAnsi="Times New Roman" w:cs="Times New Roman"/>
          <w:sz w:val="24"/>
          <w:szCs w:val="24"/>
          <w:lang w:val="en-GB"/>
        </w:rPr>
        <w:t>quation shows that the higher the parameter</w:t>
      </w:r>
      <w:r w:rsidRPr="00362149">
        <w:rPr>
          <w:rFonts w:ascii="Times New Roman" w:hAnsi="Times New Roman" w:cs="Times New Roman"/>
          <w:sz w:val="24"/>
          <w:szCs w:val="24"/>
          <w:lang w:val="en-GB"/>
        </w:rPr>
        <w:t xml:space="preserve"> </w:t>
      </w:r>
      <m:oMath>
        <m:r>
          <w:rPr>
            <w:rFonts w:ascii="Cambria Math" w:hAnsi="Cambria Math" w:cs="Times New Roman"/>
            <w:sz w:val="24"/>
            <w:szCs w:val="24"/>
            <w:lang w:val="en-GB"/>
          </w:rPr>
          <m:t>β</m:t>
        </m:r>
      </m:oMath>
      <w:r w:rsidR="00362149">
        <w:rPr>
          <w:rFonts w:ascii="Times New Roman" w:hAnsi="Times New Roman" w:cs="Times New Roman"/>
          <w:sz w:val="24"/>
          <w:szCs w:val="24"/>
          <w:lang w:val="en-GB"/>
        </w:rPr>
        <w:t>, the higher</w:t>
      </w:r>
      <w:r w:rsidRPr="00362149">
        <w:rPr>
          <w:rFonts w:ascii="Times New Roman" w:hAnsi="Times New Roman" w:cs="Times New Roman"/>
          <w:sz w:val="24"/>
          <w:szCs w:val="24"/>
          <w:lang w:val="en-GB"/>
        </w:rPr>
        <w:t xml:space="preserve"> the impact of a RER undervaluation on the country’s long-term growth rate. If the autoregressive term, </w:t>
      </w:r>
      <m:oMath>
        <m:r>
          <w:rPr>
            <w:rFonts w:ascii="Cambria Math" w:hAnsi="Cambria Math" w:cs="Times New Roman"/>
            <w:sz w:val="24"/>
            <w:szCs w:val="24"/>
            <w:lang w:val="en-GB"/>
          </w:rPr>
          <m:t>δ</m:t>
        </m:r>
      </m:oMath>
      <w:r w:rsidRPr="00362149">
        <w:rPr>
          <w:rFonts w:ascii="Times New Roman" w:hAnsi="Times New Roman" w:cs="Times New Roman"/>
          <w:sz w:val="24"/>
          <w:szCs w:val="24"/>
          <w:lang w:val="en-GB"/>
        </w:rPr>
        <w:t xml:space="preserve">, is lower than one, and </w:t>
      </w:r>
      <m:oMath>
        <m:r>
          <w:rPr>
            <w:rFonts w:ascii="Cambria Math" w:hAnsi="Cambria Math" w:cs="Times New Roman"/>
            <w:sz w:val="24"/>
            <w:szCs w:val="24"/>
            <w:lang w:val="en-GB"/>
          </w:rPr>
          <m:t>β</m:t>
        </m:r>
      </m:oMath>
      <w:r w:rsidRPr="00362149">
        <w:rPr>
          <w:rFonts w:ascii="Times New Roman" w:hAnsi="Times New Roman" w:cs="Times New Roman"/>
          <w:sz w:val="24"/>
          <w:szCs w:val="24"/>
          <w:lang w:val="en-GB"/>
        </w:rPr>
        <w:t xml:space="preserve"> is positive, a currency undervaluation boosts economic growth. A negative </w:t>
      </w:r>
      <m:oMath>
        <m:r>
          <w:rPr>
            <w:rFonts w:ascii="Cambria Math" w:hAnsi="Cambria Math" w:cs="Times New Roman"/>
            <w:sz w:val="24"/>
            <w:szCs w:val="24"/>
            <w:lang w:val="en-GB"/>
          </w:rPr>
          <m:t>β</m:t>
        </m:r>
      </m:oMath>
      <w:r w:rsidRPr="00362149">
        <w:rPr>
          <w:rFonts w:ascii="Times New Roman" w:hAnsi="Times New Roman" w:cs="Times New Roman"/>
          <w:sz w:val="24"/>
          <w:szCs w:val="24"/>
          <w:lang w:val="en-GB"/>
        </w:rPr>
        <w:t xml:space="preserve">, however, indicates that RER undervaluation reduces the country’s growth rate. Moreover, because the RER is measured as the </w:t>
      </w:r>
      <w:r w:rsidR="00362149">
        <w:rPr>
          <w:rFonts w:ascii="Times New Roman" w:hAnsi="Times New Roman" w:cs="Times New Roman"/>
          <w:sz w:val="24"/>
          <w:szCs w:val="24"/>
          <w:lang w:val="en-GB"/>
        </w:rPr>
        <w:t xml:space="preserve">price of foreign currency in terms of </w:t>
      </w:r>
      <w:r w:rsidRPr="00362149">
        <w:rPr>
          <w:rFonts w:ascii="Times New Roman" w:hAnsi="Times New Roman" w:cs="Times New Roman"/>
          <w:sz w:val="24"/>
          <w:szCs w:val="24"/>
          <w:lang w:val="en-GB"/>
        </w:rPr>
        <w:t xml:space="preserve">domestic currency, </w:t>
      </w:r>
      <m:oMath>
        <m:r>
          <w:rPr>
            <w:rFonts w:ascii="Cambria Math" w:hAnsi="Cambria Math" w:cs="Times New Roman"/>
            <w:sz w:val="24"/>
            <w:szCs w:val="24"/>
            <w:lang w:val="en-GB"/>
          </w:rPr>
          <m:t>b</m:t>
        </m:r>
      </m:oMath>
      <w:r w:rsidR="00165441" w:rsidRPr="00362149">
        <w:rPr>
          <w:rFonts w:ascii="Times New Roman" w:hAnsi="Times New Roman" w:cs="Times New Roman"/>
          <w:sz w:val="24"/>
          <w:szCs w:val="24"/>
          <w:lang w:val="en-GB"/>
        </w:rPr>
        <w:t xml:space="preserve"> can be</w:t>
      </w:r>
      <w:r w:rsidR="00362149">
        <w:rPr>
          <w:rFonts w:ascii="Times New Roman" w:hAnsi="Times New Roman" w:cs="Times New Roman"/>
          <w:sz w:val="24"/>
          <w:szCs w:val="24"/>
          <w:lang w:val="en-GB"/>
        </w:rPr>
        <w:t xml:space="preserve"> interpreted as the impact of</w:t>
      </w:r>
      <w:r w:rsidR="00165441" w:rsidRPr="00362149">
        <w:rPr>
          <w:rFonts w:ascii="Times New Roman" w:hAnsi="Times New Roman" w:cs="Times New Roman"/>
          <w:sz w:val="24"/>
          <w:szCs w:val="24"/>
          <w:lang w:val="en-GB"/>
        </w:rPr>
        <w:t xml:space="preserve"> undervaluation of 100% on the country’s growth rate (in percentage points).</w:t>
      </w:r>
    </w:p>
    <w:p w:rsidR="00EF355A" w:rsidRPr="00C7149E" w:rsidRDefault="00EF355A" w:rsidP="00EA30A5">
      <w:pPr>
        <w:pStyle w:val="PargrafodaLista"/>
        <w:numPr>
          <w:ilvl w:val="1"/>
          <w:numId w:val="11"/>
        </w:numPr>
        <w:spacing w:line="240" w:lineRule="auto"/>
        <w:jc w:val="both"/>
        <w:rPr>
          <w:rFonts w:ascii="Times New Roman" w:hAnsi="Times New Roman" w:cs="Times New Roman"/>
          <w:b/>
          <w:i/>
          <w:sz w:val="24"/>
          <w:szCs w:val="24"/>
          <w:lang w:val="en-GB"/>
        </w:rPr>
      </w:pPr>
      <w:r w:rsidRPr="00C7149E">
        <w:rPr>
          <w:rFonts w:ascii="Times New Roman" w:hAnsi="Times New Roman" w:cs="Times New Roman"/>
          <w:b/>
          <w:i/>
          <w:sz w:val="24"/>
          <w:szCs w:val="24"/>
          <w:lang w:val="en-GB"/>
        </w:rPr>
        <w:t xml:space="preserve"> Technological </w:t>
      </w:r>
      <w:r w:rsidR="00476CA9">
        <w:rPr>
          <w:rFonts w:ascii="Times New Roman" w:hAnsi="Times New Roman" w:cs="Times New Roman"/>
          <w:b/>
          <w:i/>
          <w:sz w:val="24"/>
          <w:szCs w:val="24"/>
          <w:lang w:val="en-GB"/>
        </w:rPr>
        <w:t>catching-up</w:t>
      </w:r>
    </w:p>
    <w:p w:rsidR="006B3150" w:rsidRPr="00FB19E5" w:rsidRDefault="006B3150" w:rsidP="00EA30A5">
      <w:pPr>
        <w:spacing w:line="240" w:lineRule="auto"/>
        <w:jc w:val="both"/>
        <w:rPr>
          <w:rFonts w:ascii="Times New Roman" w:hAnsi="Times New Roman" w:cs="Times New Roman"/>
          <w:sz w:val="24"/>
          <w:szCs w:val="24"/>
          <w:lang w:val="en-GB"/>
        </w:rPr>
      </w:pPr>
      <w:r w:rsidRPr="00421139">
        <w:rPr>
          <w:rFonts w:ascii="Times New Roman" w:hAnsi="Times New Roman" w:cs="Times New Roman"/>
          <w:sz w:val="24"/>
          <w:szCs w:val="24"/>
          <w:lang w:val="en-GB"/>
        </w:rPr>
        <w:t xml:space="preserve">There is an important literature </w:t>
      </w:r>
      <w:r w:rsidR="00476CA9">
        <w:rPr>
          <w:rFonts w:ascii="Times New Roman" w:hAnsi="Times New Roman" w:cs="Times New Roman"/>
          <w:sz w:val="24"/>
          <w:szCs w:val="24"/>
          <w:lang w:val="en-GB"/>
        </w:rPr>
        <w:t>addressing the issue of a growth bonus obtained by laggard countries from catching up to a technological leader</w:t>
      </w:r>
      <w:r w:rsidR="005A4CE7">
        <w:rPr>
          <w:rFonts w:ascii="Times New Roman" w:hAnsi="Times New Roman" w:cs="Times New Roman"/>
          <w:sz w:val="24"/>
          <w:szCs w:val="24"/>
          <w:lang w:val="en-GB"/>
        </w:rPr>
        <w:t>. According to these works, the higher</w:t>
      </w:r>
      <w:r w:rsidRPr="00421139">
        <w:rPr>
          <w:rFonts w:ascii="Times New Roman" w:hAnsi="Times New Roman" w:cs="Times New Roman"/>
          <w:sz w:val="24"/>
          <w:szCs w:val="24"/>
          <w:lang w:val="en-GB"/>
        </w:rPr>
        <w:t xml:space="preserve"> the technological gap, the higher</w:t>
      </w:r>
      <w:r w:rsidR="005A4CE7">
        <w:rPr>
          <w:rFonts w:ascii="Times New Roman" w:hAnsi="Times New Roman" w:cs="Times New Roman"/>
          <w:sz w:val="24"/>
          <w:szCs w:val="24"/>
          <w:lang w:val="en-GB"/>
        </w:rPr>
        <w:t xml:space="preserve"> the opportunities for learning related to imitation and hence the higher the</w:t>
      </w:r>
      <w:r w:rsidRPr="00421139">
        <w:rPr>
          <w:rFonts w:ascii="Times New Roman" w:hAnsi="Times New Roman" w:cs="Times New Roman"/>
          <w:sz w:val="24"/>
          <w:szCs w:val="24"/>
          <w:lang w:val="en-GB"/>
        </w:rPr>
        <w:t xml:space="preserve"> </w:t>
      </w:r>
      <w:r w:rsidRPr="00FB19E5">
        <w:rPr>
          <w:rFonts w:ascii="Times New Roman" w:hAnsi="Times New Roman" w:cs="Times New Roman"/>
          <w:sz w:val="24"/>
          <w:szCs w:val="24"/>
          <w:lang w:val="en-GB"/>
        </w:rPr>
        <w:t xml:space="preserve">productivity growth. </w:t>
      </w:r>
      <w:proofErr w:type="spellStart"/>
      <w:r w:rsidRPr="00FB19E5">
        <w:rPr>
          <w:rFonts w:ascii="Times New Roman" w:hAnsi="Times New Roman" w:cs="Times New Roman"/>
          <w:sz w:val="24"/>
          <w:szCs w:val="24"/>
          <w:lang w:val="en-GB"/>
        </w:rPr>
        <w:t>Barro</w:t>
      </w:r>
      <w:proofErr w:type="spellEnd"/>
      <w:r w:rsidRPr="00FB19E5">
        <w:rPr>
          <w:rFonts w:ascii="Times New Roman" w:hAnsi="Times New Roman" w:cs="Times New Roman"/>
          <w:sz w:val="24"/>
          <w:szCs w:val="24"/>
          <w:lang w:val="en-GB"/>
        </w:rPr>
        <w:t xml:space="preserve"> and Sala-</w:t>
      </w:r>
      <w:proofErr w:type="spellStart"/>
      <w:r w:rsidRPr="00FB19E5">
        <w:rPr>
          <w:rFonts w:ascii="Times New Roman" w:hAnsi="Times New Roman" w:cs="Times New Roman"/>
          <w:sz w:val="24"/>
          <w:szCs w:val="24"/>
          <w:lang w:val="en-GB"/>
        </w:rPr>
        <w:t>i</w:t>
      </w:r>
      <w:proofErr w:type="spellEnd"/>
      <w:r w:rsidRPr="00FB19E5">
        <w:rPr>
          <w:rFonts w:ascii="Times New Roman" w:hAnsi="Times New Roman" w:cs="Times New Roman"/>
          <w:sz w:val="24"/>
          <w:szCs w:val="24"/>
          <w:lang w:val="en-GB"/>
        </w:rPr>
        <w:t xml:space="preserve">-Martin (1997) argue that relatively low costs of imitation compared to the costs of discovering new technologies enable developing economies to grow faster than the advanced ones. </w:t>
      </w:r>
      <w:r w:rsidR="005A4CE7" w:rsidRPr="00FB19E5">
        <w:rPr>
          <w:rFonts w:ascii="Times New Roman" w:hAnsi="Times New Roman" w:cs="Times New Roman"/>
          <w:sz w:val="24"/>
          <w:szCs w:val="24"/>
          <w:lang w:val="en-GB"/>
        </w:rPr>
        <w:t>However,</w:t>
      </w:r>
      <w:r w:rsidRPr="00FB19E5">
        <w:rPr>
          <w:rFonts w:ascii="Times New Roman" w:hAnsi="Times New Roman" w:cs="Times New Roman"/>
          <w:sz w:val="24"/>
          <w:szCs w:val="24"/>
          <w:lang w:val="en-GB"/>
        </w:rPr>
        <w:t xml:space="preserve"> Fagerberg (1994) and Fagerberg and Verspagen (2002)</w:t>
      </w:r>
      <w:r w:rsidR="005A4CE7" w:rsidRPr="00FB19E5">
        <w:rPr>
          <w:rFonts w:ascii="Times New Roman" w:hAnsi="Times New Roman" w:cs="Times New Roman"/>
          <w:sz w:val="24"/>
          <w:szCs w:val="24"/>
          <w:lang w:val="en-GB"/>
        </w:rPr>
        <w:t xml:space="preserve"> point out that</w:t>
      </w:r>
      <w:r w:rsidRPr="00FB19E5">
        <w:rPr>
          <w:rFonts w:ascii="Times New Roman" w:hAnsi="Times New Roman" w:cs="Times New Roman"/>
          <w:sz w:val="24"/>
          <w:szCs w:val="24"/>
          <w:lang w:val="en-GB"/>
        </w:rPr>
        <w:t xml:space="preserve"> one of the basic assumptions of neoclassical models is t</w:t>
      </w:r>
      <w:r w:rsidR="00476CA9" w:rsidRPr="00FB19E5">
        <w:rPr>
          <w:rFonts w:ascii="Times New Roman" w:hAnsi="Times New Roman" w:cs="Times New Roman"/>
          <w:sz w:val="24"/>
          <w:szCs w:val="24"/>
          <w:lang w:val="en-GB"/>
        </w:rPr>
        <w:t>hat technology is a public good and thus</w:t>
      </w:r>
      <w:r w:rsidRPr="00FB19E5">
        <w:rPr>
          <w:rFonts w:ascii="Times New Roman" w:hAnsi="Times New Roman" w:cs="Times New Roman"/>
          <w:sz w:val="24"/>
          <w:szCs w:val="24"/>
          <w:lang w:val="en-GB"/>
        </w:rPr>
        <w:t xml:space="preserve"> technological gap cannot explain</w:t>
      </w:r>
      <w:r w:rsidR="005A4CE7" w:rsidRPr="00FB19E5">
        <w:rPr>
          <w:rFonts w:ascii="Times New Roman" w:hAnsi="Times New Roman" w:cs="Times New Roman"/>
          <w:sz w:val="24"/>
          <w:szCs w:val="24"/>
          <w:lang w:val="en-GB"/>
        </w:rPr>
        <w:t xml:space="preserve"> differences in the level of productivity between countries</w:t>
      </w:r>
      <w:r w:rsidRPr="00FB19E5">
        <w:rPr>
          <w:rFonts w:ascii="Times New Roman" w:hAnsi="Times New Roman" w:cs="Times New Roman"/>
          <w:sz w:val="24"/>
          <w:szCs w:val="24"/>
          <w:lang w:val="en-GB"/>
        </w:rPr>
        <w:t xml:space="preserve">. </w:t>
      </w:r>
      <w:r w:rsidR="00A75230" w:rsidRPr="00FB19E5">
        <w:rPr>
          <w:rFonts w:ascii="Times New Roman" w:hAnsi="Times New Roman" w:cs="Times New Roman"/>
          <w:sz w:val="24"/>
          <w:szCs w:val="24"/>
          <w:lang w:val="en-GB"/>
        </w:rPr>
        <w:t>It is noteworthy that</w:t>
      </w:r>
      <w:r w:rsidR="00CB62B0" w:rsidRPr="00FB19E5">
        <w:rPr>
          <w:rFonts w:ascii="Times New Roman" w:hAnsi="Times New Roman" w:cs="Times New Roman"/>
          <w:sz w:val="24"/>
          <w:szCs w:val="24"/>
          <w:lang w:val="en-GB"/>
        </w:rPr>
        <w:t xml:space="preserve"> the definition of technology as a global public good stands in stark contrast with a stylised </w:t>
      </w:r>
      <w:r w:rsidR="008F1F00" w:rsidRPr="00FB19E5">
        <w:rPr>
          <w:rFonts w:ascii="Times New Roman" w:hAnsi="Times New Roman" w:cs="Times New Roman"/>
          <w:sz w:val="24"/>
          <w:szCs w:val="24"/>
          <w:lang w:val="en-GB"/>
        </w:rPr>
        <w:t>characteristic</w:t>
      </w:r>
      <w:r w:rsidR="00CB62B0" w:rsidRPr="00FB19E5">
        <w:rPr>
          <w:rFonts w:ascii="Times New Roman" w:hAnsi="Times New Roman" w:cs="Times New Roman"/>
          <w:sz w:val="24"/>
          <w:szCs w:val="24"/>
          <w:lang w:val="en-GB"/>
        </w:rPr>
        <w:t xml:space="preserve"> of modern economies which is</w:t>
      </w:r>
      <w:r w:rsidR="008F1F00" w:rsidRPr="00FB19E5">
        <w:rPr>
          <w:rFonts w:ascii="Times New Roman" w:hAnsi="Times New Roman" w:cs="Times New Roman"/>
          <w:sz w:val="24"/>
          <w:szCs w:val="24"/>
          <w:lang w:val="en-GB"/>
        </w:rPr>
        <w:t xml:space="preserve"> the</w:t>
      </w:r>
      <w:r w:rsidR="00A75230" w:rsidRPr="00FB19E5">
        <w:rPr>
          <w:rFonts w:ascii="Times New Roman" w:hAnsi="Times New Roman" w:cs="Times New Roman"/>
          <w:sz w:val="24"/>
          <w:szCs w:val="24"/>
          <w:lang w:val="en-GB"/>
        </w:rPr>
        <w:t xml:space="preserve"> persisten</w:t>
      </w:r>
      <w:r w:rsidR="008F1F00" w:rsidRPr="00FB19E5">
        <w:rPr>
          <w:rFonts w:ascii="Times New Roman" w:hAnsi="Times New Roman" w:cs="Times New Roman"/>
          <w:sz w:val="24"/>
          <w:szCs w:val="24"/>
          <w:lang w:val="en-GB"/>
        </w:rPr>
        <w:t>ce of</w:t>
      </w:r>
      <w:r w:rsidR="00A75230" w:rsidRPr="00FB19E5">
        <w:rPr>
          <w:rFonts w:ascii="Times New Roman" w:hAnsi="Times New Roman" w:cs="Times New Roman"/>
          <w:sz w:val="24"/>
          <w:szCs w:val="24"/>
          <w:lang w:val="en-GB"/>
        </w:rPr>
        <w:t xml:space="preserve"> differences in the level of technological capabilities between countries</w:t>
      </w:r>
      <w:r w:rsidR="00CB62B0" w:rsidRPr="00FB19E5">
        <w:rPr>
          <w:rFonts w:ascii="Times New Roman" w:hAnsi="Times New Roman" w:cs="Times New Roman"/>
          <w:sz w:val="24"/>
          <w:szCs w:val="24"/>
          <w:lang w:val="en-GB"/>
        </w:rPr>
        <w:t>.</w:t>
      </w:r>
      <w:r w:rsidR="00A75230" w:rsidRPr="00FB19E5">
        <w:rPr>
          <w:rFonts w:ascii="Times New Roman" w:hAnsi="Times New Roman" w:cs="Times New Roman"/>
          <w:sz w:val="24"/>
          <w:szCs w:val="24"/>
          <w:lang w:val="en-GB"/>
        </w:rPr>
        <w:t xml:space="preserve"> </w:t>
      </w:r>
      <w:r w:rsidR="008F1F00" w:rsidRPr="00FB19E5">
        <w:rPr>
          <w:rFonts w:ascii="Times New Roman" w:hAnsi="Times New Roman" w:cs="Times New Roman"/>
          <w:sz w:val="24"/>
          <w:szCs w:val="24"/>
          <w:lang w:val="en-GB"/>
        </w:rPr>
        <w:t>Hence, through the process of</w:t>
      </w:r>
      <w:r w:rsidRPr="00FB19E5">
        <w:rPr>
          <w:rFonts w:ascii="Times New Roman" w:hAnsi="Times New Roman" w:cs="Times New Roman"/>
          <w:sz w:val="24"/>
          <w:szCs w:val="24"/>
          <w:lang w:val="en-GB"/>
        </w:rPr>
        <w:t xml:space="preserve"> technological catch-up </w:t>
      </w:r>
      <w:r w:rsidR="008F1F00" w:rsidRPr="00FB19E5">
        <w:rPr>
          <w:rFonts w:ascii="Times New Roman" w:hAnsi="Times New Roman" w:cs="Times New Roman"/>
          <w:sz w:val="24"/>
          <w:szCs w:val="24"/>
          <w:lang w:val="en-GB"/>
        </w:rPr>
        <w:t>poorer economies can grow at faster rates than richer countries.</w:t>
      </w:r>
    </w:p>
    <w:p w:rsidR="006B3150" w:rsidRPr="00421139" w:rsidRDefault="00913E80" w:rsidP="00EA30A5">
      <w:pPr>
        <w:spacing w:line="240" w:lineRule="auto"/>
        <w:ind w:firstLine="284"/>
        <w:jc w:val="both"/>
        <w:rPr>
          <w:rFonts w:ascii="Times New Roman" w:hAnsi="Times New Roman" w:cs="Times New Roman"/>
          <w:sz w:val="24"/>
          <w:szCs w:val="24"/>
          <w:lang w:val="en-GB"/>
        </w:rPr>
      </w:pPr>
      <w:r w:rsidRPr="00FB19E5">
        <w:rPr>
          <w:rFonts w:ascii="Times New Roman" w:hAnsi="Times New Roman" w:cs="Times New Roman"/>
          <w:sz w:val="24"/>
          <w:szCs w:val="24"/>
          <w:lang w:val="en-GB"/>
        </w:rPr>
        <w:t>M</w:t>
      </w:r>
      <w:r w:rsidR="006B3150" w:rsidRPr="00FB19E5">
        <w:rPr>
          <w:rFonts w:ascii="Times New Roman" w:hAnsi="Times New Roman" w:cs="Times New Roman"/>
          <w:sz w:val="24"/>
          <w:szCs w:val="24"/>
          <w:lang w:val="en-GB"/>
        </w:rPr>
        <w:t xml:space="preserve">any studies have </w:t>
      </w:r>
      <w:r w:rsidR="003F3394" w:rsidRPr="00FB19E5">
        <w:rPr>
          <w:rFonts w:ascii="Times New Roman" w:hAnsi="Times New Roman" w:cs="Times New Roman"/>
          <w:sz w:val="24"/>
          <w:szCs w:val="24"/>
          <w:lang w:val="en-GB"/>
        </w:rPr>
        <w:t>tested the hypothesis of convergence</w:t>
      </w:r>
      <w:r w:rsidR="006B3150" w:rsidRPr="00FB19E5">
        <w:rPr>
          <w:rFonts w:ascii="Times New Roman" w:hAnsi="Times New Roman" w:cs="Times New Roman"/>
          <w:sz w:val="24"/>
          <w:szCs w:val="24"/>
          <w:lang w:val="en-GB"/>
        </w:rPr>
        <w:t xml:space="preserve">. Bernard and Jones (1996) analysed the role of sectors in </w:t>
      </w:r>
      <w:r w:rsidR="003F3394" w:rsidRPr="00FB19E5">
        <w:rPr>
          <w:rFonts w:ascii="Times New Roman" w:hAnsi="Times New Roman" w:cs="Times New Roman"/>
          <w:sz w:val="24"/>
          <w:szCs w:val="24"/>
          <w:lang w:val="en-GB"/>
        </w:rPr>
        <w:t xml:space="preserve">the </w:t>
      </w:r>
      <w:r w:rsidR="006B3150" w:rsidRPr="00FB19E5">
        <w:rPr>
          <w:rFonts w:ascii="Times New Roman" w:hAnsi="Times New Roman" w:cs="Times New Roman"/>
          <w:sz w:val="24"/>
          <w:szCs w:val="24"/>
          <w:lang w:val="en-GB"/>
        </w:rPr>
        <w:t>convergence</w:t>
      </w:r>
      <w:r w:rsidR="003F3394" w:rsidRPr="00FB19E5">
        <w:rPr>
          <w:rFonts w:ascii="Times New Roman" w:hAnsi="Times New Roman" w:cs="Times New Roman"/>
          <w:sz w:val="24"/>
          <w:szCs w:val="24"/>
          <w:lang w:val="en-GB"/>
        </w:rPr>
        <w:t xml:space="preserve"> process</w:t>
      </w:r>
      <w:r w:rsidR="006B3150" w:rsidRPr="00FB19E5">
        <w:rPr>
          <w:rFonts w:ascii="Times New Roman" w:hAnsi="Times New Roman" w:cs="Times New Roman"/>
          <w:sz w:val="24"/>
          <w:szCs w:val="24"/>
          <w:lang w:val="en-GB"/>
        </w:rPr>
        <w:t xml:space="preserve"> for OECD countries, and found that manufacturing shows little evidence of productivity convergence, whilst other sectors, especially services, are driving the aggregate convergence. Sorensen (2001)</w:t>
      </w:r>
      <w:r w:rsidR="003F3394" w:rsidRPr="00FB19E5">
        <w:rPr>
          <w:rFonts w:ascii="Times New Roman" w:hAnsi="Times New Roman" w:cs="Times New Roman"/>
          <w:sz w:val="24"/>
          <w:szCs w:val="24"/>
          <w:lang w:val="en-GB"/>
        </w:rPr>
        <w:t xml:space="preserve"> criticis</w:t>
      </w:r>
      <w:r w:rsidR="006B3150" w:rsidRPr="00FB19E5">
        <w:rPr>
          <w:rFonts w:ascii="Times New Roman" w:hAnsi="Times New Roman" w:cs="Times New Roman"/>
          <w:sz w:val="24"/>
          <w:szCs w:val="24"/>
          <w:lang w:val="en-GB"/>
        </w:rPr>
        <w:t>es this study</w:t>
      </w:r>
      <w:r w:rsidRPr="00FB19E5">
        <w:rPr>
          <w:rFonts w:ascii="Times New Roman" w:hAnsi="Times New Roman" w:cs="Times New Roman"/>
          <w:sz w:val="24"/>
          <w:szCs w:val="24"/>
          <w:lang w:val="en-GB"/>
        </w:rPr>
        <w:t xml:space="preserve"> by arguing that</w:t>
      </w:r>
      <w:r w:rsidR="006B3150" w:rsidRPr="00FB19E5">
        <w:rPr>
          <w:rFonts w:ascii="Times New Roman" w:hAnsi="Times New Roman" w:cs="Times New Roman"/>
          <w:sz w:val="24"/>
          <w:szCs w:val="24"/>
          <w:lang w:val="en-GB"/>
        </w:rPr>
        <w:t xml:space="preserve"> the result obtained by Bernard and Jones is not robust to the choice </w:t>
      </w:r>
      <w:r w:rsidR="003F3394" w:rsidRPr="00FB19E5">
        <w:rPr>
          <w:rFonts w:ascii="Times New Roman" w:hAnsi="Times New Roman" w:cs="Times New Roman"/>
          <w:sz w:val="24"/>
          <w:szCs w:val="24"/>
          <w:lang w:val="en-GB"/>
        </w:rPr>
        <w:t>of base year. Sorensen estimates</w:t>
      </w:r>
      <w:r w:rsidR="006B3150" w:rsidRPr="00FB19E5">
        <w:rPr>
          <w:rFonts w:ascii="Times New Roman" w:hAnsi="Times New Roman" w:cs="Times New Roman"/>
          <w:sz w:val="24"/>
          <w:szCs w:val="24"/>
          <w:lang w:val="en-GB"/>
        </w:rPr>
        <w:t xml:space="preserve"> </w:t>
      </w:r>
      <w:r w:rsidR="003F3394" w:rsidRPr="00FB19E5">
        <w:rPr>
          <w:rFonts w:ascii="Times New Roman" w:hAnsi="Times New Roman" w:cs="Times New Roman"/>
          <w:sz w:val="24"/>
          <w:szCs w:val="24"/>
          <w:lang w:val="en-GB"/>
        </w:rPr>
        <w:t>use</w:t>
      </w:r>
      <w:r w:rsidR="006B3150" w:rsidRPr="00FB19E5">
        <w:rPr>
          <w:rFonts w:ascii="Times New Roman" w:hAnsi="Times New Roman" w:cs="Times New Roman"/>
          <w:sz w:val="24"/>
          <w:szCs w:val="24"/>
          <w:lang w:val="en-GB"/>
        </w:rPr>
        <w:t xml:space="preserve"> different base-years and found that aggregate</w:t>
      </w:r>
      <w:r w:rsidR="00165441" w:rsidRPr="00FB19E5">
        <w:rPr>
          <w:rFonts w:ascii="Times New Roman" w:hAnsi="Times New Roman" w:cs="Times New Roman"/>
          <w:sz w:val="24"/>
          <w:szCs w:val="24"/>
          <w:lang w:val="en-GB"/>
        </w:rPr>
        <w:t xml:space="preserve"> Purchasing Power Parities (</w:t>
      </w:r>
      <w:r w:rsidR="006B3150" w:rsidRPr="00FB19E5">
        <w:rPr>
          <w:rFonts w:ascii="Times New Roman" w:hAnsi="Times New Roman" w:cs="Times New Roman"/>
          <w:sz w:val="24"/>
          <w:szCs w:val="24"/>
          <w:lang w:val="en-GB"/>
        </w:rPr>
        <w:t>PPPs</w:t>
      </w:r>
      <w:r w:rsidR="00165441" w:rsidRPr="00FB19E5">
        <w:rPr>
          <w:rFonts w:ascii="Times New Roman" w:hAnsi="Times New Roman" w:cs="Times New Roman"/>
          <w:sz w:val="24"/>
          <w:szCs w:val="24"/>
          <w:lang w:val="en-GB"/>
        </w:rPr>
        <w:t>)</w:t>
      </w:r>
      <w:r w:rsidR="006B3150" w:rsidRPr="00FB19E5">
        <w:rPr>
          <w:rFonts w:ascii="Times New Roman" w:hAnsi="Times New Roman" w:cs="Times New Roman"/>
          <w:sz w:val="24"/>
          <w:szCs w:val="24"/>
          <w:lang w:val="en-GB"/>
        </w:rPr>
        <w:t xml:space="preserve"> are not suitable conversion factors for manufacturing, once it presents strong (and statistically significant) convergence if the base years are</w:t>
      </w:r>
      <w:r w:rsidR="003F3394" w:rsidRPr="00FB19E5">
        <w:rPr>
          <w:rFonts w:ascii="Times New Roman" w:hAnsi="Times New Roman" w:cs="Times New Roman"/>
          <w:sz w:val="24"/>
          <w:szCs w:val="24"/>
          <w:lang w:val="en-GB"/>
        </w:rPr>
        <w:t xml:space="preserve"> either</w:t>
      </w:r>
      <w:r w:rsidR="006B3150" w:rsidRPr="00FB19E5">
        <w:rPr>
          <w:rFonts w:ascii="Times New Roman" w:hAnsi="Times New Roman" w:cs="Times New Roman"/>
          <w:sz w:val="24"/>
          <w:szCs w:val="24"/>
          <w:lang w:val="en-GB"/>
        </w:rPr>
        <w:t xml:space="preserve"> 1985,</w:t>
      </w:r>
      <w:r w:rsidR="003F3394" w:rsidRPr="00FB19E5">
        <w:rPr>
          <w:rFonts w:ascii="Times New Roman" w:hAnsi="Times New Roman" w:cs="Times New Roman"/>
          <w:sz w:val="24"/>
          <w:szCs w:val="24"/>
          <w:lang w:val="en-GB"/>
        </w:rPr>
        <w:t xml:space="preserve"> or</w:t>
      </w:r>
      <w:r w:rsidR="006B3150" w:rsidRPr="00FB19E5">
        <w:rPr>
          <w:rFonts w:ascii="Times New Roman" w:hAnsi="Times New Roman" w:cs="Times New Roman"/>
          <w:sz w:val="24"/>
          <w:szCs w:val="24"/>
          <w:lang w:val="en-GB"/>
        </w:rPr>
        <w:t xml:space="preserve"> 1990 or 1993. More recently, Le Gallo and </w:t>
      </w:r>
      <w:proofErr w:type="spellStart"/>
      <w:r w:rsidR="006B3150" w:rsidRPr="00FB19E5">
        <w:rPr>
          <w:rFonts w:ascii="Times New Roman" w:hAnsi="Times New Roman" w:cs="Times New Roman"/>
          <w:sz w:val="24"/>
          <w:szCs w:val="24"/>
          <w:lang w:val="en-GB"/>
        </w:rPr>
        <w:t>Dall’erba</w:t>
      </w:r>
      <w:proofErr w:type="spellEnd"/>
      <w:r w:rsidR="006B3150" w:rsidRPr="00FB19E5">
        <w:rPr>
          <w:rFonts w:ascii="Times New Roman" w:hAnsi="Times New Roman" w:cs="Times New Roman"/>
          <w:sz w:val="24"/>
          <w:szCs w:val="24"/>
          <w:lang w:val="en-GB"/>
        </w:rPr>
        <w:t xml:space="preserve"> (2008) used spatial lags as controls to estimate convergence among</w:t>
      </w:r>
      <w:r w:rsidR="003F3394" w:rsidRPr="00FB19E5">
        <w:rPr>
          <w:rFonts w:ascii="Times New Roman" w:hAnsi="Times New Roman" w:cs="Times New Roman"/>
          <w:sz w:val="24"/>
          <w:szCs w:val="24"/>
          <w:lang w:val="en-GB"/>
        </w:rPr>
        <w:t>st</w:t>
      </w:r>
      <w:r w:rsidR="006B3150" w:rsidRPr="00FB19E5">
        <w:rPr>
          <w:rFonts w:ascii="Times New Roman" w:hAnsi="Times New Roman" w:cs="Times New Roman"/>
          <w:sz w:val="24"/>
          <w:szCs w:val="24"/>
          <w:lang w:val="en-GB"/>
        </w:rPr>
        <w:t xml:space="preserve"> sectors and regions in Europe. The authors found that labour productivity </w:t>
      </w:r>
      <w:r w:rsidR="003F3394" w:rsidRPr="00FB19E5">
        <w:rPr>
          <w:rFonts w:ascii="Times New Roman" w:hAnsi="Times New Roman" w:cs="Times New Roman"/>
          <w:sz w:val="24"/>
          <w:szCs w:val="24"/>
          <w:lang w:val="en-GB"/>
        </w:rPr>
        <w:t xml:space="preserve">tends to </w:t>
      </w:r>
      <w:r w:rsidR="006B3150" w:rsidRPr="00FB19E5">
        <w:rPr>
          <w:rFonts w:ascii="Times New Roman" w:hAnsi="Times New Roman" w:cs="Times New Roman"/>
          <w:sz w:val="24"/>
          <w:szCs w:val="24"/>
          <w:lang w:val="en-GB"/>
        </w:rPr>
        <w:t xml:space="preserve">converge to the same productivity level in the aggregate level, </w:t>
      </w:r>
      <w:r w:rsidR="003F3394" w:rsidRPr="00FB19E5">
        <w:rPr>
          <w:rFonts w:ascii="Times New Roman" w:hAnsi="Times New Roman" w:cs="Times New Roman"/>
          <w:sz w:val="24"/>
          <w:szCs w:val="24"/>
          <w:lang w:val="en-GB"/>
        </w:rPr>
        <w:t xml:space="preserve">as well as </w:t>
      </w:r>
      <w:r w:rsidR="006B3150" w:rsidRPr="00FB19E5">
        <w:rPr>
          <w:rFonts w:ascii="Times New Roman" w:hAnsi="Times New Roman" w:cs="Times New Roman"/>
          <w:sz w:val="24"/>
          <w:szCs w:val="24"/>
          <w:lang w:val="en-GB"/>
        </w:rPr>
        <w:t>in manuf</w:t>
      </w:r>
      <w:r w:rsidR="003F3394">
        <w:rPr>
          <w:rFonts w:ascii="Times New Roman" w:hAnsi="Times New Roman" w:cs="Times New Roman"/>
          <w:sz w:val="24"/>
          <w:szCs w:val="24"/>
          <w:lang w:val="en-GB"/>
        </w:rPr>
        <w:t>acturing and in market services.</w:t>
      </w:r>
      <w:r w:rsidR="006B3150" w:rsidRPr="00421139">
        <w:rPr>
          <w:rFonts w:ascii="Times New Roman" w:hAnsi="Times New Roman" w:cs="Times New Roman"/>
          <w:sz w:val="24"/>
          <w:szCs w:val="24"/>
          <w:lang w:val="en-GB"/>
        </w:rPr>
        <w:t xml:space="preserve"> </w:t>
      </w:r>
      <w:r w:rsidR="003F3394">
        <w:rPr>
          <w:rFonts w:ascii="Times New Roman" w:hAnsi="Times New Roman" w:cs="Times New Roman"/>
          <w:sz w:val="24"/>
          <w:szCs w:val="24"/>
          <w:lang w:val="en-GB"/>
        </w:rPr>
        <w:lastRenderedPageBreak/>
        <w:t>Conversely, i</w:t>
      </w:r>
      <w:r w:rsidR="006B3150" w:rsidRPr="00421139">
        <w:rPr>
          <w:rFonts w:ascii="Times New Roman" w:hAnsi="Times New Roman" w:cs="Times New Roman"/>
          <w:sz w:val="24"/>
          <w:szCs w:val="24"/>
          <w:lang w:val="en-GB"/>
        </w:rPr>
        <w:t>n agriculture, construction and non-market services, productivit</w:t>
      </w:r>
      <w:r w:rsidR="003F3394">
        <w:rPr>
          <w:rFonts w:ascii="Times New Roman" w:hAnsi="Times New Roman" w:cs="Times New Roman"/>
          <w:sz w:val="24"/>
          <w:szCs w:val="24"/>
          <w:lang w:val="en-GB"/>
        </w:rPr>
        <w:t>y in peripheral regions and central</w:t>
      </w:r>
      <w:r w:rsidR="006B3150" w:rsidRPr="00421139">
        <w:rPr>
          <w:rFonts w:ascii="Times New Roman" w:hAnsi="Times New Roman" w:cs="Times New Roman"/>
          <w:sz w:val="24"/>
          <w:szCs w:val="24"/>
          <w:lang w:val="en-GB"/>
        </w:rPr>
        <w:t xml:space="preserve"> regions</w:t>
      </w:r>
      <w:r w:rsidR="003F3394">
        <w:rPr>
          <w:rFonts w:ascii="Times New Roman" w:hAnsi="Times New Roman" w:cs="Times New Roman"/>
          <w:sz w:val="24"/>
          <w:szCs w:val="24"/>
          <w:lang w:val="en-GB"/>
        </w:rPr>
        <w:t xml:space="preserve"> conditionally</w:t>
      </w:r>
      <w:r w:rsidR="006B3150" w:rsidRPr="00421139">
        <w:rPr>
          <w:rFonts w:ascii="Times New Roman" w:hAnsi="Times New Roman" w:cs="Times New Roman"/>
          <w:sz w:val="24"/>
          <w:szCs w:val="24"/>
          <w:lang w:val="en-GB"/>
        </w:rPr>
        <w:t xml:space="preserve"> converge to different levels.</w:t>
      </w:r>
    </w:p>
    <w:p w:rsidR="008A517A" w:rsidRDefault="0025073E"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In light of these findings</w:t>
      </w:r>
      <w:r w:rsidR="00913E80" w:rsidRPr="00421139">
        <w:rPr>
          <w:rFonts w:ascii="Times New Roman" w:hAnsi="Times New Roman" w:cs="Times New Roman"/>
          <w:sz w:val="24"/>
          <w:szCs w:val="24"/>
          <w:lang w:val="en-GB"/>
        </w:rPr>
        <w:t xml:space="preserve">, it is important to </w:t>
      </w:r>
      <w:r>
        <w:rPr>
          <w:rFonts w:ascii="Times New Roman" w:hAnsi="Times New Roman" w:cs="Times New Roman"/>
          <w:sz w:val="24"/>
          <w:szCs w:val="24"/>
          <w:lang w:val="en-GB"/>
        </w:rPr>
        <w:t>investigate</w:t>
      </w:r>
      <w:r w:rsidR="00913E80" w:rsidRPr="00421139">
        <w:rPr>
          <w:rFonts w:ascii="Times New Roman" w:hAnsi="Times New Roman" w:cs="Times New Roman"/>
          <w:sz w:val="24"/>
          <w:szCs w:val="24"/>
          <w:lang w:val="en-GB"/>
        </w:rPr>
        <w:t xml:space="preserve"> to wh</w:t>
      </w:r>
      <w:r>
        <w:rPr>
          <w:rFonts w:ascii="Times New Roman" w:hAnsi="Times New Roman" w:cs="Times New Roman"/>
          <w:sz w:val="24"/>
          <w:szCs w:val="24"/>
          <w:lang w:val="en-GB"/>
        </w:rPr>
        <w:t>ich</w:t>
      </w:r>
      <w:r w:rsidR="00913E80" w:rsidRPr="00421139">
        <w:rPr>
          <w:rFonts w:ascii="Times New Roman" w:hAnsi="Times New Roman" w:cs="Times New Roman"/>
          <w:sz w:val="24"/>
          <w:szCs w:val="24"/>
          <w:lang w:val="en-GB"/>
        </w:rPr>
        <w:t xml:space="preserve"> extend </w:t>
      </w:r>
      <w:r w:rsidR="005C50F0">
        <w:rPr>
          <w:rFonts w:ascii="Times New Roman" w:hAnsi="Times New Roman" w:cs="Times New Roman"/>
          <w:sz w:val="24"/>
          <w:szCs w:val="24"/>
          <w:lang w:val="en-GB"/>
        </w:rPr>
        <w:t>the positive correlation between currency devaluation and growth is determined by the level of technological capabilities of the country relative to the technological leader</w:t>
      </w:r>
      <w:r w:rsidR="00913E80" w:rsidRPr="00421139">
        <w:rPr>
          <w:rFonts w:ascii="Times New Roman" w:hAnsi="Times New Roman" w:cs="Times New Roman"/>
          <w:sz w:val="24"/>
          <w:szCs w:val="24"/>
          <w:lang w:val="en-GB"/>
        </w:rPr>
        <w:t>.</w:t>
      </w:r>
      <w:r w:rsidR="003E35C8">
        <w:rPr>
          <w:rFonts w:ascii="Times New Roman" w:hAnsi="Times New Roman" w:cs="Times New Roman"/>
          <w:sz w:val="24"/>
          <w:szCs w:val="24"/>
          <w:lang w:val="en-GB"/>
        </w:rPr>
        <w:t xml:space="preserve"> The most appropriate econometric technique to tackle this issue seems to be the </w:t>
      </w:r>
      <w:r w:rsidR="003E35C8" w:rsidRPr="003E35C8">
        <w:rPr>
          <w:rFonts w:ascii="Times New Roman" w:hAnsi="Times New Roman" w:cs="Times New Roman"/>
          <w:i/>
          <w:sz w:val="24"/>
          <w:szCs w:val="24"/>
          <w:lang w:val="en-GB"/>
        </w:rPr>
        <w:t>heterogeneous regressions</w:t>
      </w:r>
      <w:r w:rsidR="003E35C8" w:rsidRPr="00421139">
        <w:rPr>
          <w:rFonts w:ascii="Times New Roman" w:hAnsi="Times New Roman" w:cs="Times New Roman"/>
          <w:sz w:val="24"/>
          <w:szCs w:val="24"/>
          <w:vertAlign w:val="superscript"/>
          <w:lang w:val="en-GB"/>
        </w:rPr>
        <w:footnoteReference w:id="1"/>
      </w:r>
      <w:r w:rsidR="003E35C8" w:rsidRPr="00421139">
        <w:rPr>
          <w:rFonts w:ascii="Times New Roman" w:hAnsi="Times New Roman" w:cs="Times New Roman"/>
          <w:sz w:val="24"/>
          <w:szCs w:val="24"/>
          <w:lang w:val="en-GB"/>
        </w:rPr>
        <w:t xml:space="preserve">. </w:t>
      </w:r>
      <w:r w:rsidR="005C50F0">
        <w:rPr>
          <w:rFonts w:ascii="Times New Roman" w:hAnsi="Times New Roman" w:cs="Times New Roman"/>
          <w:sz w:val="24"/>
          <w:szCs w:val="24"/>
          <w:lang w:val="en-GB"/>
        </w:rPr>
        <w:t>Unlike the previous works</w:t>
      </w:r>
      <w:r w:rsidR="00913E80" w:rsidRPr="00421139">
        <w:rPr>
          <w:rFonts w:ascii="Times New Roman" w:hAnsi="Times New Roman" w:cs="Times New Roman"/>
          <w:sz w:val="24"/>
          <w:szCs w:val="24"/>
          <w:lang w:val="en-GB"/>
        </w:rPr>
        <w:t>,</w:t>
      </w:r>
      <w:r w:rsidR="005C50F0">
        <w:rPr>
          <w:rFonts w:ascii="Times New Roman" w:hAnsi="Times New Roman" w:cs="Times New Roman"/>
          <w:sz w:val="24"/>
          <w:szCs w:val="24"/>
          <w:lang w:val="en-GB"/>
        </w:rPr>
        <w:t xml:space="preserve"> in this paper</w:t>
      </w:r>
      <w:r w:rsidR="00913E80" w:rsidRPr="00421139">
        <w:rPr>
          <w:rFonts w:ascii="Times New Roman" w:hAnsi="Times New Roman" w:cs="Times New Roman"/>
          <w:sz w:val="24"/>
          <w:szCs w:val="24"/>
          <w:lang w:val="en-GB"/>
        </w:rPr>
        <w:t xml:space="preserve"> technological gap will not be used as </w:t>
      </w:r>
      <w:r w:rsidR="005C50F0">
        <w:rPr>
          <w:rFonts w:ascii="Times New Roman" w:hAnsi="Times New Roman" w:cs="Times New Roman"/>
          <w:sz w:val="24"/>
          <w:szCs w:val="24"/>
          <w:lang w:val="en-GB"/>
        </w:rPr>
        <w:t xml:space="preserve">a </w:t>
      </w:r>
      <w:r w:rsidR="00913E80" w:rsidRPr="00421139">
        <w:rPr>
          <w:rFonts w:ascii="Times New Roman" w:hAnsi="Times New Roman" w:cs="Times New Roman"/>
          <w:sz w:val="24"/>
          <w:szCs w:val="24"/>
          <w:lang w:val="en-GB"/>
        </w:rPr>
        <w:t>control</w:t>
      </w:r>
      <w:r w:rsidR="005C50F0">
        <w:rPr>
          <w:rFonts w:ascii="Times New Roman" w:hAnsi="Times New Roman" w:cs="Times New Roman"/>
          <w:sz w:val="24"/>
          <w:szCs w:val="24"/>
          <w:lang w:val="en-GB"/>
        </w:rPr>
        <w:t xml:space="preserve"> variable in</w:t>
      </w:r>
      <w:r w:rsidR="00913E80" w:rsidRPr="00421139">
        <w:rPr>
          <w:rFonts w:ascii="Times New Roman" w:hAnsi="Times New Roman" w:cs="Times New Roman"/>
          <w:sz w:val="24"/>
          <w:szCs w:val="24"/>
          <w:lang w:val="en-GB"/>
        </w:rPr>
        <w:t xml:space="preserve"> the</w:t>
      </w:r>
      <w:r w:rsidR="005C50F0">
        <w:rPr>
          <w:rFonts w:ascii="Times New Roman" w:hAnsi="Times New Roman" w:cs="Times New Roman"/>
          <w:sz w:val="24"/>
          <w:szCs w:val="24"/>
          <w:lang w:val="en-GB"/>
        </w:rPr>
        <w:t xml:space="preserve"> baseline</w:t>
      </w:r>
      <w:r w:rsidR="00913E80" w:rsidRPr="00421139">
        <w:rPr>
          <w:rFonts w:ascii="Times New Roman" w:hAnsi="Times New Roman" w:cs="Times New Roman"/>
          <w:sz w:val="24"/>
          <w:szCs w:val="24"/>
          <w:lang w:val="en-GB"/>
        </w:rPr>
        <w:t xml:space="preserve"> equation, but as a variable of heterogeneity. </w:t>
      </w:r>
      <w:r w:rsidR="005C50F0">
        <w:rPr>
          <w:rFonts w:ascii="Times New Roman" w:hAnsi="Times New Roman" w:cs="Times New Roman"/>
          <w:sz w:val="24"/>
          <w:szCs w:val="24"/>
          <w:lang w:val="en-GB"/>
        </w:rPr>
        <w:t>Since our</w:t>
      </w:r>
      <w:r w:rsidR="00913E80" w:rsidRPr="00421139">
        <w:rPr>
          <w:rFonts w:ascii="Times New Roman" w:hAnsi="Times New Roman" w:cs="Times New Roman"/>
          <w:sz w:val="24"/>
          <w:szCs w:val="24"/>
          <w:lang w:val="en-GB"/>
        </w:rPr>
        <w:t xml:space="preserve"> dataset</w:t>
      </w:r>
      <w:r w:rsidR="005C50F0">
        <w:rPr>
          <w:rFonts w:ascii="Times New Roman" w:hAnsi="Times New Roman" w:cs="Times New Roman"/>
          <w:sz w:val="24"/>
          <w:szCs w:val="24"/>
          <w:lang w:val="en-GB"/>
        </w:rPr>
        <w:t xml:space="preserve"> consists of</w:t>
      </w:r>
      <w:r w:rsidR="00913E80" w:rsidRPr="00421139">
        <w:rPr>
          <w:rFonts w:ascii="Times New Roman" w:hAnsi="Times New Roman" w:cs="Times New Roman"/>
          <w:sz w:val="24"/>
          <w:szCs w:val="24"/>
          <w:lang w:val="en-GB"/>
        </w:rPr>
        <w:t xml:space="preserve"> countries in different stages of </w:t>
      </w:r>
      <w:r w:rsidR="007E6763">
        <w:rPr>
          <w:rFonts w:ascii="Times New Roman" w:hAnsi="Times New Roman" w:cs="Times New Roman"/>
          <w:sz w:val="24"/>
          <w:szCs w:val="24"/>
          <w:lang w:val="en-GB"/>
        </w:rPr>
        <w:t xml:space="preserve">technological </w:t>
      </w:r>
      <w:r w:rsidR="00913E80" w:rsidRPr="00421139">
        <w:rPr>
          <w:rFonts w:ascii="Times New Roman" w:hAnsi="Times New Roman" w:cs="Times New Roman"/>
          <w:sz w:val="24"/>
          <w:szCs w:val="24"/>
          <w:lang w:val="en-GB"/>
        </w:rPr>
        <w:t>development,</w:t>
      </w:r>
      <w:r w:rsidR="007E6763">
        <w:rPr>
          <w:rFonts w:ascii="Times New Roman" w:hAnsi="Times New Roman" w:cs="Times New Roman"/>
          <w:sz w:val="24"/>
          <w:szCs w:val="24"/>
          <w:lang w:val="en-GB"/>
        </w:rPr>
        <w:t xml:space="preserve"> we can add an interaction term between</w:t>
      </w:r>
      <w:r w:rsidR="00913E80" w:rsidRPr="00421139">
        <w:rPr>
          <w:rFonts w:ascii="Times New Roman" w:hAnsi="Times New Roman" w:cs="Times New Roman"/>
          <w:sz w:val="24"/>
          <w:szCs w:val="24"/>
          <w:lang w:val="en-GB"/>
        </w:rPr>
        <w:t xml:space="preserve"> RER </w:t>
      </w:r>
      <w:r w:rsidR="007E6763">
        <w:rPr>
          <w:rFonts w:ascii="Times New Roman" w:hAnsi="Times New Roman" w:cs="Times New Roman"/>
          <w:sz w:val="24"/>
          <w:szCs w:val="24"/>
          <w:lang w:val="en-GB"/>
        </w:rPr>
        <w:t>misalignment and technological gap to the regression model in order to capture the impact of currency devaluation on growth for different levels of technological gap.</w:t>
      </w:r>
      <w:r w:rsidR="00913E80" w:rsidRPr="00421139">
        <w:rPr>
          <w:rFonts w:ascii="Times New Roman" w:hAnsi="Times New Roman" w:cs="Times New Roman"/>
          <w:sz w:val="24"/>
          <w:szCs w:val="24"/>
          <w:lang w:val="en-GB"/>
        </w:rPr>
        <w:t xml:space="preserve"> </w:t>
      </w:r>
      <w:r w:rsidR="007E6763">
        <w:rPr>
          <w:rFonts w:ascii="Times New Roman" w:hAnsi="Times New Roman" w:cs="Times New Roman"/>
          <w:sz w:val="24"/>
          <w:szCs w:val="24"/>
          <w:lang w:val="en-GB"/>
        </w:rPr>
        <w:t>Therefore</w:t>
      </w:r>
      <w:r w:rsidR="008A517A">
        <w:rPr>
          <w:rFonts w:ascii="Times New Roman" w:hAnsi="Times New Roman" w:cs="Times New Roman"/>
          <w:sz w:val="24"/>
          <w:szCs w:val="24"/>
          <w:lang w:val="en-GB"/>
        </w:rPr>
        <w:t>, the partial effect</w:t>
      </w:r>
      <w:r w:rsidR="00913E80" w:rsidRPr="00421139">
        <w:rPr>
          <w:rFonts w:ascii="Times New Roman" w:hAnsi="Times New Roman" w:cs="Times New Roman"/>
          <w:sz w:val="24"/>
          <w:szCs w:val="24"/>
          <w:lang w:val="en-GB"/>
        </w:rPr>
        <w:t xml:space="preserve"> of currency undervaluation</w:t>
      </w:r>
      <w:r w:rsidR="007E6763">
        <w:rPr>
          <w:rFonts w:ascii="Times New Roman" w:hAnsi="Times New Roman" w:cs="Times New Roman"/>
          <w:sz w:val="24"/>
          <w:szCs w:val="24"/>
          <w:lang w:val="en-GB"/>
        </w:rPr>
        <w:t xml:space="preserve"> on growth, that is, the coefficient of the interaction term, varies </w:t>
      </w:r>
      <w:r w:rsidR="00913E80" w:rsidRPr="00421139">
        <w:rPr>
          <w:rFonts w:ascii="Times New Roman" w:hAnsi="Times New Roman" w:cs="Times New Roman"/>
          <w:sz w:val="24"/>
          <w:szCs w:val="24"/>
          <w:lang w:val="en-GB"/>
        </w:rPr>
        <w:t>according to countries’ technological gap</w:t>
      </w:r>
      <w:r w:rsidR="003E35C8">
        <w:rPr>
          <w:rFonts w:ascii="Times New Roman" w:hAnsi="Times New Roman" w:cs="Times New Roman"/>
          <w:sz w:val="24"/>
          <w:szCs w:val="24"/>
          <w:lang w:val="en-GB"/>
        </w:rPr>
        <w:t>.</w:t>
      </w:r>
      <w:r w:rsidR="00913E80" w:rsidRPr="00421139">
        <w:rPr>
          <w:rFonts w:ascii="Times New Roman" w:hAnsi="Times New Roman" w:cs="Times New Roman"/>
          <w:sz w:val="24"/>
          <w:szCs w:val="24"/>
          <w:lang w:val="en-GB"/>
        </w:rPr>
        <w:t xml:space="preserve"> </w:t>
      </w:r>
      <w:r w:rsidR="003E35C8">
        <w:rPr>
          <w:rFonts w:ascii="Times New Roman" w:hAnsi="Times New Roman" w:cs="Times New Roman"/>
          <w:sz w:val="24"/>
          <w:szCs w:val="24"/>
          <w:lang w:val="en-GB"/>
        </w:rPr>
        <w:t>This estimate</w:t>
      </w:r>
      <w:r w:rsidR="00913E80" w:rsidRPr="00421139">
        <w:rPr>
          <w:rFonts w:ascii="Times New Roman" w:hAnsi="Times New Roman" w:cs="Times New Roman"/>
          <w:sz w:val="24"/>
          <w:szCs w:val="24"/>
          <w:lang w:val="en-GB"/>
        </w:rPr>
        <w:t xml:space="preserve"> may </w:t>
      </w:r>
      <w:r w:rsidR="008A517A">
        <w:rPr>
          <w:rFonts w:ascii="Times New Roman" w:hAnsi="Times New Roman" w:cs="Times New Roman"/>
          <w:sz w:val="24"/>
          <w:szCs w:val="24"/>
          <w:lang w:val="en-GB"/>
        </w:rPr>
        <w:t>shed light on</w:t>
      </w:r>
      <w:r w:rsidR="00913E80" w:rsidRPr="00421139">
        <w:rPr>
          <w:rFonts w:ascii="Times New Roman" w:hAnsi="Times New Roman" w:cs="Times New Roman"/>
          <w:sz w:val="24"/>
          <w:szCs w:val="24"/>
          <w:lang w:val="en-GB"/>
        </w:rPr>
        <w:t xml:space="preserve"> some important issues </w:t>
      </w:r>
      <w:r w:rsidR="008A517A">
        <w:rPr>
          <w:rFonts w:ascii="Times New Roman" w:hAnsi="Times New Roman" w:cs="Times New Roman"/>
          <w:sz w:val="24"/>
          <w:szCs w:val="24"/>
          <w:lang w:val="en-GB"/>
        </w:rPr>
        <w:t>in</w:t>
      </w:r>
      <w:r w:rsidR="00913E80" w:rsidRPr="00421139">
        <w:rPr>
          <w:rFonts w:ascii="Times New Roman" w:hAnsi="Times New Roman" w:cs="Times New Roman"/>
          <w:sz w:val="24"/>
          <w:szCs w:val="24"/>
          <w:lang w:val="en-GB"/>
        </w:rPr>
        <w:t xml:space="preserve"> the</w:t>
      </w:r>
      <w:r w:rsidR="008A517A">
        <w:rPr>
          <w:rFonts w:ascii="Times New Roman" w:hAnsi="Times New Roman" w:cs="Times New Roman"/>
          <w:sz w:val="24"/>
          <w:szCs w:val="24"/>
          <w:lang w:val="en-GB"/>
        </w:rPr>
        <w:t xml:space="preserve"> current</w:t>
      </w:r>
      <w:r w:rsidR="00913E80" w:rsidRPr="00421139">
        <w:rPr>
          <w:rFonts w:ascii="Times New Roman" w:hAnsi="Times New Roman" w:cs="Times New Roman"/>
          <w:sz w:val="24"/>
          <w:szCs w:val="24"/>
          <w:lang w:val="en-GB"/>
        </w:rPr>
        <w:t xml:space="preserve"> debate </w:t>
      </w:r>
      <w:r w:rsidR="008A517A">
        <w:rPr>
          <w:rFonts w:ascii="Times New Roman" w:hAnsi="Times New Roman" w:cs="Times New Roman"/>
          <w:sz w:val="24"/>
          <w:szCs w:val="24"/>
          <w:lang w:val="en-GB"/>
        </w:rPr>
        <w:t xml:space="preserve">concerning the effectiveness </w:t>
      </w:r>
      <w:r w:rsidR="00913E80" w:rsidRPr="00421139">
        <w:rPr>
          <w:rFonts w:ascii="Times New Roman" w:hAnsi="Times New Roman" w:cs="Times New Roman"/>
          <w:sz w:val="24"/>
          <w:szCs w:val="24"/>
          <w:lang w:val="en-GB"/>
        </w:rPr>
        <w:t xml:space="preserve">of </w:t>
      </w:r>
      <w:r w:rsidR="00EF355A" w:rsidRPr="00421139">
        <w:rPr>
          <w:rFonts w:ascii="Times New Roman" w:hAnsi="Times New Roman" w:cs="Times New Roman"/>
          <w:sz w:val="24"/>
          <w:szCs w:val="24"/>
          <w:lang w:val="en-GB"/>
        </w:rPr>
        <w:t>RER</w:t>
      </w:r>
      <w:r w:rsidR="008A517A">
        <w:rPr>
          <w:rFonts w:ascii="Times New Roman" w:hAnsi="Times New Roman" w:cs="Times New Roman"/>
          <w:sz w:val="24"/>
          <w:szCs w:val="24"/>
          <w:lang w:val="en-GB"/>
        </w:rPr>
        <w:t xml:space="preserve"> undervaluation</w:t>
      </w:r>
      <w:r w:rsidR="00913E80" w:rsidRPr="00421139">
        <w:rPr>
          <w:rFonts w:ascii="Times New Roman" w:hAnsi="Times New Roman" w:cs="Times New Roman"/>
          <w:sz w:val="24"/>
          <w:szCs w:val="24"/>
          <w:lang w:val="en-GB"/>
        </w:rPr>
        <w:t xml:space="preserve"> for </w:t>
      </w:r>
      <w:r w:rsidR="008A517A">
        <w:rPr>
          <w:rFonts w:ascii="Times New Roman" w:hAnsi="Times New Roman" w:cs="Times New Roman"/>
          <w:sz w:val="24"/>
          <w:szCs w:val="24"/>
          <w:lang w:val="en-GB"/>
        </w:rPr>
        <w:t>boosting growth.</w:t>
      </w:r>
      <w:r w:rsidR="008A517A" w:rsidRPr="00421139">
        <w:rPr>
          <w:rFonts w:ascii="Times New Roman" w:hAnsi="Times New Roman" w:cs="Times New Roman"/>
          <w:sz w:val="24"/>
          <w:szCs w:val="24"/>
          <w:lang w:val="en-GB"/>
        </w:rPr>
        <w:t xml:space="preserve"> </w:t>
      </w:r>
    </w:p>
    <w:p w:rsidR="00BA4F8E" w:rsidRPr="00421139" w:rsidRDefault="008D370B" w:rsidP="00EA30A5">
      <w:pPr>
        <w:spacing w:line="240" w:lineRule="auto"/>
        <w:ind w:firstLine="284"/>
        <w:jc w:val="both"/>
        <w:rPr>
          <w:rFonts w:ascii="Times New Roman" w:hAnsi="Times New Roman" w:cs="Times New Roman"/>
          <w:sz w:val="24"/>
          <w:szCs w:val="24"/>
          <w:lang w:val="en-GB"/>
        </w:rPr>
      </w:pPr>
      <w:r w:rsidRPr="00421139">
        <w:rPr>
          <w:rFonts w:ascii="Times New Roman" w:hAnsi="Times New Roman" w:cs="Times New Roman"/>
          <w:sz w:val="24"/>
          <w:szCs w:val="24"/>
          <w:lang w:val="en-GB"/>
        </w:rPr>
        <w:t>Thereby, t</w:t>
      </w:r>
      <w:r w:rsidR="00EF355A" w:rsidRPr="00421139">
        <w:rPr>
          <w:rFonts w:ascii="Times New Roman" w:hAnsi="Times New Roman" w:cs="Times New Roman"/>
          <w:sz w:val="24"/>
          <w:szCs w:val="24"/>
          <w:lang w:val="en-GB"/>
        </w:rPr>
        <w:t>he following model is considered:</w:t>
      </w:r>
    </w:p>
    <w:p w:rsidR="006861A6" w:rsidRPr="006861A6" w:rsidRDefault="00EA30A5" w:rsidP="00EA30A5">
      <w:pPr>
        <w:spacing w:after="0" w:line="240" w:lineRule="auto"/>
        <w:rPr>
          <w:rFonts w:ascii="Times New Roman" w:hAnsi="Times New Roman" w:cs="Times New Roman"/>
          <w:sz w:val="24"/>
          <w:szCs w:val="24"/>
          <w:lang w:val="en-GB"/>
        </w:rPr>
      </w:pPr>
      <m:oMathPara>
        <m:oMathParaPr>
          <m:jc m:val="center"/>
        </m:oMathPara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growth</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=α+δ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growth</m:t>
              </m:r>
            </m:e>
            <m:sub>
              <m:r>
                <w:rPr>
                  <w:rFonts w:ascii="Cambria Math" w:hAnsi="Cambria Math" w:cs="Times New Roman"/>
                  <w:sz w:val="24"/>
                  <w:szCs w:val="24"/>
                  <w:lang w:val="en-GB"/>
                </w:rPr>
                <m:t>i,t-1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1</m:t>
              </m:r>
            </m:sub>
          </m:sSub>
          <m:r>
            <w:rPr>
              <w:rFonts w:ascii="Cambria Math" w:hAnsi="Cambria Math" w:cs="Times New Roman"/>
              <w:sz w:val="24"/>
              <w:szCs w:val="24"/>
              <w:lang w:val="en-GB"/>
            </w:rPr>
            <m:t xml:space="preserve"> </m:t>
          </m:r>
          <m:func>
            <m:funcPr>
              <m:ctrlPr>
                <w:rPr>
                  <w:rFonts w:ascii="Cambria Math" w:hAnsi="Cambria Math" w:cs="Times New Roman"/>
                  <w:sz w:val="24"/>
                  <w:szCs w:val="24"/>
                  <w:lang w:val="en-GB"/>
                </w:rPr>
              </m:ctrlPr>
            </m:funcPr>
            <m:fName>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ln⁡</m:t>
                  </m:r>
                  <m:r>
                    <w:rPr>
                      <w:rFonts w:ascii="Cambria Math" w:hAnsi="Cambria Math" w:cs="Times New Roman"/>
                      <w:sz w:val="24"/>
                      <w:szCs w:val="24"/>
                      <w:lang w:val="en-GB"/>
                    </w:rPr>
                    <m:t>(UNDVAL</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m:t>
              </m:r>
            </m:fName>
            <m:e>
              <m:r>
                <m:rPr>
                  <m:sty m:val="p"/>
                </m:rPr>
                <w:rPr>
                  <w:rFonts w:ascii="Cambria Math" w:hAnsi="Cambria Math" w:cs="Times New Roman"/>
                  <w:sz w:val="24"/>
                  <w:szCs w:val="24"/>
                  <w:lang w:val="en-GB"/>
                </w:rPr>
                <m:t>+</m:t>
              </m:r>
              <m:ctrlPr>
                <w:rPr>
                  <w:rFonts w:ascii="Cambria Math" w:hAnsi="Cambria Math" w:cs="Times New Roman"/>
                  <w:i/>
                  <w:sz w:val="24"/>
                  <w:szCs w:val="24"/>
                  <w:lang w:val="en-GB"/>
                </w:rPr>
              </m:ctrlPr>
            </m:e>
          </m:func>
        </m:oMath>
      </m:oMathPara>
    </w:p>
    <w:p w:rsidR="00E24C82" w:rsidRPr="006861A6" w:rsidRDefault="00A26B5F" w:rsidP="00EA30A5">
      <w:pPr>
        <w:spacing w:line="240" w:lineRule="auto"/>
        <w:rPr>
          <w:rFonts w:ascii="Times New Roman" w:hAnsi="Times New Roman" w:cs="Times New Roman"/>
          <w:sz w:val="24"/>
          <w:szCs w:val="24"/>
          <w:lang w:val="en-GB"/>
        </w:rPr>
      </w:pPr>
      <m:oMathPara>
        <m:oMathParaPr>
          <m:jc m:val="right"/>
        </m:oMathParaPr>
        <m:oMath>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2</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ln⁡</m:t>
              </m:r>
              <m:r>
                <w:rPr>
                  <w:rFonts w:ascii="Cambria Math" w:hAnsi="Cambria Math" w:cs="Times New Roman"/>
                  <w:sz w:val="24"/>
                  <w:szCs w:val="24"/>
                  <w:lang w:val="en-GB"/>
                </w:rPr>
                <m:t>(UNDVAL</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ln⁡</m:t>
              </m:r>
              <m:r>
                <w:rPr>
                  <w:rFonts w:ascii="Cambria Math" w:hAnsi="Cambria Math" w:cs="Times New Roman"/>
                  <w:sz w:val="24"/>
                  <w:szCs w:val="24"/>
                  <w:lang w:val="en-GB"/>
                </w:rPr>
                <m:t>(GAP</m:t>
              </m:r>
            </m:e>
            <m:sub>
              <m:r>
                <w:rPr>
                  <w:rFonts w:ascii="Cambria Math" w:hAnsi="Cambria Math" w:cs="Times New Roman"/>
                  <w:sz w:val="24"/>
                  <w:szCs w:val="24"/>
                  <w:lang w:val="en-GB"/>
                </w:rPr>
                <m:t>i,t=0</m:t>
              </m:r>
            </m:sub>
          </m:sSub>
          <m:r>
            <w:rPr>
              <w:rFonts w:ascii="Cambria Math" w:hAnsi="Cambria Math" w:cs="Times New Roman"/>
              <w:sz w:val="24"/>
              <w:szCs w:val="24"/>
              <w:lang w:val="en-GB"/>
            </w:rPr>
            <m:t xml:space="preserve">) +γ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Z</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(6)</m:t>
          </m:r>
        </m:oMath>
      </m:oMathPara>
    </w:p>
    <w:p w:rsidR="00BA4F8E" w:rsidRPr="00421139" w:rsidRDefault="00EF355A" w:rsidP="00EA30A5">
      <w:pPr>
        <w:spacing w:before="240" w:line="240" w:lineRule="auto"/>
        <w:jc w:val="both"/>
        <w:rPr>
          <w:rFonts w:ascii="Times New Roman" w:hAnsi="Times New Roman" w:cs="Times New Roman"/>
          <w:sz w:val="24"/>
          <w:szCs w:val="24"/>
          <w:lang w:val="en-GB"/>
        </w:rPr>
      </w:pPr>
      <w:r w:rsidRPr="00421139">
        <w:rPr>
          <w:rFonts w:ascii="Times New Roman" w:hAnsi="Times New Roman" w:cs="Times New Roman"/>
          <w:sz w:val="24"/>
          <w:szCs w:val="24"/>
          <w:lang w:val="en-GB"/>
        </w:rPr>
        <w:t xml:space="preserve">where </w:t>
      </w:r>
      <m:oMath>
        <m:r>
          <m:rPr>
            <m:sty m:val="p"/>
          </m:rPr>
          <w:rPr>
            <w:rFonts w:ascii="Cambria Math" w:hAnsi="Cambria Math" w:cs="Times New Roman"/>
            <w:sz w:val="24"/>
            <w:szCs w:val="24"/>
            <w:lang w:val="en-GB"/>
          </w:rPr>
          <m:t>GAP</m:t>
        </m:r>
      </m:oMath>
      <w:r w:rsidRPr="00421139">
        <w:rPr>
          <w:rFonts w:ascii="Times New Roman" w:hAnsi="Times New Roman" w:cs="Times New Roman"/>
          <w:sz w:val="24"/>
          <w:szCs w:val="24"/>
          <w:lang w:val="en-GB"/>
        </w:rPr>
        <w:t xml:space="preserve"> </w:t>
      </w:r>
      <w:r w:rsidR="00936008">
        <w:rPr>
          <w:rFonts w:ascii="Times New Roman" w:hAnsi="Times New Roman" w:cs="Times New Roman"/>
          <w:sz w:val="24"/>
          <w:szCs w:val="24"/>
          <w:lang w:val="en-GB"/>
        </w:rPr>
        <w:t>denotes</w:t>
      </w:r>
      <w:r w:rsidRPr="00421139">
        <w:rPr>
          <w:rFonts w:ascii="Times New Roman" w:hAnsi="Times New Roman" w:cs="Times New Roman"/>
          <w:sz w:val="24"/>
          <w:szCs w:val="24"/>
          <w:lang w:val="en-GB"/>
        </w:rPr>
        <w:t xml:space="preserve"> the productivity of the</w:t>
      </w:r>
      <w:r w:rsidR="00936008">
        <w:rPr>
          <w:rFonts w:ascii="Times New Roman" w:hAnsi="Times New Roman" w:cs="Times New Roman"/>
          <w:sz w:val="24"/>
          <w:szCs w:val="24"/>
          <w:lang w:val="en-GB"/>
        </w:rPr>
        <w:t xml:space="preserve"> home</w:t>
      </w:r>
      <w:r w:rsidRPr="00421139">
        <w:rPr>
          <w:rFonts w:ascii="Times New Roman" w:hAnsi="Times New Roman" w:cs="Times New Roman"/>
          <w:sz w:val="24"/>
          <w:szCs w:val="24"/>
          <w:lang w:val="en-GB"/>
        </w:rPr>
        <w:t xml:space="preserve"> country divided by the US productivity</w:t>
      </w:r>
      <w:r w:rsidR="008D370B" w:rsidRPr="00421139">
        <w:rPr>
          <w:rFonts w:ascii="Times New Roman" w:hAnsi="Times New Roman" w:cs="Times New Roman"/>
          <w:sz w:val="24"/>
          <w:szCs w:val="24"/>
          <w:lang w:val="en-GB"/>
        </w:rPr>
        <w:t xml:space="preserve">, which means that the higher is the value for </w:t>
      </w:r>
      <m:oMath>
        <m:r>
          <w:rPr>
            <w:rFonts w:ascii="Cambria Math" w:hAnsi="Cambria Math" w:cs="Times New Roman"/>
            <w:sz w:val="24"/>
            <w:szCs w:val="24"/>
            <w:lang w:val="en-GB"/>
          </w:rPr>
          <m:t>GAP</m:t>
        </m:r>
      </m:oMath>
      <w:r w:rsidR="008D370B" w:rsidRPr="00421139">
        <w:rPr>
          <w:rFonts w:ascii="Times New Roman" w:hAnsi="Times New Roman" w:cs="Times New Roman"/>
          <w:sz w:val="24"/>
          <w:szCs w:val="24"/>
          <w:lang w:val="en-GB"/>
        </w:rPr>
        <w:t xml:space="preserve"> the higher is the country</w:t>
      </w:r>
      <w:r w:rsidR="00936008">
        <w:rPr>
          <w:rFonts w:ascii="Times New Roman" w:hAnsi="Times New Roman" w:cs="Times New Roman"/>
          <w:sz w:val="24"/>
          <w:szCs w:val="24"/>
          <w:lang w:val="en-GB"/>
        </w:rPr>
        <w:t>’s relative productivity</w:t>
      </w:r>
      <w:r w:rsidRPr="00421139">
        <w:rPr>
          <w:rFonts w:ascii="Times New Roman" w:hAnsi="Times New Roman" w:cs="Times New Roman"/>
          <w:sz w:val="24"/>
          <w:szCs w:val="24"/>
          <w:lang w:val="en-GB"/>
        </w:rPr>
        <w:t xml:space="preserve">. The impact of RER undervaluation provided by these estimations is not obtained directly through </w:t>
      </w:r>
      <m:oMath>
        <m:r>
          <m:rPr>
            <m:sty m:val="p"/>
          </m:rPr>
          <w:rPr>
            <w:rFonts w:ascii="Cambria Math" w:hAnsi="Cambria Math" w:cs="Times New Roman"/>
            <w:sz w:val="24"/>
            <w:szCs w:val="24"/>
            <w:lang w:val="en-GB"/>
          </w:rPr>
          <m:t>β</m:t>
        </m:r>
      </m:oMath>
      <w:r w:rsidRPr="00421139">
        <w:rPr>
          <w:rFonts w:ascii="Times New Roman" w:hAnsi="Times New Roman" w:cs="Times New Roman"/>
          <w:sz w:val="24"/>
          <w:szCs w:val="24"/>
          <w:lang w:val="en-GB"/>
        </w:rPr>
        <w:t>, such as in (</w:t>
      </w:r>
      <w:r w:rsidR="00165441">
        <w:rPr>
          <w:rFonts w:ascii="Times New Roman" w:hAnsi="Times New Roman" w:cs="Times New Roman"/>
          <w:sz w:val="24"/>
          <w:szCs w:val="24"/>
          <w:lang w:val="en-GB"/>
        </w:rPr>
        <w:t>5</w:t>
      </w:r>
      <w:r w:rsidRPr="00421139">
        <w:rPr>
          <w:rFonts w:ascii="Times New Roman" w:hAnsi="Times New Roman" w:cs="Times New Roman"/>
          <w:sz w:val="24"/>
          <w:szCs w:val="24"/>
          <w:lang w:val="en-GB"/>
        </w:rPr>
        <w:t xml:space="preserve">). Instead, it is obtained through the interaction of </w:t>
      </w:r>
      <w:r w:rsidR="00BA4F8E" w:rsidRPr="00421139">
        <w:rPr>
          <w:rFonts w:ascii="Times New Roman" w:hAnsi="Times New Roman" w:cs="Times New Roman"/>
          <w:sz w:val="24"/>
          <w:szCs w:val="24"/>
          <w:lang w:val="en-GB"/>
        </w:rPr>
        <w:t>RER undervaluation</w:t>
      </w:r>
      <w:r w:rsidRPr="00421139">
        <w:rPr>
          <w:rFonts w:ascii="Times New Roman" w:hAnsi="Times New Roman" w:cs="Times New Roman"/>
          <w:sz w:val="24"/>
          <w:szCs w:val="24"/>
          <w:lang w:val="en-GB"/>
        </w:rPr>
        <w:t xml:space="preserve"> with countries’ </w:t>
      </w:r>
      <w:r w:rsidR="00BA4F8E" w:rsidRPr="00421139">
        <w:rPr>
          <w:rFonts w:ascii="Times New Roman" w:hAnsi="Times New Roman" w:cs="Times New Roman"/>
          <w:sz w:val="24"/>
          <w:szCs w:val="24"/>
          <w:lang w:val="en-GB"/>
        </w:rPr>
        <w:t>technological gap</w:t>
      </w:r>
      <w:r w:rsidRPr="00421139">
        <w:rPr>
          <w:rFonts w:ascii="Times New Roman" w:hAnsi="Times New Roman" w:cs="Times New Roman"/>
          <w:sz w:val="24"/>
          <w:szCs w:val="24"/>
          <w:lang w:val="en-GB"/>
        </w:rPr>
        <w:t xml:space="preserve">, which means that it is not a parameter, but a function. Thus, rather than one value, </w:t>
      </w:r>
      <w:r w:rsidR="00BA4F8E" w:rsidRPr="00421139">
        <w:rPr>
          <w:rFonts w:ascii="Times New Roman" w:hAnsi="Times New Roman" w:cs="Times New Roman"/>
          <w:sz w:val="24"/>
          <w:szCs w:val="24"/>
          <w:lang w:val="en-GB"/>
        </w:rPr>
        <w:t>this impact</w:t>
      </w:r>
      <w:r w:rsidRPr="00421139">
        <w:rPr>
          <w:rFonts w:ascii="Times New Roman" w:hAnsi="Times New Roman" w:cs="Times New Roman"/>
          <w:sz w:val="24"/>
          <w:szCs w:val="24"/>
          <w:lang w:val="en-GB"/>
        </w:rPr>
        <w:t xml:space="preserve"> is obtained, as follow</w:t>
      </w:r>
      <w:r w:rsidR="00936008">
        <w:rPr>
          <w:rFonts w:ascii="Times New Roman" w:hAnsi="Times New Roman" w:cs="Times New Roman"/>
          <w:sz w:val="24"/>
          <w:szCs w:val="24"/>
          <w:lang w:val="en-GB"/>
        </w:rPr>
        <w:t>s</w:t>
      </w:r>
      <w:r w:rsidRPr="00421139">
        <w:rPr>
          <w:rFonts w:ascii="Times New Roman" w:hAnsi="Times New Roman" w:cs="Times New Roman"/>
          <w:sz w:val="24"/>
          <w:szCs w:val="24"/>
          <w:lang w:val="en-GB"/>
        </w:rPr>
        <w:t>:</w:t>
      </w:r>
    </w:p>
    <w:p w:rsidR="00EF355A" w:rsidRDefault="00F54CFA" w:rsidP="00EA30A5">
      <w:pPr>
        <w:spacing w:line="24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m:oMath>
        <m:r>
          <w:rPr>
            <w:rFonts w:ascii="Cambria Math" w:hAnsi="Cambria Math" w:cs="Times New Roman"/>
            <w:sz w:val="24"/>
            <w:szCs w:val="24"/>
            <w:lang w:val="en-GB"/>
          </w:rPr>
          <m:t>b</m:t>
        </m:r>
        <m:r>
          <m:rPr>
            <m:sty m:val="p"/>
          </m:rPr>
          <w:rPr>
            <w:rFonts w:ascii="Cambria Math" w:hAnsi="Cambria Math" w:cs="Times New Roman"/>
            <w:sz w:val="24"/>
            <w:szCs w:val="24"/>
            <w:lang w:val="en-GB"/>
          </w:rPr>
          <m:t>=</m:t>
        </m:r>
        <m:f>
          <m:fPr>
            <m:ctrlPr>
              <w:rPr>
                <w:rFonts w:ascii="Cambria Math" w:hAnsi="Cambria Math" w:cs="Times New Roman"/>
                <w:sz w:val="24"/>
                <w:szCs w:val="24"/>
                <w:lang w:val="en-GB"/>
              </w:rPr>
            </m:ctrlPr>
          </m:fPr>
          <m:num>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1</m:t>
                </m:r>
              </m:sub>
            </m:sSub>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β</m:t>
                </m:r>
              </m:e>
              <m:sub>
                <m:r>
                  <m:rPr>
                    <m:sty m:val="p"/>
                  </m:rPr>
                  <w:rPr>
                    <w:rFonts w:ascii="Cambria Math" w:hAnsi="Cambria Math" w:cs="Times New Roman"/>
                    <w:sz w:val="24"/>
                    <w:szCs w:val="24"/>
                    <w:lang w:val="en-GB"/>
                  </w:rPr>
                  <m:t>2</m:t>
                </m:r>
              </m:sub>
            </m:sSub>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ln⁡</m:t>
                </m:r>
                <m:r>
                  <w:rPr>
                    <w:rFonts w:ascii="Cambria Math" w:hAnsi="Cambria Math" w:cs="Times New Roman"/>
                    <w:sz w:val="24"/>
                    <w:szCs w:val="24"/>
                    <w:lang w:val="en-GB"/>
                  </w:rPr>
                  <m:t>(GAP</m:t>
                </m:r>
              </m:e>
              <m:sub>
                <m:r>
                  <w:rPr>
                    <w:rFonts w:ascii="Cambria Math" w:hAnsi="Cambria Math" w:cs="Times New Roman"/>
                    <w:sz w:val="24"/>
                    <w:szCs w:val="24"/>
                    <w:lang w:val="en-GB"/>
                  </w:rPr>
                  <m:t>i,t=0</m:t>
                </m:r>
              </m:sub>
            </m:sSub>
            <m:r>
              <w:rPr>
                <w:rFonts w:ascii="Cambria Math" w:hAnsi="Cambria Math" w:cs="Times New Roman"/>
                <w:sz w:val="24"/>
                <w:szCs w:val="24"/>
                <w:lang w:val="en-GB"/>
              </w:rPr>
              <m:t>)</m:t>
            </m:r>
          </m:num>
          <m:den>
            <m:r>
              <m:rPr>
                <m:sty m:val="p"/>
              </m:rPr>
              <w:rPr>
                <w:rFonts w:ascii="Cambria Math" w:hAnsi="Cambria Math" w:cs="Times New Roman"/>
                <w:sz w:val="24"/>
                <w:szCs w:val="24"/>
                <w:lang w:val="en-GB"/>
              </w:rPr>
              <m:t>1-</m:t>
            </m:r>
            <m:r>
              <w:rPr>
                <w:rFonts w:ascii="Cambria Math" w:hAnsi="Cambria Math" w:cs="Times New Roman"/>
                <w:sz w:val="24"/>
                <w:szCs w:val="24"/>
                <w:lang w:val="en-GB"/>
              </w:rPr>
              <m:t>δ</m:t>
            </m:r>
          </m:den>
        </m:f>
      </m:oMath>
      <w:r w:rsidR="00EF355A" w:rsidRPr="00421139">
        <w:rPr>
          <w:rFonts w:ascii="Times New Roman" w:hAnsi="Times New Roman" w:cs="Times New Roman"/>
          <w:sz w:val="24"/>
          <w:szCs w:val="24"/>
          <w:lang w:val="en-GB"/>
        </w:rPr>
        <w:t xml:space="preserve">  </w:t>
      </w:r>
      <w:r w:rsidR="006861A6">
        <w:rPr>
          <w:rFonts w:ascii="Times New Roman" w:hAnsi="Times New Roman" w:cs="Times New Roman"/>
          <w:sz w:val="24"/>
          <w:szCs w:val="24"/>
          <w:lang w:val="en-GB"/>
        </w:rPr>
        <w:t xml:space="preserve">                                                       </w:t>
      </w:r>
      <w:r w:rsidR="00EF355A" w:rsidRPr="00421139">
        <w:rPr>
          <w:rFonts w:ascii="Times New Roman" w:hAnsi="Times New Roman" w:cs="Times New Roman"/>
          <w:sz w:val="24"/>
          <w:szCs w:val="24"/>
          <w:lang w:val="en-GB"/>
        </w:rPr>
        <w:t xml:space="preserve"> (</w:t>
      </w:r>
      <w:r>
        <w:rPr>
          <w:rFonts w:ascii="Times New Roman" w:hAnsi="Times New Roman" w:cs="Times New Roman"/>
          <w:sz w:val="24"/>
          <w:szCs w:val="24"/>
          <w:lang w:val="en-GB"/>
        </w:rPr>
        <w:t>7)</w:t>
      </w:r>
    </w:p>
    <w:p w:rsidR="00165441" w:rsidRPr="00165441" w:rsidRDefault="00165441" w:rsidP="00EA30A5">
      <w:pPr>
        <w:spacing w:line="240" w:lineRule="auto"/>
        <w:ind w:firstLine="284"/>
        <w:jc w:val="both"/>
        <w:rPr>
          <w:rFonts w:ascii="Times New Roman" w:hAnsi="Times New Roman" w:cs="Times New Roman"/>
          <w:sz w:val="24"/>
          <w:szCs w:val="24"/>
          <w:lang w:val="en-GB"/>
        </w:rPr>
      </w:pPr>
      <w:r w:rsidRPr="00362149">
        <w:rPr>
          <w:rFonts w:ascii="Times New Roman" w:hAnsi="Times New Roman" w:cs="Times New Roman"/>
          <w:sz w:val="24"/>
          <w:szCs w:val="24"/>
          <w:lang w:val="en-GB"/>
        </w:rPr>
        <w:t xml:space="preserve">In the case of the base model, the impact of RER undervaluation, </w:t>
      </w:r>
      <m:oMath>
        <m:r>
          <w:rPr>
            <w:rFonts w:ascii="Cambria Math" w:hAnsi="Cambria Math" w:cs="Times New Roman"/>
            <w:sz w:val="24"/>
            <w:szCs w:val="24"/>
            <w:lang w:val="en-GB"/>
          </w:rPr>
          <m:t>b</m:t>
        </m:r>
      </m:oMath>
      <w:r w:rsidRPr="00362149">
        <w:rPr>
          <w:rFonts w:ascii="Times New Roman" w:hAnsi="Times New Roman" w:cs="Times New Roman"/>
          <w:sz w:val="24"/>
          <w:szCs w:val="24"/>
          <w:lang w:val="en-GB"/>
        </w:rPr>
        <w:t xml:space="preserve">, was given </w:t>
      </w:r>
      <w:r w:rsidR="00950D64" w:rsidRPr="00362149">
        <w:rPr>
          <w:rFonts w:ascii="Times New Roman" w:hAnsi="Times New Roman" w:cs="Times New Roman"/>
          <w:sz w:val="24"/>
          <w:szCs w:val="24"/>
          <w:lang w:val="en-GB"/>
        </w:rPr>
        <w:t xml:space="preserve">only </w:t>
      </w:r>
      <w:r w:rsidRPr="00362149">
        <w:rPr>
          <w:rFonts w:ascii="Times New Roman" w:hAnsi="Times New Roman" w:cs="Times New Roman"/>
          <w:sz w:val="24"/>
          <w:szCs w:val="24"/>
          <w:lang w:val="en-GB"/>
        </w:rPr>
        <w:t xml:space="preserve">by </w:t>
      </w:r>
      <m:oMath>
        <m:r>
          <w:rPr>
            <w:rFonts w:ascii="Cambria Math" w:hAnsi="Cambria Math" w:cs="Times New Roman"/>
            <w:sz w:val="24"/>
            <w:szCs w:val="24"/>
            <w:lang w:val="en-GB"/>
          </w:rPr>
          <m:t>β</m:t>
        </m:r>
      </m:oMath>
      <w:r w:rsidRPr="00362149">
        <w:rPr>
          <w:rFonts w:ascii="Times New Roman" w:hAnsi="Times New Roman" w:cs="Times New Roman"/>
          <w:sz w:val="24"/>
          <w:szCs w:val="24"/>
          <w:lang w:val="en-GB"/>
        </w:rPr>
        <w:t xml:space="preserve"> and </w:t>
      </w:r>
      <m:oMath>
        <m:r>
          <w:rPr>
            <w:rFonts w:ascii="Cambria Math" w:hAnsi="Cambria Math" w:cs="Times New Roman"/>
            <w:sz w:val="24"/>
            <w:szCs w:val="24"/>
            <w:lang w:val="en-GB"/>
          </w:rPr>
          <m:t>δ</m:t>
        </m:r>
      </m:oMath>
      <w:r w:rsidR="00950D64" w:rsidRPr="00362149">
        <w:rPr>
          <w:rFonts w:ascii="Times New Roman" w:hAnsi="Times New Roman" w:cs="Times New Roman"/>
          <w:sz w:val="24"/>
          <w:szCs w:val="24"/>
          <w:lang w:val="en-GB"/>
        </w:rPr>
        <w:t xml:space="preserve">. </w:t>
      </w:r>
      <w:r w:rsidR="002C5046" w:rsidRPr="00362149">
        <w:rPr>
          <w:rFonts w:ascii="Times New Roman" w:hAnsi="Times New Roman" w:cs="Times New Roman"/>
          <w:sz w:val="24"/>
          <w:szCs w:val="24"/>
          <w:lang w:val="en-GB"/>
        </w:rPr>
        <w:t xml:space="preserve">Here, however, a term that interacts with the technological gap is </w:t>
      </w:r>
      <w:r w:rsidR="00362149">
        <w:rPr>
          <w:rFonts w:ascii="Times New Roman" w:hAnsi="Times New Roman" w:cs="Times New Roman"/>
          <w:sz w:val="24"/>
          <w:szCs w:val="24"/>
          <w:lang w:val="en-GB"/>
        </w:rPr>
        <w:t>included</w:t>
      </w:r>
      <w:r w:rsidR="002C5046" w:rsidRPr="00362149">
        <w:rPr>
          <w:rFonts w:ascii="Times New Roman" w:hAnsi="Times New Roman" w:cs="Times New Roman"/>
          <w:sz w:val="24"/>
          <w:szCs w:val="24"/>
          <w:lang w:val="en-GB"/>
        </w:rPr>
        <w:t xml:space="preserve">. </w:t>
      </w:r>
      <w:r w:rsidR="00950D64" w:rsidRPr="00362149">
        <w:rPr>
          <w:rFonts w:ascii="Times New Roman" w:hAnsi="Times New Roman" w:cs="Times New Roman"/>
          <w:sz w:val="24"/>
          <w:szCs w:val="24"/>
          <w:lang w:val="en-GB"/>
        </w:rPr>
        <w:t xml:space="preserve">Similarly to (5), if </w:t>
      </w:r>
      <m:oMath>
        <m:r>
          <w:rPr>
            <w:rFonts w:ascii="Cambria Math" w:hAnsi="Cambria Math" w:cs="Times New Roman"/>
            <w:sz w:val="24"/>
            <w:szCs w:val="24"/>
            <w:lang w:val="en-GB"/>
          </w:rPr>
          <m:t>δ</m:t>
        </m:r>
      </m:oMath>
      <w:r w:rsidR="00950D64" w:rsidRPr="00362149">
        <w:rPr>
          <w:rFonts w:ascii="Times New Roman" w:hAnsi="Times New Roman" w:cs="Times New Roman"/>
          <w:sz w:val="24"/>
          <w:szCs w:val="24"/>
          <w:lang w:val="en-GB"/>
        </w:rPr>
        <w:t xml:space="preserve"> </w:t>
      </w:r>
      <w:r w:rsidR="00362149">
        <w:rPr>
          <w:rFonts w:ascii="Times New Roman" w:hAnsi="Times New Roman" w:cs="Times New Roman"/>
          <w:sz w:val="24"/>
          <w:szCs w:val="24"/>
          <w:lang w:val="en-GB"/>
        </w:rPr>
        <w:t>is lower than one, the higher</w:t>
      </w:r>
      <w:r w:rsidR="00950D64" w:rsidRPr="00362149">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1</m:t>
            </m:r>
          </m:sub>
        </m:sSub>
      </m:oMath>
      <w:r w:rsidR="00362149">
        <w:rPr>
          <w:rFonts w:ascii="Times New Roman" w:hAnsi="Times New Roman" w:cs="Times New Roman"/>
          <w:sz w:val="24"/>
          <w:szCs w:val="24"/>
          <w:lang w:val="en-GB"/>
        </w:rPr>
        <w:t xml:space="preserve"> the higher</w:t>
      </w:r>
      <w:r w:rsidR="00950D64" w:rsidRPr="00362149">
        <w:rPr>
          <w:rFonts w:ascii="Times New Roman" w:hAnsi="Times New Roman" w:cs="Times New Roman"/>
          <w:sz w:val="24"/>
          <w:szCs w:val="24"/>
          <w:lang w:val="en-GB"/>
        </w:rPr>
        <w:t xml:space="preserve"> the impact of a RER undervaluation on growth. </w:t>
      </w:r>
      <w:r w:rsidR="00362149">
        <w:rPr>
          <w:rFonts w:ascii="Times New Roman" w:hAnsi="Times New Roman" w:cs="Times New Roman"/>
          <w:sz w:val="24"/>
          <w:szCs w:val="24"/>
          <w:lang w:val="en-GB"/>
        </w:rPr>
        <w:t>Unlike equation</w:t>
      </w:r>
      <w:r w:rsidR="002C5046" w:rsidRPr="00362149">
        <w:rPr>
          <w:rFonts w:ascii="Times New Roman" w:hAnsi="Times New Roman" w:cs="Times New Roman"/>
          <w:sz w:val="24"/>
          <w:szCs w:val="24"/>
          <w:lang w:val="en-GB"/>
        </w:rPr>
        <w:t xml:space="preserve"> (5), i</w:t>
      </w:r>
      <w:r w:rsidR="00950D64" w:rsidRPr="00362149">
        <w:rPr>
          <w:rFonts w:ascii="Times New Roman" w:hAnsi="Times New Roman" w:cs="Times New Roman"/>
          <w:sz w:val="24"/>
          <w:szCs w:val="24"/>
          <w:lang w:val="en-GB"/>
        </w:rPr>
        <w:t xml:space="preserve">n </w:t>
      </w:r>
      <w:r w:rsidR="00362149">
        <w:rPr>
          <w:rFonts w:ascii="Times New Roman" w:hAnsi="Times New Roman" w:cs="Times New Roman"/>
          <w:sz w:val="24"/>
          <w:szCs w:val="24"/>
          <w:lang w:val="en-GB"/>
        </w:rPr>
        <w:t>equation (7)</w:t>
      </w:r>
      <w:r w:rsidR="00950D64" w:rsidRPr="00362149">
        <w:rPr>
          <w:rFonts w:ascii="Times New Roman" w:hAnsi="Times New Roman" w:cs="Times New Roman"/>
          <w:sz w:val="24"/>
          <w:szCs w:val="24"/>
          <w:lang w:val="en-GB"/>
        </w:rPr>
        <w:t xml:space="preserve"> the interaction term indicates that </w:t>
      </w:r>
      <w:r w:rsidR="002C5046" w:rsidRPr="00362149">
        <w:rPr>
          <w:rFonts w:ascii="Times New Roman" w:hAnsi="Times New Roman" w:cs="Times New Roman"/>
          <w:sz w:val="24"/>
          <w:szCs w:val="24"/>
          <w:lang w:val="en-GB"/>
        </w:rPr>
        <w:t xml:space="preserve">this impact varies according to the value of </w:t>
      </w:r>
      <w:r w:rsidR="00950D64" w:rsidRPr="00362149">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ln⁡</m:t>
            </m:r>
            <m:r>
              <w:rPr>
                <w:rFonts w:ascii="Cambria Math" w:hAnsi="Cambria Math" w:cs="Times New Roman"/>
                <w:sz w:val="24"/>
                <w:szCs w:val="24"/>
                <w:lang w:val="en-GB"/>
              </w:rPr>
              <m:t>(GAP</m:t>
            </m:r>
          </m:e>
          <m:sub>
            <m:r>
              <w:rPr>
                <w:rFonts w:ascii="Cambria Math" w:hAnsi="Cambria Math" w:cs="Times New Roman"/>
                <w:sz w:val="24"/>
                <w:szCs w:val="24"/>
                <w:lang w:val="en-GB"/>
              </w:rPr>
              <m:t>i,t=0</m:t>
            </m:r>
          </m:sub>
        </m:sSub>
        <m:r>
          <w:rPr>
            <w:rFonts w:ascii="Cambria Math" w:hAnsi="Cambria Math" w:cs="Times New Roman"/>
            <w:sz w:val="24"/>
            <w:szCs w:val="24"/>
            <w:lang w:val="en-GB"/>
          </w:rPr>
          <m:t>)</m:t>
        </m:r>
      </m:oMath>
      <w:r w:rsidR="002C5046" w:rsidRPr="00362149">
        <w:rPr>
          <w:rFonts w:ascii="Times New Roman" w:hAnsi="Times New Roman" w:cs="Times New Roman"/>
          <w:sz w:val="24"/>
          <w:szCs w:val="24"/>
          <w:lang w:val="en-GB"/>
        </w:rPr>
        <w:t xml:space="preserve"> and </w:t>
      </w:r>
      <m:oMath>
        <m:sSub>
          <m:sSubPr>
            <m:ctrlPr>
              <w:rPr>
                <w:rFonts w:ascii="Cambria Math" w:hAnsi="Cambria Math" w:cs="Times New Roman"/>
                <w:sz w:val="24"/>
                <w:szCs w:val="24"/>
                <w:lang w:val="en-GB"/>
              </w:rPr>
            </m:ctrlPr>
          </m:sSubPr>
          <m:e>
            <m:r>
              <w:rPr>
                <w:rFonts w:ascii="Cambria Math" w:hAnsi="Cambria Math" w:cs="Times New Roman"/>
                <w:sz w:val="24"/>
                <w:szCs w:val="24"/>
                <w:lang w:val="en-GB"/>
              </w:rPr>
              <m:t>β</m:t>
            </m:r>
          </m:e>
          <m:sub>
            <m:r>
              <m:rPr>
                <m:sty m:val="p"/>
              </m:rPr>
              <w:rPr>
                <w:rFonts w:ascii="Cambria Math" w:hAnsi="Cambria Math" w:cs="Times New Roman"/>
                <w:sz w:val="24"/>
                <w:szCs w:val="24"/>
                <w:lang w:val="en-GB"/>
              </w:rPr>
              <m:t>2</m:t>
            </m:r>
          </m:sub>
        </m:sSub>
      </m:oMath>
      <w:r w:rsidR="002C5046" w:rsidRPr="00362149">
        <w:rPr>
          <w:rFonts w:ascii="Times New Roman" w:hAnsi="Times New Roman" w:cs="Times New Roman"/>
          <w:sz w:val="24"/>
          <w:szCs w:val="24"/>
          <w:lang w:val="en-GB"/>
        </w:rPr>
        <w:t xml:space="preserve">. If </w:t>
      </w:r>
      <m:oMath>
        <m:sSub>
          <m:sSubPr>
            <m:ctrlPr>
              <w:rPr>
                <w:rFonts w:ascii="Cambria Math" w:hAnsi="Cambria Math" w:cs="Times New Roman"/>
                <w:sz w:val="24"/>
                <w:szCs w:val="24"/>
                <w:lang w:val="en-GB"/>
              </w:rPr>
            </m:ctrlPr>
          </m:sSubPr>
          <m:e>
            <m:r>
              <w:rPr>
                <w:rFonts w:ascii="Cambria Math" w:hAnsi="Cambria Math" w:cs="Times New Roman"/>
                <w:sz w:val="24"/>
                <w:szCs w:val="24"/>
                <w:lang w:val="en-GB"/>
              </w:rPr>
              <m:t>β</m:t>
            </m:r>
          </m:e>
          <m:sub>
            <m:r>
              <m:rPr>
                <m:sty m:val="p"/>
              </m:rPr>
              <w:rPr>
                <w:rFonts w:ascii="Cambria Math" w:hAnsi="Cambria Math" w:cs="Times New Roman"/>
                <w:sz w:val="24"/>
                <w:szCs w:val="24"/>
                <w:lang w:val="en-GB"/>
              </w:rPr>
              <m:t>2</m:t>
            </m:r>
          </m:sub>
        </m:sSub>
      </m:oMath>
      <w:r w:rsidR="002C5046" w:rsidRPr="00362149">
        <w:rPr>
          <w:rFonts w:ascii="Times New Roman" w:hAnsi="Times New Roman" w:cs="Times New Roman"/>
          <w:sz w:val="24"/>
          <w:szCs w:val="24"/>
          <w:lang w:val="en-GB"/>
        </w:rPr>
        <w:t xml:space="preserve"> is negative, </w:t>
      </w:r>
      <w:proofErr w:type="gramStart"/>
      <w:r w:rsidR="00362149">
        <w:rPr>
          <w:rFonts w:ascii="Times New Roman" w:hAnsi="Times New Roman" w:cs="Times New Roman"/>
          <w:sz w:val="24"/>
          <w:szCs w:val="24"/>
          <w:lang w:val="en-GB"/>
        </w:rPr>
        <w:t>than</w:t>
      </w:r>
      <w:proofErr w:type="gramEnd"/>
      <w:r w:rsidR="00362149">
        <w:rPr>
          <w:rFonts w:ascii="Times New Roman" w:hAnsi="Times New Roman" w:cs="Times New Roman"/>
          <w:sz w:val="24"/>
          <w:szCs w:val="24"/>
          <w:lang w:val="en-GB"/>
        </w:rPr>
        <w:t xml:space="preserve"> the higher</w:t>
      </w:r>
      <w:r w:rsidR="002C5046" w:rsidRPr="00362149">
        <w:rPr>
          <w:rFonts w:ascii="Times New Roman" w:hAnsi="Times New Roman" w:cs="Times New Roman"/>
          <w:sz w:val="24"/>
          <w:szCs w:val="24"/>
          <w:lang w:val="en-GB"/>
        </w:rPr>
        <w:t xml:space="preserve"> the country’s productivity in relation to the US (or the higher is the value of </w:t>
      </w:r>
      <m:oMath>
        <m:r>
          <w:rPr>
            <w:rFonts w:ascii="Cambria Math" w:hAnsi="Cambria Math" w:cs="Times New Roman"/>
            <w:sz w:val="24"/>
            <w:szCs w:val="24"/>
            <w:lang w:val="en-GB"/>
          </w:rPr>
          <m:t>GAP</m:t>
        </m:r>
      </m:oMath>
      <w:r w:rsidR="00362149">
        <w:rPr>
          <w:rFonts w:ascii="Times New Roman" w:hAnsi="Times New Roman" w:cs="Times New Roman"/>
          <w:sz w:val="24"/>
          <w:szCs w:val="24"/>
          <w:lang w:val="en-GB"/>
        </w:rPr>
        <w:t xml:space="preserve">), the lower is the impact of </w:t>
      </w:r>
      <w:r w:rsidR="002C5046" w:rsidRPr="00362149">
        <w:rPr>
          <w:rFonts w:ascii="Times New Roman" w:hAnsi="Times New Roman" w:cs="Times New Roman"/>
          <w:sz w:val="24"/>
          <w:szCs w:val="24"/>
          <w:lang w:val="en-GB"/>
        </w:rPr>
        <w:t>RER undervaluation on growth. An</w:t>
      </w:r>
      <w:r w:rsidR="00362149">
        <w:rPr>
          <w:rFonts w:ascii="Times New Roman" w:hAnsi="Times New Roman" w:cs="Times New Roman"/>
          <w:sz w:val="24"/>
          <w:szCs w:val="24"/>
          <w:lang w:val="en-GB"/>
        </w:rPr>
        <w:t>alogously, for a positive</w:t>
      </w:r>
      <w:r w:rsidR="002C5046" w:rsidRPr="00362149">
        <w:rPr>
          <w:rFonts w:ascii="Times New Roman" w:hAnsi="Times New Roman" w:cs="Times New Roman"/>
          <w:sz w:val="24"/>
          <w:szCs w:val="24"/>
          <w:lang w:val="en-GB"/>
        </w:rPr>
        <w:t xml:space="preserve"> </w:t>
      </w:r>
      <m:oMath>
        <m:sSub>
          <m:sSubPr>
            <m:ctrlPr>
              <w:rPr>
                <w:rFonts w:ascii="Cambria Math" w:hAnsi="Cambria Math" w:cs="Times New Roman"/>
                <w:sz w:val="24"/>
                <w:szCs w:val="24"/>
                <w:lang w:val="en-GB"/>
              </w:rPr>
            </m:ctrlPr>
          </m:sSubPr>
          <m:e>
            <m:r>
              <w:rPr>
                <w:rFonts w:ascii="Cambria Math" w:hAnsi="Cambria Math" w:cs="Times New Roman"/>
                <w:sz w:val="24"/>
                <w:szCs w:val="24"/>
                <w:lang w:val="en-GB"/>
              </w:rPr>
              <m:t>β</m:t>
            </m:r>
          </m:e>
          <m:sub>
            <m:r>
              <m:rPr>
                <m:sty m:val="p"/>
              </m:rPr>
              <w:rPr>
                <w:rFonts w:ascii="Cambria Math" w:hAnsi="Cambria Math" w:cs="Times New Roman"/>
                <w:sz w:val="24"/>
                <w:szCs w:val="24"/>
                <w:lang w:val="en-GB"/>
              </w:rPr>
              <m:t>2</m:t>
            </m:r>
          </m:sub>
        </m:sSub>
      </m:oMath>
      <w:r w:rsidR="002C5046" w:rsidRPr="00362149">
        <w:rPr>
          <w:rFonts w:ascii="Times New Roman" w:hAnsi="Times New Roman" w:cs="Times New Roman"/>
          <w:sz w:val="24"/>
          <w:szCs w:val="24"/>
          <w:lang w:val="en-GB"/>
        </w:rPr>
        <w:t>,</w:t>
      </w:r>
      <w:r w:rsidR="00362149">
        <w:rPr>
          <w:rFonts w:ascii="Times New Roman" w:hAnsi="Times New Roman" w:cs="Times New Roman"/>
          <w:sz w:val="24"/>
          <w:szCs w:val="24"/>
          <w:lang w:val="en-GB"/>
        </w:rPr>
        <w:t xml:space="preserve"> </w:t>
      </w:r>
      <w:r w:rsidR="002C5046" w:rsidRPr="00362149">
        <w:rPr>
          <w:rFonts w:ascii="Times New Roman" w:hAnsi="Times New Roman" w:cs="Times New Roman"/>
          <w:sz w:val="24"/>
          <w:szCs w:val="24"/>
          <w:lang w:val="en-GB"/>
        </w:rPr>
        <w:t xml:space="preserve">the higher the country’s productivity in relation to the US (or the higher is the value of </w:t>
      </w:r>
      <m:oMath>
        <m:r>
          <w:rPr>
            <w:rFonts w:ascii="Cambria Math" w:hAnsi="Cambria Math" w:cs="Times New Roman"/>
            <w:sz w:val="24"/>
            <w:szCs w:val="24"/>
            <w:lang w:val="en-GB"/>
          </w:rPr>
          <m:t>GAP</m:t>
        </m:r>
      </m:oMath>
      <w:r w:rsidR="002C5046" w:rsidRPr="00362149">
        <w:rPr>
          <w:rFonts w:ascii="Times New Roman" w:hAnsi="Times New Roman" w:cs="Times New Roman"/>
          <w:sz w:val="24"/>
          <w:szCs w:val="24"/>
          <w:lang w:val="en-GB"/>
        </w:rPr>
        <w:t xml:space="preserve">), the higher </w:t>
      </w:r>
      <w:r w:rsidR="00362149">
        <w:rPr>
          <w:rFonts w:ascii="Times New Roman" w:hAnsi="Times New Roman" w:cs="Times New Roman"/>
          <w:sz w:val="24"/>
          <w:szCs w:val="24"/>
          <w:lang w:val="en-GB"/>
        </w:rPr>
        <w:t xml:space="preserve">the impact of </w:t>
      </w:r>
      <w:r w:rsidR="002C5046" w:rsidRPr="00362149">
        <w:rPr>
          <w:rFonts w:ascii="Times New Roman" w:hAnsi="Times New Roman" w:cs="Times New Roman"/>
          <w:sz w:val="24"/>
          <w:szCs w:val="24"/>
          <w:lang w:val="en-GB"/>
        </w:rPr>
        <w:t xml:space="preserve">RER undervaluation on growth. </w:t>
      </w:r>
      <w:r w:rsidR="00362149">
        <w:rPr>
          <w:rFonts w:ascii="Times New Roman" w:hAnsi="Times New Roman" w:cs="Times New Roman"/>
          <w:sz w:val="24"/>
          <w:szCs w:val="24"/>
          <w:lang w:val="en-GB"/>
        </w:rPr>
        <w:t>By equation (7)</w:t>
      </w:r>
      <w:r w:rsidR="002C5046" w:rsidRPr="00362149">
        <w:rPr>
          <w:rFonts w:ascii="Times New Roman" w:hAnsi="Times New Roman" w:cs="Times New Roman"/>
          <w:sz w:val="24"/>
          <w:szCs w:val="24"/>
          <w:lang w:val="en-GB"/>
        </w:rPr>
        <w:t xml:space="preserve"> it is possible to analyse the importance</w:t>
      </w:r>
      <w:r w:rsidR="00362149">
        <w:rPr>
          <w:rFonts w:ascii="Times New Roman" w:hAnsi="Times New Roman" w:cs="Times New Roman"/>
          <w:sz w:val="24"/>
          <w:szCs w:val="24"/>
          <w:lang w:val="en-GB"/>
        </w:rPr>
        <w:t xml:space="preserve"> of </w:t>
      </w:r>
      <w:r w:rsidR="002C5046" w:rsidRPr="00362149">
        <w:rPr>
          <w:rFonts w:ascii="Times New Roman" w:hAnsi="Times New Roman" w:cs="Times New Roman"/>
          <w:sz w:val="24"/>
          <w:szCs w:val="24"/>
          <w:lang w:val="en-GB"/>
        </w:rPr>
        <w:t xml:space="preserve">currency undervaluation for countries in different stages of development. A negative </w:t>
      </w:r>
      <m:oMath>
        <m:sSub>
          <m:sSubPr>
            <m:ctrlPr>
              <w:rPr>
                <w:rFonts w:ascii="Cambria Math" w:hAnsi="Cambria Math" w:cs="Times New Roman"/>
                <w:sz w:val="24"/>
                <w:szCs w:val="24"/>
                <w:lang w:val="en-GB"/>
              </w:rPr>
            </m:ctrlPr>
          </m:sSubPr>
          <m:e>
            <m:r>
              <w:rPr>
                <w:rFonts w:ascii="Cambria Math" w:hAnsi="Cambria Math" w:cs="Times New Roman"/>
                <w:sz w:val="24"/>
                <w:szCs w:val="24"/>
                <w:lang w:val="en-GB"/>
              </w:rPr>
              <m:t>β</m:t>
            </m:r>
          </m:e>
          <m:sub>
            <m:r>
              <m:rPr>
                <m:sty m:val="p"/>
              </m:rPr>
              <w:rPr>
                <w:rFonts w:ascii="Cambria Math" w:hAnsi="Cambria Math" w:cs="Times New Roman"/>
                <w:sz w:val="24"/>
                <w:szCs w:val="24"/>
                <w:lang w:val="en-GB"/>
              </w:rPr>
              <m:t>2</m:t>
            </m:r>
          </m:sub>
        </m:sSub>
      </m:oMath>
      <w:r w:rsidR="002C5046" w:rsidRPr="00362149">
        <w:rPr>
          <w:rFonts w:ascii="Times New Roman" w:hAnsi="Times New Roman" w:cs="Times New Roman"/>
          <w:sz w:val="24"/>
          <w:szCs w:val="24"/>
          <w:lang w:val="en-GB"/>
        </w:rPr>
        <w:t xml:space="preserve"> indicates that</w:t>
      </w:r>
      <w:r w:rsidR="00362149">
        <w:rPr>
          <w:rFonts w:ascii="Times New Roman" w:hAnsi="Times New Roman" w:cs="Times New Roman"/>
          <w:sz w:val="24"/>
          <w:szCs w:val="24"/>
          <w:lang w:val="en-GB"/>
        </w:rPr>
        <w:t xml:space="preserve"> currency devaluation if more effective for low-productivity countries</w:t>
      </w:r>
      <w:r w:rsidR="002C5046" w:rsidRPr="00362149">
        <w:rPr>
          <w:rFonts w:ascii="Times New Roman" w:hAnsi="Times New Roman" w:cs="Times New Roman"/>
          <w:sz w:val="24"/>
          <w:szCs w:val="24"/>
          <w:lang w:val="en-GB"/>
        </w:rPr>
        <w:t>.</w:t>
      </w:r>
    </w:p>
    <w:p w:rsidR="005E6631" w:rsidRPr="00C7149E" w:rsidRDefault="005E6631" w:rsidP="00EA30A5">
      <w:pPr>
        <w:pStyle w:val="PargrafodaLista"/>
        <w:numPr>
          <w:ilvl w:val="1"/>
          <w:numId w:val="11"/>
        </w:numPr>
        <w:spacing w:line="240" w:lineRule="auto"/>
        <w:jc w:val="both"/>
        <w:rPr>
          <w:rFonts w:ascii="Times New Roman" w:hAnsi="Times New Roman" w:cs="Times New Roman"/>
          <w:b/>
          <w:i/>
          <w:sz w:val="24"/>
          <w:szCs w:val="24"/>
          <w:lang w:val="en-GB"/>
        </w:rPr>
      </w:pPr>
      <w:r w:rsidRPr="00165441">
        <w:rPr>
          <w:rFonts w:ascii="Times New Roman" w:hAnsi="Times New Roman" w:cs="Times New Roman"/>
          <w:b/>
          <w:i/>
          <w:sz w:val="24"/>
          <w:szCs w:val="24"/>
        </w:rPr>
        <w:t xml:space="preserve"> </w:t>
      </w:r>
      <w:r w:rsidR="00ED7B2E" w:rsidRPr="00C7149E">
        <w:rPr>
          <w:rFonts w:ascii="Times New Roman" w:hAnsi="Times New Roman" w:cs="Times New Roman"/>
          <w:b/>
          <w:i/>
          <w:sz w:val="24"/>
          <w:szCs w:val="24"/>
          <w:lang w:val="en-GB"/>
        </w:rPr>
        <w:t>Level of o</w:t>
      </w:r>
      <w:r w:rsidRPr="00C7149E">
        <w:rPr>
          <w:rFonts w:ascii="Times New Roman" w:hAnsi="Times New Roman" w:cs="Times New Roman"/>
          <w:b/>
          <w:i/>
          <w:sz w:val="24"/>
          <w:szCs w:val="24"/>
          <w:lang w:val="en-GB"/>
        </w:rPr>
        <w:t>utward-orientation</w:t>
      </w:r>
      <w:r w:rsidR="002476D6" w:rsidRPr="00C7149E">
        <w:rPr>
          <w:rFonts w:ascii="Times New Roman" w:hAnsi="Times New Roman" w:cs="Times New Roman"/>
          <w:b/>
          <w:i/>
          <w:sz w:val="24"/>
          <w:szCs w:val="24"/>
          <w:lang w:val="en-GB"/>
        </w:rPr>
        <w:t xml:space="preserve"> and degree of industrialisation</w:t>
      </w:r>
      <w:r w:rsidR="00ED7B2E" w:rsidRPr="00C7149E">
        <w:rPr>
          <w:rFonts w:ascii="Times New Roman" w:hAnsi="Times New Roman" w:cs="Times New Roman"/>
          <w:b/>
          <w:i/>
          <w:sz w:val="24"/>
          <w:szCs w:val="24"/>
          <w:lang w:val="en-GB"/>
        </w:rPr>
        <w:t xml:space="preserve"> of exports</w:t>
      </w:r>
    </w:p>
    <w:p w:rsidR="005E6631" w:rsidRPr="00421139" w:rsidRDefault="005E6631" w:rsidP="00EA30A5">
      <w:pPr>
        <w:spacing w:line="240" w:lineRule="auto"/>
        <w:jc w:val="both"/>
        <w:rPr>
          <w:rFonts w:ascii="Times New Roman" w:hAnsi="Times New Roman" w:cs="Times New Roman"/>
          <w:sz w:val="24"/>
          <w:szCs w:val="24"/>
          <w:lang w:val="en-GB"/>
        </w:rPr>
      </w:pPr>
      <w:r w:rsidRPr="00421139">
        <w:rPr>
          <w:rFonts w:ascii="Times New Roman" w:hAnsi="Times New Roman" w:cs="Times New Roman"/>
          <w:sz w:val="24"/>
          <w:szCs w:val="24"/>
          <w:lang w:val="en-GB"/>
        </w:rPr>
        <w:t>RER undervaluation</w:t>
      </w:r>
      <w:r w:rsidR="00124A8F">
        <w:rPr>
          <w:rFonts w:ascii="Times New Roman" w:hAnsi="Times New Roman" w:cs="Times New Roman"/>
          <w:sz w:val="24"/>
          <w:szCs w:val="24"/>
          <w:lang w:val="en-GB"/>
        </w:rPr>
        <w:t xml:space="preserve"> tends to be more effective when coupled with outward-oriented policies </w:t>
      </w:r>
      <w:r w:rsidR="001210EF">
        <w:rPr>
          <w:rFonts w:ascii="Times New Roman" w:hAnsi="Times New Roman" w:cs="Times New Roman"/>
          <w:sz w:val="24"/>
          <w:szCs w:val="24"/>
          <w:lang w:val="en-GB"/>
        </w:rPr>
        <w:t>(Dollar, 1992)</w:t>
      </w:r>
      <w:r w:rsidRPr="00421139">
        <w:rPr>
          <w:rFonts w:ascii="Times New Roman" w:hAnsi="Times New Roman" w:cs="Times New Roman"/>
          <w:sz w:val="24"/>
          <w:szCs w:val="24"/>
          <w:lang w:val="en-GB"/>
        </w:rPr>
        <w:t>.</w:t>
      </w:r>
      <w:r w:rsidR="00124A8F">
        <w:rPr>
          <w:rFonts w:ascii="Times New Roman" w:hAnsi="Times New Roman" w:cs="Times New Roman"/>
          <w:sz w:val="24"/>
          <w:szCs w:val="24"/>
          <w:lang w:val="en-GB"/>
        </w:rPr>
        <w:t xml:space="preserve"> This explains, according to the author, the successful growth strategy of East-Asian countries relative to Latin-American countries over the last decades.</w:t>
      </w:r>
      <w:r w:rsidR="001F07E9">
        <w:rPr>
          <w:rFonts w:ascii="Times New Roman" w:hAnsi="Times New Roman" w:cs="Times New Roman"/>
          <w:sz w:val="24"/>
          <w:szCs w:val="24"/>
          <w:lang w:val="en-GB"/>
        </w:rPr>
        <w:t xml:space="preserve"> </w:t>
      </w:r>
      <w:r w:rsidR="001F07E9">
        <w:rPr>
          <w:rFonts w:ascii="Times New Roman" w:hAnsi="Times New Roman" w:cs="Times New Roman"/>
          <w:sz w:val="24"/>
          <w:szCs w:val="24"/>
        </w:rPr>
        <w:t>Alternatively, there is a</w:t>
      </w:r>
      <w:r w:rsidR="00B60A87">
        <w:rPr>
          <w:rFonts w:ascii="Times New Roman" w:hAnsi="Times New Roman" w:cs="Times New Roman"/>
          <w:sz w:val="24"/>
          <w:szCs w:val="24"/>
        </w:rPr>
        <w:t xml:space="preserve"> convincing</w:t>
      </w:r>
      <w:r w:rsidR="001F07E9">
        <w:rPr>
          <w:rFonts w:ascii="Times New Roman" w:hAnsi="Times New Roman" w:cs="Times New Roman"/>
          <w:sz w:val="24"/>
          <w:szCs w:val="24"/>
        </w:rPr>
        <w:t xml:space="preserve"> new structuralist literature providing considerable information on potentially contractionary effects of devaluation due to adverse impacts on </w:t>
      </w:r>
      <w:r w:rsidR="00DC1171">
        <w:rPr>
          <w:rFonts w:ascii="Times New Roman" w:hAnsi="Times New Roman" w:cs="Times New Roman"/>
          <w:sz w:val="24"/>
          <w:szCs w:val="24"/>
        </w:rPr>
        <w:t xml:space="preserve">components of the aggregate </w:t>
      </w:r>
      <w:r w:rsidR="00DC1171">
        <w:rPr>
          <w:rFonts w:ascii="Times New Roman" w:hAnsi="Times New Roman" w:cs="Times New Roman"/>
          <w:sz w:val="24"/>
          <w:szCs w:val="24"/>
        </w:rPr>
        <w:lastRenderedPageBreak/>
        <w:t>demand such as</w:t>
      </w:r>
      <w:r w:rsidR="001F07E9">
        <w:rPr>
          <w:rFonts w:ascii="Times New Roman" w:hAnsi="Times New Roman" w:cs="Times New Roman"/>
          <w:sz w:val="24"/>
          <w:szCs w:val="24"/>
        </w:rPr>
        <w:t xml:space="preserve"> import</w:t>
      </w:r>
      <w:r w:rsidR="00DC1171">
        <w:rPr>
          <w:rFonts w:ascii="Times New Roman" w:hAnsi="Times New Roman" w:cs="Times New Roman"/>
          <w:sz w:val="24"/>
          <w:szCs w:val="24"/>
        </w:rPr>
        <w:t>s, export supply, consumption and investment; they also point out unwanted effects of devaluation on the cost of production of domestic firms,</w:t>
      </w:r>
      <w:r w:rsidR="001F07E9">
        <w:rPr>
          <w:rFonts w:ascii="Times New Roman" w:hAnsi="Times New Roman" w:cs="Times New Roman"/>
          <w:sz w:val="24"/>
          <w:szCs w:val="24"/>
        </w:rPr>
        <w:t xml:space="preserve"> external debt, inflation and income distribution (Diaz-Alejandro, 1963; Krugman and Taylor, 197</w:t>
      </w:r>
      <w:r w:rsidR="00B60A87">
        <w:rPr>
          <w:rFonts w:ascii="Times New Roman" w:hAnsi="Times New Roman" w:cs="Times New Roman"/>
          <w:sz w:val="24"/>
          <w:szCs w:val="24"/>
        </w:rPr>
        <w:t>8</w:t>
      </w:r>
      <w:r w:rsidR="001F07E9">
        <w:rPr>
          <w:rFonts w:ascii="Times New Roman" w:hAnsi="Times New Roman" w:cs="Times New Roman"/>
          <w:sz w:val="24"/>
          <w:szCs w:val="24"/>
        </w:rPr>
        <w:t>;</w:t>
      </w:r>
      <w:r w:rsidR="00B60A87">
        <w:rPr>
          <w:rFonts w:ascii="Times New Roman" w:hAnsi="Times New Roman" w:cs="Times New Roman"/>
          <w:sz w:val="24"/>
          <w:szCs w:val="24"/>
        </w:rPr>
        <w:t xml:space="preserve"> Bruno, 1979; </w:t>
      </w:r>
      <w:proofErr w:type="spellStart"/>
      <w:r w:rsidR="00B60A87">
        <w:rPr>
          <w:rFonts w:ascii="Times New Roman" w:hAnsi="Times New Roman" w:cs="Times New Roman"/>
          <w:sz w:val="24"/>
          <w:szCs w:val="24"/>
        </w:rPr>
        <w:t>Razmi</w:t>
      </w:r>
      <w:proofErr w:type="spellEnd"/>
      <w:r w:rsidR="00B60A87">
        <w:rPr>
          <w:rFonts w:ascii="Times New Roman" w:hAnsi="Times New Roman" w:cs="Times New Roman"/>
          <w:sz w:val="24"/>
          <w:szCs w:val="24"/>
        </w:rPr>
        <w:t>, 2007)</w:t>
      </w:r>
      <w:r w:rsidR="001F07E9">
        <w:rPr>
          <w:rFonts w:ascii="Times New Roman" w:hAnsi="Times New Roman" w:cs="Times New Roman"/>
          <w:sz w:val="24"/>
          <w:szCs w:val="24"/>
        </w:rPr>
        <w:t xml:space="preserve">. </w:t>
      </w:r>
      <w:r w:rsidR="00B60A87">
        <w:rPr>
          <w:rFonts w:ascii="Times New Roman" w:hAnsi="Times New Roman" w:cs="Times New Roman"/>
          <w:sz w:val="24"/>
          <w:szCs w:val="24"/>
        </w:rPr>
        <w:t xml:space="preserve">Ergo, </w:t>
      </w:r>
      <w:r w:rsidR="00B60A87">
        <w:rPr>
          <w:rFonts w:ascii="Times New Roman" w:hAnsi="Times New Roman" w:cs="Times New Roman"/>
          <w:sz w:val="24"/>
          <w:szCs w:val="24"/>
          <w:lang w:val="en-GB"/>
        </w:rPr>
        <w:t xml:space="preserve">since </w:t>
      </w:r>
      <w:r w:rsidRPr="00421139">
        <w:rPr>
          <w:rFonts w:ascii="Times New Roman" w:hAnsi="Times New Roman" w:cs="Times New Roman"/>
          <w:sz w:val="24"/>
          <w:szCs w:val="24"/>
          <w:lang w:val="en-GB"/>
        </w:rPr>
        <w:t xml:space="preserve">currency undervaluation may </w:t>
      </w:r>
      <w:r w:rsidR="00B60A87">
        <w:rPr>
          <w:rFonts w:ascii="Times New Roman" w:hAnsi="Times New Roman" w:cs="Times New Roman"/>
          <w:sz w:val="24"/>
          <w:szCs w:val="24"/>
          <w:lang w:val="en-GB"/>
        </w:rPr>
        <w:t>reduce</w:t>
      </w:r>
      <w:r w:rsidRPr="00421139">
        <w:rPr>
          <w:rFonts w:ascii="Times New Roman" w:hAnsi="Times New Roman" w:cs="Times New Roman"/>
          <w:sz w:val="24"/>
          <w:szCs w:val="24"/>
          <w:lang w:val="en-GB"/>
        </w:rPr>
        <w:t xml:space="preserve"> domestic demand, it is </w:t>
      </w:r>
      <w:r w:rsidR="00DC1171">
        <w:rPr>
          <w:rFonts w:ascii="Times New Roman" w:hAnsi="Times New Roman" w:cs="Times New Roman"/>
          <w:sz w:val="24"/>
          <w:szCs w:val="24"/>
          <w:lang w:val="en-GB"/>
        </w:rPr>
        <w:t>plausible to assume</w:t>
      </w:r>
      <w:r w:rsidR="00B60A87">
        <w:rPr>
          <w:rFonts w:ascii="Times New Roman" w:hAnsi="Times New Roman" w:cs="Times New Roman"/>
          <w:sz w:val="24"/>
          <w:szCs w:val="24"/>
          <w:lang w:val="en-GB"/>
        </w:rPr>
        <w:t xml:space="preserve"> that</w:t>
      </w:r>
      <w:r w:rsidRPr="00421139">
        <w:rPr>
          <w:rFonts w:ascii="Times New Roman" w:hAnsi="Times New Roman" w:cs="Times New Roman"/>
          <w:sz w:val="24"/>
          <w:szCs w:val="24"/>
          <w:lang w:val="en-GB"/>
        </w:rPr>
        <w:t xml:space="preserve"> that RER undervaluation </w:t>
      </w:r>
      <w:r w:rsidR="00B60A87">
        <w:rPr>
          <w:rFonts w:ascii="Times New Roman" w:hAnsi="Times New Roman" w:cs="Times New Roman"/>
          <w:sz w:val="24"/>
          <w:szCs w:val="24"/>
          <w:lang w:val="en-GB"/>
        </w:rPr>
        <w:t xml:space="preserve">impacts </w:t>
      </w:r>
      <w:r w:rsidRPr="00421139">
        <w:rPr>
          <w:rFonts w:ascii="Times New Roman" w:hAnsi="Times New Roman" w:cs="Times New Roman"/>
          <w:sz w:val="24"/>
          <w:szCs w:val="24"/>
          <w:lang w:val="en-GB"/>
        </w:rPr>
        <w:t xml:space="preserve">negatively inward-oriented countries, whilst it </w:t>
      </w:r>
      <w:r w:rsidR="00B60A87">
        <w:rPr>
          <w:rFonts w:ascii="Times New Roman" w:hAnsi="Times New Roman" w:cs="Times New Roman"/>
          <w:sz w:val="24"/>
          <w:szCs w:val="24"/>
          <w:lang w:val="en-GB"/>
        </w:rPr>
        <w:t>boosts the economic performance of</w:t>
      </w:r>
      <w:r w:rsidRPr="00421139">
        <w:rPr>
          <w:rFonts w:ascii="Times New Roman" w:hAnsi="Times New Roman" w:cs="Times New Roman"/>
          <w:sz w:val="24"/>
          <w:szCs w:val="24"/>
          <w:lang w:val="en-GB"/>
        </w:rPr>
        <w:t xml:space="preserve"> outward-oriented</w:t>
      </w:r>
      <w:r w:rsidR="00B60A87">
        <w:rPr>
          <w:rFonts w:ascii="Times New Roman" w:hAnsi="Times New Roman" w:cs="Times New Roman"/>
          <w:sz w:val="24"/>
          <w:szCs w:val="24"/>
          <w:lang w:val="en-GB"/>
        </w:rPr>
        <w:t xml:space="preserve"> </w:t>
      </w:r>
      <w:r w:rsidR="00B60A87" w:rsidRPr="00421139">
        <w:rPr>
          <w:rFonts w:ascii="Times New Roman" w:hAnsi="Times New Roman" w:cs="Times New Roman"/>
          <w:sz w:val="24"/>
          <w:szCs w:val="24"/>
          <w:lang w:val="en-GB"/>
        </w:rPr>
        <w:t>countries</w:t>
      </w:r>
      <w:r w:rsidRPr="00421139">
        <w:rPr>
          <w:rFonts w:ascii="Times New Roman" w:hAnsi="Times New Roman" w:cs="Times New Roman"/>
          <w:sz w:val="24"/>
          <w:szCs w:val="24"/>
          <w:lang w:val="en-GB"/>
        </w:rPr>
        <w:t>.</w:t>
      </w:r>
    </w:p>
    <w:p w:rsidR="00F54CFA" w:rsidRPr="00421139" w:rsidRDefault="00ED7B2E" w:rsidP="00EA30A5">
      <w:pPr>
        <w:spacing w:line="240" w:lineRule="auto"/>
        <w:ind w:firstLine="284"/>
        <w:jc w:val="both"/>
        <w:rPr>
          <w:rFonts w:ascii="Times New Roman" w:hAnsi="Times New Roman" w:cs="Times New Roman"/>
          <w:sz w:val="24"/>
          <w:szCs w:val="24"/>
          <w:lang w:val="en-GB"/>
        </w:rPr>
      </w:pPr>
      <w:r w:rsidRPr="00421139">
        <w:rPr>
          <w:rFonts w:ascii="Times New Roman" w:hAnsi="Times New Roman" w:cs="Times New Roman"/>
          <w:sz w:val="24"/>
          <w:szCs w:val="24"/>
          <w:lang w:val="en-GB"/>
        </w:rPr>
        <w:t>T</w:t>
      </w:r>
      <w:r w:rsidR="005E6631" w:rsidRPr="00421139">
        <w:rPr>
          <w:rFonts w:ascii="Times New Roman" w:hAnsi="Times New Roman" w:cs="Times New Roman"/>
          <w:sz w:val="24"/>
          <w:szCs w:val="24"/>
          <w:lang w:val="en-GB"/>
        </w:rPr>
        <w:t xml:space="preserve">he level of countries’ outward-orientation </w:t>
      </w:r>
      <w:r w:rsidRPr="00421139">
        <w:rPr>
          <w:rFonts w:ascii="Times New Roman" w:hAnsi="Times New Roman" w:cs="Times New Roman"/>
          <w:sz w:val="24"/>
          <w:szCs w:val="24"/>
          <w:lang w:val="en-GB"/>
        </w:rPr>
        <w:t>(</w:t>
      </w:r>
      <m:oMath>
        <m:r>
          <w:rPr>
            <w:rFonts w:ascii="Cambria Math" w:hAnsi="Cambria Math" w:cs="Times New Roman"/>
            <w:sz w:val="24"/>
            <w:szCs w:val="24"/>
            <w:lang w:val="en-GB"/>
          </w:rPr>
          <m:t>OUT</m:t>
        </m:r>
      </m:oMath>
      <w:r w:rsidRPr="00421139">
        <w:rPr>
          <w:rFonts w:ascii="Times New Roman" w:hAnsi="Times New Roman" w:cs="Times New Roman"/>
          <w:sz w:val="24"/>
          <w:szCs w:val="24"/>
          <w:lang w:val="en-GB"/>
        </w:rPr>
        <w:t xml:space="preserve">) is </w:t>
      </w:r>
      <w:r w:rsidR="0064763C">
        <w:rPr>
          <w:rFonts w:ascii="Times New Roman" w:hAnsi="Times New Roman" w:cs="Times New Roman"/>
          <w:sz w:val="24"/>
          <w:szCs w:val="24"/>
          <w:lang w:val="en-GB"/>
        </w:rPr>
        <w:t>computed as</w:t>
      </w:r>
      <w:r w:rsidR="005E6631" w:rsidRPr="00421139">
        <w:rPr>
          <w:rFonts w:ascii="Times New Roman" w:hAnsi="Times New Roman" w:cs="Times New Roman"/>
          <w:sz w:val="24"/>
          <w:szCs w:val="24"/>
          <w:lang w:val="en-GB"/>
        </w:rPr>
        <w:t xml:space="preserve"> the share of exports on GDP.</w:t>
      </w:r>
      <w:r w:rsidRPr="00421139">
        <w:rPr>
          <w:rFonts w:ascii="Times New Roman" w:hAnsi="Times New Roman" w:cs="Times New Roman"/>
          <w:sz w:val="24"/>
          <w:szCs w:val="24"/>
          <w:lang w:val="en-GB"/>
        </w:rPr>
        <w:t xml:space="preserve"> The following model </w:t>
      </w:r>
      <w:r w:rsidR="0064763C">
        <w:rPr>
          <w:rFonts w:ascii="Times New Roman" w:hAnsi="Times New Roman" w:cs="Times New Roman"/>
          <w:sz w:val="24"/>
          <w:szCs w:val="24"/>
          <w:lang w:val="en-GB"/>
        </w:rPr>
        <w:t>aims at analysing</w:t>
      </w:r>
      <w:r w:rsidRPr="00421139">
        <w:rPr>
          <w:rFonts w:ascii="Times New Roman" w:hAnsi="Times New Roman" w:cs="Times New Roman"/>
          <w:sz w:val="24"/>
          <w:szCs w:val="24"/>
          <w:lang w:val="en-GB"/>
        </w:rPr>
        <w:t xml:space="preserve"> the heterogeneous impact</w:t>
      </w:r>
      <w:r w:rsidR="0064763C">
        <w:rPr>
          <w:rFonts w:ascii="Times New Roman" w:hAnsi="Times New Roman" w:cs="Times New Roman"/>
          <w:sz w:val="24"/>
          <w:szCs w:val="24"/>
          <w:lang w:val="en-GB"/>
        </w:rPr>
        <w:t xml:space="preserve"> of devaluation om growth at different stages of development</w:t>
      </w:r>
      <w:r w:rsidRPr="00421139">
        <w:rPr>
          <w:rFonts w:ascii="Times New Roman" w:hAnsi="Times New Roman" w:cs="Times New Roman"/>
          <w:sz w:val="24"/>
          <w:szCs w:val="24"/>
          <w:lang w:val="en-GB"/>
        </w:rPr>
        <w:t>:</w:t>
      </w:r>
    </w:p>
    <w:p w:rsidR="0064763C" w:rsidRPr="0064763C" w:rsidRDefault="00EA30A5" w:rsidP="00EA30A5">
      <w:pPr>
        <w:spacing w:after="0" w:line="240" w:lineRule="auto"/>
        <w:jc w:val="center"/>
        <w:rPr>
          <w:rFonts w:ascii="Times New Roman"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growth</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=α+δ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growth</m:t>
              </m:r>
            </m:e>
            <m:sub>
              <m:r>
                <w:rPr>
                  <w:rFonts w:ascii="Cambria Math" w:hAnsi="Cambria Math" w:cs="Times New Roman"/>
                  <w:sz w:val="24"/>
                  <w:szCs w:val="24"/>
                  <w:lang w:val="en-GB"/>
                </w:rPr>
                <m:t>i,t-1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1</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ln⁡</m:t>
              </m:r>
              <m:r>
                <w:rPr>
                  <w:rFonts w:ascii="Cambria Math" w:hAnsi="Cambria Math" w:cs="Times New Roman"/>
                  <w:sz w:val="24"/>
                  <w:szCs w:val="24"/>
                  <w:lang w:val="en-GB"/>
                </w:rPr>
                <m:t>(UNDVAL</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m:t>
          </m:r>
        </m:oMath>
      </m:oMathPara>
    </w:p>
    <w:p w:rsidR="0064763C" w:rsidRPr="0064763C" w:rsidRDefault="00EA30A5" w:rsidP="00EA30A5">
      <w:pPr>
        <w:spacing w:line="240" w:lineRule="auto"/>
        <w:jc w:val="center"/>
        <w:rPr>
          <w:rFonts w:ascii="Times New Roman" w:hAnsi="Times New Roman" w:cs="Times New Roman"/>
          <w:sz w:val="24"/>
          <w:szCs w:val="24"/>
          <w:lang w:val="en-GB"/>
        </w:rPr>
      </w:pPr>
      <m:oMathPara>
        <m:oMathParaPr>
          <m:jc m:val="right"/>
        </m:oMathPara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2</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ln⁡</m:t>
              </m:r>
              <m:r>
                <w:rPr>
                  <w:rFonts w:ascii="Cambria Math" w:hAnsi="Cambria Math" w:cs="Times New Roman"/>
                  <w:sz w:val="24"/>
                  <w:szCs w:val="24"/>
                  <w:lang w:val="en-GB"/>
                </w:rPr>
                <m:t>(UNDVAL</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ln⁡</m:t>
              </m:r>
              <m:r>
                <w:rPr>
                  <w:rFonts w:ascii="Cambria Math" w:hAnsi="Cambria Math" w:cs="Times New Roman"/>
                  <w:sz w:val="24"/>
                  <w:szCs w:val="24"/>
                  <w:lang w:val="en-GB"/>
                </w:rPr>
                <m:t>(GAP</m:t>
              </m:r>
            </m:e>
            <m:sub>
              <m:r>
                <w:rPr>
                  <w:rFonts w:ascii="Cambria Math" w:hAnsi="Cambria Math" w:cs="Times New Roman"/>
                  <w:sz w:val="24"/>
                  <w:szCs w:val="24"/>
                  <w:lang w:val="en-GB"/>
                </w:rPr>
                <m:t>i,t=0</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3</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ln⁡</m:t>
              </m:r>
              <m:r>
                <w:rPr>
                  <w:rFonts w:ascii="Cambria Math" w:hAnsi="Cambria Math" w:cs="Times New Roman"/>
                  <w:sz w:val="24"/>
                  <w:szCs w:val="24"/>
                  <w:lang w:val="en-GB"/>
                </w:rPr>
                <m:t>(UNDVAL</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OUT</m:t>
              </m:r>
            </m:e>
            <m:sub>
              <m:r>
                <w:rPr>
                  <w:rFonts w:ascii="Cambria Math" w:hAnsi="Cambria Math" w:cs="Times New Roman"/>
                  <w:sz w:val="24"/>
                  <w:szCs w:val="24"/>
                  <w:lang w:val="en-GB"/>
                </w:rPr>
                <m:t>i,t=0</m:t>
              </m:r>
            </m:sub>
          </m:sSub>
          <m:r>
            <w:rPr>
              <w:rFonts w:ascii="Cambria Math" w:hAnsi="Cambria Math" w:cs="Times New Roman"/>
              <w:sz w:val="24"/>
              <w:szCs w:val="24"/>
              <w:lang w:val="en-GB"/>
            </w:rPr>
            <m:t xml:space="preserve">+γ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Z</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(8)</m:t>
          </m:r>
        </m:oMath>
      </m:oMathPara>
    </w:p>
    <w:p w:rsidR="00ED7B2E" w:rsidRPr="00421139" w:rsidRDefault="0064763C"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By equation (</w:t>
      </w:r>
      <w:r w:rsidR="002C5046">
        <w:rPr>
          <w:rFonts w:ascii="Times New Roman" w:hAnsi="Times New Roman" w:cs="Times New Roman"/>
          <w:sz w:val="24"/>
          <w:szCs w:val="24"/>
          <w:lang w:val="en-GB"/>
        </w:rPr>
        <w:t>9</w:t>
      </w:r>
      <w:r>
        <w:rPr>
          <w:rFonts w:ascii="Times New Roman" w:hAnsi="Times New Roman" w:cs="Times New Roman"/>
          <w:sz w:val="24"/>
          <w:szCs w:val="24"/>
          <w:lang w:val="en-GB"/>
        </w:rPr>
        <w:t>), t</w:t>
      </w:r>
      <w:r w:rsidR="00ED7B2E" w:rsidRPr="00421139">
        <w:rPr>
          <w:rFonts w:ascii="Times New Roman" w:hAnsi="Times New Roman" w:cs="Times New Roman"/>
          <w:sz w:val="24"/>
          <w:szCs w:val="24"/>
          <w:lang w:val="en-GB"/>
        </w:rPr>
        <w:t>he impact of RER undervaluati</w:t>
      </w:r>
      <w:r>
        <w:rPr>
          <w:rFonts w:ascii="Times New Roman" w:hAnsi="Times New Roman" w:cs="Times New Roman"/>
          <w:sz w:val="24"/>
          <w:szCs w:val="24"/>
          <w:lang w:val="en-GB"/>
        </w:rPr>
        <w:t>on is given by</w:t>
      </w:r>
      <w:r w:rsidR="00ED7B2E" w:rsidRPr="00421139">
        <w:rPr>
          <w:rFonts w:ascii="Times New Roman" w:hAnsi="Times New Roman" w:cs="Times New Roman"/>
          <w:sz w:val="24"/>
          <w:szCs w:val="24"/>
          <w:lang w:val="en-GB"/>
        </w:rPr>
        <w:t xml:space="preserve"> the interaction of RER undervaluation with </w:t>
      </w:r>
      <w:r w:rsidR="00E107D0" w:rsidRPr="00421139">
        <w:rPr>
          <w:rFonts w:ascii="Times New Roman" w:hAnsi="Times New Roman" w:cs="Times New Roman"/>
          <w:sz w:val="24"/>
          <w:szCs w:val="24"/>
          <w:lang w:val="en-GB"/>
        </w:rPr>
        <w:t xml:space="preserve">technological gap and </w:t>
      </w:r>
      <w:r w:rsidR="00ED7B2E" w:rsidRPr="00421139">
        <w:rPr>
          <w:rFonts w:ascii="Times New Roman" w:hAnsi="Times New Roman" w:cs="Times New Roman"/>
          <w:sz w:val="24"/>
          <w:szCs w:val="24"/>
          <w:lang w:val="en-GB"/>
        </w:rPr>
        <w:t>outward-orientation. Such as in the analysis of technological gap, it means that the impact is not a parameter, but a</w:t>
      </w:r>
      <w:r w:rsidR="002770D0">
        <w:rPr>
          <w:rFonts w:ascii="Times New Roman" w:hAnsi="Times New Roman" w:cs="Times New Roman"/>
          <w:sz w:val="24"/>
          <w:szCs w:val="24"/>
          <w:lang w:val="en-GB"/>
        </w:rPr>
        <w:t xml:space="preserve"> continuous</w:t>
      </w:r>
      <w:r w:rsidR="00ED7B2E" w:rsidRPr="00421139">
        <w:rPr>
          <w:rFonts w:ascii="Times New Roman" w:hAnsi="Times New Roman" w:cs="Times New Roman"/>
          <w:sz w:val="24"/>
          <w:szCs w:val="24"/>
          <w:lang w:val="en-GB"/>
        </w:rPr>
        <w:t xml:space="preserve"> function.</w:t>
      </w:r>
      <w:r w:rsidR="00E107D0" w:rsidRPr="00421139">
        <w:rPr>
          <w:rFonts w:ascii="Times New Roman" w:hAnsi="Times New Roman" w:cs="Times New Roman"/>
          <w:sz w:val="24"/>
          <w:szCs w:val="24"/>
          <w:lang w:val="en-GB"/>
        </w:rPr>
        <w:t xml:space="preserve"> In this case, however, it is a function of two variables.</w:t>
      </w:r>
      <w:r w:rsidR="00ED7B2E" w:rsidRPr="00421139">
        <w:rPr>
          <w:rFonts w:ascii="Times New Roman" w:hAnsi="Times New Roman" w:cs="Times New Roman"/>
          <w:sz w:val="24"/>
          <w:szCs w:val="24"/>
          <w:lang w:val="en-GB"/>
        </w:rPr>
        <w:t xml:space="preserve"> Thus, it is obtained, as follow:</w:t>
      </w:r>
    </w:p>
    <w:p w:rsidR="008E6E91" w:rsidRPr="00421139" w:rsidRDefault="007E67B2" w:rsidP="00EA30A5">
      <w:pPr>
        <w:spacing w:line="24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m:oMath>
        <m:r>
          <w:rPr>
            <w:rFonts w:ascii="Cambria Math" w:hAnsi="Cambria Math" w:cs="Times New Roman"/>
            <w:sz w:val="24"/>
            <w:szCs w:val="24"/>
            <w:lang w:val="en-GB"/>
          </w:rPr>
          <m:t>b</m:t>
        </m:r>
        <m:r>
          <m:rPr>
            <m:sty m:val="p"/>
          </m:rPr>
          <w:rPr>
            <w:rFonts w:ascii="Cambria Math" w:hAnsi="Cambria Math" w:cs="Times New Roman"/>
            <w:sz w:val="24"/>
            <w:szCs w:val="24"/>
            <w:lang w:val="en-GB"/>
          </w:rPr>
          <m:t>=</m:t>
        </m:r>
        <m:f>
          <m:fPr>
            <m:ctrlPr>
              <w:rPr>
                <w:rFonts w:ascii="Cambria Math" w:hAnsi="Cambria Math" w:cs="Times New Roman"/>
                <w:sz w:val="24"/>
                <w:szCs w:val="24"/>
                <w:lang w:val="en-GB"/>
              </w:rPr>
            </m:ctrlPr>
          </m:fPr>
          <m:num>
            <m:sSub>
              <m:sSubPr>
                <m:ctrlPr>
                  <w:rPr>
                    <w:rFonts w:ascii="Cambria Math" w:hAnsi="Cambria Math" w:cs="Times New Roman"/>
                    <w:sz w:val="24"/>
                    <w:szCs w:val="24"/>
                    <w:lang w:val="en-GB"/>
                  </w:rPr>
                </m:ctrlPr>
              </m:sSubPr>
              <m:e>
                <m:r>
                  <w:rPr>
                    <w:rFonts w:ascii="Cambria Math" w:hAnsi="Cambria Math" w:cs="Times New Roman"/>
                    <w:sz w:val="24"/>
                    <w:szCs w:val="24"/>
                    <w:lang w:val="en-GB"/>
                  </w:rPr>
                  <m:t>β</m:t>
                </m:r>
              </m:e>
              <m:sub>
                <m:r>
                  <m:rPr>
                    <m:sty m:val="p"/>
                  </m:rPr>
                  <w:rPr>
                    <w:rFonts w:ascii="Cambria Math" w:hAnsi="Cambria Math" w:cs="Times New Roman"/>
                    <w:sz w:val="24"/>
                    <w:szCs w:val="24"/>
                    <w:lang w:val="en-GB"/>
                  </w:rPr>
                  <m:t>1</m:t>
                </m:r>
              </m:sub>
            </m:sSub>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β</m:t>
                </m:r>
              </m:e>
              <m:sub>
                <m:r>
                  <m:rPr>
                    <m:sty m:val="p"/>
                  </m:rPr>
                  <w:rPr>
                    <w:rFonts w:ascii="Cambria Math" w:hAnsi="Cambria Math" w:cs="Times New Roman"/>
                    <w:sz w:val="24"/>
                    <w:szCs w:val="24"/>
                    <w:lang w:val="en-GB"/>
                  </w:rPr>
                  <m:t>2</m:t>
                </m:r>
              </m:sub>
            </m:sSub>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ln⁡</m:t>
                </m:r>
                <m:r>
                  <w:rPr>
                    <w:rFonts w:ascii="Cambria Math" w:hAnsi="Cambria Math" w:cs="Times New Roman"/>
                    <w:sz w:val="24"/>
                    <w:szCs w:val="24"/>
                    <w:lang w:val="en-GB"/>
                  </w:rPr>
                  <m:t>(GAP</m:t>
                </m:r>
              </m:e>
              <m:sub>
                <m:r>
                  <w:rPr>
                    <w:rFonts w:ascii="Cambria Math" w:hAnsi="Cambria Math" w:cs="Times New Roman"/>
                    <w:sz w:val="24"/>
                    <w:szCs w:val="24"/>
                    <w:lang w:val="en-GB"/>
                  </w:rPr>
                  <m:t>i,t=0</m:t>
                </m:r>
              </m:sub>
            </m:sSub>
            <m:r>
              <w:rPr>
                <w:rFonts w:ascii="Cambria Math" w:hAnsi="Cambria Math" w:cs="Times New Roman"/>
                <w:sz w:val="24"/>
                <w:szCs w:val="24"/>
                <w:lang w:val="en-GB"/>
              </w:rPr>
              <m:t>)</m:t>
            </m:r>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β</m:t>
                </m:r>
              </m:e>
              <m:sub>
                <m:r>
                  <m:rPr>
                    <m:sty m:val="p"/>
                  </m:rPr>
                  <w:rPr>
                    <w:rFonts w:ascii="Cambria Math" w:hAnsi="Cambria Math" w:cs="Times New Roman"/>
                    <w:sz w:val="24"/>
                    <w:szCs w:val="24"/>
                    <w:lang w:val="en-GB"/>
                  </w:rPr>
                  <m:t>3</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OUT</m:t>
                </m:r>
              </m:e>
              <m:sub>
                <m:r>
                  <w:rPr>
                    <w:rFonts w:ascii="Cambria Math" w:hAnsi="Cambria Math" w:cs="Times New Roman"/>
                    <w:sz w:val="24"/>
                    <w:szCs w:val="24"/>
                    <w:lang w:val="en-GB"/>
                  </w:rPr>
                  <m:t>i,t=0</m:t>
                </m:r>
              </m:sub>
            </m:sSub>
          </m:num>
          <m:den>
            <m:r>
              <m:rPr>
                <m:sty m:val="p"/>
              </m:rPr>
              <w:rPr>
                <w:rFonts w:ascii="Cambria Math" w:hAnsi="Cambria Math" w:cs="Times New Roman"/>
                <w:sz w:val="24"/>
                <w:szCs w:val="24"/>
                <w:lang w:val="en-GB"/>
              </w:rPr>
              <m:t>1-</m:t>
            </m:r>
            <m:r>
              <w:rPr>
                <w:rFonts w:ascii="Cambria Math" w:hAnsi="Cambria Math" w:cs="Times New Roman"/>
                <w:sz w:val="24"/>
                <w:szCs w:val="24"/>
                <w:lang w:val="en-GB"/>
              </w:rPr>
              <m:t>δ</m:t>
            </m:r>
          </m:den>
        </m:f>
      </m:oMath>
      <w:r w:rsidR="00A53946">
        <w:rPr>
          <w:rFonts w:ascii="Times New Roman" w:hAnsi="Times New Roman" w:cs="Times New Roman"/>
          <w:sz w:val="24"/>
          <w:szCs w:val="24"/>
          <w:lang w:val="en-GB"/>
        </w:rPr>
        <w:t xml:space="preserve">                                                     </w:t>
      </w:r>
      <w:r w:rsidR="006A3AB9">
        <w:rPr>
          <w:rFonts w:ascii="Times New Roman" w:hAnsi="Times New Roman" w:cs="Times New Roman"/>
          <w:sz w:val="24"/>
          <w:szCs w:val="24"/>
          <w:lang w:val="en-GB"/>
        </w:rPr>
        <w:t>(9</w:t>
      </w:r>
      <w:r w:rsidR="00A53946">
        <w:rPr>
          <w:rFonts w:ascii="Times New Roman" w:hAnsi="Times New Roman" w:cs="Times New Roman"/>
          <w:sz w:val="24"/>
          <w:szCs w:val="24"/>
          <w:lang w:val="en-GB"/>
        </w:rPr>
        <w:t>)</w:t>
      </w:r>
    </w:p>
    <w:p w:rsidR="00DC1171" w:rsidRPr="006C7FEF" w:rsidRDefault="002C5046" w:rsidP="00EA30A5">
      <w:pPr>
        <w:spacing w:line="240" w:lineRule="auto"/>
        <w:ind w:firstLine="284"/>
        <w:jc w:val="both"/>
        <w:rPr>
          <w:rFonts w:ascii="Times New Roman" w:hAnsi="Times New Roman" w:cs="Times New Roman"/>
          <w:sz w:val="24"/>
          <w:szCs w:val="24"/>
          <w:highlight w:val="yellow"/>
          <w:lang w:val="en-GB"/>
        </w:rPr>
      </w:pPr>
      <w:r w:rsidRPr="006C7FEF">
        <w:rPr>
          <w:rFonts w:ascii="Times New Roman" w:hAnsi="Times New Roman" w:cs="Times New Roman"/>
          <w:sz w:val="24"/>
          <w:szCs w:val="24"/>
          <w:lang w:val="en-GB"/>
        </w:rPr>
        <w:t>This equation adds another interaction term to the impact of a RER undervaluation on growth. Here</w:t>
      </w:r>
      <w:r w:rsidR="006C7FEF">
        <w:rPr>
          <w:rFonts w:ascii="Times New Roman" w:hAnsi="Times New Roman" w:cs="Times New Roman"/>
          <w:sz w:val="24"/>
          <w:szCs w:val="24"/>
          <w:lang w:val="en-GB"/>
        </w:rPr>
        <w:t>in</w:t>
      </w:r>
      <w:r w:rsidRPr="006C7FEF">
        <w:rPr>
          <w:rFonts w:ascii="Times New Roman" w:hAnsi="Times New Roman" w:cs="Times New Roman"/>
          <w:sz w:val="24"/>
          <w:szCs w:val="24"/>
          <w:lang w:val="en-GB"/>
        </w:rPr>
        <w:t xml:space="preserve">, the outward orientation, </w:t>
      </w:r>
      <m:oMath>
        <m:r>
          <w:rPr>
            <w:rFonts w:ascii="Cambria Math" w:hAnsi="Cambria Math" w:cs="Times New Roman"/>
            <w:sz w:val="24"/>
            <w:szCs w:val="24"/>
            <w:lang w:val="en-GB"/>
          </w:rPr>
          <m:t>OUT</m:t>
        </m:r>
      </m:oMath>
      <w:r w:rsidRPr="006C7FEF">
        <w:rPr>
          <w:rFonts w:ascii="Times New Roman" w:hAnsi="Times New Roman" w:cs="Times New Roman"/>
          <w:sz w:val="24"/>
          <w:szCs w:val="24"/>
          <w:lang w:val="en-GB"/>
        </w:rPr>
        <w:t xml:space="preserve">, interacts with </w:t>
      </w:r>
      <m:oMath>
        <m:sSub>
          <m:sSubPr>
            <m:ctrlPr>
              <w:rPr>
                <w:rFonts w:ascii="Cambria Math" w:hAnsi="Cambria Math" w:cs="Times New Roman"/>
                <w:sz w:val="24"/>
                <w:szCs w:val="24"/>
                <w:lang w:val="en-GB"/>
              </w:rPr>
            </m:ctrlPr>
          </m:sSubPr>
          <m:e>
            <m:r>
              <w:rPr>
                <w:rFonts w:ascii="Cambria Math" w:hAnsi="Cambria Math" w:cs="Times New Roman"/>
                <w:sz w:val="24"/>
                <w:szCs w:val="24"/>
                <w:lang w:val="en-GB"/>
              </w:rPr>
              <m:t>β</m:t>
            </m:r>
          </m:e>
          <m:sub>
            <m:r>
              <m:rPr>
                <m:sty m:val="p"/>
              </m:rPr>
              <w:rPr>
                <w:rFonts w:ascii="Cambria Math" w:hAnsi="Cambria Math" w:cs="Times New Roman"/>
                <w:sz w:val="24"/>
                <w:szCs w:val="24"/>
                <w:lang w:val="en-GB"/>
              </w:rPr>
              <m:t>3</m:t>
            </m:r>
          </m:sub>
        </m:sSub>
      </m:oMath>
      <w:r w:rsidR="001154A2" w:rsidRPr="006C7FEF">
        <w:rPr>
          <w:rFonts w:ascii="Times New Roman" w:hAnsi="Times New Roman" w:cs="Times New Roman"/>
          <w:sz w:val="24"/>
          <w:szCs w:val="24"/>
          <w:lang w:val="en-GB"/>
        </w:rPr>
        <w:t xml:space="preserve">, and hence the impact of undervaluation depends on countries’ technological gap, such as in (7), but it also depends on countries’ outward-orientation. If </w:t>
      </w:r>
      <m:oMath>
        <m:sSub>
          <m:sSubPr>
            <m:ctrlPr>
              <w:rPr>
                <w:rFonts w:ascii="Cambria Math" w:hAnsi="Cambria Math" w:cs="Times New Roman"/>
                <w:sz w:val="24"/>
                <w:szCs w:val="24"/>
                <w:lang w:val="en-GB"/>
              </w:rPr>
            </m:ctrlPr>
          </m:sSubPr>
          <m:e>
            <m:r>
              <w:rPr>
                <w:rFonts w:ascii="Cambria Math" w:hAnsi="Cambria Math" w:cs="Times New Roman"/>
                <w:sz w:val="24"/>
                <w:szCs w:val="24"/>
                <w:lang w:val="en-GB"/>
              </w:rPr>
              <m:t>β</m:t>
            </m:r>
          </m:e>
          <m:sub>
            <m:r>
              <m:rPr>
                <m:sty m:val="p"/>
              </m:rPr>
              <w:rPr>
                <w:rFonts w:ascii="Cambria Math" w:hAnsi="Cambria Math" w:cs="Times New Roman"/>
                <w:sz w:val="24"/>
                <w:szCs w:val="24"/>
                <w:lang w:val="en-GB"/>
              </w:rPr>
              <m:t>3</m:t>
            </m:r>
          </m:sub>
        </m:sSub>
      </m:oMath>
      <w:r w:rsidR="006C7FEF">
        <w:rPr>
          <w:rFonts w:ascii="Times New Roman" w:hAnsi="Times New Roman" w:cs="Times New Roman"/>
          <w:sz w:val="24"/>
          <w:szCs w:val="24"/>
          <w:lang w:val="en-GB"/>
        </w:rPr>
        <w:t xml:space="preserve"> is positive, the higher the countries’ exports</w:t>
      </w:r>
      <w:r w:rsidR="001154A2" w:rsidRPr="006C7FEF">
        <w:rPr>
          <w:rFonts w:ascii="Times New Roman" w:hAnsi="Times New Roman" w:cs="Times New Roman"/>
          <w:sz w:val="24"/>
          <w:szCs w:val="24"/>
          <w:lang w:val="en-GB"/>
        </w:rPr>
        <w:t xml:space="preserve"> share of GDP (the variable used here to measure out</w:t>
      </w:r>
      <w:r w:rsidR="006C7FEF">
        <w:rPr>
          <w:rFonts w:ascii="Times New Roman" w:hAnsi="Times New Roman" w:cs="Times New Roman"/>
          <w:sz w:val="24"/>
          <w:szCs w:val="24"/>
          <w:lang w:val="en-GB"/>
        </w:rPr>
        <w:t>ward-orientation), the higher</w:t>
      </w:r>
      <w:r w:rsidR="001154A2" w:rsidRPr="006C7FEF">
        <w:rPr>
          <w:rFonts w:ascii="Times New Roman" w:hAnsi="Times New Roman" w:cs="Times New Roman"/>
          <w:sz w:val="24"/>
          <w:szCs w:val="24"/>
          <w:lang w:val="en-GB"/>
        </w:rPr>
        <w:t xml:space="preserve"> the impact of a RER undervaluation on growth. Analogously, </w:t>
      </w:r>
      <w:r w:rsidR="006C7FEF">
        <w:rPr>
          <w:rFonts w:ascii="Times New Roman" w:hAnsi="Times New Roman" w:cs="Times New Roman"/>
          <w:sz w:val="24"/>
          <w:szCs w:val="24"/>
          <w:lang w:val="en-GB"/>
        </w:rPr>
        <w:t>for a negative</w:t>
      </w:r>
      <w:r w:rsidR="001154A2" w:rsidRPr="006C7FEF">
        <w:rPr>
          <w:rFonts w:ascii="Times New Roman" w:hAnsi="Times New Roman" w:cs="Times New Roman"/>
          <w:sz w:val="24"/>
          <w:szCs w:val="24"/>
          <w:lang w:val="en-GB"/>
        </w:rPr>
        <w:t xml:space="preserve"> </w:t>
      </w:r>
      <m:oMath>
        <m:sSub>
          <m:sSubPr>
            <m:ctrlPr>
              <w:rPr>
                <w:rFonts w:ascii="Cambria Math" w:hAnsi="Cambria Math" w:cs="Times New Roman"/>
                <w:sz w:val="24"/>
                <w:szCs w:val="24"/>
                <w:lang w:val="en-GB"/>
              </w:rPr>
            </m:ctrlPr>
          </m:sSubPr>
          <m:e>
            <m:r>
              <w:rPr>
                <w:rFonts w:ascii="Cambria Math" w:hAnsi="Cambria Math" w:cs="Times New Roman"/>
                <w:sz w:val="24"/>
                <w:szCs w:val="24"/>
                <w:lang w:val="en-GB"/>
              </w:rPr>
              <m:t>β</m:t>
            </m:r>
          </m:e>
          <m:sub>
            <m:r>
              <m:rPr>
                <m:sty m:val="p"/>
              </m:rPr>
              <w:rPr>
                <w:rFonts w:ascii="Cambria Math" w:hAnsi="Cambria Math" w:cs="Times New Roman"/>
                <w:sz w:val="24"/>
                <w:szCs w:val="24"/>
                <w:lang w:val="en-GB"/>
              </w:rPr>
              <m:t>3</m:t>
            </m:r>
          </m:sub>
        </m:sSub>
      </m:oMath>
      <w:r w:rsidR="006C7FEF">
        <w:rPr>
          <w:rFonts w:ascii="Times New Roman" w:hAnsi="Times New Roman" w:cs="Times New Roman"/>
          <w:sz w:val="24"/>
          <w:szCs w:val="24"/>
          <w:lang w:val="en-GB"/>
        </w:rPr>
        <w:t xml:space="preserve">, the higher the countries’ exports share of GDP, the lower </w:t>
      </w:r>
      <w:r w:rsidR="001154A2" w:rsidRPr="006C7FEF">
        <w:rPr>
          <w:rFonts w:ascii="Times New Roman" w:hAnsi="Times New Roman" w:cs="Times New Roman"/>
          <w:sz w:val="24"/>
          <w:szCs w:val="24"/>
          <w:lang w:val="en-GB"/>
        </w:rPr>
        <w:t>the impact of a RER undervaluation on growth.</w:t>
      </w:r>
    </w:p>
    <w:p w:rsidR="008D370B" w:rsidRPr="00C7149E" w:rsidRDefault="00E107D0" w:rsidP="00EA30A5">
      <w:pPr>
        <w:pStyle w:val="PargrafodaLista"/>
        <w:numPr>
          <w:ilvl w:val="1"/>
          <w:numId w:val="11"/>
        </w:numPr>
        <w:spacing w:line="240" w:lineRule="auto"/>
        <w:jc w:val="both"/>
        <w:rPr>
          <w:rFonts w:ascii="Times New Roman" w:hAnsi="Times New Roman" w:cs="Times New Roman"/>
          <w:b/>
          <w:i/>
          <w:sz w:val="24"/>
          <w:szCs w:val="24"/>
          <w:lang w:val="en-GB"/>
        </w:rPr>
      </w:pPr>
      <w:r w:rsidRPr="002C5046">
        <w:rPr>
          <w:rFonts w:ascii="Times New Roman" w:hAnsi="Times New Roman" w:cs="Times New Roman"/>
          <w:b/>
          <w:i/>
          <w:sz w:val="24"/>
          <w:szCs w:val="24"/>
        </w:rPr>
        <w:t xml:space="preserve"> </w:t>
      </w:r>
      <w:r w:rsidR="008D370B" w:rsidRPr="00C7149E">
        <w:rPr>
          <w:rFonts w:ascii="Times New Roman" w:hAnsi="Times New Roman" w:cs="Times New Roman"/>
          <w:b/>
          <w:i/>
          <w:sz w:val="24"/>
          <w:szCs w:val="24"/>
          <w:lang w:val="en-GB"/>
        </w:rPr>
        <w:t>Estimation method</w:t>
      </w:r>
      <w:r w:rsidR="00E82F51">
        <w:rPr>
          <w:rFonts w:ascii="Times New Roman" w:hAnsi="Times New Roman" w:cs="Times New Roman"/>
          <w:b/>
          <w:i/>
          <w:sz w:val="24"/>
          <w:szCs w:val="24"/>
          <w:lang w:val="en-GB"/>
        </w:rPr>
        <w:t>ology</w:t>
      </w:r>
      <w:r w:rsidR="008D370B" w:rsidRPr="00C7149E">
        <w:rPr>
          <w:rFonts w:ascii="Times New Roman" w:hAnsi="Times New Roman" w:cs="Times New Roman"/>
          <w:b/>
          <w:i/>
          <w:sz w:val="24"/>
          <w:szCs w:val="24"/>
          <w:lang w:val="en-GB"/>
        </w:rPr>
        <w:t xml:space="preserve"> and data</w:t>
      </w:r>
      <w:r w:rsidR="00E82F51">
        <w:rPr>
          <w:rFonts w:ascii="Times New Roman" w:hAnsi="Times New Roman" w:cs="Times New Roman"/>
          <w:b/>
          <w:i/>
          <w:sz w:val="24"/>
          <w:szCs w:val="24"/>
          <w:lang w:val="en-GB"/>
        </w:rPr>
        <w:t>set</w:t>
      </w:r>
    </w:p>
    <w:p w:rsidR="008D370B" w:rsidRPr="00421139" w:rsidRDefault="008D370B" w:rsidP="00EA30A5">
      <w:pPr>
        <w:spacing w:line="240" w:lineRule="auto"/>
        <w:jc w:val="both"/>
        <w:rPr>
          <w:rFonts w:ascii="Times New Roman" w:hAnsi="Times New Roman" w:cs="Times New Roman"/>
          <w:sz w:val="24"/>
          <w:szCs w:val="24"/>
          <w:lang w:val="en-GB"/>
        </w:rPr>
      </w:pPr>
      <w:r w:rsidRPr="00421139">
        <w:rPr>
          <w:rFonts w:ascii="Times New Roman" w:hAnsi="Times New Roman" w:cs="Times New Roman"/>
          <w:sz w:val="24"/>
          <w:szCs w:val="24"/>
          <w:lang w:val="en-GB"/>
        </w:rPr>
        <w:t xml:space="preserve">The </w:t>
      </w:r>
      <w:r w:rsidRPr="00FB19E5">
        <w:rPr>
          <w:rFonts w:ascii="Times New Roman" w:hAnsi="Times New Roman" w:cs="Times New Roman"/>
          <w:sz w:val="24"/>
          <w:szCs w:val="24"/>
          <w:lang w:val="en-GB"/>
        </w:rPr>
        <w:t xml:space="preserve">estimation technique employed here is the </w:t>
      </w:r>
      <w:r w:rsidR="002770D0" w:rsidRPr="00FB19E5">
        <w:rPr>
          <w:rFonts w:ascii="Times New Roman" w:hAnsi="Times New Roman" w:cs="Times New Roman"/>
          <w:sz w:val="24"/>
          <w:szCs w:val="24"/>
          <w:lang w:val="en-GB"/>
        </w:rPr>
        <w:t>GMM-</w:t>
      </w:r>
      <w:r w:rsidRPr="00FB19E5">
        <w:rPr>
          <w:rFonts w:ascii="Times New Roman" w:hAnsi="Times New Roman" w:cs="Times New Roman"/>
          <w:sz w:val="24"/>
          <w:szCs w:val="24"/>
          <w:lang w:val="en-GB"/>
        </w:rPr>
        <w:t>System estimator (</w:t>
      </w:r>
      <w:proofErr w:type="spellStart"/>
      <w:r w:rsidRPr="00FB19E5">
        <w:rPr>
          <w:rFonts w:ascii="Times New Roman" w:hAnsi="Times New Roman" w:cs="Times New Roman"/>
          <w:sz w:val="24"/>
          <w:szCs w:val="24"/>
          <w:lang w:val="en-GB"/>
        </w:rPr>
        <w:t>Brundel</w:t>
      </w:r>
      <w:proofErr w:type="spellEnd"/>
      <w:r w:rsidRPr="00FB19E5">
        <w:rPr>
          <w:rFonts w:ascii="Times New Roman" w:hAnsi="Times New Roman" w:cs="Times New Roman"/>
          <w:sz w:val="24"/>
          <w:szCs w:val="24"/>
          <w:lang w:val="en-GB"/>
        </w:rPr>
        <w:t xml:space="preserve"> and Bond, 1998). This estimator</w:t>
      </w:r>
      <w:r w:rsidR="00232C0C" w:rsidRPr="00FB19E5">
        <w:rPr>
          <w:rFonts w:ascii="Times New Roman" w:hAnsi="Times New Roman" w:cs="Times New Roman"/>
          <w:sz w:val="24"/>
          <w:szCs w:val="24"/>
          <w:lang w:val="en-GB"/>
        </w:rPr>
        <w:t xml:space="preserve"> extends the standard</w:t>
      </w:r>
      <w:r w:rsidRPr="00FB19E5">
        <w:rPr>
          <w:rFonts w:ascii="Times New Roman" w:hAnsi="Times New Roman" w:cs="Times New Roman"/>
          <w:sz w:val="24"/>
          <w:szCs w:val="24"/>
          <w:lang w:val="en-GB"/>
        </w:rPr>
        <w:t xml:space="preserve"> </w:t>
      </w:r>
      <w:r w:rsidR="00232C0C" w:rsidRPr="00FB19E5">
        <w:rPr>
          <w:rFonts w:ascii="Times New Roman" w:hAnsi="Times New Roman" w:cs="Times New Roman"/>
          <w:sz w:val="24"/>
          <w:szCs w:val="24"/>
          <w:lang w:val="en-GB"/>
        </w:rPr>
        <w:t>Arellano and Bond (1991) GMM estimator by utilising</w:t>
      </w:r>
      <w:r w:rsidRPr="00421139">
        <w:rPr>
          <w:rFonts w:ascii="Times New Roman" w:hAnsi="Times New Roman" w:cs="Times New Roman"/>
          <w:sz w:val="24"/>
          <w:szCs w:val="24"/>
          <w:lang w:val="en-GB"/>
        </w:rPr>
        <w:t xml:space="preserve"> lagged differences as instruments for equations in level and lagged levels as instrument for equations in first difference. Hence, there is no need to find exogenous regressors as instruments for the level of RER undervaluation and for the variables used to assess the heterogeneous effects.</w:t>
      </w:r>
    </w:p>
    <w:p w:rsidR="00187147" w:rsidRDefault="00F17653"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The time series of</w:t>
      </w:r>
      <w:r w:rsidR="00B27C26" w:rsidRPr="00421139">
        <w:rPr>
          <w:rFonts w:ascii="Times New Roman" w:hAnsi="Times New Roman" w:cs="Times New Roman"/>
          <w:sz w:val="24"/>
          <w:szCs w:val="24"/>
          <w:lang w:val="en-GB"/>
        </w:rPr>
        <w:t xml:space="preserve"> income growth, </w:t>
      </w:r>
      <w:r w:rsidR="008D370B" w:rsidRPr="00421139">
        <w:rPr>
          <w:rFonts w:ascii="Times New Roman" w:hAnsi="Times New Roman" w:cs="Times New Roman"/>
          <w:sz w:val="24"/>
          <w:szCs w:val="24"/>
          <w:lang w:val="en-GB"/>
        </w:rPr>
        <w:t>real exchange rates</w:t>
      </w:r>
      <w:r w:rsidR="00B27C26" w:rsidRPr="00421139">
        <w:rPr>
          <w:rFonts w:ascii="Times New Roman" w:hAnsi="Times New Roman" w:cs="Times New Roman"/>
          <w:sz w:val="24"/>
          <w:szCs w:val="24"/>
          <w:lang w:val="en-GB"/>
        </w:rPr>
        <w:t>,</w:t>
      </w:r>
      <w:r w:rsidR="008D370B" w:rsidRPr="00421139">
        <w:rPr>
          <w:rFonts w:ascii="Times New Roman" w:hAnsi="Times New Roman" w:cs="Times New Roman"/>
          <w:sz w:val="24"/>
          <w:szCs w:val="24"/>
          <w:lang w:val="en-GB"/>
        </w:rPr>
        <w:t xml:space="preserve"> technological gap</w:t>
      </w:r>
      <w:r w:rsidR="00B27C26" w:rsidRPr="00421139">
        <w:rPr>
          <w:rFonts w:ascii="Times New Roman" w:hAnsi="Times New Roman" w:cs="Times New Roman"/>
          <w:sz w:val="24"/>
          <w:szCs w:val="24"/>
          <w:lang w:val="en-GB"/>
        </w:rPr>
        <w:t xml:space="preserve"> and outward orientation </w:t>
      </w:r>
      <w:r w:rsidR="00232C0C">
        <w:rPr>
          <w:rFonts w:ascii="Times New Roman" w:hAnsi="Times New Roman" w:cs="Times New Roman"/>
          <w:sz w:val="24"/>
          <w:szCs w:val="24"/>
          <w:lang w:val="en-GB"/>
        </w:rPr>
        <w:t>is</w:t>
      </w:r>
      <w:r w:rsidR="008D370B" w:rsidRPr="00421139">
        <w:rPr>
          <w:rFonts w:ascii="Times New Roman" w:hAnsi="Times New Roman" w:cs="Times New Roman"/>
          <w:sz w:val="24"/>
          <w:szCs w:val="24"/>
          <w:lang w:val="en-GB"/>
        </w:rPr>
        <w:t xml:space="preserve"> </w:t>
      </w:r>
      <w:r>
        <w:rPr>
          <w:rFonts w:ascii="Times New Roman" w:hAnsi="Times New Roman" w:cs="Times New Roman"/>
          <w:sz w:val="24"/>
          <w:szCs w:val="24"/>
          <w:lang w:val="en-GB"/>
        </w:rPr>
        <w:t>taken from</w:t>
      </w:r>
      <w:r w:rsidR="008D370B" w:rsidRPr="00421139">
        <w:rPr>
          <w:rFonts w:ascii="Times New Roman" w:hAnsi="Times New Roman" w:cs="Times New Roman"/>
          <w:sz w:val="24"/>
          <w:szCs w:val="24"/>
          <w:lang w:val="en-GB"/>
        </w:rPr>
        <w:t xml:space="preserve"> the Penn World Table 8.</w:t>
      </w:r>
      <w:r>
        <w:rPr>
          <w:rFonts w:ascii="Times New Roman" w:hAnsi="Times New Roman" w:cs="Times New Roman"/>
          <w:sz w:val="24"/>
          <w:szCs w:val="24"/>
          <w:lang w:val="en-GB"/>
        </w:rPr>
        <w:t>1</w:t>
      </w:r>
      <w:r w:rsidR="008D370B" w:rsidRPr="00421139">
        <w:rPr>
          <w:rFonts w:ascii="Times New Roman" w:hAnsi="Times New Roman" w:cs="Times New Roman"/>
          <w:sz w:val="24"/>
          <w:szCs w:val="24"/>
          <w:lang w:val="en-GB"/>
        </w:rPr>
        <w:t>,</w:t>
      </w:r>
      <w:r w:rsidR="00B27C26" w:rsidRPr="00421139">
        <w:rPr>
          <w:rFonts w:ascii="Times New Roman" w:hAnsi="Times New Roman" w:cs="Times New Roman"/>
          <w:sz w:val="24"/>
          <w:szCs w:val="24"/>
          <w:lang w:val="en-GB"/>
        </w:rPr>
        <w:t xml:space="preserve"> as well as </w:t>
      </w:r>
      <w:r>
        <w:rPr>
          <w:rFonts w:ascii="Times New Roman" w:hAnsi="Times New Roman" w:cs="Times New Roman"/>
          <w:sz w:val="24"/>
          <w:szCs w:val="24"/>
          <w:lang w:val="en-GB"/>
        </w:rPr>
        <w:t xml:space="preserve">some variables used as control such as </w:t>
      </w:r>
      <w:r w:rsidR="00B27C26" w:rsidRPr="00421139">
        <w:rPr>
          <w:rFonts w:ascii="Times New Roman" w:hAnsi="Times New Roman" w:cs="Times New Roman"/>
          <w:sz w:val="24"/>
          <w:szCs w:val="24"/>
          <w:lang w:val="en-GB"/>
        </w:rPr>
        <w:t>government expenditure as a share of GDP and population growth.</w:t>
      </w:r>
      <w:r w:rsidR="00187147">
        <w:rPr>
          <w:rFonts w:ascii="Times New Roman" w:hAnsi="Times New Roman" w:cs="Times New Roman"/>
          <w:sz w:val="24"/>
          <w:szCs w:val="24"/>
          <w:lang w:val="en-GB"/>
        </w:rPr>
        <w:t xml:space="preserve"> </w:t>
      </w:r>
    </w:p>
    <w:p w:rsidR="00187147" w:rsidRPr="00187147" w:rsidRDefault="00187147" w:rsidP="00EA30A5">
      <w:pPr>
        <w:spacing w:line="240" w:lineRule="auto"/>
        <w:ind w:firstLine="284"/>
        <w:jc w:val="both"/>
        <w:rPr>
          <w:rFonts w:ascii="Times New Roman" w:hAnsi="Times New Roman" w:cs="Times New Roman"/>
          <w:sz w:val="24"/>
          <w:szCs w:val="24"/>
        </w:rPr>
      </w:pPr>
      <w:r w:rsidRPr="00187147">
        <w:rPr>
          <w:rFonts w:ascii="Times New Roman" w:hAnsi="Times New Roman" w:cs="Times New Roman"/>
          <w:sz w:val="24"/>
          <w:szCs w:val="24"/>
        </w:rPr>
        <w:t xml:space="preserve">There is a number of variables that can be used to explain growth. In order to enhance comparability, we decided to take into account </w:t>
      </w:r>
      <w:r w:rsidRPr="00421139">
        <w:rPr>
          <w:rFonts w:ascii="Times New Roman" w:hAnsi="Times New Roman" w:cs="Times New Roman"/>
          <w:sz w:val="24"/>
          <w:szCs w:val="24"/>
          <w:lang w:val="en-GB"/>
        </w:rPr>
        <w:t>government expenditure as a share of GDP and population growth</w:t>
      </w:r>
      <w:r w:rsidRPr="00187147">
        <w:rPr>
          <w:rFonts w:ascii="Times New Roman" w:hAnsi="Times New Roman" w:cs="Times New Roman"/>
          <w:sz w:val="24"/>
          <w:szCs w:val="24"/>
        </w:rPr>
        <w:t>. Neoclassical growth models use ‘government expending (%GDP)’ as a proxy for government burden. These models argue that government can be a heavy burden on the economy when they impose high taxes, promote inefficient programs, do not eliminate unnecessary bureaucracy, and distort market signals. The proxy commonly used to account for the government burden is the ratio of government current expen</w:t>
      </w:r>
      <w:r>
        <w:rPr>
          <w:rFonts w:ascii="Times New Roman" w:hAnsi="Times New Roman" w:cs="Times New Roman"/>
          <w:sz w:val="24"/>
          <w:szCs w:val="24"/>
        </w:rPr>
        <w:t xml:space="preserve">ditures to GDP. They argue that </w:t>
      </w:r>
      <w:r w:rsidRPr="00187147">
        <w:rPr>
          <w:rFonts w:ascii="Times New Roman" w:hAnsi="Times New Roman" w:cs="Times New Roman"/>
          <w:sz w:val="24"/>
          <w:szCs w:val="24"/>
        </w:rPr>
        <w:t>excessive government consumption is mostly used to maintain the bureaucracy’s payroll. However, neoclassical economists, by and large, also acknowledge the importance of public investments on health, education, and security to promote growth.</w:t>
      </w:r>
      <w:r>
        <w:rPr>
          <w:rFonts w:ascii="Times New Roman" w:hAnsi="Times New Roman" w:cs="Times New Roman"/>
          <w:sz w:val="24"/>
          <w:szCs w:val="24"/>
        </w:rPr>
        <w:t xml:space="preserve"> </w:t>
      </w:r>
      <w:r w:rsidRPr="00187147">
        <w:rPr>
          <w:rFonts w:ascii="Times New Roman" w:hAnsi="Times New Roman" w:cs="Times New Roman"/>
          <w:sz w:val="24"/>
          <w:szCs w:val="24"/>
        </w:rPr>
        <w:t xml:space="preserve">The ‘population’ is included </w:t>
      </w:r>
      <w:r w:rsidRPr="00187147">
        <w:rPr>
          <w:rFonts w:ascii="Times New Roman" w:hAnsi="Times New Roman" w:cs="Times New Roman"/>
          <w:sz w:val="24"/>
          <w:szCs w:val="24"/>
        </w:rPr>
        <w:lastRenderedPageBreak/>
        <w:t>as an explanatory variable that accounts for the growth of the labour force.</w:t>
      </w:r>
      <w:r w:rsidR="007029BC">
        <w:rPr>
          <w:rFonts w:ascii="Times New Roman" w:hAnsi="Times New Roman" w:cs="Times New Roman"/>
          <w:sz w:val="24"/>
          <w:szCs w:val="24"/>
        </w:rPr>
        <w:t xml:space="preserve"> A missing variable in our model is t</w:t>
      </w:r>
      <w:r w:rsidR="007029BC" w:rsidRPr="007029BC">
        <w:rPr>
          <w:rFonts w:ascii="Times New Roman" w:hAnsi="Times New Roman" w:cs="Times New Roman"/>
          <w:sz w:val="24"/>
          <w:szCs w:val="24"/>
        </w:rPr>
        <w:t>he</w:t>
      </w:r>
      <w:r w:rsidR="007029BC">
        <w:rPr>
          <w:rFonts w:ascii="Times New Roman" w:hAnsi="Times New Roman" w:cs="Times New Roman"/>
          <w:sz w:val="24"/>
          <w:szCs w:val="24"/>
        </w:rPr>
        <w:t xml:space="preserve"> ‘initial real GDP per capita’. In the empirical literature of growth this variable s</w:t>
      </w:r>
      <w:r w:rsidR="007029BC" w:rsidRPr="007029BC">
        <w:rPr>
          <w:rFonts w:ascii="Times New Roman" w:hAnsi="Times New Roman" w:cs="Times New Roman"/>
          <w:sz w:val="24"/>
          <w:szCs w:val="24"/>
        </w:rPr>
        <w:t>tands for the hypothesis of transitional dynamics. In the neoclassical growth models, a country’s growth rate depends on the initial level of the GDP. The conditional convergence hypothesis states that, other things held constant, economies that are lagging behind should grow faster than the rich countries due to the existence of diminishing returns to factors of production.</w:t>
      </w:r>
      <w:r w:rsidR="007029BC">
        <w:rPr>
          <w:rFonts w:ascii="Times New Roman" w:hAnsi="Times New Roman" w:cs="Times New Roman"/>
          <w:sz w:val="24"/>
          <w:szCs w:val="24"/>
        </w:rPr>
        <w:t xml:space="preserve"> This variable is often used as a proxy for the level of technological capabilities of the country. However, it is assumed in this work that the ‘technological gap’ variable already captured most of the effects that the ‘initial real GDP per capita’ could possibly account for.</w:t>
      </w:r>
    </w:p>
    <w:p w:rsidR="00B27C26" w:rsidRDefault="002A3F1E" w:rsidP="00EA30A5">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lang w:val="en-GB"/>
        </w:rPr>
        <w:t xml:space="preserve">This work consists of a sample of </w:t>
      </w:r>
      <w:r w:rsidR="004B65B1">
        <w:rPr>
          <w:rFonts w:ascii="Times New Roman" w:hAnsi="Times New Roman" w:cs="Times New Roman"/>
          <w:sz w:val="24"/>
          <w:szCs w:val="24"/>
          <w:lang w:val="en-GB"/>
        </w:rPr>
        <w:t xml:space="preserve">100 </w:t>
      </w:r>
      <w:r>
        <w:rPr>
          <w:rFonts w:ascii="Times New Roman" w:hAnsi="Times New Roman" w:cs="Times New Roman"/>
          <w:sz w:val="24"/>
          <w:szCs w:val="24"/>
          <w:lang w:val="en-GB"/>
        </w:rPr>
        <w:t xml:space="preserve">countries and covers the period </w:t>
      </w:r>
      <w:r w:rsidR="004B65B1">
        <w:rPr>
          <w:rFonts w:ascii="Times New Roman" w:hAnsi="Times New Roman" w:cs="Times New Roman"/>
          <w:sz w:val="24"/>
          <w:szCs w:val="24"/>
          <w:lang w:val="en-GB"/>
        </w:rPr>
        <w:t>1970-2010</w:t>
      </w:r>
      <w:r>
        <w:rPr>
          <w:rFonts w:ascii="Times New Roman" w:hAnsi="Times New Roman" w:cs="Times New Roman"/>
          <w:sz w:val="24"/>
          <w:szCs w:val="24"/>
          <w:lang w:val="en-GB"/>
        </w:rPr>
        <w:t xml:space="preserve">. </w:t>
      </w:r>
      <w:r w:rsidR="00BF2190" w:rsidRPr="00BF2190">
        <w:rPr>
          <w:rFonts w:ascii="Times New Roman" w:hAnsi="Times New Roman" w:cs="Times New Roman"/>
          <w:sz w:val="24"/>
          <w:szCs w:val="24"/>
          <w:lang w:val="en-GB"/>
        </w:rPr>
        <w:t>Our estimate</w:t>
      </w:r>
      <w:r w:rsidR="00BF2190">
        <w:rPr>
          <w:rFonts w:ascii="Times New Roman" w:hAnsi="Times New Roman" w:cs="Times New Roman"/>
          <w:sz w:val="24"/>
          <w:szCs w:val="24"/>
          <w:lang w:val="en-GB"/>
        </w:rPr>
        <w:t>s</w:t>
      </w:r>
      <w:r w:rsidR="00BF2190" w:rsidRPr="00BF2190">
        <w:rPr>
          <w:rFonts w:ascii="Times New Roman" w:hAnsi="Times New Roman" w:cs="Times New Roman"/>
          <w:sz w:val="24"/>
          <w:szCs w:val="24"/>
          <w:lang w:val="en-GB"/>
        </w:rPr>
        <w:t xml:space="preserve"> </w:t>
      </w:r>
      <w:r w:rsidR="00BF2190">
        <w:rPr>
          <w:rFonts w:ascii="Times New Roman" w:hAnsi="Times New Roman" w:cs="Times New Roman"/>
          <w:sz w:val="24"/>
          <w:szCs w:val="24"/>
          <w:lang w:val="en-GB"/>
        </w:rPr>
        <w:t>were done based on</w:t>
      </w:r>
      <w:r w:rsidR="00BF2190" w:rsidRPr="00BF2190">
        <w:rPr>
          <w:rFonts w:ascii="Times New Roman" w:hAnsi="Times New Roman" w:cs="Times New Roman"/>
          <w:sz w:val="24"/>
          <w:szCs w:val="24"/>
          <w:lang w:val="en-GB"/>
        </w:rPr>
        <w:t xml:space="preserve"> five-year period average</w:t>
      </w:r>
      <w:r w:rsidR="00BF2190">
        <w:rPr>
          <w:rFonts w:ascii="Times New Roman" w:hAnsi="Times New Roman" w:cs="Times New Roman"/>
          <w:sz w:val="24"/>
          <w:szCs w:val="24"/>
          <w:lang w:val="en-GB"/>
        </w:rPr>
        <w:t>s</w:t>
      </w:r>
      <w:r w:rsidR="00BF2190" w:rsidRPr="00BF2190">
        <w:rPr>
          <w:rFonts w:ascii="Times New Roman" w:hAnsi="Times New Roman" w:cs="Times New Roman"/>
          <w:sz w:val="24"/>
          <w:szCs w:val="24"/>
          <w:lang w:val="en-GB"/>
        </w:rPr>
        <w:t xml:space="preserve">. </w:t>
      </w:r>
      <w:r w:rsidR="00BF2190" w:rsidRPr="00BF2190">
        <w:rPr>
          <w:rFonts w:ascii="Times New Roman" w:hAnsi="Times New Roman" w:cs="Times New Roman"/>
          <w:sz w:val="24"/>
          <w:szCs w:val="24"/>
        </w:rPr>
        <w:t>This is a standard procedure in panel data analysis, as it reduces the effects caused by unit roots</w:t>
      </w:r>
      <w:r w:rsidR="00BF2190">
        <w:rPr>
          <w:rFonts w:ascii="Times New Roman" w:hAnsi="Times New Roman" w:cs="Times New Roman"/>
          <w:sz w:val="24"/>
          <w:szCs w:val="24"/>
        </w:rPr>
        <w:t>.</w:t>
      </w:r>
    </w:p>
    <w:p w:rsidR="00EA30A5" w:rsidRPr="00964C92" w:rsidRDefault="00EA30A5" w:rsidP="00EA30A5">
      <w:pPr>
        <w:spacing w:line="240" w:lineRule="auto"/>
        <w:ind w:firstLine="284"/>
        <w:jc w:val="both"/>
        <w:rPr>
          <w:rFonts w:ascii="Times New Roman" w:hAnsi="Times New Roman" w:cs="Times New Roman"/>
          <w:sz w:val="24"/>
          <w:szCs w:val="24"/>
        </w:rPr>
      </w:pPr>
    </w:p>
    <w:p w:rsidR="00B27C26" w:rsidRPr="00421139" w:rsidRDefault="00B27C26" w:rsidP="00EA30A5">
      <w:pPr>
        <w:pStyle w:val="PargrafodaLista"/>
        <w:numPr>
          <w:ilvl w:val="0"/>
          <w:numId w:val="11"/>
        </w:numPr>
        <w:spacing w:line="240" w:lineRule="auto"/>
        <w:jc w:val="both"/>
        <w:rPr>
          <w:rFonts w:ascii="Times New Roman" w:hAnsi="Times New Roman" w:cs="Times New Roman"/>
          <w:b/>
          <w:sz w:val="24"/>
          <w:szCs w:val="24"/>
          <w:lang w:val="en-GB"/>
        </w:rPr>
      </w:pPr>
      <w:r w:rsidRPr="00421139">
        <w:rPr>
          <w:rFonts w:ascii="Times New Roman" w:hAnsi="Times New Roman" w:cs="Times New Roman"/>
          <w:b/>
          <w:sz w:val="24"/>
          <w:szCs w:val="24"/>
          <w:lang w:val="en-GB"/>
        </w:rPr>
        <w:t>Results</w:t>
      </w:r>
    </w:p>
    <w:p w:rsidR="00B27C26" w:rsidRPr="00421139" w:rsidRDefault="00B27C26" w:rsidP="00EA30A5">
      <w:pPr>
        <w:pStyle w:val="PargrafodaLista"/>
        <w:spacing w:line="240" w:lineRule="auto"/>
        <w:jc w:val="both"/>
        <w:rPr>
          <w:rFonts w:ascii="Times New Roman" w:hAnsi="Times New Roman" w:cs="Times New Roman"/>
          <w:b/>
          <w:sz w:val="24"/>
          <w:szCs w:val="24"/>
          <w:lang w:val="en-GB"/>
        </w:rPr>
      </w:pPr>
    </w:p>
    <w:p w:rsidR="00B27C26" w:rsidRPr="00F54CFA" w:rsidRDefault="00B27C26" w:rsidP="00EA30A5">
      <w:pPr>
        <w:pStyle w:val="PargrafodaLista"/>
        <w:numPr>
          <w:ilvl w:val="1"/>
          <w:numId w:val="11"/>
        </w:numPr>
        <w:spacing w:line="240" w:lineRule="auto"/>
        <w:jc w:val="both"/>
        <w:rPr>
          <w:rFonts w:ascii="Times New Roman" w:hAnsi="Times New Roman" w:cs="Times New Roman"/>
          <w:b/>
          <w:i/>
          <w:sz w:val="24"/>
          <w:szCs w:val="24"/>
          <w:lang w:val="en-GB"/>
        </w:rPr>
      </w:pPr>
      <w:r w:rsidRPr="00F54CFA">
        <w:rPr>
          <w:rFonts w:ascii="Times New Roman" w:hAnsi="Times New Roman" w:cs="Times New Roman"/>
          <w:b/>
          <w:i/>
          <w:sz w:val="24"/>
          <w:szCs w:val="24"/>
          <w:lang w:val="en-GB"/>
        </w:rPr>
        <w:t xml:space="preserve"> Baseline model</w:t>
      </w:r>
    </w:p>
    <w:p w:rsidR="00E83E4A" w:rsidRPr="00421139" w:rsidRDefault="00BF2190" w:rsidP="00EA30A5">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First we estimate t</w:t>
      </w:r>
      <w:r w:rsidR="00E83E4A" w:rsidRPr="00421139">
        <w:rPr>
          <w:rFonts w:ascii="Times New Roman" w:hAnsi="Times New Roman" w:cs="Times New Roman"/>
          <w:sz w:val="24"/>
          <w:szCs w:val="24"/>
          <w:lang w:val="en-GB"/>
        </w:rPr>
        <w:t xml:space="preserve">he long-term impact of RER undervaluation on countries’ growth rate </w:t>
      </w:r>
      <w:r>
        <w:rPr>
          <w:rFonts w:ascii="Times New Roman" w:hAnsi="Times New Roman" w:cs="Times New Roman"/>
          <w:sz w:val="24"/>
          <w:szCs w:val="24"/>
          <w:lang w:val="en-GB"/>
        </w:rPr>
        <w:t>given by the standard model with no controls, as specified by equation (5</w:t>
      </w:r>
      <w:r w:rsidR="00E83E4A" w:rsidRPr="00421139">
        <w:rPr>
          <w:rFonts w:ascii="Times New Roman" w:hAnsi="Times New Roman" w:cs="Times New Roman"/>
          <w:sz w:val="24"/>
          <w:szCs w:val="24"/>
          <w:lang w:val="en-GB"/>
        </w:rPr>
        <w:t xml:space="preserve">). </w:t>
      </w:r>
      <w:r w:rsidR="007F2998" w:rsidRPr="00421139">
        <w:rPr>
          <w:rFonts w:ascii="Times New Roman" w:hAnsi="Times New Roman" w:cs="Times New Roman"/>
          <w:sz w:val="24"/>
          <w:szCs w:val="24"/>
          <w:lang w:val="en-GB"/>
        </w:rPr>
        <w:t>T</w:t>
      </w:r>
      <w:r w:rsidR="002A3F1E">
        <w:rPr>
          <w:rFonts w:ascii="Times New Roman" w:hAnsi="Times New Roman" w:cs="Times New Roman"/>
          <w:sz w:val="24"/>
          <w:szCs w:val="24"/>
          <w:lang w:val="en-GB"/>
        </w:rPr>
        <w:t>he result</w:t>
      </w:r>
      <w:r w:rsidR="00E83E4A" w:rsidRPr="00421139">
        <w:rPr>
          <w:rFonts w:ascii="Times New Roman" w:hAnsi="Times New Roman" w:cs="Times New Roman"/>
          <w:sz w:val="24"/>
          <w:szCs w:val="24"/>
          <w:lang w:val="en-GB"/>
        </w:rPr>
        <w:t xml:space="preserve"> suggest</w:t>
      </w:r>
      <w:r w:rsidR="002A3F1E">
        <w:rPr>
          <w:rFonts w:ascii="Times New Roman" w:hAnsi="Times New Roman" w:cs="Times New Roman"/>
          <w:sz w:val="24"/>
          <w:szCs w:val="24"/>
          <w:lang w:val="en-GB"/>
        </w:rPr>
        <w:t>s</w:t>
      </w:r>
      <w:r w:rsidR="00E83E4A" w:rsidRPr="00421139">
        <w:rPr>
          <w:rFonts w:ascii="Times New Roman" w:hAnsi="Times New Roman" w:cs="Times New Roman"/>
          <w:sz w:val="24"/>
          <w:szCs w:val="24"/>
          <w:lang w:val="en-GB"/>
        </w:rPr>
        <w:t xml:space="preserve"> that</w:t>
      </w:r>
      <w:r w:rsidR="00A621E6">
        <w:rPr>
          <w:rFonts w:ascii="Times New Roman" w:hAnsi="Times New Roman" w:cs="Times New Roman"/>
          <w:sz w:val="24"/>
          <w:szCs w:val="24"/>
          <w:lang w:val="en-GB"/>
        </w:rPr>
        <w:t xml:space="preserve">, given </w:t>
      </w:r>
      <m:oMath>
        <m:r>
          <w:rPr>
            <w:rFonts w:ascii="Cambria Math" w:hAnsi="Cambria Math" w:cs="Times New Roman"/>
            <w:sz w:val="24"/>
            <w:szCs w:val="24"/>
            <w:lang w:val="en-GB"/>
          </w:rPr>
          <m:t>b=</m:t>
        </m:r>
        <m:f>
          <m:fPr>
            <m:type m:val="lin"/>
            <m:ctrlPr>
              <w:rPr>
                <w:rFonts w:ascii="Cambria Math" w:hAnsi="Cambria Math" w:cs="Times New Roman"/>
                <w:i/>
                <w:sz w:val="24"/>
                <w:szCs w:val="24"/>
                <w:lang w:val="en-GB"/>
              </w:rPr>
            </m:ctrlPr>
          </m:fPr>
          <m:num>
            <m:r>
              <w:rPr>
                <w:rFonts w:ascii="Cambria Math" w:hAnsi="Cambria Math" w:cs="Times New Roman"/>
                <w:sz w:val="24"/>
                <w:szCs w:val="24"/>
                <w:lang w:val="en-GB"/>
              </w:rPr>
              <m:t>0.0165</m:t>
            </m:r>
          </m:num>
          <m:den>
            <m:d>
              <m:dPr>
                <m:ctrlPr>
                  <w:rPr>
                    <w:rFonts w:ascii="Cambria Math" w:hAnsi="Cambria Math" w:cs="Times New Roman"/>
                    <w:i/>
                    <w:sz w:val="24"/>
                    <w:szCs w:val="24"/>
                    <w:lang w:val="en-GB"/>
                  </w:rPr>
                </m:ctrlPr>
              </m:dPr>
              <m:e>
                <m:r>
                  <w:rPr>
                    <w:rFonts w:ascii="Cambria Math" w:hAnsi="Cambria Math" w:cs="Times New Roman"/>
                    <w:sz w:val="24"/>
                    <w:szCs w:val="24"/>
                    <w:lang w:val="en-GB"/>
                  </w:rPr>
                  <m:t>1-0.082</m:t>
                </m:r>
              </m:e>
            </m:d>
          </m:den>
        </m:f>
        <m:r>
          <w:rPr>
            <w:rFonts w:ascii="Cambria Math" w:hAnsi="Cambria Math" w:cs="Times New Roman"/>
            <w:sz w:val="24"/>
            <w:szCs w:val="24"/>
            <w:lang w:val="en-GB"/>
          </w:rPr>
          <m:t>=0.0179</m:t>
        </m:r>
      </m:oMath>
      <w:r w:rsidR="00A621E6">
        <w:rPr>
          <w:rFonts w:ascii="Times New Roman" w:hAnsi="Times New Roman" w:cs="Times New Roman"/>
          <w:sz w:val="24"/>
          <w:szCs w:val="24"/>
          <w:lang w:val="en-GB"/>
        </w:rPr>
        <w:t>,</w:t>
      </w:r>
      <w:r w:rsidR="00E83E4A" w:rsidRPr="00421139">
        <w:rPr>
          <w:rFonts w:ascii="Times New Roman" w:hAnsi="Times New Roman" w:cs="Times New Roman"/>
          <w:sz w:val="24"/>
          <w:szCs w:val="24"/>
          <w:lang w:val="en-GB"/>
        </w:rPr>
        <w:t xml:space="preserve"> </w:t>
      </w:r>
      <w:r w:rsidR="002A3F1E">
        <w:rPr>
          <w:rFonts w:ascii="Times New Roman" w:hAnsi="Times New Roman" w:cs="Times New Roman"/>
          <w:sz w:val="24"/>
          <w:szCs w:val="24"/>
          <w:lang w:val="en-GB"/>
        </w:rPr>
        <w:t xml:space="preserve">currency </w:t>
      </w:r>
      <w:r w:rsidR="00A621E6">
        <w:rPr>
          <w:rFonts w:ascii="Times New Roman" w:hAnsi="Times New Roman" w:cs="Times New Roman"/>
          <w:sz w:val="24"/>
          <w:szCs w:val="24"/>
          <w:lang w:val="en-GB"/>
        </w:rPr>
        <w:t>undervaluation of 1</w:t>
      </w:r>
      <w:r w:rsidR="00E83E4A" w:rsidRPr="00421139">
        <w:rPr>
          <w:rFonts w:ascii="Times New Roman" w:hAnsi="Times New Roman" w:cs="Times New Roman"/>
          <w:sz w:val="24"/>
          <w:szCs w:val="24"/>
          <w:lang w:val="en-GB"/>
        </w:rPr>
        <w:t xml:space="preserve">0% increases countries’ </w:t>
      </w:r>
      <w:r w:rsidR="007F2998" w:rsidRPr="00421139">
        <w:rPr>
          <w:rFonts w:ascii="Times New Roman" w:hAnsi="Times New Roman" w:cs="Times New Roman"/>
          <w:sz w:val="24"/>
          <w:szCs w:val="24"/>
          <w:lang w:val="en-GB"/>
        </w:rPr>
        <w:t xml:space="preserve">long-term </w:t>
      </w:r>
      <w:r w:rsidR="00E83E4A" w:rsidRPr="00421139">
        <w:rPr>
          <w:rFonts w:ascii="Times New Roman" w:hAnsi="Times New Roman" w:cs="Times New Roman"/>
          <w:sz w:val="24"/>
          <w:szCs w:val="24"/>
          <w:lang w:val="en-GB"/>
        </w:rPr>
        <w:t>gr</w:t>
      </w:r>
      <w:r w:rsidR="00A621E6">
        <w:rPr>
          <w:rFonts w:ascii="Times New Roman" w:hAnsi="Times New Roman" w:cs="Times New Roman"/>
          <w:sz w:val="24"/>
          <w:szCs w:val="24"/>
          <w:lang w:val="en-GB"/>
        </w:rPr>
        <w:t>owth rate by 0.0179x10/100 = 0.00179 or approximately</w:t>
      </w:r>
      <w:r w:rsidR="004B65B1">
        <w:rPr>
          <w:rFonts w:ascii="Times New Roman" w:hAnsi="Times New Roman" w:cs="Times New Roman"/>
          <w:sz w:val="24"/>
          <w:szCs w:val="24"/>
          <w:lang w:val="en-GB"/>
        </w:rPr>
        <w:t xml:space="preserve"> </w:t>
      </w:r>
      <w:r w:rsidR="00A621E6">
        <w:rPr>
          <w:rFonts w:ascii="Times New Roman" w:hAnsi="Times New Roman" w:cs="Times New Roman"/>
          <w:sz w:val="24"/>
          <w:szCs w:val="24"/>
          <w:lang w:val="en-GB"/>
        </w:rPr>
        <w:t>0.</w:t>
      </w:r>
      <w:r w:rsidR="004B65B1">
        <w:rPr>
          <w:rFonts w:ascii="Times New Roman" w:hAnsi="Times New Roman" w:cs="Times New Roman"/>
          <w:sz w:val="24"/>
          <w:szCs w:val="24"/>
          <w:lang w:val="en-GB"/>
        </w:rPr>
        <w:t>18%</w:t>
      </w:r>
      <w:r w:rsidR="00A621E6">
        <w:rPr>
          <w:rFonts w:ascii="Times New Roman" w:hAnsi="Times New Roman" w:cs="Times New Roman"/>
          <w:sz w:val="24"/>
          <w:szCs w:val="24"/>
          <w:lang w:val="en-GB"/>
        </w:rPr>
        <w:t xml:space="preserve">, </w:t>
      </w:r>
      <w:r w:rsidR="00E83E4A" w:rsidRPr="00421139">
        <w:rPr>
          <w:rFonts w:ascii="Times New Roman" w:hAnsi="Times New Roman" w:cs="Times New Roman"/>
          <w:sz w:val="24"/>
          <w:szCs w:val="24"/>
          <w:lang w:val="en-GB"/>
        </w:rPr>
        <w:t>as presented in the first column of Table 2</w:t>
      </w:r>
      <w:r w:rsidR="002A3F1E">
        <w:rPr>
          <w:rFonts w:ascii="Times New Roman" w:hAnsi="Times New Roman" w:cs="Times New Roman"/>
          <w:sz w:val="24"/>
          <w:szCs w:val="24"/>
          <w:lang w:val="en-GB"/>
        </w:rPr>
        <w:t xml:space="preserve"> below:</w:t>
      </w:r>
    </w:p>
    <w:p w:rsidR="00E83E4A" w:rsidRPr="005C119F" w:rsidRDefault="00E83E4A" w:rsidP="00EA30A5">
      <w:pPr>
        <w:spacing w:after="0" w:line="240" w:lineRule="auto"/>
        <w:jc w:val="center"/>
        <w:rPr>
          <w:rFonts w:ascii="Times New Roman" w:hAnsi="Times New Roman" w:cs="Times New Roman"/>
          <w:b/>
          <w:sz w:val="24"/>
          <w:szCs w:val="24"/>
          <w:lang w:val="en-GB"/>
        </w:rPr>
      </w:pPr>
      <w:r w:rsidRPr="005C119F">
        <w:rPr>
          <w:rFonts w:ascii="Times New Roman" w:hAnsi="Times New Roman" w:cs="Times New Roman"/>
          <w:b/>
          <w:sz w:val="24"/>
          <w:szCs w:val="24"/>
          <w:lang w:val="en-GB"/>
        </w:rPr>
        <w:t xml:space="preserve">Table </w:t>
      </w:r>
      <w:r w:rsidR="00964C92">
        <w:rPr>
          <w:rFonts w:ascii="Times New Roman" w:hAnsi="Times New Roman" w:cs="Times New Roman"/>
          <w:b/>
          <w:sz w:val="24"/>
          <w:szCs w:val="24"/>
          <w:lang w:val="en-GB"/>
        </w:rPr>
        <w:t>1</w:t>
      </w:r>
      <w:r w:rsidRPr="005C119F">
        <w:rPr>
          <w:rFonts w:ascii="Times New Roman" w:hAnsi="Times New Roman" w:cs="Times New Roman"/>
          <w:b/>
          <w:sz w:val="24"/>
          <w:szCs w:val="24"/>
          <w:lang w:val="en-GB"/>
        </w:rPr>
        <w:t xml:space="preserve"> – Impact of undervaluation on growth – baseline model</w:t>
      </w:r>
    </w:p>
    <w:tbl>
      <w:tblPr>
        <w:tblW w:w="0" w:type="auto"/>
        <w:jc w:val="center"/>
        <w:tblLook w:val="04A0" w:firstRow="1" w:lastRow="0" w:firstColumn="1" w:lastColumn="0" w:noHBand="0" w:noVBand="1"/>
      </w:tblPr>
      <w:tblGrid>
        <w:gridCol w:w="2699"/>
        <w:gridCol w:w="1477"/>
        <w:gridCol w:w="1477"/>
        <w:gridCol w:w="1477"/>
      </w:tblGrid>
      <w:tr w:rsidR="00DC334A" w:rsidRPr="00421139" w:rsidTr="00F42993">
        <w:trPr>
          <w:jc w:val="center"/>
        </w:trPr>
        <w:tc>
          <w:tcPr>
            <w:tcW w:w="2699" w:type="dxa"/>
            <w:tcBorders>
              <w:top w:val="single" w:sz="12" w:space="0" w:color="auto"/>
              <w:left w:val="nil"/>
              <w:bottom w:val="single" w:sz="12" w:space="0" w:color="auto"/>
            </w:tcBorders>
            <w:vAlign w:val="bottom"/>
          </w:tcPr>
          <w:p w:rsidR="00DC334A" w:rsidRPr="00421139" w:rsidRDefault="00DC334A" w:rsidP="00EA30A5">
            <w:pPr>
              <w:pStyle w:val="SemEspaamento"/>
              <w:spacing w:line="240" w:lineRule="auto"/>
              <w:jc w:val="center"/>
              <w:rPr>
                <w:color w:val="000000"/>
              </w:rPr>
            </w:pPr>
          </w:p>
        </w:tc>
        <w:tc>
          <w:tcPr>
            <w:tcW w:w="1477" w:type="dxa"/>
            <w:tcBorders>
              <w:top w:val="single" w:sz="12" w:space="0" w:color="auto"/>
              <w:bottom w:val="single" w:sz="12" w:space="0" w:color="auto"/>
            </w:tcBorders>
            <w:vAlign w:val="bottom"/>
          </w:tcPr>
          <w:p w:rsidR="00DC334A" w:rsidRPr="00421139" w:rsidRDefault="00DC334A" w:rsidP="00EA30A5">
            <w:pPr>
              <w:pStyle w:val="SemEspaamento"/>
              <w:spacing w:line="240" w:lineRule="auto"/>
              <w:jc w:val="center"/>
              <w:rPr>
                <w:color w:val="000000"/>
                <w:sz w:val="22"/>
              </w:rPr>
            </w:pPr>
            <w:r w:rsidRPr="00421139">
              <w:rPr>
                <w:color w:val="000000"/>
                <w:sz w:val="22"/>
              </w:rPr>
              <w:t>(1)</w:t>
            </w:r>
          </w:p>
          <w:p w:rsidR="00F42993" w:rsidRPr="00421139" w:rsidRDefault="007F2998" w:rsidP="00EA30A5">
            <w:pPr>
              <w:pStyle w:val="SemEspaamento"/>
              <w:spacing w:line="240" w:lineRule="auto"/>
              <w:jc w:val="center"/>
              <w:rPr>
                <w:color w:val="000000"/>
              </w:rPr>
            </w:pPr>
            <m:oMathPara>
              <m:oMath>
                <m:r>
                  <w:rPr>
                    <w:rFonts w:ascii="Cambria Math" w:hAnsi="Cambria Math" w:cs="Times New Roman"/>
                    <w:szCs w:val="24"/>
                  </w:rPr>
                  <m:t>growth</m:t>
                </m:r>
              </m:oMath>
            </m:oMathPara>
          </w:p>
        </w:tc>
        <w:tc>
          <w:tcPr>
            <w:tcW w:w="1477" w:type="dxa"/>
            <w:tcBorders>
              <w:top w:val="single" w:sz="12" w:space="0" w:color="auto"/>
              <w:bottom w:val="single" w:sz="12" w:space="0" w:color="auto"/>
            </w:tcBorders>
            <w:vAlign w:val="bottom"/>
          </w:tcPr>
          <w:p w:rsidR="00DC334A" w:rsidRPr="00421139" w:rsidRDefault="00DC334A" w:rsidP="00EA30A5">
            <w:pPr>
              <w:pStyle w:val="SemEspaamento"/>
              <w:spacing w:line="240" w:lineRule="auto"/>
              <w:jc w:val="center"/>
              <w:rPr>
                <w:color w:val="000000"/>
                <w:sz w:val="22"/>
              </w:rPr>
            </w:pPr>
            <w:r w:rsidRPr="00421139">
              <w:rPr>
                <w:color w:val="000000"/>
                <w:sz w:val="22"/>
              </w:rPr>
              <w:t>(2)</w:t>
            </w:r>
          </w:p>
          <w:p w:rsidR="00F42993" w:rsidRPr="00421139" w:rsidRDefault="007F2998" w:rsidP="00EA30A5">
            <w:pPr>
              <w:pStyle w:val="SemEspaamento"/>
              <w:spacing w:line="240" w:lineRule="auto"/>
              <w:jc w:val="center"/>
              <w:rPr>
                <w:color w:val="000000"/>
              </w:rPr>
            </w:pPr>
            <m:oMathPara>
              <m:oMath>
                <m:r>
                  <w:rPr>
                    <w:rFonts w:ascii="Cambria Math" w:hAnsi="Cambria Math" w:cs="Times New Roman"/>
                    <w:szCs w:val="24"/>
                  </w:rPr>
                  <m:t>growth</m:t>
                </m:r>
              </m:oMath>
            </m:oMathPara>
          </w:p>
        </w:tc>
        <w:tc>
          <w:tcPr>
            <w:tcW w:w="1477" w:type="dxa"/>
            <w:tcBorders>
              <w:top w:val="single" w:sz="12" w:space="0" w:color="auto"/>
              <w:bottom w:val="single" w:sz="12" w:space="0" w:color="auto"/>
            </w:tcBorders>
            <w:vAlign w:val="bottom"/>
          </w:tcPr>
          <w:p w:rsidR="00DC334A" w:rsidRPr="00421139" w:rsidRDefault="00DC334A" w:rsidP="00EA30A5">
            <w:pPr>
              <w:pStyle w:val="SemEspaamento"/>
              <w:spacing w:line="240" w:lineRule="auto"/>
              <w:jc w:val="center"/>
              <w:rPr>
                <w:color w:val="000000"/>
                <w:sz w:val="22"/>
              </w:rPr>
            </w:pPr>
            <w:r w:rsidRPr="00421139">
              <w:rPr>
                <w:color w:val="000000"/>
                <w:sz w:val="22"/>
              </w:rPr>
              <w:t>(3)</w:t>
            </w:r>
          </w:p>
          <w:p w:rsidR="00F42993" w:rsidRPr="00421139" w:rsidRDefault="007F2998" w:rsidP="00EA30A5">
            <w:pPr>
              <w:pStyle w:val="SemEspaamento"/>
              <w:spacing w:line="240" w:lineRule="auto"/>
              <w:jc w:val="center"/>
              <w:rPr>
                <w:color w:val="000000"/>
              </w:rPr>
            </w:pPr>
            <m:oMathPara>
              <m:oMath>
                <m:r>
                  <w:rPr>
                    <w:rFonts w:ascii="Cambria Math" w:hAnsi="Cambria Math" w:cs="Times New Roman"/>
                    <w:szCs w:val="24"/>
                  </w:rPr>
                  <m:t>growth</m:t>
                </m:r>
              </m:oMath>
            </m:oMathPara>
          </w:p>
        </w:tc>
      </w:tr>
      <w:tr w:rsidR="00F42993" w:rsidRPr="00421139" w:rsidTr="00F42993">
        <w:trPr>
          <w:jc w:val="center"/>
        </w:trPr>
        <w:tc>
          <w:tcPr>
            <w:tcW w:w="2699" w:type="dxa"/>
            <w:tcBorders>
              <w:top w:val="single" w:sz="12" w:space="0" w:color="auto"/>
              <w:left w:val="nil"/>
              <w:bottom w:val="nil"/>
            </w:tcBorders>
            <w:vAlign w:val="bottom"/>
          </w:tcPr>
          <w:p w:rsidR="00F42993" w:rsidRPr="00421139" w:rsidRDefault="00F42993" w:rsidP="00EA30A5">
            <w:pPr>
              <w:pStyle w:val="SemEspaamento"/>
              <w:spacing w:line="240" w:lineRule="auto"/>
              <w:jc w:val="left"/>
              <w:rPr>
                <w:color w:val="000000"/>
              </w:rPr>
            </w:pPr>
            <m:oMathPara>
              <m:oMath>
                <m:r>
                  <w:rPr>
                    <w:rFonts w:ascii="Cambria Math" w:hAnsi="Cambria Math" w:cs="Times New Roman"/>
                    <w:szCs w:val="24"/>
                  </w:rPr>
                  <m:t>growt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t-1</m:t>
                    </m:r>
                  </m:sub>
                </m:sSub>
              </m:oMath>
            </m:oMathPara>
          </w:p>
        </w:tc>
        <w:tc>
          <w:tcPr>
            <w:tcW w:w="1477" w:type="dxa"/>
            <w:tcBorders>
              <w:top w:val="single" w:sz="12" w:space="0" w:color="auto"/>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0.0820</w:t>
            </w:r>
          </w:p>
        </w:tc>
        <w:tc>
          <w:tcPr>
            <w:tcW w:w="1477" w:type="dxa"/>
            <w:tcBorders>
              <w:top w:val="single" w:sz="12" w:space="0" w:color="auto"/>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0.0830</w:t>
            </w:r>
          </w:p>
        </w:tc>
        <w:tc>
          <w:tcPr>
            <w:tcW w:w="1477" w:type="dxa"/>
            <w:tcBorders>
              <w:top w:val="single" w:sz="12" w:space="0" w:color="auto"/>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0.0929</w:t>
            </w:r>
          </w:p>
        </w:tc>
      </w:tr>
      <w:tr w:rsidR="00F42993" w:rsidRPr="00421139" w:rsidTr="00F42993">
        <w:trPr>
          <w:jc w:val="center"/>
        </w:trPr>
        <w:tc>
          <w:tcPr>
            <w:tcW w:w="2699" w:type="dxa"/>
            <w:tcBorders>
              <w:top w:val="nil"/>
              <w:left w:val="nil"/>
              <w:bottom w:val="nil"/>
            </w:tcBorders>
            <w:vAlign w:val="bottom"/>
          </w:tcPr>
          <w:p w:rsidR="00F42993" w:rsidRPr="00421139" w:rsidRDefault="00F42993" w:rsidP="00EA30A5">
            <w:pPr>
              <w:pStyle w:val="SemEspaamento"/>
              <w:spacing w:line="240" w:lineRule="auto"/>
              <w:jc w:val="left"/>
              <w:rPr>
                <w:color w:val="000000"/>
                <w:sz w:val="22"/>
              </w:rPr>
            </w:pP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(0.0584)</w:t>
            </w: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(0.0631)</w:t>
            </w: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(0.0723)</w:t>
            </w:r>
          </w:p>
        </w:tc>
      </w:tr>
      <w:tr w:rsidR="00F42993" w:rsidRPr="00421139" w:rsidTr="00F42993">
        <w:trPr>
          <w:jc w:val="center"/>
        </w:trPr>
        <w:tc>
          <w:tcPr>
            <w:tcW w:w="2699" w:type="dxa"/>
            <w:tcBorders>
              <w:top w:val="nil"/>
              <w:left w:val="nil"/>
              <w:bottom w:val="nil"/>
            </w:tcBorders>
            <w:vAlign w:val="bottom"/>
          </w:tcPr>
          <w:p w:rsidR="00F42993" w:rsidRPr="00421139" w:rsidRDefault="00F42993" w:rsidP="00EA30A5">
            <w:pPr>
              <w:pStyle w:val="SemEspaamento"/>
              <w:spacing w:line="240" w:lineRule="auto"/>
              <w:jc w:val="left"/>
              <w:rPr>
                <w:color w:val="000000"/>
              </w:rPr>
            </w:pPr>
            <m:oMathPara>
              <m:oMath>
                <m:r>
                  <m:rPr>
                    <m:sty m:val="p"/>
                  </m:rPr>
                  <w:rPr>
                    <w:rFonts w:ascii="Cambria Math" w:hAnsi="Cambria Math" w:cs="Times New Roman"/>
                    <w:szCs w:val="24"/>
                  </w:rPr>
                  <m:t>ln</m:t>
                </m:r>
                <m:r>
                  <w:rPr>
                    <w:rFonts w:ascii="Cambria Math" w:hAnsi="Cambria Math" w:cs="Times New Roman"/>
                    <w:szCs w:val="24"/>
                  </w:rPr>
                  <m:t>(UNDERV)</m:t>
                </m:r>
              </m:oMath>
            </m:oMathPara>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0.0165***</w:t>
            </w: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0.0150***</w:t>
            </w: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0.0166***</w:t>
            </w:r>
          </w:p>
        </w:tc>
      </w:tr>
      <w:tr w:rsidR="00F42993" w:rsidRPr="00421139" w:rsidTr="00F42993">
        <w:trPr>
          <w:jc w:val="center"/>
        </w:trPr>
        <w:tc>
          <w:tcPr>
            <w:tcW w:w="2699" w:type="dxa"/>
            <w:tcBorders>
              <w:top w:val="nil"/>
              <w:left w:val="nil"/>
              <w:bottom w:val="nil"/>
            </w:tcBorders>
            <w:vAlign w:val="bottom"/>
          </w:tcPr>
          <w:p w:rsidR="00F42993" w:rsidRPr="00421139" w:rsidRDefault="00F42993" w:rsidP="00EA30A5">
            <w:pPr>
              <w:pStyle w:val="SemEspaamento"/>
              <w:spacing w:line="240" w:lineRule="auto"/>
              <w:jc w:val="left"/>
              <w:rPr>
                <w:color w:val="000000"/>
                <w:sz w:val="22"/>
              </w:rPr>
            </w:pP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(0.00334)</w:t>
            </w: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(0.00405)</w:t>
            </w: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(0.00400)</w:t>
            </w:r>
          </w:p>
        </w:tc>
      </w:tr>
      <w:tr w:rsidR="00F42993" w:rsidRPr="00421139" w:rsidTr="00F42993">
        <w:trPr>
          <w:jc w:val="center"/>
        </w:trPr>
        <w:tc>
          <w:tcPr>
            <w:tcW w:w="2699" w:type="dxa"/>
            <w:tcBorders>
              <w:top w:val="nil"/>
              <w:left w:val="nil"/>
              <w:bottom w:val="nil"/>
            </w:tcBorders>
            <w:vAlign w:val="bottom"/>
          </w:tcPr>
          <w:p w:rsidR="00F42993" w:rsidRPr="00421139" w:rsidRDefault="00F42993" w:rsidP="00EA30A5">
            <w:pPr>
              <w:pStyle w:val="SemEspaamento"/>
              <w:spacing w:line="240" w:lineRule="auto"/>
              <w:jc w:val="left"/>
              <w:rPr>
                <w:color w:val="000000"/>
              </w:rPr>
            </w:pPr>
            <m:oMathPara>
              <m:oMath>
                <m:r>
                  <w:rPr>
                    <w:rFonts w:ascii="Cambria Math" w:hAnsi="Cambria Math"/>
                    <w:color w:val="000000"/>
                  </w:rPr>
                  <m:t>G/GDP</m:t>
                </m:r>
              </m:oMath>
            </m:oMathPara>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-0.0259*</w:t>
            </w: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-0.0264</w:t>
            </w:r>
          </w:p>
        </w:tc>
      </w:tr>
      <w:tr w:rsidR="00F42993" w:rsidRPr="00421139" w:rsidTr="00F42993">
        <w:trPr>
          <w:jc w:val="center"/>
        </w:trPr>
        <w:tc>
          <w:tcPr>
            <w:tcW w:w="2699" w:type="dxa"/>
            <w:tcBorders>
              <w:top w:val="nil"/>
              <w:left w:val="nil"/>
              <w:bottom w:val="nil"/>
            </w:tcBorders>
            <w:vAlign w:val="bottom"/>
          </w:tcPr>
          <w:p w:rsidR="00F42993" w:rsidRPr="00421139" w:rsidRDefault="00F42993" w:rsidP="00EA30A5">
            <w:pPr>
              <w:pStyle w:val="SemEspaamento"/>
              <w:spacing w:line="240" w:lineRule="auto"/>
              <w:jc w:val="left"/>
              <w:rPr>
                <w:color w:val="000000"/>
                <w:sz w:val="22"/>
              </w:rPr>
            </w:pP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(0.0150)</w:t>
            </w: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(0.0163)</w:t>
            </w:r>
          </w:p>
        </w:tc>
      </w:tr>
      <w:tr w:rsidR="00F42993" w:rsidRPr="00421139" w:rsidTr="00F42993">
        <w:trPr>
          <w:jc w:val="center"/>
        </w:trPr>
        <w:tc>
          <w:tcPr>
            <w:tcW w:w="2699" w:type="dxa"/>
            <w:tcBorders>
              <w:top w:val="nil"/>
              <w:left w:val="nil"/>
              <w:bottom w:val="nil"/>
            </w:tcBorders>
            <w:vAlign w:val="bottom"/>
          </w:tcPr>
          <w:p w:rsidR="00F42993" w:rsidRPr="00421139" w:rsidRDefault="00F42993" w:rsidP="00EA30A5">
            <w:pPr>
              <w:pStyle w:val="SemEspaamento"/>
              <w:spacing w:line="240" w:lineRule="auto"/>
              <w:jc w:val="center"/>
              <w:rPr>
                <w:color w:val="000000"/>
              </w:rPr>
            </w:pPr>
            <m:oMathPara>
              <m:oMath>
                <m:r>
                  <w:rPr>
                    <w:rFonts w:ascii="Cambria Math" w:hAnsi="Cambria Math"/>
                    <w:color w:val="000000"/>
                  </w:rPr>
                  <m:t>pop growth</m:t>
                </m:r>
              </m:oMath>
            </m:oMathPara>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0.539**</w:t>
            </w: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0.541**</w:t>
            </w:r>
          </w:p>
        </w:tc>
      </w:tr>
      <w:tr w:rsidR="00F42993" w:rsidRPr="00421139" w:rsidTr="00F42993">
        <w:trPr>
          <w:jc w:val="center"/>
        </w:trPr>
        <w:tc>
          <w:tcPr>
            <w:tcW w:w="2699" w:type="dxa"/>
            <w:tcBorders>
              <w:top w:val="nil"/>
              <w:left w:val="nil"/>
              <w:bottom w:val="nil"/>
            </w:tcBorders>
            <w:vAlign w:val="bottom"/>
          </w:tcPr>
          <w:p w:rsidR="00F42993" w:rsidRPr="00421139" w:rsidRDefault="00F42993" w:rsidP="00EA30A5">
            <w:pPr>
              <w:pStyle w:val="SemEspaamento"/>
              <w:spacing w:line="240" w:lineRule="auto"/>
              <w:jc w:val="left"/>
              <w:rPr>
                <w:color w:val="000000"/>
                <w:sz w:val="22"/>
              </w:rPr>
            </w:pP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(0.223)</w:t>
            </w: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(0.265)</w:t>
            </w:r>
          </w:p>
        </w:tc>
      </w:tr>
      <w:tr w:rsidR="00F42993" w:rsidRPr="00421139" w:rsidTr="00F42993">
        <w:trPr>
          <w:jc w:val="center"/>
        </w:trPr>
        <w:tc>
          <w:tcPr>
            <w:tcW w:w="2699" w:type="dxa"/>
            <w:tcBorders>
              <w:top w:val="nil"/>
              <w:left w:val="nil"/>
              <w:bottom w:val="nil"/>
            </w:tcBorders>
            <w:vAlign w:val="bottom"/>
          </w:tcPr>
          <w:p w:rsidR="00F42993" w:rsidRPr="00421139" w:rsidRDefault="00EA30A5" w:rsidP="00EA30A5">
            <w:pPr>
              <w:pStyle w:val="SemEspaamento"/>
              <w:spacing w:line="240" w:lineRule="auto"/>
              <w:jc w:val="center"/>
              <w:rPr>
                <w:color w:val="000000"/>
              </w:rPr>
            </w:pPr>
            <m:oMathPara>
              <m:oMath>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(GAP)</m:t>
                    </m:r>
                  </m:e>
                </m:func>
              </m:oMath>
            </m:oMathPara>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0.00171</w:t>
            </w:r>
          </w:p>
        </w:tc>
      </w:tr>
      <w:tr w:rsidR="00F42993" w:rsidRPr="00421139" w:rsidTr="00F42993">
        <w:trPr>
          <w:jc w:val="center"/>
        </w:trPr>
        <w:tc>
          <w:tcPr>
            <w:tcW w:w="2699" w:type="dxa"/>
            <w:tcBorders>
              <w:top w:val="nil"/>
              <w:left w:val="nil"/>
              <w:bottom w:val="nil"/>
            </w:tcBorders>
            <w:vAlign w:val="bottom"/>
          </w:tcPr>
          <w:p w:rsidR="00F42993" w:rsidRPr="00421139" w:rsidRDefault="00F42993" w:rsidP="00EA30A5">
            <w:pPr>
              <w:pStyle w:val="SemEspaamento"/>
              <w:spacing w:line="240" w:lineRule="auto"/>
              <w:jc w:val="left"/>
              <w:rPr>
                <w:color w:val="000000"/>
                <w:sz w:val="22"/>
              </w:rPr>
            </w:pP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(0.00224)</w:t>
            </w:r>
          </w:p>
        </w:tc>
      </w:tr>
      <w:tr w:rsidR="00F42993" w:rsidRPr="00421139" w:rsidTr="00F42993">
        <w:trPr>
          <w:jc w:val="center"/>
        </w:trPr>
        <w:tc>
          <w:tcPr>
            <w:tcW w:w="2699" w:type="dxa"/>
            <w:tcBorders>
              <w:top w:val="nil"/>
              <w:left w:val="nil"/>
              <w:bottom w:val="nil"/>
            </w:tcBorders>
            <w:vAlign w:val="bottom"/>
          </w:tcPr>
          <w:p w:rsidR="00F42993" w:rsidRPr="00421139" w:rsidRDefault="00F42993" w:rsidP="00EA30A5">
            <w:pPr>
              <w:pStyle w:val="SemEspaamento"/>
              <w:spacing w:line="240" w:lineRule="auto"/>
              <w:jc w:val="center"/>
              <w:rPr>
                <w:color w:val="000000"/>
              </w:rPr>
            </w:pPr>
            <m:oMathPara>
              <m:oMath>
                <m:r>
                  <w:rPr>
                    <w:rFonts w:ascii="Cambria Math" w:hAnsi="Cambria Math"/>
                    <w:color w:val="000000"/>
                  </w:rPr>
                  <m:t>OUT</m:t>
                </m:r>
              </m:oMath>
            </m:oMathPara>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0.00769</w:t>
            </w:r>
          </w:p>
        </w:tc>
      </w:tr>
      <w:tr w:rsidR="00F42993" w:rsidRPr="00421139" w:rsidTr="00F42993">
        <w:trPr>
          <w:jc w:val="center"/>
        </w:trPr>
        <w:tc>
          <w:tcPr>
            <w:tcW w:w="2699" w:type="dxa"/>
            <w:tcBorders>
              <w:top w:val="nil"/>
              <w:left w:val="nil"/>
            </w:tcBorders>
            <w:vAlign w:val="bottom"/>
          </w:tcPr>
          <w:p w:rsidR="00F42993" w:rsidRPr="00421139" w:rsidRDefault="00F42993" w:rsidP="00EA30A5">
            <w:pPr>
              <w:pStyle w:val="SemEspaamento"/>
              <w:spacing w:line="240" w:lineRule="auto"/>
              <w:jc w:val="left"/>
              <w:rPr>
                <w:color w:val="000000"/>
                <w:sz w:val="22"/>
              </w:rPr>
            </w:pPr>
          </w:p>
        </w:tc>
        <w:tc>
          <w:tcPr>
            <w:tcW w:w="1477" w:type="dxa"/>
            <w:tcBorders>
              <w:top w:val="nil"/>
            </w:tcBorders>
            <w:vAlign w:val="bottom"/>
          </w:tcPr>
          <w:p w:rsidR="00F42993" w:rsidRPr="00421139" w:rsidRDefault="00F42993" w:rsidP="00EA30A5">
            <w:pPr>
              <w:pStyle w:val="SemEspaamento"/>
              <w:spacing w:line="240" w:lineRule="auto"/>
              <w:jc w:val="center"/>
              <w:rPr>
                <w:color w:val="000000"/>
                <w:sz w:val="22"/>
              </w:rPr>
            </w:pPr>
          </w:p>
        </w:tc>
        <w:tc>
          <w:tcPr>
            <w:tcW w:w="1477" w:type="dxa"/>
            <w:tcBorders>
              <w:top w:val="nil"/>
            </w:tcBorders>
            <w:vAlign w:val="bottom"/>
          </w:tcPr>
          <w:p w:rsidR="00F42993" w:rsidRPr="00421139" w:rsidRDefault="00F42993" w:rsidP="00EA30A5">
            <w:pPr>
              <w:pStyle w:val="SemEspaamento"/>
              <w:spacing w:line="240" w:lineRule="auto"/>
              <w:jc w:val="center"/>
              <w:rPr>
                <w:color w:val="000000"/>
                <w:sz w:val="22"/>
              </w:rPr>
            </w:pPr>
          </w:p>
        </w:tc>
        <w:tc>
          <w:tcPr>
            <w:tcW w:w="1477" w:type="dxa"/>
            <w:tcBorders>
              <w:top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(0.00828)</w:t>
            </w:r>
          </w:p>
        </w:tc>
      </w:tr>
      <w:tr w:rsidR="00F42993" w:rsidRPr="00421139" w:rsidTr="00F42993">
        <w:trPr>
          <w:jc w:val="center"/>
        </w:trPr>
        <w:tc>
          <w:tcPr>
            <w:tcW w:w="2699" w:type="dxa"/>
            <w:tcBorders>
              <w:top w:val="nil"/>
              <w:left w:val="nil"/>
            </w:tcBorders>
            <w:vAlign w:val="bottom"/>
          </w:tcPr>
          <w:p w:rsidR="00F42993" w:rsidRPr="00421139" w:rsidRDefault="00F42993" w:rsidP="00EA30A5">
            <w:pPr>
              <w:pStyle w:val="SemEspaamento"/>
              <w:spacing w:line="240" w:lineRule="auto"/>
              <w:jc w:val="center"/>
              <w:rPr>
                <w:color w:val="000000"/>
              </w:rPr>
            </w:pPr>
            <m:oMathPara>
              <m:oMath>
                <m:r>
                  <w:rPr>
                    <w:rFonts w:ascii="Cambria Math" w:hAnsi="Cambria Math"/>
                    <w:color w:val="000000"/>
                  </w:rPr>
                  <m:t>Constant</m:t>
                </m:r>
              </m:oMath>
            </m:oMathPara>
          </w:p>
        </w:tc>
        <w:tc>
          <w:tcPr>
            <w:tcW w:w="1477" w:type="dxa"/>
            <w:tcBorders>
              <w:top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0.0235***</w:t>
            </w:r>
          </w:p>
        </w:tc>
        <w:tc>
          <w:tcPr>
            <w:tcW w:w="1477" w:type="dxa"/>
            <w:tcBorders>
              <w:top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0.0205***</w:t>
            </w:r>
          </w:p>
        </w:tc>
        <w:tc>
          <w:tcPr>
            <w:tcW w:w="1477" w:type="dxa"/>
            <w:tcBorders>
              <w:top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0.0158*</w:t>
            </w:r>
          </w:p>
        </w:tc>
      </w:tr>
      <w:tr w:rsidR="00F42993" w:rsidRPr="00421139" w:rsidTr="00E04126">
        <w:trPr>
          <w:jc w:val="center"/>
        </w:trPr>
        <w:tc>
          <w:tcPr>
            <w:tcW w:w="2699" w:type="dxa"/>
            <w:tcBorders>
              <w:top w:val="nil"/>
              <w:left w:val="nil"/>
              <w:bottom w:val="single" w:sz="4" w:space="0" w:color="auto"/>
            </w:tcBorders>
            <w:vAlign w:val="bottom"/>
          </w:tcPr>
          <w:p w:rsidR="00F42993" w:rsidRPr="00421139" w:rsidRDefault="00F42993" w:rsidP="00EA30A5">
            <w:pPr>
              <w:pStyle w:val="SemEspaamento"/>
              <w:spacing w:line="240" w:lineRule="auto"/>
              <w:jc w:val="left"/>
              <w:rPr>
                <w:color w:val="000000"/>
                <w:sz w:val="22"/>
              </w:rPr>
            </w:pPr>
          </w:p>
        </w:tc>
        <w:tc>
          <w:tcPr>
            <w:tcW w:w="1477" w:type="dxa"/>
            <w:tcBorders>
              <w:top w:val="nil"/>
              <w:bottom w:val="single" w:sz="4" w:space="0" w:color="auto"/>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(0.00355)</w:t>
            </w:r>
          </w:p>
        </w:tc>
        <w:tc>
          <w:tcPr>
            <w:tcW w:w="1477" w:type="dxa"/>
            <w:tcBorders>
              <w:top w:val="nil"/>
              <w:bottom w:val="single" w:sz="4" w:space="0" w:color="auto"/>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(0.00663)</w:t>
            </w:r>
          </w:p>
        </w:tc>
        <w:tc>
          <w:tcPr>
            <w:tcW w:w="1477" w:type="dxa"/>
            <w:tcBorders>
              <w:top w:val="nil"/>
              <w:bottom w:val="single" w:sz="4" w:space="0" w:color="auto"/>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(0.00833)</w:t>
            </w:r>
          </w:p>
        </w:tc>
      </w:tr>
      <w:tr w:rsidR="007F2998" w:rsidRPr="00421139" w:rsidTr="00E04126">
        <w:trPr>
          <w:jc w:val="center"/>
        </w:trPr>
        <w:tc>
          <w:tcPr>
            <w:tcW w:w="2699" w:type="dxa"/>
            <w:tcBorders>
              <w:top w:val="single" w:sz="4" w:space="0" w:color="auto"/>
              <w:left w:val="nil"/>
            </w:tcBorders>
            <w:vAlign w:val="bottom"/>
          </w:tcPr>
          <w:p w:rsidR="007F2998" w:rsidRPr="00421139" w:rsidRDefault="007F2998" w:rsidP="00EA30A5">
            <w:pPr>
              <w:pStyle w:val="SemEspaamento"/>
              <w:spacing w:line="240" w:lineRule="auto"/>
              <w:jc w:val="center"/>
              <w:rPr>
                <w:color w:val="000000"/>
                <w:sz w:val="22"/>
              </w:rPr>
            </w:pPr>
            <w:r w:rsidRPr="00421139">
              <w:rPr>
                <w:color w:val="000000"/>
                <w:sz w:val="22"/>
              </w:rPr>
              <w:t>Long-term impact</w:t>
            </w:r>
          </w:p>
        </w:tc>
        <w:tc>
          <w:tcPr>
            <w:tcW w:w="1477" w:type="dxa"/>
            <w:tcBorders>
              <w:top w:val="single" w:sz="4" w:space="0" w:color="auto"/>
            </w:tcBorders>
            <w:vAlign w:val="bottom"/>
          </w:tcPr>
          <w:p w:rsidR="007F2998" w:rsidRPr="00421139" w:rsidRDefault="007F2998" w:rsidP="00EA30A5">
            <w:pPr>
              <w:pStyle w:val="SemEspaamento"/>
              <w:spacing w:line="240" w:lineRule="auto"/>
              <w:jc w:val="center"/>
              <w:rPr>
                <w:color w:val="000000"/>
                <w:sz w:val="22"/>
              </w:rPr>
            </w:pPr>
            <w:r w:rsidRPr="00421139">
              <w:rPr>
                <w:color w:val="000000"/>
                <w:sz w:val="22"/>
              </w:rPr>
              <w:t>0.0180***</w:t>
            </w:r>
          </w:p>
        </w:tc>
        <w:tc>
          <w:tcPr>
            <w:tcW w:w="1477" w:type="dxa"/>
            <w:tcBorders>
              <w:top w:val="single" w:sz="4" w:space="0" w:color="auto"/>
            </w:tcBorders>
            <w:vAlign w:val="bottom"/>
          </w:tcPr>
          <w:p w:rsidR="007F2998" w:rsidRPr="00421139" w:rsidRDefault="007F2998" w:rsidP="00EA30A5">
            <w:pPr>
              <w:pStyle w:val="SemEspaamento"/>
              <w:spacing w:line="240" w:lineRule="auto"/>
              <w:jc w:val="center"/>
              <w:rPr>
                <w:color w:val="000000"/>
                <w:sz w:val="22"/>
              </w:rPr>
            </w:pPr>
            <w:r w:rsidRPr="00421139">
              <w:rPr>
                <w:color w:val="000000"/>
                <w:sz w:val="22"/>
              </w:rPr>
              <w:t>0.0164***</w:t>
            </w:r>
          </w:p>
        </w:tc>
        <w:tc>
          <w:tcPr>
            <w:tcW w:w="1477" w:type="dxa"/>
            <w:tcBorders>
              <w:top w:val="single" w:sz="4" w:space="0" w:color="auto"/>
            </w:tcBorders>
            <w:vAlign w:val="bottom"/>
          </w:tcPr>
          <w:p w:rsidR="007F2998" w:rsidRPr="00421139" w:rsidRDefault="007F2998" w:rsidP="00EA30A5">
            <w:pPr>
              <w:pStyle w:val="SemEspaamento"/>
              <w:spacing w:line="240" w:lineRule="auto"/>
              <w:jc w:val="center"/>
              <w:rPr>
                <w:color w:val="000000"/>
                <w:sz w:val="22"/>
              </w:rPr>
            </w:pPr>
            <w:r w:rsidRPr="00421139">
              <w:rPr>
                <w:color w:val="000000"/>
                <w:sz w:val="22"/>
              </w:rPr>
              <w:t>0.0179***</w:t>
            </w:r>
          </w:p>
        </w:tc>
      </w:tr>
      <w:tr w:rsidR="007F2998" w:rsidRPr="00421139" w:rsidTr="00F42993">
        <w:trPr>
          <w:jc w:val="center"/>
        </w:trPr>
        <w:tc>
          <w:tcPr>
            <w:tcW w:w="2699" w:type="dxa"/>
            <w:tcBorders>
              <w:top w:val="nil"/>
              <w:left w:val="nil"/>
              <w:bottom w:val="single" w:sz="4" w:space="0" w:color="auto"/>
            </w:tcBorders>
            <w:vAlign w:val="bottom"/>
          </w:tcPr>
          <w:p w:rsidR="007F2998" w:rsidRPr="00421139" w:rsidRDefault="007F2998" w:rsidP="00EA30A5">
            <w:pPr>
              <w:pStyle w:val="SemEspaamento"/>
              <w:spacing w:line="240" w:lineRule="auto"/>
              <w:jc w:val="left"/>
              <w:rPr>
                <w:color w:val="000000"/>
                <w:sz w:val="22"/>
              </w:rPr>
            </w:pPr>
          </w:p>
        </w:tc>
        <w:tc>
          <w:tcPr>
            <w:tcW w:w="1477" w:type="dxa"/>
            <w:tcBorders>
              <w:top w:val="nil"/>
              <w:bottom w:val="single" w:sz="4" w:space="0" w:color="auto"/>
            </w:tcBorders>
            <w:vAlign w:val="bottom"/>
          </w:tcPr>
          <w:p w:rsidR="007F2998" w:rsidRPr="00421139" w:rsidRDefault="007F2998" w:rsidP="00EA30A5">
            <w:pPr>
              <w:pStyle w:val="SemEspaamento"/>
              <w:spacing w:line="240" w:lineRule="auto"/>
              <w:jc w:val="center"/>
              <w:rPr>
                <w:color w:val="000000"/>
                <w:sz w:val="22"/>
              </w:rPr>
            </w:pPr>
            <w:r w:rsidRPr="00421139">
              <w:rPr>
                <w:color w:val="000000"/>
                <w:sz w:val="22"/>
              </w:rPr>
              <w:t>(0.00334)</w:t>
            </w:r>
          </w:p>
        </w:tc>
        <w:tc>
          <w:tcPr>
            <w:tcW w:w="1477" w:type="dxa"/>
            <w:tcBorders>
              <w:top w:val="nil"/>
              <w:bottom w:val="single" w:sz="4" w:space="0" w:color="auto"/>
            </w:tcBorders>
            <w:vAlign w:val="bottom"/>
          </w:tcPr>
          <w:p w:rsidR="007F2998" w:rsidRPr="00421139" w:rsidRDefault="007F2998" w:rsidP="00EA30A5">
            <w:pPr>
              <w:pStyle w:val="SemEspaamento"/>
              <w:spacing w:line="240" w:lineRule="auto"/>
              <w:jc w:val="center"/>
              <w:rPr>
                <w:color w:val="000000"/>
                <w:sz w:val="22"/>
              </w:rPr>
            </w:pPr>
            <w:r w:rsidRPr="00421139">
              <w:rPr>
                <w:color w:val="000000"/>
                <w:sz w:val="22"/>
              </w:rPr>
              <w:t>(0.00405)</w:t>
            </w:r>
          </w:p>
        </w:tc>
        <w:tc>
          <w:tcPr>
            <w:tcW w:w="1477" w:type="dxa"/>
            <w:tcBorders>
              <w:top w:val="nil"/>
              <w:bottom w:val="single" w:sz="4" w:space="0" w:color="auto"/>
            </w:tcBorders>
            <w:vAlign w:val="bottom"/>
          </w:tcPr>
          <w:p w:rsidR="007F2998" w:rsidRPr="00421139" w:rsidRDefault="007F2998" w:rsidP="00EA30A5">
            <w:pPr>
              <w:pStyle w:val="SemEspaamento"/>
              <w:spacing w:line="240" w:lineRule="auto"/>
              <w:jc w:val="center"/>
              <w:rPr>
                <w:color w:val="000000"/>
                <w:sz w:val="22"/>
              </w:rPr>
            </w:pPr>
            <w:r w:rsidRPr="00421139">
              <w:rPr>
                <w:color w:val="000000"/>
                <w:sz w:val="22"/>
              </w:rPr>
              <w:t>(0.00400)</w:t>
            </w:r>
          </w:p>
        </w:tc>
      </w:tr>
      <w:tr w:rsidR="00F42993" w:rsidRPr="00421139" w:rsidTr="00F42993">
        <w:trPr>
          <w:jc w:val="center"/>
        </w:trPr>
        <w:tc>
          <w:tcPr>
            <w:tcW w:w="2699" w:type="dxa"/>
            <w:tcBorders>
              <w:top w:val="single" w:sz="4" w:space="0" w:color="auto"/>
              <w:left w:val="nil"/>
              <w:bottom w:val="nil"/>
            </w:tcBorders>
            <w:vAlign w:val="bottom"/>
          </w:tcPr>
          <w:p w:rsidR="00F42993" w:rsidRPr="00421139" w:rsidRDefault="00F42993" w:rsidP="00EA30A5">
            <w:pPr>
              <w:pStyle w:val="SemEspaamento"/>
              <w:spacing w:line="240" w:lineRule="auto"/>
              <w:jc w:val="center"/>
              <w:rPr>
                <w:color w:val="000000"/>
              </w:rPr>
            </w:pPr>
            <w:r w:rsidRPr="00421139">
              <w:rPr>
                <w:color w:val="000000"/>
                <w:sz w:val="22"/>
              </w:rPr>
              <w:t>Observations</w:t>
            </w:r>
          </w:p>
        </w:tc>
        <w:tc>
          <w:tcPr>
            <w:tcW w:w="1477" w:type="dxa"/>
            <w:tcBorders>
              <w:top w:val="single" w:sz="4" w:space="0" w:color="auto"/>
              <w:bottom w:val="nil"/>
            </w:tcBorders>
            <w:vAlign w:val="bottom"/>
          </w:tcPr>
          <w:p w:rsidR="00F42993" w:rsidRPr="00421139" w:rsidRDefault="00E04126" w:rsidP="00EA30A5">
            <w:pPr>
              <w:pStyle w:val="SemEspaamento"/>
              <w:spacing w:line="240" w:lineRule="auto"/>
              <w:jc w:val="center"/>
              <w:rPr>
                <w:color w:val="000000"/>
                <w:sz w:val="22"/>
              </w:rPr>
            </w:pPr>
            <w:r w:rsidRPr="00421139">
              <w:rPr>
                <w:color w:val="000000"/>
                <w:sz w:val="22"/>
              </w:rPr>
              <w:t>1</w:t>
            </w:r>
            <w:r w:rsidR="00F42993" w:rsidRPr="00421139">
              <w:rPr>
                <w:color w:val="000000"/>
                <w:sz w:val="22"/>
              </w:rPr>
              <w:t>18</w:t>
            </w:r>
            <w:r w:rsidRPr="00421139">
              <w:rPr>
                <w:color w:val="000000"/>
                <w:sz w:val="22"/>
              </w:rPr>
              <w:t>0</w:t>
            </w:r>
          </w:p>
        </w:tc>
        <w:tc>
          <w:tcPr>
            <w:tcW w:w="1477" w:type="dxa"/>
            <w:tcBorders>
              <w:top w:val="single" w:sz="4" w:space="0" w:color="auto"/>
              <w:bottom w:val="nil"/>
            </w:tcBorders>
            <w:vAlign w:val="bottom"/>
          </w:tcPr>
          <w:p w:rsidR="00F42993" w:rsidRPr="00421139" w:rsidRDefault="00E04126" w:rsidP="00EA30A5">
            <w:pPr>
              <w:pStyle w:val="SemEspaamento"/>
              <w:spacing w:line="240" w:lineRule="auto"/>
              <w:jc w:val="center"/>
              <w:rPr>
                <w:color w:val="000000"/>
                <w:sz w:val="22"/>
              </w:rPr>
            </w:pPr>
            <w:r w:rsidRPr="00421139">
              <w:rPr>
                <w:color w:val="000000"/>
                <w:sz w:val="22"/>
              </w:rPr>
              <w:t>1180</w:t>
            </w:r>
          </w:p>
        </w:tc>
        <w:tc>
          <w:tcPr>
            <w:tcW w:w="1477" w:type="dxa"/>
            <w:tcBorders>
              <w:top w:val="single" w:sz="4" w:space="0" w:color="auto"/>
              <w:bottom w:val="nil"/>
            </w:tcBorders>
            <w:vAlign w:val="bottom"/>
          </w:tcPr>
          <w:p w:rsidR="00F42993" w:rsidRPr="00421139" w:rsidRDefault="00E04126" w:rsidP="00EA30A5">
            <w:pPr>
              <w:pStyle w:val="SemEspaamento"/>
              <w:spacing w:line="240" w:lineRule="auto"/>
              <w:jc w:val="center"/>
              <w:rPr>
                <w:color w:val="000000"/>
                <w:sz w:val="22"/>
              </w:rPr>
            </w:pPr>
            <w:r w:rsidRPr="00421139">
              <w:rPr>
                <w:color w:val="000000"/>
                <w:sz w:val="22"/>
              </w:rPr>
              <w:t>1</w:t>
            </w:r>
            <w:r w:rsidR="00F42993" w:rsidRPr="00421139">
              <w:rPr>
                <w:color w:val="000000"/>
                <w:sz w:val="22"/>
              </w:rPr>
              <w:t>133</w:t>
            </w:r>
          </w:p>
        </w:tc>
      </w:tr>
      <w:tr w:rsidR="00F42993" w:rsidRPr="00421139" w:rsidTr="00F42993">
        <w:trPr>
          <w:jc w:val="center"/>
        </w:trPr>
        <w:tc>
          <w:tcPr>
            <w:tcW w:w="2699" w:type="dxa"/>
            <w:tcBorders>
              <w:top w:val="nil"/>
              <w:left w:val="nil"/>
              <w:bottom w:val="nil"/>
            </w:tcBorders>
            <w:vAlign w:val="bottom"/>
          </w:tcPr>
          <w:p w:rsidR="00F42993" w:rsidRPr="00421139" w:rsidRDefault="00F42993" w:rsidP="00EA30A5">
            <w:pPr>
              <w:pStyle w:val="SemEspaamento"/>
              <w:spacing w:line="240" w:lineRule="auto"/>
              <w:jc w:val="center"/>
              <w:rPr>
                <w:color w:val="000000"/>
              </w:rPr>
            </w:pPr>
            <w:r w:rsidRPr="00421139">
              <w:rPr>
                <w:color w:val="000000"/>
                <w:sz w:val="22"/>
              </w:rPr>
              <w:t>Number of code</w:t>
            </w: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167</w:t>
            </w: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167</w:t>
            </w: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166</w:t>
            </w:r>
          </w:p>
        </w:tc>
      </w:tr>
      <w:tr w:rsidR="00F42993" w:rsidRPr="00421139" w:rsidTr="00F42993">
        <w:trPr>
          <w:jc w:val="center"/>
        </w:trPr>
        <w:tc>
          <w:tcPr>
            <w:tcW w:w="2699" w:type="dxa"/>
            <w:tcBorders>
              <w:top w:val="nil"/>
              <w:left w:val="nil"/>
              <w:bottom w:val="nil"/>
            </w:tcBorders>
            <w:vAlign w:val="bottom"/>
          </w:tcPr>
          <w:p w:rsidR="00F42993" w:rsidRPr="00421139" w:rsidRDefault="00F42993" w:rsidP="00EA30A5">
            <w:pPr>
              <w:pStyle w:val="SemEspaamento"/>
              <w:spacing w:line="240" w:lineRule="auto"/>
              <w:jc w:val="center"/>
              <w:rPr>
                <w:color w:val="000000"/>
              </w:rPr>
            </w:pPr>
            <w:r w:rsidRPr="00421139">
              <w:rPr>
                <w:color w:val="000000"/>
                <w:sz w:val="22"/>
              </w:rPr>
              <w:t>Hansen test</w:t>
            </w: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13.64</w:t>
            </w: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17.50</w:t>
            </w:r>
          </w:p>
        </w:tc>
        <w:tc>
          <w:tcPr>
            <w:tcW w:w="1477" w:type="dxa"/>
            <w:tcBorders>
              <w:top w:val="nil"/>
              <w:bottom w:val="nil"/>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17.31</w:t>
            </w:r>
          </w:p>
        </w:tc>
      </w:tr>
      <w:tr w:rsidR="00F42993" w:rsidRPr="00421139" w:rsidTr="00F42993">
        <w:trPr>
          <w:jc w:val="center"/>
        </w:trPr>
        <w:tc>
          <w:tcPr>
            <w:tcW w:w="2699" w:type="dxa"/>
            <w:tcBorders>
              <w:top w:val="nil"/>
              <w:left w:val="nil"/>
              <w:bottom w:val="single" w:sz="12" w:space="0" w:color="auto"/>
            </w:tcBorders>
            <w:vAlign w:val="bottom"/>
          </w:tcPr>
          <w:p w:rsidR="00F42993" w:rsidRPr="00421139" w:rsidRDefault="00F42993" w:rsidP="00EA30A5">
            <w:pPr>
              <w:pStyle w:val="SemEspaamento"/>
              <w:spacing w:line="240" w:lineRule="auto"/>
              <w:jc w:val="center"/>
              <w:rPr>
                <w:color w:val="000000"/>
              </w:rPr>
            </w:pPr>
            <w:r w:rsidRPr="00421139">
              <w:rPr>
                <w:color w:val="000000"/>
                <w:sz w:val="22"/>
              </w:rPr>
              <w:t>Hansen p-value</w:t>
            </w:r>
          </w:p>
        </w:tc>
        <w:tc>
          <w:tcPr>
            <w:tcW w:w="1477" w:type="dxa"/>
            <w:tcBorders>
              <w:top w:val="nil"/>
              <w:bottom w:val="single" w:sz="12" w:space="0" w:color="auto"/>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0.0580</w:t>
            </w:r>
          </w:p>
        </w:tc>
        <w:tc>
          <w:tcPr>
            <w:tcW w:w="1477" w:type="dxa"/>
            <w:tcBorders>
              <w:top w:val="nil"/>
              <w:bottom w:val="single" w:sz="12" w:space="0" w:color="auto"/>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0.0144</w:t>
            </w:r>
          </w:p>
        </w:tc>
        <w:tc>
          <w:tcPr>
            <w:tcW w:w="1477" w:type="dxa"/>
            <w:tcBorders>
              <w:top w:val="nil"/>
              <w:bottom w:val="single" w:sz="12" w:space="0" w:color="auto"/>
            </w:tcBorders>
            <w:vAlign w:val="bottom"/>
          </w:tcPr>
          <w:p w:rsidR="00F42993" w:rsidRPr="00421139" w:rsidRDefault="00F42993" w:rsidP="00EA30A5">
            <w:pPr>
              <w:pStyle w:val="SemEspaamento"/>
              <w:spacing w:line="240" w:lineRule="auto"/>
              <w:jc w:val="center"/>
              <w:rPr>
                <w:color w:val="000000"/>
                <w:sz w:val="22"/>
              </w:rPr>
            </w:pPr>
            <w:r w:rsidRPr="00421139">
              <w:rPr>
                <w:color w:val="000000"/>
                <w:sz w:val="22"/>
              </w:rPr>
              <w:t>0.0155</w:t>
            </w:r>
          </w:p>
        </w:tc>
      </w:tr>
    </w:tbl>
    <w:p w:rsidR="00B27C26" w:rsidRPr="00421139" w:rsidRDefault="00F42993" w:rsidP="00EA30A5">
      <w:pPr>
        <w:spacing w:after="0" w:line="240" w:lineRule="auto"/>
        <w:ind w:left="1134" w:right="1134"/>
        <w:jc w:val="both"/>
        <w:rPr>
          <w:rFonts w:ascii="Times New Roman" w:hAnsi="Times New Roman" w:cs="Times New Roman"/>
          <w:sz w:val="20"/>
          <w:szCs w:val="20"/>
          <w:lang w:val="en-GB"/>
        </w:rPr>
      </w:pPr>
      <w:r w:rsidRPr="00421139">
        <w:rPr>
          <w:rFonts w:ascii="Times New Roman" w:hAnsi="Times New Roman" w:cs="Times New Roman"/>
          <w:sz w:val="20"/>
          <w:szCs w:val="20"/>
          <w:lang w:val="en-GB"/>
        </w:rPr>
        <w:t>Standard errors in parenthesis; ***</w:t>
      </w:r>
      <w:r w:rsidR="00E04126" w:rsidRPr="00421139">
        <w:rPr>
          <w:rFonts w:ascii="Times New Roman" w:hAnsi="Times New Roman" w:cs="Times New Roman"/>
          <w:sz w:val="20"/>
          <w:szCs w:val="20"/>
          <w:lang w:val="en-GB"/>
        </w:rPr>
        <w:t>:</w:t>
      </w:r>
      <w:r w:rsidRPr="00421139">
        <w:rPr>
          <w:rFonts w:ascii="Times New Roman" w:hAnsi="Times New Roman" w:cs="Times New Roman"/>
          <w:sz w:val="20"/>
          <w:szCs w:val="20"/>
          <w:lang w:val="en-GB"/>
        </w:rPr>
        <w:t xml:space="preserve"> p&lt;0.01, **</w:t>
      </w:r>
      <w:r w:rsidR="00E04126" w:rsidRPr="00421139">
        <w:rPr>
          <w:rFonts w:ascii="Times New Roman" w:hAnsi="Times New Roman" w:cs="Times New Roman"/>
          <w:sz w:val="20"/>
          <w:szCs w:val="20"/>
          <w:lang w:val="en-GB"/>
        </w:rPr>
        <w:t>:</w:t>
      </w:r>
      <w:r w:rsidRPr="00421139">
        <w:rPr>
          <w:rFonts w:ascii="Times New Roman" w:hAnsi="Times New Roman" w:cs="Times New Roman"/>
          <w:sz w:val="20"/>
          <w:szCs w:val="20"/>
          <w:lang w:val="en-GB"/>
        </w:rPr>
        <w:t xml:space="preserve"> p&lt;0.05, *</w:t>
      </w:r>
      <w:r w:rsidR="00E04126" w:rsidRPr="00421139">
        <w:rPr>
          <w:rFonts w:ascii="Times New Roman" w:hAnsi="Times New Roman" w:cs="Times New Roman"/>
          <w:sz w:val="20"/>
          <w:szCs w:val="20"/>
          <w:lang w:val="en-GB"/>
        </w:rPr>
        <w:t>:</w:t>
      </w:r>
      <w:r w:rsidRPr="00421139">
        <w:rPr>
          <w:rFonts w:ascii="Times New Roman" w:hAnsi="Times New Roman" w:cs="Times New Roman"/>
          <w:sz w:val="20"/>
          <w:szCs w:val="20"/>
          <w:lang w:val="en-GB"/>
        </w:rPr>
        <w:t xml:space="preserve"> p&lt;0.1.</w:t>
      </w:r>
    </w:p>
    <w:p w:rsidR="00F42993" w:rsidRPr="00421139" w:rsidRDefault="00F42993" w:rsidP="00EA30A5">
      <w:pPr>
        <w:spacing w:after="0" w:line="240" w:lineRule="auto"/>
        <w:ind w:left="1134" w:right="1134"/>
        <w:jc w:val="both"/>
        <w:rPr>
          <w:rFonts w:ascii="Times New Roman" w:hAnsi="Times New Roman" w:cs="Times New Roman"/>
          <w:sz w:val="20"/>
          <w:szCs w:val="20"/>
          <w:lang w:val="en-GB"/>
        </w:rPr>
      </w:pPr>
      <w:r w:rsidRPr="00421139">
        <w:rPr>
          <w:rFonts w:ascii="Times New Roman" w:hAnsi="Times New Roman" w:cs="Times New Roman"/>
          <w:sz w:val="20"/>
          <w:szCs w:val="20"/>
          <w:lang w:val="en-GB"/>
        </w:rPr>
        <w:t>(1): no controls; (2) controlled by population growth and government expenditure as a share of GDP; (3) controlled by population growth, government expenditure as a share of GDP, technological gap and outward-orientation.</w:t>
      </w:r>
    </w:p>
    <w:p w:rsidR="00E04126" w:rsidRPr="00421139" w:rsidRDefault="00E04126" w:rsidP="00EA30A5">
      <w:pPr>
        <w:spacing w:after="0" w:line="240" w:lineRule="auto"/>
        <w:ind w:left="1134" w:right="1134"/>
        <w:jc w:val="both"/>
        <w:rPr>
          <w:rFonts w:ascii="Times New Roman" w:hAnsi="Times New Roman" w:cs="Times New Roman"/>
          <w:sz w:val="20"/>
          <w:szCs w:val="20"/>
          <w:lang w:val="en-GB"/>
        </w:rPr>
      </w:pPr>
      <w:r w:rsidRPr="00421139">
        <w:rPr>
          <w:rFonts w:ascii="Times New Roman" w:hAnsi="Times New Roman" w:cs="Times New Roman"/>
          <w:sz w:val="20"/>
          <w:szCs w:val="20"/>
          <w:lang w:val="en-GB"/>
        </w:rPr>
        <w:lastRenderedPageBreak/>
        <w:t>Long term impact: long-term impact of undervaluation on growth rate; calculated based on</w:t>
      </w:r>
      <w:r w:rsidR="00647FF7" w:rsidRPr="00421139">
        <w:rPr>
          <w:rFonts w:ascii="Times New Roman" w:hAnsi="Times New Roman" w:cs="Times New Roman"/>
          <w:sz w:val="20"/>
          <w:szCs w:val="20"/>
          <w:lang w:val="en-GB"/>
        </w:rPr>
        <w:t xml:space="preserve"> equation (4).</w:t>
      </w:r>
    </w:p>
    <w:p w:rsidR="008D1BC5" w:rsidRPr="00421139" w:rsidRDefault="008D1BC5" w:rsidP="00EA30A5">
      <w:pPr>
        <w:spacing w:line="240" w:lineRule="auto"/>
        <w:jc w:val="both"/>
        <w:rPr>
          <w:rFonts w:ascii="Times New Roman" w:hAnsi="Times New Roman" w:cs="Times New Roman"/>
          <w:sz w:val="24"/>
          <w:szCs w:val="24"/>
          <w:lang w:val="en-GB"/>
        </w:rPr>
      </w:pPr>
    </w:p>
    <w:p w:rsidR="007F2998" w:rsidRDefault="007F2998" w:rsidP="00EA30A5">
      <w:pPr>
        <w:spacing w:line="240" w:lineRule="auto"/>
        <w:ind w:firstLine="284"/>
        <w:jc w:val="both"/>
        <w:rPr>
          <w:rFonts w:ascii="Times New Roman" w:hAnsi="Times New Roman" w:cs="Times New Roman"/>
          <w:sz w:val="24"/>
          <w:szCs w:val="24"/>
          <w:lang w:val="en-GB"/>
        </w:rPr>
      </w:pPr>
      <w:r w:rsidRPr="00421139">
        <w:rPr>
          <w:rFonts w:ascii="Times New Roman" w:hAnsi="Times New Roman" w:cs="Times New Roman"/>
          <w:sz w:val="24"/>
          <w:szCs w:val="24"/>
          <w:lang w:val="en-GB"/>
        </w:rPr>
        <w:t xml:space="preserve">The second and third estimation corroborates the result obtained in the estimation with no controls. According to the second estimation, which considers government expenditures and population growth as controls, </w:t>
      </w:r>
      <w:r w:rsidR="00715979">
        <w:rPr>
          <w:rFonts w:ascii="Times New Roman" w:hAnsi="Times New Roman" w:cs="Times New Roman"/>
          <w:sz w:val="24"/>
          <w:szCs w:val="24"/>
          <w:lang w:val="en-GB"/>
        </w:rPr>
        <w:t>devaluation</w:t>
      </w:r>
      <w:r w:rsidRPr="00421139">
        <w:rPr>
          <w:rFonts w:ascii="Times New Roman" w:hAnsi="Times New Roman" w:cs="Times New Roman"/>
          <w:sz w:val="24"/>
          <w:szCs w:val="24"/>
          <w:lang w:val="en-GB"/>
        </w:rPr>
        <w:t xml:space="preserve"> o</w:t>
      </w:r>
      <w:r w:rsidR="00715979">
        <w:rPr>
          <w:rFonts w:ascii="Times New Roman" w:hAnsi="Times New Roman" w:cs="Times New Roman"/>
          <w:sz w:val="24"/>
          <w:szCs w:val="24"/>
          <w:lang w:val="en-GB"/>
        </w:rPr>
        <w:t>f 1</w:t>
      </w:r>
      <w:r w:rsidRPr="00421139">
        <w:rPr>
          <w:rFonts w:ascii="Times New Roman" w:hAnsi="Times New Roman" w:cs="Times New Roman"/>
          <w:sz w:val="24"/>
          <w:szCs w:val="24"/>
          <w:lang w:val="en-GB"/>
        </w:rPr>
        <w:t xml:space="preserve">0% increases the </w:t>
      </w:r>
      <w:r w:rsidR="00850A07">
        <w:rPr>
          <w:rFonts w:ascii="Times New Roman" w:hAnsi="Times New Roman" w:cs="Times New Roman"/>
          <w:sz w:val="24"/>
          <w:szCs w:val="24"/>
          <w:lang w:val="en-GB"/>
        </w:rPr>
        <w:t xml:space="preserve">long-term </w:t>
      </w:r>
      <w:r w:rsidRPr="00421139">
        <w:rPr>
          <w:rFonts w:ascii="Times New Roman" w:hAnsi="Times New Roman" w:cs="Times New Roman"/>
          <w:sz w:val="24"/>
          <w:szCs w:val="24"/>
          <w:lang w:val="en-GB"/>
        </w:rPr>
        <w:t xml:space="preserve">growth rate by </w:t>
      </w:r>
      <w:r w:rsidR="00715979">
        <w:rPr>
          <w:rFonts w:ascii="Times New Roman" w:hAnsi="Times New Roman" w:cs="Times New Roman"/>
          <w:sz w:val="24"/>
          <w:szCs w:val="24"/>
          <w:lang w:val="en-GB"/>
        </w:rPr>
        <w:t>0.</w:t>
      </w:r>
      <w:r w:rsidR="00715979" w:rsidRPr="00421139">
        <w:rPr>
          <w:rFonts w:ascii="Times New Roman" w:hAnsi="Times New Roman" w:cs="Times New Roman"/>
          <w:sz w:val="24"/>
          <w:szCs w:val="24"/>
          <w:lang w:val="en-GB"/>
        </w:rPr>
        <w:t>1</w:t>
      </w:r>
      <w:r w:rsidR="00850A07">
        <w:rPr>
          <w:rFonts w:ascii="Times New Roman" w:hAnsi="Times New Roman" w:cs="Times New Roman"/>
          <w:sz w:val="24"/>
          <w:szCs w:val="24"/>
          <w:lang w:val="en-GB"/>
        </w:rPr>
        <w:t>8</w:t>
      </w:r>
      <w:r w:rsidR="002C62B3">
        <w:rPr>
          <w:rFonts w:ascii="Times New Roman" w:hAnsi="Times New Roman" w:cs="Times New Roman"/>
          <w:sz w:val="24"/>
          <w:szCs w:val="24"/>
          <w:lang w:val="en-GB"/>
        </w:rPr>
        <w:t>0</w:t>
      </w:r>
      <w:r w:rsidR="00850A07">
        <w:rPr>
          <w:rFonts w:ascii="Times New Roman" w:hAnsi="Times New Roman" w:cs="Times New Roman"/>
          <w:sz w:val="24"/>
          <w:szCs w:val="24"/>
          <w:lang w:val="en-GB"/>
        </w:rPr>
        <w:t xml:space="preserve"> p.p.</w:t>
      </w:r>
      <w:r w:rsidR="00715979">
        <w:rPr>
          <w:rFonts w:ascii="Times New Roman" w:hAnsi="Times New Roman" w:cs="Times New Roman"/>
          <w:sz w:val="24"/>
          <w:szCs w:val="24"/>
          <w:lang w:val="en-GB"/>
        </w:rPr>
        <w:t xml:space="preserve"> per </w:t>
      </w:r>
      <w:r w:rsidR="00850A07">
        <w:rPr>
          <w:rFonts w:ascii="Times New Roman" w:hAnsi="Times New Roman" w:cs="Times New Roman"/>
          <w:sz w:val="24"/>
          <w:szCs w:val="24"/>
          <w:lang w:val="en-GB"/>
        </w:rPr>
        <w:t>year (</w:t>
      </w:r>
      <w:r w:rsidR="002C62B3">
        <w:rPr>
          <w:rFonts w:ascii="Times New Roman" w:hAnsi="Times New Roman" w:cs="Times New Roman"/>
          <w:sz w:val="24"/>
          <w:szCs w:val="24"/>
          <w:lang w:val="en-GB"/>
        </w:rPr>
        <w:t xml:space="preserve">to calculate this impact, as presented in equation (5), the coefficient of the impact has to be divided </w:t>
      </w:r>
      <w:r w:rsidR="00850A07">
        <w:rPr>
          <w:rFonts w:ascii="Times New Roman" w:hAnsi="Times New Roman" w:cs="Times New Roman"/>
          <w:sz w:val="24"/>
          <w:szCs w:val="24"/>
          <w:lang w:val="en-GB"/>
        </w:rPr>
        <w:t xml:space="preserve">by </w:t>
      </w:r>
      <w:r w:rsidR="002C62B3">
        <w:rPr>
          <w:rFonts w:ascii="Times New Roman" w:hAnsi="Times New Roman" w:cs="Times New Roman"/>
          <w:sz w:val="24"/>
          <w:szCs w:val="24"/>
          <w:lang w:val="en-GB"/>
        </w:rPr>
        <w:t>1 – 0.082, which is the autoregressive term)</w:t>
      </w:r>
      <w:r w:rsidRPr="00421139">
        <w:rPr>
          <w:rFonts w:ascii="Times New Roman" w:hAnsi="Times New Roman" w:cs="Times New Roman"/>
          <w:sz w:val="24"/>
          <w:szCs w:val="24"/>
          <w:lang w:val="en-GB"/>
        </w:rPr>
        <w:t xml:space="preserve">, whilst </w:t>
      </w:r>
      <w:r w:rsidR="00EE708F" w:rsidRPr="00421139">
        <w:rPr>
          <w:rFonts w:ascii="Times New Roman" w:hAnsi="Times New Roman" w:cs="Times New Roman"/>
          <w:sz w:val="24"/>
          <w:szCs w:val="24"/>
          <w:lang w:val="en-GB"/>
        </w:rPr>
        <w:t xml:space="preserve">according to the third estimation, which incorporates technological gap and outward-orientation as controls, the same undervaluation </w:t>
      </w:r>
      <w:r w:rsidR="00715979">
        <w:rPr>
          <w:rFonts w:ascii="Times New Roman" w:hAnsi="Times New Roman" w:cs="Times New Roman"/>
          <w:sz w:val="24"/>
          <w:szCs w:val="24"/>
          <w:lang w:val="en-GB"/>
        </w:rPr>
        <w:t>propels</w:t>
      </w:r>
      <w:r w:rsidR="00EE708F" w:rsidRPr="00421139">
        <w:rPr>
          <w:rFonts w:ascii="Times New Roman" w:hAnsi="Times New Roman" w:cs="Times New Roman"/>
          <w:sz w:val="24"/>
          <w:szCs w:val="24"/>
          <w:lang w:val="en-GB"/>
        </w:rPr>
        <w:t xml:space="preserve"> growth by </w:t>
      </w:r>
      <w:r w:rsidR="00715979">
        <w:rPr>
          <w:rFonts w:ascii="Times New Roman" w:hAnsi="Times New Roman" w:cs="Times New Roman"/>
          <w:sz w:val="24"/>
          <w:szCs w:val="24"/>
          <w:lang w:val="en-GB"/>
        </w:rPr>
        <w:t>0.</w:t>
      </w:r>
      <w:r w:rsidR="00EE708F" w:rsidRPr="00421139">
        <w:rPr>
          <w:rFonts w:ascii="Times New Roman" w:hAnsi="Times New Roman" w:cs="Times New Roman"/>
          <w:sz w:val="24"/>
          <w:szCs w:val="24"/>
          <w:lang w:val="en-GB"/>
        </w:rPr>
        <w:t>1</w:t>
      </w:r>
      <w:r w:rsidR="00715979">
        <w:rPr>
          <w:rFonts w:ascii="Times New Roman" w:hAnsi="Times New Roman" w:cs="Times New Roman"/>
          <w:sz w:val="24"/>
          <w:szCs w:val="24"/>
          <w:lang w:val="en-GB"/>
        </w:rPr>
        <w:t>8</w:t>
      </w:r>
      <w:r w:rsidR="002C62B3">
        <w:rPr>
          <w:rFonts w:ascii="Times New Roman" w:hAnsi="Times New Roman" w:cs="Times New Roman"/>
          <w:sz w:val="24"/>
          <w:szCs w:val="24"/>
          <w:lang w:val="en-GB"/>
        </w:rPr>
        <w:t>3</w:t>
      </w:r>
      <w:r w:rsidR="00850A07">
        <w:rPr>
          <w:rFonts w:ascii="Times New Roman" w:hAnsi="Times New Roman" w:cs="Times New Roman"/>
          <w:sz w:val="24"/>
          <w:szCs w:val="24"/>
          <w:lang w:val="en-GB"/>
        </w:rPr>
        <w:t xml:space="preserve"> p.p.</w:t>
      </w:r>
      <w:r w:rsidR="00715979">
        <w:rPr>
          <w:rFonts w:ascii="Times New Roman" w:hAnsi="Times New Roman" w:cs="Times New Roman"/>
          <w:sz w:val="24"/>
          <w:szCs w:val="24"/>
          <w:lang w:val="en-GB"/>
        </w:rPr>
        <w:t xml:space="preserve"> per </w:t>
      </w:r>
      <w:r w:rsidR="00850A07">
        <w:rPr>
          <w:rFonts w:ascii="Times New Roman" w:hAnsi="Times New Roman" w:cs="Times New Roman"/>
          <w:sz w:val="24"/>
          <w:szCs w:val="24"/>
          <w:lang w:val="en-GB"/>
        </w:rPr>
        <w:t>year</w:t>
      </w:r>
      <w:r w:rsidR="00EE708F" w:rsidRPr="00421139">
        <w:rPr>
          <w:rFonts w:ascii="Times New Roman" w:hAnsi="Times New Roman" w:cs="Times New Roman"/>
          <w:sz w:val="24"/>
          <w:szCs w:val="24"/>
          <w:lang w:val="en-GB"/>
        </w:rPr>
        <w:t>.</w:t>
      </w:r>
      <w:r w:rsidR="00715979">
        <w:rPr>
          <w:rFonts w:ascii="Times New Roman" w:hAnsi="Times New Roman" w:cs="Times New Roman"/>
          <w:sz w:val="24"/>
          <w:szCs w:val="24"/>
          <w:lang w:val="en-GB"/>
        </w:rPr>
        <w:t xml:space="preserve"> </w:t>
      </w:r>
    </w:p>
    <w:p w:rsidR="00190738" w:rsidRPr="00421139" w:rsidRDefault="00190738"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It is worth pointing out that t</w:t>
      </w:r>
      <w:r w:rsidRPr="00190738">
        <w:rPr>
          <w:rFonts w:ascii="Times New Roman" w:hAnsi="Times New Roman" w:cs="Times New Roman"/>
          <w:sz w:val="24"/>
          <w:szCs w:val="24"/>
        </w:rPr>
        <w:t xml:space="preserve">he validity of the GMM estimators depends greatly on the exogeneity of the instruments used in the baseline model. The exogeneity of the instruments can be tested by the </w:t>
      </w:r>
      <w:r w:rsidRPr="00190738">
        <w:rPr>
          <w:rFonts w:ascii="Times New Roman" w:hAnsi="Times New Roman" w:cs="Times New Roman"/>
          <w:i/>
          <w:iCs/>
          <w:sz w:val="24"/>
          <w:szCs w:val="24"/>
        </w:rPr>
        <w:t xml:space="preserve">J </w:t>
      </w:r>
      <w:r w:rsidRPr="00190738">
        <w:rPr>
          <w:rFonts w:ascii="Times New Roman" w:hAnsi="Times New Roman" w:cs="Times New Roman"/>
          <w:sz w:val="24"/>
          <w:szCs w:val="24"/>
        </w:rPr>
        <w:t xml:space="preserve">statistics of the commonly used Hansen test. The null hypothesis implies the joint validity of the instruments. In other words, a rejection of the null hypothesis indicates that the instruments are not exogenous and hence the GMM estimator is not consistent. </w:t>
      </w:r>
      <w:r w:rsidR="00526F7F">
        <w:rPr>
          <w:rFonts w:ascii="Times New Roman" w:hAnsi="Times New Roman" w:cs="Times New Roman"/>
          <w:sz w:val="24"/>
          <w:szCs w:val="24"/>
        </w:rPr>
        <w:t xml:space="preserve">In Table </w:t>
      </w:r>
      <w:r w:rsidR="00964C92">
        <w:rPr>
          <w:rFonts w:ascii="Times New Roman" w:hAnsi="Times New Roman" w:cs="Times New Roman"/>
          <w:sz w:val="24"/>
          <w:szCs w:val="24"/>
        </w:rPr>
        <w:t>1</w:t>
      </w:r>
      <w:r w:rsidR="00526F7F">
        <w:rPr>
          <w:rFonts w:ascii="Times New Roman" w:hAnsi="Times New Roman" w:cs="Times New Roman"/>
          <w:sz w:val="24"/>
          <w:szCs w:val="24"/>
        </w:rPr>
        <w:t xml:space="preserve"> only the model 1 shows </w:t>
      </w:r>
      <w:r w:rsidR="00526F7F" w:rsidRPr="00190738">
        <w:rPr>
          <w:rFonts w:ascii="Times New Roman" w:hAnsi="Times New Roman" w:cs="Times New Roman"/>
          <w:sz w:val="24"/>
          <w:szCs w:val="24"/>
        </w:rPr>
        <w:t xml:space="preserve">a Hansen test </w:t>
      </w:r>
      <w:r w:rsidR="00526F7F" w:rsidRPr="00190738">
        <w:rPr>
          <w:rFonts w:ascii="Times New Roman" w:hAnsi="Times New Roman" w:cs="Times New Roman"/>
          <w:i/>
          <w:iCs/>
          <w:sz w:val="24"/>
          <w:szCs w:val="24"/>
        </w:rPr>
        <w:t>p</w:t>
      </w:r>
      <w:r w:rsidR="00526F7F" w:rsidRPr="00190738">
        <w:rPr>
          <w:rFonts w:ascii="Times New Roman" w:hAnsi="Times New Roman" w:cs="Times New Roman"/>
          <w:sz w:val="24"/>
          <w:szCs w:val="24"/>
        </w:rPr>
        <w:t>-value</w:t>
      </w:r>
      <w:r w:rsidR="00526F7F">
        <w:rPr>
          <w:rFonts w:ascii="Times New Roman" w:hAnsi="Times New Roman" w:cs="Times New Roman"/>
          <w:sz w:val="24"/>
          <w:szCs w:val="24"/>
        </w:rPr>
        <w:t xml:space="preserve"> above the standard 0.05, thus implying that the instruments used in the models 2 and 3 are not jointly valid. </w:t>
      </w:r>
    </w:p>
    <w:p w:rsidR="009706C0" w:rsidRDefault="00044C23" w:rsidP="00EA30A5">
      <w:pPr>
        <w:spacing w:line="240" w:lineRule="auto"/>
        <w:ind w:firstLine="284"/>
        <w:jc w:val="both"/>
        <w:rPr>
          <w:rFonts w:ascii="Times New Roman" w:hAnsi="Times New Roman" w:cs="Times New Roman"/>
          <w:sz w:val="24"/>
          <w:szCs w:val="24"/>
          <w:highlight w:val="lightGray"/>
          <w:lang w:val="en-GB"/>
        </w:rPr>
      </w:pPr>
      <w:r w:rsidRPr="00421139">
        <w:rPr>
          <w:rFonts w:ascii="Times New Roman" w:hAnsi="Times New Roman" w:cs="Times New Roman"/>
          <w:sz w:val="24"/>
          <w:szCs w:val="24"/>
          <w:lang w:val="en-GB"/>
        </w:rPr>
        <w:t xml:space="preserve">These findings </w:t>
      </w:r>
      <w:r w:rsidR="00190738">
        <w:rPr>
          <w:rFonts w:ascii="Times New Roman" w:hAnsi="Times New Roman" w:cs="Times New Roman"/>
          <w:sz w:val="24"/>
          <w:szCs w:val="24"/>
          <w:lang w:val="en-GB"/>
        </w:rPr>
        <w:t>are in line with</w:t>
      </w:r>
      <w:r w:rsidR="00FF391D" w:rsidRPr="00421139">
        <w:rPr>
          <w:rFonts w:ascii="Times New Roman" w:hAnsi="Times New Roman" w:cs="Times New Roman"/>
          <w:sz w:val="24"/>
          <w:szCs w:val="24"/>
          <w:lang w:val="en-GB"/>
        </w:rPr>
        <w:t xml:space="preserve"> previous studies</w:t>
      </w:r>
      <w:r w:rsidR="00190738">
        <w:rPr>
          <w:rFonts w:ascii="Times New Roman" w:hAnsi="Times New Roman" w:cs="Times New Roman"/>
          <w:sz w:val="24"/>
          <w:szCs w:val="24"/>
          <w:lang w:val="en-GB"/>
        </w:rPr>
        <w:t xml:space="preserve"> analysing the linear effect of undervaluation on growth</w:t>
      </w:r>
      <w:r w:rsidR="00FF391D" w:rsidRPr="00421139">
        <w:rPr>
          <w:rFonts w:ascii="Times New Roman" w:hAnsi="Times New Roman" w:cs="Times New Roman"/>
          <w:sz w:val="24"/>
          <w:szCs w:val="24"/>
          <w:lang w:val="en-GB"/>
        </w:rPr>
        <w:t xml:space="preserve">, as discussed in Section 2. </w:t>
      </w:r>
      <w:r w:rsidR="00190738">
        <w:rPr>
          <w:rFonts w:ascii="Times New Roman" w:hAnsi="Times New Roman" w:cs="Times New Roman"/>
          <w:sz w:val="24"/>
          <w:szCs w:val="24"/>
          <w:lang w:val="en-GB"/>
        </w:rPr>
        <w:t xml:space="preserve">In other words, our estimates suggest that </w:t>
      </w:r>
      <w:r w:rsidR="00FF391D" w:rsidRPr="00421139">
        <w:rPr>
          <w:rFonts w:ascii="Times New Roman" w:hAnsi="Times New Roman" w:cs="Times New Roman"/>
          <w:sz w:val="24"/>
          <w:szCs w:val="24"/>
          <w:lang w:val="en-GB"/>
        </w:rPr>
        <w:t>RER undervaluation boost</w:t>
      </w:r>
      <w:r w:rsidR="00526F7F">
        <w:rPr>
          <w:rFonts w:ascii="Times New Roman" w:hAnsi="Times New Roman" w:cs="Times New Roman"/>
          <w:sz w:val="24"/>
          <w:szCs w:val="24"/>
          <w:lang w:val="en-GB"/>
        </w:rPr>
        <w:t>s</w:t>
      </w:r>
      <w:r w:rsidR="00FF391D" w:rsidRPr="00421139">
        <w:rPr>
          <w:rFonts w:ascii="Times New Roman" w:hAnsi="Times New Roman" w:cs="Times New Roman"/>
          <w:sz w:val="24"/>
          <w:szCs w:val="24"/>
          <w:lang w:val="en-GB"/>
        </w:rPr>
        <w:t xml:space="preserve"> income growth. </w:t>
      </w:r>
    </w:p>
    <w:p w:rsidR="00FF391D" w:rsidRPr="00F54CFA" w:rsidRDefault="00365F66" w:rsidP="00EA30A5">
      <w:pPr>
        <w:pStyle w:val="PargrafodaLista"/>
        <w:numPr>
          <w:ilvl w:val="1"/>
          <w:numId w:val="11"/>
        </w:numPr>
        <w:spacing w:line="240" w:lineRule="auto"/>
        <w:jc w:val="both"/>
        <w:rPr>
          <w:rFonts w:ascii="Times New Roman" w:hAnsi="Times New Roman" w:cs="Times New Roman"/>
          <w:b/>
          <w:i/>
          <w:sz w:val="24"/>
          <w:szCs w:val="24"/>
          <w:lang w:val="en-GB"/>
        </w:rPr>
      </w:pPr>
      <w:r>
        <w:rPr>
          <w:rFonts w:ascii="Times New Roman" w:hAnsi="Times New Roman" w:cs="Times New Roman"/>
          <w:b/>
          <w:i/>
          <w:sz w:val="24"/>
          <w:szCs w:val="24"/>
          <w:lang w:val="en-GB"/>
        </w:rPr>
        <w:t xml:space="preserve"> </w:t>
      </w:r>
      <w:r w:rsidR="00FF391D" w:rsidRPr="00F54CFA">
        <w:rPr>
          <w:rFonts w:ascii="Times New Roman" w:hAnsi="Times New Roman" w:cs="Times New Roman"/>
          <w:b/>
          <w:i/>
          <w:sz w:val="24"/>
          <w:szCs w:val="24"/>
          <w:lang w:val="en-GB"/>
        </w:rPr>
        <w:t xml:space="preserve">Heterogeneous analysis </w:t>
      </w:r>
    </w:p>
    <w:p w:rsidR="006C7FEF" w:rsidRDefault="00FF391D" w:rsidP="00EA30A5">
      <w:pPr>
        <w:spacing w:line="240" w:lineRule="auto"/>
        <w:jc w:val="both"/>
        <w:rPr>
          <w:rFonts w:ascii="Times New Roman" w:hAnsi="Times New Roman" w:cs="Times New Roman"/>
          <w:sz w:val="24"/>
          <w:szCs w:val="24"/>
          <w:lang w:val="en-GB"/>
        </w:rPr>
      </w:pPr>
      <w:r w:rsidRPr="00421139">
        <w:rPr>
          <w:rFonts w:ascii="Times New Roman" w:hAnsi="Times New Roman" w:cs="Times New Roman"/>
          <w:sz w:val="24"/>
          <w:szCs w:val="24"/>
          <w:lang w:val="en-GB"/>
        </w:rPr>
        <w:t xml:space="preserve">Table </w:t>
      </w:r>
      <w:r w:rsidR="00402A71">
        <w:rPr>
          <w:rFonts w:ascii="Times New Roman" w:hAnsi="Times New Roman" w:cs="Times New Roman"/>
          <w:sz w:val="24"/>
          <w:szCs w:val="24"/>
          <w:lang w:val="en-GB"/>
        </w:rPr>
        <w:t>2</w:t>
      </w:r>
      <w:r w:rsidRPr="00421139">
        <w:rPr>
          <w:rFonts w:ascii="Times New Roman" w:hAnsi="Times New Roman" w:cs="Times New Roman"/>
          <w:sz w:val="24"/>
          <w:szCs w:val="24"/>
          <w:lang w:val="en-GB"/>
        </w:rPr>
        <w:t xml:space="preserve"> presents the results </w:t>
      </w:r>
      <w:r w:rsidR="00402A71">
        <w:rPr>
          <w:rFonts w:ascii="Times New Roman" w:hAnsi="Times New Roman" w:cs="Times New Roman"/>
          <w:sz w:val="24"/>
          <w:szCs w:val="24"/>
          <w:lang w:val="en-GB"/>
        </w:rPr>
        <w:t xml:space="preserve">of the heterogeneous analysis for the </w:t>
      </w:r>
      <w:r w:rsidRPr="00421139">
        <w:rPr>
          <w:rFonts w:ascii="Times New Roman" w:hAnsi="Times New Roman" w:cs="Times New Roman"/>
          <w:sz w:val="24"/>
          <w:szCs w:val="24"/>
          <w:lang w:val="en-GB"/>
        </w:rPr>
        <w:t>impact o</w:t>
      </w:r>
      <w:r w:rsidR="00402A71">
        <w:rPr>
          <w:rFonts w:ascii="Times New Roman" w:hAnsi="Times New Roman" w:cs="Times New Roman"/>
          <w:sz w:val="24"/>
          <w:szCs w:val="24"/>
          <w:lang w:val="en-GB"/>
        </w:rPr>
        <w:t>f undervaluation on growth</w:t>
      </w:r>
      <w:r w:rsidRPr="00421139">
        <w:rPr>
          <w:rFonts w:ascii="Times New Roman" w:hAnsi="Times New Roman" w:cs="Times New Roman"/>
          <w:sz w:val="24"/>
          <w:szCs w:val="24"/>
          <w:lang w:val="en-GB"/>
        </w:rPr>
        <w:t xml:space="preserve">. </w:t>
      </w:r>
      <w:r w:rsidR="00402A71">
        <w:rPr>
          <w:rFonts w:ascii="Times New Roman" w:hAnsi="Times New Roman" w:cs="Times New Roman"/>
          <w:sz w:val="24"/>
          <w:szCs w:val="24"/>
          <w:lang w:val="en-GB"/>
        </w:rPr>
        <w:t xml:space="preserve">Unlike </w:t>
      </w:r>
      <w:r w:rsidRPr="00421139">
        <w:rPr>
          <w:rFonts w:ascii="Times New Roman" w:hAnsi="Times New Roman" w:cs="Times New Roman"/>
          <w:sz w:val="24"/>
          <w:szCs w:val="24"/>
          <w:lang w:val="en-GB"/>
        </w:rPr>
        <w:t xml:space="preserve">the </w:t>
      </w:r>
      <w:r w:rsidR="00647FF7" w:rsidRPr="00421139">
        <w:rPr>
          <w:rFonts w:ascii="Times New Roman" w:hAnsi="Times New Roman" w:cs="Times New Roman"/>
          <w:sz w:val="24"/>
          <w:szCs w:val="24"/>
          <w:lang w:val="en-GB"/>
        </w:rPr>
        <w:t xml:space="preserve">results </w:t>
      </w:r>
      <w:r w:rsidR="00402A71">
        <w:rPr>
          <w:rFonts w:ascii="Times New Roman" w:hAnsi="Times New Roman" w:cs="Times New Roman"/>
          <w:sz w:val="24"/>
          <w:szCs w:val="24"/>
          <w:lang w:val="en-GB"/>
        </w:rPr>
        <w:t>from the previous</w:t>
      </w:r>
      <w:r w:rsidR="00647FF7" w:rsidRPr="00421139">
        <w:rPr>
          <w:rFonts w:ascii="Times New Roman" w:hAnsi="Times New Roman" w:cs="Times New Roman"/>
          <w:sz w:val="24"/>
          <w:szCs w:val="24"/>
          <w:lang w:val="en-GB"/>
        </w:rPr>
        <w:t xml:space="preserve"> subsection, here</w:t>
      </w:r>
      <w:r w:rsidR="00402A71">
        <w:rPr>
          <w:rFonts w:ascii="Times New Roman" w:hAnsi="Times New Roman" w:cs="Times New Roman"/>
          <w:sz w:val="24"/>
          <w:szCs w:val="24"/>
          <w:lang w:val="en-GB"/>
        </w:rPr>
        <w:t xml:space="preserve">in we focus not on the absolute, positive </w:t>
      </w:r>
      <w:r w:rsidR="00647FF7" w:rsidRPr="00421139">
        <w:rPr>
          <w:rFonts w:ascii="Times New Roman" w:hAnsi="Times New Roman" w:cs="Times New Roman"/>
          <w:sz w:val="24"/>
          <w:szCs w:val="24"/>
          <w:lang w:val="en-GB"/>
        </w:rPr>
        <w:t>impact</w:t>
      </w:r>
      <w:r w:rsidR="00402A71">
        <w:rPr>
          <w:rFonts w:ascii="Times New Roman" w:hAnsi="Times New Roman" w:cs="Times New Roman"/>
          <w:sz w:val="24"/>
          <w:szCs w:val="24"/>
          <w:lang w:val="en-GB"/>
        </w:rPr>
        <w:t xml:space="preserve"> of devaluation on growth</w:t>
      </w:r>
      <w:r w:rsidR="00647FF7" w:rsidRPr="00421139">
        <w:rPr>
          <w:rFonts w:ascii="Times New Roman" w:hAnsi="Times New Roman" w:cs="Times New Roman"/>
          <w:sz w:val="24"/>
          <w:szCs w:val="24"/>
          <w:lang w:val="en-GB"/>
        </w:rPr>
        <w:t xml:space="preserve"> itself, but </w:t>
      </w:r>
      <w:r w:rsidR="00402A71">
        <w:rPr>
          <w:rFonts w:ascii="Times New Roman" w:hAnsi="Times New Roman" w:cs="Times New Roman"/>
          <w:sz w:val="24"/>
          <w:szCs w:val="24"/>
          <w:lang w:val="en-GB"/>
        </w:rPr>
        <w:t xml:space="preserve">on changes in the magnitude or effectiveness of expansionary devaluation as the </w:t>
      </w:r>
      <w:r w:rsidR="00DC1747">
        <w:rPr>
          <w:rFonts w:ascii="Times New Roman" w:hAnsi="Times New Roman" w:cs="Times New Roman"/>
          <w:sz w:val="24"/>
          <w:szCs w:val="24"/>
          <w:lang w:val="en-GB"/>
        </w:rPr>
        <w:t>economies</w:t>
      </w:r>
      <w:r w:rsidR="00402A71">
        <w:rPr>
          <w:rFonts w:ascii="Times New Roman" w:hAnsi="Times New Roman" w:cs="Times New Roman"/>
          <w:sz w:val="24"/>
          <w:szCs w:val="24"/>
          <w:lang w:val="en-GB"/>
        </w:rPr>
        <w:t xml:space="preserve"> climb up the ladder of technological development.</w:t>
      </w:r>
    </w:p>
    <w:p w:rsidR="002C62B3" w:rsidRDefault="00DC1747"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As shown</w:t>
      </w:r>
      <w:r w:rsidR="007E67B2">
        <w:rPr>
          <w:rFonts w:ascii="Times New Roman" w:hAnsi="Times New Roman" w:cs="Times New Roman"/>
          <w:sz w:val="24"/>
          <w:szCs w:val="24"/>
          <w:lang w:val="en-GB"/>
        </w:rPr>
        <w:t xml:space="preserve"> </w:t>
      </w:r>
      <w:r>
        <w:rPr>
          <w:rFonts w:ascii="Times New Roman" w:hAnsi="Times New Roman" w:cs="Times New Roman"/>
          <w:sz w:val="24"/>
          <w:szCs w:val="24"/>
          <w:lang w:val="en-GB"/>
        </w:rPr>
        <w:t>in</w:t>
      </w:r>
      <w:r w:rsidR="00647FF7" w:rsidRPr="00421139">
        <w:rPr>
          <w:rFonts w:ascii="Times New Roman" w:hAnsi="Times New Roman" w:cs="Times New Roman"/>
          <w:sz w:val="24"/>
          <w:szCs w:val="24"/>
          <w:lang w:val="en-GB"/>
        </w:rPr>
        <w:t xml:space="preserve"> </w:t>
      </w:r>
      <w:r>
        <w:rPr>
          <w:rFonts w:ascii="Times New Roman" w:hAnsi="Times New Roman" w:cs="Times New Roman"/>
          <w:sz w:val="24"/>
          <w:szCs w:val="24"/>
          <w:lang w:val="en-GB"/>
        </w:rPr>
        <w:t>T</w:t>
      </w:r>
      <w:r w:rsidR="00647FF7" w:rsidRPr="00421139">
        <w:rPr>
          <w:rFonts w:ascii="Times New Roman" w:hAnsi="Times New Roman" w:cs="Times New Roman"/>
          <w:sz w:val="24"/>
          <w:szCs w:val="24"/>
          <w:lang w:val="en-GB"/>
        </w:rPr>
        <w:t>able</w:t>
      </w:r>
      <w:r>
        <w:rPr>
          <w:rFonts w:ascii="Times New Roman" w:hAnsi="Times New Roman" w:cs="Times New Roman"/>
          <w:sz w:val="24"/>
          <w:szCs w:val="24"/>
          <w:lang w:val="en-GB"/>
        </w:rPr>
        <w:t xml:space="preserve"> </w:t>
      </w:r>
      <w:r w:rsidR="001D2DA0">
        <w:rPr>
          <w:rFonts w:ascii="Times New Roman" w:hAnsi="Times New Roman" w:cs="Times New Roman"/>
          <w:sz w:val="24"/>
          <w:szCs w:val="24"/>
          <w:lang w:val="en-GB"/>
        </w:rPr>
        <w:t>2</w:t>
      </w:r>
      <w:r>
        <w:rPr>
          <w:rFonts w:ascii="Times New Roman" w:hAnsi="Times New Roman" w:cs="Times New Roman"/>
          <w:sz w:val="24"/>
          <w:szCs w:val="24"/>
          <w:lang w:val="en-GB"/>
        </w:rPr>
        <w:t xml:space="preserve"> below</w:t>
      </w:r>
      <w:r w:rsidR="00647FF7" w:rsidRPr="00421139">
        <w:rPr>
          <w:rFonts w:ascii="Times New Roman" w:hAnsi="Times New Roman" w:cs="Times New Roman"/>
          <w:sz w:val="24"/>
          <w:szCs w:val="24"/>
          <w:lang w:val="en-GB"/>
        </w:rPr>
        <w:t xml:space="preserve">, </w:t>
      </w:r>
      <w:r>
        <w:rPr>
          <w:rFonts w:ascii="Times New Roman" w:hAnsi="Times New Roman" w:cs="Times New Roman"/>
          <w:sz w:val="24"/>
          <w:szCs w:val="24"/>
          <w:lang w:val="en-GB"/>
        </w:rPr>
        <w:t>in the first model</w:t>
      </w:r>
      <w:r w:rsidR="00DA00C1" w:rsidRPr="00421139">
        <w:rPr>
          <w:rFonts w:ascii="Times New Roman" w:hAnsi="Times New Roman" w:cs="Times New Roman"/>
          <w:sz w:val="24"/>
          <w:szCs w:val="24"/>
          <w:lang w:val="en-GB"/>
        </w:rPr>
        <w:t xml:space="preserve"> (</w:t>
      </w:r>
      <w:r w:rsidR="006C72A2" w:rsidRPr="00421139">
        <w:rPr>
          <w:rFonts w:ascii="Times New Roman" w:hAnsi="Times New Roman" w:cs="Times New Roman"/>
          <w:sz w:val="24"/>
          <w:szCs w:val="24"/>
          <w:lang w:val="en-GB"/>
        </w:rPr>
        <w:t>which considers only heterogeneity from technological gap</w:t>
      </w:r>
      <w:r w:rsidR="00DA00C1" w:rsidRPr="00421139">
        <w:rPr>
          <w:rFonts w:ascii="Times New Roman" w:hAnsi="Times New Roman" w:cs="Times New Roman"/>
          <w:sz w:val="24"/>
          <w:szCs w:val="24"/>
          <w:lang w:val="en-GB"/>
        </w:rPr>
        <w:t>),</w:t>
      </w:r>
      <w:r>
        <w:rPr>
          <w:rFonts w:ascii="Times New Roman" w:hAnsi="Times New Roman" w:cs="Times New Roman"/>
          <w:sz w:val="24"/>
          <w:szCs w:val="24"/>
          <w:lang w:val="en-GB"/>
        </w:rPr>
        <w:t xml:space="preserve"> the </w:t>
      </w:r>
      <w:r w:rsidR="00076FD6">
        <w:rPr>
          <w:rFonts w:ascii="Times New Roman" w:hAnsi="Times New Roman" w:cs="Times New Roman"/>
          <w:sz w:val="24"/>
          <w:szCs w:val="24"/>
          <w:lang w:val="en-GB"/>
        </w:rPr>
        <w:t xml:space="preserve">partial effect </w:t>
      </w:r>
      <w:r>
        <w:rPr>
          <w:rFonts w:ascii="Times New Roman" w:hAnsi="Times New Roman" w:cs="Times New Roman"/>
          <w:sz w:val="24"/>
          <w:szCs w:val="24"/>
          <w:lang w:val="en-GB"/>
        </w:rPr>
        <w:t xml:space="preserve">of </w:t>
      </w:r>
      <w:r w:rsidR="006C72A2" w:rsidRPr="00421139">
        <w:rPr>
          <w:rFonts w:ascii="Times New Roman" w:hAnsi="Times New Roman" w:cs="Times New Roman"/>
          <w:sz w:val="24"/>
          <w:szCs w:val="24"/>
          <w:lang w:val="en-GB"/>
        </w:rPr>
        <w:t>undervaluation on growth is positive</w:t>
      </w:r>
      <w:r w:rsidR="00076FD6">
        <w:rPr>
          <w:rFonts w:ascii="Times New Roman" w:hAnsi="Times New Roman" w:cs="Times New Roman"/>
          <w:sz w:val="24"/>
          <w:szCs w:val="24"/>
          <w:lang w:val="en-GB"/>
        </w:rPr>
        <w:t xml:space="preserve"> (0.00927) and significant at the 0.10 level</w:t>
      </w:r>
      <w:r w:rsidR="00DA00C1" w:rsidRPr="00421139">
        <w:rPr>
          <w:rFonts w:ascii="Times New Roman" w:hAnsi="Times New Roman" w:cs="Times New Roman"/>
          <w:sz w:val="24"/>
          <w:szCs w:val="24"/>
          <w:lang w:val="en-GB"/>
        </w:rPr>
        <w:t>,</w:t>
      </w:r>
      <w:r w:rsidR="00076FD6">
        <w:rPr>
          <w:rFonts w:ascii="Times New Roman" w:hAnsi="Times New Roman" w:cs="Times New Roman"/>
          <w:sz w:val="24"/>
          <w:szCs w:val="24"/>
          <w:lang w:val="en-GB"/>
        </w:rPr>
        <w:t xml:space="preserve"> whereas</w:t>
      </w:r>
      <w:r w:rsidR="006C72A2" w:rsidRPr="00421139">
        <w:rPr>
          <w:rFonts w:ascii="Times New Roman" w:hAnsi="Times New Roman" w:cs="Times New Roman"/>
          <w:sz w:val="24"/>
          <w:szCs w:val="24"/>
          <w:lang w:val="en-GB"/>
        </w:rPr>
        <w:t xml:space="preserve"> </w:t>
      </w:r>
      <w:r w:rsidR="00076FD6">
        <w:rPr>
          <w:rFonts w:ascii="Times New Roman" w:hAnsi="Times New Roman" w:cs="Times New Roman"/>
          <w:sz w:val="24"/>
          <w:szCs w:val="24"/>
          <w:lang w:val="en-GB"/>
        </w:rPr>
        <w:t xml:space="preserve">the coefficient of the interaction between </w:t>
      </w:r>
      <m:oMath>
        <m:r>
          <w:rPr>
            <w:rFonts w:ascii="Cambria Math" w:hAnsi="Cambria Math" w:cs="Times New Roman"/>
            <w:sz w:val="24"/>
            <w:szCs w:val="24"/>
            <w:lang w:val="en-GB"/>
          </w:rPr>
          <m:t>UNDERV</m:t>
        </m:r>
      </m:oMath>
      <w:r w:rsidR="00076FD6">
        <w:rPr>
          <w:rFonts w:ascii="Times New Roman" w:hAnsi="Times New Roman" w:cs="Times New Roman"/>
          <w:sz w:val="24"/>
          <w:szCs w:val="24"/>
          <w:lang w:val="en-GB"/>
        </w:rPr>
        <w:t xml:space="preserve"> and </w:t>
      </w:r>
      <m:oMath>
        <m:r>
          <w:rPr>
            <w:rFonts w:ascii="Cambria Math" w:hAnsi="Cambria Math" w:cs="Times New Roman"/>
            <w:sz w:val="24"/>
            <w:szCs w:val="24"/>
            <w:lang w:val="en-GB"/>
          </w:rPr>
          <m:t>GAP</m:t>
        </m:r>
      </m:oMath>
      <w:r w:rsidR="00076FD6">
        <w:rPr>
          <w:rFonts w:ascii="Times New Roman" w:hAnsi="Times New Roman" w:cs="Times New Roman"/>
          <w:sz w:val="24"/>
          <w:szCs w:val="24"/>
          <w:lang w:val="en-GB"/>
        </w:rPr>
        <w:t xml:space="preserve"> is not statistically significant</w:t>
      </w:r>
      <w:r w:rsidR="00417689" w:rsidRPr="00421139">
        <w:rPr>
          <w:rFonts w:ascii="Times New Roman" w:hAnsi="Times New Roman" w:cs="Times New Roman"/>
          <w:sz w:val="24"/>
          <w:szCs w:val="24"/>
          <w:lang w:val="en-GB"/>
        </w:rPr>
        <w:t>.</w:t>
      </w:r>
      <w:r w:rsidR="00281165">
        <w:rPr>
          <w:rFonts w:ascii="Times New Roman" w:hAnsi="Times New Roman" w:cs="Times New Roman"/>
          <w:sz w:val="24"/>
          <w:szCs w:val="24"/>
          <w:lang w:val="en-GB"/>
        </w:rPr>
        <w:t xml:space="preserve"> Further, the </w:t>
      </w:r>
      <w:r w:rsidR="00281165" w:rsidRPr="00190738">
        <w:rPr>
          <w:rFonts w:ascii="Times New Roman" w:hAnsi="Times New Roman" w:cs="Times New Roman"/>
          <w:sz w:val="24"/>
          <w:szCs w:val="24"/>
        </w:rPr>
        <w:t xml:space="preserve">Hansen test </w:t>
      </w:r>
      <w:r w:rsidR="00281165" w:rsidRPr="00190738">
        <w:rPr>
          <w:rFonts w:ascii="Times New Roman" w:hAnsi="Times New Roman" w:cs="Times New Roman"/>
          <w:i/>
          <w:iCs/>
          <w:sz w:val="24"/>
          <w:szCs w:val="24"/>
        </w:rPr>
        <w:t>p</w:t>
      </w:r>
      <w:r w:rsidR="00281165" w:rsidRPr="00190738">
        <w:rPr>
          <w:rFonts w:ascii="Times New Roman" w:hAnsi="Times New Roman" w:cs="Times New Roman"/>
          <w:sz w:val="24"/>
          <w:szCs w:val="24"/>
        </w:rPr>
        <w:t>-value</w:t>
      </w:r>
      <w:r w:rsidR="00281165">
        <w:rPr>
          <w:rFonts w:ascii="Times New Roman" w:hAnsi="Times New Roman" w:cs="Times New Roman"/>
          <w:sz w:val="24"/>
          <w:szCs w:val="24"/>
        </w:rPr>
        <w:t xml:space="preserve"> of 0.08 suggests the validity of the instruments used.</w:t>
      </w:r>
    </w:p>
    <w:p w:rsidR="00FF391D" w:rsidRDefault="002C62B3"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Based on equations (7) and (9) it is possible to estimate the long-term impact of a RER undervaluation on growth according to countries’ technological gap and outward-orientation. </w:t>
      </w:r>
      <w:r w:rsidR="00A7193E" w:rsidRPr="00D42BF7">
        <w:rPr>
          <w:rFonts w:ascii="Times New Roman" w:hAnsi="Times New Roman" w:cs="Times New Roman"/>
          <w:sz w:val="24"/>
          <w:szCs w:val="24"/>
          <w:lang w:val="en-GB"/>
        </w:rPr>
        <w:t>According to the first estimation, f</w:t>
      </w:r>
      <w:r w:rsidR="00417689" w:rsidRPr="00D42BF7">
        <w:rPr>
          <w:rFonts w:ascii="Times New Roman" w:hAnsi="Times New Roman" w:cs="Times New Roman"/>
          <w:sz w:val="24"/>
          <w:szCs w:val="24"/>
          <w:lang w:val="en-GB"/>
        </w:rPr>
        <w:t xml:space="preserve">or a country </w:t>
      </w:r>
      <w:r w:rsidR="00D42BF7" w:rsidRPr="00D42BF7">
        <w:rPr>
          <w:rFonts w:ascii="Times New Roman" w:hAnsi="Times New Roman" w:cs="Times New Roman"/>
          <w:sz w:val="24"/>
          <w:szCs w:val="24"/>
          <w:lang w:val="en-GB"/>
        </w:rPr>
        <w:t>with</w:t>
      </w:r>
      <w:r w:rsidR="00417689" w:rsidRPr="00D42BF7">
        <w:rPr>
          <w:rFonts w:ascii="Times New Roman" w:hAnsi="Times New Roman" w:cs="Times New Roman"/>
          <w:sz w:val="24"/>
          <w:szCs w:val="24"/>
          <w:lang w:val="en-GB"/>
        </w:rPr>
        <w:t xml:space="preserve"> the same</w:t>
      </w:r>
      <w:r w:rsidR="00D42BF7" w:rsidRPr="00D42BF7">
        <w:rPr>
          <w:rFonts w:ascii="Times New Roman" w:hAnsi="Times New Roman" w:cs="Times New Roman"/>
          <w:sz w:val="24"/>
          <w:szCs w:val="24"/>
          <w:lang w:val="en-GB"/>
        </w:rPr>
        <w:t xml:space="preserve"> level of</w:t>
      </w:r>
      <w:r w:rsidR="00417689" w:rsidRPr="00D42BF7">
        <w:rPr>
          <w:rFonts w:ascii="Times New Roman" w:hAnsi="Times New Roman" w:cs="Times New Roman"/>
          <w:sz w:val="24"/>
          <w:szCs w:val="24"/>
          <w:lang w:val="en-GB"/>
        </w:rPr>
        <w:t xml:space="preserve"> productivity</w:t>
      </w:r>
      <w:r w:rsidR="00D42BF7" w:rsidRPr="00D42BF7">
        <w:rPr>
          <w:rFonts w:ascii="Times New Roman" w:hAnsi="Times New Roman" w:cs="Times New Roman"/>
          <w:sz w:val="24"/>
          <w:szCs w:val="24"/>
          <w:lang w:val="en-GB"/>
        </w:rPr>
        <w:t xml:space="preserve"> of the technological leader (in this case, </w:t>
      </w:r>
      <w:r w:rsidR="00417689" w:rsidRPr="00D42BF7">
        <w:rPr>
          <w:rFonts w:ascii="Times New Roman" w:hAnsi="Times New Roman" w:cs="Times New Roman"/>
          <w:sz w:val="24"/>
          <w:szCs w:val="24"/>
          <w:lang w:val="en-GB"/>
        </w:rPr>
        <w:t>the U.S.</w:t>
      </w:r>
      <w:r w:rsidR="00D42BF7" w:rsidRPr="00D42BF7">
        <w:rPr>
          <w:rFonts w:ascii="Times New Roman" w:hAnsi="Times New Roman" w:cs="Times New Roman"/>
          <w:sz w:val="24"/>
          <w:szCs w:val="24"/>
          <w:lang w:val="en-GB"/>
        </w:rPr>
        <w:t>)</w:t>
      </w:r>
      <w:r w:rsidR="00417689" w:rsidRPr="00D42BF7">
        <w:rPr>
          <w:rFonts w:ascii="Times New Roman" w:hAnsi="Times New Roman" w:cs="Times New Roman"/>
          <w:color w:val="000000"/>
          <w:lang w:val="en-GB"/>
        </w:rPr>
        <w:t xml:space="preserve">, </w:t>
      </w:r>
      <w:r w:rsidR="00417689" w:rsidRPr="00D42BF7">
        <w:rPr>
          <w:rFonts w:ascii="Times New Roman" w:hAnsi="Times New Roman" w:cs="Times New Roman"/>
          <w:sz w:val="24"/>
          <w:szCs w:val="24"/>
          <w:lang w:val="en-GB"/>
        </w:rPr>
        <w:t xml:space="preserve">the long-term impact of undervaluation </w:t>
      </w:r>
      <w:r w:rsidR="00FF72B9" w:rsidRPr="00D42BF7">
        <w:rPr>
          <w:rFonts w:ascii="Times New Roman" w:hAnsi="Times New Roman" w:cs="Times New Roman"/>
          <w:sz w:val="24"/>
          <w:szCs w:val="24"/>
          <w:lang w:val="en-GB"/>
        </w:rPr>
        <w:t xml:space="preserve">of 10% </w:t>
      </w:r>
      <w:r w:rsidR="00417689" w:rsidRPr="00D42BF7">
        <w:rPr>
          <w:rFonts w:ascii="Times New Roman" w:hAnsi="Times New Roman" w:cs="Times New Roman"/>
          <w:sz w:val="24"/>
          <w:szCs w:val="24"/>
          <w:lang w:val="en-GB"/>
        </w:rPr>
        <w:t xml:space="preserve">on annual growth rate is </w:t>
      </w:r>
      <w:r w:rsidR="00FF72B9" w:rsidRPr="00D42BF7">
        <w:rPr>
          <w:rFonts w:ascii="Times New Roman" w:hAnsi="Times New Roman" w:cs="Times New Roman"/>
          <w:sz w:val="24"/>
          <w:szCs w:val="24"/>
          <w:lang w:val="en-GB"/>
        </w:rPr>
        <w:t>0</w:t>
      </w:r>
      <w:r w:rsidR="00417689" w:rsidRPr="00D42BF7">
        <w:rPr>
          <w:rFonts w:ascii="Times New Roman" w:hAnsi="Times New Roman" w:cs="Times New Roman"/>
          <w:sz w:val="24"/>
          <w:szCs w:val="24"/>
          <w:lang w:val="en-GB"/>
        </w:rPr>
        <w:t>.</w:t>
      </w:r>
      <w:r w:rsidR="00FF72B9" w:rsidRPr="00D42BF7">
        <w:rPr>
          <w:rFonts w:ascii="Times New Roman" w:hAnsi="Times New Roman" w:cs="Times New Roman"/>
          <w:sz w:val="24"/>
          <w:szCs w:val="24"/>
          <w:lang w:val="en-GB"/>
        </w:rPr>
        <w:t>1</w:t>
      </w:r>
      <w:r w:rsidR="00417689" w:rsidRPr="00D42BF7">
        <w:rPr>
          <w:rFonts w:ascii="Times New Roman" w:hAnsi="Times New Roman" w:cs="Times New Roman"/>
          <w:sz w:val="24"/>
          <w:szCs w:val="24"/>
          <w:lang w:val="en-GB"/>
        </w:rPr>
        <w:t>13 p.p.</w:t>
      </w:r>
      <w:r w:rsidR="00FF72B9" w:rsidRPr="00D42BF7">
        <w:rPr>
          <w:rFonts w:ascii="Times New Roman" w:hAnsi="Times New Roman" w:cs="Times New Roman"/>
          <w:sz w:val="24"/>
          <w:szCs w:val="24"/>
          <w:lang w:val="en-GB"/>
        </w:rPr>
        <w:t xml:space="preserve"> (the </w:t>
      </w:r>
      <w:r w:rsidR="00D42BF7" w:rsidRPr="00D42BF7">
        <w:rPr>
          <w:rFonts w:ascii="Times New Roman" w:hAnsi="Times New Roman" w:cs="Times New Roman"/>
          <w:sz w:val="24"/>
          <w:szCs w:val="24"/>
          <w:lang w:val="en-GB"/>
        </w:rPr>
        <w:t xml:space="preserve">coefficient </w:t>
      </w:r>
      <m:oMath>
        <m:r>
          <m:rPr>
            <m:sty m:val="p"/>
          </m:rPr>
          <w:rPr>
            <w:rFonts w:ascii="Cambria Math" w:hAnsi="Cambria Math" w:cs="Times New Roman"/>
            <w:sz w:val="24"/>
            <w:szCs w:val="24"/>
            <w:lang w:val="en-GB"/>
          </w:rPr>
          <m:t>b</m:t>
        </m:r>
      </m:oMath>
      <w:r w:rsidR="00A7193E" w:rsidRPr="00D42BF7">
        <w:rPr>
          <w:rFonts w:ascii="Times New Roman" w:hAnsi="Times New Roman" w:cs="Times New Roman"/>
          <w:sz w:val="24"/>
          <w:szCs w:val="24"/>
          <w:lang w:val="en-GB"/>
        </w:rPr>
        <w:t>,</w:t>
      </w:r>
      <w:r w:rsidR="00FF72B9" w:rsidRPr="00D42BF7">
        <w:rPr>
          <w:rFonts w:ascii="Times New Roman" w:hAnsi="Times New Roman" w:cs="Times New Roman"/>
          <w:sz w:val="24"/>
          <w:szCs w:val="24"/>
          <w:lang w:val="en-GB"/>
        </w:rPr>
        <w:t xml:space="preserve"> is obtained </w:t>
      </w:r>
      <w:r w:rsidR="00D42BF7" w:rsidRPr="00D42BF7">
        <w:rPr>
          <w:rFonts w:ascii="Times New Roman" w:hAnsi="Times New Roman" w:cs="Times New Roman"/>
          <w:sz w:val="24"/>
          <w:szCs w:val="24"/>
          <w:lang w:val="en-GB"/>
        </w:rPr>
        <w:t>through the division of</w:t>
      </w:r>
      <w:r w:rsidR="00FF72B9" w:rsidRPr="00D42BF7">
        <w:rPr>
          <w:rFonts w:ascii="Times New Roman" w:hAnsi="Times New Roman" w:cs="Times New Roman"/>
          <w:sz w:val="24"/>
          <w:szCs w:val="24"/>
          <w:lang w:val="en-GB"/>
        </w:rPr>
        <w:t xml:space="preserve"> the coefficient 0.00927 by 1 – 0.182, which is the </w:t>
      </w:r>
      <w:r w:rsidR="00A7193E" w:rsidRPr="00D42BF7">
        <w:rPr>
          <w:rFonts w:ascii="Times New Roman" w:hAnsi="Times New Roman" w:cs="Times New Roman"/>
          <w:sz w:val="24"/>
          <w:szCs w:val="24"/>
          <w:lang w:val="en-GB"/>
        </w:rPr>
        <w:t xml:space="preserve">autoregressive term; in this case, the interaction effect of the GAP is null because </w:t>
      </w:r>
      <m:oMath>
        <m:func>
          <m:funcPr>
            <m:ctrlPr>
              <w:rPr>
                <w:rFonts w:ascii="Cambria Math" w:hAnsi="Cambria Math" w:cs="Times New Roman"/>
                <w:sz w:val="24"/>
                <w:szCs w:val="24"/>
                <w:lang w:val="en-GB"/>
              </w:rPr>
            </m:ctrlPr>
          </m:funcPr>
          <m:fName>
            <m:r>
              <m:rPr>
                <m:sty m:val="p"/>
              </m:rPr>
              <w:rPr>
                <w:rFonts w:ascii="Cambria Math" w:hAnsi="Cambria Math" w:cs="Times New Roman"/>
                <w:sz w:val="24"/>
                <w:szCs w:val="24"/>
                <w:lang w:val="en-GB"/>
              </w:rPr>
              <m:t>ln</m:t>
            </m:r>
          </m:fName>
          <m:e>
            <m:r>
              <m:rPr>
                <m:sty m:val="p"/>
              </m:rPr>
              <w:rPr>
                <w:rFonts w:ascii="Cambria Math" w:hAnsi="Cambria Math" w:cs="Times New Roman"/>
                <w:sz w:val="24"/>
                <w:szCs w:val="24"/>
                <w:lang w:val="en-GB"/>
              </w:rPr>
              <m:t>(GA</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P</m:t>
                </m:r>
              </m:e>
              <m:sub>
                <m:acc>
                  <m:accPr>
                    <m:chr m:val="̅"/>
                    <m:ctrlPr>
                      <w:rPr>
                        <w:rFonts w:ascii="Cambria Math" w:hAnsi="Cambria Math" w:cs="Times New Roman"/>
                        <w:sz w:val="24"/>
                        <w:szCs w:val="24"/>
                        <w:lang w:val="en-GB"/>
                      </w:rPr>
                    </m:ctrlPr>
                  </m:accPr>
                  <m:e>
                    <m:r>
                      <m:rPr>
                        <m:sty m:val="p"/>
                      </m:rPr>
                      <w:rPr>
                        <w:rFonts w:ascii="Cambria Math" w:hAnsi="Cambria Math" w:cs="Times New Roman"/>
                        <w:sz w:val="24"/>
                        <w:szCs w:val="24"/>
                        <w:lang w:val="en-GB"/>
                      </w:rPr>
                      <m:t>t</m:t>
                    </m:r>
                  </m:e>
                </m:acc>
              </m:sub>
            </m:sSub>
            <m:r>
              <m:rPr>
                <m:sty m:val="p"/>
              </m:rPr>
              <w:rPr>
                <w:rFonts w:ascii="Cambria Math" w:hAnsi="Cambria Math" w:cs="Times New Roman"/>
                <w:sz w:val="24"/>
                <w:szCs w:val="24"/>
                <w:lang w:val="en-GB"/>
              </w:rPr>
              <m:t>)</m:t>
            </m:r>
          </m:e>
        </m:func>
        <m:r>
          <m:rPr>
            <m:sty m:val="p"/>
          </m:rPr>
          <w:rPr>
            <w:rFonts w:ascii="Cambria Math" w:hAnsi="Cambria Math" w:cs="Times New Roman"/>
            <w:sz w:val="24"/>
            <w:szCs w:val="24"/>
            <w:lang w:val="en-GB"/>
          </w:rPr>
          <m:t>=0</m:t>
        </m:r>
      </m:oMath>
      <w:r w:rsidR="00A7193E" w:rsidRPr="00D42BF7">
        <w:rPr>
          <w:rFonts w:ascii="Times New Roman" w:hAnsi="Times New Roman" w:cs="Times New Roman"/>
          <w:sz w:val="24"/>
          <w:szCs w:val="24"/>
          <w:lang w:val="en-GB"/>
        </w:rPr>
        <w:t>)</w:t>
      </w:r>
      <w:r w:rsidR="00FF72B9" w:rsidRPr="00D42BF7">
        <w:rPr>
          <w:rFonts w:ascii="Times New Roman" w:hAnsi="Times New Roman" w:cs="Times New Roman"/>
          <w:sz w:val="24"/>
          <w:szCs w:val="24"/>
          <w:lang w:val="en-GB"/>
        </w:rPr>
        <w:t>.</w:t>
      </w:r>
      <w:r w:rsidR="00A7193E" w:rsidRPr="00D42BF7">
        <w:rPr>
          <w:rFonts w:ascii="Times New Roman" w:hAnsi="Times New Roman" w:cs="Times New Roman"/>
          <w:sz w:val="24"/>
          <w:szCs w:val="24"/>
          <w:lang w:val="en-GB"/>
        </w:rPr>
        <w:t xml:space="preserve"> </w:t>
      </w:r>
      <w:r w:rsidR="00FF72B9" w:rsidRPr="00D42BF7">
        <w:rPr>
          <w:rFonts w:ascii="Times New Roman" w:hAnsi="Times New Roman" w:cs="Times New Roman"/>
          <w:sz w:val="24"/>
          <w:szCs w:val="24"/>
          <w:lang w:val="en-GB"/>
        </w:rPr>
        <w:t>H</w:t>
      </w:r>
      <w:r w:rsidR="00417689" w:rsidRPr="00D42BF7">
        <w:rPr>
          <w:rFonts w:ascii="Times New Roman" w:hAnsi="Times New Roman" w:cs="Times New Roman"/>
          <w:sz w:val="24"/>
          <w:szCs w:val="24"/>
          <w:lang w:val="en-GB"/>
        </w:rPr>
        <w:t xml:space="preserve">owever, if the </w:t>
      </w:r>
      <w:r w:rsidR="00D42BF7" w:rsidRPr="00D42BF7">
        <w:rPr>
          <w:rFonts w:ascii="Times New Roman" w:hAnsi="Times New Roman" w:cs="Times New Roman"/>
          <w:sz w:val="24"/>
          <w:szCs w:val="24"/>
          <w:lang w:val="en-GB"/>
        </w:rPr>
        <w:t xml:space="preserve">productivity of the home </w:t>
      </w:r>
      <w:r w:rsidR="00417689" w:rsidRPr="00D42BF7">
        <w:rPr>
          <w:rFonts w:ascii="Times New Roman" w:hAnsi="Times New Roman" w:cs="Times New Roman"/>
          <w:sz w:val="24"/>
          <w:szCs w:val="24"/>
          <w:lang w:val="en-GB"/>
        </w:rPr>
        <w:t xml:space="preserve">country </w:t>
      </w:r>
      <w:r w:rsidR="00D42BF7" w:rsidRPr="00D42BF7">
        <w:rPr>
          <w:rFonts w:ascii="Times New Roman" w:hAnsi="Times New Roman" w:cs="Times New Roman"/>
          <w:sz w:val="24"/>
          <w:szCs w:val="24"/>
          <w:lang w:val="en-GB"/>
        </w:rPr>
        <w:t>is only half of</w:t>
      </w:r>
      <w:r w:rsidR="00417689" w:rsidRPr="00D42BF7">
        <w:rPr>
          <w:rFonts w:ascii="Times New Roman" w:hAnsi="Times New Roman" w:cs="Times New Roman"/>
          <w:sz w:val="24"/>
          <w:szCs w:val="24"/>
          <w:lang w:val="en-GB"/>
        </w:rPr>
        <w:t xml:space="preserve"> the</w:t>
      </w:r>
      <w:r w:rsidR="00D42BF7" w:rsidRPr="00D42BF7">
        <w:rPr>
          <w:rFonts w:ascii="Times New Roman" w:hAnsi="Times New Roman" w:cs="Times New Roman"/>
          <w:sz w:val="24"/>
          <w:szCs w:val="24"/>
          <w:lang w:val="en-GB"/>
        </w:rPr>
        <w:t xml:space="preserve"> productivity of the technological leader</w:t>
      </w:r>
      <w:r w:rsidR="00417689" w:rsidRPr="00D42BF7">
        <w:rPr>
          <w:rFonts w:ascii="Times New Roman" w:hAnsi="Times New Roman" w:cs="Times New Roman"/>
          <w:sz w:val="24"/>
          <w:szCs w:val="24"/>
          <w:lang w:val="en-GB"/>
        </w:rPr>
        <w:t>,</w:t>
      </w:r>
      <w:r w:rsidR="00D42BF7" w:rsidRPr="00D42BF7">
        <w:rPr>
          <w:rFonts w:ascii="Times New Roman" w:hAnsi="Times New Roman" w:cs="Times New Roman"/>
          <w:sz w:val="24"/>
          <w:szCs w:val="24"/>
          <w:lang w:val="en-GB"/>
        </w:rPr>
        <w:t xml:space="preserve"> then the impact of</w:t>
      </w:r>
      <w:r w:rsidR="00417689" w:rsidRPr="00D42BF7">
        <w:rPr>
          <w:rFonts w:ascii="Times New Roman" w:hAnsi="Times New Roman" w:cs="Times New Roman"/>
          <w:sz w:val="24"/>
          <w:szCs w:val="24"/>
          <w:lang w:val="en-GB"/>
        </w:rPr>
        <w:t xml:space="preserve"> </w:t>
      </w:r>
      <w:r w:rsidR="00D42BF7" w:rsidRPr="00D42BF7">
        <w:rPr>
          <w:rFonts w:ascii="Times New Roman" w:hAnsi="Times New Roman" w:cs="Times New Roman"/>
          <w:sz w:val="24"/>
          <w:szCs w:val="24"/>
          <w:lang w:val="en-GB"/>
        </w:rPr>
        <w:t>a 10% devaluation on growth</w:t>
      </w:r>
      <w:r w:rsidR="00A7193E" w:rsidRPr="00D42BF7">
        <w:rPr>
          <w:rFonts w:ascii="Times New Roman" w:hAnsi="Times New Roman" w:cs="Times New Roman"/>
          <w:sz w:val="24"/>
          <w:szCs w:val="24"/>
          <w:lang w:val="en-GB"/>
        </w:rPr>
        <w:t xml:space="preserve"> is</w:t>
      </w:r>
      <w:r w:rsidR="00417689" w:rsidRPr="00D42BF7">
        <w:rPr>
          <w:rFonts w:ascii="Times New Roman" w:hAnsi="Times New Roman" w:cs="Times New Roman"/>
          <w:sz w:val="24"/>
          <w:szCs w:val="24"/>
          <w:lang w:val="en-GB"/>
        </w:rPr>
        <w:t xml:space="preserve"> </w:t>
      </w:r>
      <w:r w:rsidR="00A7193E" w:rsidRPr="00D42BF7">
        <w:rPr>
          <w:rFonts w:ascii="Times New Roman" w:hAnsi="Times New Roman" w:cs="Times New Roman"/>
          <w:sz w:val="24"/>
          <w:szCs w:val="24"/>
          <w:lang w:val="en-GB"/>
        </w:rPr>
        <w:t>0.1</w:t>
      </w:r>
      <w:r w:rsidR="00417689" w:rsidRPr="00D42BF7">
        <w:rPr>
          <w:rFonts w:ascii="Times New Roman" w:hAnsi="Times New Roman" w:cs="Times New Roman"/>
          <w:sz w:val="24"/>
          <w:szCs w:val="24"/>
          <w:lang w:val="en-GB"/>
        </w:rPr>
        <w:t>40 p.p.</w:t>
      </w:r>
      <w:r w:rsidR="00A7193E" w:rsidRPr="00D42BF7">
        <w:rPr>
          <w:rFonts w:ascii="Times New Roman" w:hAnsi="Times New Roman" w:cs="Times New Roman"/>
          <w:sz w:val="24"/>
          <w:szCs w:val="24"/>
          <w:lang w:val="en-GB"/>
        </w:rPr>
        <w:t xml:space="preserve"> rather than 0.113 p.p. as before. In this case, </w:t>
      </w:r>
      <m:oMath>
        <m:r>
          <m:rPr>
            <m:sty m:val="p"/>
          </m:rPr>
          <w:rPr>
            <w:rFonts w:ascii="Cambria Math" w:hAnsi="Cambria Math" w:cs="Times New Roman"/>
            <w:sz w:val="24"/>
            <w:szCs w:val="24"/>
            <w:lang w:val="en-GB"/>
          </w:rPr>
          <m:t>GA</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P</m:t>
            </m:r>
          </m:e>
          <m:sub>
            <m:acc>
              <m:accPr>
                <m:chr m:val="̅"/>
                <m:ctrlPr>
                  <w:rPr>
                    <w:rFonts w:ascii="Cambria Math" w:hAnsi="Cambria Math" w:cs="Times New Roman"/>
                    <w:sz w:val="24"/>
                    <w:szCs w:val="24"/>
                    <w:lang w:val="en-GB"/>
                  </w:rPr>
                </m:ctrlPr>
              </m:accPr>
              <m:e>
                <m:r>
                  <m:rPr>
                    <m:sty m:val="p"/>
                  </m:rPr>
                  <w:rPr>
                    <w:rFonts w:ascii="Cambria Math" w:hAnsi="Cambria Math" w:cs="Times New Roman"/>
                    <w:sz w:val="24"/>
                    <w:szCs w:val="24"/>
                    <w:lang w:val="en-GB"/>
                  </w:rPr>
                  <m:t>t</m:t>
                </m:r>
              </m:e>
            </m:acc>
          </m:sub>
        </m:sSub>
        <m:r>
          <m:rPr>
            <m:sty m:val="p"/>
          </m:rPr>
          <w:rPr>
            <w:rFonts w:ascii="Cambria Math" w:hAnsi="Cambria Math" w:cs="Times New Roman"/>
            <w:sz w:val="24"/>
            <w:szCs w:val="24"/>
            <w:lang w:val="en-GB"/>
          </w:rPr>
          <m:t>=0.5</m:t>
        </m:r>
      </m:oMath>
      <w:r w:rsidR="00A7193E" w:rsidRPr="00D42BF7">
        <w:rPr>
          <w:rFonts w:ascii="Times New Roman" w:hAnsi="Times New Roman" w:cs="Times New Roman"/>
          <w:sz w:val="24"/>
          <w:szCs w:val="24"/>
          <w:lang w:val="en-GB"/>
        </w:rPr>
        <w:t xml:space="preserve"> (</w:t>
      </w:r>
      <m:oMath>
        <m:func>
          <m:funcPr>
            <m:ctrlPr>
              <w:rPr>
                <w:rFonts w:ascii="Cambria Math" w:hAnsi="Cambria Math" w:cs="Times New Roman"/>
                <w:sz w:val="24"/>
                <w:szCs w:val="24"/>
                <w:lang w:val="en-GB"/>
              </w:rPr>
            </m:ctrlPr>
          </m:funcPr>
          <m:fName>
            <m:r>
              <m:rPr>
                <m:sty m:val="p"/>
              </m:rPr>
              <w:rPr>
                <w:rFonts w:ascii="Cambria Math" w:hAnsi="Cambria Math" w:cs="Times New Roman"/>
                <w:sz w:val="24"/>
                <w:szCs w:val="24"/>
                <w:lang w:val="en-GB"/>
              </w:rPr>
              <m:t>ln</m:t>
            </m:r>
          </m:fName>
          <m:e>
            <m:r>
              <m:rPr>
                <m:sty m:val="p"/>
              </m:rPr>
              <w:rPr>
                <w:rFonts w:ascii="Cambria Math" w:hAnsi="Cambria Math" w:cs="Times New Roman"/>
                <w:sz w:val="24"/>
                <w:szCs w:val="24"/>
                <w:lang w:val="en-GB"/>
              </w:rPr>
              <m:t>(GA</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P</m:t>
                </m:r>
              </m:e>
              <m:sub>
                <m:acc>
                  <m:accPr>
                    <m:chr m:val="̅"/>
                    <m:ctrlPr>
                      <w:rPr>
                        <w:rFonts w:ascii="Cambria Math" w:hAnsi="Cambria Math" w:cs="Times New Roman"/>
                        <w:sz w:val="24"/>
                        <w:szCs w:val="24"/>
                        <w:lang w:val="en-GB"/>
                      </w:rPr>
                    </m:ctrlPr>
                  </m:accPr>
                  <m:e>
                    <m:r>
                      <m:rPr>
                        <m:sty m:val="p"/>
                      </m:rPr>
                      <w:rPr>
                        <w:rFonts w:ascii="Cambria Math" w:hAnsi="Cambria Math" w:cs="Times New Roman"/>
                        <w:sz w:val="24"/>
                        <w:szCs w:val="24"/>
                        <w:lang w:val="en-GB"/>
                      </w:rPr>
                      <m:t>t</m:t>
                    </m:r>
                  </m:e>
                </m:acc>
              </m:sub>
            </m:sSub>
            <m:r>
              <m:rPr>
                <m:sty m:val="p"/>
              </m:rPr>
              <w:rPr>
                <w:rFonts w:ascii="Cambria Math" w:hAnsi="Cambria Math" w:cs="Times New Roman"/>
                <w:sz w:val="24"/>
                <w:szCs w:val="24"/>
                <w:lang w:val="en-GB"/>
              </w:rPr>
              <m:t>)</m:t>
            </m:r>
          </m:e>
        </m:func>
        <m:r>
          <m:rPr>
            <m:sty m:val="p"/>
          </m:rPr>
          <w:rPr>
            <w:rFonts w:ascii="Cambria Math" w:hAnsi="Cambria Math" w:cs="Times New Roman"/>
            <w:sz w:val="24"/>
            <w:szCs w:val="24"/>
            <w:lang w:val="en-GB"/>
          </w:rPr>
          <m:t>=-0.693</m:t>
        </m:r>
      </m:oMath>
      <w:r w:rsidR="00A7193E" w:rsidRPr="00D42BF7">
        <w:rPr>
          <w:rFonts w:ascii="Times New Roman" w:hAnsi="Times New Roman" w:cs="Times New Roman"/>
          <w:sz w:val="24"/>
          <w:szCs w:val="24"/>
          <w:lang w:val="en-GB"/>
        </w:rPr>
        <w:t>), which means that the interaction term increases the</w:t>
      </w:r>
      <w:r w:rsidR="00D42BF7" w:rsidRPr="00D42BF7">
        <w:rPr>
          <w:rFonts w:ascii="Times New Roman" w:hAnsi="Times New Roman" w:cs="Times New Roman"/>
          <w:sz w:val="24"/>
          <w:szCs w:val="24"/>
          <w:lang w:val="en-GB"/>
        </w:rPr>
        <w:t xml:space="preserve"> devaluation impact </w:t>
      </w:r>
      <w:r w:rsidR="00A7193E" w:rsidRPr="00D42BF7">
        <w:rPr>
          <w:rFonts w:ascii="Times New Roman" w:hAnsi="Times New Roman" w:cs="Times New Roman"/>
          <w:sz w:val="24"/>
          <w:szCs w:val="24"/>
          <w:lang w:val="en-GB"/>
        </w:rPr>
        <w:t>on growth because the interaction coefficient is negative</w:t>
      </w:r>
      <w:r w:rsidR="00347B09" w:rsidRPr="00D42BF7">
        <w:rPr>
          <w:rFonts w:ascii="Times New Roman" w:hAnsi="Times New Roman" w:cs="Times New Roman"/>
          <w:sz w:val="24"/>
          <w:szCs w:val="24"/>
          <w:lang w:val="en-GB"/>
        </w:rPr>
        <w:t xml:space="preserve"> (-0.00314)</w:t>
      </w:r>
      <w:r w:rsidR="00A7193E" w:rsidRPr="00D42BF7">
        <w:rPr>
          <w:rFonts w:ascii="Times New Roman" w:hAnsi="Times New Roman" w:cs="Times New Roman"/>
          <w:sz w:val="24"/>
          <w:szCs w:val="24"/>
          <w:lang w:val="en-GB"/>
        </w:rPr>
        <w:t>.</w:t>
      </w:r>
      <w:r w:rsidR="00DA00C1" w:rsidRPr="00A7193E">
        <w:rPr>
          <w:rFonts w:ascii="Times New Roman" w:hAnsi="Times New Roman" w:cs="Times New Roman"/>
          <w:sz w:val="24"/>
          <w:szCs w:val="24"/>
          <w:lang w:val="en-GB"/>
        </w:rPr>
        <w:t xml:space="preserve"> This result suggest</w:t>
      </w:r>
      <w:r w:rsidR="00FF72B9" w:rsidRPr="00A7193E">
        <w:rPr>
          <w:rFonts w:ascii="Times New Roman" w:hAnsi="Times New Roman" w:cs="Times New Roman"/>
          <w:sz w:val="24"/>
          <w:szCs w:val="24"/>
          <w:lang w:val="en-GB"/>
        </w:rPr>
        <w:t>s</w:t>
      </w:r>
      <w:r w:rsidR="00D42BF7">
        <w:rPr>
          <w:rFonts w:ascii="Times New Roman" w:hAnsi="Times New Roman" w:cs="Times New Roman"/>
          <w:sz w:val="24"/>
          <w:szCs w:val="24"/>
          <w:lang w:val="en-GB"/>
        </w:rPr>
        <w:t xml:space="preserve"> that the impact of</w:t>
      </w:r>
      <w:r w:rsidR="00A7193E" w:rsidRPr="00A7193E">
        <w:rPr>
          <w:rFonts w:ascii="Times New Roman" w:hAnsi="Times New Roman" w:cs="Times New Roman"/>
          <w:sz w:val="24"/>
          <w:szCs w:val="24"/>
          <w:lang w:val="en-GB"/>
        </w:rPr>
        <w:t xml:space="preserve"> RER </w:t>
      </w:r>
      <w:r w:rsidR="00DA00C1" w:rsidRPr="00A7193E">
        <w:rPr>
          <w:rFonts w:ascii="Times New Roman" w:hAnsi="Times New Roman" w:cs="Times New Roman"/>
          <w:sz w:val="24"/>
          <w:szCs w:val="24"/>
          <w:lang w:val="en-GB"/>
        </w:rPr>
        <w:t>undervaluation is greater for low-productivity countries. Nevertheless, this result is not significant at</w:t>
      </w:r>
      <w:r w:rsidR="00347B09">
        <w:rPr>
          <w:rFonts w:ascii="Times New Roman" w:hAnsi="Times New Roman" w:cs="Times New Roman"/>
          <w:sz w:val="24"/>
          <w:szCs w:val="24"/>
          <w:lang w:val="en-GB"/>
        </w:rPr>
        <w:t xml:space="preserve"> the</w:t>
      </w:r>
      <w:r w:rsidR="00DA00C1" w:rsidRPr="00A7193E">
        <w:rPr>
          <w:rFonts w:ascii="Times New Roman" w:hAnsi="Times New Roman" w:cs="Times New Roman"/>
          <w:sz w:val="24"/>
          <w:szCs w:val="24"/>
          <w:lang w:val="en-GB"/>
        </w:rPr>
        <w:t xml:space="preserve"> </w:t>
      </w:r>
      <w:r w:rsidR="00A7193E">
        <w:rPr>
          <w:rFonts w:ascii="Times New Roman" w:hAnsi="Times New Roman" w:cs="Times New Roman"/>
          <w:sz w:val="24"/>
          <w:szCs w:val="24"/>
          <w:lang w:val="en-GB"/>
        </w:rPr>
        <w:t>0.10</w:t>
      </w:r>
      <w:r w:rsidR="00DA00C1" w:rsidRPr="00A7193E">
        <w:rPr>
          <w:rFonts w:ascii="Times New Roman" w:hAnsi="Times New Roman" w:cs="Times New Roman"/>
          <w:sz w:val="24"/>
          <w:szCs w:val="24"/>
          <w:lang w:val="en-GB"/>
        </w:rPr>
        <w:t xml:space="preserve"> level, </w:t>
      </w:r>
      <w:r w:rsidR="00347B09">
        <w:rPr>
          <w:rFonts w:ascii="Times New Roman" w:hAnsi="Times New Roman" w:cs="Times New Roman"/>
          <w:sz w:val="24"/>
          <w:szCs w:val="24"/>
          <w:lang w:val="en-GB"/>
        </w:rPr>
        <w:t>and hence</w:t>
      </w:r>
      <w:r w:rsidR="00DA00C1" w:rsidRPr="00A7193E">
        <w:rPr>
          <w:rFonts w:ascii="Times New Roman" w:hAnsi="Times New Roman" w:cs="Times New Roman"/>
          <w:sz w:val="24"/>
          <w:szCs w:val="24"/>
          <w:lang w:val="en-GB"/>
        </w:rPr>
        <w:t xml:space="preserve"> one cannot conclude it from the first estimation.</w:t>
      </w:r>
      <w:r w:rsidR="00DA00C1" w:rsidRPr="00421139">
        <w:rPr>
          <w:rFonts w:ascii="Times New Roman" w:hAnsi="Times New Roman" w:cs="Times New Roman"/>
          <w:sz w:val="24"/>
          <w:szCs w:val="24"/>
          <w:lang w:val="en-GB"/>
        </w:rPr>
        <w:t xml:space="preserve"> </w:t>
      </w:r>
    </w:p>
    <w:p w:rsidR="000F14F9" w:rsidRPr="00421139" w:rsidRDefault="000F14F9" w:rsidP="00EA30A5">
      <w:pPr>
        <w:spacing w:line="240" w:lineRule="auto"/>
        <w:jc w:val="both"/>
        <w:rPr>
          <w:rFonts w:ascii="Times New Roman" w:hAnsi="Times New Roman" w:cs="Times New Roman"/>
          <w:sz w:val="24"/>
          <w:szCs w:val="24"/>
          <w:lang w:val="en-GB"/>
        </w:rPr>
      </w:pPr>
    </w:p>
    <w:p w:rsidR="00647FF7" w:rsidRPr="005C119F" w:rsidRDefault="00647FF7" w:rsidP="00EA30A5">
      <w:pPr>
        <w:spacing w:after="0" w:line="240" w:lineRule="auto"/>
        <w:jc w:val="center"/>
        <w:rPr>
          <w:rFonts w:ascii="Times New Roman" w:hAnsi="Times New Roman" w:cs="Times New Roman"/>
          <w:b/>
          <w:sz w:val="24"/>
          <w:szCs w:val="24"/>
          <w:lang w:val="en-GB"/>
        </w:rPr>
      </w:pPr>
      <w:r w:rsidRPr="005C119F">
        <w:rPr>
          <w:rFonts w:ascii="Times New Roman" w:hAnsi="Times New Roman" w:cs="Times New Roman"/>
          <w:b/>
          <w:sz w:val="24"/>
          <w:szCs w:val="24"/>
          <w:lang w:val="en-GB"/>
        </w:rPr>
        <w:lastRenderedPageBreak/>
        <w:t xml:space="preserve">Table </w:t>
      </w:r>
      <w:r w:rsidR="001D2DA0">
        <w:rPr>
          <w:rFonts w:ascii="Times New Roman" w:hAnsi="Times New Roman" w:cs="Times New Roman"/>
          <w:b/>
          <w:sz w:val="24"/>
          <w:szCs w:val="24"/>
          <w:lang w:val="en-GB"/>
        </w:rPr>
        <w:t>2</w:t>
      </w:r>
      <w:r w:rsidRPr="005C119F">
        <w:rPr>
          <w:rFonts w:ascii="Times New Roman" w:hAnsi="Times New Roman" w:cs="Times New Roman"/>
          <w:b/>
          <w:sz w:val="24"/>
          <w:szCs w:val="24"/>
          <w:lang w:val="en-GB"/>
        </w:rPr>
        <w:t xml:space="preserve"> – Impact of undervaluation on growth – baseline model</w:t>
      </w:r>
    </w:p>
    <w:tbl>
      <w:tblPr>
        <w:tblW w:w="0" w:type="auto"/>
        <w:jc w:val="center"/>
        <w:tblLook w:val="04A0" w:firstRow="1" w:lastRow="0" w:firstColumn="1" w:lastColumn="0" w:noHBand="0" w:noVBand="1"/>
      </w:tblPr>
      <w:tblGrid>
        <w:gridCol w:w="2857"/>
        <w:gridCol w:w="1477"/>
        <w:gridCol w:w="1477"/>
        <w:gridCol w:w="1477"/>
      </w:tblGrid>
      <w:tr w:rsidR="00647FF7" w:rsidRPr="00421139" w:rsidTr="00647FF7">
        <w:trPr>
          <w:jc w:val="center"/>
        </w:trPr>
        <w:tc>
          <w:tcPr>
            <w:tcW w:w="2857" w:type="dxa"/>
            <w:tcBorders>
              <w:top w:val="single" w:sz="12" w:space="0" w:color="auto"/>
              <w:left w:val="nil"/>
              <w:bottom w:val="single" w:sz="12" w:space="0" w:color="auto"/>
            </w:tcBorders>
            <w:vAlign w:val="bottom"/>
          </w:tcPr>
          <w:p w:rsidR="00647FF7" w:rsidRPr="00421139" w:rsidRDefault="00647FF7" w:rsidP="00EA30A5">
            <w:pPr>
              <w:pStyle w:val="SemEspaamento"/>
              <w:spacing w:line="240" w:lineRule="auto"/>
              <w:jc w:val="center"/>
              <w:rPr>
                <w:color w:val="000000"/>
              </w:rPr>
            </w:pPr>
          </w:p>
        </w:tc>
        <w:tc>
          <w:tcPr>
            <w:tcW w:w="1477" w:type="dxa"/>
            <w:tcBorders>
              <w:top w:val="single" w:sz="12" w:space="0" w:color="auto"/>
              <w:bottom w:val="single" w:sz="12" w:space="0" w:color="auto"/>
            </w:tcBorders>
            <w:vAlign w:val="bottom"/>
          </w:tcPr>
          <w:p w:rsidR="00647FF7" w:rsidRPr="00421139" w:rsidRDefault="00647FF7" w:rsidP="00EA30A5">
            <w:pPr>
              <w:pStyle w:val="SemEspaamento"/>
              <w:spacing w:line="240" w:lineRule="auto"/>
              <w:jc w:val="center"/>
              <w:rPr>
                <w:color w:val="000000"/>
                <w:sz w:val="22"/>
              </w:rPr>
            </w:pPr>
            <w:r w:rsidRPr="00421139">
              <w:rPr>
                <w:color w:val="000000"/>
                <w:sz w:val="22"/>
              </w:rPr>
              <w:t>(</w:t>
            </w:r>
            <w:r w:rsidR="006C72A2" w:rsidRPr="00421139">
              <w:rPr>
                <w:color w:val="000000"/>
                <w:sz w:val="22"/>
              </w:rPr>
              <w:t>1</w:t>
            </w:r>
            <w:r w:rsidRPr="00421139">
              <w:rPr>
                <w:color w:val="000000"/>
                <w:sz w:val="22"/>
              </w:rPr>
              <w:t>)</w:t>
            </w:r>
          </w:p>
          <w:p w:rsidR="00647FF7" w:rsidRPr="00421139" w:rsidRDefault="00647FF7" w:rsidP="00EA30A5">
            <w:pPr>
              <w:pStyle w:val="SemEspaamento"/>
              <w:spacing w:line="240" w:lineRule="auto"/>
              <w:jc w:val="center"/>
              <w:rPr>
                <w:color w:val="000000"/>
              </w:rPr>
            </w:pPr>
            <m:oMathPara>
              <m:oMath>
                <m:r>
                  <w:rPr>
                    <w:rFonts w:ascii="Cambria Math" w:hAnsi="Cambria Math" w:cs="Times New Roman"/>
                    <w:szCs w:val="24"/>
                  </w:rPr>
                  <m:t>growth</m:t>
                </m:r>
              </m:oMath>
            </m:oMathPara>
          </w:p>
        </w:tc>
        <w:tc>
          <w:tcPr>
            <w:tcW w:w="1477" w:type="dxa"/>
            <w:tcBorders>
              <w:top w:val="single" w:sz="12" w:space="0" w:color="auto"/>
              <w:bottom w:val="single" w:sz="12" w:space="0" w:color="auto"/>
            </w:tcBorders>
            <w:vAlign w:val="bottom"/>
          </w:tcPr>
          <w:p w:rsidR="00647FF7" w:rsidRPr="00421139" w:rsidRDefault="00647FF7" w:rsidP="00EA30A5">
            <w:pPr>
              <w:pStyle w:val="SemEspaamento"/>
              <w:spacing w:line="240" w:lineRule="auto"/>
              <w:jc w:val="center"/>
              <w:rPr>
                <w:color w:val="000000"/>
                <w:sz w:val="22"/>
              </w:rPr>
            </w:pPr>
            <w:r w:rsidRPr="00421139">
              <w:rPr>
                <w:color w:val="000000"/>
                <w:sz w:val="22"/>
              </w:rPr>
              <w:t>(</w:t>
            </w:r>
            <w:r w:rsidR="006C72A2" w:rsidRPr="00421139">
              <w:rPr>
                <w:color w:val="000000"/>
                <w:sz w:val="22"/>
              </w:rPr>
              <w:t>2</w:t>
            </w:r>
            <w:r w:rsidRPr="00421139">
              <w:rPr>
                <w:color w:val="000000"/>
                <w:sz w:val="22"/>
              </w:rPr>
              <w:t>)</w:t>
            </w:r>
          </w:p>
          <w:p w:rsidR="00647FF7" w:rsidRPr="00421139" w:rsidRDefault="00647FF7" w:rsidP="00EA30A5">
            <w:pPr>
              <w:pStyle w:val="SemEspaamento"/>
              <w:spacing w:line="240" w:lineRule="auto"/>
              <w:jc w:val="center"/>
              <w:rPr>
                <w:color w:val="000000"/>
              </w:rPr>
            </w:pPr>
            <m:oMathPara>
              <m:oMath>
                <m:r>
                  <w:rPr>
                    <w:rFonts w:ascii="Cambria Math" w:hAnsi="Cambria Math" w:cs="Times New Roman"/>
                    <w:szCs w:val="24"/>
                  </w:rPr>
                  <m:t>growth</m:t>
                </m:r>
              </m:oMath>
            </m:oMathPara>
          </w:p>
        </w:tc>
        <w:tc>
          <w:tcPr>
            <w:tcW w:w="1477" w:type="dxa"/>
            <w:tcBorders>
              <w:top w:val="single" w:sz="12" w:space="0" w:color="auto"/>
              <w:bottom w:val="single" w:sz="12" w:space="0" w:color="auto"/>
            </w:tcBorders>
            <w:vAlign w:val="bottom"/>
          </w:tcPr>
          <w:p w:rsidR="00647FF7" w:rsidRPr="00421139" w:rsidRDefault="00647FF7" w:rsidP="00EA30A5">
            <w:pPr>
              <w:pStyle w:val="SemEspaamento"/>
              <w:spacing w:line="240" w:lineRule="auto"/>
              <w:jc w:val="center"/>
              <w:rPr>
                <w:color w:val="000000"/>
                <w:sz w:val="22"/>
              </w:rPr>
            </w:pPr>
            <w:r w:rsidRPr="00421139">
              <w:rPr>
                <w:color w:val="000000"/>
                <w:sz w:val="22"/>
              </w:rPr>
              <w:t>(</w:t>
            </w:r>
            <w:r w:rsidR="006C72A2" w:rsidRPr="00421139">
              <w:rPr>
                <w:color w:val="000000"/>
                <w:sz w:val="22"/>
              </w:rPr>
              <w:t>3</w:t>
            </w:r>
            <w:r w:rsidRPr="00421139">
              <w:rPr>
                <w:color w:val="000000"/>
                <w:sz w:val="22"/>
              </w:rPr>
              <w:t>)</w:t>
            </w:r>
          </w:p>
          <w:p w:rsidR="00647FF7" w:rsidRPr="00421139" w:rsidRDefault="00647FF7" w:rsidP="00EA30A5">
            <w:pPr>
              <w:pStyle w:val="SemEspaamento"/>
              <w:spacing w:line="240" w:lineRule="auto"/>
              <w:jc w:val="center"/>
              <w:rPr>
                <w:color w:val="000000"/>
              </w:rPr>
            </w:pPr>
            <m:oMathPara>
              <m:oMath>
                <m:r>
                  <w:rPr>
                    <w:rFonts w:ascii="Cambria Math" w:hAnsi="Cambria Math" w:cs="Times New Roman"/>
                    <w:szCs w:val="24"/>
                  </w:rPr>
                  <m:t>growth</m:t>
                </m:r>
              </m:oMath>
            </m:oMathPara>
          </w:p>
        </w:tc>
      </w:tr>
      <w:tr w:rsidR="006C72A2" w:rsidRPr="00421139" w:rsidTr="00647FF7">
        <w:trPr>
          <w:jc w:val="center"/>
        </w:trPr>
        <w:tc>
          <w:tcPr>
            <w:tcW w:w="2857" w:type="dxa"/>
            <w:tcBorders>
              <w:top w:val="single" w:sz="12" w:space="0" w:color="auto"/>
              <w:left w:val="nil"/>
              <w:bottom w:val="nil"/>
            </w:tcBorders>
            <w:vAlign w:val="bottom"/>
          </w:tcPr>
          <w:p w:rsidR="006C72A2" w:rsidRPr="00421139" w:rsidRDefault="006C72A2" w:rsidP="00EA30A5">
            <w:pPr>
              <w:pStyle w:val="SemEspaamento"/>
              <w:spacing w:line="240" w:lineRule="auto"/>
              <w:jc w:val="left"/>
              <w:rPr>
                <w:color w:val="000000"/>
              </w:rPr>
            </w:pPr>
            <m:oMathPara>
              <m:oMath>
                <m:r>
                  <w:rPr>
                    <w:rFonts w:ascii="Cambria Math" w:hAnsi="Cambria Math" w:cs="Times New Roman"/>
                    <w:szCs w:val="24"/>
                  </w:rPr>
                  <m:t>growt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t-1</m:t>
                    </m:r>
                  </m:sub>
                </m:sSub>
              </m:oMath>
            </m:oMathPara>
          </w:p>
        </w:tc>
        <w:tc>
          <w:tcPr>
            <w:tcW w:w="1477" w:type="dxa"/>
            <w:tcBorders>
              <w:top w:val="single" w:sz="12" w:space="0" w:color="auto"/>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0.182*</w:t>
            </w:r>
          </w:p>
        </w:tc>
        <w:tc>
          <w:tcPr>
            <w:tcW w:w="1477" w:type="dxa"/>
            <w:tcBorders>
              <w:top w:val="single" w:sz="12" w:space="0" w:color="auto"/>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0.149</w:t>
            </w:r>
          </w:p>
        </w:tc>
        <w:tc>
          <w:tcPr>
            <w:tcW w:w="1477" w:type="dxa"/>
            <w:tcBorders>
              <w:top w:val="single" w:sz="12" w:space="0" w:color="auto"/>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0.177*</w:t>
            </w:r>
          </w:p>
        </w:tc>
      </w:tr>
      <w:tr w:rsidR="006C72A2" w:rsidRPr="00421139" w:rsidTr="00647FF7">
        <w:trPr>
          <w:jc w:val="center"/>
        </w:trPr>
        <w:tc>
          <w:tcPr>
            <w:tcW w:w="2857" w:type="dxa"/>
            <w:tcBorders>
              <w:top w:val="nil"/>
              <w:left w:val="nil"/>
              <w:bottom w:val="nil"/>
            </w:tcBorders>
            <w:vAlign w:val="bottom"/>
          </w:tcPr>
          <w:p w:rsidR="006C72A2" w:rsidRPr="00421139" w:rsidRDefault="006C72A2" w:rsidP="00EA30A5">
            <w:pPr>
              <w:pStyle w:val="SemEspaamento"/>
              <w:spacing w:line="240" w:lineRule="auto"/>
              <w:jc w:val="left"/>
              <w:rPr>
                <w:color w:val="000000"/>
                <w:sz w:val="22"/>
              </w:rPr>
            </w:pP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(0.0950)</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(0.173)</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(0.0956)</w:t>
            </w:r>
          </w:p>
        </w:tc>
      </w:tr>
      <w:tr w:rsidR="006C72A2" w:rsidRPr="00421139" w:rsidTr="00647FF7">
        <w:trPr>
          <w:jc w:val="center"/>
        </w:trPr>
        <w:tc>
          <w:tcPr>
            <w:tcW w:w="2857" w:type="dxa"/>
            <w:tcBorders>
              <w:top w:val="nil"/>
              <w:left w:val="nil"/>
              <w:bottom w:val="nil"/>
            </w:tcBorders>
            <w:vAlign w:val="bottom"/>
          </w:tcPr>
          <w:p w:rsidR="006C72A2" w:rsidRPr="00421139" w:rsidRDefault="006C72A2" w:rsidP="00EA30A5">
            <w:pPr>
              <w:pStyle w:val="SemEspaamento"/>
              <w:spacing w:line="240" w:lineRule="auto"/>
              <w:jc w:val="left"/>
              <w:rPr>
                <w:color w:val="000000"/>
              </w:rPr>
            </w:pPr>
            <m:oMathPara>
              <m:oMath>
                <m:r>
                  <m:rPr>
                    <m:sty m:val="p"/>
                  </m:rPr>
                  <w:rPr>
                    <w:rFonts w:ascii="Cambria Math" w:hAnsi="Cambria Math" w:cs="Times New Roman"/>
                    <w:szCs w:val="24"/>
                  </w:rPr>
                  <m:t>ln</m:t>
                </m:r>
                <m:r>
                  <w:rPr>
                    <w:rFonts w:ascii="Cambria Math" w:hAnsi="Cambria Math" w:cs="Times New Roman"/>
                    <w:szCs w:val="24"/>
                  </w:rPr>
                  <m:t>(UNDERV)</m:t>
                </m:r>
              </m:oMath>
            </m:oMathPara>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0.00927*</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0.0168***</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-0.00144</w:t>
            </w:r>
          </w:p>
        </w:tc>
      </w:tr>
      <w:tr w:rsidR="006C72A2" w:rsidRPr="00421139" w:rsidTr="00647FF7">
        <w:trPr>
          <w:jc w:val="center"/>
        </w:trPr>
        <w:tc>
          <w:tcPr>
            <w:tcW w:w="2857" w:type="dxa"/>
            <w:tcBorders>
              <w:top w:val="nil"/>
              <w:left w:val="nil"/>
              <w:bottom w:val="nil"/>
            </w:tcBorders>
            <w:vAlign w:val="bottom"/>
          </w:tcPr>
          <w:p w:rsidR="006C72A2" w:rsidRPr="00421139" w:rsidRDefault="006C72A2" w:rsidP="00EA30A5">
            <w:pPr>
              <w:pStyle w:val="SemEspaamento"/>
              <w:spacing w:line="240" w:lineRule="auto"/>
              <w:jc w:val="left"/>
              <w:rPr>
                <w:color w:val="000000"/>
                <w:sz w:val="22"/>
              </w:rPr>
            </w:pP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(0.00547)</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(0.00496)</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(0.00642)</w:t>
            </w:r>
          </w:p>
        </w:tc>
      </w:tr>
      <w:tr w:rsidR="006C72A2" w:rsidRPr="00421139" w:rsidTr="00647FF7">
        <w:trPr>
          <w:jc w:val="center"/>
        </w:trPr>
        <w:tc>
          <w:tcPr>
            <w:tcW w:w="2857" w:type="dxa"/>
            <w:tcBorders>
              <w:top w:val="nil"/>
              <w:left w:val="nil"/>
              <w:bottom w:val="nil"/>
            </w:tcBorders>
            <w:vAlign w:val="bottom"/>
          </w:tcPr>
          <w:p w:rsidR="006C72A2" w:rsidRPr="00421139" w:rsidRDefault="006C72A2" w:rsidP="00EA30A5">
            <w:pPr>
              <w:pStyle w:val="SemEspaamento"/>
              <w:spacing w:line="240" w:lineRule="auto"/>
              <w:jc w:val="left"/>
              <w:rPr>
                <w:rFonts w:ascii="Calibri" w:eastAsia="Calibri" w:hAnsi="Calibri" w:cs="Times New Roman"/>
                <w:color w:val="000000"/>
              </w:rPr>
            </w:pPr>
            <m:oMathPara>
              <m:oMath>
                <m:r>
                  <m:rPr>
                    <m:sty m:val="p"/>
                  </m:rPr>
                  <w:rPr>
                    <w:rFonts w:ascii="Cambria Math" w:hAnsi="Cambria Math" w:cs="Times New Roman"/>
                    <w:szCs w:val="24"/>
                  </w:rPr>
                  <m:t>ln</m:t>
                </m:r>
                <m:d>
                  <m:dPr>
                    <m:ctrlPr>
                      <w:rPr>
                        <w:rFonts w:ascii="Cambria Math" w:hAnsi="Cambria Math" w:cs="Times New Roman"/>
                        <w:i/>
                        <w:szCs w:val="24"/>
                      </w:rPr>
                    </m:ctrlPr>
                  </m:dPr>
                  <m:e>
                    <m:r>
                      <w:rPr>
                        <w:rFonts w:ascii="Cambria Math" w:hAnsi="Cambria Math" w:cs="Times New Roman"/>
                        <w:szCs w:val="24"/>
                      </w:rPr>
                      <m:t>UNDERV</m:t>
                    </m:r>
                  </m:e>
                </m:d>
                <m:r>
                  <w:rPr>
                    <w:rFonts w:ascii="Cambria Math" w:hAnsi="Cambria Math" w:cs="Times New Roman"/>
                    <w:szCs w:val="24"/>
                  </w:rPr>
                  <m:t>*</m:t>
                </m:r>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(GA</m:t>
                    </m:r>
                    <m:sSub>
                      <m:sSubPr>
                        <m:ctrlPr>
                          <w:rPr>
                            <w:rFonts w:ascii="Cambria Math" w:hAnsi="Cambria Math"/>
                            <w:i/>
                            <w:color w:val="000000"/>
                          </w:rPr>
                        </m:ctrlPr>
                      </m:sSubPr>
                      <m:e>
                        <m:r>
                          <w:rPr>
                            <w:rFonts w:ascii="Cambria Math" w:hAnsi="Cambria Math"/>
                            <w:color w:val="000000"/>
                          </w:rPr>
                          <m:t>P</m:t>
                        </m:r>
                      </m:e>
                      <m:sub>
                        <m:acc>
                          <m:accPr>
                            <m:chr m:val="̅"/>
                            <m:ctrlPr>
                              <w:rPr>
                                <w:rFonts w:ascii="Cambria Math" w:hAnsi="Cambria Math"/>
                                <w:i/>
                                <w:color w:val="000000"/>
                              </w:rPr>
                            </m:ctrlPr>
                          </m:accPr>
                          <m:e>
                            <m:r>
                              <w:rPr>
                                <w:rFonts w:ascii="Cambria Math" w:hAnsi="Cambria Math"/>
                                <w:color w:val="000000"/>
                              </w:rPr>
                              <m:t>t</m:t>
                            </m:r>
                          </m:e>
                        </m:acc>
                      </m:sub>
                    </m:sSub>
                    <m:r>
                      <w:rPr>
                        <w:rFonts w:ascii="Cambria Math" w:hAnsi="Cambria Math"/>
                        <w:color w:val="000000"/>
                      </w:rPr>
                      <m:t>)</m:t>
                    </m:r>
                  </m:e>
                </m:func>
              </m:oMath>
            </m:oMathPara>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-0.00314</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-0.00622**</w:t>
            </w:r>
          </w:p>
        </w:tc>
      </w:tr>
      <w:tr w:rsidR="006C72A2" w:rsidRPr="00421139" w:rsidTr="00647FF7">
        <w:trPr>
          <w:jc w:val="center"/>
        </w:trPr>
        <w:tc>
          <w:tcPr>
            <w:tcW w:w="2857" w:type="dxa"/>
            <w:tcBorders>
              <w:top w:val="nil"/>
              <w:left w:val="nil"/>
              <w:bottom w:val="nil"/>
            </w:tcBorders>
            <w:vAlign w:val="bottom"/>
          </w:tcPr>
          <w:p w:rsidR="006C72A2" w:rsidRPr="00421139" w:rsidRDefault="006C72A2" w:rsidP="00EA30A5">
            <w:pPr>
              <w:pStyle w:val="SemEspaamento"/>
              <w:spacing w:line="240" w:lineRule="auto"/>
              <w:jc w:val="left"/>
              <w:rPr>
                <w:rFonts w:ascii="Calibri" w:eastAsia="Calibri" w:hAnsi="Calibri" w:cs="Times New Roman"/>
                <w:color w:val="000000"/>
              </w:rPr>
            </w:pP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(0.00260)</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(0.00289)</w:t>
            </w:r>
          </w:p>
        </w:tc>
      </w:tr>
      <w:tr w:rsidR="006C72A2" w:rsidRPr="00421139" w:rsidTr="00647FF7">
        <w:trPr>
          <w:jc w:val="center"/>
        </w:trPr>
        <w:tc>
          <w:tcPr>
            <w:tcW w:w="2857" w:type="dxa"/>
            <w:tcBorders>
              <w:top w:val="nil"/>
              <w:left w:val="nil"/>
              <w:bottom w:val="nil"/>
            </w:tcBorders>
            <w:vAlign w:val="bottom"/>
          </w:tcPr>
          <w:p w:rsidR="006C72A2" w:rsidRPr="00421139" w:rsidRDefault="006C72A2" w:rsidP="00EA30A5">
            <w:pPr>
              <w:pStyle w:val="SemEspaamento"/>
              <w:spacing w:line="240" w:lineRule="auto"/>
              <w:jc w:val="left"/>
              <w:rPr>
                <w:rFonts w:ascii="Calibri" w:eastAsia="Calibri" w:hAnsi="Calibri" w:cs="Times New Roman"/>
                <w:color w:val="000000"/>
              </w:rPr>
            </w:pPr>
            <m:oMathPara>
              <m:oMath>
                <m:r>
                  <m:rPr>
                    <m:sty m:val="p"/>
                  </m:rPr>
                  <w:rPr>
                    <w:rFonts w:ascii="Cambria Math" w:hAnsi="Cambria Math" w:cs="Times New Roman"/>
                    <w:szCs w:val="24"/>
                  </w:rPr>
                  <m:t>ln</m:t>
                </m:r>
                <m:d>
                  <m:dPr>
                    <m:ctrlPr>
                      <w:rPr>
                        <w:rFonts w:ascii="Cambria Math" w:hAnsi="Cambria Math" w:cs="Times New Roman"/>
                        <w:i/>
                        <w:szCs w:val="24"/>
                      </w:rPr>
                    </m:ctrlPr>
                  </m:dPr>
                  <m:e>
                    <m:r>
                      <w:rPr>
                        <w:rFonts w:ascii="Cambria Math" w:hAnsi="Cambria Math" w:cs="Times New Roman"/>
                        <w:szCs w:val="24"/>
                      </w:rPr>
                      <m:t>UNDERV</m:t>
                    </m:r>
                  </m:e>
                </m:d>
                <m:r>
                  <w:rPr>
                    <w:rFonts w:ascii="Cambria Math" w:hAnsi="Cambria Math" w:cs="Times New Roman"/>
                    <w:szCs w:val="24"/>
                  </w:rPr>
                  <m:t>*</m:t>
                </m:r>
                <m:r>
                  <w:rPr>
                    <w:rFonts w:ascii="Cambria Math" w:hAnsi="Cambria Math"/>
                    <w:color w:val="000000"/>
                  </w:rPr>
                  <m:t>OU</m:t>
                </m:r>
                <m:sSub>
                  <m:sSubPr>
                    <m:ctrlPr>
                      <w:rPr>
                        <w:rFonts w:ascii="Cambria Math" w:hAnsi="Cambria Math"/>
                        <w:i/>
                        <w:color w:val="000000"/>
                      </w:rPr>
                    </m:ctrlPr>
                  </m:sSubPr>
                  <m:e>
                    <m:r>
                      <w:rPr>
                        <w:rFonts w:ascii="Cambria Math" w:hAnsi="Cambria Math"/>
                        <w:color w:val="000000"/>
                      </w:rPr>
                      <m:t>T</m:t>
                    </m:r>
                  </m:e>
                  <m:sub>
                    <m:acc>
                      <m:accPr>
                        <m:chr m:val="̅"/>
                        <m:ctrlPr>
                          <w:rPr>
                            <w:rFonts w:ascii="Cambria Math" w:hAnsi="Cambria Math"/>
                            <w:i/>
                            <w:color w:val="000000"/>
                          </w:rPr>
                        </m:ctrlPr>
                      </m:accPr>
                      <m:e>
                        <m:r>
                          <w:rPr>
                            <w:rFonts w:ascii="Cambria Math" w:hAnsi="Cambria Math"/>
                            <w:color w:val="000000"/>
                          </w:rPr>
                          <m:t>t</m:t>
                        </m:r>
                      </m:e>
                    </m:acc>
                  </m:sub>
                </m:sSub>
              </m:oMath>
            </m:oMathPara>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-0.0298</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0.0378**</w:t>
            </w:r>
          </w:p>
        </w:tc>
      </w:tr>
      <w:tr w:rsidR="006C72A2" w:rsidRPr="00421139" w:rsidTr="00647FF7">
        <w:trPr>
          <w:jc w:val="center"/>
        </w:trPr>
        <w:tc>
          <w:tcPr>
            <w:tcW w:w="2857" w:type="dxa"/>
            <w:tcBorders>
              <w:top w:val="nil"/>
              <w:left w:val="nil"/>
              <w:bottom w:val="nil"/>
            </w:tcBorders>
            <w:vAlign w:val="bottom"/>
          </w:tcPr>
          <w:p w:rsidR="006C72A2" w:rsidRPr="00421139" w:rsidRDefault="006C72A2" w:rsidP="00EA30A5">
            <w:pPr>
              <w:pStyle w:val="SemEspaamento"/>
              <w:spacing w:line="240" w:lineRule="auto"/>
              <w:jc w:val="left"/>
              <w:rPr>
                <w:rFonts w:ascii="Calibri" w:eastAsia="Calibri" w:hAnsi="Calibri" w:cs="Times New Roman"/>
                <w:color w:val="000000"/>
              </w:rPr>
            </w:pP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(0.0244)</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(0.0164)</w:t>
            </w:r>
          </w:p>
        </w:tc>
      </w:tr>
      <w:tr w:rsidR="006C72A2" w:rsidRPr="00421139" w:rsidTr="00647FF7">
        <w:trPr>
          <w:jc w:val="center"/>
        </w:trPr>
        <w:tc>
          <w:tcPr>
            <w:tcW w:w="2857" w:type="dxa"/>
            <w:tcBorders>
              <w:top w:val="nil"/>
              <w:left w:val="nil"/>
              <w:bottom w:val="nil"/>
            </w:tcBorders>
            <w:vAlign w:val="bottom"/>
          </w:tcPr>
          <w:p w:rsidR="006C72A2" w:rsidRPr="00421139" w:rsidRDefault="006C72A2" w:rsidP="00EA30A5">
            <w:pPr>
              <w:pStyle w:val="SemEspaamento"/>
              <w:spacing w:line="240" w:lineRule="auto"/>
              <w:jc w:val="left"/>
              <w:rPr>
                <w:color w:val="000000"/>
              </w:rPr>
            </w:pPr>
            <m:oMathPara>
              <m:oMath>
                <m:r>
                  <w:rPr>
                    <w:rFonts w:ascii="Cambria Math" w:hAnsi="Cambria Math"/>
                    <w:color w:val="000000"/>
                  </w:rPr>
                  <m:t>G/GDP</m:t>
                </m:r>
              </m:oMath>
            </m:oMathPara>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-0.0319*</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-0.0321*</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-0.0308*</w:t>
            </w:r>
          </w:p>
        </w:tc>
      </w:tr>
      <w:tr w:rsidR="006C72A2" w:rsidRPr="00421139" w:rsidTr="00647FF7">
        <w:trPr>
          <w:jc w:val="center"/>
        </w:trPr>
        <w:tc>
          <w:tcPr>
            <w:tcW w:w="2857" w:type="dxa"/>
            <w:tcBorders>
              <w:top w:val="nil"/>
              <w:left w:val="nil"/>
              <w:bottom w:val="nil"/>
            </w:tcBorders>
            <w:vAlign w:val="bottom"/>
          </w:tcPr>
          <w:p w:rsidR="006C72A2" w:rsidRPr="00421139" w:rsidRDefault="006C72A2" w:rsidP="00EA30A5">
            <w:pPr>
              <w:pStyle w:val="SemEspaamento"/>
              <w:spacing w:line="240" w:lineRule="auto"/>
              <w:jc w:val="left"/>
              <w:rPr>
                <w:color w:val="000000"/>
                <w:sz w:val="22"/>
              </w:rPr>
            </w:pP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(0.0172)</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(0.0180)</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(0.0171)</w:t>
            </w:r>
          </w:p>
        </w:tc>
      </w:tr>
      <w:tr w:rsidR="006C72A2" w:rsidRPr="00421139" w:rsidTr="00647FF7">
        <w:trPr>
          <w:jc w:val="center"/>
        </w:trPr>
        <w:tc>
          <w:tcPr>
            <w:tcW w:w="2857" w:type="dxa"/>
            <w:tcBorders>
              <w:top w:val="nil"/>
              <w:left w:val="nil"/>
              <w:bottom w:val="nil"/>
            </w:tcBorders>
            <w:vAlign w:val="bottom"/>
          </w:tcPr>
          <w:p w:rsidR="006C72A2" w:rsidRPr="00421139" w:rsidRDefault="006C72A2" w:rsidP="00EA30A5">
            <w:pPr>
              <w:pStyle w:val="SemEspaamento"/>
              <w:spacing w:line="240" w:lineRule="auto"/>
              <w:jc w:val="center"/>
              <w:rPr>
                <w:color w:val="000000"/>
              </w:rPr>
            </w:pPr>
            <m:oMathPara>
              <m:oMath>
                <m:r>
                  <w:rPr>
                    <w:rFonts w:ascii="Cambria Math" w:hAnsi="Cambria Math"/>
                    <w:color w:val="000000"/>
                  </w:rPr>
                  <m:t>pop growth</m:t>
                </m:r>
              </m:oMath>
            </m:oMathPara>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0.460***</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0.713*</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0.402***</w:t>
            </w:r>
          </w:p>
        </w:tc>
      </w:tr>
      <w:tr w:rsidR="006C72A2" w:rsidRPr="00421139" w:rsidTr="00647FF7">
        <w:trPr>
          <w:jc w:val="center"/>
        </w:trPr>
        <w:tc>
          <w:tcPr>
            <w:tcW w:w="2857" w:type="dxa"/>
            <w:tcBorders>
              <w:top w:val="nil"/>
              <w:left w:val="nil"/>
              <w:bottom w:val="nil"/>
            </w:tcBorders>
            <w:vAlign w:val="bottom"/>
          </w:tcPr>
          <w:p w:rsidR="006C72A2" w:rsidRPr="00421139" w:rsidRDefault="006C72A2" w:rsidP="00EA30A5">
            <w:pPr>
              <w:pStyle w:val="SemEspaamento"/>
              <w:spacing w:line="240" w:lineRule="auto"/>
              <w:jc w:val="left"/>
              <w:rPr>
                <w:color w:val="000000"/>
                <w:sz w:val="22"/>
              </w:rPr>
            </w:pP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(0.150)</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(0.391)</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(0.151)</w:t>
            </w:r>
          </w:p>
        </w:tc>
      </w:tr>
      <w:tr w:rsidR="006C72A2" w:rsidRPr="00421139" w:rsidTr="00647FF7">
        <w:trPr>
          <w:jc w:val="center"/>
        </w:trPr>
        <w:tc>
          <w:tcPr>
            <w:tcW w:w="2857" w:type="dxa"/>
            <w:tcBorders>
              <w:top w:val="nil"/>
              <w:left w:val="nil"/>
              <w:bottom w:val="nil"/>
            </w:tcBorders>
            <w:vAlign w:val="bottom"/>
          </w:tcPr>
          <w:p w:rsidR="006C72A2" w:rsidRPr="00421139" w:rsidRDefault="00EA30A5" w:rsidP="00EA30A5">
            <w:pPr>
              <w:pStyle w:val="SemEspaamento"/>
              <w:spacing w:line="240" w:lineRule="auto"/>
              <w:jc w:val="center"/>
              <w:rPr>
                <w:color w:val="000000"/>
              </w:rPr>
            </w:pPr>
            <m:oMathPara>
              <m:oMath>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(GAP)</m:t>
                    </m:r>
                  </m:e>
                </m:func>
              </m:oMath>
            </m:oMathPara>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0.00124</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0.00255</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0.00128</w:t>
            </w:r>
          </w:p>
        </w:tc>
      </w:tr>
      <w:tr w:rsidR="006C72A2" w:rsidRPr="00421139" w:rsidTr="00647FF7">
        <w:trPr>
          <w:jc w:val="center"/>
        </w:trPr>
        <w:tc>
          <w:tcPr>
            <w:tcW w:w="2857" w:type="dxa"/>
            <w:tcBorders>
              <w:top w:val="nil"/>
              <w:left w:val="nil"/>
              <w:bottom w:val="nil"/>
            </w:tcBorders>
            <w:vAlign w:val="bottom"/>
          </w:tcPr>
          <w:p w:rsidR="006C72A2" w:rsidRPr="00421139" w:rsidRDefault="006C72A2" w:rsidP="00EA30A5">
            <w:pPr>
              <w:pStyle w:val="SemEspaamento"/>
              <w:spacing w:line="240" w:lineRule="auto"/>
              <w:jc w:val="left"/>
              <w:rPr>
                <w:color w:val="000000"/>
                <w:sz w:val="22"/>
              </w:rPr>
            </w:pP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(0.00203)</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(0.00363)</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(0.00209)</w:t>
            </w:r>
          </w:p>
        </w:tc>
      </w:tr>
      <w:tr w:rsidR="006C72A2" w:rsidRPr="00421139" w:rsidTr="00647FF7">
        <w:trPr>
          <w:jc w:val="center"/>
        </w:trPr>
        <w:tc>
          <w:tcPr>
            <w:tcW w:w="2857" w:type="dxa"/>
            <w:tcBorders>
              <w:top w:val="nil"/>
              <w:left w:val="nil"/>
              <w:bottom w:val="nil"/>
            </w:tcBorders>
            <w:vAlign w:val="bottom"/>
          </w:tcPr>
          <w:p w:rsidR="006C72A2" w:rsidRPr="00421139" w:rsidRDefault="006C72A2" w:rsidP="00EA30A5">
            <w:pPr>
              <w:pStyle w:val="SemEspaamento"/>
              <w:spacing w:line="240" w:lineRule="auto"/>
              <w:jc w:val="center"/>
              <w:rPr>
                <w:color w:val="000000"/>
              </w:rPr>
            </w:pPr>
            <m:oMathPara>
              <m:oMath>
                <m:r>
                  <w:rPr>
                    <w:rFonts w:ascii="Cambria Math" w:hAnsi="Cambria Math"/>
                    <w:color w:val="000000"/>
                  </w:rPr>
                  <m:t>OUT</m:t>
                </m:r>
              </m:oMath>
            </m:oMathPara>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0.00937</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0.0118</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0.00523</w:t>
            </w:r>
          </w:p>
        </w:tc>
      </w:tr>
      <w:tr w:rsidR="006C72A2" w:rsidRPr="00421139" w:rsidTr="00647FF7">
        <w:trPr>
          <w:jc w:val="center"/>
        </w:trPr>
        <w:tc>
          <w:tcPr>
            <w:tcW w:w="2857" w:type="dxa"/>
            <w:tcBorders>
              <w:top w:val="nil"/>
              <w:left w:val="nil"/>
            </w:tcBorders>
            <w:vAlign w:val="bottom"/>
          </w:tcPr>
          <w:p w:rsidR="006C72A2" w:rsidRPr="00421139" w:rsidRDefault="006C72A2" w:rsidP="00EA30A5">
            <w:pPr>
              <w:pStyle w:val="SemEspaamento"/>
              <w:spacing w:line="240" w:lineRule="auto"/>
              <w:jc w:val="left"/>
              <w:rPr>
                <w:color w:val="000000"/>
                <w:sz w:val="22"/>
              </w:rPr>
            </w:pPr>
          </w:p>
        </w:tc>
        <w:tc>
          <w:tcPr>
            <w:tcW w:w="1477" w:type="dxa"/>
            <w:tcBorders>
              <w:top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(0.00634)</w:t>
            </w:r>
          </w:p>
        </w:tc>
        <w:tc>
          <w:tcPr>
            <w:tcW w:w="1477" w:type="dxa"/>
            <w:tcBorders>
              <w:top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(0.00841)</w:t>
            </w:r>
          </w:p>
        </w:tc>
        <w:tc>
          <w:tcPr>
            <w:tcW w:w="1477" w:type="dxa"/>
            <w:tcBorders>
              <w:top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(0.00698)</w:t>
            </w:r>
          </w:p>
        </w:tc>
      </w:tr>
      <w:tr w:rsidR="006C72A2" w:rsidRPr="00421139" w:rsidTr="00647FF7">
        <w:trPr>
          <w:jc w:val="center"/>
        </w:trPr>
        <w:tc>
          <w:tcPr>
            <w:tcW w:w="2857" w:type="dxa"/>
            <w:tcBorders>
              <w:top w:val="nil"/>
              <w:left w:val="nil"/>
            </w:tcBorders>
            <w:vAlign w:val="bottom"/>
          </w:tcPr>
          <w:p w:rsidR="006C72A2" w:rsidRPr="00421139" w:rsidRDefault="006C72A2" w:rsidP="00EA30A5">
            <w:pPr>
              <w:pStyle w:val="SemEspaamento"/>
              <w:spacing w:line="240" w:lineRule="auto"/>
              <w:jc w:val="center"/>
              <w:rPr>
                <w:color w:val="000000"/>
              </w:rPr>
            </w:pPr>
            <m:oMathPara>
              <m:oMath>
                <m:r>
                  <w:rPr>
                    <w:rFonts w:ascii="Cambria Math" w:hAnsi="Cambria Math"/>
                    <w:color w:val="000000"/>
                  </w:rPr>
                  <m:t>Constant</m:t>
                </m:r>
              </m:oMath>
            </m:oMathPara>
          </w:p>
        </w:tc>
        <w:tc>
          <w:tcPr>
            <w:tcW w:w="1477" w:type="dxa"/>
            <w:tcBorders>
              <w:top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0.0297***</w:t>
            </w:r>
          </w:p>
        </w:tc>
        <w:tc>
          <w:tcPr>
            <w:tcW w:w="1477" w:type="dxa"/>
            <w:tcBorders>
              <w:top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0.0163</w:t>
            </w:r>
          </w:p>
        </w:tc>
        <w:tc>
          <w:tcPr>
            <w:tcW w:w="1477" w:type="dxa"/>
            <w:tcBorders>
              <w:top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0.0311***</w:t>
            </w:r>
          </w:p>
        </w:tc>
      </w:tr>
      <w:tr w:rsidR="006C72A2" w:rsidRPr="00421139" w:rsidTr="00647FF7">
        <w:trPr>
          <w:jc w:val="center"/>
        </w:trPr>
        <w:tc>
          <w:tcPr>
            <w:tcW w:w="2857" w:type="dxa"/>
            <w:tcBorders>
              <w:top w:val="nil"/>
              <w:left w:val="nil"/>
              <w:bottom w:val="single" w:sz="4" w:space="0" w:color="auto"/>
            </w:tcBorders>
            <w:vAlign w:val="bottom"/>
          </w:tcPr>
          <w:p w:rsidR="006C72A2" w:rsidRPr="00421139" w:rsidRDefault="006C72A2" w:rsidP="00EA30A5">
            <w:pPr>
              <w:pStyle w:val="SemEspaamento"/>
              <w:spacing w:line="240" w:lineRule="auto"/>
              <w:jc w:val="left"/>
              <w:rPr>
                <w:color w:val="000000"/>
                <w:sz w:val="22"/>
              </w:rPr>
            </w:pPr>
          </w:p>
        </w:tc>
        <w:tc>
          <w:tcPr>
            <w:tcW w:w="1477" w:type="dxa"/>
            <w:tcBorders>
              <w:top w:val="nil"/>
              <w:bottom w:val="single" w:sz="4" w:space="0" w:color="auto"/>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(0.00552)</w:t>
            </w:r>
          </w:p>
        </w:tc>
        <w:tc>
          <w:tcPr>
            <w:tcW w:w="1477" w:type="dxa"/>
            <w:tcBorders>
              <w:top w:val="nil"/>
              <w:bottom w:val="single" w:sz="4" w:space="0" w:color="auto"/>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(0.0110)</w:t>
            </w:r>
          </w:p>
        </w:tc>
        <w:tc>
          <w:tcPr>
            <w:tcW w:w="1477" w:type="dxa"/>
            <w:tcBorders>
              <w:top w:val="nil"/>
              <w:bottom w:val="single" w:sz="4" w:space="0" w:color="auto"/>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(0.00573)</w:t>
            </w:r>
          </w:p>
        </w:tc>
      </w:tr>
      <w:tr w:rsidR="006C72A2" w:rsidRPr="00421139" w:rsidTr="00647FF7">
        <w:trPr>
          <w:jc w:val="center"/>
        </w:trPr>
        <w:tc>
          <w:tcPr>
            <w:tcW w:w="2857" w:type="dxa"/>
            <w:tcBorders>
              <w:top w:val="single" w:sz="4" w:space="0" w:color="auto"/>
              <w:left w:val="nil"/>
              <w:bottom w:val="nil"/>
            </w:tcBorders>
            <w:vAlign w:val="bottom"/>
          </w:tcPr>
          <w:p w:rsidR="006C72A2" w:rsidRPr="00421139" w:rsidRDefault="006C72A2" w:rsidP="00EA30A5">
            <w:pPr>
              <w:pStyle w:val="SemEspaamento"/>
              <w:spacing w:line="240" w:lineRule="auto"/>
              <w:jc w:val="center"/>
              <w:rPr>
                <w:color w:val="000000"/>
              </w:rPr>
            </w:pPr>
            <w:r w:rsidRPr="00421139">
              <w:rPr>
                <w:color w:val="000000"/>
                <w:sz w:val="22"/>
              </w:rPr>
              <w:t>Observations</w:t>
            </w:r>
          </w:p>
        </w:tc>
        <w:tc>
          <w:tcPr>
            <w:tcW w:w="1477" w:type="dxa"/>
            <w:tcBorders>
              <w:top w:val="single" w:sz="4" w:space="0" w:color="auto"/>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785</w:t>
            </w:r>
          </w:p>
        </w:tc>
        <w:tc>
          <w:tcPr>
            <w:tcW w:w="1477" w:type="dxa"/>
            <w:tcBorders>
              <w:top w:val="single" w:sz="4" w:space="0" w:color="auto"/>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1061</w:t>
            </w:r>
          </w:p>
        </w:tc>
        <w:tc>
          <w:tcPr>
            <w:tcW w:w="1477" w:type="dxa"/>
            <w:tcBorders>
              <w:top w:val="single" w:sz="4" w:space="0" w:color="auto"/>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785</w:t>
            </w:r>
          </w:p>
        </w:tc>
      </w:tr>
      <w:tr w:rsidR="006C72A2" w:rsidRPr="00421139" w:rsidTr="00647FF7">
        <w:trPr>
          <w:jc w:val="center"/>
        </w:trPr>
        <w:tc>
          <w:tcPr>
            <w:tcW w:w="2857" w:type="dxa"/>
            <w:tcBorders>
              <w:top w:val="nil"/>
              <w:left w:val="nil"/>
              <w:bottom w:val="nil"/>
            </w:tcBorders>
            <w:vAlign w:val="bottom"/>
          </w:tcPr>
          <w:p w:rsidR="006C72A2" w:rsidRPr="00421139" w:rsidRDefault="006C72A2" w:rsidP="00EA30A5">
            <w:pPr>
              <w:pStyle w:val="SemEspaamento"/>
              <w:spacing w:line="240" w:lineRule="auto"/>
              <w:jc w:val="center"/>
              <w:rPr>
                <w:color w:val="000000"/>
              </w:rPr>
            </w:pPr>
            <w:r w:rsidRPr="00421139">
              <w:rPr>
                <w:color w:val="000000"/>
                <w:sz w:val="22"/>
              </w:rPr>
              <w:t>Number of code</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100</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142</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100</w:t>
            </w:r>
          </w:p>
        </w:tc>
      </w:tr>
      <w:tr w:rsidR="006C72A2" w:rsidRPr="00421139" w:rsidTr="00647FF7">
        <w:trPr>
          <w:jc w:val="center"/>
        </w:trPr>
        <w:tc>
          <w:tcPr>
            <w:tcW w:w="2857" w:type="dxa"/>
            <w:tcBorders>
              <w:top w:val="nil"/>
              <w:left w:val="nil"/>
              <w:bottom w:val="nil"/>
            </w:tcBorders>
            <w:vAlign w:val="bottom"/>
          </w:tcPr>
          <w:p w:rsidR="006C72A2" w:rsidRPr="00421139" w:rsidRDefault="006C72A2" w:rsidP="00EA30A5">
            <w:pPr>
              <w:pStyle w:val="SemEspaamento"/>
              <w:spacing w:line="240" w:lineRule="auto"/>
              <w:jc w:val="center"/>
              <w:rPr>
                <w:color w:val="000000"/>
              </w:rPr>
            </w:pPr>
            <w:r w:rsidRPr="00421139">
              <w:rPr>
                <w:color w:val="000000"/>
                <w:sz w:val="22"/>
              </w:rPr>
              <w:t>Hansen test</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12,58</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13,36</w:t>
            </w:r>
          </w:p>
        </w:tc>
        <w:tc>
          <w:tcPr>
            <w:tcW w:w="1477" w:type="dxa"/>
            <w:tcBorders>
              <w:top w:val="nil"/>
              <w:bottom w:val="nil"/>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12,07</w:t>
            </w:r>
          </w:p>
        </w:tc>
      </w:tr>
      <w:tr w:rsidR="006C72A2" w:rsidRPr="00421139" w:rsidTr="00647FF7">
        <w:trPr>
          <w:jc w:val="center"/>
        </w:trPr>
        <w:tc>
          <w:tcPr>
            <w:tcW w:w="2857" w:type="dxa"/>
            <w:tcBorders>
              <w:top w:val="nil"/>
              <w:left w:val="nil"/>
              <w:bottom w:val="single" w:sz="12" w:space="0" w:color="auto"/>
            </w:tcBorders>
            <w:vAlign w:val="bottom"/>
          </w:tcPr>
          <w:p w:rsidR="006C72A2" w:rsidRPr="00421139" w:rsidRDefault="006C72A2" w:rsidP="00EA30A5">
            <w:pPr>
              <w:pStyle w:val="SemEspaamento"/>
              <w:spacing w:line="240" w:lineRule="auto"/>
              <w:jc w:val="center"/>
              <w:rPr>
                <w:color w:val="000000"/>
              </w:rPr>
            </w:pPr>
            <w:r w:rsidRPr="00421139">
              <w:rPr>
                <w:color w:val="000000"/>
                <w:sz w:val="22"/>
              </w:rPr>
              <w:t>Hansen p-value</w:t>
            </w:r>
          </w:p>
        </w:tc>
        <w:tc>
          <w:tcPr>
            <w:tcW w:w="1477" w:type="dxa"/>
            <w:tcBorders>
              <w:top w:val="nil"/>
              <w:bottom w:val="single" w:sz="12" w:space="0" w:color="auto"/>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0.0831</w:t>
            </w:r>
          </w:p>
        </w:tc>
        <w:tc>
          <w:tcPr>
            <w:tcW w:w="1477" w:type="dxa"/>
            <w:tcBorders>
              <w:top w:val="nil"/>
              <w:bottom w:val="single" w:sz="12" w:space="0" w:color="auto"/>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0.0639</w:t>
            </w:r>
          </w:p>
        </w:tc>
        <w:tc>
          <w:tcPr>
            <w:tcW w:w="1477" w:type="dxa"/>
            <w:tcBorders>
              <w:top w:val="nil"/>
              <w:bottom w:val="single" w:sz="12" w:space="0" w:color="auto"/>
            </w:tcBorders>
            <w:vAlign w:val="bottom"/>
          </w:tcPr>
          <w:p w:rsidR="006C72A2" w:rsidRPr="00421139" w:rsidRDefault="006C72A2" w:rsidP="00EA30A5">
            <w:pPr>
              <w:pStyle w:val="SemEspaamento"/>
              <w:spacing w:line="240" w:lineRule="auto"/>
              <w:jc w:val="center"/>
              <w:rPr>
                <w:color w:val="000000"/>
                <w:sz w:val="22"/>
              </w:rPr>
            </w:pPr>
            <w:r w:rsidRPr="00421139">
              <w:rPr>
                <w:color w:val="000000"/>
                <w:sz w:val="22"/>
              </w:rPr>
              <w:t>0.0982</w:t>
            </w:r>
          </w:p>
        </w:tc>
      </w:tr>
    </w:tbl>
    <w:p w:rsidR="00647FF7" w:rsidRPr="00421139" w:rsidRDefault="00647FF7" w:rsidP="00EA30A5">
      <w:pPr>
        <w:spacing w:after="0" w:line="240" w:lineRule="auto"/>
        <w:ind w:left="1134" w:right="1134"/>
        <w:jc w:val="both"/>
        <w:rPr>
          <w:rFonts w:ascii="Times New Roman" w:hAnsi="Times New Roman" w:cs="Times New Roman"/>
          <w:sz w:val="20"/>
          <w:szCs w:val="20"/>
          <w:lang w:val="en-GB"/>
        </w:rPr>
      </w:pPr>
      <w:r w:rsidRPr="00421139">
        <w:rPr>
          <w:rFonts w:ascii="Times New Roman" w:hAnsi="Times New Roman" w:cs="Times New Roman"/>
          <w:sz w:val="20"/>
          <w:szCs w:val="20"/>
          <w:lang w:val="en-GB"/>
        </w:rPr>
        <w:t>Standard errors in parenthesis; ***: p&lt;0.01, **: p&lt;0.05, *: p&lt;0.1.</w:t>
      </w:r>
    </w:p>
    <w:p w:rsidR="00647FF7" w:rsidRPr="00421139" w:rsidRDefault="00647FF7" w:rsidP="00EA30A5">
      <w:pPr>
        <w:spacing w:after="0" w:line="240" w:lineRule="auto"/>
        <w:ind w:left="1134" w:right="1134"/>
        <w:jc w:val="both"/>
        <w:rPr>
          <w:rFonts w:ascii="Times New Roman" w:hAnsi="Times New Roman" w:cs="Times New Roman"/>
          <w:sz w:val="20"/>
          <w:szCs w:val="20"/>
          <w:lang w:val="en-GB"/>
        </w:rPr>
      </w:pPr>
      <w:r w:rsidRPr="00421139">
        <w:rPr>
          <w:rFonts w:ascii="Times New Roman" w:hAnsi="Times New Roman" w:cs="Times New Roman"/>
          <w:sz w:val="20"/>
          <w:szCs w:val="20"/>
          <w:lang w:val="en-GB"/>
        </w:rPr>
        <w:t>(</w:t>
      </w:r>
      <w:r w:rsidR="006C72A2" w:rsidRPr="00421139">
        <w:rPr>
          <w:rFonts w:ascii="Times New Roman" w:hAnsi="Times New Roman" w:cs="Times New Roman"/>
          <w:sz w:val="20"/>
          <w:szCs w:val="20"/>
          <w:lang w:val="en-GB"/>
        </w:rPr>
        <w:t>1</w:t>
      </w:r>
      <w:r w:rsidRPr="00421139">
        <w:rPr>
          <w:rFonts w:ascii="Times New Roman" w:hAnsi="Times New Roman" w:cs="Times New Roman"/>
          <w:sz w:val="20"/>
          <w:szCs w:val="20"/>
          <w:lang w:val="en-GB"/>
        </w:rPr>
        <w:t xml:space="preserve">): </w:t>
      </w:r>
      <w:r w:rsidR="006C72A2" w:rsidRPr="00421139">
        <w:rPr>
          <w:rFonts w:ascii="Times New Roman" w:hAnsi="Times New Roman" w:cs="Times New Roman"/>
          <w:sz w:val="20"/>
          <w:szCs w:val="20"/>
          <w:lang w:val="en-GB"/>
        </w:rPr>
        <w:t>heterogeneity only from technological gap</w:t>
      </w:r>
      <w:r w:rsidRPr="00421139">
        <w:rPr>
          <w:rFonts w:ascii="Times New Roman" w:hAnsi="Times New Roman" w:cs="Times New Roman"/>
          <w:sz w:val="20"/>
          <w:szCs w:val="20"/>
          <w:lang w:val="en-GB"/>
        </w:rPr>
        <w:t>; (</w:t>
      </w:r>
      <w:r w:rsidR="006C72A2" w:rsidRPr="00421139">
        <w:rPr>
          <w:rFonts w:ascii="Times New Roman" w:hAnsi="Times New Roman" w:cs="Times New Roman"/>
          <w:sz w:val="20"/>
          <w:szCs w:val="20"/>
          <w:lang w:val="en-GB"/>
        </w:rPr>
        <w:t>2</w:t>
      </w:r>
      <w:r w:rsidRPr="00421139">
        <w:rPr>
          <w:rFonts w:ascii="Times New Roman" w:hAnsi="Times New Roman" w:cs="Times New Roman"/>
          <w:sz w:val="20"/>
          <w:szCs w:val="20"/>
          <w:lang w:val="en-GB"/>
        </w:rPr>
        <w:t xml:space="preserve">) </w:t>
      </w:r>
      <w:r w:rsidR="006C72A2" w:rsidRPr="00421139">
        <w:rPr>
          <w:rFonts w:ascii="Times New Roman" w:hAnsi="Times New Roman" w:cs="Times New Roman"/>
          <w:sz w:val="20"/>
          <w:szCs w:val="20"/>
          <w:lang w:val="en-GB"/>
        </w:rPr>
        <w:t>heterogeneity only from outward-orientation</w:t>
      </w:r>
      <w:r w:rsidRPr="00421139">
        <w:rPr>
          <w:rFonts w:ascii="Times New Roman" w:hAnsi="Times New Roman" w:cs="Times New Roman"/>
          <w:sz w:val="20"/>
          <w:szCs w:val="20"/>
          <w:lang w:val="en-GB"/>
        </w:rPr>
        <w:t>; (</w:t>
      </w:r>
      <w:r w:rsidR="006C72A2" w:rsidRPr="00421139">
        <w:rPr>
          <w:rFonts w:ascii="Times New Roman" w:hAnsi="Times New Roman" w:cs="Times New Roman"/>
          <w:sz w:val="20"/>
          <w:szCs w:val="20"/>
          <w:lang w:val="en-GB"/>
        </w:rPr>
        <w:t>3</w:t>
      </w:r>
      <w:r w:rsidRPr="00421139">
        <w:rPr>
          <w:rFonts w:ascii="Times New Roman" w:hAnsi="Times New Roman" w:cs="Times New Roman"/>
          <w:sz w:val="20"/>
          <w:szCs w:val="20"/>
          <w:lang w:val="en-GB"/>
        </w:rPr>
        <w:t xml:space="preserve">) </w:t>
      </w:r>
      <w:r w:rsidR="006C72A2" w:rsidRPr="00421139">
        <w:rPr>
          <w:rFonts w:ascii="Times New Roman" w:hAnsi="Times New Roman" w:cs="Times New Roman"/>
          <w:sz w:val="20"/>
          <w:szCs w:val="20"/>
          <w:lang w:val="en-GB"/>
        </w:rPr>
        <w:t>heterogeneity from technological gap and</w:t>
      </w:r>
      <w:r w:rsidRPr="00421139">
        <w:rPr>
          <w:rFonts w:ascii="Times New Roman" w:hAnsi="Times New Roman" w:cs="Times New Roman"/>
          <w:sz w:val="20"/>
          <w:szCs w:val="20"/>
          <w:lang w:val="en-GB"/>
        </w:rPr>
        <w:t xml:space="preserve"> outward-orientation.</w:t>
      </w:r>
    </w:p>
    <w:p w:rsidR="00647FF7" w:rsidRPr="00421139" w:rsidRDefault="00647FF7" w:rsidP="00EA30A5">
      <w:pPr>
        <w:spacing w:line="240" w:lineRule="auto"/>
        <w:jc w:val="both"/>
        <w:rPr>
          <w:rFonts w:ascii="Times New Roman" w:hAnsi="Times New Roman" w:cs="Times New Roman"/>
          <w:sz w:val="24"/>
          <w:szCs w:val="24"/>
          <w:lang w:val="en-GB"/>
        </w:rPr>
      </w:pPr>
    </w:p>
    <w:p w:rsidR="00010667" w:rsidRPr="00421139" w:rsidRDefault="001D2DA0"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The second model</w:t>
      </w:r>
      <w:r w:rsidR="00010667" w:rsidRPr="00421139">
        <w:rPr>
          <w:rFonts w:ascii="Times New Roman" w:hAnsi="Times New Roman" w:cs="Times New Roman"/>
          <w:sz w:val="24"/>
          <w:szCs w:val="24"/>
          <w:lang w:val="en-GB"/>
        </w:rPr>
        <w:t xml:space="preserve"> (which </w:t>
      </w:r>
      <w:r>
        <w:rPr>
          <w:rFonts w:ascii="Times New Roman" w:hAnsi="Times New Roman" w:cs="Times New Roman"/>
          <w:sz w:val="24"/>
          <w:szCs w:val="24"/>
          <w:lang w:val="en-GB"/>
        </w:rPr>
        <w:t>takes into account</w:t>
      </w:r>
      <w:r w:rsidR="00010667" w:rsidRPr="00421139">
        <w:rPr>
          <w:rFonts w:ascii="Times New Roman" w:hAnsi="Times New Roman" w:cs="Times New Roman"/>
          <w:sz w:val="24"/>
          <w:szCs w:val="24"/>
          <w:lang w:val="en-GB"/>
        </w:rPr>
        <w:t xml:space="preserve"> only heterogeneity from outward-orientation) </w:t>
      </w:r>
      <w:r>
        <w:rPr>
          <w:rFonts w:ascii="Times New Roman" w:hAnsi="Times New Roman" w:cs="Times New Roman"/>
          <w:sz w:val="24"/>
          <w:szCs w:val="24"/>
          <w:lang w:val="en-GB"/>
        </w:rPr>
        <w:t xml:space="preserve">also identifies a positive relationship between devaluation and growth. Like the first model, the variable of interest, that is, the interaction between </w:t>
      </w:r>
      <m:oMath>
        <m:r>
          <w:rPr>
            <w:rFonts w:ascii="Cambria Math" w:hAnsi="Cambria Math" w:cs="Times New Roman"/>
            <w:sz w:val="24"/>
            <w:szCs w:val="24"/>
            <w:lang w:val="en-GB"/>
          </w:rPr>
          <m:t>UNDERV</m:t>
        </m:r>
      </m:oMath>
      <w:r>
        <w:rPr>
          <w:rFonts w:ascii="Times New Roman" w:hAnsi="Times New Roman" w:cs="Times New Roman"/>
          <w:sz w:val="24"/>
          <w:szCs w:val="24"/>
          <w:lang w:val="en-GB"/>
        </w:rPr>
        <w:t xml:space="preserve"> and </w:t>
      </w:r>
      <m:oMath>
        <m:r>
          <w:rPr>
            <w:rFonts w:ascii="Cambria Math" w:hAnsi="Cambria Math" w:cs="Times New Roman"/>
            <w:sz w:val="24"/>
            <w:szCs w:val="24"/>
            <w:lang w:val="en-GB"/>
          </w:rPr>
          <m:t>OUT</m:t>
        </m:r>
      </m:oMath>
      <w:r w:rsidR="00010667" w:rsidRPr="00421139">
        <w:rPr>
          <w:rFonts w:ascii="Times New Roman" w:hAnsi="Times New Roman" w:cs="Times New Roman"/>
          <w:sz w:val="24"/>
          <w:szCs w:val="24"/>
          <w:lang w:val="en-GB"/>
        </w:rPr>
        <w:t xml:space="preserve"> </w:t>
      </w:r>
      <w:r w:rsidR="00347B09">
        <w:rPr>
          <w:rFonts w:ascii="Times New Roman" w:hAnsi="Times New Roman" w:cs="Times New Roman"/>
          <w:sz w:val="24"/>
          <w:szCs w:val="24"/>
          <w:lang w:val="en-GB"/>
        </w:rPr>
        <w:t xml:space="preserve">is </w:t>
      </w:r>
      <w:r w:rsidR="00010667" w:rsidRPr="00421139">
        <w:rPr>
          <w:rFonts w:ascii="Times New Roman" w:hAnsi="Times New Roman" w:cs="Times New Roman"/>
          <w:sz w:val="24"/>
          <w:szCs w:val="24"/>
          <w:lang w:val="en-GB"/>
        </w:rPr>
        <w:t>not s</w:t>
      </w:r>
      <w:r>
        <w:rPr>
          <w:rFonts w:ascii="Times New Roman" w:hAnsi="Times New Roman" w:cs="Times New Roman"/>
          <w:sz w:val="24"/>
          <w:szCs w:val="24"/>
          <w:lang w:val="en-GB"/>
        </w:rPr>
        <w:t xml:space="preserve">ignificant at </w:t>
      </w:r>
      <w:r w:rsidR="00347B09">
        <w:rPr>
          <w:rFonts w:ascii="Times New Roman" w:hAnsi="Times New Roman" w:cs="Times New Roman"/>
          <w:sz w:val="24"/>
          <w:szCs w:val="24"/>
          <w:lang w:val="en-GB"/>
        </w:rPr>
        <w:t>the 0.10</w:t>
      </w:r>
      <w:r>
        <w:rPr>
          <w:rFonts w:ascii="Times New Roman" w:hAnsi="Times New Roman" w:cs="Times New Roman"/>
          <w:sz w:val="24"/>
          <w:szCs w:val="24"/>
          <w:lang w:val="en-GB"/>
        </w:rPr>
        <w:t xml:space="preserve"> level. Therefore</w:t>
      </w:r>
      <w:r w:rsidR="00010667" w:rsidRPr="00421139">
        <w:rPr>
          <w:rFonts w:ascii="Times New Roman" w:hAnsi="Times New Roman" w:cs="Times New Roman"/>
          <w:sz w:val="24"/>
          <w:szCs w:val="24"/>
          <w:lang w:val="en-GB"/>
        </w:rPr>
        <w:t xml:space="preserve">, </w:t>
      </w:r>
      <w:r>
        <w:rPr>
          <w:rFonts w:ascii="Times New Roman" w:hAnsi="Times New Roman" w:cs="Times New Roman"/>
          <w:sz w:val="24"/>
          <w:szCs w:val="24"/>
          <w:lang w:val="en-GB"/>
        </w:rPr>
        <w:t>by the models 1 and 2 in Table 2</w:t>
      </w:r>
      <w:r w:rsidR="00010667" w:rsidRPr="00421139">
        <w:rPr>
          <w:rFonts w:ascii="Times New Roman" w:hAnsi="Times New Roman" w:cs="Times New Roman"/>
          <w:sz w:val="24"/>
          <w:szCs w:val="24"/>
          <w:lang w:val="en-GB"/>
        </w:rPr>
        <w:t>, it is not</w:t>
      </w:r>
      <w:r>
        <w:rPr>
          <w:rFonts w:ascii="Times New Roman" w:hAnsi="Times New Roman" w:cs="Times New Roman"/>
          <w:sz w:val="24"/>
          <w:szCs w:val="24"/>
          <w:lang w:val="en-GB"/>
        </w:rPr>
        <w:t xml:space="preserve"> possible to conclude that</w:t>
      </w:r>
      <w:r w:rsidR="00010667" w:rsidRPr="00421139">
        <w:rPr>
          <w:rFonts w:ascii="Times New Roman" w:hAnsi="Times New Roman" w:cs="Times New Roman"/>
          <w:sz w:val="24"/>
          <w:szCs w:val="24"/>
          <w:lang w:val="en-GB"/>
        </w:rPr>
        <w:t xml:space="preserve"> structural differences, such as technological gap and degree of outward-orientation, are relevant to explain difference in the impact of undervaluation on growth.</w:t>
      </w:r>
      <w:r>
        <w:rPr>
          <w:rFonts w:ascii="Times New Roman" w:hAnsi="Times New Roman" w:cs="Times New Roman"/>
          <w:sz w:val="24"/>
          <w:szCs w:val="24"/>
          <w:lang w:val="en-GB"/>
        </w:rPr>
        <w:t xml:space="preserve"> In other words, it cannot be said that the effectiveness of expansionary devaluation </w:t>
      </w:r>
      <w:r w:rsidR="00902C0C">
        <w:rPr>
          <w:rFonts w:ascii="Times New Roman" w:hAnsi="Times New Roman" w:cs="Times New Roman"/>
          <w:sz w:val="24"/>
          <w:szCs w:val="24"/>
          <w:lang w:val="en-GB"/>
        </w:rPr>
        <w:t>varies across countries according to</w:t>
      </w:r>
      <w:r>
        <w:rPr>
          <w:rFonts w:ascii="Times New Roman" w:hAnsi="Times New Roman" w:cs="Times New Roman"/>
          <w:sz w:val="24"/>
          <w:szCs w:val="24"/>
          <w:lang w:val="en-GB"/>
        </w:rPr>
        <w:t xml:space="preserve"> either differen</w:t>
      </w:r>
      <w:r w:rsidR="00902C0C">
        <w:rPr>
          <w:rFonts w:ascii="Times New Roman" w:hAnsi="Times New Roman" w:cs="Times New Roman"/>
          <w:sz w:val="24"/>
          <w:szCs w:val="24"/>
          <w:lang w:val="en-GB"/>
        </w:rPr>
        <w:t>ces in their stage</w:t>
      </w:r>
      <w:r>
        <w:rPr>
          <w:rFonts w:ascii="Times New Roman" w:hAnsi="Times New Roman" w:cs="Times New Roman"/>
          <w:sz w:val="24"/>
          <w:szCs w:val="24"/>
          <w:lang w:val="en-GB"/>
        </w:rPr>
        <w:t xml:space="preserve"> of technologic</w:t>
      </w:r>
      <w:r w:rsidR="00902C0C">
        <w:rPr>
          <w:rFonts w:ascii="Times New Roman" w:hAnsi="Times New Roman" w:cs="Times New Roman"/>
          <w:sz w:val="24"/>
          <w:szCs w:val="24"/>
          <w:lang w:val="en-GB"/>
        </w:rPr>
        <w:t>al development or with differences in their</w:t>
      </w:r>
      <w:r>
        <w:rPr>
          <w:rFonts w:ascii="Times New Roman" w:hAnsi="Times New Roman" w:cs="Times New Roman"/>
          <w:sz w:val="24"/>
          <w:szCs w:val="24"/>
          <w:lang w:val="en-GB"/>
        </w:rPr>
        <w:t xml:space="preserve"> degr</w:t>
      </w:r>
      <w:r w:rsidR="00902C0C">
        <w:rPr>
          <w:rFonts w:ascii="Times New Roman" w:hAnsi="Times New Roman" w:cs="Times New Roman"/>
          <w:sz w:val="24"/>
          <w:szCs w:val="24"/>
          <w:lang w:val="en-GB"/>
        </w:rPr>
        <w:t>ee of outward orientation separately.</w:t>
      </w:r>
    </w:p>
    <w:p w:rsidR="00010667" w:rsidRPr="00A53946" w:rsidRDefault="00902C0C"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However, the third model</w:t>
      </w:r>
      <w:r w:rsidR="00010667" w:rsidRPr="00421139">
        <w:rPr>
          <w:rFonts w:ascii="Times New Roman" w:hAnsi="Times New Roman" w:cs="Times New Roman"/>
          <w:sz w:val="24"/>
          <w:szCs w:val="24"/>
          <w:lang w:val="en-GB"/>
        </w:rPr>
        <w:t xml:space="preserve"> (which considers heterogeneity from technological gap and outward-orientation</w:t>
      </w:r>
      <w:r>
        <w:rPr>
          <w:rFonts w:ascii="Times New Roman" w:hAnsi="Times New Roman" w:cs="Times New Roman"/>
          <w:sz w:val="24"/>
          <w:szCs w:val="24"/>
          <w:lang w:val="en-GB"/>
        </w:rPr>
        <w:t xml:space="preserve"> simultaneously</w:t>
      </w:r>
      <w:r w:rsidR="00010667" w:rsidRPr="00421139">
        <w:rPr>
          <w:rFonts w:ascii="Times New Roman" w:hAnsi="Times New Roman" w:cs="Times New Roman"/>
          <w:sz w:val="24"/>
          <w:szCs w:val="24"/>
          <w:lang w:val="en-GB"/>
        </w:rPr>
        <w:t>) shows that</w:t>
      </w:r>
      <w:r>
        <w:rPr>
          <w:rFonts w:ascii="Times New Roman" w:hAnsi="Times New Roman" w:cs="Times New Roman"/>
          <w:sz w:val="24"/>
          <w:szCs w:val="24"/>
          <w:lang w:val="en-GB"/>
        </w:rPr>
        <w:t xml:space="preserve"> the impact of devaluation on growth is jointly determined by </w:t>
      </w:r>
      <w:r w:rsidR="00010667" w:rsidRPr="00421139">
        <w:rPr>
          <w:rFonts w:ascii="Times New Roman" w:hAnsi="Times New Roman" w:cs="Times New Roman"/>
          <w:sz w:val="24"/>
          <w:szCs w:val="24"/>
          <w:lang w:val="en-GB"/>
        </w:rPr>
        <w:t>both variables</w:t>
      </w:r>
      <w:r>
        <w:rPr>
          <w:rFonts w:ascii="Times New Roman" w:hAnsi="Times New Roman" w:cs="Times New Roman"/>
          <w:sz w:val="24"/>
          <w:szCs w:val="24"/>
          <w:lang w:val="en-GB"/>
        </w:rPr>
        <w:t xml:space="preserve"> </w:t>
      </w:r>
      <m:oMath>
        <m:r>
          <w:rPr>
            <w:rFonts w:ascii="Cambria Math" w:hAnsi="Cambria Math" w:cs="Times New Roman"/>
            <w:sz w:val="24"/>
            <w:szCs w:val="24"/>
            <w:lang w:val="en-GB"/>
          </w:rPr>
          <m:t>GAP</m:t>
        </m:r>
      </m:oMath>
      <w:r>
        <w:rPr>
          <w:rFonts w:ascii="Times New Roman" w:hAnsi="Times New Roman" w:cs="Times New Roman"/>
          <w:sz w:val="24"/>
          <w:szCs w:val="24"/>
          <w:lang w:val="en-GB"/>
        </w:rPr>
        <w:t xml:space="preserve"> and </w:t>
      </w:r>
      <m:oMath>
        <m:r>
          <w:rPr>
            <w:rFonts w:ascii="Cambria Math" w:hAnsi="Cambria Math" w:cs="Times New Roman"/>
            <w:sz w:val="24"/>
            <w:szCs w:val="24"/>
            <w:lang w:val="en-GB"/>
          </w:rPr>
          <m:t>OUT</m:t>
        </m:r>
      </m:oMath>
      <w:r>
        <w:rPr>
          <w:rFonts w:ascii="Times New Roman" w:hAnsi="Times New Roman" w:cs="Times New Roman"/>
          <w:sz w:val="24"/>
          <w:szCs w:val="24"/>
          <w:lang w:val="en-GB"/>
        </w:rPr>
        <w:t>. As shown in Table 2</w:t>
      </w:r>
      <w:r w:rsidR="00010667" w:rsidRPr="00421139">
        <w:rPr>
          <w:rFonts w:ascii="Times New Roman" w:hAnsi="Times New Roman" w:cs="Times New Roman"/>
          <w:sz w:val="24"/>
          <w:szCs w:val="24"/>
          <w:lang w:val="en-GB"/>
        </w:rPr>
        <w:t xml:space="preserve">, the coefficient of the interaction between undervaluation and technological gap is significantly different from zero at the </w:t>
      </w:r>
      <w:r w:rsidR="00347B09">
        <w:rPr>
          <w:rFonts w:ascii="Times New Roman" w:hAnsi="Times New Roman" w:cs="Times New Roman"/>
          <w:sz w:val="24"/>
          <w:szCs w:val="24"/>
          <w:lang w:val="en-GB"/>
        </w:rPr>
        <w:t>0.05</w:t>
      </w:r>
      <w:r w:rsidR="00010667" w:rsidRPr="00421139">
        <w:rPr>
          <w:rFonts w:ascii="Times New Roman" w:hAnsi="Times New Roman" w:cs="Times New Roman"/>
          <w:sz w:val="24"/>
          <w:szCs w:val="24"/>
          <w:lang w:val="en-GB"/>
        </w:rPr>
        <w:t xml:space="preserve"> level, as well as the coefficient of interaction between undervaluation and outward-orientation.</w:t>
      </w:r>
      <w:r>
        <w:rPr>
          <w:rFonts w:ascii="Times New Roman" w:hAnsi="Times New Roman" w:cs="Times New Roman"/>
          <w:sz w:val="24"/>
          <w:szCs w:val="24"/>
          <w:lang w:val="en-GB"/>
        </w:rPr>
        <w:t xml:space="preserve"> It is worth noting </w:t>
      </w:r>
      <w:r w:rsidRPr="00A53946">
        <w:rPr>
          <w:rFonts w:ascii="Times New Roman" w:hAnsi="Times New Roman" w:cs="Times New Roman"/>
          <w:sz w:val="24"/>
          <w:szCs w:val="24"/>
          <w:lang w:val="en-GB"/>
        </w:rPr>
        <w:t xml:space="preserve">that, in model 3, the partial effect of </w:t>
      </w:r>
      <m:oMath>
        <m:r>
          <w:rPr>
            <w:rFonts w:ascii="Cambria Math" w:hAnsi="Cambria Math" w:cs="Times New Roman"/>
            <w:sz w:val="24"/>
            <w:szCs w:val="24"/>
            <w:lang w:val="en-GB"/>
          </w:rPr>
          <m:t>UNDERV</m:t>
        </m:r>
      </m:oMath>
      <w:r w:rsidRPr="00A53946">
        <w:rPr>
          <w:rFonts w:ascii="Times New Roman" w:hAnsi="Times New Roman" w:cs="Times New Roman"/>
          <w:sz w:val="24"/>
          <w:szCs w:val="24"/>
          <w:lang w:val="en-GB"/>
        </w:rPr>
        <w:t xml:space="preserve"> becomes statistically non-significant following the inclusion of both interactions </w:t>
      </w:r>
      <m:oMath>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UNDERV</m:t>
            </m:r>
          </m:e>
        </m:d>
        <m:r>
          <w:rPr>
            <w:rFonts w:ascii="Cambria Math" w:hAnsi="Cambria Math" w:cs="Times New Roman"/>
            <w:sz w:val="24"/>
            <w:szCs w:val="24"/>
          </w:rPr>
          <m:t>*</m:t>
        </m:r>
        <m:func>
          <m:funcPr>
            <m:ctrlPr>
              <w:rPr>
                <w:rFonts w:ascii="Cambria Math" w:hAnsi="Cambria Math"/>
                <w:i/>
                <w:color w:val="000000"/>
                <w:sz w:val="24"/>
                <w:szCs w:val="24"/>
              </w:rPr>
            </m:ctrlPr>
          </m:funcPr>
          <m:fName>
            <m:r>
              <m:rPr>
                <m:sty m:val="p"/>
              </m:rPr>
              <w:rPr>
                <w:rFonts w:ascii="Cambria Math" w:hAnsi="Cambria Math"/>
                <w:color w:val="000000"/>
                <w:sz w:val="24"/>
                <w:szCs w:val="24"/>
              </w:rPr>
              <m:t>ln</m:t>
            </m:r>
          </m:fName>
          <m:e>
            <m:r>
              <w:rPr>
                <w:rFonts w:ascii="Cambria Math" w:hAnsi="Cambria Math"/>
                <w:color w:val="000000"/>
                <w:sz w:val="24"/>
                <w:szCs w:val="24"/>
              </w:rPr>
              <m:t>(GA</m:t>
            </m:r>
            <m:sSub>
              <m:sSubPr>
                <m:ctrlPr>
                  <w:rPr>
                    <w:rFonts w:ascii="Cambria Math" w:hAnsi="Cambria Math"/>
                    <w:i/>
                    <w:color w:val="000000"/>
                    <w:sz w:val="24"/>
                    <w:szCs w:val="24"/>
                  </w:rPr>
                </m:ctrlPr>
              </m:sSubPr>
              <m:e>
                <m:r>
                  <w:rPr>
                    <w:rFonts w:ascii="Cambria Math" w:hAnsi="Cambria Math"/>
                    <w:color w:val="000000"/>
                    <w:sz w:val="24"/>
                    <w:szCs w:val="24"/>
                  </w:rPr>
                  <m:t>P</m:t>
                </m:r>
              </m:e>
              <m:sub>
                <m:acc>
                  <m:accPr>
                    <m:chr m:val="̅"/>
                    <m:ctrlPr>
                      <w:rPr>
                        <w:rFonts w:ascii="Cambria Math" w:hAnsi="Cambria Math"/>
                        <w:i/>
                        <w:color w:val="000000"/>
                        <w:sz w:val="24"/>
                        <w:szCs w:val="24"/>
                      </w:rPr>
                    </m:ctrlPr>
                  </m:accPr>
                  <m:e>
                    <m:r>
                      <w:rPr>
                        <w:rFonts w:ascii="Cambria Math" w:hAnsi="Cambria Math"/>
                        <w:color w:val="000000"/>
                        <w:sz w:val="24"/>
                        <w:szCs w:val="24"/>
                      </w:rPr>
                      <m:t>t</m:t>
                    </m:r>
                  </m:e>
                </m:acc>
              </m:sub>
            </m:sSub>
            <m:r>
              <w:rPr>
                <w:rFonts w:ascii="Cambria Math" w:hAnsi="Cambria Math"/>
                <w:color w:val="000000"/>
                <w:sz w:val="24"/>
                <w:szCs w:val="24"/>
              </w:rPr>
              <m:t>)</m:t>
            </m:r>
          </m:e>
        </m:func>
      </m:oMath>
      <w:r w:rsidRPr="00A53946">
        <w:rPr>
          <w:rFonts w:ascii="Times New Roman" w:hAnsi="Times New Roman" w:cs="Times New Roman"/>
          <w:color w:val="000000"/>
          <w:sz w:val="24"/>
          <w:szCs w:val="24"/>
        </w:rPr>
        <w:t xml:space="preserve"> and </w:t>
      </w:r>
      <m:oMath>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UNDERV</m:t>
            </m:r>
          </m:e>
        </m:d>
        <m:r>
          <w:rPr>
            <w:rFonts w:ascii="Cambria Math" w:hAnsi="Cambria Math" w:cs="Times New Roman"/>
            <w:sz w:val="24"/>
            <w:szCs w:val="24"/>
          </w:rPr>
          <m:t>*</m:t>
        </m:r>
        <m:r>
          <w:rPr>
            <w:rFonts w:ascii="Cambria Math" w:hAnsi="Cambria Math"/>
            <w:color w:val="000000"/>
            <w:sz w:val="24"/>
            <w:szCs w:val="24"/>
          </w:rPr>
          <m:t>OU</m:t>
        </m:r>
        <m:sSub>
          <m:sSubPr>
            <m:ctrlPr>
              <w:rPr>
                <w:rFonts w:ascii="Cambria Math" w:hAnsi="Cambria Math"/>
                <w:i/>
                <w:color w:val="000000"/>
                <w:sz w:val="24"/>
                <w:szCs w:val="24"/>
              </w:rPr>
            </m:ctrlPr>
          </m:sSubPr>
          <m:e>
            <m:r>
              <w:rPr>
                <w:rFonts w:ascii="Cambria Math" w:hAnsi="Cambria Math"/>
                <w:color w:val="000000"/>
                <w:sz w:val="24"/>
                <w:szCs w:val="24"/>
              </w:rPr>
              <m:t>T</m:t>
            </m:r>
          </m:e>
          <m:sub>
            <m:acc>
              <m:accPr>
                <m:chr m:val="̅"/>
                <m:ctrlPr>
                  <w:rPr>
                    <w:rFonts w:ascii="Cambria Math" w:hAnsi="Cambria Math"/>
                    <w:i/>
                    <w:color w:val="000000"/>
                    <w:sz w:val="24"/>
                    <w:szCs w:val="24"/>
                  </w:rPr>
                </m:ctrlPr>
              </m:accPr>
              <m:e>
                <m:r>
                  <w:rPr>
                    <w:rFonts w:ascii="Cambria Math" w:hAnsi="Cambria Math"/>
                    <w:color w:val="000000"/>
                    <w:sz w:val="24"/>
                    <w:szCs w:val="24"/>
                  </w:rPr>
                  <m:t>t</m:t>
                </m:r>
              </m:e>
            </m:acc>
          </m:sub>
        </m:sSub>
      </m:oMath>
      <w:r w:rsidR="00A53946">
        <w:rPr>
          <w:rFonts w:ascii="Times New Roman" w:hAnsi="Times New Roman" w:cs="Times New Roman"/>
          <w:color w:val="000000"/>
          <w:sz w:val="24"/>
          <w:szCs w:val="24"/>
        </w:rPr>
        <w:t xml:space="preserve">, thus indicating that the relative level of technological capabilities coupled with the degree of outward-orientation are powerful determinants of the magnitude of the impact of devaluation on growth. </w:t>
      </w:r>
      <w:r w:rsidRPr="00A53946">
        <w:rPr>
          <w:rFonts w:ascii="Times New Roman" w:hAnsi="Times New Roman" w:cs="Times New Roman"/>
          <w:color w:val="000000"/>
          <w:sz w:val="24"/>
          <w:szCs w:val="24"/>
        </w:rPr>
        <w:t xml:space="preserve">  </w:t>
      </w:r>
    </w:p>
    <w:p w:rsidR="00BE78C4" w:rsidRPr="00421139" w:rsidRDefault="00A53946"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Figures 1 and </w:t>
      </w:r>
      <w:r w:rsidR="00010667" w:rsidRPr="00421139">
        <w:rPr>
          <w:rFonts w:ascii="Times New Roman" w:hAnsi="Times New Roman" w:cs="Times New Roman"/>
          <w:sz w:val="24"/>
          <w:szCs w:val="24"/>
          <w:lang w:val="en-GB"/>
        </w:rPr>
        <w:t xml:space="preserve">2 present the </w:t>
      </w:r>
      <w:r>
        <w:rPr>
          <w:rFonts w:ascii="Times New Roman" w:hAnsi="Times New Roman" w:cs="Times New Roman"/>
          <w:sz w:val="24"/>
          <w:szCs w:val="24"/>
          <w:lang w:val="en-GB"/>
        </w:rPr>
        <w:t>partial effect</w:t>
      </w:r>
      <w:r w:rsidR="00010667" w:rsidRPr="00421139">
        <w:rPr>
          <w:rFonts w:ascii="Times New Roman" w:hAnsi="Times New Roman" w:cs="Times New Roman"/>
          <w:sz w:val="24"/>
          <w:szCs w:val="24"/>
          <w:lang w:val="en-GB"/>
        </w:rPr>
        <w:t xml:space="preserve"> of RER undervaluation on growth</w:t>
      </w:r>
      <w:r>
        <w:rPr>
          <w:rFonts w:ascii="Times New Roman" w:hAnsi="Times New Roman" w:cs="Times New Roman"/>
          <w:sz w:val="24"/>
          <w:szCs w:val="24"/>
          <w:lang w:val="en-GB"/>
        </w:rPr>
        <w:t xml:space="preserve"> per period</w:t>
      </w:r>
      <w:r w:rsidR="00010667" w:rsidRPr="00421139">
        <w:rPr>
          <w:rFonts w:ascii="Times New Roman" w:hAnsi="Times New Roman" w:cs="Times New Roman"/>
          <w:sz w:val="24"/>
          <w:szCs w:val="24"/>
          <w:lang w:val="en-GB"/>
        </w:rPr>
        <w:t xml:space="preserve"> according to countries’ technological gap and degree of outward-orientation. </w:t>
      </w:r>
      <w:r w:rsidR="006A3AB9">
        <w:rPr>
          <w:rFonts w:ascii="Times New Roman" w:hAnsi="Times New Roman" w:cs="Times New Roman"/>
          <w:sz w:val="24"/>
          <w:szCs w:val="24"/>
          <w:lang w:val="en-GB"/>
        </w:rPr>
        <w:t>By equation (9), we have:</w:t>
      </w:r>
    </w:p>
    <w:p w:rsidR="00BE78C4" w:rsidRPr="005C119F" w:rsidRDefault="00BE78C4" w:rsidP="00EA30A5">
      <w:pPr>
        <w:spacing w:after="120" w:line="240" w:lineRule="auto"/>
        <w:jc w:val="center"/>
        <w:rPr>
          <w:rFonts w:ascii="Times New Roman" w:hAnsi="Times New Roman" w:cs="Times New Roman"/>
          <w:b/>
          <w:spacing w:val="-20"/>
          <w:sz w:val="24"/>
          <w:szCs w:val="24"/>
          <w:lang w:val="en-GB"/>
        </w:rPr>
      </w:pPr>
      <w:r w:rsidRPr="005C119F">
        <w:rPr>
          <w:rFonts w:ascii="Times New Roman" w:hAnsi="Times New Roman" w:cs="Times New Roman"/>
          <w:b/>
          <w:spacing w:val="-20"/>
          <w:sz w:val="24"/>
          <w:szCs w:val="24"/>
          <w:lang w:val="en-GB"/>
        </w:rPr>
        <w:t xml:space="preserve">Figure 1 – Impact of undervaluation on </w:t>
      </w:r>
      <w:r w:rsidR="00557307" w:rsidRPr="005C119F">
        <w:rPr>
          <w:rFonts w:ascii="Times New Roman" w:hAnsi="Times New Roman" w:cs="Times New Roman"/>
          <w:b/>
          <w:spacing w:val="-20"/>
          <w:sz w:val="24"/>
          <w:szCs w:val="24"/>
          <w:lang w:val="en-GB"/>
        </w:rPr>
        <w:t xml:space="preserve">annual </w:t>
      </w:r>
      <w:r w:rsidRPr="005C119F">
        <w:rPr>
          <w:rFonts w:ascii="Times New Roman" w:hAnsi="Times New Roman" w:cs="Times New Roman"/>
          <w:b/>
          <w:spacing w:val="-20"/>
          <w:sz w:val="24"/>
          <w:szCs w:val="24"/>
          <w:lang w:val="en-GB"/>
        </w:rPr>
        <w:t xml:space="preserve">growth </w:t>
      </w:r>
      <w:r w:rsidR="00557307" w:rsidRPr="005C119F">
        <w:rPr>
          <w:rFonts w:ascii="Times New Roman" w:hAnsi="Times New Roman" w:cs="Times New Roman"/>
          <w:b/>
          <w:spacing w:val="-20"/>
          <w:sz w:val="24"/>
          <w:szCs w:val="24"/>
          <w:lang w:val="en-GB"/>
        </w:rPr>
        <w:t>according to</w:t>
      </w:r>
      <w:r w:rsidRPr="005C119F">
        <w:rPr>
          <w:rFonts w:ascii="Times New Roman" w:hAnsi="Times New Roman" w:cs="Times New Roman"/>
          <w:b/>
          <w:spacing w:val="-20"/>
          <w:sz w:val="24"/>
          <w:szCs w:val="24"/>
          <w:lang w:val="en-GB"/>
        </w:rPr>
        <w:t xml:space="preserve"> outward-orientation (in p.p.)</w:t>
      </w:r>
    </w:p>
    <w:tbl>
      <w:tblPr>
        <w:tblStyle w:val="Tabelacomgrade"/>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1"/>
        <w:gridCol w:w="3190"/>
        <w:gridCol w:w="3190"/>
      </w:tblGrid>
      <w:tr w:rsidR="00BE78C4" w:rsidRPr="00421139" w:rsidTr="001A4B09">
        <w:tc>
          <w:tcPr>
            <w:tcW w:w="3191" w:type="dxa"/>
          </w:tcPr>
          <w:p w:rsidR="00BE78C4" w:rsidRPr="00421139" w:rsidRDefault="00BE78C4" w:rsidP="00EA30A5">
            <w:pPr>
              <w:jc w:val="center"/>
              <w:rPr>
                <w:rFonts w:ascii="Times New Roman" w:hAnsi="Times New Roman" w:cs="Times New Roman"/>
                <w:sz w:val="24"/>
                <w:szCs w:val="24"/>
                <w:lang w:val="en-GB"/>
              </w:rPr>
            </w:pPr>
            <w:r w:rsidRPr="00421139">
              <w:rPr>
                <w:rFonts w:ascii="Times New Roman" w:hAnsi="Times New Roman" w:cs="Times New Roman"/>
                <w:sz w:val="24"/>
                <w:szCs w:val="24"/>
                <w:lang w:val="en-GB"/>
              </w:rPr>
              <w:t>Impact if GAP=0.2</w:t>
            </w:r>
          </w:p>
          <w:p w:rsidR="00BE78C4" w:rsidRPr="00421139" w:rsidRDefault="00557307" w:rsidP="00EA30A5">
            <w:pPr>
              <w:jc w:val="both"/>
              <w:rPr>
                <w:rFonts w:ascii="Times New Roman" w:hAnsi="Times New Roman" w:cs="Times New Roman"/>
                <w:sz w:val="24"/>
                <w:szCs w:val="24"/>
                <w:lang w:val="en-GB"/>
              </w:rPr>
            </w:pPr>
            <w:r w:rsidRPr="00421139">
              <w:rPr>
                <w:rFonts w:ascii="Times New Roman" w:hAnsi="Times New Roman" w:cs="Times New Roman"/>
                <w:noProof/>
                <w:sz w:val="24"/>
                <w:szCs w:val="24"/>
                <w:lang w:val="pt-BR" w:eastAsia="pt-BR"/>
              </w:rPr>
              <w:drawing>
                <wp:inline distT="0" distB="0" distL="0" distR="0">
                  <wp:extent cx="1872000" cy="1165106"/>
                  <wp:effectExtent l="19050" t="0" r="0" b="0"/>
                  <wp:docPr id="1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872000" cy="1165106"/>
                          </a:xfrm>
                          <a:prstGeom prst="rect">
                            <a:avLst/>
                          </a:prstGeom>
                          <a:noFill/>
                          <a:ln w="9525">
                            <a:noFill/>
                            <a:miter lim="800000"/>
                            <a:headEnd/>
                            <a:tailEnd/>
                          </a:ln>
                        </pic:spPr>
                      </pic:pic>
                    </a:graphicData>
                  </a:graphic>
                </wp:inline>
              </w:drawing>
            </w:r>
          </w:p>
        </w:tc>
        <w:tc>
          <w:tcPr>
            <w:tcW w:w="3190" w:type="dxa"/>
          </w:tcPr>
          <w:p w:rsidR="00BE78C4" w:rsidRPr="00421139" w:rsidRDefault="00BE78C4" w:rsidP="00EA30A5">
            <w:pPr>
              <w:jc w:val="center"/>
              <w:rPr>
                <w:rFonts w:ascii="Times New Roman" w:hAnsi="Times New Roman" w:cs="Times New Roman"/>
                <w:sz w:val="24"/>
                <w:szCs w:val="24"/>
                <w:lang w:val="en-GB"/>
              </w:rPr>
            </w:pPr>
            <w:r w:rsidRPr="00421139">
              <w:rPr>
                <w:rFonts w:ascii="Times New Roman" w:hAnsi="Times New Roman" w:cs="Times New Roman"/>
                <w:sz w:val="24"/>
                <w:szCs w:val="24"/>
                <w:lang w:val="en-GB"/>
              </w:rPr>
              <w:t>Impact if GAP=0.5</w:t>
            </w:r>
          </w:p>
          <w:p w:rsidR="00BE78C4" w:rsidRPr="00421139" w:rsidRDefault="00557307" w:rsidP="00EA30A5">
            <w:pPr>
              <w:jc w:val="center"/>
              <w:rPr>
                <w:rFonts w:ascii="Times New Roman" w:hAnsi="Times New Roman" w:cs="Times New Roman"/>
                <w:sz w:val="24"/>
                <w:szCs w:val="24"/>
                <w:lang w:val="en-GB"/>
              </w:rPr>
            </w:pPr>
            <w:r w:rsidRPr="00421139">
              <w:rPr>
                <w:rFonts w:ascii="Times New Roman" w:hAnsi="Times New Roman" w:cs="Times New Roman"/>
                <w:noProof/>
                <w:sz w:val="24"/>
                <w:szCs w:val="24"/>
                <w:lang w:val="pt-BR" w:eastAsia="pt-BR"/>
              </w:rPr>
              <w:drawing>
                <wp:inline distT="0" distB="0" distL="0" distR="0">
                  <wp:extent cx="1872000" cy="1165106"/>
                  <wp:effectExtent l="19050" t="0" r="0" b="0"/>
                  <wp:docPr id="1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872000" cy="1165106"/>
                          </a:xfrm>
                          <a:prstGeom prst="rect">
                            <a:avLst/>
                          </a:prstGeom>
                          <a:noFill/>
                          <a:ln w="9525">
                            <a:noFill/>
                            <a:miter lim="800000"/>
                            <a:headEnd/>
                            <a:tailEnd/>
                          </a:ln>
                        </pic:spPr>
                      </pic:pic>
                    </a:graphicData>
                  </a:graphic>
                </wp:inline>
              </w:drawing>
            </w:r>
          </w:p>
        </w:tc>
        <w:tc>
          <w:tcPr>
            <w:tcW w:w="3190" w:type="dxa"/>
          </w:tcPr>
          <w:p w:rsidR="00BE78C4" w:rsidRPr="00421139" w:rsidRDefault="00BE78C4" w:rsidP="00EA30A5">
            <w:pPr>
              <w:jc w:val="center"/>
              <w:rPr>
                <w:rFonts w:ascii="Times New Roman" w:hAnsi="Times New Roman" w:cs="Times New Roman"/>
                <w:sz w:val="24"/>
                <w:szCs w:val="24"/>
                <w:lang w:val="en-GB"/>
              </w:rPr>
            </w:pPr>
            <w:r w:rsidRPr="00421139">
              <w:rPr>
                <w:rFonts w:ascii="Times New Roman" w:hAnsi="Times New Roman" w:cs="Times New Roman"/>
                <w:sz w:val="24"/>
                <w:szCs w:val="24"/>
                <w:lang w:val="en-GB"/>
              </w:rPr>
              <w:t>Impact if GAP=1.0</w:t>
            </w:r>
          </w:p>
          <w:p w:rsidR="00BE78C4" w:rsidRPr="00421139" w:rsidRDefault="00557307" w:rsidP="00EA30A5">
            <w:pPr>
              <w:jc w:val="both"/>
              <w:rPr>
                <w:rFonts w:ascii="Times New Roman" w:hAnsi="Times New Roman" w:cs="Times New Roman"/>
                <w:sz w:val="24"/>
                <w:szCs w:val="24"/>
                <w:lang w:val="en-GB"/>
              </w:rPr>
            </w:pPr>
            <w:r w:rsidRPr="00421139">
              <w:rPr>
                <w:rFonts w:ascii="Times New Roman" w:hAnsi="Times New Roman" w:cs="Times New Roman"/>
                <w:noProof/>
                <w:sz w:val="24"/>
                <w:szCs w:val="24"/>
                <w:lang w:val="pt-BR" w:eastAsia="pt-BR"/>
              </w:rPr>
              <w:drawing>
                <wp:inline distT="0" distB="0" distL="0" distR="0">
                  <wp:extent cx="1872000" cy="1165103"/>
                  <wp:effectExtent l="19050" t="0" r="0" b="0"/>
                  <wp:docPr id="1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872000" cy="1165103"/>
                          </a:xfrm>
                          <a:prstGeom prst="rect">
                            <a:avLst/>
                          </a:prstGeom>
                          <a:noFill/>
                          <a:ln w="9525">
                            <a:noFill/>
                            <a:miter lim="800000"/>
                            <a:headEnd/>
                            <a:tailEnd/>
                          </a:ln>
                        </pic:spPr>
                      </pic:pic>
                    </a:graphicData>
                  </a:graphic>
                </wp:inline>
              </w:drawing>
            </w:r>
          </w:p>
        </w:tc>
      </w:tr>
    </w:tbl>
    <w:p w:rsidR="001A4B09" w:rsidRPr="00421139" w:rsidRDefault="001A4B09" w:rsidP="00EA30A5">
      <w:pPr>
        <w:spacing w:after="0" w:line="240" w:lineRule="auto"/>
        <w:jc w:val="both"/>
        <w:rPr>
          <w:rFonts w:ascii="Times New Roman" w:hAnsi="Times New Roman" w:cs="Times New Roman"/>
          <w:sz w:val="20"/>
          <w:szCs w:val="20"/>
          <w:lang w:val="en-GB"/>
        </w:rPr>
      </w:pPr>
      <w:r w:rsidRPr="005C119F">
        <w:rPr>
          <w:rFonts w:ascii="Times New Roman" w:hAnsi="Times New Roman" w:cs="Times New Roman"/>
          <w:b/>
          <w:sz w:val="20"/>
          <w:szCs w:val="20"/>
          <w:lang w:val="en-GB"/>
        </w:rPr>
        <w:t>Source:</w:t>
      </w:r>
      <w:r w:rsidRPr="00421139">
        <w:rPr>
          <w:rFonts w:ascii="Times New Roman" w:hAnsi="Times New Roman" w:cs="Times New Roman"/>
          <w:sz w:val="20"/>
          <w:szCs w:val="20"/>
          <w:lang w:val="en-GB"/>
        </w:rPr>
        <w:t xml:space="preserve"> authors’ elaboration.</w:t>
      </w:r>
    </w:p>
    <w:p w:rsidR="001A4B09" w:rsidRPr="005C119F" w:rsidRDefault="005C119F" w:rsidP="00EA30A5">
      <w:pPr>
        <w:spacing w:line="240" w:lineRule="auto"/>
        <w:jc w:val="both"/>
        <w:rPr>
          <w:rFonts w:ascii="Times New Roman" w:hAnsi="Times New Roman" w:cs="Times New Roman"/>
          <w:sz w:val="20"/>
          <w:szCs w:val="20"/>
          <w:lang w:val="en-GB"/>
        </w:rPr>
      </w:pPr>
      <w:r w:rsidRPr="005C119F">
        <w:rPr>
          <w:rFonts w:ascii="Times New Roman" w:hAnsi="Times New Roman" w:cs="Times New Roman"/>
          <w:b/>
          <w:sz w:val="20"/>
          <w:szCs w:val="20"/>
          <w:lang w:val="en-GB"/>
        </w:rPr>
        <w:t>Note:</w:t>
      </w:r>
      <w:r>
        <w:rPr>
          <w:rFonts w:ascii="Times New Roman" w:hAnsi="Times New Roman" w:cs="Times New Roman"/>
          <w:sz w:val="20"/>
          <w:szCs w:val="20"/>
          <w:lang w:val="en-GB"/>
        </w:rPr>
        <w:t xml:space="preserve"> </w:t>
      </w:r>
      <w:r w:rsidR="001A4B09" w:rsidRPr="00421139">
        <w:rPr>
          <w:rFonts w:ascii="Times New Roman" w:hAnsi="Times New Roman" w:cs="Times New Roman"/>
          <w:sz w:val="20"/>
          <w:szCs w:val="20"/>
          <w:lang w:val="en-GB"/>
        </w:rPr>
        <w:t>The continuous line indicates the long-term impact estimated through equation (8); the dash line indic</w:t>
      </w:r>
      <w:r w:rsidR="00347B09">
        <w:rPr>
          <w:rFonts w:ascii="Times New Roman" w:hAnsi="Times New Roman" w:cs="Times New Roman"/>
          <w:sz w:val="20"/>
          <w:szCs w:val="20"/>
          <w:lang w:val="en-GB"/>
        </w:rPr>
        <w:t>ates the 5% confidence interval.</w:t>
      </w:r>
    </w:p>
    <w:p w:rsidR="001A4B09" w:rsidRPr="00421139" w:rsidRDefault="001A4B09" w:rsidP="00EA30A5">
      <w:pPr>
        <w:spacing w:line="240" w:lineRule="auto"/>
        <w:ind w:firstLine="284"/>
        <w:jc w:val="both"/>
        <w:rPr>
          <w:rFonts w:ascii="Times New Roman" w:hAnsi="Times New Roman" w:cs="Times New Roman"/>
          <w:sz w:val="24"/>
          <w:szCs w:val="24"/>
          <w:lang w:val="en-GB"/>
        </w:rPr>
      </w:pPr>
      <w:r w:rsidRPr="00421139">
        <w:rPr>
          <w:rFonts w:ascii="Times New Roman" w:hAnsi="Times New Roman" w:cs="Times New Roman"/>
          <w:sz w:val="24"/>
          <w:szCs w:val="24"/>
          <w:lang w:val="en-GB"/>
        </w:rPr>
        <w:t>Figure 1 shows that</w:t>
      </w:r>
      <w:r w:rsidR="00A53946">
        <w:rPr>
          <w:rFonts w:ascii="Times New Roman" w:hAnsi="Times New Roman" w:cs="Times New Roman"/>
          <w:sz w:val="24"/>
          <w:szCs w:val="24"/>
          <w:lang w:val="en-GB"/>
        </w:rPr>
        <w:t xml:space="preserve">, for a given level of the technological gap, </w:t>
      </w:r>
      <w:r w:rsidRPr="00421139">
        <w:rPr>
          <w:rFonts w:ascii="Times New Roman" w:hAnsi="Times New Roman" w:cs="Times New Roman"/>
          <w:sz w:val="24"/>
          <w:szCs w:val="24"/>
          <w:lang w:val="en-GB"/>
        </w:rPr>
        <w:t>the higher is the degree of outward-orientation, the higher is the impact of undervaluation on countries’ annual growth rates. For a country that the productivity is half of the U.S.</w:t>
      </w:r>
      <w:r w:rsidR="006A3AB9">
        <w:rPr>
          <w:rFonts w:ascii="Times New Roman" w:hAnsi="Times New Roman" w:cs="Times New Roman"/>
          <w:sz w:val="24"/>
          <w:szCs w:val="24"/>
          <w:lang w:val="en-GB"/>
        </w:rPr>
        <w:t xml:space="preserve"> productivity</w:t>
      </w:r>
      <w:r w:rsidRPr="00421139">
        <w:rPr>
          <w:rFonts w:ascii="Times New Roman" w:hAnsi="Times New Roman" w:cs="Times New Roman"/>
          <w:sz w:val="24"/>
          <w:szCs w:val="24"/>
          <w:lang w:val="en-GB"/>
        </w:rPr>
        <w:t>, if the degree of outward-orientation is 20%, the impact of an RER un</w:t>
      </w:r>
      <w:r w:rsidRPr="00347B09">
        <w:rPr>
          <w:rFonts w:ascii="Times New Roman" w:hAnsi="Times New Roman" w:cs="Times New Roman"/>
          <w:sz w:val="24"/>
          <w:szCs w:val="24"/>
          <w:lang w:val="en-GB"/>
        </w:rPr>
        <w:t xml:space="preserve">dervaluation of </w:t>
      </w:r>
      <w:r w:rsidR="00347B09" w:rsidRPr="00347B09">
        <w:rPr>
          <w:rFonts w:ascii="Times New Roman" w:hAnsi="Times New Roman" w:cs="Times New Roman"/>
          <w:sz w:val="24"/>
          <w:szCs w:val="24"/>
          <w:lang w:val="en-GB"/>
        </w:rPr>
        <w:t>10</w:t>
      </w:r>
      <w:r w:rsidRPr="00347B09">
        <w:rPr>
          <w:rFonts w:ascii="Times New Roman" w:hAnsi="Times New Roman" w:cs="Times New Roman"/>
          <w:sz w:val="24"/>
          <w:szCs w:val="24"/>
          <w:lang w:val="en-GB"/>
        </w:rPr>
        <w:t>0% on income growth rate is 1.25 p.p. per year. However, if the degree of outward orientation is 50%, the impact of the same currency undervaluation will be 2.64 p.p.,</w:t>
      </w:r>
      <w:r w:rsidRPr="006A3AB9">
        <w:rPr>
          <w:rFonts w:ascii="Times New Roman" w:hAnsi="Times New Roman" w:cs="Times New Roman"/>
          <w:sz w:val="24"/>
          <w:szCs w:val="24"/>
          <w:lang w:val="en-GB"/>
        </w:rPr>
        <w:t xml:space="preserve"> which indicates that the benefit of undervaluation is higher for open economies than for closed economies</w:t>
      </w:r>
      <w:r w:rsidRPr="00421139">
        <w:rPr>
          <w:rFonts w:ascii="Times New Roman" w:hAnsi="Times New Roman" w:cs="Times New Roman"/>
          <w:sz w:val="24"/>
          <w:szCs w:val="24"/>
          <w:lang w:val="en-GB"/>
        </w:rPr>
        <w:t>.</w:t>
      </w:r>
    </w:p>
    <w:p w:rsidR="00B05E2B" w:rsidRDefault="000F14F9" w:rsidP="00EA30A5">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B05E2B" w:rsidRPr="00421139">
        <w:rPr>
          <w:rFonts w:ascii="Times New Roman" w:hAnsi="Times New Roman" w:cs="Times New Roman"/>
          <w:sz w:val="24"/>
          <w:szCs w:val="24"/>
          <w:lang w:val="en-GB"/>
        </w:rPr>
        <w:t xml:space="preserve">Similar results are found for the technological gap. As can be </w:t>
      </w:r>
      <w:r w:rsidR="006A3AB9">
        <w:rPr>
          <w:rFonts w:ascii="Times New Roman" w:hAnsi="Times New Roman" w:cs="Times New Roman"/>
          <w:sz w:val="24"/>
          <w:szCs w:val="24"/>
          <w:lang w:val="en-GB"/>
        </w:rPr>
        <w:t>seen from Figure 2, the lower the</w:t>
      </w:r>
      <w:r w:rsidR="00B05E2B" w:rsidRPr="00421139">
        <w:rPr>
          <w:rFonts w:ascii="Times New Roman" w:hAnsi="Times New Roman" w:cs="Times New Roman"/>
          <w:sz w:val="24"/>
          <w:szCs w:val="24"/>
          <w:lang w:val="en-GB"/>
        </w:rPr>
        <w:t xml:space="preserve"> productivity </w:t>
      </w:r>
      <w:r w:rsidR="006A3AB9">
        <w:rPr>
          <w:rFonts w:ascii="Times New Roman" w:hAnsi="Times New Roman" w:cs="Times New Roman"/>
          <w:sz w:val="24"/>
          <w:szCs w:val="24"/>
          <w:lang w:val="en-GB"/>
        </w:rPr>
        <w:t>relative</w:t>
      </w:r>
      <w:r w:rsidR="00B05E2B" w:rsidRPr="00421139">
        <w:rPr>
          <w:rFonts w:ascii="Times New Roman" w:hAnsi="Times New Roman" w:cs="Times New Roman"/>
          <w:sz w:val="24"/>
          <w:szCs w:val="24"/>
          <w:lang w:val="en-GB"/>
        </w:rPr>
        <w:t xml:space="preserve"> to the U.S., the </w:t>
      </w:r>
      <w:r w:rsidR="006A3AB9">
        <w:rPr>
          <w:rFonts w:ascii="Times New Roman" w:hAnsi="Times New Roman" w:cs="Times New Roman"/>
          <w:sz w:val="24"/>
          <w:szCs w:val="24"/>
          <w:lang w:val="en-GB"/>
        </w:rPr>
        <w:t>stronger</w:t>
      </w:r>
      <w:r w:rsidR="00B05E2B" w:rsidRPr="00421139">
        <w:rPr>
          <w:rFonts w:ascii="Times New Roman" w:hAnsi="Times New Roman" w:cs="Times New Roman"/>
          <w:sz w:val="24"/>
          <w:szCs w:val="24"/>
          <w:lang w:val="en-GB"/>
        </w:rPr>
        <w:t xml:space="preserve"> the impact of a currency undervaluation.</w:t>
      </w:r>
      <w:r w:rsidR="00A6537A" w:rsidRPr="00421139">
        <w:rPr>
          <w:rFonts w:ascii="Times New Roman" w:hAnsi="Times New Roman" w:cs="Times New Roman"/>
          <w:sz w:val="24"/>
          <w:szCs w:val="24"/>
          <w:lang w:val="en-GB"/>
        </w:rPr>
        <w:t xml:space="preserve"> For a country that exports 30% </w:t>
      </w:r>
      <w:r w:rsidR="00A6537A" w:rsidRPr="00347B09">
        <w:rPr>
          <w:rFonts w:ascii="Times New Roman" w:hAnsi="Times New Roman" w:cs="Times New Roman"/>
          <w:sz w:val="24"/>
          <w:szCs w:val="24"/>
          <w:lang w:val="en-GB"/>
        </w:rPr>
        <w:t>of its GDP (</w:t>
      </w:r>
      <w:r w:rsidR="006A3AB9" w:rsidRPr="00347B09">
        <w:rPr>
          <w:rFonts w:ascii="Times New Roman" w:hAnsi="Times New Roman" w:cs="Times New Roman"/>
          <w:sz w:val="24"/>
          <w:szCs w:val="24"/>
          <w:lang w:val="en-GB"/>
        </w:rPr>
        <w:t>degree of outward-orientation is equal to</w:t>
      </w:r>
      <w:r w:rsidR="00A6537A" w:rsidRPr="00347B09">
        <w:rPr>
          <w:rFonts w:ascii="Times New Roman" w:hAnsi="Times New Roman" w:cs="Times New Roman"/>
          <w:sz w:val="24"/>
          <w:szCs w:val="24"/>
          <w:lang w:val="en-GB"/>
        </w:rPr>
        <w:t xml:space="preserve"> 30%), if its productivity is 40% of the U.S., </w:t>
      </w:r>
      <w:r w:rsidR="006A3AB9" w:rsidRPr="00347B09">
        <w:rPr>
          <w:rFonts w:ascii="Times New Roman" w:hAnsi="Times New Roman" w:cs="Times New Roman"/>
          <w:sz w:val="24"/>
          <w:szCs w:val="24"/>
          <w:lang w:val="en-GB"/>
        </w:rPr>
        <w:t xml:space="preserve">a devaluation of </w:t>
      </w:r>
      <w:r w:rsidR="00347B09" w:rsidRPr="00347B09">
        <w:rPr>
          <w:rFonts w:ascii="Times New Roman" w:hAnsi="Times New Roman" w:cs="Times New Roman"/>
          <w:sz w:val="24"/>
          <w:szCs w:val="24"/>
          <w:lang w:val="en-GB"/>
        </w:rPr>
        <w:t>10</w:t>
      </w:r>
      <w:r w:rsidR="006A3AB9" w:rsidRPr="00347B09">
        <w:rPr>
          <w:rFonts w:ascii="Times New Roman" w:hAnsi="Times New Roman" w:cs="Times New Roman"/>
          <w:sz w:val="24"/>
          <w:szCs w:val="24"/>
          <w:lang w:val="en-GB"/>
        </w:rPr>
        <w:t xml:space="preserve">0% </w:t>
      </w:r>
      <w:r w:rsidR="00A6537A" w:rsidRPr="00347B09">
        <w:rPr>
          <w:rFonts w:ascii="Times New Roman" w:hAnsi="Times New Roman" w:cs="Times New Roman"/>
          <w:sz w:val="24"/>
          <w:szCs w:val="24"/>
          <w:lang w:val="en-GB"/>
        </w:rPr>
        <w:t>increase</w:t>
      </w:r>
      <w:r w:rsidR="006A3AB9" w:rsidRPr="00347B09">
        <w:rPr>
          <w:rFonts w:ascii="Times New Roman" w:hAnsi="Times New Roman" w:cs="Times New Roman"/>
          <w:sz w:val="24"/>
          <w:szCs w:val="24"/>
          <w:lang w:val="en-GB"/>
        </w:rPr>
        <w:t>s</w:t>
      </w:r>
      <w:r w:rsidR="00A6537A" w:rsidRPr="00347B09">
        <w:rPr>
          <w:rFonts w:ascii="Times New Roman" w:hAnsi="Times New Roman" w:cs="Times New Roman"/>
          <w:sz w:val="24"/>
          <w:szCs w:val="24"/>
          <w:lang w:val="en-GB"/>
        </w:rPr>
        <w:t xml:space="preserve"> growth by 1.90 </w:t>
      </w:r>
      <w:proofErr w:type="gramStart"/>
      <w:r w:rsidR="00A6537A" w:rsidRPr="00347B09">
        <w:rPr>
          <w:rFonts w:ascii="Times New Roman" w:hAnsi="Times New Roman" w:cs="Times New Roman"/>
          <w:sz w:val="24"/>
          <w:szCs w:val="24"/>
          <w:lang w:val="en-GB"/>
        </w:rPr>
        <w:t>p.p..</w:t>
      </w:r>
      <w:proofErr w:type="gramEnd"/>
      <w:r w:rsidR="00A6537A" w:rsidRPr="00347B09">
        <w:rPr>
          <w:rFonts w:ascii="Times New Roman" w:hAnsi="Times New Roman" w:cs="Times New Roman"/>
          <w:sz w:val="24"/>
          <w:szCs w:val="24"/>
          <w:lang w:val="en-GB"/>
        </w:rPr>
        <w:t xml:space="preserve"> However, if its productivity is equal to the U.S. (GAP=1), the impact of the same undervaluation will be 1.20 p.p</w:t>
      </w:r>
      <w:r w:rsidR="006A3AB9" w:rsidRPr="00347B09">
        <w:rPr>
          <w:rFonts w:ascii="Times New Roman" w:hAnsi="Times New Roman" w:cs="Times New Roman"/>
          <w:sz w:val="24"/>
          <w:szCs w:val="24"/>
          <w:lang w:val="en-GB"/>
        </w:rPr>
        <w:t xml:space="preserve">., </w:t>
      </w:r>
      <w:r w:rsidR="00D960E6" w:rsidRPr="00347B09">
        <w:rPr>
          <w:rFonts w:ascii="Times New Roman" w:hAnsi="Times New Roman" w:cs="Times New Roman"/>
          <w:sz w:val="24"/>
          <w:szCs w:val="24"/>
          <w:lang w:val="en-GB"/>
        </w:rPr>
        <w:t xml:space="preserve">thus </w:t>
      </w:r>
      <w:r w:rsidR="006A3AB9" w:rsidRPr="00347B09">
        <w:rPr>
          <w:rFonts w:ascii="Times New Roman" w:hAnsi="Times New Roman" w:cs="Times New Roman"/>
          <w:sz w:val="24"/>
          <w:szCs w:val="24"/>
          <w:lang w:val="en-GB"/>
        </w:rPr>
        <w:t>indicating that the higher the</w:t>
      </w:r>
      <w:r w:rsidR="00A6537A" w:rsidRPr="00347B09">
        <w:rPr>
          <w:rFonts w:ascii="Times New Roman" w:hAnsi="Times New Roman" w:cs="Times New Roman"/>
          <w:sz w:val="24"/>
          <w:szCs w:val="24"/>
          <w:lang w:val="en-GB"/>
        </w:rPr>
        <w:t xml:space="preserve"> countries’ productivity</w:t>
      </w:r>
      <w:r w:rsidR="00A6537A" w:rsidRPr="00421139">
        <w:rPr>
          <w:rFonts w:ascii="Times New Roman" w:hAnsi="Times New Roman" w:cs="Times New Roman"/>
          <w:sz w:val="24"/>
          <w:szCs w:val="24"/>
          <w:lang w:val="en-GB"/>
        </w:rPr>
        <w:t xml:space="preserve">, the </w:t>
      </w:r>
      <w:r w:rsidR="00D960E6">
        <w:rPr>
          <w:rFonts w:ascii="Times New Roman" w:hAnsi="Times New Roman" w:cs="Times New Roman"/>
          <w:sz w:val="24"/>
          <w:szCs w:val="24"/>
          <w:lang w:val="en-GB"/>
        </w:rPr>
        <w:t>weaker the expansionary devaluation</w:t>
      </w:r>
      <w:r w:rsidR="00A6537A" w:rsidRPr="00421139">
        <w:rPr>
          <w:rFonts w:ascii="Times New Roman" w:hAnsi="Times New Roman" w:cs="Times New Roman"/>
          <w:sz w:val="24"/>
          <w:szCs w:val="24"/>
          <w:lang w:val="en-GB"/>
        </w:rPr>
        <w:t>.</w:t>
      </w:r>
    </w:p>
    <w:p w:rsidR="00347B09" w:rsidRDefault="00347B09" w:rsidP="00EA30A5">
      <w:pPr>
        <w:spacing w:line="240" w:lineRule="auto"/>
        <w:jc w:val="both"/>
        <w:rPr>
          <w:rFonts w:ascii="Times New Roman" w:hAnsi="Times New Roman" w:cs="Times New Roman"/>
          <w:sz w:val="24"/>
          <w:szCs w:val="24"/>
          <w:lang w:val="en-GB"/>
        </w:rPr>
      </w:pPr>
    </w:p>
    <w:p w:rsidR="00B05E2B" w:rsidRPr="005C119F" w:rsidRDefault="00B05E2B" w:rsidP="00EA30A5">
      <w:pPr>
        <w:spacing w:after="120" w:line="240" w:lineRule="auto"/>
        <w:jc w:val="center"/>
        <w:rPr>
          <w:rFonts w:ascii="Times New Roman" w:hAnsi="Times New Roman" w:cs="Times New Roman"/>
          <w:b/>
          <w:spacing w:val="-20"/>
          <w:sz w:val="24"/>
          <w:szCs w:val="24"/>
          <w:lang w:val="en-GB"/>
        </w:rPr>
      </w:pPr>
      <w:r w:rsidRPr="005C119F">
        <w:rPr>
          <w:rFonts w:ascii="Times New Roman" w:hAnsi="Times New Roman" w:cs="Times New Roman"/>
          <w:b/>
          <w:spacing w:val="-20"/>
          <w:sz w:val="24"/>
          <w:szCs w:val="24"/>
          <w:lang w:val="en-GB"/>
        </w:rPr>
        <w:t>Figure 2 – Impact of undervaluation on annual growth according to technological gap (in p.p.)</w:t>
      </w:r>
    </w:p>
    <w:tbl>
      <w:tblPr>
        <w:tblStyle w:val="Tabelacomgrade"/>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1"/>
        <w:gridCol w:w="3190"/>
        <w:gridCol w:w="3190"/>
      </w:tblGrid>
      <w:tr w:rsidR="00A6537A" w:rsidRPr="00421139" w:rsidTr="00370DBC">
        <w:tc>
          <w:tcPr>
            <w:tcW w:w="3191" w:type="dxa"/>
          </w:tcPr>
          <w:p w:rsidR="00B05E2B" w:rsidRPr="00421139" w:rsidRDefault="00B05E2B" w:rsidP="00EA30A5">
            <w:pPr>
              <w:jc w:val="center"/>
              <w:rPr>
                <w:rFonts w:ascii="Times New Roman" w:hAnsi="Times New Roman" w:cs="Times New Roman"/>
                <w:sz w:val="24"/>
                <w:szCs w:val="24"/>
                <w:lang w:val="en-GB"/>
              </w:rPr>
            </w:pPr>
            <w:r w:rsidRPr="00421139">
              <w:rPr>
                <w:rFonts w:ascii="Times New Roman" w:hAnsi="Times New Roman" w:cs="Times New Roman"/>
                <w:sz w:val="24"/>
                <w:szCs w:val="24"/>
                <w:lang w:val="en-GB"/>
              </w:rPr>
              <w:t>Impact if OUT=10%</w:t>
            </w:r>
          </w:p>
          <w:p w:rsidR="00B05E2B" w:rsidRPr="00421139" w:rsidRDefault="00A6537A" w:rsidP="00EA30A5">
            <w:pPr>
              <w:jc w:val="both"/>
              <w:rPr>
                <w:rFonts w:ascii="Times New Roman" w:hAnsi="Times New Roman" w:cs="Times New Roman"/>
                <w:sz w:val="24"/>
                <w:szCs w:val="24"/>
                <w:lang w:val="en-GB"/>
              </w:rPr>
            </w:pPr>
            <w:r w:rsidRPr="00421139">
              <w:rPr>
                <w:rFonts w:ascii="Times New Roman" w:hAnsi="Times New Roman" w:cs="Times New Roman"/>
                <w:noProof/>
                <w:sz w:val="24"/>
                <w:szCs w:val="24"/>
                <w:lang w:val="pt-BR" w:eastAsia="pt-BR"/>
              </w:rPr>
              <w:drawing>
                <wp:inline distT="0" distB="0" distL="0" distR="0">
                  <wp:extent cx="1872000" cy="1165104"/>
                  <wp:effectExtent l="19050" t="0" r="0" b="0"/>
                  <wp:docPr id="1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1872000" cy="1165104"/>
                          </a:xfrm>
                          <a:prstGeom prst="rect">
                            <a:avLst/>
                          </a:prstGeom>
                          <a:noFill/>
                          <a:ln w="9525">
                            <a:noFill/>
                            <a:miter lim="800000"/>
                            <a:headEnd/>
                            <a:tailEnd/>
                          </a:ln>
                        </pic:spPr>
                      </pic:pic>
                    </a:graphicData>
                  </a:graphic>
                </wp:inline>
              </w:drawing>
            </w:r>
          </w:p>
        </w:tc>
        <w:tc>
          <w:tcPr>
            <w:tcW w:w="3190" w:type="dxa"/>
          </w:tcPr>
          <w:p w:rsidR="00B05E2B" w:rsidRPr="00421139" w:rsidRDefault="00B05E2B" w:rsidP="00EA30A5">
            <w:pPr>
              <w:jc w:val="center"/>
              <w:rPr>
                <w:rFonts w:ascii="Times New Roman" w:hAnsi="Times New Roman" w:cs="Times New Roman"/>
                <w:sz w:val="24"/>
                <w:szCs w:val="24"/>
                <w:lang w:val="en-GB"/>
              </w:rPr>
            </w:pPr>
            <w:r w:rsidRPr="00421139">
              <w:rPr>
                <w:rFonts w:ascii="Times New Roman" w:hAnsi="Times New Roman" w:cs="Times New Roman"/>
                <w:sz w:val="24"/>
                <w:szCs w:val="24"/>
                <w:lang w:val="en-GB"/>
              </w:rPr>
              <w:t>Impact if OUT=30%</w:t>
            </w:r>
          </w:p>
          <w:p w:rsidR="00B05E2B" w:rsidRPr="00421139" w:rsidRDefault="00A6537A" w:rsidP="00EA30A5">
            <w:pPr>
              <w:jc w:val="center"/>
              <w:rPr>
                <w:rFonts w:ascii="Times New Roman" w:hAnsi="Times New Roman" w:cs="Times New Roman"/>
                <w:sz w:val="24"/>
                <w:szCs w:val="24"/>
                <w:lang w:val="en-GB"/>
              </w:rPr>
            </w:pPr>
            <w:r w:rsidRPr="00421139">
              <w:rPr>
                <w:rFonts w:ascii="Times New Roman" w:hAnsi="Times New Roman" w:cs="Times New Roman"/>
                <w:noProof/>
                <w:sz w:val="24"/>
                <w:szCs w:val="24"/>
                <w:lang w:val="pt-BR" w:eastAsia="pt-BR"/>
              </w:rPr>
              <w:drawing>
                <wp:inline distT="0" distB="0" distL="0" distR="0">
                  <wp:extent cx="1872000" cy="1165103"/>
                  <wp:effectExtent l="19050" t="0" r="0" b="0"/>
                  <wp:docPr id="1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1872000" cy="1165103"/>
                          </a:xfrm>
                          <a:prstGeom prst="rect">
                            <a:avLst/>
                          </a:prstGeom>
                          <a:noFill/>
                          <a:ln w="9525">
                            <a:noFill/>
                            <a:miter lim="800000"/>
                            <a:headEnd/>
                            <a:tailEnd/>
                          </a:ln>
                        </pic:spPr>
                      </pic:pic>
                    </a:graphicData>
                  </a:graphic>
                </wp:inline>
              </w:drawing>
            </w:r>
          </w:p>
        </w:tc>
        <w:tc>
          <w:tcPr>
            <w:tcW w:w="3190" w:type="dxa"/>
          </w:tcPr>
          <w:p w:rsidR="00B05E2B" w:rsidRPr="00421139" w:rsidRDefault="00B05E2B" w:rsidP="00EA30A5">
            <w:pPr>
              <w:jc w:val="center"/>
              <w:rPr>
                <w:rFonts w:ascii="Times New Roman" w:hAnsi="Times New Roman" w:cs="Times New Roman"/>
                <w:sz w:val="24"/>
                <w:szCs w:val="24"/>
                <w:lang w:val="en-GB"/>
              </w:rPr>
            </w:pPr>
            <w:r w:rsidRPr="00421139">
              <w:rPr>
                <w:rFonts w:ascii="Times New Roman" w:hAnsi="Times New Roman" w:cs="Times New Roman"/>
                <w:sz w:val="24"/>
                <w:szCs w:val="24"/>
                <w:lang w:val="en-GB"/>
              </w:rPr>
              <w:t>Impact if OUT=50%</w:t>
            </w:r>
          </w:p>
          <w:p w:rsidR="00B05E2B" w:rsidRPr="00421139" w:rsidRDefault="00A6537A" w:rsidP="00EA30A5">
            <w:pPr>
              <w:jc w:val="both"/>
              <w:rPr>
                <w:rFonts w:ascii="Times New Roman" w:hAnsi="Times New Roman" w:cs="Times New Roman"/>
                <w:sz w:val="24"/>
                <w:szCs w:val="24"/>
                <w:lang w:val="en-GB"/>
              </w:rPr>
            </w:pPr>
            <w:r w:rsidRPr="00421139">
              <w:rPr>
                <w:rFonts w:ascii="Times New Roman" w:hAnsi="Times New Roman" w:cs="Times New Roman"/>
                <w:noProof/>
                <w:sz w:val="24"/>
                <w:szCs w:val="24"/>
                <w:lang w:val="pt-BR" w:eastAsia="pt-BR"/>
              </w:rPr>
              <w:drawing>
                <wp:inline distT="0" distB="0" distL="0" distR="0">
                  <wp:extent cx="1872000" cy="1165103"/>
                  <wp:effectExtent l="19050" t="0" r="0" b="0"/>
                  <wp:docPr id="2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872000" cy="1165103"/>
                          </a:xfrm>
                          <a:prstGeom prst="rect">
                            <a:avLst/>
                          </a:prstGeom>
                          <a:noFill/>
                          <a:ln w="9525">
                            <a:noFill/>
                            <a:miter lim="800000"/>
                            <a:headEnd/>
                            <a:tailEnd/>
                          </a:ln>
                        </pic:spPr>
                      </pic:pic>
                    </a:graphicData>
                  </a:graphic>
                </wp:inline>
              </w:drawing>
            </w:r>
          </w:p>
        </w:tc>
      </w:tr>
    </w:tbl>
    <w:p w:rsidR="00B05E2B" w:rsidRPr="00421139" w:rsidRDefault="00C7149E" w:rsidP="00EA30A5">
      <w:pPr>
        <w:spacing w:line="240" w:lineRule="auto"/>
        <w:jc w:val="both"/>
        <w:rPr>
          <w:rFonts w:ascii="Times New Roman" w:hAnsi="Times New Roman" w:cs="Times New Roman"/>
          <w:sz w:val="20"/>
          <w:szCs w:val="20"/>
          <w:lang w:val="en-GB"/>
        </w:rPr>
      </w:pPr>
      <w:r w:rsidRPr="00C7149E">
        <w:rPr>
          <w:rFonts w:ascii="Times New Roman" w:hAnsi="Times New Roman" w:cs="Times New Roman"/>
          <w:b/>
          <w:sz w:val="20"/>
          <w:szCs w:val="20"/>
          <w:lang w:val="en-GB"/>
        </w:rPr>
        <w:t>Note:</w:t>
      </w:r>
      <w:r>
        <w:rPr>
          <w:rFonts w:ascii="Times New Roman" w:hAnsi="Times New Roman" w:cs="Times New Roman"/>
          <w:sz w:val="20"/>
          <w:szCs w:val="20"/>
          <w:lang w:val="en-GB"/>
        </w:rPr>
        <w:t xml:space="preserve"> </w:t>
      </w:r>
      <w:r w:rsidR="00A6537A" w:rsidRPr="00421139">
        <w:rPr>
          <w:rFonts w:ascii="Times New Roman" w:hAnsi="Times New Roman" w:cs="Times New Roman"/>
          <w:sz w:val="20"/>
          <w:szCs w:val="20"/>
          <w:lang w:val="en-GB"/>
        </w:rPr>
        <w:t>C</w:t>
      </w:r>
      <w:r w:rsidR="00B05E2B" w:rsidRPr="00421139">
        <w:rPr>
          <w:rFonts w:ascii="Times New Roman" w:hAnsi="Times New Roman" w:cs="Times New Roman"/>
          <w:sz w:val="20"/>
          <w:szCs w:val="20"/>
          <w:lang w:val="en-GB"/>
        </w:rPr>
        <w:t>ontinuous line</w:t>
      </w:r>
      <w:r w:rsidR="00A6537A" w:rsidRPr="00421139">
        <w:rPr>
          <w:rFonts w:ascii="Times New Roman" w:hAnsi="Times New Roman" w:cs="Times New Roman"/>
          <w:sz w:val="20"/>
          <w:szCs w:val="20"/>
          <w:lang w:val="en-GB"/>
        </w:rPr>
        <w:t>s</w:t>
      </w:r>
      <w:r w:rsidR="00B05E2B" w:rsidRPr="00421139">
        <w:rPr>
          <w:rFonts w:ascii="Times New Roman" w:hAnsi="Times New Roman" w:cs="Times New Roman"/>
          <w:sz w:val="20"/>
          <w:szCs w:val="20"/>
          <w:lang w:val="en-GB"/>
        </w:rPr>
        <w:t xml:space="preserve"> </w:t>
      </w:r>
      <w:r w:rsidR="00A6537A" w:rsidRPr="00421139">
        <w:rPr>
          <w:rFonts w:ascii="Times New Roman" w:hAnsi="Times New Roman" w:cs="Times New Roman"/>
          <w:sz w:val="20"/>
          <w:szCs w:val="20"/>
          <w:lang w:val="en-GB"/>
        </w:rPr>
        <w:t>indicate</w:t>
      </w:r>
      <w:r w:rsidR="00B05E2B" w:rsidRPr="00421139">
        <w:rPr>
          <w:rFonts w:ascii="Times New Roman" w:hAnsi="Times New Roman" w:cs="Times New Roman"/>
          <w:sz w:val="20"/>
          <w:szCs w:val="20"/>
          <w:lang w:val="en-GB"/>
        </w:rPr>
        <w:t xml:space="preserve"> the long-term impact estimated through equation (8); dash line</w:t>
      </w:r>
      <w:r w:rsidR="00A6537A" w:rsidRPr="00421139">
        <w:rPr>
          <w:rFonts w:ascii="Times New Roman" w:hAnsi="Times New Roman" w:cs="Times New Roman"/>
          <w:sz w:val="20"/>
          <w:szCs w:val="20"/>
          <w:lang w:val="en-GB"/>
        </w:rPr>
        <w:t>s indicate</w:t>
      </w:r>
      <w:r w:rsidR="00B05E2B" w:rsidRPr="00421139">
        <w:rPr>
          <w:rFonts w:ascii="Times New Roman" w:hAnsi="Times New Roman" w:cs="Times New Roman"/>
          <w:sz w:val="20"/>
          <w:szCs w:val="20"/>
          <w:lang w:val="en-GB"/>
        </w:rPr>
        <w:t xml:space="preserve"> the 5% confidence interval.</w:t>
      </w:r>
      <w:r w:rsidR="00347B09">
        <w:rPr>
          <w:rFonts w:ascii="Times New Roman" w:hAnsi="Times New Roman" w:cs="Times New Roman"/>
          <w:sz w:val="20"/>
          <w:szCs w:val="20"/>
          <w:lang w:val="en-GB"/>
        </w:rPr>
        <w:t xml:space="preserve"> </w:t>
      </w:r>
    </w:p>
    <w:p w:rsidR="00B05E2B" w:rsidRPr="009E55DD" w:rsidRDefault="00B05E2B" w:rsidP="00EA30A5">
      <w:pPr>
        <w:spacing w:line="240" w:lineRule="auto"/>
        <w:jc w:val="both"/>
        <w:rPr>
          <w:rFonts w:ascii="Times New Roman" w:hAnsi="Times New Roman" w:cs="Times New Roman"/>
          <w:sz w:val="24"/>
          <w:szCs w:val="24"/>
          <w:lang w:val="en-GB"/>
        </w:rPr>
      </w:pPr>
    </w:p>
    <w:p w:rsidR="009E55DD" w:rsidRDefault="005873D8"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light of our findings, we suggest a brief alternative explanation for the relationship between the effectiveness of currency devaluation and the stages of economic development. As aforementioned, </w:t>
      </w:r>
      <w:proofErr w:type="spellStart"/>
      <w:r>
        <w:rPr>
          <w:rFonts w:ascii="Times New Roman" w:hAnsi="Times New Roman" w:cs="Times New Roman"/>
          <w:sz w:val="24"/>
          <w:szCs w:val="24"/>
          <w:lang w:val="en-GB"/>
        </w:rPr>
        <w:t>Rodrik</w:t>
      </w:r>
      <w:proofErr w:type="spellEnd"/>
      <w:r>
        <w:rPr>
          <w:rFonts w:ascii="Times New Roman" w:hAnsi="Times New Roman" w:cs="Times New Roman"/>
          <w:sz w:val="24"/>
          <w:szCs w:val="24"/>
          <w:lang w:val="en-GB"/>
        </w:rPr>
        <w:t xml:space="preserve"> (2008) states that expansionary devaluation is usually observed in developing countries because </w:t>
      </w:r>
      <w:r w:rsidRPr="00CF143B">
        <w:rPr>
          <w:rFonts w:ascii="Times New Roman" w:hAnsi="Times New Roman" w:cs="Times New Roman"/>
          <w:sz w:val="24"/>
          <w:szCs w:val="24"/>
          <w:lang w:val="en-GB"/>
        </w:rPr>
        <w:t xml:space="preserve">the existence of bad institutions and market failures </w:t>
      </w:r>
      <w:r>
        <w:rPr>
          <w:rFonts w:ascii="Times New Roman" w:hAnsi="Times New Roman" w:cs="Times New Roman"/>
          <w:sz w:val="24"/>
          <w:szCs w:val="24"/>
          <w:lang w:val="en-GB"/>
        </w:rPr>
        <w:t>affect</w:t>
      </w:r>
      <w:r w:rsidRPr="00CF143B">
        <w:rPr>
          <w:rFonts w:ascii="Times New Roman" w:hAnsi="Times New Roman" w:cs="Times New Roman"/>
          <w:sz w:val="24"/>
          <w:szCs w:val="24"/>
          <w:lang w:val="en-GB"/>
        </w:rPr>
        <w:t xml:space="preserve"> </w:t>
      </w:r>
      <w:r w:rsidRPr="00CF143B">
        <w:rPr>
          <w:rFonts w:ascii="Times New Roman" w:hAnsi="Times New Roman" w:cs="Times New Roman"/>
          <w:sz w:val="24"/>
          <w:szCs w:val="24"/>
          <w:lang w:val="en-GB"/>
        </w:rPr>
        <w:lastRenderedPageBreak/>
        <w:t>disproportionately the tradables sector in relation to the non-tradables</w:t>
      </w:r>
      <w:r>
        <w:rPr>
          <w:rFonts w:ascii="Times New Roman" w:hAnsi="Times New Roman" w:cs="Times New Roman"/>
          <w:sz w:val="24"/>
          <w:szCs w:val="24"/>
          <w:lang w:val="en-GB"/>
        </w:rPr>
        <w:t xml:space="preserve"> in these countries and hence devaluation acts as a </w:t>
      </w:r>
      <w:r w:rsidRPr="00CF143B">
        <w:rPr>
          <w:rFonts w:ascii="Times New Roman" w:hAnsi="Times New Roman" w:cs="Times New Roman"/>
          <w:sz w:val="24"/>
          <w:szCs w:val="24"/>
          <w:lang w:val="en-GB"/>
        </w:rPr>
        <w:t>second-best sol</w:t>
      </w:r>
      <w:r>
        <w:rPr>
          <w:rFonts w:ascii="Times New Roman" w:hAnsi="Times New Roman" w:cs="Times New Roman"/>
          <w:sz w:val="24"/>
          <w:szCs w:val="24"/>
          <w:lang w:val="en-GB"/>
        </w:rPr>
        <w:t>ution to promote growth, since</w:t>
      </w:r>
      <w:r w:rsidRPr="00CF143B">
        <w:rPr>
          <w:rFonts w:ascii="Times New Roman" w:hAnsi="Times New Roman" w:cs="Times New Roman"/>
          <w:sz w:val="24"/>
          <w:szCs w:val="24"/>
          <w:lang w:val="en-GB"/>
        </w:rPr>
        <w:t xml:space="preserve"> higher real exchange rate incre</w:t>
      </w:r>
      <w:r>
        <w:rPr>
          <w:rFonts w:ascii="Times New Roman" w:hAnsi="Times New Roman" w:cs="Times New Roman"/>
          <w:sz w:val="24"/>
          <w:szCs w:val="24"/>
          <w:lang w:val="en-GB"/>
        </w:rPr>
        <w:t>ases profitability of trada</w:t>
      </w:r>
      <w:r w:rsidRPr="00CF143B">
        <w:rPr>
          <w:rFonts w:ascii="Times New Roman" w:hAnsi="Times New Roman" w:cs="Times New Roman"/>
          <w:sz w:val="24"/>
          <w:szCs w:val="24"/>
          <w:lang w:val="en-GB"/>
        </w:rPr>
        <w:t>bles</w:t>
      </w:r>
      <w:r>
        <w:rPr>
          <w:rFonts w:ascii="Times New Roman" w:hAnsi="Times New Roman" w:cs="Times New Roman"/>
          <w:sz w:val="24"/>
          <w:szCs w:val="24"/>
          <w:lang w:val="en-GB"/>
        </w:rPr>
        <w:t xml:space="preserve"> relative to non-tradables.</w:t>
      </w:r>
      <w:r w:rsidR="00C43E65">
        <w:rPr>
          <w:rFonts w:ascii="Times New Roman" w:hAnsi="Times New Roman" w:cs="Times New Roman"/>
          <w:sz w:val="24"/>
          <w:szCs w:val="24"/>
          <w:lang w:val="en-GB"/>
        </w:rPr>
        <w:t xml:space="preserve"> This argument only makes sense due to </w:t>
      </w:r>
      <w:r w:rsidR="00C43E65" w:rsidRPr="00704626">
        <w:rPr>
          <w:rFonts w:ascii="Times New Roman" w:hAnsi="Times New Roman" w:cs="Times New Roman"/>
          <w:sz w:val="24"/>
          <w:szCs w:val="24"/>
          <w:lang w:val="en-GB"/>
        </w:rPr>
        <w:t xml:space="preserve">the </w:t>
      </w:r>
      <w:r w:rsidR="00C43E65">
        <w:rPr>
          <w:rFonts w:ascii="Times New Roman" w:hAnsi="Times New Roman" w:cs="Times New Roman"/>
          <w:sz w:val="24"/>
          <w:szCs w:val="24"/>
          <w:lang w:val="en-GB"/>
        </w:rPr>
        <w:t xml:space="preserve">underlying assumption </w:t>
      </w:r>
      <w:r w:rsidR="00C43E65" w:rsidRPr="00704626">
        <w:rPr>
          <w:rFonts w:ascii="Times New Roman" w:hAnsi="Times New Roman" w:cs="Times New Roman"/>
          <w:sz w:val="24"/>
          <w:szCs w:val="24"/>
          <w:lang w:val="en-GB"/>
        </w:rPr>
        <w:t>that only free</w:t>
      </w:r>
      <w:r w:rsidR="00C43E65">
        <w:rPr>
          <w:rFonts w:ascii="Times New Roman" w:hAnsi="Times New Roman" w:cs="Times New Roman"/>
          <w:sz w:val="24"/>
          <w:szCs w:val="24"/>
          <w:lang w:val="en-GB"/>
        </w:rPr>
        <w:t>-market</w:t>
      </w:r>
      <w:r w:rsidR="00C43E65" w:rsidRPr="00704626">
        <w:rPr>
          <w:rFonts w:ascii="Times New Roman" w:hAnsi="Times New Roman" w:cs="Times New Roman"/>
          <w:sz w:val="24"/>
          <w:szCs w:val="24"/>
          <w:lang w:val="en-GB"/>
        </w:rPr>
        <w:t xml:space="preserve"> competition wo</w:t>
      </w:r>
      <w:r w:rsidR="00C43E65">
        <w:rPr>
          <w:rFonts w:ascii="Times New Roman" w:hAnsi="Times New Roman" w:cs="Times New Roman"/>
          <w:sz w:val="24"/>
          <w:szCs w:val="24"/>
          <w:lang w:val="en-GB"/>
        </w:rPr>
        <w:t>uld be able to create the conditions for fast economic growth.</w:t>
      </w:r>
      <w:r>
        <w:rPr>
          <w:rFonts w:ascii="Times New Roman" w:hAnsi="Times New Roman" w:cs="Times New Roman"/>
          <w:sz w:val="24"/>
          <w:szCs w:val="24"/>
          <w:lang w:val="en-GB"/>
        </w:rPr>
        <w:t xml:space="preserve"> </w:t>
      </w:r>
      <w:r w:rsidR="00C43E65">
        <w:rPr>
          <w:rFonts w:ascii="Times New Roman" w:hAnsi="Times New Roman" w:cs="Times New Roman"/>
          <w:sz w:val="24"/>
          <w:szCs w:val="24"/>
          <w:lang w:val="en-GB"/>
        </w:rPr>
        <w:t>Alternatively, f</w:t>
      </w:r>
      <w:r w:rsidR="009E55DD" w:rsidRPr="009E55DD">
        <w:rPr>
          <w:rFonts w:ascii="Times New Roman" w:hAnsi="Times New Roman" w:cs="Times New Roman"/>
          <w:sz w:val="24"/>
          <w:szCs w:val="24"/>
          <w:lang w:val="en-GB"/>
        </w:rPr>
        <w:t>rom a Kaldorian standpoint the growth rate of a given region</w:t>
      </w:r>
      <w:r w:rsidR="009E55DD">
        <w:rPr>
          <w:rFonts w:ascii="Times New Roman" w:hAnsi="Times New Roman" w:cs="Times New Roman"/>
          <w:sz w:val="24"/>
          <w:szCs w:val="24"/>
          <w:lang w:val="en-GB"/>
        </w:rPr>
        <w:t xml:space="preserve"> or country</w:t>
      </w:r>
      <w:r w:rsidR="009E55DD" w:rsidRPr="009E55DD">
        <w:rPr>
          <w:rFonts w:ascii="Times New Roman" w:hAnsi="Times New Roman" w:cs="Times New Roman"/>
          <w:sz w:val="24"/>
          <w:szCs w:val="24"/>
          <w:lang w:val="en-GB"/>
        </w:rPr>
        <w:t xml:space="preserve"> is </w:t>
      </w:r>
      <w:r w:rsidR="009E55DD">
        <w:rPr>
          <w:rFonts w:ascii="Times New Roman" w:hAnsi="Times New Roman" w:cs="Times New Roman"/>
          <w:sz w:val="24"/>
          <w:szCs w:val="24"/>
          <w:lang w:val="en-GB"/>
        </w:rPr>
        <w:t>based on its</w:t>
      </w:r>
      <w:r w:rsidR="009E55DD" w:rsidRPr="009E55DD">
        <w:rPr>
          <w:rFonts w:ascii="Times New Roman" w:hAnsi="Times New Roman" w:cs="Times New Roman"/>
          <w:sz w:val="24"/>
          <w:szCs w:val="24"/>
          <w:lang w:val="en-GB"/>
        </w:rPr>
        <w:t xml:space="preserve"> sectoral composition. Along the course of economic development</w:t>
      </w:r>
      <w:r w:rsidR="009E55DD">
        <w:rPr>
          <w:rFonts w:ascii="Times New Roman" w:hAnsi="Times New Roman" w:cs="Times New Roman"/>
          <w:sz w:val="24"/>
          <w:szCs w:val="24"/>
          <w:lang w:val="en-GB"/>
        </w:rPr>
        <w:t>, countries present</w:t>
      </w:r>
      <w:r w:rsidR="009E55DD" w:rsidRPr="009E55DD">
        <w:rPr>
          <w:rFonts w:ascii="Times New Roman" w:hAnsi="Times New Roman" w:cs="Times New Roman"/>
          <w:sz w:val="24"/>
          <w:szCs w:val="24"/>
          <w:lang w:val="en-GB"/>
        </w:rPr>
        <w:t xml:space="preserve"> distinct sectoral compositions, i.e., the share of primary sector, manufacturing and services in the economy</w:t>
      </w:r>
      <w:r w:rsidR="009E55DD">
        <w:rPr>
          <w:rFonts w:ascii="Times New Roman" w:hAnsi="Times New Roman" w:cs="Times New Roman"/>
          <w:sz w:val="24"/>
          <w:szCs w:val="24"/>
          <w:lang w:val="en-GB"/>
        </w:rPr>
        <w:t xml:space="preserve"> varies across countries</w:t>
      </w:r>
      <w:r w:rsidR="009E55DD" w:rsidRPr="009E55DD">
        <w:rPr>
          <w:rFonts w:ascii="Times New Roman" w:hAnsi="Times New Roman" w:cs="Times New Roman"/>
          <w:sz w:val="24"/>
          <w:szCs w:val="24"/>
          <w:lang w:val="en-GB"/>
        </w:rPr>
        <w:t xml:space="preserve">. As </w:t>
      </w:r>
      <w:r w:rsidR="009E55DD">
        <w:rPr>
          <w:rFonts w:ascii="Times New Roman" w:hAnsi="Times New Roman" w:cs="Times New Roman"/>
          <w:sz w:val="24"/>
          <w:szCs w:val="24"/>
          <w:lang w:val="en-GB"/>
        </w:rPr>
        <w:t>the economies move forward in the dynamical process of economic and technological</w:t>
      </w:r>
      <w:r w:rsidR="009E55DD" w:rsidRPr="009E55DD">
        <w:rPr>
          <w:rFonts w:ascii="Times New Roman" w:hAnsi="Times New Roman" w:cs="Times New Roman"/>
          <w:sz w:val="24"/>
          <w:szCs w:val="24"/>
          <w:lang w:val="en-GB"/>
        </w:rPr>
        <w:t xml:space="preserve"> development, the share of agriculture in the value added </w:t>
      </w:r>
      <w:r w:rsidR="006D0ABF">
        <w:rPr>
          <w:rFonts w:ascii="Times New Roman" w:hAnsi="Times New Roman" w:cs="Times New Roman"/>
          <w:sz w:val="24"/>
          <w:szCs w:val="24"/>
          <w:lang w:val="en-GB"/>
        </w:rPr>
        <w:t>falls whilst</w:t>
      </w:r>
      <w:r w:rsidR="009E55DD" w:rsidRPr="009E55DD">
        <w:rPr>
          <w:rFonts w:ascii="Times New Roman" w:hAnsi="Times New Roman" w:cs="Times New Roman"/>
          <w:sz w:val="24"/>
          <w:szCs w:val="24"/>
          <w:lang w:val="en-GB"/>
        </w:rPr>
        <w:t xml:space="preserve"> the share of manufacturing</w:t>
      </w:r>
      <w:r w:rsidR="006D0ABF">
        <w:rPr>
          <w:rFonts w:ascii="Times New Roman" w:hAnsi="Times New Roman" w:cs="Times New Roman"/>
          <w:sz w:val="24"/>
          <w:szCs w:val="24"/>
          <w:lang w:val="en-GB"/>
        </w:rPr>
        <w:t xml:space="preserve"> increases. In the case of the so-called middle-income countries, for instance, t</w:t>
      </w:r>
      <w:r w:rsidR="009E55DD" w:rsidRPr="009E55DD">
        <w:rPr>
          <w:rFonts w:ascii="Times New Roman" w:hAnsi="Times New Roman" w:cs="Times New Roman"/>
          <w:sz w:val="24"/>
          <w:szCs w:val="24"/>
          <w:lang w:val="en-GB"/>
        </w:rPr>
        <w:t xml:space="preserve">he transition </w:t>
      </w:r>
      <w:r w:rsidR="006D0ABF">
        <w:rPr>
          <w:rFonts w:ascii="Times New Roman" w:hAnsi="Times New Roman" w:cs="Times New Roman"/>
          <w:sz w:val="24"/>
          <w:szCs w:val="24"/>
          <w:lang w:val="en-GB"/>
        </w:rPr>
        <w:t>from a reasonably</w:t>
      </w:r>
      <w:r w:rsidR="009E55DD" w:rsidRPr="009E55DD">
        <w:rPr>
          <w:rFonts w:ascii="Times New Roman" w:hAnsi="Times New Roman" w:cs="Times New Roman"/>
          <w:sz w:val="24"/>
          <w:szCs w:val="24"/>
          <w:lang w:val="en-GB"/>
        </w:rPr>
        <w:t xml:space="preserve"> diversified </w:t>
      </w:r>
      <w:r w:rsidR="006D0ABF">
        <w:rPr>
          <w:rFonts w:ascii="Times New Roman" w:hAnsi="Times New Roman" w:cs="Times New Roman"/>
          <w:sz w:val="24"/>
          <w:szCs w:val="24"/>
          <w:lang w:val="en-GB"/>
        </w:rPr>
        <w:t xml:space="preserve">production </w:t>
      </w:r>
      <w:r w:rsidR="009E55DD" w:rsidRPr="009E55DD">
        <w:rPr>
          <w:rFonts w:ascii="Times New Roman" w:hAnsi="Times New Roman" w:cs="Times New Roman"/>
          <w:sz w:val="24"/>
          <w:szCs w:val="24"/>
          <w:lang w:val="en-GB"/>
        </w:rPr>
        <w:t xml:space="preserve">structure to a mature economy is known as ‘industrialisation’. In this </w:t>
      </w:r>
      <w:r w:rsidR="006D0ABF">
        <w:rPr>
          <w:rFonts w:ascii="Times New Roman" w:hAnsi="Times New Roman" w:cs="Times New Roman"/>
          <w:sz w:val="24"/>
          <w:szCs w:val="24"/>
          <w:lang w:val="en-GB"/>
        </w:rPr>
        <w:t>vein</w:t>
      </w:r>
      <w:r w:rsidR="009E55DD" w:rsidRPr="009E55DD">
        <w:rPr>
          <w:rFonts w:ascii="Times New Roman" w:hAnsi="Times New Roman" w:cs="Times New Roman"/>
          <w:sz w:val="24"/>
          <w:szCs w:val="24"/>
          <w:lang w:val="en-GB"/>
        </w:rPr>
        <w:t xml:space="preserve">, </w:t>
      </w:r>
      <w:r w:rsidR="006D0ABF">
        <w:rPr>
          <w:rFonts w:ascii="Times New Roman" w:hAnsi="Times New Roman" w:cs="Times New Roman"/>
          <w:sz w:val="24"/>
          <w:szCs w:val="24"/>
          <w:lang w:val="en-GB"/>
        </w:rPr>
        <w:t>the impact of expansionary devaluation on</w:t>
      </w:r>
      <w:r w:rsidR="009E55DD" w:rsidRPr="009E55DD">
        <w:rPr>
          <w:rFonts w:ascii="Times New Roman" w:hAnsi="Times New Roman" w:cs="Times New Roman"/>
          <w:sz w:val="24"/>
          <w:szCs w:val="24"/>
          <w:lang w:val="en-GB"/>
        </w:rPr>
        <w:t xml:space="preserve"> exports</w:t>
      </w:r>
      <w:r w:rsidR="006D0ABF">
        <w:rPr>
          <w:rFonts w:ascii="Times New Roman" w:hAnsi="Times New Roman" w:cs="Times New Roman"/>
          <w:sz w:val="24"/>
          <w:szCs w:val="24"/>
          <w:lang w:val="en-GB"/>
        </w:rPr>
        <w:t xml:space="preserve"> and output growth</w:t>
      </w:r>
      <w:r w:rsidR="009E55DD" w:rsidRPr="009E55DD">
        <w:rPr>
          <w:rFonts w:ascii="Times New Roman" w:hAnsi="Times New Roman" w:cs="Times New Roman"/>
          <w:sz w:val="24"/>
          <w:szCs w:val="24"/>
          <w:lang w:val="en-GB"/>
        </w:rPr>
        <w:t xml:space="preserve"> </w:t>
      </w:r>
      <w:r w:rsidR="006D0ABF">
        <w:rPr>
          <w:rFonts w:ascii="Times New Roman" w:hAnsi="Times New Roman" w:cs="Times New Roman"/>
          <w:sz w:val="24"/>
          <w:szCs w:val="24"/>
          <w:lang w:val="en-GB"/>
        </w:rPr>
        <w:t>tends to be much</w:t>
      </w:r>
      <w:r w:rsidR="009E55DD" w:rsidRPr="009E55DD">
        <w:rPr>
          <w:rFonts w:ascii="Times New Roman" w:hAnsi="Times New Roman" w:cs="Times New Roman"/>
          <w:sz w:val="24"/>
          <w:szCs w:val="24"/>
          <w:lang w:val="en-GB"/>
        </w:rPr>
        <w:t xml:space="preserve"> more effect</w:t>
      </w:r>
      <w:r w:rsidR="006D0ABF">
        <w:rPr>
          <w:rFonts w:ascii="Times New Roman" w:hAnsi="Times New Roman" w:cs="Times New Roman"/>
          <w:sz w:val="24"/>
          <w:szCs w:val="24"/>
          <w:lang w:val="en-GB"/>
        </w:rPr>
        <w:t>ive</w:t>
      </w:r>
      <w:r w:rsidR="009E55DD" w:rsidRPr="009E55DD">
        <w:rPr>
          <w:rFonts w:ascii="Times New Roman" w:hAnsi="Times New Roman" w:cs="Times New Roman"/>
          <w:sz w:val="24"/>
          <w:szCs w:val="24"/>
          <w:lang w:val="en-GB"/>
        </w:rPr>
        <w:t xml:space="preserve"> in low</w:t>
      </w:r>
      <w:r w:rsidR="006D0ABF">
        <w:rPr>
          <w:rFonts w:ascii="Times New Roman" w:hAnsi="Times New Roman" w:cs="Times New Roman"/>
          <w:sz w:val="24"/>
          <w:szCs w:val="24"/>
          <w:lang w:val="en-GB"/>
        </w:rPr>
        <w:t>- and middle-</w:t>
      </w:r>
      <w:r w:rsidR="009E55DD" w:rsidRPr="009E55DD">
        <w:rPr>
          <w:rFonts w:ascii="Times New Roman" w:hAnsi="Times New Roman" w:cs="Times New Roman"/>
          <w:sz w:val="24"/>
          <w:szCs w:val="24"/>
          <w:lang w:val="en-GB"/>
        </w:rPr>
        <w:t>income countries since the share of th</w:t>
      </w:r>
      <w:r w:rsidR="006D0ABF">
        <w:rPr>
          <w:rFonts w:ascii="Times New Roman" w:hAnsi="Times New Roman" w:cs="Times New Roman"/>
          <w:sz w:val="24"/>
          <w:szCs w:val="24"/>
          <w:lang w:val="en-GB"/>
        </w:rPr>
        <w:t>e manufacturing sector and high-</w:t>
      </w:r>
      <w:r w:rsidR="009E55DD" w:rsidRPr="009E55DD">
        <w:rPr>
          <w:rFonts w:ascii="Times New Roman" w:hAnsi="Times New Roman" w:cs="Times New Roman"/>
          <w:sz w:val="24"/>
          <w:szCs w:val="24"/>
          <w:lang w:val="en-GB"/>
        </w:rPr>
        <w:t xml:space="preserve">technology sectors are </w:t>
      </w:r>
      <w:r w:rsidR="006D0ABF">
        <w:rPr>
          <w:rFonts w:ascii="Times New Roman" w:hAnsi="Times New Roman" w:cs="Times New Roman"/>
          <w:sz w:val="24"/>
          <w:szCs w:val="24"/>
          <w:lang w:val="en-GB"/>
        </w:rPr>
        <w:t>lower than the share of the same sector in</w:t>
      </w:r>
      <w:r w:rsidR="009E55DD" w:rsidRPr="009E55DD">
        <w:rPr>
          <w:rFonts w:ascii="Times New Roman" w:hAnsi="Times New Roman" w:cs="Times New Roman"/>
          <w:sz w:val="24"/>
          <w:szCs w:val="24"/>
          <w:lang w:val="en-GB"/>
        </w:rPr>
        <w:t xml:space="preserve"> high</w:t>
      </w:r>
      <w:r w:rsidR="006D0ABF">
        <w:rPr>
          <w:rFonts w:ascii="Times New Roman" w:hAnsi="Times New Roman" w:cs="Times New Roman"/>
          <w:sz w:val="24"/>
          <w:szCs w:val="24"/>
          <w:lang w:val="en-GB"/>
        </w:rPr>
        <w:t>-</w:t>
      </w:r>
      <w:r w:rsidR="009E55DD" w:rsidRPr="009E55DD">
        <w:rPr>
          <w:rFonts w:ascii="Times New Roman" w:hAnsi="Times New Roman" w:cs="Times New Roman"/>
          <w:sz w:val="24"/>
          <w:szCs w:val="24"/>
          <w:lang w:val="en-GB"/>
        </w:rPr>
        <w:t xml:space="preserve">income economies. </w:t>
      </w:r>
      <w:r w:rsidR="006D0ABF">
        <w:rPr>
          <w:rFonts w:ascii="Times New Roman" w:hAnsi="Times New Roman" w:cs="Times New Roman"/>
          <w:sz w:val="24"/>
          <w:szCs w:val="24"/>
          <w:lang w:val="en-GB"/>
        </w:rPr>
        <w:t>Ergo</w:t>
      </w:r>
      <w:r w:rsidR="009E55DD" w:rsidRPr="009E55DD">
        <w:rPr>
          <w:rFonts w:ascii="Times New Roman" w:hAnsi="Times New Roman" w:cs="Times New Roman"/>
          <w:sz w:val="24"/>
          <w:szCs w:val="24"/>
          <w:lang w:val="en-GB"/>
        </w:rPr>
        <w:t>, in the first stages of the economic development, the competition of domestic products in foreign markets</w:t>
      </w:r>
      <w:r w:rsidR="006D0ABF">
        <w:rPr>
          <w:rFonts w:ascii="Times New Roman" w:hAnsi="Times New Roman" w:cs="Times New Roman"/>
          <w:sz w:val="24"/>
          <w:szCs w:val="24"/>
          <w:lang w:val="en-GB"/>
        </w:rPr>
        <w:t xml:space="preserve"> takes place</w:t>
      </w:r>
      <w:r w:rsidR="009E55DD" w:rsidRPr="009E55DD">
        <w:rPr>
          <w:rFonts w:ascii="Times New Roman" w:hAnsi="Times New Roman" w:cs="Times New Roman"/>
          <w:sz w:val="24"/>
          <w:szCs w:val="24"/>
          <w:lang w:val="en-GB"/>
        </w:rPr>
        <w:t xml:space="preserve"> mostly through pric</w:t>
      </w:r>
      <w:r w:rsidR="006D0ABF">
        <w:rPr>
          <w:rFonts w:ascii="Times New Roman" w:hAnsi="Times New Roman" w:cs="Times New Roman"/>
          <w:sz w:val="24"/>
          <w:szCs w:val="24"/>
          <w:lang w:val="en-GB"/>
        </w:rPr>
        <w:t>e mechanisms instead of cutting-edge products and</w:t>
      </w:r>
      <w:r w:rsidR="009E55DD" w:rsidRPr="009E55DD">
        <w:rPr>
          <w:rFonts w:ascii="Times New Roman" w:hAnsi="Times New Roman" w:cs="Times New Roman"/>
          <w:sz w:val="24"/>
          <w:szCs w:val="24"/>
          <w:lang w:val="en-GB"/>
        </w:rPr>
        <w:t xml:space="preserve"> processes</w:t>
      </w:r>
      <w:r w:rsidR="006D0ABF">
        <w:rPr>
          <w:rFonts w:ascii="Times New Roman" w:hAnsi="Times New Roman" w:cs="Times New Roman"/>
          <w:sz w:val="24"/>
          <w:szCs w:val="24"/>
          <w:lang w:val="en-GB"/>
        </w:rPr>
        <w:t>, as in developed economies. In ot</w:t>
      </w:r>
      <w:r w:rsidR="00F979D9">
        <w:rPr>
          <w:rFonts w:ascii="Times New Roman" w:hAnsi="Times New Roman" w:cs="Times New Roman"/>
          <w:sz w:val="24"/>
          <w:szCs w:val="24"/>
          <w:lang w:val="en-GB"/>
        </w:rPr>
        <w:t xml:space="preserve">her words, since price competition seems to be a more prominent aspect of developing economies in foreign trade, as opposed to non-price competition which is more commonly observed </w:t>
      </w:r>
      <w:r w:rsidR="004F267C">
        <w:rPr>
          <w:rFonts w:ascii="Times New Roman" w:hAnsi="Times New Roman" w:cs="Times New Roman"/>
          <w:sz w:val="24"/>
          <w:szCs w:val="24"/>
          <w:lang w:val="en-GB"/>
        </w:rPr>
        <w:t xml:space="preserve">trade pattern </w:t>
      </w:r>
      <w:r w:rsidR="00F979D9">
        <w:rPr>
          <w:rFonts w:ascii="Times New Roman" w:hAnsi="Times New Roman" w:cs="Times New Roman"/>
          <w:sz w:val="24"/>
          <w:szCs w:val="24"/>
          <w:lang w:val="en-GB"/>
        </w:rPr>
        <w:t>in developed countries, currency</w:t>
      </w:r>
      <w:r w:rsidR="004F267C">
        <w:rPr>
          <w:rFonts w:ascii="Times New Roman" w:hAnsi="Times New Roman" w:cs="Times New Roman"/>
          <w:sz w:val="24"/>
          <w:szCs w:val="24"/>
          <w:lang w:val="en-GB"/>
        </w:rPr>
        <w:t xml:space="preserve"> devaluation (or </w:t>
      </w:r>
      <w:r w:rsidR="00F979D9">
        <w:rPr>
          <w:rFonts w:ascii="Times New Roman" w:hAnsi="Times New Roman" w:cs="Times New Roman"/>
          <w:sz w:val="24"/>
          <w:szCs w:val="24"/>
          <w:lang w:val="en-GB"/>
        </w:rPr>
        <w:t>lower unit labour costs</w:t>
      </w:r>
      <w:r w:rsidR="004F267C">
        <w:rPr>
          <w:rFonts w:ascii="Times New Roman" w:hAnsi="Times New Roman" w:cs="Times New Roman"/>
          <w:sz w:val="24"/>
          <w:szCs w:val="24"/>
          <w:lang w:val="en-GB"/>
        </w:rPr>
        <w:t xml:space="preserve"> through wage cuts)</w:t>
      </w:r>
      <w:r w:rsidR="00F979D9">
        <w:rPr>
          <w:rFonts w:ascii="Times New Roman" w:hAnsi="Times New Roman" w:cs="Times New Roman"/>
          <w:sz w:val="24"/>
          <w:szCs w:val="24"/>
          <w:lang w:val="en-GB"/>
        </w:rPr>
        <w:t xml:space="preserve"> tends to </w:t>
      </w:r>
      <w:r w:rsidR="004F267C">
        <w:rPr>
          <w:rFonts w:ascii="Times New Roman" w:hAnsi="Times New Roman" w:cs="Times New Roman"/>
          <w:sz w:val="24"/>
          <w:szCs w:val="24"/>
          <w:lang w:val="en-GB"/>
        </w:rPr>
        <w:t>be a powerful growth-enhancing policy tool in an economy with excess capacity.</w:t>
      </w:r>
    </w:p>
    <w:p w:rsidR="004F267C" w:rsidRPr="00421139" w:rsidRDefault="004F267C" w:rsidP="00EA30A5">
      <w:pPr>
        <w:spacing w:line="240" w:lineRule="auto"/>
        <w:jc w:val="both"/>
        <w:rPr>
          <w:rFonts w:ascii="Times New Roman" w:hAnsi="Times New Roman" w:cs="Times New Roman"/>
          <w:sz w:val="20"/>
          <w:szCs w:val="20"/>
          <w:lang w:val="en-GB"/>
        </w:rPr>
      </w:pPr>
    </w:p>
    <w:p w:rsidR="00A6537A" w:rsidRPr="00421139" w:rsidRDefault="00A6537A" w:rsidP="00EA30A5">
      <w:pPr>
        <w:pStyle w:val="PargrafodaLista"/>
        <w:numPr>
          <w:ilvl w:val="0"/>
          <w:numId w:val="11"/>
        </w:numPr>
        <w:spacing w:line="240" w:lineRule="auto"/>
        <w:jc w:val="both"/>
        <w:rPr>
          <w:rFonts w:ascii="Times New Roman" w:hAnsi="Times New Roman" w:cs="Times New Roman"/>
          <w:b/>
          <w:sz w:val="24"/>
          <w:szCs w:val="24"/>
          <w:lang w:val="en-GB"/>
        </w:rPr>
      </w:pPr>
      <w:r w:rsidRPr="00421139">
        <w:rPr>
          <w:rFonts w:ascii="Times New Roman" w:hAnsi="Times New Roman" w:cs="Times New Roman"/>
          <w:b/>
          <w:sz w:val="24"/>
          <w:szCs w:val="24"/>
          <w:lang w:val="en-GB"/>
        </w:rPr>
        <w:t>Concluding remarks</w:t>
      </w:r>
    </w:p>
    <w:p w:rsidR="000509F0" w:rsidRDefault="00F3745B" w:rsidP="00EA30A5">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paper supplements the existing literature on RER misalignments and growth by conducting an empirical work that aims at analysing the effectiveness of expansionary devaluation</w:t>
      </w:r>
      <w:r w:rsidRPr="0042113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at different stages of economic and technological development. </w:t>
      </w:r>
      <w:r w:rsidR="00355372">
        <w:rPr>
          <w:rFonts w:ascii="Times New Roman" w:hAnsi="Times New Roman" w:cs="Times New Roman"/>
          <w:sz w:val="24"/>
          <w:szCs w:val="24"/>
          <w:lang w:val="en-GB"/>
        </w:rPr>
        <w:t xml:space="preserve">In order to accomplish this task, </w:t>
      </w:r>
      <w:r w:rsidR="000509F0">
        <w:rPr>
          <w:rFonts w:ascii="Times New Roman" w:hAnsi="Times New Roman" w:cs="Times New Roman"/>
          <w:sz w:val="24"/>
          <w:szCs w:val="24"/>
          <w:lang w:val="en-GB"/>
        </w:rPr>
        <w:t xml:space="preserve">it is </w:t>
      </w:r>
      <w:r w:rsidR="00355372">
        <w:rPr>
          <w:rFonts w:ascii="Times New Roman" w:hAnsi="Times New Roman" w:cs="Times New Roman"/>
          <w:sz w:val="24"/>
          <w:szCs w:val="24"/>
          <w:lang w:val="en-GB"/>
        </w:rPr>
        <w:t>use</w:t>
      </w:r>
      <w:r w:rsidR="000509F0">
        <w:rPr>
          <w:rFonts w:ascii="Times New Roman" w:hAnsi="Times New Roman" w:cs="Times New Roman"/>
          <w:sz w:val="24"/>
          <w:szCs w:val="24"/>
          <w:lang w:val="en-GB"/>
        </w:rPr>
        <w:t>d</w:t>
      </w:r>
      <w:r w:rsidR="00355372">
        <w:rPr>
          <w:rFonts w:ascii="Times New Roman" w:hAnsi="Times New Roman" w:cs="Times New Roman"/>
          <w:sz w:val="24"/>
          <w:szCs w:val="24"/>
          <w:lang w:val="en-GB"/>
        </w:rPr>
        <w:t xml:space="preserve"> </w:t>
      </w:r>
      <w:r>
        <w:rPr>
          <w:rFonts w:ascii="Times New Roman" w:hAnsi="Times New Roman" w:cs="Times New Roman"/>
          <w:sz w:val="24"/>
          <w:szCs w:val="24"/>
          <w:lang w:val="en-GB"/>
        </w:rPr>
        <w:t>heterogeneous regressions.</w:t>
      </w:r>
      <w:r w:rsidR="00355372">
        <w:rPr>
          <w:rFonts w:ascii="Times New Roman" w:hAnsi="Times New Roman" w:cs="Times New Roman"/>
          <w:sz w:val="24"/>
          <w:szCs w:val="24"/>
          <w:lang w:val="en-GB"/>
        </w:rPr>
        <w:t xml:space="preserve"> </w:t>
      </w:r>
      <w:r w:rsidR="000509F0">
        <w:rPr>
          <w:rFonts w:ascii="Times New Roman" w:hAnsi="Times New Roman" w:cs="Times New Roman"/>
          <w:sz w:val="24"/>
          <w:szCs w:val="24"/>
          <w:lang w:val="en-GB"/>
        </w:rPr>
        <w:t>Th</w:t>
      </w:r>
      <w:r w:rsidR="00355372">
        <w:rPr>
          <w:rFonts w:ascii="Times New Roman" w:hAnsi="Times New Roman" w:cs="Times New Roman"/>
          <w:sz w:val="24"/>
          <w:szCs w:val="24"/>
          <w:lang w:val="en-GB"/>
        </w:rPr>
        <w:t xml:space="preserve">is econometric technique adds to the previous </w:t>
      </w:r>
      <w:r>
        <w:rPr>
          <w:rFonts w:ascii="Times New Roman" w:hAnsi="Times New Roman" w:cs="Times New Roman"/>
          <w:sz w:val="24"/>
          <w:szCs w:val="24"/>
          <w:lang w:val="en-GB"/>
        </w:rPr>
        <w:t xml:space="preserve">econometric models </w:t>
      </w:r>
      <w:r w:rsidR="000509F0">
        <w:rPr>
          <w:rFonts w:ascii="Times New Roman" w:hAnsi="Times New Roman" w:cs="Times New Roman"/>
          <w:sz w:val="24"/>
          <w:szCs w:val="24"/>
          <w:lang w:val="en-GB"/>
        </w:rPr>
        <w:t xml:space="preserve">as it allows us to assess possible differences in the magnitude of the impact of devaluation on growth subject to the degree of economic and technological development. Our estimates show that both the level of the </w:t>
      </w:r>
      <w:r w:rsidR="000509F0" w:rsidRPr="00421139">
        <w:rPr>
          <w:rFonts w:ascii="Times New Roman" w:hAnsi="Times New Roman" w:cs="Times New Roman"/>
          <w:sz w:val="24"/>
          <w:szCs w:val="24"/>
          <w:lang w:val="en-GB"/>
        </w:rPr>
        <w:t>technological gap</w:t>
      </w:r>
      <w:r w:rsidR="000509F0">
        <w:rPr>
          <w:rFonts w:ascii="Times New Roman" w:hAnsi="Times New Roman" w:cs="Times New Roman"/>
          <w:sz w:val="24"/>
          <w:szCs w:val="24"/>
          <w:lang w:val="en-GB"/>
        </w:rPr>
        <w:t xml:space="preserve"> and the degree of outward-orientation</w:t>
      </w:r>
      <w:r w:rsidR="000509F0" w:rsidRPr="00421139">
        <w:rPr>
          <w:rFonts w:ascii="Times New Roman" w:hAnsi="Times New Roman" w:cs="Times New Roman"/>
          <w:sz w:val="24"/>
          <w:szCs w:val="24"/>
          <w:lang w:val="en-GB"/>
        </w:rPr>
        <w:t xml:space="preserve"> </w:t>
      </w:r>
      <w:r w:rsidR="000509F0">
        <w:rPr>
          <w:rFonts w:ascii="Times New Roman" w:hAnsi="Times New Roman" w:cs="Times New Roman"/>
          <w:sz w:val="24"/>
          <w:szCs w:val="24"/>
          <w:lang w:val="en-GB"/>
        </w:rPr>
        <w:t xml:space="preserve">simultaneously determine </w:t>
      </w:r>
      <w:r w:rsidR="00600392">
        <w:rPr>
          <w:rFonts w:ascii="Times New Roman" w:hAnsi="Times New Roman" w:cs="Times New Roman"/>
          <w:sz w:val="24"/>
          <w:szCs w:val="24"/>
          <w:lang w:val="en-GB"/>
        </w:rPr>
        <w:t xml:space="preserve">cross-country </w:t>
      </w:r>
      <w:r w:rsidR="000509F0">
        <w:rPr>
          <w:rFonts w:ascii="Times New Roman" w:hAnsi="Times New Roman" w:cs="Times New Roman"/>
          <w:sz w:val="24"/>
          <w:szCs w:val="24"/>
          <w:lang w:val="en-GB"/>
        </w:rPr>
        <w:t xml:space="preserve">differences in the effectiveness of devaluation </w:t>
      </w:r>
      <w:r w:rsidR="00600392">
        <w:rPr>
          <w:rFonts w:ascii="Times New Roman" w:hAnsi="Times New Roman" w:cs="Times New Roman"/>
          <w:sz w:val="24"/>
          <w:szCs w:val="24"/>
          <w:lang w:val="en-GB"/>
        </w:rPr>
        <w:t>as a macroeconomic policy tool.</w:t>
      </w:r>
    </w:p>
    <w:p w:rsidR="00600392" w:rsidRDefault="00600392" w:rsidP="00EA30A5">
      <w:pPr>
        <w:spacing w:line="24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Lastly, we provide an alternative explanation to </w:t>
      </w:r>
      <w:proofErr w:type="spellStart"/>
      <w:r>
        <w:rPr>
          <w:rFonts w:ascii="Times New Roman" w:hAnsi="Times New Roman" w:cs="Times New Roman"/>
          <w:sz w:val="24"/>
          <w:szCs w:val="24"/>
          <w:lang w:val="en-GB"/>
        </w:rPr>
        <w:t>Rodrik’s</w:t>
      </w:r>
      <w:proofErr w:type="spellEnd"/>
      <w:r>
        <w:rPr>
          <w:rFonts w:ascii="Times New Roman" w:hAnsi="Times New Roman" w:cs="Times New Roman"/>
          <w:sz w:val="24"/>
          <w:szCs w:val="24"/>
          <w:lang w:val="en-GB"/>
        </w:rPr>
        <w:t xml:space="preserve"> argument concerning the different impact of currency devaluation for developed and developing countries. The later states that</w:t>
      </w:r>
      <w:r w:rsidR="007A1322">
        <w:rPr>
          <w:rFonts w:ascii="Times New Roman" w:hAnsi="Times New Roman" w:cs="Times New Roman"/>
          <w:sz w:val="24"/>
          <w:szCs w:val="24"/>
          <w:lang w:val="en-GB"/>
        </w:rPr>
        <w:t xml:space="preserve"> the tradables sector is a special sector for economic growth and that</w:t>
      </w:r>
      <w:r>
        <w:rPr>
          <w:rFonts w:ascii="Times New Roman" w:hAnsi="Times New Roman" w:cs="Times New Roman"/>
          <w:sz w:val="24"/>
          <w:szCs w:val="24"/>
          <w:lang w:val="en-GB"/>
        </w:rPr>
        <w:t xml:space="preserve"> </w:t>
      </w:r>
      <w:r w:rsidRPr="00CF143B">
        <w:rPr>
          <w:rFonts w:ascii="Times New Roman" w:hAnsi="Times New Roman" w:cs="Times New Roman"/>
          <w:sz w:val="24"/>
          <w:szCs w:val="24"/>
          <w:lang w:val="en-GB"/>
        </w:rPr>
        <w:t xml:space="preserve">bad institutions and market failures </w:t>
      </w:r>
      <w:r>
        <w:rPr>
          <w:rFonts w:ascii="Times New Roman" w:hAnsi="Times New Roman" w:cs="Times New Roman"/>
          <w:sz w:val="24"/>
          <w:szCs w:val="24"/>
          <w:lang w:val="en-GB"/>
        </w:rPr>
        <w:t>affect</w:t>
      </w:r>
      <w:r w:rsidRPr="00CF143B">
        <w:rPr>
          <w:rFonts w:ascii="Times New Roman" w:hAnsi="Times New Roman" w:cs="Times New Roman"/>
          <w:sz w:val="24"/>
          <w:szCs w:val="24"/>
          <w:lang w:val="en-GB"/>
        </w:rPr>
        <w:t xml:space="preserve"> disproportionately </w:t>
      </w:r>
      <w:r w:rsidR="007A1322">
        <w:rPr>
          <w:rFonts w:ascii="Times New Roman" w:hAnsi="Times New Roman" w:cs="Times New Roman"/>
          <w:sz w:val="24"/>
          <w:szCs w:val="24"/>
          <w:lang w:val="en-GB"/>
        </w:rPr>
        <w:t>this</w:t>
      </w:r>
      <w:r w:rsidRPr="00CF143B">
        <w:rPr>
          <w:rFonts w:ascii="Times New Roman" w:hAnsi="Times New Roman" w:cs="Times New Roman"/>
          <w:sz w:val="24"/>
          <w:szCs w:val="24"/>
          <w:lang w:val="en-GB"/>
        </w:rPr>
        <w:t xml:space="preserve"> sector</w:t>
      </w:r>
      <w:r>
        <w:rPr>
          <w:rFonts w:ascii="Times New Roman" w:hAnsi="Times New Roman" w:cs="Times New Roman"/>
          <w:sz w:val="24"/>
          <w:szCs w:val="24"/>
          <w:lang w:val="en-GB"/>
        </w:rPr>
        <w:t xml:space="preserve"> in developing countries</w:t>
      </w:r>
      <w:r w:rsidR="007A1322">
        <w:rPr>
          <w:rFonts w:ascii="Times New Roman" w:hAnsi="Times New Roman" w:cs="Times New Roman"/>
          <w:sz w:val="24"/>
          <w:szCs w:val="24"/>
          <w:lang w:val="en-GB"/>
        </w:rPr>
        <w:t>; in this scenario, currency devaluation raises tradables profitability and propels economic growth. Alternatively, inspired by the Kaldorian tradition, the present work argues that the impact of expansionary devaluation on</w:t>
      </w:r>
      <w:r w:rsidR="007A1322" w:rsidRPr="009E55DD">
        <w:rPr>
          <w:rFonts w:ascii="Times New Roman" w:hAnsi="Times New Roman" w:cs="Times New Roman"/>
          <w:sz w:val="24"/>
          <w:szCs w:val="24"/>
          <w:lang w:val="en-GB"/>
        </w:rPr>
        <w:t xml:space="preserve"> exports</w:t>
      </w:r>
      <w:r w:rsidR="007A1322">
        <w:rPr>
          <w:rFonts w:ascii="Times New Roman" w:hAnsi="Times New Roman" w:cs="Times New Roman"/>
          <w:sz w:val="24"/>
          <w:szCs w:val="24"/>
          <w:lang w:val="en-GB"/>
        </w:rPr>
        <w:t xml:space="preserve"> and output growth</w:t>
      </w:r>
      <w:r w:rsidR="007A1322" w:rsidRPr="009E55DD">
        <w:rPr>
          <w:rFonts w:ascii="Times New Roman" w:hAnsi="Times New Roman" w:cs="Times New Roman"/>
          <w:sz w:val="24"/>
          <w:szCs w:val="24"/>
          <w:lang w:val="en-GB"/>
        </w:rPr>
        <w:t xml:space="preserve"> </w:t>
      </w:r>
      <w:r w:rsidR="007A1322">
        <w:rPr>
          <w:rFonts w:ascii="Times New Roman" w:hAnsi="Times New Roman" w:cs="Times New Roman"/>
          <w:sz w:val="24"/>
          <w:szCs w:val="24"/>
          <w:lang w:val="en-GB"/>
        </w:rPr>
        <w:t>tends to be much</w:t>
      </w:r>
      <w:r w:rsidR="007A1322" w:rsidRPr="009E55DD">
        <w:rPr>
          <w:rFonts w:ascii="Times New Roman" w:hAnsi="Times New Roman" w:cs="Times New Roman"/>
          <w:sz w:val="24"/>
          <w:szCs w:val="24"/>
          <w:lang w:val="en-GB"/>
        </w:rPr>
        <w:t xml:space="preserve"> more effect</w:t>
      </w:r>
      <w:r w:rsidR="007A1322">
        <w:rPr>
          <w:rFonts w:ascii="Times New Roman" w:hAnsi="Times New Roman" w:cs="Times New Roman"/>
          <w:sz w:val="24"/>
          <w:szCs w:val="24"/>
          <w:lang w:val="en-GB"/>
        </w:rPr>
        <w:t>ive</w:t>
      </w:r>
      <w:r w:rsidR="007A1322" w:rsidRPr="009E55DD">
        <w:rPr>
          <w:rFonts w:ascii="Times New Roman" w:hAnsi="Times New Roman" w:cs="Times New Roman"/>
          <w:sz w:val="24"/>
          <w:szCs w:val="24"/>
          <w:lang w:val="en-GB"/>
        </w:rPr>
        <w:t xml:space="preserve"> in low</w:t>
      </w:r>
      <w:r w:rsidR="007A1322">
        <w:rPr>
          <w:rFonts w:ascii="Times New Roman" w:hAnsi="Times New Roman" w:cs="Times New Roman"/>
          <w:sz w:val="24"/>
          <w:szCs w:val="24"/>
          <w:lang w:val="en-GB"/>
        </w:rPr>
        <w:t>- and middle-</w:t>
      </w:r>
      <w:r w:rsidR="007A1322" w:rsidRPr="009E55DD">
        <w:rPr>
          <w:rFonts w:ascii="Times New Roman" w:hAnsi="Times New Roman" w:cs="Times New Roman"/>
          <w:sz w:val="24"/>
          <w:szCs w:val="24"/>
          <w:lang w:val="en-GB"/>
        </w:rPr>
        <w:t>income countries since the share of th</w:t>
      </w:r>
      <w:r w:rsidR="007A1322">
        <w:rPr>
          <w:rFonts w:ascii="Times New Roman" w:hAnsi="Times New Roman" w:cs="Times New Roman"/>
          <w:sz w:val="24"/>
          <w:szCs w:val="24"/>
          <w:lang w:val="en-GB"/>
        </w:rPr>
        <w:t>e manufacturing sector and high-</w:t>
      </w:r>
      <w:r w:rsidR="007A1322" w:rsidRPr="009E55DD">
        <w:rPr>
          <w:rFonts w:ascii="Times New Roman" w:hAnsi="Times New Roman" w:cs="Times New Roman"/>
          <w:sz w:val="24"/>
          <w:szCs w:val="24"/>
          <w:lang w:val="en-GB"/>
        </w:rPr>
        <w:t xml:space="preserve">technology sectors are </w:t>
      </w:r>
      <w:r w:rsidR="007A1322">
        <w:rPr>
          <w:rFonts w:ascii="Times New Roman" w:hAnsi="Times New Roman" w:cs="Times New Roman"/>
          <w:sz w:val="24"/>
          <w:szCs w:val="24"/>
          <w:lang w:val="en-GB"/>
        </w:rPr>
        <w:t>lower than the share of the same sector in</w:t>
      </w:r>
      <w:r w:rsidR="007A1322" w:rsidRPr="009E55DD">
        <w:rPr>
          <w:rFonts w:ascii="Times New Roman" w:hAnsi="Times New Roman" w:cs="Times New Roman"/>
          <w:sz w:val="24"/>
          <w:szCs w:val="24"/>
          <w:lang w:val="en-GB"/>
        </w:rPr>
        <w:t xml:space="preserve"> high</w:t>
      </w:r>
      <w:r w:rsidR="007A1322">
        <w:rPr>
          <w:rFonts w:ascii="Times New Roman" w:hAnsi="Times New Roman" w:cs="Times New Roman"/>
          <w:sz w:val="24"/>
          <w:szCs w:val="24"/>
          <w:lang w:val="en-GB"/>
        </w:rPr>
        <w:t>-</w:t>
      </w:r>
      <w:r w:rsidR="007A1322" w:rsidRPr="009E55DD">
        <w:rPr>
          <w:rFonts w:ascii="Times New Roman" w:hAnsi="Times New Roman" w:cs="Times New Roman"/>
          <w:sz w:val="24"/>
          <w:szCs w:val="24"/>
          <w:lang w:val="en-GB"/>
        </w:rPr>
        <w:t xml:space="preserve">income economies. </w:t>
      </w:r>
      <w:r w:rsidR="007A1322">
        <w:rPr>
          <w:rFonts w:ascii="Times New Roman" w:hAnsi="Times New Roman" w:cs="Times New Roman"/>
          <w:sz w:val="24"/>
          <w:szCs w:val="24"/>
          <w:lang w:val="en-GB"/>
        </w:rPr>
        <w:t>It is argued that</w:t>
      </w:r>
      <w:r w:rsidR="007A1322" w:rsidRPr="009E55DD">
        <w:rPr>
          <w:rFonts w:ascii="Times New Roman" w:hAnsi="Times New Roman" w:cs="Times New Roman"/>
          <w:sz w:val="24"/>
          <w:szCs w:val="24"/>
          <w:lang w:val="en-GB"/>
        </w:rPr>
        <w:t>, in the first stages of the economic development, the competition of domestic products in foreign markets</w:t>
      </w:r>
      <w:r w:rsidR="007A1322">
        <w:rPr>
          <w:rFonts w:ascii="Times New Roman" w:hAnsi="Times New Roman" w:cs="Times New Roman"/>
          <w:sz w:val="24"/>
          <w:szCs w:val="24"/>
          <w:lang w:val="en-GB"/>
        </w:rPr>
        <w:t xml:space="preserve"> takes place</w:t>
      </w:r>
      <w:r w:rsidR="007A1322" w:rsidRPr="009E55DD">
        <w:rPr>
          <w:rFonts w:ascii="Times New Roman" w:hAnsi="Times New Roman" w:cs="Times New Roman"/>
          <w:sz w:val="24"/>
          <w:szCs w:val="24"/>
          <w:lang w:val="en-GB"/>
        </w:rPr>
        <w:t xml:space="preserve"> mostly through pric</w:t>
      </w:r>
      <w:r w:rsidR="007A1322">
        <w:rPr>
          <w:rFonts w:ascii="Times New Roman" w:hAnsi="Times New Roman" w:cs="Times New Roman"/>
          <w:sz w:val="24"/>
          <w:szCs w:val="24"/>
          <w:lang w:val="en-GB"/>
        </w:rPr>
        <w:t>e mechanisms instead of cutting-edge products and</w:t>
      </w:r>
      <w:r w:rsidR="007A1322" w:rsidRPr="009E55DD">
        <w:rPr>
          <w:rFonts w:ascii="Times New Roman" w:hAnsi="Times New Roman" w:cs="Times New Roman"/>
          <w:sz w:val="24"/>
          <w:szCs w:val="24"/>
          <w:lang w:val="en-GB"/>
        </w:rPr>
        <w:t xml:space="preserve"> processes</w:t>
      </w:r>
      <w:r w:rsidR="007A1322">
        <w:rPr>
          <w:rFonts w:ascii="Times New Roman" w:hAnsi="Times New Roman" w:cs="Times New Roman"/>
          <w:sz w:val="24"/>
          <w:szCs w:val="24"/>
          <w:lang w:val="en-GB"/>
        </w:rPr>
        <w:t xml:space="preserve">, as in developed economies. </w:t>
      </w:r>
      <w:r w:rsidR="00D269DE">
        <w:rPr>
          <w:rFonts w:ascii="Times New Roman" w:hAnsi="Times New Roman" w:cs="Times New Roman"/>
          <w:sz w:val="24"/>
          <w:szCs w:val="24"/>
          <w:lang w:val="en-GB"/>
        </w:rPr>
        <w:t xml:space="preserve">However, this work only suggests an alternative explanation to </w:t>
      </w:r>
      <w:proofErr w:type="spellStart"/>
      <w:r w:rsidR="00D269DE">
        <w:rPr>
          <w:rFonts w:ascii="Times New Roman" w:hAnsi="Times New Roman" w:cs="Times New Roman"/>
          <w:sz w:val="24"/>
          <w:szCs w:val="24"/>
          <w:lang w:val="en-GB"/>
        </w:rPr>
        <w:t>Rodrik’s</w:t>
      </w:r>
      <w:proofErr w:type="spellEnd"/>
      <w:r w:rsidR="00D269DE">
        <w:rPr>
          <w:rFonts w:ascii="Times New Roman" w:hAnsi="Times New Roman" w:cs="Times New Roman"/>
          <w:sz w:val="24"/>
          <w:szCs w:val="24"/>
          <w:lang w:val="en-GB"/>
        </w:rPr>
        <w:t xml:space="preserve"> argument and provides recommendation</w:t>
      </w:r>
      <w:r w:rsidR="005843BB">
        <w:rPr>
          <w:rFonts w:ascii="Times New Roman" w:hAnsi="Times New Roman" w:cs="Times New Roman"/>
          <w:sz w:val="24"/>
          <w:szCs w:val="24"/>
          <w:lang w:val="en-GB"/>
        </w:rPr>
        <w:t xml:space="preserve"> and guidelines</w:t>
      </w:r>
      <w:r w:rsidR="00D269DE">
        <w:rPr>
          <w:rFonts w:ascii="Times New Roman" w:hAnsi="Times New Roman" w:cs="Times New Roman"/>
          <w:sz w:val="24"/>
          <w:szCs w:val="24"/>
          <w:lang w:val="en-GB"/>
        </w:rPr>
        <w:t xml:space="preserve"> to future research needed by policymakers. </w:t>
      </w:r>
    </w:p>
    <w:p w:rsidR="004511AD" w:rsidRPr="00421139" w:rsidRDefault="004511AD" w:rsidP="00EA30A5">
      <w:pPr>
        <w:spacing w:line="240" w:lineRule="auto"/>
        <w:jc w:val="both"/>
        <w:rPr>
          <w:rFonts w:ascii="Times New Roman" w:hAnsi="Times New Roman" w:cs="Times New Roman"/>
          <w:sz w:val="24"/>
          <w:szCs w:val="24"/>
          <w:lang w:val="en-GB"/>
        </w:rPr>
      </w:pPr>
    </w:p>
    <w:p w:rsidR="002C4F48" w:rsidRPr="00A47F83" w:rsidRDefault="002C4F48" w:rsidP="00EA30A5">
      <w:pPr>
        <w:spacing w:line="240" w:lineRule="auto"/>
        <w:ind w:firstLine="284"/>
        <w:jc w:val="both"/>
        <w:rPr>
          <w:rFonts w:ascii="Times New Roman" w:hAnsi="Times New Roman" w:cs="Times New Roman"/>
          <w:b/>
          <w:sz w:val="24"/>
          <w:szCs w:val="24"/>
          <w:lang w:val="en-GB"/>
        </w:rPr>
      </w:pPr>
      <w:r w:rsidRPr="00A47F83">
        <w:rPr>
          <w:rFonts w:ascii="Times New Roman" w:hAnsi="Times New Roman" w:cs="Times New Roman"/>
          <w:b/>
          <w:sz w:val="24"/>
          <w:szCs w:val="24"/>
          <w:lang w:val="en-GB"/>
        </w:rPr>
        <w:lastRenderedPageBreak/>
        <w:t>References</w:t>
      </w:r>
    </w:p>
    <w:p w:rsidR="008F63E1" w:rsidRDefault="008F63E1" w:rsidP="00EA30A5">
      <w:pPr>
        <w:spacing w:line="240" w:lineRule="auto"/>
        <w:ind w:left="284" w:hanging="284"/>
        <w:jc w:val="both"/>
        <w:rPr>
          <w:rFonts w:ascii="Times New Roman" w:hAnsi="Times New Roman" w:cs="Times New Roman"/>
        </w:rPr>
      </w:pPr>
      <w:proofErr w:type="spellStart"/>
      <w:r>
        <w:rPr>
          <w:rFonts w:ascii="Times New Roman" w:hAnsi="Times New Roman" w:cs="Times New Roman"/>
        </w:rPr>
        <w:t>Agung</w:t>
      </w:r>
      <w:proofErr w:type="spellEnd"/>
      <w:r>
        <w:rPr>
          <w:rFonts w:ascii="Times New Roman" w:hAnsi="Times New Roman" w:cs="Times New Roman"/>
        </w:rPr>
        <w:t xml:space="preserve">, I.G.N. </w:t>
      </w:r>
      <w:r w:rsidRPr="008F63E1">
        <w:rPr>
          <w:rFonts w:ascii="Times New Roman" w:hAnsi="Times New Roman" w:cs="Times New Roman"/>
        </w:rPr>
        <w:t>2014</w:t>
      </w:r>
      <w:r>
        <w:rPr>
          <w:rFonts w:ascii="Times New Roman" w:hAnsi="Times New Roman" w:cs="Times New Roman"/>
        </w:rPr>
        <w:t>.</w:t>
      </w:r>
      <w:r w:rsidRPr="008F63E1">
        <w:rPr>
          <w:rFonts w:ascii="Times New Roman" w:hAnsi="Times New Roman" w:cs="Times New Roman"/>
        </w:rPr>
        <w:t xml:space="preserve"> </w:t>
      </w:r>
      <w:r>
        <w:rPr>
          <w:rFonts w:ascii="Times New Roman" w:hAnsi="Times New Roman" w:cs="Times New Roman"/>
        </w:rPr>
        <w:t>‘</w:t>
      </w:r>
      <w:r w:rsidRPr="008F63E1">
        <w:rPr>
          <w:rFonts w:ascii="Times New Roman" w:hAnsi="Times New Roman" w:cs="Times New Roman"/>
        </w:rPr>
        <w:t xml:space="preserve">Panel Data Analysis using </w:t>
      </w:r>
      <w:proofErr w:type="spellStart"/>
      <w:r w:rsidRPr="008F63E1">
        <w:rPr>
          <w:rFonts w:ascii="Times New Roman" w:hAnsi="Times New Roman" w:cs="Times New Roman"/>
        </w:rPr>
        <w:t>EViews</w:t>
      </w:r>
      <w:proofErr w:type="spellEnd"/>
      <w:r>
        <w:rPr>
          <w:rFonts w:ascii="Times New Roman" w:hAnsi="Times New Roman" w:cs="Times New Roman"/>
        </w:rPr>
        <w:t>’</w:t>
      </w:r>
      <w:r w:rsidRPr="008F63E1">
        <w:rPr>
          <w:rFonts w:ascii="Times New Roman" w:hAnsi="Times New Roman" w:cs="Times New Roman"/>
        </w:rPr>
        <w:t xml:space="preserve">, </w:t>
      </w:r>
      <w:proofErr w:type="spellStart"/>
      <w:r w:rsidRPr="008F63E1">
        <w:rPr>
          <w:rFonts w:ascii="Times New Roman" w:hAnsi="Times New Roman" w:cs="Times New Roman"/>
        </w:rPr>
        <w:t>Chichester</w:t>
      </w:r>
      <w:proofErr w:type="spellEnd"/>
      <w:r w:rsidRPr="008F63E1">
        <w:rPr>
          <w:rFonts w:ascii="Times New Roman" w:hAnsi="Times New Roman" w:cs="Times New Roman"/>
        </w:rPr>
        <w:t>, UK: John Wiley and Sons, Ltd.</w:t>
      </w:r>
    </w:p>
    <w:p w:rsidR="005C119F" w:rsidRDefault="005C119F" w:rsidP="00EA30A5">
      <w:pPr>
        <w:spacing w:line="240" w:lineRule="auto"/>
        <w:ind w:left="284" w:hanging="284"/>
        <w:jc w:val="both"/>
        <w:rPr>
          <w:rFonts w:ascii="Times New Roman" w:hAnsi="Times New Roman" w:cs="Times New Roman"/>
        </w:rPr>
      </w:pPr>
      <w:r w:rsidRPr="00696520">
        <w:rPr>
          <w:rFonts w:ascii="Times New Roman" w:hAnsi="Times New Roman" w:cs="Times New Roman"/>
        </w:rPr>
        <w:t xml:space="preserve">Aguirre, A. and </w:t>
      </w:r>
      <w:proofErr w:type="spellStart"/>
      <w:r w:rsidRPr="00696520">
        <w:rPr>
          <w:rFonts w:ascii="Times New Roman" w:hAnsi="Times New Roman" w:cs="Times New Roman"/>
        </w:rPr>
        <w:t>Calderón</w:t>
      </w:r>
      <w:proofErr w:type="spellEnd"/>
      <w:r w:rsidRPr="00696520">
        <w:rPr>
          <w:rFonts w:ascii="Times New Roman" w:hAnsi="Times New Roman" w:cs="Times New Roman"/>
        </w:rPr>
        <w:t>, C. 2005. ‘Real exchange rate misalignments and economic performance’, Central Bank of Chile, Economic Research Division, April.</w:t>
      </w:r>
    </w:p>
    <w:p w:rsidR="004511AD" w:rsidRDefault="004511AD" w:rsidP="00EA30A5">
      <w:pPr>
        <w:spacing w:line="240" w:lineRule="auto"/>
        <w:ind w:left="284" w:hanging="284"/>
        <w:jc w:val="both"/>
        <w:rPr>
          <w:rFonts w:ascii="Times New Roman" w:hAnsi="Times New Roman" w:cs="Times New Roman"/>
        </w:rPr>
      </w:pPr>
      <w:r w:rsidRPr="004511AD">
        <w:rPr>
          <w:rFonts w:ascii="Times New Roman" w:hAnsi="Times New Roman" w:cs="Times New Roman"/>
        </w:rPr>
        <w:t>Arellano, M., and Bond</w:t>
      </w:r>
      <w:r>
        <w:rPr>
          <w:rFonts w:ascii="Times New Roman" w:hAnsi="Times New Roman" w:cs="Times New Roman"/>
        </w:rPr>
        <w:t xml:space="preserve">, </w:t>
      </w:r>
      <w:r w:rsidRPr="004511AD">
        <w:rPr>
          <w:rFonts w:ascii="Times New Roman" w:hAnsi="Times New Roman" w:cs="Times New Roman"/>
        </w:rPr>
        <w:t xml:space="preserve">S. 1991. </w:t>
      </w:r>
      <w:r>
        <w:rPr>
          <w:rFonts w:ascii="Times New Roman" w:hAnsi="Times New Roman" w:cs="Times New Roman"/>
        </w:rPr>
        <w:t>‘</w:t>
      </w:r>
      <w:r w:rsidRPr="004511AD">
        <w:rPr>
          <w:rFonts w:ascii="Times New Roman" w:hAnsi="Times New Roman" w:cs="Times New Roman"/>
        </w:rPr>
        <w:t>Some tests of specification for panel data: Monte Carlo evidence and an application</w:t>
      </w:r>
      <w:r>
        <w:rPr>
          <w:rFonts w:ascii="Times New Roman" w:hAnsi="Times New Roman" w:cs="Times New Roman"/>
        </w:rPr>
        <w:t xml:space="preserve"> </w:t>
      </w:r>
      <w:r w:rsidRPr="004511AD">
        <w:rPr>
          <w:rFonts w:ascii="Times New Roman" w:hAnsi="Times New Roman" w:cs="Times New Roman"/>
        </w:rPr>
        <w:t>to employment equations</w:t>
      </w:r>
      <w:r>
        <w:rPr>
          <w:rFonts w:ascii="Times New Roman" w:hAnsi="Times New Roman" w:cs="Times New Roman"/>
        </w:rPr>
        <w:t>’</w:t>
      </w:r>
      <w:r w:rsidRPr="004511AD">
        <w:rPr>
          <w:rFonts w:ascii="Times New Roman" w:hAnsi="Times New Roman" w:cs="Times New Roman"/>
        </w:rPr>
        <w:t xml:space="preserve">. </w:t>
      </w:r>
      <w:r w:rsidRPr="004511AD">
        <w:rPr>
          <w:rFonts w:ascii="Times New Roman" w:hAnsi="Times New Roman" w:cs="Times New Roman"/>
          <w:i/>
        </w:rPr>
        <w:t>Review of Economic Studies</w:t>
      </w:r>
      <w:r>
        <w:rPr>
          <w:rFonts w:ascii="Times New Roman" w:hAnsi="Times New Roman" w:cs="Times New Roman"/>
        </w:rPr>
        <w:t>,</w:t>
      </w:r>
      <w:r w:rsidRPr="004511AD">
        <w:rPr>
          <w:rFonts w:ascii="Times New Roman" w:hAnsi="Times New Roman" w:cs="Times New Roman"/>
        </w:rPr>
        <w:t xml:space="preserve"> </w:t>
      </w:r>
      <w:r>
        <w:rPr>
          <w:rFonts w:ascii="Times New Roman" w:hAnsi="Times New Roman" w:cs="Times New Roman"/>
        </w:rPr>
        <w:t xml:space="preserve">vol. </w:t>
      </w:r>
      <w:r w:rsidRPr="004511AD">
        <w:rPr>
          <w:rFonts w:ascii="Times New Roman" w:hAnsi="Times New Roman" w:cs="Times New Roman"/>
        </w:rPr>
        <w:t>58</w:t>
      </w:r>
      <w:r>
        <w:rPr>
          <w:rFonts w:ascii="Times New Roman" w:hAnsi="Times New Roman" w:cs="Times New Roman"/>
        </w:rPr>
        <w:t>, p.</w:t>
      </w:r>
      <w:r w:rsidRPr="004511AD">
        <w:rPr>
          <w:rFonts w:ascii="Times New Roman" w:hAnsi="Times New Roman" w:cs="Times New Roman"/>
        </w:rPr>
        <w:t xml:space="preserve"> 277–297.</w:t>
      </w:r>
    </w:p>
    <w:p w:rsidR="008F63E1" w:rsidRDefault="008F63E1" w:rsidP="00EA30A5">
      <w:pPr>
        <w:spacing w:line="240" w:lineRule="auto"/>
        <w:ind w:left="284" w:hanging="284"/>
        <w:jc w:val="both"/>
        <w:rPr>
          <w:rFonts w:ascii="Times New Roman" w:hAnsi="Times New Roman" w:cs="Times New Roman"/>
        </w:rPr>
      </w:pPr>
      <w:r w:rsidRPr="005F2A9C">
        <w:rPr>
          <w:rFonts w:ascii="Times New Roman" w:hAnsi="Times New Roman" w:cs="Times New Roman"/>
          <w:lang w:val="pt-BR"/>
        </w:rPr>
        <w:t xml:space="preserve">Barro, R.J. </w:t>
      </w:r>
      <w:proofErr w:type="spellStart"/>
      <w:r w:rsidRPr="005F2A9C">
        <w:rPr>
          <w:rFonts w:ascii="Times New Roman" w:hAnsi="Times New Roman" w:cs="Times New Roman"/>
          <w:lang w:val="pt-BR"/>
        </w:rPr>
        <w:t>and</w:t>
      </w:r>
      <w:proofErr w:type="spellEnd"/>
      <w:r w:rsidRPr="005F2A9C">
        <w:rPr>
          <w:rFonts w:ascii="Times New Roman" w:hAnsi="Times New Roman" w:cs="Times New Roman"/>
          <w:lang w:val="pt-BR"/>
        </w:rPr>
        <w:t xml:space="preserve"> Sala-I-Martin, X. 1997. </w:t>
      </w:r>
      <w:r w:rsidRPr="008F63E1">
        <w:rPr>
          <w:rFonts w:ascii="Times New Roman" w:hAnsi="Times New Roman" w:cs="Times New Roman"/>
        </w:rPr>
        <w:t>‘Technological Diffusion, Convergence, and Growth</w:t>
      </w:r>
      <w:r>
        <w:rPr>
          <w:rFonts w:ascii="Times New Roman" w:hAnsi="Times New Roman" w:cs="Times New Roman"/>
        </w:rPr>
        <w:t>’</w:t>
      </w:r>
      <w:r w:rsidRPr="008F63E1">
        <w:rPr>
          <w:rFonts w:ascii="Times New Roman" w:hAnsi="Times New Roman" w:cs="Times New Roman"/>
        </w:rPr>
        <w:t xml:space="preserve">, </w:t>
      </w:r>
      <w:r w:rsidRPr="008F63E1">
        <w:rPr>
          <w:rFonts w:ascii="Times New Roman" w:hAnsi="Times New Roman" w:cs="Times New Roman"/>
          <w:i/>
        </w:rPr>
        <w:t>Journal of Economic Growth</w:t>
      </w:r>
      <w:r w:rsidRPr="008F63E1">
        <w:rPr>
          <w:rFonts w:ascii="Times New Roman" w:hAnsi="Times New Roman" w:cs="Times New Roman"/>
        </w:rPr>
        <w:t xml:space="preserve">, </w:t>
      </w:r>
      <w:r>
        <w:rPr>
          <w:rFonts w:ascii="Times New Roman" w:hAnsi="Times New Roman" w:cs="Times New Roman"/>
        </w:rPr>
        <w:t xml:space="preserve">vol. </w:t>
      </w:r>
      <w:r w:rsidRPr="008F63E1">
        <w:rPr>
          <w:rFonts w:ascii="Times New Roman" w:hAnsi="Times New Roman" w:cs="Times New Roman"/>
        </w:rPr>
        <w:t>2</w:t>
      </w:r>
      <w:r>
        <w:rPr>
          <w:rFonts w:ascii="Times New Roman" w:hAnsi="Times New Roman" w:cs="Times New Roman"/>
        </w:rPr>
        <w:t>, p.</w:t>
      </w:r>
      <w:r w:rsidRPr="008F63E1">
        <w:rPr>
          <w:rFonts w:ascii="Times New Roman" w:hAnsi="Times New Roman" w:cs="Times New Roman"/>
        </w:rPr>
        <w:t xml:space="preserve"> 1–27.</w:t>
      </w:r>
    </w:p>
    <w:p w:rsidR="008F63E1" w:rsidRPr="00696520" w:rsidRDefault="008F63E1" w:rsidP="00EA30A5">
      <w:pPr>
        <w:spacing w:line="240" w:lineRule="auto"/>
        <w:ind w:left="284" w:hanging="284"/>
        <w:jc w:val="both"/>
        <w:rPr>
          <w:rFonts w:ascii="Times New Roman" w:hAnsi="Times New Roman" w:cs="Times New Roman"/>
        </w:rPr>
      </w:pPr>
      <w:r w:rsidRPr="008F63E1">
        <w:rPr>
          <w:rFonts w:ascii="Times New Roman" w:hAnsi="Times New Roman" w:cs="Times New Roman"/>
        </w:rPr>
        <w:t>Bernard, A.B. and Jones</w:t>
      </w:r>
      <w:r>
        <w:rPr>
          <w:rFonts w:ascii="Times New Roman" w:hAnsi="Times New Roman" w:cs="Times New Roman"/>
        </w:rPr>
        <w:t>, C.I.</w:t>
      </w:r>
      <w:r w:rsidRPr="008F63E1">
        <w:rPr>
          <w:rFonts w:ascii="Times New Roman" w:hAnsi="Times New Roman" w:cs="Times New Roman"/>
        </w:rPr>
        <w:t xml:space="preserve"> 1996, </w:t>
      </w:r>
      <w:r>
        <w:rPr>
          <w:rFonts w:ascii="Times New Roman" w:hAnsi="Times New Roman" w:cs="Times New Roman"/>
        </w:rPr>
        <w:t>‘</w:t>
      </w:r>
      <w:r w:rsidRPr="008F63E1">
        <w:rPr>
          <w:rFonts w:ascii="Times New Roman" w:hAnsi="Times New Roman" w:cs="Times New Roman"/>
        </w:rPr>
        <w:t>Comparing Apples to Oranges: Productivity Convergence and Measurement Across Industries and Countries</w:t>
      </w:r>
      <w:r>
        <w:rPr>
          <w:rFonts w:ascii="Times New Roman" w:hAnsi="Times New Roman" w:cs="Times New Roman"/>
        </w:rPr>
        <w:t>’</w:t>
      </w:r>
      <w:r w:rsidRPr="008F63E1">
        <w:rPr>
          <w:rFonts w:ascii="Times New Roman" w:hAnsi="Times New Roman" w:cs="Times New Roman"/>
        </w:rPr>
        <w:t xml:space="preserve">, </w:t>
      </w:r>
      <w:r w:rsidRPr="008F63E1">
        <w:rPr>
          <w:rFonts w:ascii="Times New Roman" w:hAnsi="Times New Roman" w:cs="Times New Roman"/>
          <w:i/>
        </w:rPr>
        <w:t>American Economic Review</w:t>
      </w:r>
      <w:r w:rsidRPr="008F63E1">
        <w:rPr>
          <w:rFonts w:ascii="Times New Roman" w:hAnsi="Times New Roman" w:cs="Times New Roman"/>
        </w:rPr>
        <w:t xml:space="preserve">, </w:t>
      </w:r>
      <w:r>
        <w:rPr>
          <w:rFonts w:ascii="Times New Roman" w:hAnsi="Times New Roman" w:cs="Times New Roman"/>
        </w:rPr>
        <w:t xml:space="preserve">vol. </w:t>
      </w:r>
      <w:r w:rsidRPr="008F63E1">
        <w:rPr>
          <w:rFonts w:ascii="Times New Roman" w:hAnsi="Times New Roman" w:cs="Times New Roman"/>
        </w:rPr>
        <w:t>86</w:t>
      </w:r>
      <w:r>
        <w:rPr>
          <w:rFonts w:ascii="Times New Roman" w:hAnsi="Times New Roman" w:cs="Times New Roman"/>
        </w:rPr>
        <w:t xml:space="preserve">, p. </w:t>
      </w:r>
      <w:r w:rsidRPr="008F63E1">
        <w:rPr>
          <w:rFonts w:ascii="Times New Roman" w:hAnsi="Times New Roman" w:cs="Times New Roman"/>
        </w:rPr>
        <w:t>1216</w:t>
      </w:r>
      <w:r w:rsidRPr="00696520">
        <w:rPr>
          <w:rFonts w:ascii="Times New Roman" w:hAnsi="Times New Roman" w:cs="Times New Roman"/>
          <w:bCs/>
        </w:rPr>
        <w:t>–</w:t>
      </w:r>
      <w:r w:rsidRPr="008F63E1">
        <w:rPr>
          <w:rFonts w:ascii="Times New Roman" w:hAnsi="Times New Roman" w:cs="Times New Roman"/>
        </w:rPr>
        <w:t>1238.</w:t>
      </w:r>
    </w:p>
    <w:p w:rsidR="005C119F" w:rsidRDefault="005C119F" w:rsidP="00EA30A5">
      <w:pPr>
        <w:spacing w:line="240" w:lineRule="auto"/>
        <w:ind w:left="284" w:hanging="284"/>
        <w:jc w:val="both"/>
        <w:rPr>
          <w:rFonts w:ascii="Times New Roman" w:hAnsi="Times New Roman" w:cs="Times New Roman"/>
          <w:bCs/>
        </w:rPr>
      </w:pPr>
      <w:proofErr w:type="spellStart"/>
      <w:r w:rsidRPr="00696520">
        <w:rPr>
          <w:rFonts w:ascii="Times New Roman" w:hAnsi="Times New Roman" w:cs="Times New Roman"/>
          <w:bCs/>
        </w:rPr>
        <w:t>Bleaney</w:t>
      </w:r>
      <w:proofErr w:type="spellEnd"/>
      <w:r w:rsidRPr="00696520">
        <w:rPr>
          <w:rFonts w:ascii="Times New Roman" w:hAnsi="Times New Roman" w:cs="Times New Roman"/>
          <w:bCs/>
        </w:rPr>
        <w:t xml:space="preserve">, M. and Greenaway, D. 2001. The impact of terms of trade and real exchange rate volatility on investment and growth in sub-Saharan Africa, </w:t>
      </w:r>
      <w:r w:rsidRPr="00696520">
        <w:rPr>
          <w:rFonts w:ascii="Times New Roman" w:hAnsi="Times New Roman" w:cs="Times New Roman"/>
          <w:bCs/>
          <w:i/>
        </w:rPr>
        <w:t>Journal of Development Economics</w:t>
      </w:r>
      <w:r w:rsidRPr="00696520">
        <w:rPr>
          <w:rFonts w:ascii="Times New Roman" w:hAnsi="Times New Roman" w:cs="Times New Roman"/>
          <w:bCs/>
        </w:rPr>
        <w:t>, vol. 65, p. 491–500.</w:t>
      </w:r>
    </w:p>
    <w:p w:rsidR="004511AD" w:rsidRPr="00696520" w:rsidRDefault="004511AD" w:rsidP="00EA30A5">
      <w:pPr>
        <w:spacing w:line="240" w:lineRule="auto"/>
        <w:ind w:left="284" w:hanging="284"/>
        <w:jc w:val="both"/>
        <w:rPr>
          <w:rFonts w:ascii="Times New Roman" w:hAnsi="Times New Roman" w:cs="Times New Roman"/>
          <w:bCs/>
        </w:rPr>
      </w:pPr>
      <w:r w:rsidRPr="004511AD">
        <w:rPr>
          <w:rFonts w:ascii="Times New Roman" w:hAnsi="Times New Roman" w:cs="Times New Roman"/>
          <w:bCs/>
        </w:rPr>
        <w:t>Blundell, R., and Bond</w:t>
      </w:r>
      <w:r>
        <w:rPr>
          <w:rFonts w:ascii="Times New Roman" w:hAnsi="Times New Roman" w:cs="Times New Roman"/>
          <w:bCs/>
        </w:rPr>
        <w:t xml:space="preserve">, </w:t>
      </w:r>
      <w:r w:rsidRPr="004511AD">
        <w:rPr>
          <w:rFonts w:ascii="Times New Roman" w:hAnsi="Times New Roman" w:cs="Times New Roman"/>
          <w:bCs/>
        </w:rPr>
        <w:t xml:space="preserve">S. 1998. </w:t>
      </w:r>
      <w:r>
        <w:rPr>
          <w:rFonts w:ascii="Times New Roman" w:hAnsi="Times New Roman" w:cs="Times New Roman"/>
          <w:bCs/>
        </w:rPr>
        <w:t>‘</w:t>
      </w:r>
      <w:r w:rsidRPr="004511AD">
        <w:rPr>
          <w:rFonts w:ascii="Times New Roman" w:hAnsi="Times New Roman" w:cs="Times New Roman"/>
          <w:bCs/>
        </w:rPr>
        <w:t>Initial conditions and moment restrictions in dynamic panel data models</w:t>
      </w:r>
      <w:r>
        <w:rPr>
          <w:rFonts w:ascii="Times New Roman" w:hAnsi="Times New Roman" w:cs="Times New Roman"/>
          <w:bCs/>
        </w:rPr>
        <w:t>’,</w:t>
      </w:r>
      <w:r w:rsidRPr="004511AD">
        <w:rPr>
          <w:rFonts w:ascii="Times New Roman" w:hAnsi="Times New Roman" w:cs="Times New Roman"/>
          <w:bCs/>
        </w:rPr>
        <w:t xml:space="preserve"> </w:t>
      </w:r>
      <w:r w:rsidRPr="004511AD">
        <w:rPr>
          <w:rFonts w:ascii="Times New Roman" w:hAnsi="Times New Roman" w:cs="Times New Roman"/>
          <w:bCs/>
          <w:i/>
        </w:rPr>
        <w:t>Journal of Econometrics</w:t>
      </w:r>
      <w:r>
        <w:rPr>
          <w:rFonts w:ascii="Times New Roman" w:hAnsi="Times New Roman" w:cs="Times New Roman"/>
          <w:bCs/>
        </w:rPr>
        <w:t>,</w:t>
      </w:r>
      <w:r w:rsidRPr="004511AD">
        <w:rPr>
          <w:rFonts w:ascii="Times New Roman" w:hAnsi="Times New Roman" w:cs="Times New Roman"/>
          <w:bCs/>
        </w:rPr>
        <w:t xml:space="preserve"> </w:t>
      </w:r>
      <w:r>
        <w:rPr>
          <w:rFonts w:ascii="Times New Roman" w:hAnsi="Times New Roman" w:cs="Times New Roman"/>
          <w:bCs/>
        </w:rPr>
        <w:t xml:space="preserve">vol. </w:t>
      </w:r>
      <w:r w:rsidRPr="004511AD">
        <w:rPr>
          <w:rFonts w:ascii="Times New Roman" w:hAnsi="Times New Roman" w:cs="Times New Roman"/>
          <w:bCs/>
        </w:rPr>
        <w:t>87</w:t>
      </w:r>
      <w:r>
        <w:rPr>
          <w:rFonts w:ascii="Times New Roman" w:hAnsi="Times New Roman" w:cs="Times New Roman"/>
          <w:bCs/>
        </w:rPr>
        <w:t xml:space="preserve">, p. </w:t>
      </w:r>
      <w:r w:rsidRPr="004511AD">
        <w:rPr>
          <w:rFonts w:ascii="Times New Roman" w:hAnsi="Times New Roman" w:cs="Times New Roman"/>
          <w:bCs/>
        </w:rPr>
        <w:t>115–143.</w:t>
      </w:r>
    </w:p>
    <w:p w:rsidR="00696520" w:rsidRPr="00696520" w:rsidRDefault="00696520" w:rsidP="00EA30A5">
      <w:pPr>
        <w:spacing w:after="120" w:line="240" w:lineRule="auto"/>
        <w:ind w:left="284" w:hanging="284"/>
        <w:jc w:val="both"/>
        <w:rPr>
          <w:rFonts w:ascii="Times New Roman" w:hAnsi="Times New Roman" w:cs="Times New Roman"/>
        </w:rPr>
      </w:pPr>
      <w:r w:rsidRPr="00696520">
        <w:rPr>
          <w:rFonts w:ascii="Times New Roman" w:hAnsi="Times New Roman" w:cs="Times New Roman"/>
        </w:rPr>
        <w:t>Bruno, M. 1979. ‘</w:t>
      </w:r>
      <w:proofErr w:type="spellStart"/>
      <w:r w:rsidRPr="00696520">
        <w:rPr>
          <w:rFonts w:ascii="Times New Roman" w:hAnsi="Times New Roman" w:cs="Times New Roman"/>
        </w:rPr>
        <w:t>Stabitization</w:t>
      </w:r>
      <w:proofErr w:type="spellEnd"/>
      <w:r w:rsidRPr="00696520">
        <w:rPr>
          <w:rFonts w:ascii="Times New Roman" w:hAnsi="Times New Roman" w:cs="Times New Roman"/>
        </w:rPr>
        <w:t xml:space="preserve"> and stagflation in a semi-industrialized economy’ In: </w:t>
      </w:r>
      <w:proofErr w:type="spellStart"/>
      <w:r w:rsidRPr="00696520">
        <w:rPr>
          <w:rFonts w:ascii="Times New Roman" w:hAnsi="Times New Roman" w:cs="Times New Roman"/>
        </w:rPr>
        <w:t>Dornbusch</w:t>
      </w:r>
      <w:proofErr w:type="spellEnd"/>
      <w:r w:rsidRPr="00696520">
        <w:rPr>
          <w:rFonts w:ascii="Times New Roman" w:hAnsi="Times New Roman" w:cs="Times New Roman"/>
        </w:rPr>
        <w:t xml:space="preserve">, R. and </w:t>
      </w:r>
      <w:proofErr w:type="spellStart"/>
      <w:r w:rsidRPr="00696520">
        <w:rPr>
          <w:rFonts w:ascii="Times New Roman" w:hAnsi="Times New Roman" w:cs="Times New Roman"/>
        </w:rPr>
        <w:t>Frenkel</w:t>
      </w:r>
      <w:proofErr w:type="spellEnd"/>
      <w:r w:rsidRPr="00696520">
        <w:rPr>
          <w:rFonts w:ascii="Times New Roman" w:hAnsi="Times New Roman" w:cs="Times New Roman"/>
        </w:rPr>
        <w:t>, J.A. (</w:t>
      </w:r>
      <w:proofErr w:type="spellStart"/>
      <w:r w:rsidRPr="00696520">
        <w:rPr>
          <w:rFonts w:ascii="Times New Roman" w:hAnsi="Times New Roman" w:cs="Times New Roman"/>
        </w:rPr>
        <w:t>eds</w:t>
      </w:r>
      <w:proofErr w:type="spellEnd"/>
      <w:r w:rsidRPr="00696520">
        <w:rPr>
          <w:rFonts w:ascii="Times New Roman" w:hAnsi="Times New Roman" w:cs="Times New Roman"/>
        </w:rPr>
        <w:t xml:space="preserve">), </w:t>
      </w:r>
      <w:r w:rsidRPr="00696520">
        <w:rPr>
          <w:rFonts w:ascii="Times New Roman" w:hAnsi="Times New Roman" w:cs="Times New Roman"/>
          <w:i/>
        </w:rPr>
        <w:t>International Economic Policy: Theory and Evidence</w:t>
      </w:r>
      <w:r w:rsidRPr="00696520">
        <w:rPr>
          <w:rFonts w:ascii="Times New Roman" w:hAnsi="Times New Roman" w:cs="Times New Roman"/>
        </w:rPr>
        <w:t>.</w:t>
      </w:r>
    </w:p>
    <w:p w:rsidR="005C119F" w:rsidRPr="00696520" w:rsidRDefault="005C119F" w:rsidP="00EA30A5">
      <w:pPr>
        <w:spacing w:line="240" w:lineRule="auto"/>
        <w:ind w:left="284" w:hanging="284"/>
        <w:jc w:val="both"/>
        <w:rPr>
          <w:rFonts w:ascii="Times New Roman" w:hAnsi="Times New Roman" w:cs="Times New Roman"/>
          <w:bCs/>
        </w:rPr>
      </w:pPr>
      <w:proofErr w:type="spellStart"/>
      <w:r w:rsidRPr="00696520">
        <w:rPr>
          <w:rFonts w:ascii="Times New Roman" w:hAnsi="Times New Roman" w:cs="Times New Roman"/>
          <w:bCs/>
        </w:rPr>
        <w:t>Cottani</w:t>
      </w:r>
      <w:proofErr w:type="spellEnd"/>
      <w:r w:rsidRPr="00696520">
        <w:rPr>
          <w:rFonts w:ascii="Times New Roman" w:hAnsi="Times New Roman" w:cs="Times New Roman"/>
          <w:bCs/>
        </w:rPr>
        <w:t xml:space="preserve">, J. A., </w:t>
      </w:r>
      <w:proofErr w:type="spellStart"/>
      <w:r w:rsidRPr="00696520">
        <w:rPr>
          <w:rFonts w:ascii="Times New Roman" w:hAnsi="Times New Roman" w:cs="Times New Roman"/>
          <w:bCs/>
        </w:rPr>
        <w:t>Cavallo</w:t>
      </w:r>
      <w:proofErr w:type="spellEnd"/>
      <w:r w:rsidRPr="00696520">
        <w:rPr>
          <w:rFonts w:ascii="Times New Roman" w:hAnsi="Times New Roman" w:cs="Times New Roman"/>
          <w:bCs/>
        </w:rPr>
        <w:t xml:space="preserve">, D. F., Khan, M. S. 1990. Real exchange rate behavior and economic performance in LDCs. </w:t>
      </w:r>
      <w:r w:rsidRPr="00696520">
        <w:rPr>
          <w:rFonts w:ascii="Times New Roman" w:hAnsi="Times New Roman" w:cs="Times New Roman"/>
          <w:bCs/>
          <w:i/>
        </w:rPr>
        <w:t>Economic Development and Cultural Change</w:t>
      </w:r>
      <w:r w:rsidRPr="00696520">
        <w:rPr>
          <w:rFonts w:ascii="Times New Roman" w:hAnsi="Times New Roman" w:cs="Times New Roman"/>
          <w:bCs/>
        </w:rPr>
        <w:t>, vol. 39, p. 61–76</w:t>
      </w:r>
    </w:p>
    <w:p w:rsidR="005C119F" w:rsidRPr="00696520" w:rsidRDefault="005C119F" w:rsidP="00EA30A5">
      <w:pPr>
        <w:spacing w:line="240" w:lineRule="auto"/>
        <w:ind w:left="284" w:hanging="284"/>
        <w:jc w:val="both"/>
        <w:rPr>
          <w:rFonts w:ascii="Times New Roman" w:hAnsi="Times New Roman" w:cs="Times New Roman"/>
          <w:bCs/>
        </w:rPr>
      </w:pPr>
      <w:proofErr w:type="spellStart"/>
      <w:r w:rsidRPr="00696520">
        <w:rPr>
          <w:rFonts w:ascii="Times New Roman" w:hAnsi="Times New Roman" w:cs="Times New Roman"/>
          <w:bCs/>
        </w:rPr>
        <w:t>Couharde</w:t>
      </w:r>
      <w:proofErr w:type="spellEnd"/>
      <w:r w:rsidRPr="00696520">
        <w:rPr>
          <w:rFonts w:ascii="Times New Roman" w:hAnsi="Times New Roman" w:cs="Times New Roman"/>
          <w:bCs/>
        </w:rPr>
        <w:t xml:space="preserve">, C. and </w:t>
      </w:r>
      <w:proofErr w:type="spellStart"/>
      <w:r w:rsidRPr="00696520">
        <w:rPr>
          <w:rFonts w:ascii="Times New Roman" w:hAnsi="Times New Roman" w:cs="Times New Roman"/>
          <w:bCs/>
        </w:rPr>
        <w:t>Sallenave</w:t>
      </w:r>
      <w:proofErr w:type="spellEnd"/>
      <w:r w:rsidRPr="00696520">
        <w:rPr>
          <w:rFonts w:ascii="Times New Roman" w:hAnsi="Times New Roman" w:cs="Times New Roman"/>
          <w:bCs/>
        </w:rPr>
        <w:t xml:space="preserve">, A. 2013. How do currency misalignments’ threshold affect economic growth? </w:t>
      </w:r>
      <w:r w:rsidRPr="00696520">
        <w:rPr>
          <w:rFonts w:ascii="Times New Roman" w:hAnsi="Times New Roman" w:cs="Times New Roman"/>
          <w:bCs/>
          <w:i/>
        </w:rPr>
        <w:t>Journal of Macroeconomics</w:t>
      </w:r>
      <w:r w:rsidRPr="00696520">
        <w:rPr>
          <w:rFonts w:ascii="Times New Roman" w:hAnsi="Times New Roman" w:cs="Times New Roman"/>
          <w:bCs/>
        </w:rPr>
        <w:t>, vol. 36, p. 106–120</w:t>
      </w:r>
    </w:p>
    <w:p w:rsidR="00696520" w:rsidRPr="00696520" w:rsidRDefault="00696520" w:rsidP="00EA30A5">
      <w:pPr>
        <w:spacing w:after="120" w:line="240" w:lineRule="auto"/>
        <w:ind w:left="284" w:hanging="284"/>
        <w:jc w:val="both"/>
        <w:rPr>
          <w:rFonts w:ascii="Times New Roman" w:hAnsi="Times New Roman" w:cs="Times New Roman"/>
        </w:rPr>
      </w:pPr>
      <w:r w:rsidRPr="00696520">
        <w:rPr>
          <w:rFonts w:ascii="Times New Roman" w:hAnsi="Times New Roman" w:cs="Times New Roman"/>
        </w:rPr>
        <w:t xml:space="preserve">Diaz-Alejandro, C.F. 1963. ‘A note on the impact of devaluation and the redistributive effects’, </w:t>
      </w:r>
      <w:r w:rsidRPr="00696520">
        <w:rPr>
          <w:rFonts w:ascii="Times New Roman" w:hAnsi="Times New Roman" w:cs="Times New Roman"/>
          <w:i/>
        </w:rPr>
        <w:t>Journal of Political Economy</w:t>
      </w:r>
      <w:r w:rsidRPr="00696520">
        <w:rPr>
          <w:rFonts w:ascii="Times New Roman" w:hAnsi="Times New Roman" w:cs="Times New Roman"/>
        </w:rPr>
        <w:t>,</w:t>
      </w:r>
      <w:r w:rsidR="008F63E1">
        <w:rPr>
          <w:rFonts w:ascii="Times New Roman" w:hAnsi="Times New Roman" w:cs="Times New Roman"/>
        </w:rPr>
        <w:t xml:space="preserve"> vol. </w:t>
      </w:r>
      <w:r w:rsidRPr="00696520">
        <w:rPr>
          <w:rFonts w:ascii="Times New Roman" w:hAnsi="Times New Roman" w:cs="Times New Roman"/>
        </w:rPr>
        <w:t xml:space="preserve">71, </w:t>
      </w:r>
      <w:r w:rsidR="008F63E1">
        <w:rPr>
          <w:rFonts w:ascii="Times New Roman" w:hAnsi="Times New Roman" w:cs="Times New Roman"/>
        </w:rPr>
        <w:t xml:space="preserve">p. </w:t>
      </w:r>
      <w:r w:rsidRPr="00696520">
        <w:rPr>
          <w:rFonts w:ascii="Times New Roman" w:hAnsi="Times New Roman" w:cs="Times New Roman"/>
        </w:rPr>
        <w:t>577</w:t>
      </w:r>
      <w:r w:rsidR="008F63E1" w:rsidRPr="00696520">
        <w:rPr>
          <w:rFonts w:ascii="Times New Roman" w:hAnsi="Times New Roman" w:cs="Times New Roman"/>
        </w:rPr>
        <w:t>–</w:t>
      </w:r>
      <w:r w:rsidRPr="00696520">
        <w:rPr>
          <w:rFonts w:ascii="Times New Roman" w:hAnsi="Times New Roman" w:cs="Times New Roman"/>
        </w:rPr>
        <w:t>580.</w:t>
      </w:r>
    </w:p>
    <w:p w:rsidR="005C119F" w:rsidRPr="00696520" w:rsidRDefault="005C119F" w:rsidP="00EA30A5">
      <w:pPr>
        <w:spacing w:line="240" w:lineRule="auto"/>
        <w:ind w:left="284" w:hanging="284"/>
        <w:jc w:val="both"/>
        <w:rPr>
          <w:rFonts w:ascii="Times New Roman" w:hAnsi="Times New Roman" w:cs="Times New Roman"/>
        </w:rPr>
      </w:pPr>
      <w:r w:rsidRPr="00696520">
        <w:rPr>
          <w:rFonts w:ascii="Times New Roman" w:hAnsi="Times New Roman" w:cs="Times New Roman"/>
        </w:rPr>
        <w:t xml:space="preserve">Dollar, D. 1992. Outward-oriented developing economies really do grow more rapidly: evidence from 95 LDCS 1976–1985, </w:t>
      </w:r>
      <w:r w:rsidRPr="00696520">
        <w:rPr>
          <w:rFonts w:ascii="Times New Roman" w:hAnsi="Times New Roman" w:cs="Times New Roman"/>
          <w:i/>
        </w:rPr>
        <w:t>Economic Development and Cultural Change</w:t>
      </w:r>
      <w:r w:rsidRPr="00696520">
        <w:rPr>
          <w:rFonts w:ascii="Times New Roman" w:hAnsi="Times New Roman" w:cs="Times New Roman"/>
        </w:rPr>
        <w:t>, vol. 40, 523–44.</w:t>
      </w:r>
    </w:p>
    <w:p w:rsidR="008F63E1" w:rsidRPr="008F63E1" w:rsidRDefault="008F63E1" w:rsidP="00EA30A5">
      <w:pPr>
        <w:spacing w:line="240" w:lineRule="auto"/>
        <w:ind w:left="284" w:hanging="284"/>
        <w:jc w:val="both"/>
        <w:rPr>
          <w:rFonts w:ascii="Times New Roman" w:hAnsi="Times New Roman" w:cs="Times New Roman"/>
        </w:rPr>
      </w:pPr>
      <w:r>
        <w:rPr>
          <w:rFonts w:ascii="Times New Roman" w:hAnsi="Times New Roman" w:cs="Times New Roman"/>
        </w:rPr>
        <w:t>Fagerberg, J. 1994.</w:t>
      </w:r>
      <w:r w:rsidRPr="008F63E1">
        <w:rPr>
          <w:rFonts w:ascii="Times New Roman" w:hAnsi="Times New Roman" w:cs="Times New Roman"/>
        </w:rPr>
        <w:t xml:space="preserve"> </w:t>
      </w:r>
      <w:r>
        <w:rPr>
          <w:rFonts w:ascii="Times New Roman" w:hAnsi="Times New Roman" w:cs="Times New Roman"/>
        </w:rPr>
        <w:t>‘</w:t>
      </w:r>
      <w:r w:rsidRPr="008F63E1">
        <w:rPr>
          <w:rFonts w:ascii="Times New Roman" w:hAnsi="Times New Roman" w:cs="Times New Roman"/>
        </w:rPr>
        <w:t>Technology and International Differences in Growth Rates</w:t>
      </w:r>
      <w:r>
        <w:rPr>
          <w:rFonts w:ascii="Times New Roman" w:hAnsi="Times New Roman" w:cs="Times New Roman"/>
        </w:rPr>
        <w:t>’</w:t>
      </w:r>
      <w:r w:rsidRPr="008F63E1">
        <w:rPr>
          <w:rFonts w:ascii="Times New Roman" w:hAnsi="Times New Roman" w:cs="Times New Roman"/>
        </w:rPr>
        <w:t xml:space="preserve">, </w:t>
      </w:r>
      <w:r w:rsidRPr="008F63E1">
        <w:rPr>
          <w:rFonts w:ascii="Times New Roman" w:hAnsi="Times New Roman" w:cs="Times New Roman"/>
          <w:i/>
        </w:rPr>
        <w:t>Journal of Economic Literature</w:t>
      </w:r>
      <w:r w:rsidRPr="008F63E1">
        <w:rPr>
          <w:rFonts w:ascii="Times New Roman" w:hAnsi="Times New Roman" w:cs="Times New Roman"/>
        </w:rPr>
        <w:t xml:space="preserve">, </w:t>
      </w:r>
      <w:r>
        <w:rPr>
          <w:rFonts w:ascii="Times New Roman" w:hAnsi="Times New Roman" w:cs="Times New Roman"/>
        </w:rPr>
        <w:t xml:space="preserve">vol. </w:t>
      </w:r>
      <w:r w:rsidRPr="008F63E1">
        <w:rPr>
          <w:rFonts w:ascii="Times New Roman" w:hAnsi="Times New Roman" w:cs="Times New Roman"/>
        </w:rPr>
        <w:t>32</w:t>
      </w:r>
      <w:r>
        <w:rPr>
          <w:rFonts w:ascii="Times New Roman" w:hAnsi="Times New Roman" w:cs="Times New Roman"/>
        </w:rPr>
        <w:t>, p.</w:t>
      </w:r>
      <w:r w:rsidR="004511AD">
        <w:rPr>
          <w:rFonts w:ascii="Times New Roman" w:hAnsi="Times New Roman" w:cs="Times New Roman"/>
        </w:rPr>
        <w:t xml:space="preserve"> </w:t>
      </w:r>
      <w:r w:rsidRPr="008F63E1">
        <w:rPr>
          <w:rFonts w:ascii="Times New Roman" w:hAnsi="Times New Roman" w:cs="Times New Roman"/>
        </w:rPr>
        <w:t>1147</w:t>
      </w:r>
      <w:r w:rsidRPr="00696520">
        <w:rPr>
          <w:rFonts w:ascii="Times New Roman" w:hAnsi="Times New Roman" w:cs="Times New Roman"/>
        </w:rPr>
        <w:t>–</w:t>
      </w:r>
      <w:r w:rsidRPr="008F63E1">
        <w:rPr>
          <w:rFonts w:ascii="Times New Roman" w:hAnsi="Times New Roman" w:cs="Times New Roman"/>
        </w:rPr>
        <w:t>1175.</w:t>
      </w:r>
    </w:p>
    <w:p w:rsidR="008F63E1" w:rsidRDefault="008F63E1" w:rsidP="00EA30A5">
      <w:pPr>
        <w:spacing w:line="240" w:lineRule="auto"/>
        <w:ind w:left="284" w:hanging="284"/>
        <w:jc w:val="both"/>
        <w:rPr>
          <w:rFonts w:ascii="Times New Roman" w:hAnsi="Times New Roman" w:cs="Times New Roman"/>
        </w:rPr>
      </w:pPr>
      <w:r w:rsidRPr="008F63E1">
        <w:rPr>
          <w:rFonts w:ascii="Times New Roman" w:hAnsi="Times New Roman" w:cs="Times New Roman"/>
        </w:rPr>
        <w:t>Fagerberg, J. and Verspagen</w:t>
      </w:r>
      <w:r>
        <w:rPr>
          <w:rFonts w:ascii="Times New Roman" w:hAnsi="Times New Roman" w:cs="Times New Roman"/>
        </w:rPr>
        <w:t xml:space="preserve">, </w:t>
      </w:r>
      <w:r w:rsidR="00B00243">
        <w:rPr>
          <w:rFonts w:ascii="Times New Roman" w:hAnsi="Times New Roman" w:cs="Times New Roman"/>
        </w:rPr>
        <w:t>B.</w:t>
      </w:r>
      <w:r w:rsidRPr="008F63E1">
        <w:rPr>
          <w:rFonts w:ascii="Times New Roman" w:hAnsi="Times New Roman" w:cs="Times New Roman"/>
        </w:rPr>
        <w:t xml:space="preserve"> 2002</w:t>
      </w:r>
      <w:r w:rsidR="004511AD">
        <w:rPr>
          <w:rFonts w:ascii="Times New Roman" w:hAnsi="Times New Roman" w:cs="Times New Roman"/>
        </w:rPr>
        <w:t>.</w:t>
      </w:r>
      <w:r w:rsidRPr="008F63E1">
        <w:rPr>
          <w:rFonts w:ascii="Times New Roman" w:hAnsi="Times New Roman" w:cs="Times New Roman"/>
        </w:rPr>
        <w:t xml:space="preserve"> </w:t>
      </w:r>
      <w:r w:rsidR="004511AD">
        <w:rPr>
          <w:rFonts w:ascii="Times New Roman" w:hAnsi="Times New Roman" w:cs="Times New Roman"/>
        </w:rPr>
        <w:t>‘</w:t>
      </w:r>
      <w:r w:rsidRPr="008F63E1">
        <w:rPr>
          <w:rFonts w:ascii="Times New Roman" w:hAnsi="Times New Roman" w:cs="Times New Roman"/>
        </w:rPr>
        <w:t>Technology-gaps, innovation-diffusion and transformation: an evolutionary interpretation</w:t>
      </w:r>
      <w:r w:rsidR="004511AD">
        <w:rPr>
          <w:rFonts w:ascii="Times New Roman" w:hAnsi="Times New Roman" w:cs="Times New Roman"/>
        </w:rPr>
        <w:t>’</w:t>
      </w:r>
      <w:r w:rsidRPr="008F63E1">
        <w:rPr>
          <w:rFonts w:ascii="Times New Roman" w:hAnsi="Times New Roman" w:cs="Times New Roman"/>
        </w:rPr>
        <w:t xml:space="preserve">, </w:t>
      </w:r>
      <w:r w:rsidRPr="004511AD">
        <w:rPr>
          <w:rFonts w:ascii="Times New Roman" w:hAnsi="Times New Roman" w:cs="Times New Roman"/>
          <w:i/>
        </w:rPr>
        <w:t>Research Policy</w:t>
      </w:r>
      <w:r w:rsidRPr="008F63E1">
        <w:rPr>
          <w:rFonts w:ascii="Times New Roman" w:hAnsi="Times New Roman" w:cs="Times New Roman"/>
        </w:rPr>
        <w:t xml:space="preserve">, </w:t>
      </w:r>
      <w:r w:rsidR="004511AD">
        <w:rPr>
          <w:rFonts w:ascii="Times New Roman" w:hAnsi="Times New Roman" w:cs="Times New Roman"/>
        </w:rPr>
        <w:t xml:space="preserve">vol. </w:t>
      </w:r>
      <w:r w:rsidRPr="008F63E1">
        <w:rPr>
          <w:rFonts w:ascii="Times New Roman" w:hAnsi="Times New Roman" w:cs="Times New Roman"/>
        </w:rPr>
        <w:t>31</w:t>
      </w:r>
      <w:r w:rsidR="004511AD">
        <w:rPr>
          <w:rFonts w:ascii="Times New Roman" w:hAnsi="Times New Roman" w:cs="Times New Roman"/>
        </w:rPr>
        <w:t xml:space="preserve">, p. </w:t>
      </w:r>
      <w:r w:rsidRPr="008F63E1">
        <w:rPr>
          <w:rFonts w:ascii="Times New Roman" w:hAnsi="Times New Roman" w:cs="Times New Roman"/>
        </w:rPr>
        <w:t>1291–1304.</w:t>
      </w:r>
    </w:p>
    <w:p w:rsidR="005C119F" w:rsidRPr="00696520" w:rsidRDefault="005C119F" w:rsidP="00EA30A5">
      <w:pPr>
        <w:spacing w:line="240" w:lineRule="auto"/>
        <w:ind w:left="284" w:hanging="284"/>
        <w:jc w:val="both"/>
        <w:rPr>
          <w:rFonts w:ascii="Times New Roman" w:hAnsi="Times New Roman" w:cs="Times New Roman"/>
        </w:rPr>
      </w:pPr>
      <w:r w:rsidRPr="00696520">
        <w:rPr>
          <w:rFonts w:ascii="Times New Roman" w:hAnsi="Times New Roman" w:cs="Times New Roman"/>
        </w:rPr>
        <w:t xml:space="preserve">Gala, P. 2007. Real exchange rate levels and economic development: theoretical analysis and econometric evidence. </w:t>
      </w:r>
      <w:r w:rsidRPr="00696520">
        <w:rPr>
          <w:rFonts w:ascii="Times New Roman" w:hAnsi="Times New Roman" w:cs="Times New Roman"/>
          <w:i/>
        </w:rPr>
        <w:t>Cambridge Journal of Economics</w:t>
      </w:r>
      <w:r w:rsidRPr="00696520">
        <w:rPr>
          <w:rFonts w:ascii="Times New Roman" w:hAnsi="Times New Roman" w:cs="Times New Roman"/>
        </w:rPr>
        <w:t xml:space="preserve">, vol. </w:t>
      </w:r>
      <w:proofErr w:type="gramStart"/>
      <w:r w:rsidRPr="00696520">
        <w:rPr>
          <w:rFonts w:ascii="Times New Roman" w:hAnsi="Times New Roman" w:cs="Times New Roman"/>
        </w:rPr>
        <w:t>32,no.</w:t>
      </w:r>
      <w:proofErr w:type="gramEnd"/>
      <w:r w:rsidRPr="00696520">
        <w:rPr>
          <w:rFonts w:ascii="Times New Roman" w:hAnsi="Times New Roman" w:cs="Times New Roman"/>
        </w:rPr>
        <w:t xml:space="preserve"> 2, 273–288. </w:t>
      </w:r>
    </w:p>
    <w:p w:rsidR="005C119F" w:rsidRPr="00696520" w:rsidRDefault="005C119F" w:rsidP="00EA30A5">
      <w:pPr>
        <w:spacing w:line="240" w:lineRule="auto"/>
        <w:ind w:left="284" w:hanging="284"/>
        <w:jc w:val="both"/>
        <w:rPr>
          <w:rFonts w:ascii="Times New Roman" w:hAnsi="Times New Roman" w:cs="Times New Roman"/>
        </w:rPr>
      </w:pPr>
      <w:r w:rsidRPr="00696520">
        <w:rPr>
          <w:rFonts w:ascii="Times New Roman" w:hAnsi="Times New Roman" w:cs="Times New Roman"/>
        </w:rPr>
        <w:t xml:space="preserve">Gala, P. and </w:t>
      </w:r>
      <w:proofErr w:type="spellStart"/>
      <w:r w:rsidRPr="00696520">
        <w:rPr>
          <w:rFonts w:ascii="Times New Roman" w:hAnsi="Times New Roman" w:cs="Times New Roman"/>
        </w:rPr>
        <w:t>Libanio</w:t>
      </w:r>
      <w:proofErr w:type="spellEnd"/>
      <w:r w:rsidRPr="00696520">
        <w:rPr>
          <w:rFonts w:ascii="Times New Roman" w:hAnsi="Times New Roman" w:cs="Times New Roman"/>
        </w:rPr>
        <w:t xml:space="preserve">, G. 2010. Exchange rate policies, patterns of specialization and economic development: theory and evidence in developing countries. Working Paper 211. Sao Paulo Business Administration School, </w:t>
      </w:r>
      <w:proofErr w:type="spellStart"/>
      <w:r w:rsidRPr="00696520">
        <w:rPr>
          <w:rFonts w:ascii="Times New Roman" w:hAnsi="Times New Roman" w:cs="Times New Roman"/>
        </w:rPr>
        <w:t>Getulio</w:t>
      </w:r>
      <w:proofErr w:type="spellEnd"/>
      <w:r w:rsidRPr="00696520">
        <w:rPr>
          <w:rFonts w:ascii="Times New Roman" w:hAnsi="Times New Roman" w:cs="Times New Roman"/>
        </w:rPr>
        <w:t xml:space="preserve"> Vargas Foundation.</w:t>
      </w:r>
    </w:p>
    <w:p w:rsidR="005C119F" w:rsidRPr="00696520" w:rsidRDefault="005C119F" w:rsidP="00EA30A5">
      <w:pPr>
        <w:spacing w:line="240" w:lineRule="auto"/>
        <w:ind w:left="284" w:hanging="284"/>
        <w:jc w:val="both"/>
        <w:rPr>
          <w:rFonts w:ascii="Times New Roman" w:hAnsi="Times New Roman" w:cs="Times New Roman"/>
        </w:rPr>
      </w:pPr>
      <w:proofErr w:type="spellStart"/>
      <w:r w:rsidRPr="00696520">
        <w:rPr>
          <w:rFonts w:ascii="Times New Roman" w:hAnsi="Times New Roman" w:cs="Times New Roman"/>
        </w:rPr>
        <w:t>Ghura</w:t>
      </w:r>
      <w:proofErr w:type="spellEnd"/>
      <w:r w:rsidRPr="00696520">
        <w:rPr>
          <w:rFonts w:ascii="Times New Roman" w:hAnsi="Times New Roman" w:cs="Times New Roman"/>
        </w:rPr>
        <w:t xml:space="preserve">, D. and </w:t>
      </w:r>
      <w:proofErr w:type="spellStart"/>
      <w:r w:rsidRPr="00696520">
        <w:rPr>
          <w:rFonts w:ascii="Times New Roman" w:hAnsi="Times New Roman" w:cs="Times New Roman"/>
        </w:rPr>
        <w:t>Grennes</w:t>
      </w:r>
      <w:proofErr w:type="spellEnd"/>
      <w:r w:rsidRPr="00696520">
        <w:rPr>
          <w:rFonts w:ascii="Times New Roman" w:hAnsi="Times New Roman" w:cs="Times New Roman"/>
        </w:rPr>
        <w:t xml:space="preserve">, T. J. 1993. The real exchange rate and macroeconomic performance in sub-Saharan Africa, </w:t>
      </w:r>
      <w:r w:rsidRPr="00696520">
        <w:rPr>
          <w:rFonts w:ascii="Times New Roman" w:hAnsi="Times New Roman" w:cs="Times New Roman"/>
          <w:i/>
        </w:rPr>
        <w:t>Journal of Development Economics</w:t>
      </w:r>
      <w:r w:rsidRPr="00696520">
        <w:rPr>
          <w:rFonts w:ascii="Times New Roman" w:hAnsi="Times New Roman" w:cs="Times New Roman"/>
        </w:rPr>
        <w:t xml:space="preserve">, vol. 42, p. 155–174 </w:t>
      </w:r>
    </w:p>
    <w:p w:rsidR="005C119F" w:rsidRPr="00696520" w:rsidRDefault="005C119F" w:rsidP="00EA30A5">
      <w:pPr>
        <w:spacing w:line="240" w:lineRule="auto"/>
        <w:ind w:left="284" w:hanging="284"/>
        <w:jc w:val="both"/>
        <w:rPr>
          <w:rFonts w:ascii="Times New Roman" w:hAnsi="Times New Roman" w:cs="Times New Roman"/>
        </w:rPr>
      </w:pPr>
      <w:proofErr w:type="spellStart"/>
      <w:r w:rsidRPr="00696520">
        <w:rPr>
          <w:rFonts w:ascii="Times New Roman" w:hAnsi="Times New Roman" w:cs="Times New Roman"/>
        </w:rPr>
        <w:t>Gluzmann</w:t>
      </w:r>
      <w:proofErr w:type="spellEnd"/>
      <w:r w:rsidRPr="00696520">
        <w:rPr>
          <w:rFonts w:ascii="Times New Roman" w:hAnsi="Times New Roman" w:cs="Times New Roman"/>
        </w:rPr>
        <w:t>, P. A., Levy-</w:t>
      </w:r>
      <w:proofErr w:type="spellStart"/>
      <w:r w:rsidRPr="00696520">
        <w:rPr>
          <w:rFonts w:ascii="Times New Roman" w:hAnsi="Times New Roman" w:cs="Times New Roman"/>
        </w:rPr>
        <w:t>Yeyati</w:t>
      </w:r>
      <w:proofErr w:type="spellEnd"/>
      <w:r w:rsidRPr="00696520">
        <w:rPr>
          <w:rFonts w:ascii="Times New Roman" w:hAnsi="Times New Roman" w:cs="Times New Roman"/>
        </w:rPr>
        <w:t xml:space="preserve">, E., and </w:t>
      </w:r>
      <w:proofErr w:type="spellStart"/>
      <w:r w:rsidRPr="00696520">
        <w:rPr>
          <w:rFonts w:ascii="Times New Roman" w:hAnsi="Times New Roman" w:cs="Times New Roman"/>
        </w:rPr>
        <w:t>Sturzenegger</w:t>
      </w:r>
      <w:proofErr w:type="spellEnd"/>
      <w:r w:rsidRPr="00696520">
        <w:rPr>
          <w:rFonts w:ascii="Times New Roman" w:hAnsi="Times New Roman" w:cs="Times New Roman"/>
        </w:rPr>
        <w:t xml:space="preserve">, F. 2012. Exchange rate undervaluation and economic growth: </w:t>
      </w:r>
      <w:proofErr w:type="spellStart"/>
      <w:r w:rsidRPr="00696520">
        <w:rPr>
          <w:rFonts w:ascii="Times New Roman" w:hAnsi="Times New Roman" w:cs="Times New Roman"/>
        </w:rPr>
        <w:t>Díaz</w:t>
      </w:r>
      <w:proofErr w:type="spellEnd"/>
      <w:r w:rsidRPr="00696520">
        <w:rPr>
          <w:rFonts w:ascii="Times New Roman" w:hAnsi="Times New Roman" w:cs="Times New Roman"/>
        </w:rPr>
        <w:t xml:space="preserve"> Alejandro (1965) revisited. Economics Letters, vol. 117, p. 666–672</w:t>
      </w:r>
    </w:p>
    <w:p w:rsidR="00696520" w:rsidRPr="00696520" w:rsidRDefault="00696520" w:rsidP="00EA30A5">
      <w:pPr>
        <w:spacing w:line="240" w:lineRule="auto"/>
        <w:ind w:left="284" w:hanging="284"/>
        <w:jc w:val="both"/>
        <w:rPr>
          <w:rFonts w:ascii="Times New Roman" w:hAnsi="Times New Roman" w:cs="Times New Roman"/>
          <w:i/>
        </w:rPr>
      </w:pPr>
      <w:r w:rsidRPr="00696520">
        <w:rPr>
          <w:rFonts w:ascii="Times New Roman" w:hAnsi="Times New Roman" w:cs="Times New Roman"/>
        </w:rPr>
        <w:t xml:space="preserve">Krugman, P. and Taylor, L. 1978. ‘Contractionary effects of devaluation’, </w:t>
      </w:r>
      <w:r w:rsidRPr="00696520">
        <w:rPr>
          <w:rFonts w:ascii="Times New Roman" w:hAnsi="Times New Roman" w:cs="Times New Roman"/>
          <w:i/>
        </w:rPr>
        <w:t>Journal of International Economics</w:t>
      </w:r>
      <w:r w:rsidRPr="00696520">
        <w:rPr>
          <w:rFonts w:ascii="Times New Roman" w:hAnsi="Times New Roman" w:cs="Times New Roman"/>
        </w:rPr>
        <w:t>, 8, 445-456.</w:t>
      </w:r>
    </w:p>
    <w:p w:rsidR="004511AD" w:rsidRDefault="004511AD" w:rsidP="00EA30A5">
      <w:pPr>
        <w:spacing w:line="240" w:lineRule="auto"/>
        <w:ind w:left="284" w:hanging="284"/>
        <w:jc w:val="both"/>
        <w:rPr>
          <w:rFonts w:ascii="Times New Roman" w:hAnsi="Times New Roman" w:cs="Times New Roman"/>
        </w:rPr>
      </w:pPr>
      <w:r w:rsidRPr="004511AD">
        <w:rPr>
          <w:rFonts w:ascii="Times New Roman" w:hAnsi="Times New Roman" w:cs="Times New Roman"/>
        </w:rPr>
        <w:lastRenderedPageBreak/>
        <w:t xml:space="preserve">Le Gallo, J. and </w:t>
      </w:r>
      <w:proofErr w:type="spellStart"/>
      <w:r w:rsidRPr="004511AD">
        <w:rPr>
          <w:rFonts w:ascii="Times New Roman" w:hAnsi="Times New Roman" w:cs="Times New Roman"/>
        </w:rPr>
        <w:t>Dall’erba</w:t>
      </w:r>
      <w:proofErr w:type="spellEnd"/>
      <w:r>
        <w:rPr>
          <w:rFonts w:ascii="Times New Roman" w:hAnsi="Times New Roman" w:cs="Times New Roman"/>
        </w:rPr>
        <w:t xml:space="preserve">, </w:t>
      </w:r>
      <w:r w:rsidRPr="004511AD">
        <w:rPr>
          <w:rFonts w:ascii="Times New Roman" w:hAnsi="Times New Roman" w:cs="Times New Roman"/>
        </w:rPr>
        <w:t>S.  2008</w:t>
      </w:r>
      <w:r>
        <w:rPr>
          <w:rFonts w:ascii="Times New Roman" w:hAnsi="Times New Roman" w:cs="Times New Roman"/>
        </w:rPr>
        <w:t>.</w:t>
      </w:r>
      <w:r w:rsidRPr="004511AD">
        <w:rPr>
          <w:rFonts w:ascii="Times New Roman" w:hAnsi="Times New Roman" w:cs="Times New Roman"/>
        </w:rPr>
        <w:t xml:space="preserve"> </w:t>
      </w:r>
      <w:r>
        <w:rPr>
          <w:rFonts w:ascii="Times New Roman" w:hAnsi="Times New Roman" w:cs="Times New Roman"/>
        </w:rPr>
        <w:t>‘</w:t>
      </w:r>
      <w:r w:rsidRPr="004511AD">
        <w:rPr>
          <w:rFonts w:ascii="Times New Roman" w:hAnsi="Times New Roman" w:cs="Times New Roman"/>
        </w:rPr>
        <w:t>Spatial and sectoral productivity convergence between</w:t>
      </w:r>
      <w:r>
        <w:rPr>
          <w:rFonts w:ascii="Times New Roman" w:hAnsi="Times New Roman" w:cs="Times New Roman"/>
        </w:rPr>
        <w:t xml:space="preserve"> </w:t>
      </w:r>
      <w:r w:rsidRPr="004511AD">
        <w:rPr>
          <w:rFonts w:ascii="Times New Roman" w:hAnsi="Times New Roman" w:cs="Times New Roman"/>
        </w:rPr>
        <w:t>European regions, 1975–2000</w:t>
      </w:r>
      <w:r>
        <w:rPr>
          <w:rFonts w:ascii="Times New Roman" w:hAnsi="Times New Roman" w:cs="Times New Roman"/>
        </w:rPr>
        <w:t>’</w:t>
      </w:r>
      <w:r w:rsidRPr="004511AD">
        <w:rPr>
          <w:rFonts w:ascii="Times New Roman" w:hAnsi="Times New Roman" w:cs="Times New Roman"/>
        </w:rPr>
        <w:t xml:space="preserve">, </w:t>
      </w:r>
      <w:r w:rsidRPr="004511AD">
        <w:rPr>
          <w:rFonts w:ascii="Times New Roman" w:hAnsi="Times New Roman" w:cs="Times New Roman"/>
          <w:i/>
        </w:rPr>
        <w:t>Papers in Regional Science</w:t>
      </w:r>
      <w:r w:rsidRPr="004511AD">
        <w:rPr>
          <w:rFonts w:ascii="Times New Roman" w:hAnsi="Times New Roman" w:cs="Times New Roman"/>
        </w:rPr>
        <w:t xml:space="preserve">, </w:t>
      </w:r>
      <w:r>
        <w:rPr>
          <w:rFonts w:ascii="Times New Roman" w:hAnsi="Times New Roman" w:cs="Times New Roman"/>
        </w:rPr>
        <w:t xml:space="preserve">vol. </w:t>
      </w:r>
      <w:r w:rsidRPr="004511AD">
        <w:rPr>
          <w:rFonts w:ascii="Times New Roman" w:hAnsi="Times New Roman" w:cs="Times New Roman"/>
        </w:rPr>
        <w:t>87</w:t>
      </w:r>
      <w:r>
        <w:rPr>
          <w:rFonts w:ascii="Times New Roman" w:hAnsi="Times New Roman" w:cs="Times New Roman"/>
        </w:rPr>
        <w:t xml:space="preserve">, p. </w:t>
      </w:r>
      <w:r w:rsidRPr="004511AD">
        <w:rPr>
          <w:rFonts w:ascii="Times New Roman" w:hAnsi="Times New Roman" w:cs="Times New Roman"/>
        </w:rPr>
        <w:t>505</w:t>
      </w:r>
      <w:r w:rsidRPr="00696520">
        <w:rPr>
          <w:rFonts w:ascii="Times New Roman" w:hAnsi="Times New Roman" w:cs="Times New Roman"/>
        </w:rPr>
        <w:t>–</w:t>
      </w:r>
      <w:r w:rsidRPr="004511AD">
        <w:rPr>
          <w:rFonts w:ascii="Times New Roman" w:hAnsi="Times New Roman" w:cs="Times New Roman"/>
        </w:rPr>
        <w:t>525.</w:t>
      </w:r>
    </w:p>
    <w:p w:rsidR="005C119F" w:rsidRPr="00696520" w:rsidRDefault="005C119F" w:rsidP="00EA30A5">
      <w:pPr>
        <w:spacing w:line="240" w:lineRule="auto"/>
        <w:ind w:left="284" w:hanging="284"/>
        <w:jc w:val="both"/>
        <w:rPr>
          <w:rFonts w:ascii="Times New Roman" w:hAnsi="Times New Roman" w:cs="Times New Roman"/>
        </w:rPr>
      </w:pPr>
      <w:r w:rsidRPr="00696520">
        <w:rPr>
          <w:rFonts w:ascii="Times New Roman" w:hAnsi="Times New Roman" w:cs="Times New Roman"/>
        </w:rPr>
        <w:t>Levy-</w:t>
      </w:r>
      <w:proofErr w:type="spellStart"/>
      <w:r w:rsidRPr="00696520">
        <w:rPr>
          <w:rFonts w:ascii="Times New Roman" w:hAnsi="Times New Roman" w:cs="Times New Roman"/>
        </w:rPr>
        <w:t>Yeyati</w:t>
      </w:r>
      <w:proofErr w:type="spellEnd"/>
      <w:r w:rsidRPr="00696520">
        <w:rPr>
          <w:rFonts w:ascii="Times New Roman" w:hAnsi="Times New Roman" w:cs="Times New Roman"/>
        </w:rPr>
        <w:t xml:space="preserve">, E., </w:t>
      </w:r>
      <w:proofErr w:type="spellStart"/>
      <w:r w:rsidRPr="00696520">
        <w:rPr>
          <w:rFonts w:ascii="Times New Roman" w:hAnsi="Times New Roman" w:cs="Times New Roman"/>
        </w:rPr>
        <w:t>Sturzenegger</w:t>
      </w:r>
      <w:proofErr w:type="spellEnd"/>
      <w:r w:rsidRPr="00696520">
        <w:rPr>
          <w:rFonts w:ascii="Times New Roman" w:hAnsi="Times New Roman" w:cs="Times New Roman"/>
        </w:rPr>
        <w:t xml:space="preserve">, F., and </w:t>
      </w:r>
      <w:proofErr w:type="spellStart"/>
      <w:r w:rsidRPr="00696520">
        <w:rPr>
          <w:rFonts w:ascii="Times New Roman" w:hAnsi="Times New Roman" w:cs="Times New Roman"/>
        </w:rPr>
        <w:t>Gluzmann</w:t>
      </w:r>
      <w:proofErr w:type="spellEnd"/>
      <w:r w:rsidRPr="00696520">
        <w:rPr>
          <w:rFonts w:ascii="Times New Roman" w:hAnsi="Times New Roman" w:cs="Times New Roman"/>
        </w:rPr>
        <w:t xml:space="preserve">, P. A. 2013. Fear of appreciation. </w:t>
      </w:r>
      <w:r w:rsidRPr="00696520">
        <w:rPr>
          <w:rFonts w:ascii="Times New Roman" w:hAnsi="Times New Roman" w:cs="Times New Roman"/>
          <w:i/>
        </w:rPr>
        <w:t>Journal of Development Economics</w:t>
      </w:r>
      <w:r w:rsidRPr="00696520">
        <w:rPr>
          <w:rFonts w:ascii="Times New Roman" w:hAnsi="Times New Roman" w:cs="Times New Roman"/>
        </w:rPr>
        <w:t>, vol. 101, p. 233–247.</w:t>
      </w:r>
    </w:p>
    <w:p w:rsidR="005C119F" w:rsidRPr="00696520" w:rsidRDefault="005C119F" w:rsidP="00EA30A5">
      <w:pPr>
        <w:spacing w:line="240" w:lineRule="auto"/>
        <w:ind w:left="284" w:hanging="284"/>
        <w:jc w:val="both"/>
        <w:rPr>
          <w:rFonts w:ascii="Times New Roman" w:hAnsi="Times New Roman" w:cs="Times New Roman"/>
        </w:rPr>
      </w:pPr>
      <w:proofErr w:type="spellStart"/>
      <w:r w:rsidRPr="00696520">
        <w:rPr>
          <w:rFonts w:ascii="Times New Roman" w:hAnsi="Times New Roman" w:cs="Times New Roman"/>
        </w:rPr>
        <w:t>Loayza</w:t>
      </w:r>
      <w:proofErr w:type="spellEnd"/>
      <w:r w:rsidRPr="00696520">
        <w:rPr>
          <w:rFonts w:ascii="Times New Roman" w:hAnsi="Times New Roman" w:cs="Times New Roman"/>
        </w:rPr>
        <w:t xml:space="preserve">, N., </w:t>
      </w:r>
      <w:proofErr w:type="spellStart"/>
      <w:r w:rsidRPr="00696520">
        <w:rPr>
          <w:rFonts w:ascii="Times New Roman" w:hAnsi="Times New Roman" w:cs="Times New Roman"/>
        </w:rPr>
        <w:t>Fajnzylber</w:t>
      </w:r>
      <w:proofErr w:type="spellEnd"/>
      <w:r w:rsidRPr="00696520">
        <w:rPr>
          <w:rFonts w:ascii="Times New Roman" w:hAnsi="Times New Roman" w:cs="Times New Roman"/>
        </w:rPr>
        <w:t xml:space="preserve">, P., </w:t>
      </w:r>
      <w:proofErr w:type="spellStart"/>
      <w:r w:rsidRPr="00696520">
        <w:rPr>
          <w:rFonts w:ascii="Times New Roman" w:hAnsi="Times New Roman" w:cs="Times New Roman"/>
        </w:rPr>
        <w:t>Calderón</w:t>
      </w:r>
      <w:proofErr w:type="spellEnd"/>
      <w:r w:rsidRPr="00696520">
        <w:rPr>
          <w:rFonts w:ascii="Times New Roman" w:hAnsi="Times New Roman" w:cs="Times New Roman"/>
        </w:rPr>
        <w:t xml:space="preserve">, C., 2005. Economic growth in Latin America and the Caribbean: stylized facts, explanations, and forecasts. </w:t>
      </w:r>
      <w:r w:rsidRPr="00696520">
        <w:rPr>
          <w:rFonts w:ascii="Times New Roman" w:hAnsi="Times New Roman" w:cs="Times New Roman"/>
          <w:i/>
        </w:rPr>
        <w:t>The World Bank Latin America and the Caribbean Regional Studies Program</w:t>
      </w:r>
      <w:r w:rsidRPr="00696520">
        <w:rPr>
          <w:rFonts w:ascii="Times New Roman" w:hAnsi="Times New Roman" w:cs="Times New Roman"/>
        </w:rPr>
        <w:t>, Washington, DC: The World Bank.</w:t>
      </w:r>
    </w:p>
    <w:p w:rsidR="005C119F" w:rsidRPr="00696520" w:rsidRDefault="005C119F" w:rsidP="00EA30A5">
      <w:pPr>
        <w:spacing w:line="240" w:lineRule="auto"/>
        <w:ind w:left="284" w:hanging="284"/>
        <w:jc w:val="both"/>
        <w:rPr>
          <w:rFonts w:ascii="Times New Roman" w:hAnsi="Times New Roman" w:cs="Times New Roman"/>
        </w:rPr>
      </w:pPr>
      <w:proofErr w:type="spellStart"/>
      <w:r w:rsidRPr="00696520">
        <w:rPr>
          <w:rFonts w:ascii="Times New Roman" w:hAnsi="Times New Roman" w:cs="Times New Roman"/>
        </w:rPr>
        <w:t>Nouira</w:t>
      </w:r>
      <w:proofErr w:type="spellEnd"/>
      <w:r w:rsidRPr="00696520">
        <w:rPr>
          <w:rFonts w:ascii="Times New Roman" w:hAnsi="Times New Roman" w:cs="Times New Roman"/>
        </w:rPr>
        <w:t xml:space="preserve">, R. and </w:t>
      </w:r>
      <w:proofErr w:type="spellStart"/>
      <w:r w:rsidRPr="00696520">
        <w:rPr>
          <w:rFonts w:ascii="Times New Roman" w:hAnsi="Times New Roman" w:cs="Times New Roman"/>
        </w:rPr>
        <w:t>Sekkat</w:t>
      </w:r>
      <w:proofErr w:type="spellEnd"/>
      <w:r w:rsidRPr="00696520">
        <w:rPr>
          <w:rFonts w:ascii="Times New Roman" w:hAnsi="Times New Roman" w:cs="Times New Roman"/>
        </w:rPr>
        <w:t xml:space="preserve">, K. 2012. Desperately seeking the positive impact of undervaluation on growth, </w:t>
      </w:r>
      <w:r w:rsidRPr="00696520">
        <w:rPr>
          <w:rFonts w:ascii="Times New Roman" w:hAnsi="Times New Roman" w:cs="Times New Roman"/>
          <w:i/>
        </w:rPr>
        <w:t>Journal of Macroeconomics</w:t>
      </w:r>
      <w:r w:rsidRPr="00696520">
        <w:rPr>
          <w:rFonts w:ascii="Times New Roman" w:hAnsi="Times New Roman" w:cs="Times New Roman"/>
        </w:rPr>
        <w:t>, vol. 34, p. 537–552.</w:t>
      </w:r>
    </w:p>
    <w:p w:rsidR="0039386F" w:rsidRPr="00696520" w:rsidRDefault="0039386F" w:rsidP="00EA30A5">
      <w:pPr>
        <w:spacing w:line="240" w:lineRule="auto"/>
        <w:ind w:left="284" w:hanging="284"/>
        <w:jc w:val="both"/>
        <w:rPr>
          <w:rFonts w:ascii="Times New Roman" w:hAnsi="Times New Roman" w:cs="Times New Roman"/>
          <w:iCs/>
        </w:rPr>
      </w:pPr>
      <w:proofErr w:type="spellStart"/>
      <w:r w:rsidRPr="00696520">
        <w:rPr>
          <w:rFonts w:ascii="Times New Roman" w:hAnsi="Times New Roman" w:cs="Times New Roman"/>
        </w:rPr>
        <w:t>Razmi</w:t>
      </w:r>
      <w:proofErr w:type="spellEnd"/>
      <w:r w:rsidRPr="00696520">
        <w:rPr>
          <w:rFonts w:ascii="Times New Roman" w:hAnsi="Times New Roman" w:cs="Times New Roman"/>
        </w:rPr>
        <w:t>, A. “</w:t>
      </w:r>
      <w:r w:rsidRPr="00696520">
        <w:rPr>
          <w:rFonts w:ascii="Times New Roman" w:hAnsi="Times New Roman" w:cs="Times New Roman"/>
          <w:bCs/>
        </w:rPr>
        <w:t xml:space="preserve">The contractionary short-run effects of nominal devaluation in developing countries: some neglected nuances.” </w:t>
      </w:r>
      <w:r w:rsidRPr="00696520">
        <w:rPr>
          <w:rFonts w:ascii="Times New Roman" w:hAnsi="Times New Roman" w:cs="Times New Roman"/>
          <w:bCs/>
          <w:i/>
          <w:iCs/>
        </w:rPr>
        <w:t>International Review of Applied Economics</w:t>
      </w:r>
      <w:r w:rsidRPr="00696520">
        <w:rPr>
          <w:rFonts w:ascii="Times New Roman" w:hAnsi="Times New Roman" w:cs="Times New Roman"/>
          <w:bCs/>
          <w:iCs/>
        </w:rPr>
        <w:t>, 2007, 21 (5), 577–602.</w:t>
      </w:r>
    </w:p>
    <w:p w:rsidR="005C119F" w:rsidRPr="00696520" w:rsidRDefault="005C119F" w:rsidP="00EA30A5">
      <w:pPr>
        <w:spacing w:line="240" w:lineRule="auto"/>
        <w:ind w:left="284" w:hanging="284"/>
        <w:jc w:val="both"/>
        <w:rPr>
          <w:rFonts w:ascii="Times New Roman" w:hAnsi="Times New Roman" w:cs="Times New Roman"/>
        </w:rPr>
      </w:pPr>
      <w:proofErr w:type="spellStart"/>
      <w:r w:rsidRPr="00696520">
        <w:rPr>
          <w:rFonts w:ascii="Times New Roman" w:hAnsi="Times New Roman" w:cs="Times New Roman"/>
        </w:rPr>
        <w:t>Razmi</w:t>
      </w:r>
      <w:proofErr w:type="spellEnd"/>
      <w:r w:rsidRPr="00696520">
        <w:rPr>
          <w:rFonts w:ascii="Times New Roman" w:hAnsi="Times New Roman" w:cs="Times New Roman"/>
        </w:rPr>
        <w:t xml:space="preserve">, A., </w:t>
      </w:r>
      <w:proofErr w:type="spellStart"/>
      <w:r w:rsidRPr="00696520">
        <w:rPr>
          <w:rFonts w:ascii="Times New Roman" w:hAnsi="Times New Roman" w:cs="Times New Roman"/>
        </w:rPr>
        <w:t>Rapetti</w:t>
      </w:r>
      <w:proofErr w:type="spellEnd"/>
      <w:r w:rsidRPr="00696520">
        <w:rPr>
          <w:rFonts w:ascii="Times New Roman" w:hAnsi="Times New Roman" w:cs="Times New Roman"/>
        </w:rPr>
        <w:t xml:space="preserve">, M., and </w:t>
      </w:r>
      <w:proofErr w:type="spellStart"/>
      <w:r w:rsidRPr="00696520">
        <w:rPr>
          <w:rFonts w:ascii="Times New Roman" w:hAnsi="Times New Roman" w:cs="Times New Roman"/>
        </w:rPr>
        <w:t>Skot</w:t>
      </w:r>
      <w:proofErr w:type="spellEnd"/>
      <w:r w:rsidRPr="00696520">
        <w:rPr>
          <w:rFonts w:ascii="Times New Roman" w:hAnsi="Times New Roman" w:cs="Times New Roman"/>
        </w:rPr>
        <w:t xml:space="preserve">, P. 2012. The real exchange rate and economic development, </w:t>
      </w:r>
      <w:r w:rsidRPr="00696520">
        <w:rPr>
          <w:rFonts w:ascii="Times New Roman" w:hAnsi="Times New Roman" w:cs="Times New Roman"/>
          <w:i/>
        </w:rPr>
        <w:t>Structural Change and Economic Dynamics</w:t>
      </w:r>
      <w:r w:rsidRPr="00696520">
        <w:rPr>
          <w:rFonts w:ascii="Times New Roman" w:hAnsi="Times New Roman" w:cs="Times New Roman"/>
        </w:rPr>
        <w:t>, vol. 23, p. 151–169</w:t>
      </w:r>
    </w:p>
    <w:p w:rsidR="005C119F" w:rsidRPr="00696520" w:rsidRDefault="005C119F" w:rsidP="00EA30A5">
      <w:pPr>
        <w:spacing w:line="240" w:lineRule="auto"/>
        <w:ind w:left="284" w:hanging="284"/>
        <w:jc w:val="both"/>
        <w:rPr>
          <w:rFonts w:ascii="Times New Roman" w:hAnsi="Times New Roman" w:cs="Times New Roman"/>
        </w:rPr>
      </w:pPr>
      <w:proofErr w:type="spellStart"/>
      <w:r w:rsidRPr="00696520">
        <w:rPr>
          <w:rFonts w:ascii="Times New Roman" w:hAnsi="Times New Roman" w:cs="Times New Roman"/>
        </w:rPr>
        <w:t>Rodrik</w:t>
      </w:r>
      <w:proofErr w:type="spellEnd"/>
      <w:r w:rsidRPr="00696520">
        <w:rPr>
          <w:rFonts w:ascii="Times New Roman" w:hAnsi="Times New Roman" w:cs="Times New Roman"/>
        </w:rPr>
        <w:t xml:space="preserve">, D. 2008. The real exchange rate and economic growth, </w:t>
      </w:r>
      <w:r w:rsidRPr="00696520">
        <w:rPr>
          <w:rFonts w:ascii="Times New Roman" w:hAnsi="Times New Roman" w:cs="Times New Roman"/>
          <w:i/>
        </w:rPr>
        <w:t>Brookings Papers on Economic Activity</w:t>
      </w:r>
      <w:r w:rsidRPr="00696520">
        <w:rPr>
          <w:rFonts w:ascii="Times New Roman" w:hAnsi="Times New Roman" w:cs="Times New Roman"/>
        </w:rPr>
        <w:t xml:space="preserve">, vol. 2008, no. 2, 365–412.  </w:t>
      </w:r>
    </w:p>
    <w:p w:rsidR="005C119F" w:rsidRPr="00696520" w:rsidRDefault="005C119F" w:rsidP="00EA30A5">
      <w:pPr>
        <w:spacing w:line="240" w:lineRule="auto"/>
        <w:ind w:left="284" w:hanging="284"/>
        <w:jc w:val="both"/>
        <w:rPr>
          <w:rFonts w:ascii="Times New Roman" w:hAnsi="Times New Roman" w:cs="Times New Roman"/>
        </w:rPr>
      </w:pPr>
      <w:r w:rsidRPr="00696520">
        <w:rPr>
          <w:rFonts w:ascii="Times New Roman" w:hAnsi="Times New Roman" w:cs="Times New Roman"/>
        </w:rPr>
        <w:t xml:space="preserve">Schröder, M. 2013. Should developing countries undervalue their currencies? </w:t>
      </w:r>
      <w:r w:rsidRPr="00696520">
        <w:rPr>
          <w:rFonts w:ascii="Times New Roman" w:hAnsi="Times New Roman" w:cs="Times New Roman"/>
          <w:i/>
        </w:rPr>
        <w:t>Journal of Development Economics</w:t>
      </w:r>
      <w:r w:rsidRPr="00696520">
        <w:rPr>
          <w:rFonts w:ascii="Times New Roman" w:hAnsi="Times New Roman" w:cs="Times New Roman"/>
        </w:rPr>
        <w:t xml:space="preserve">, vol. 105, p. 140–151. </w:t>
      </w:r>
    </w:p>
    <w:p w:rsidR="004511AD" w:rsidRDefault="004511AD" w:rsidP="00EA30A5">
      <w:pPr>
        <w:spacing w:line="240" w:lineRule="auto"/>
        <w:ind w:left="284" w:hanging="284"/>
        <w:jc w:val="both"/>
        <w:rPr>
          <w:rFonts w:ascii="Times New Roman" w:hAnsi="Times New Roman" w:cs="Times New Roman"/>
        </w:rPr>
      </w:pPr>
      <w:r w:rsidRPr="004511AD">
        <w:rPr>
          <w:rFonts w:ascii="Times New Roman" w:hAnsi="Times New Roman" w:cs="Times New Roman"/>
        </w:rPr>
        <w:t>Sorensen, A. 2001</w:t>
      </w:r>
      <w:r>
        <w:rPr>
          <w:rFonts w:ascii="Times New Roman" w:hAnsi="Times New Roman" w:cs="Times New Roman"/>
        </w:rPr>
        <w:t>.</w:t>
      </w:r>
      <w:r w:rsidRPr="004511AD">
        <w:rPr>
          <w:rFonts w:ascii="Times New Roman" w:hAnsi="Times New Roman" w:cs="Times New Roman"/>
        </w:rPr>
        <w:t xml:space="preserve"> </w:t>
      </w:r>
      <w:r>
        <w:rPr>
          <w:rFonts w:ascii="Times New Roman" w:hAnsi="Times New Roman" w:cs="Times New Roman"/>
        </w:rPr>
        <w:t>‘</w:t>
      </w:r>
      <w:r w:rsidRPr="004511AD">
        <w:rPr>
          <w:rFonts w:ascii="Times New Roman" w:hAnsi="Times New Roman" w:cs="Times New Roman"/>
        </w:rPr>
        <w:t>Comparing Apples to Oranges: Productivity Convergence and Measurement across Industries and Countries: Comment</w:t>
      </w:r>
      <w:r>
        <w:rPr>
          <w:rFonts w:ascii="Times New Roman" w:hAnsi="Times New Roman" w:cs="Times New Roman"/>
        </w:rPr>
        <w:t>’</w:t>
      </w:r>
      <w:r w:rsidRPr="004511AD">
        <w:rPr>
          <w:rFonts w:ascii="Times New Roman" w:hAnsi="Times New Roman" w:cs="Times New Roman"/>
        </w:rPr>
        <w:t xml:space="preserve">, </w:t>
      </w:r>
      <w:r w:rsidRPr="004511AD">
        <w:rPr>
          <w:rFonts w:ascii="Times New Roman" w:hAnsi="Times New Roman" w:cs="Times New Roman"/>
          <w:i/>
        </w:rPr>
        <w:t>American Economic Review</w:t>
      </w:r>
      <w:r w:rsidRPr="004511AD">
        <w:rPr>
          <w:rFonts w:ascii="Times New Roman" w:hAnsi="Times New Roman" w:cs="Times New Roman"/>
        </w:rPr>
        <w:t xml:space="preserve">, </w:t>
      </w:r>
      <w:r>
        <w:rPr>
          <w:rFonts w:ascii="Times New Roman" w:hAnsi="Times New Roman" w:cs="Times New Roman"/>
        </w:rPr>
        <w:t xml:space="preserve">vol. </w:t>
      </w:r>
      <w:r w:rsidRPr="004511AD">
        <w:rPr>
          <w:rFonts w:ascii="Times New Roman" w:hAnsi="Times New Roman" w:cs="Times New Roman"/>
        </w:rPr>
        <w:t>91</w:t>
      </w:r>
      <w:r>
        <w:rPr>
          <w:rFonts w:ascii="Times New Roman" w:hAnsi="Times New Roman" w:cs="Times New Roman"/>
        </w:rPr>
        <w:t xml:space="preserve">, p. </w:t>
      </w:r>
      <w:r w:rsidRPr="004511AD">
        <w:rPr>
          <w:rFonts w:ascii="Times New Roman" w:hAnsi="Times New Roman" w:cs="Times New Roman"/>
        </w:rPr>
        <w:t>1160</w:t>
      </w:r>
      <w:r w:rsidRPr="00696520">
        <w:rPr>
          <w:rFonts w:ascii="Times New Roman" w:hAnsi="Times New Roman" w:cs="Times New Roman"/>
        </w:rPr>
        <w:t>–</w:t>
      </w:r>
      <w:r w:rsidRPr="004511AD">
        <w:rPr>
          <w:rFonts w:ascii="Times New Roman" w:hAnsi="Times New Roman" w:cs="Times New Roman"/>
        </w:rPr>
        <w:t>1167.</w:t>
      </w:r>
    </w:p>
    <w:p w:rsidR="005C119F" w:rsidRDefault="005C119F" w:rsidP="00EA30A5">
      <w:pPr>
        <w:spacing w:line="240" w:lineRule="auto"/>
        <w:ind w:left="284" w:hanging="284"/>
        <w:jc w:val="both"/>
        <w:rPr>
          <w:rFonts w:ascii="Times New Roman" w:hAnsi="Times New Roman" w:cs="Times New Roman"/>
        </w:rPr>
      </w:pPr>
      <w:proofErr w:type="spellStart"/>
      <w:r w:rsidRPr="00696520">
        <w:rPr>
          <w:rFonts w:ascii="Times New Roman" w:hAnsi="Times New Roman" w:cs="Times New Roman"/>
        </w:rPr>
        <w:t>Vaz</w:t>
      </w:r>
      <w:proofErr w:type="spellEnd"/>
      <w:r w:rsidRPr="00696520">
        <w:rPr>
          <w:rFonts w:ascii="Times New Roman" w:hAnsi="Times New Roman" w:cs="Times New Roman"/>
        </w:rPr>
        <w:t xml:space="preserve">, P. H. and Baer, W. 2014. Real exchange rate and manufacturing growth in Latin America. </w:t>
      </w:r>
      <w:r w:rsidRPr="00696520">
        <w:rPr>
          <w:rFonts w:ascii="Times New Roman" w:hAnsi="Times New Roman" w:cs="Times New Roman"/>
          <w:i/>
        </w:rPr>
        <w:t>Latin American Economic Review</w:t>
      </w:r>
      <w:r w:rsidRPr="00696520">
        <w:rPr>
          <w:rFonts w:ascii="Times New Roman" w:hAnsi="Times New Roman" w:cs="Times New Roman"/>
        </w:rPr>
        <w:t>, vol. 23</w:t>
      </w:r>
      <w:r w:rsidR="004511AD">
        <w:rPr>
          <w:rFonts w:ascii="Times New Roman" w:hAnsi="Times New Roman" w:cs="Times New Roman"/>
        </w:rPr>
        <w:t>.</w:t>
      </w:r>
    </w:p>
    <w:p w:rsidR="002C4F48" w:rsidRPr="002C4F48" w:rsidRDefault="004511AD" w:rsidP="00EA30A5">
      <w:pPr>
        <w:spacing w:line="240" w:lineRule="auto"/>
        <w:ind w:left="284" w:hanging="284"/>
        <w:jc w:val="both"/>
        <w:rPr>
          <w:rFonts w:ascii="Times New Roman" w:hAnsi="Times New Roman" w:cs="Times New Roman"/>
          <w:sz w:val="20"/>
          <w:szCs w:val="20"/>
        </w:rPr>
      </w:pPr>
      <w:r w:rsidRPr="004511AD">
        <w:rPr>
          <w:rFonts w:ascii="Times New Roman" w:hAnsi="Times New Roman" w:cs="Times New Roman"/>
        </w:rPr>
        <w:t>Woodridge, J. M. 2002</w:t>
      </w:r>
      <w:r>
        <w:rPr>
          <w:rFonts w:ascii="Times New Roman" w:hAnsi="Times New Roman" w:cs="Times New Roman"/>
        </w:rPr>
        <w:t>.</w:t>
      </w:r>
      <w:r w:rsidRPr="004511AD">
        <w:rPr>
          <w:rFonts w:ascii="Times New Roman" w:hAnsi="Times New Roman" w:cs="Times New Roman"/>
        </w:rPr>
        <w:t xml:space="preserve"> </w:t>
      </w:r>
      <w:r>
        <w:rPr>
          <w:rFonts w:ascii="Times New Roman" w:hAnsi="Times New Roman" w:cs="Times New Roman"/>
        </w:rPr>
        <w:t>‘</w:t>
      </w:r>
      <w:r w:rsidRPr="004511AD">
        <w:rPr>
          <w:rFonts w:ascii="Times New Roman" w:hAnsi="Times New Roman" w:cs="Times New Roman"/>
        </w:rPr>
        <w:t>Econometric Analysis of Cross Section and Panel Data</w:t>
      </w:r>
      <w:r>
        <w:rPr>
          <w:rFonts w:ascii="Times New Roman" w:hAnsi="Times New Roman" w:cs="Times New Roman"/>
        </w:rPr>
        <w:t>’</w:t>
      </w:r>
      <w:r w:rsidRPr="004511AD">
        <w:rPr>
          <w:rFonts w:ascii="Times New Roman" w:hAnsi="Times New Roman" w:cs="Times New Roman"/>
        </w:rPr>
        <w:t>, London: The MIT Press.</w:t>
      </w:r>
    </w:p>
    <w:sectPr w:rsidR="002C4F48" w:rsidRPr="002C4F48" w:rsidSect="008D370B">
      <w:pgSz w:w="11906" w:h="16838"/>
      <w:pgMar w:top="1417" w:right="1133"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FEE" w:rsidRDefault="00672FEE" w:rsidP="00F20600">
      <w:pPr>
        <w:spacing w:after="0" w:line="240" w:lineRule="auto"/>
      </w:pPr>
      <w:r>
        <w:separator/>
      </w:r>
    </w:p>
  </w:endnote>
  <w:endnote w:type="continuationSeparator" w:id="0">
    <w:p w:rsidR="00672FEE" w:rsidRDefault="00672FEE" w:rsidP="00F20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FEE" w:rsidRDefault="00672FEE" w:rsidP="00F20600">
      <w:pPr>
        <w:spacing w:after="0" w:line="240" w:lineRule="auto"/>
      </w:pPr>
      <w:r>
        <w:separator/>
      </w:r>
    </w:p>
  </w:footnote>
  <w:footnote w:type="continuationSeparator" w:id="0">
    <w:p w:rsidR="00672FEE" w:rsidRDefault="00672FEE" w:rsidP="00F20600">
      <w:pPr>
        <w:spacing w:after="0" w:line="240" w:lineRule="auto"/>
      </w:pPr>
      <w:r>
        <w:continuationSeparator/>
      </w:r>
    </w:p>
  </w:footnote>
  <w:footnote w:id="1">
    <w:p w:rsidR="00EA30A5" w:rsidRPr="00913E80" w:rsidRDefault="00EA30A5" w:rsidP="003E35C8">
      <w:pPr>
        <w:pStyle w:val="Textodenotaderodap"/>
        <w:rPr>
          <w:rFonts w:ascii="Times New Roman" w:hAnsi="Times New Roman" w:cs="Times New Roman"/>
        </w:rPr>
      </w:pPr>
      <w:r w:rsidRPr="00FB19E5">
        <w:rPr>
          <w:rStyle w:val="Refdenotaderodap"/>
          <w:rFonts w:ascii="Times New Roman" w:hAnsi="Times New Roman" w:cs="Times New Roman"/>
        </w:rPr>
        <w:footnoteRef/>
      </w:r>
      <w:r w:rsidRPr="00FB19E5">
        <w:rPr>
          <w:rFonts w:ascii="Times New Roman" w:hAnsi="Times New Roman" w:cs="Times New Roman"/>
        </w:rPr>
        <w:t xml:space="preserve"> See </w:t>
      </w:r>
      <w:proofErr w:type="spellStart"/>
      <w:r w:rsidRPr="00FB19E5">
        <w:rPr>
          <w:rFonts w:ascii="Times New Roman" w:hAnsi="Times New Roman" w:cs="Times New Roman"/>
        </w:rPr>
        <w:t>Agung</w:t>
      </w:r>
      <w:proofErr w:type="spellEnd"/>
      <w:r w:rsidRPr="00FB19E5">
        <w:rPr>
          <w:rFonts w:ascii="Times New Roman" w:hAnsi="Times New Roman" w:cs="Times New Roman"/>
        </w:rPr>
        <w:t xml:space="preserve"> (2014:278-285) for a detailed presentation of this method and prior applications. Woodridge (2002:170-171) presents an</w:t>
      </w:r>
      <w:r w:rsidRPr="00913E80">
        <w:rPr>
          <w:rFonts w:ascii="Times New Roman" w:hAnsi="Times New Roman" w:cs="Times New Roman"/>
        </w:rPr>
        <w:t xml:space="preserve"> example of this method for a panel data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7E22"/>
    <w:multiLevelType w:val="multilevel"/>
    <w:tmpl w:val="ED0EDD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4A35BD"/>
    <w:multiLevelType w:val="multilevel"/>
    <w:tmpl w:val="ED0EDD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5339E9"/>
    <w:multiLevelType w:val="multilevel"/>
    <w:tmpl w:val="ED0EDD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845614"/>
    <w:multiLevelType w:val="hybridMultilevel"/>
    <w:tmpl w:val="D97AAA98"/>
    <w:lvl w:ilvl="0" w:tplc="0458FC98">
      <w:start w:val="1"/>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7F0BBF"/>
    <w:multiLevelType w:val="multilevel"/>
    <w:tmpl w:val="ED0EDD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F56A88"/>
    <w:multiLevelType w:val="multilevel"/>
    <w:tmpl w:val="ED0EDD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0615BA"/>
    <w:multiLevelType w:val="multilevel"/>
    <w:tmpl w:val="ED0EDD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FDB7793"/>
    <w:multiLevelType w:val="multilevel"/>
    <w:tmpl w:val="ED0EDD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9005346"/>
    <w:multiLevelType w:val="hybridMultilevel"/>
    <w:tmpl w:val="B986EE3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0E1A97"/>
    <w:multiLevelType w:val="hybridMultilevel"/>
    <w:tmpl w:val="7E3A1864"/>
    <w:lvl w:ilvl="0" w:tplc="255EE2A6">
      <w:start w:val="1"/>
      <w:numFmt w:val="bullet"/>
      <w:lvlText w:val="-"/>
      <w:lvlJc w:val="left"/>
      <w:pPr>
        <w:ind w:left="1080" w:hanging="360"/>
      </w:pPr>
      <w:rPr>
        <w:rFonts w:ascii="Times New Roman" w:eastAsiaTheme="minorHAnsi"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77AA01BE"/>
    <w:multiLevelType w:val="hybridMultilevel"/>
    <w:tmpl w:val="7BAC05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0"/>
  </w:num>
  <w:num w:numId="3">
    <w:abstractNumId w:val="7"/>
  </w:num>
  <w:num w:numId="4">
    <w:abstractNumId w:val="2"/>
  </w:num>
  <w:num w:numId="5">
    <w:abstractNumId w:val="4"/>
  </w:num>
  <w:num w:numId="6">
    <w:abstractNumId w:val="5"/>
  </w:num>
  <w:num w:numId="7">
    <w:abstractNumId w:val="6"/>
  </w:num>
  <w:num w:numId="8">
    <w:abstractNumId w:val="3"/>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A2"/>
    <w:rsid w:val="00000213"/>
    <w:rsid w:val="00001560"/>
    <w:rsid w:val="00002C55"/>
    <w:rsid w:val="000030B8"/>
    <w:rsid w:val="00003E0E"/>
    <w:rsid w:val="00005925"/>
    <w:rsid w:val="00006494"/>
    <w:rsid w:val="0000699E"/>
    <w:rsid w:val="00006E3F"/>
    <w:rsid w:val="00007BFD"/>
    <w:rsid w:val="00010667"/>
    <w:rsid w:val="00010D34"/>
    <w:rsid w:val="00013C28"/>
    <w:rsid w:val="0001415E"/>
    <w:rsid w:val="0001442B"/>
    <w:rsid w:val="000152C0"/>
    <w:rsid w:val="0001598D"/>
    <w:rsid w:val="00016797"/>
    <w:rsid w:val="00020022"/>
    <w:rsid w:val="00020237"/>
    <w:rsid w:val="0002069F"/>
    <w:rsid w:val="000209E6"/>
    <w:rsid w:val="00021568"/>
    <w:rsid w:val="000224EF"/>
    <w:rsid w:val="0002269A"/>
    <w:rsid w:val="0002269D"/>
    <w:rsid w:val="00024B6A"/>
    <w:rsid w:val="00026270"/>
    <w:rsid w:val="00026EEB"/>
    <w:rsid w:val="00033246"/>
    <w:rsid w:val="00033593"/>
    <w:rsid w:val="00035045"/>
    <w:rsid w:val="000355D5"/>
    <w:rsid w:val="000360C2"/>
    <w:rsid w:val="00037398"/>
    <w:rsid w:val="000375F8"/>
    <w:rsid w:val="0003792C"/>
    <w:rsid w:val="000418CA"/>
    <w:rsid w:val="0004196E"/>
    <w:rsid w:val="0004214A"/>
    <w:rsid w:val="000421D8"/>
    <w:rsid w:val="00043567"/>
    <w:rsid w:val="000444AD"/>
    <w:rsid w:val="000449D8"/>
    <w:rsid w:val="00044C23"/>
    <w:rsid w:val="00046DFE"/>
    <w:rsid w:val="000471BA"/>
    <w:rsid w:val="00050293"/>
    <w:rsid w:val="000509F0"/>
    <w:rsid w:val="00051DD4"/>
    <w:rsid w:val="00052243"/>
    <w:rsid w:val="00052548"/>
    <w:rsid w:val="00052E92"/>
    <w:rsid w:val="0005414E"/>
    <w:rsid w:val="0005435F"/>
    <w:rsid w:val="000545C1"/>
    <w:rsid w:val="000553DD"/>
    <w:rsid w:val="000568FF"/>
    <w:rsid w:val="00061F50"/>
    <w:rsid w:val="00063AAE"/>
    <w:rsid w:val="00065CF3"/>
    <w:rsid w:val="00066D44"/>
    <w:rsid w:val="00070D3D"/>
    <w:rsid w:val="00070E8C"/>
    <w:rsid w:val="000732A8"/>
    <w:rsid w:val="000736E9"/>
    <w:rsid w:val="000750F0"/>
    <w:rsid w:val="000763F1"/>
    <w:rsid w:val="0007687A"/>
    <w:rsid w:val="00076FD6"/>
    <w:rsid w:val="00077D03"/>
    <w:rsid w:val="00081533"/>
    <w:rsid w:val="00082542"/>
    <w:rsid w:val="000825C6"/>
    <w:rsid w:val="0008265C"/>
    <w:rsid w:val="000826E9"/>
    <w:rsid w:val="00082FC8"/>
    <w:rsid w:val="0008332F"/>
    <w:rsid w:val="000837D9"/>
    <w:rsid w:val="0008451A"/>
    <w:rsid w:val="00085477"/>
    <w:rsid w:val="00086F0E"/>
    <w:rsid w:val="00087839"/>
    <w:rsid w:val="000903E2"/>
    <w:rsid w:val="00091203"/>
    <w:rsid w:val="000917B1"/>
    <w:rsid w:val="00091A18"/>
    <w:rsid w:val="00091BAC"/>
    <w:rsid w:val="00091C7C"/>
    <w:rsid w:val="00091DCE"/>
    <w:rsid w:val="00092136"/>
    <w:rsid w:val="000923A8"/>
    <w:rsid w:val="000937E4"/>
    <w:rsid w:val="000939E3"/>
    <w:rsid w:val="00093FA3"/>
    <w:rsid w:val="00094B32"/>
    <w:rsid w:val="00094DB4"/>
    <w:rsid w:val="00095232"/>
    <w:rsid w:val="0009720B"/>
    <w:rsid w:val="000A1E7A"/>
    <w:rsid w:val="000A35FD"/>
    <w:rsid w:val="000A44AE"/>
    <w:rsid w:val="000A613E"/>
    <w:rsid w:val="000A6FB0"/>
    <w:rsid w:val="000A7190"/>
    <w:rsid w:val="000B1A4B"/>
    <w:rsid w:val="000B1D71"/>
    <w:rsid w:val="000B27BA"/>
    <w:rsid w:val="000B288D"/>
    <w:rsid w:val="000B2B40"/>
    <w:rsid w:val="000B403F"/>
    <w:rsid w:val="000B5237"/>
    <w:rsid w:val="000B62F9"/>
    <w:rsid w:val="000B741C"/>
    <w:rsid w:val="000C0E88"/>
    <w:rsid w:val="000C381E"/>
    <w:rsid w:val="000C38BC"/>
    <w:rsid w:val="000C4645"/>
    <w:rsid w:val="000C6979"/>
    <w:rsid w:val="000C7E9E"/>
    <w:rsid w:val="000D0024"/>
    <w:rsid w:val="000D1ECD"/>
    <w:rsid w:val="000D22AA"/>
    <w:rsid w:val="000D3981"/>
    <w:rsid w:val="000D404C"/>
    <w:rsid w:val="000D479F"/>
    <w:rsid w:val="000D6FD2"/>
    <w:rsid w:val="000D7AB9"/>
    <w:rsid w:val="000E1146"/>
    <w:rsid w:val="000E150C"/>
    <w:rsid w:val="000E2E89"/>
    <w:rsid w:val="000E3CF1"/>
    <w:rsid w:val="000E4A4D"/>
    <w:rsid w:val="000E4C57"/>
    <w:rsid w:val="000E4F4C"/>
    <w:rsid w:val="000E5362"/>
    <w:rsid w:val="000E697E"/>
    <w:rsid w:val="000E6F6A"/>
    <w:rsid w:val="000E7C92"/>
    <w:rsid w:val="000E7DD2"/>
    <w:rsid w:val="000E7E63"/>
    <w:rsid w:val="000F14F9"/>
    <w:rsid w:val="000F1AFA"/>
    <w:rsid w:val="000F24AF"/>
    <w:rsid w:val="000F322F"/>
    <w:rsid w:val="000F6F69"/>
    <w:rsid w:val="0010180A"/>
    <w:rsid w:val="00101F7A"/>
    <w:rsid w:val="00102233"/>
    <w:rsid w:val="001030D4"/>
    <w:rsid w:val="00104943"/>
    <w:rsid w:val="00104D57"/>
    <w:rsid w:val="00104DD5"/>
    <w:rsid w:val="0011005E"/>
    <w:rsid w:val="0011083A"/>
    <w:rsid w:val="00111AF6"/>
    <w:rsid w:val="00111F1B"/>
    <w:rsid w:val="00112BCD"/>
    <w:rsid w:val="001134C6"/>
    <w:rsid w:val="001141B4"/>
    <w:rsid w:val="00114873"/>
    <w:rsid w:val="001154A2"/>
    <w:rsid w:val="00115F8C"/>
    <w:rsid w:val="001167D0"/>
    <w:rsid w:val="00116D6A"/>
    <w:rsid w:val="00120162"/>
    <w:rsid w:val="00120620"/>
    <w:rsid w:val="00120A5B"/>
    <w:rsid w:val="001210EF"/>
    <w:rsid w:val="00122B76"/>
    <w:rsid w:val="001237DE"/>
    <w:rsid w:val="00124A8F"/>
    <w:rsid w:val="001263F9"/>
    <w:rsid w:val="00126CF5"/>
    <w:rsid w:val="0013040A"/>
    <w:rsid w:val="001309B0"/>
    <w:rsid w:val="00130EB9"/>
    <w:rsid w:val="001311D2"/>
    <w:rsid w:val="0013135C"/>
    <w:rsid w:val="0013179E"/>
    <w:rsid w:val="001322A2"/>
    <w:rsid w:val="00132617"/>
    <w:rsid w:val="00133611"/>
    <w:rsid w:val="00133957"/>
    <w:rsid w:val="00133BAE"/>
    <w:rsid w:val="00133EB0"/>
    <w:rsid w:val="00134612"/>
    <w:rsid w:val="00134D45"/>
    <w:rsid w:val="001354C7"/>
    <w:rsid w:val="001364B8"/>
    <w:rsid w:val="0013652F"/>
    <w:rsid w:val="00136D29"/>
    <w:rsid w:val="00137141"/>
    <w:rsid w:val="0014103E"/>
    <w:rsid w:val="0014105B"/>
    <w:rsid w:val="00141331"/>
    <w:rsid w:val="00142FB6"/>
    <w:rsid w:val="0014310C"/>
    <w:rsid w:val="00143501"/>
    <w:rsid w:val="00143B24"/>
    <w:rsid w:val="0014566C"/>
    <w:rsid w:val="00147F9B"/>
    <w:rsid w:val="00150589"/>
    <w:rsid w:val="00150ECE"/>
    <w:rsid w:val="00151286"/>
    <w:rsid w:val="00151B2F"/>
    <w:rsid w:val="00152DD2"/>
    <w:rsid w:val="001535DE"/>
    <w:rsid w:val="0015378F"/>
    <w:rsid w:val="0015443B"/>
    <w:rsid w:val="00154A93"/>
    <w:rsid w:val="00154D09"/>
    <w:rsid w:val="001553A1"/>
    <w:rsid w:val="00155631"/>
    <w:rsid w:val="00155AA2"/>
    <w:rsid w:val="00155C0D"/>
    <w:rsid w:val="00156DD2"/>
    <w:rsid w:val="00157A1A"/>
    <w:rsid w:val="00157B86"/>
    <w:rsid w:val="00157BBA"/>
    <w:rsid w:val="00157C28"/>
    <w:rsid w:val="001606A7"/>
    <w:rsid w:val="00163260"/>
    <w:rsid w:val="00163F0F"/>
    <w:rsid w:val="00164525"/>
    <w:rsid w:val="00164673"/>
    <w:rsid w:val="00165441"/>
    <w:rsid w:val="001662E2"/>
    <w:rsid w:val="001665CB"/>
    <w:rsid w:val="00166F2A"/>
    <w:rsid w:val="001674C0"/>
    <w:rsid w:val="0017046B"/>
    <w:rsid w:val="001704E7"/>
    <w:rsid w:val="00170B8D"/>
    <w:rsid w:val="00171027"/>
    <w:rsid w:val="001711CC"/>
    <w:rsid w:val="00171211"/>
    <w:rsid w:val="00171265"/>
    <w:rsid w:val="00171A38"/>
    <w:rsid w:val="00171D97"/>
    <w:rsid w:val="00171F95"/>
    <w:rsid w:val="001728A3"/>
    <w:rsid w:val="00172A20"/>
    <w:rsid w:val="00172B2C"/>
    <w:rsid w:val="00173553"/>
    <w:rsid w:val="00173685"/>
    <w:rsid w:val="001745B8"/>
    <w:rsid w:val="001762D4"/>
    <w:rsid w:val="00180558"/>
    <w:rsid w:val="00180751"/>
    <w:rsid w:val="00181FD4"/>
    <w:rsid w:val="00182493"/>
    <w:rsid w:val="0018481C"/>
    <w:rsid w:val="001849D3"/>
    <w:rsid w:val="00186DEB"/>
    <w:rsid w:val="00187147"/>
    <w:rsid w:val="0018773C"/>
    <w:rsid w:val="00190738"/>
    <w:rsid w:val="001912BF"/>
    <w:rsid w:val="001924BB"/>
    <w:rsid w:val="00192C29"/>
    <w:rsid w:val="00193EAE"/>
    <w:rsid w:val="0019434E"/>
    <w:rsid w:val="001956F5"/>
    <w:rsid w:val="00195F60"/>
    <w:rsid w:val="001964FA"/>
    <w:rsid w:val="00196E23"/>
    <w:rsid w:val="00197DC1"/>
    <w:rsid w:val="001A2867"/>
    <w:rsid w:val="001A37DC"/>
    <w:rsid w:val="001A458C"/>
    <w:rsid w:val="001A4B09"/>
    <w:rsid w:val="001A6633"/>
    <w:rsid w:val="001A6900"/>
    <w:rsid w:val="001A6F4F"/>
    <w:rsid w:val="001A7E34"/>
    <w:rsid w:val="001B02E9"/>
    <w:rsid w:val="001B0488"/>
    <w:rsid w:val="001B09CA"/>
    <w:rsid w:val="001B0E0D"/>
    <w:rsid w:val="001B16E3"/>
    <w:rsid w:val="001B2113"/>
    <w:rsid w:val="001B23E4"/>
    <w:rsid w:val="001B26C3"/>
    <w:rsid w:val="001B2CD8"/>
    <w:rsid w:val="001B3140"/>
    <w:rsid w:val="001B4778"/>
    <w:rsid w:val="001B77A2"/>
    <w:rsid w:val="001C09D4"/>
    <w:rsid w:val="001C45FD"/>
    <w:rsid w:val="001C4CDB"/>
    <w:rsid w:val="001C4EC8"/>
    <w:rsid w:val="001C5953"/>
    <w:rsid w:val="001C5A41"/>
    <w:rsid w:val="001C6004"/>
    <w:rsid w:val="001C72E2"/>
    <w:rsid w:val="001C7E5B"/>
    <w:rsid w:val="001D20E0"/>
    <w:rsid w:val="001D2DA0"/>
    <w:rsid w:val="001D2F83"/>
    <w:rsid w:val="001D44EF"/>
    <w:rsid w:val="001D4D5D"/>
    <w:rsid w:val="001D6DFB"/>
    <w:rsid w:val="001D70BB"/>
    <w:rsid w:val="001D7477"/>
    <w:rsid w:val="001D76FA"/>
    <w:rsid w:val="001E0030"/>
    <w:rsid w:val="001E14A4"/>
    <w:rsid w:val="001E157D"/>
    <w:rsid w:val="001E3CC1"/>
    <w:rsid w:val="001E482F"/>
    <w:rsid w:val="001E549C"/>
    <w:rsid w:val="001E7062"/>
    <w:rsid w:val="001E7B32"/>
    <w:rsid w:val="001F047C"/>
    <w:rsid w:val="001F07E9"/>
    <w:rsid w:val="001F11EE"/>
    <w:rsid w:val="001F154E"/>
    <w:rsid w:val="001F1F86"/>
    <w:rsid w:val="001F1FE8"/>
    <w:rsid w:val="001F304F"/>
    <w:rsid w:val="001F3E99"/>
    <w:rsid w:val="001F4B3E"/>
    <w:rsid w:val="001F4C5E"/>
    <w:rsid w:val="001F5CE3"/>
    <w:rsid w:val="001F6E64"/>
    <w:rsid w:val="001F72CB"/>
    <w:rsid w:val="002040DB"/>
    <w:rsid w:val="002045AF"/>
    <w:rsid w:val="0020478A"/>
    <w:rsid w:val="0020485E"/>
    <w:rsid w:val="00204D32"/>
    <w:rsid w:val="002074FF"/>
    <w:rsid w:val="00207E06"/>
    <w:rsid w:val="00210577"/>
    <w:rsid w:val="0021116D"/>
    <w:rsid w:val="00211572"/>
    <w:rsid w:val="002120FA"/>
    <w:rsid w:val="00213167"/>
    <w:rsid w:val="00214184"/>
    <w:rsid w:val="00214384"/>
    <w:rsid w:val="002143EF"/>
    <w:rsid w:val="002157D9"/>
    <w:rsid w:val="00215DAD"/>
    <w:rsid w:val="00216AB2"/>
    <w:rsid w:val="00216AC4"/>
    <w:rsid w:val="00220650"/>
    <w:rsid w:val="00221529"/>
    <w:rsid w:val="00222A6C"/>
    <w:rsid w:val="00223E61"/>
    <w:rsid w:val="00224A3E"/>
    <w:rsid w:val="00224FE7"/>
    <w:rsid w:val="00226065"/>
    <w:rsid w:val="00226454"/>
    <w:rsid w:val="00227409"/>
    <w:rsid w:val="00230B68"/>
    <w:rsid w:val="00231952"/>
    <w:rsid w:val="00232C0C"/>
    <w:rsid w:val="00233659"/>
    <w:rsid w:val="00234433"/>
    <w:rsid w:val="002353F2"/>
    <w:rsid w:val="00235BD9"/>
    <w:rsid w:val="00235CFD"/>
    <w:rsid w:val="002363C3"/>
    <w:rsid w:val="0023657F"/>
    <w:rsid w:val="00236B93"/>
    <w:rsid w:val="00237282"/>
    <w:rsid w:val="0023778C"/>
    <w:rsid w:val="00237F57"/>
    <w:rsid w:val="002407F4"/>
    <w:rsid w:val="00241536"/>
    <w:rsid w:val="0024222F"/>
    <w:rsid w:val="00243C7A"/>
    <w:rsid w:val="0024479A"/>
    <w:rsid w:val="0024552A"/>
    <w:rsid w:val="0024713D"/>
    <w:rsid w:val="00247690"/>
    <w:rsid w:val="002476D6"/>
    <w:rsid w:val="00250089"/>
    <w:rsid w:val="0025073E"/>
    <w:rsid w:val="00250CCC"/>
    <w:rsid w:val="00251523"/>
    <w:rsid w:val="00251527"/>
    <w:rsid w:val="00252010"/>
    <w:rsid w:val="00252CD3"/>
    <w:rsid w:val="002534AF"/>
    <w:rsid w:val="00253A59"/>
    <w:rsid w:val="00254377"/>
    <w:rsid w:val="00254C5D"/>
    <w:rsid w:val="00255CB9"/>
    <w:rsid w:val="00256683"/>
    <w:rsid w:val="00257265"/>
    <w:rsid w:val="00257FC7"/>
    <w:rsid w:val="002609F7"/>
    <w:rsid w:val="00260BFB"/>
    <w:rsid w:val="00263514"/>
    <w:rsid w:val="0026373F"/>
    <w:rsid w:val="00264702"/>
    <w:rsid w:val="00264946"/>
    <w:rsid w:val="002716D4"/>
    <w:rsid w:val="00271993"/>
    <w:rsid w:val="0027217D"/>
    <w:rsid w:val="002734AF"/>
    <w:rsid w:val="00273D77"/>
    <w:rsid w:val="00275299"/>
    <w:rsid w:val="00275A21"/>
    <w:rsid w:val="00275A80"/>
    <w:rsid w:val="002769E0"/>
    <w:rsid w:val="002770D0"/>
    <w:rsid w:val="002801C3"/>
    <w:rsid w:val="00280B64"/>
    <w:rsid w:val="00281165"/>
    <w:rsid w:val="00282CF3"/>
    <w:rsid w:val="0028423C"/>
    <w:rsid w:val="00292505"/>
    <w:rsid w:val="0029263F"/>
    <w:rsid w:val="002947DB"/>
    <w:rsid w:val="00295E51"/>
    <w:rsid w:val="00295EC2"/>
    <w:rsid w:val="00296AF4"/>
    <w:rsid w:val="00297968"/>
    <w:rsid w:val="00297D8E"/>
    <w:rsid w:val="002A076C"/>
    <w:rsid w:val="002A0FA8"/>
    <w:rsid w:val="002A2367"/>
    <w:rsid w:val="002A241E"/>
    <w:rsid w:val="002A293A"/>
    <w:rsid w:val="002A3F1E"/>
    <w:rsid w:val="002A588F"/>
    <w:rsid w:val="002A6F7E"/>
    <w:rsid w:val="002A703D"/>
    <w:rsid w:val="002A736A"/>
    <w:rsid w:val="002B146D"/>
    <w:rsid w:val="002B1A80"/>
    <w:rsid w:val="002B2F77"/>
    <w:rsid w:val="002B4124"/>
    <w:rsid w:val="002B42F1"/>
    <w:rsid w:val="002B5557"/>
    <w:rsid w:val="002B58EF"/>
    <w:rsid w:val="002B6C3E"/>
    <w:rsid w:val="002C01EB"/>
    <w:rsid w:val="002C3A34"/>
    <w:rsid w:val="002C3F1E"/>
    <w:rsid w:val="002C498B"/>
    <w:rsid w:val="002C4F48"/>
    <w:rsid w:val="002C5046"/>
    <w:rsid w:val="002C5A36"/>
    <w:rsid w:val="002C5B92"/>
    <w:rsid w:val="002C62B3"/>
    <w:rsid w:val="002C7FCC"/>
    <w:rsid w:val="002D0056"/>
    <w:rsid w:val="002D2C4A"/>
    <w:rsid w:val="002D31D7"/>
    <w:rsid w:val="002D4EA8"/>
    <w:rsid w:val="002D7038"/>
    <w:rsid w:val="002D7D4D"/>
    <w:rsid w:val="002D7DA3"/>
    <w:rsid w:val="002E0684"/>
    <w:rsid w:val="002E0768"/>
    <w:rsid w:val="002E092D"/>
    <w:rsid w:val="002E12CB"/>
    <w:rsid w:val="002E14E5"/>
    <w:rsid w:val="002E2369"/>
    <w:rsid w:val="002E2EE0"/>
    <w:rsid w:val="002E4363"/>
    <w:rsid w:val="002E498D"/>
    <w:rsid w:val="002E5517"/>
    <w:rsid w:val="002E60BA"/>
    <w:rsid w:val="002E6B8F"/>
    <w:rsid w:val="002E7866"/>
    <w:rsid w:val="002E7E5D"/>
    <w:rsid w:val="002F00E2"/>
    <w:rsid w:val="002F02F7"/>
    <w:rsid w:val="002F129E"/>
    <w:rsid w:val="002F24B8"/>
    <w:rsid w:val="002F284B"/>
    <w:rsid w:val="002F3F89"/>
    <w:rsid w:val="002F423A"/>
    <w:rsid w:val="002F4296"/>
    <w:rsid w:val="002F493C"/>
    <w:rsid w:val="002F5C82"/>
    <w:rsid w:val="002F643B"/>
    <w:rsid w:val="002F7BC4"/>
    <w:rsid w:val="00300AE1"/>
    <w:rsid w:val="00300DF4"/>
    <w:rsid w:val="003012E9"/>
    <w:rsid w:val="003017F6"/>
    <w:rsid w:val="00301844"/>
    <w:rsid w:val="00301E81"/>
    <w:rsid w:val="00302591"/>
    <w:rsid w:val="00303FF5"/>
    <w:rsid w:val="00304386"/>
    <w:rsid w:val="003046C1"/>
    <w:rsid w:val="003049C4"/>
    <w:rsid w:val="00306B2A"/>
    <w:rsid w:val="0030714E"/>
    <w:rsid w:val="003108C5"/>
    <w:rsid w:val="003126C5"/>
    <w:rsid w:val="00312779"/>
    <w:rsid w:val="00312DAE"/>
    <w:rsid w:val="003135BC"/>
    <w:rsid w:val="0031373D"/>
    <w:rsid w:val="003139BF"/>
    <w:rsid w:val="00314510"/>
    <w:rsid w:val="00314F44"/>
    <w:rsid w:val="003159F4"/>
    <w:rsid w:val="00317A94"/>
    <w:rsid w:val="00320585"/>
    <w:rsid w:val="00321847"/>
    <w:rsid w:val="0032244A"/>
    <w:rsid w:val="003225A1"/>
    <w:rsid w:val="00322E4E"/>
    <w:rsid w:val="00323891"/>
    <w:rsid w:val="0032454F"/>
    <w:rsid w:val="00327B07"/>
    <w:rsid w:val="00330E6C"/>
    <w:rsid w:val="0033148A"/>
    <w:rsid w:val="003322B7"/>
    <w:rsid w:val="00332A0B"/>
    <w:rsid w:val="003340C2"/>
    <w:rsid w:val="0033410F"/>
    <w:rsid w:val="00334270"/>
    <w:rsid w:val="0033439C"/>
    <w:rsid w:val="00335493"/>
    <w:rsid w:val="0033554B"/>
    <w:rsid w:val="00335770"/>
    <w:rsid w:val="003369C9"/>
    <w:rsid w:val="00341507"/>
    <w:rsid w:val="003423CD"/>
    <w:rsid w:val="00342D49"/>
    <w:rsid w:val="0034394B"/>
    <w:rsid w:val="00343BD5"/>
    <w:rsid w:val="00343FEF"/>
    <w:rsid w:val="00345AC6"/>
    <w:rsid w:val="00345BE2"/>
    <w:rsid w:val="00346243"/>
    <w:rsid w:val="003474EB"/>
    <w:rsid w:val="00347700"/>
    <w:rsid w:val="00347848"/>
    <w:rsid w:val="00347B09"/>
    <w:rsid w:val="00347BAA"/>
    <w:rsid w:val="0035152B"/>
    <w:rsid w:val="00352DA2"/>
    <w:rsid w:val="00352FA8"/>
    <w:rsid w:val="0035449A"/>
    <w:rsid w:val="00354DD7"/>
    <w:rsid w:val="00355003"/>
    <w:rsid w:val="00355372"/>
    <w:rsid w:val="003562DC"/>
    <w:rsid w:val="00356585"/>
    <w:rsid w:val="00356659"/>
    <w:rsid w:val="003574A8"/>
    <w:rsid w:val="00357541"/>
    <w:rsid w:val="003617B2"/>
    <w:rsid w:val="00362149"/>
    <w:rsid w:val="00362A30"/>
    <w:rsid w:val="00362C83"/>
    <w:rsid w:val="00362CAD"/>
    <w:rsid w:val="0036390A"/>
    <w:rsid w:val="00363D97"/>
    <w:rsid w:val="00363DF1"/>
    <w:rsid w:val="00365756"/>
    <w:rsid w:val="00365D9B"/>
    <w:rsid w:val="00365F66"/>
    <w:rsid w:val="003667D5"/>
    <w:rsid w:val="00366830"/>
    <w:rsid w:val="00367C0B"/>
    <w:rsid w:val="003700A9"/>
    <w:rsid w:val="00370DBC"/>
    <w:rsid w:val="00372052"/>
    <w:rsid w:val="0037308A"/>
    <w:rsid w:val="00373D04"/>
    <w:rsid w:val="003741FD"/>
    <w:rsid w:val="003745DF"/>
    <w:rsid w:val="00374659"/>
    <w:rsid w:val="00374F9D"/>
    <w:rsid w:val="003751BA"/>
    <w:rsid w:val="0038058F"/>
    <w:rsid w:val="003855E8"/>
    <w:rsid w:val="003857F6"/>
    <w:rsid w:val="00390387"/>
    <w:rsid w:val="00390B4D"/>
    <w:rsid w:val="0039165B"/>
    <w:rsid w:val="0039190B"/>
    <w:rsid w:val="00392967"/>
    <w:rsid w:val="0039386F"/>
    <w:rsid w:val="00393E2A"/>
    <w:rsid w:val="0039424D"/>
    <w:rsid w:val="003947D9"/>
    <w:rsid w:val="00394889"/>
    <w:rsid w:val="00396949"/>
    <w:rsid w:val="00397248"/>
    <w:rsid w:val="0039770E"/>
    <w:rsid w:val="003A0432"/>
    <w:rsid w:val="003A146D"/>
    <w:rsid w:val="003A24D4"/>
    <w:rsid w:val="003A31FD"/>
    <w:rsid w:val="003A3614"/>
    <w:rsid w:val="003A3F12"/>
    <w:rsid w:val="003A6062"/>
    <w:rsid w:val="003A7CDB"/>
    <w:rsid w:val="003B0440"/>
    <w:rsid w:val="003B0E1A"/>
    <w:rsid w:val="003B1DFB"/>
    <w:rsid w:val="003B2071"/>
    <w:rsid w:val="003B2ADE"/>
    <w:rsid w:val="003B3420"/>
    <w:rsid w:val="003B431C"/>
    <w:rsid w:val="003B5776"/>
    <w:rsid w:val="003B5D76"/>
    <w:rsid w:val="003B7085"/>
    <w:rsid w:val="003C19CC"/>
    <w:rsid w:val="003C1E5D"/>
    <w:rsid w:val="003C1F8A"/>
    <w:rsid w:val="003C227C"/>
    <w:rsid w:val="003C2A21"/>
    <w:rsid w:val="003C4308"/>
    <w:rsid w:val="003C46CD"/>
    <w:rsid w:val="003C4B8F"/>
    <w:rsid w:val="003C4DFC"/>
    <w:rsid w:val="003C7635"/>
    <w:rsid w:val="003D0615"/>
    <w:rsid w:val="003D07D0"/>
    <w:rsid w:val="003D0FFB"/>
    <w:rsid w:val="003D1940"/>
    <w:rsid w:val="003D3283"/>
    <w:rsid w:val="003D39D5"/>
    <w:rsid w:val="003D3AF4"/>
    <w:rsid w:val="003D3DD6"/>
    <w:rsid w:val="003D4777"/>
    <w:rsid w:val="003D4A9E"/>
    <w:rsid w:val="003D4E38"/>
    <w:rsid w:val="003D623E"/>
    <w:rsid w:val="003D6485"/>
    <w:rsid w:val="003D68A8"/>
    <w:rsid w:val="003D6BF2"/>
    <w:rsid w:val="003D6D55"/>
    <w:rsid w:val="003D7306"/>
    <w:rsid w:val="003D759A"/>
    <w:rsid w:val="003E0E63"/>
    <w:rsid w:val="003E1067"/>
    <w:rsid w:val="003E1D8D"/>
    <w:rsid w:val="003E35C8"/>
    <w:rsid w:val="003E38B3"/>
    <w:rsid w:val="003E3FC5"/>
    <w:rsid w:val="003E4976"/>
    <w:rsid w:val="003E4DF3"/>
    <w:rsid w:val="003E58D8"/>
    <w:rsid w:val="003E6F57"/>
    <w:rsid w:val="003E7CC3"/>
    <w:rsid w:val="003E7E03"/>
    <w:rsid w:val="003F02E0"/>
    <w:rsid w:val="003F0F0C"/>
    <w:rsid w:val="003F1140"/>
    <w:rsid w:val="003F11A4"/>
    <w:rsid w:val="003F1C9A"/>
    <w:rsid w:val="003F1E67"/>
    <w:rsid w:val="003F2A60"/>
    <w:rsid w:val="003F3394"/>
    <w:rsid w:val="00400340"/>
    <w:rsid w:val="0040076B"/>
    <w:rsid w:val="00401402"/>
    <w:rsid w:val="00401A41"/>
    <w:rsid w:val="00402A71"/>
    <w:rsid w:val="00403622"/>
    <w:rsid w:val="00406076"/>
    <w:rsid w:val="00406DE1"/>
    <w:rsid w:val="00406F76"/>
    <w:rsid w:val="00407313"/>
    <w:rsid w:val="00407DE9"/>
    <w:rsid w:val="00412A4F"/>
    <w:rsid w:val="00412D38"/>
    <w:rsid w:val="0041353C"/>
    <w:rsid w:val="00414A78"/>
    <w:rsid w:val="00414C94"/>
    <w:rsid w:val="004157E5"/>
    <w:rsid w:val="0041646E"/>
    <w:rsid w:val="00416727"/>
    <w:rsid w:val="00416BD7"/>
    <w:rsid w:val="00416C53"/>
    <w:rsid w:val="00416C5F"/>
    <w:rsid w:val="00417689"/>
    <w:rsid w:val="004202A7"/>
    <w:rsid w:val="004205F9"/>
    <w:rsid w:val="00420A38"/>
    <w:rsid w:val="00421139"/>
    <w:rsid w:val="00421C74"/>
    <w:rsid w:val="00422F28"/>
    <w:rsid w:val="0043035C"/>
    <w:rsid w:val="004305E5"/>
    <w:rsid w:val="00430B2E"/>
    <w:rsid w:val="004317DB"/>
    <w:rsid w:val="004317E0"/>
    <w:rsid w:val="00432394"/>
    <w:rsid w:val="0043290D"/>
    <w:rsid w:val="00433789"/>
    <w:rsid w:val="00434486"/>
    <w:rsid w:val="00434985"/>
    <w:rsid w:val="00435FC0"/>
    <w:rsid w:val="00436C1D"/>
    <w:rsid w:val="004374F0"/>
    <w:rsid w:val="00440658"/>
    <w:rsid w:val="004413A1"/>
    <w:rsid w:val="0044175A"/>
    <w:rsid w:val="0044288C"/>
    <w:rsid w:val="004436A4"/>
    <w:rsid w:val="0044407B"/>
    <w:rsid w:val="00444639"/>
    <w:rsid w:val="004451FF"/>
    <w:rsid w:val="004461F5"/>
    <w:rsid w:val="004463FB"/>
    <w:rsid w:val="004470EF"/>
    <w:rsid w:val="00447658"/>
    <w:rsid w:val="0044782C"/>
    <w:rsid w:val="00450318"/>
    <w:rsid w:val="00450AC0"/>
    <w:rsid w:val="004511AD"/>
    <w:rsid w:val="004516F0"/>
    <w:rsid w:val="0045234D"/>
    <w:rsid w:val="00452D28"/>
    <w:rsid w:val="004532DF"/>
    <w:rsid w:val="0045367A"/>
    <w:rsid w:val="00453E43"/>
    <w:rsid w:val="00455029"/>
    <w:rsid w:val="004557A3"/>
    <w:rsid w:val="004604CC"/>
    <w:rsid w:val="00460C21"/>
    <w:rsid w:val="0046245D"/>
    <w:rsid w:val="00462B82"/>
    <w:rsid w:val="0046338B"/>
    <w:rsid w:val="004635C1"/>
    <w:rsid w:val="00463865"/>
    <w:rsid w:val="00464B76"/>
    <w:rsid w:val="00464DE3"/>
    <w:rsid w:val="00466890"/>
    <w:rsid w:val="00466E6F"/>
    <w:rsid w:val="004678B8"/>
    <w:rsid w:val="00467AEE"/>
    <w:rsid w:val="004706F0"/>
    <w:rsid w:val="00471673"/>
    <w:rsid w:val="00472482"/>
    <w:rsid w:val="0047273B"/>
    <w:rsid w:val="00472C56"/>
    <w:rsid w:val="00472E60"/>
    <w:rsid w:val="00473542"/>
    <w:rsid w:val="0047505E"/>
    <w:rsid w:val="004753A6"/>
    <w:rsid w:val="00475472"/>
    <w:rsid w:val="00475709"/>
    <w:rsid w:val="00476CA9"/>
    <w:rsid w:val="00476F6A"/>
    <w:rsid w:val="00476FF6"/>
    <w:rsid w:val="004772FE"/>
    <w:rsid w:val="004774CB"/>
    <w:rsid w:val="00477AC6"/>
    <w:rsid w:val="00477E41"/>
    <w:rsid w:val="00480018"/>
    <w:rsid w:val="004803AB"/>
    <w:rsid w:val="0048148E"/>
    <w:rsid w:val="00481ADF"/>
    <w:rsid w:val="004834B9"/>
    <w:rsid w:val="00486D56"/>
    <w:rsid w:val="00487330"/>
    <w:rsid w:val="00487965"/>
    <w:rsid w:val="00487CD3"/>
    <w:rsid w:val="00490C96"/>
    <w:rsid w:val="004914EC"/>
    <w:rsid w:val="00491B56"/>
    <w:rsid w:val="00491E6B"/>
    <w:rsid w:val="004921C1"/>
    <w:rsid w:val="00492BA6"/>
    <w:rsid w:val="004936F8"/>
    <w:rsid w:val="00493A32"/>
    <w:rsid w:val="00493F2D"/>
    <w:rsid w:val="004941C0"/>
    <w:rsid w:val="004943A5"/>
    <w:rsid w:val="004946EE"/>
    <w:rsid w:val="00494701"/>
    <w:rsid w:val="004958EA"/>
    <w:rsid w:val="004960C1"/>
    <w:rsid w:val="00497111"/>
    <w:rsid w:val="004A27F1"/>
    <w:rsid w:val="004A2CF6"/>
    <w:rsid w:val="004A3B4B"/>
    <w:rsid w:val="004A5765"/>
    <w:rsid w:val="004A646F"/>
    <w:rsid w:val="004A731C"/>
    <w:rsid w:val="004A79F6"/>
    <w:rsid w:val="004B005C"/>
    <w:rsid w:val="004B0F1B"/>
    <w:rsid w:val="004B1A1B"/>
    <w:rsid w:val="004B231B"/>
    <w:rsid w:val="004B3979"/>
    <w:rsid w:val="004B3F9A"/>
    <w:rsid w:val="004B46EB"/>
    <w:rsid w:val="004B52B0"/>
    <w:rsid w:val="004B55F6"/>
    <w:rsid w:val="004B65B1"/>
    <w:rsid w:val="004B6D9E"/>
    <w:rsid w:val="004B6FBF"/>
    <w:rsid w:val="004B7C0A"/>
    <w:rsid w:val="004B7FEC"/>
    <w:rsid w:val="004C2A48"/>
    <w:rsid w:val="004C325D"/>
    <w:rsid w:val="004C50E7"/>
    <w:rsid w:val="004C552B"/>
    <w:rsid w:val="004C62BD"/>
    <w:rsid w:val="004C7E33"/>
    <w:rsid w:val="004D0E41"/>
    <w:rsid w:val="004D0FE6"/>
    <w:rsid w:val="004D41C6"/>
    <w:rsid w:val="004D56E2"/>
    <w:rsid w:val="004D5AF2"/>
    <w:rsid w:val="004D6A03"/>
    <w:rsid w:val="004E00BC"/>
    <w:rsid w:val="004E171C"/>
    <w:rsid w:val="004E1C8C"/>
    <w:rsid w:val="004E1DA4"/>
    <w:rsid w:val="004E2563"/>
    <w:rsid w:val="004E2FF7"/>
    <w:rsid w:val="004E3612"/>
    <w:rsid w:val="004E3742"/>
    <w:rsid w:val="004E5926"/>
    <w:rsid w:val="004E722D"/>
    <w:rsid w:val="004E73E7"/>
    <w:rsid w:val="004F05BE"/>
    <w:rsid w:val="004F066D"/>
    <w:rsid w:val="004F267C"/>
    <w:rsid w:val="004F281C"/>
    <w:rsid w:val="004F3B01"/>
    <w:rsid w:val="004F3BD9"/>
    <w:rsid w:val="004F416A"/>
    <w:rsid w:val="004F50AE"/>
    <w:rsid w:val="004F6050"/>
    <w:rsid w:val="004F72E6"/>
    <w:rsid w:val="004F7C4A"/>
    <w:rsid w:val="00501713"/>
    <w:rsid w:val="00502D9B"/>
    <w:rsid w:val="00502FC5"/>
    <w:rsid w:val="00503019"/>
    <w:rsid w:val="0050546A"/>
    <w:rsid w:val="005062C8"/>
    <w:rsid w:val="00506547"/>
    <w:rsid w:val="00510097"/>
    <w:rsid w:val="00510775"/>
    <w:rsid w:val="005109C1"/>
    <w:rsid w:val="00511523"/>
    <w:rsid w:val="005138D0"/>
    <w:rsid w:val="005139E6"/>
    <w:rsid w:val="0051439E"/>
    <w:rsid w:val="00514C17"/>
    <w:rsid w:val="00515838"/>
    <w:rsid w:val="00516288"/>
    <w:rsid w:val="0051630F"/>
    <w:rsid w:val="00517033"/>
    <w:rsid w:val="005173AE"/>
    <w:rsid w:val="0051756E"/>
    <w:rsid w:val="00517684"/>
    <w:rsid w:val="00520AF4"/>
    <w:rsid w:val="005225CE"/>
    <w:rsid w:val="00522876"/>
    <w:rsid w:val="00522E76"/>
    <w:rsid w:val="005242C4"/>
    <w:rsid w:val="0052431C"/>
    <w:rsid w:val="00524C44"/>
    <w:rsid w:val="00525084"/>
    <w:rsid w:val="0052628E"/>
    <w:rsid w:val="005269C3"/>
    <w:rsid w:val="00526DFC"/>
    <w:rsid w:val="00526F7F"/>
    <w:rsid w:val="00532EC5"/>
    <w:rsid w:val="00534187"/>
    <w:rsid w:val="00534486"/>
    <w:rsid w:val="005351B8"/>
    <w:rsid w:val="00535E77"/>
    <w:rsid w:val="005363F0"/>
    <w:rsid w:val="00536623"/>
    <w:rsid w:val="00536650"/>
    <w:rsid w:val="00537ABC"/>
    <w:rsid w:val="00537EA2"/>
    <w:rsid w:val="00537EEE"/>
    <w:rsid w:val="00540DC0"/>
    <w:rsid w:val="0054131D"/>
    <w:rsid w:val="00542386"/>
    <w:rsid w:val="00544121"/>
    <w:rsid w:val="00544B56"/>
    <w:rsid w:val="00544F4B"/>
    <w:rsid w:val="005455F3"/>
    <w:rsid w:val="00545FAC"/>
    <w:rsid w:val="0054791C"/>
    <w:rsid w:val="00547CD1"/>
    <w:rsid w:val="005507F2"/>
    <w:rsid w:val="00551B76"/>
    <w:rsid w:val="00552910"/>
    <w:rsid w:val="00552BF8"/>
    <w:rsid w:val="00553490"/>
    <w:rsid w:val="00555568"/>
    <w:rsid w:val="00555B37"/>
    <w:rsid w:val="0055689D"/>
    <w:rsid w:val="00556CD3"/>
    <w:rsid w:val="00557307"/>
    <w:rsid w:val="005612F2"/>
    <w:rsid w:val="0056131B"/>
    <w:rsid w:val="00562329"/>
    <w:rsid w:val="00563759"/>
    <w:rsid w:val="00564437"/>
    <w:rsid w:val="00564AEC"/>
    <w:rsid w:val="00564AFD"/>
    <w:rsid w:val="00570A9A"/>
    <w:rsid w:val="005743ED"/>
    <w:rsid w:val="00575DFB"/>
    <w:rsid w:val="00576837"/>
    <w:rsid w:val="005771D2"/>
    <w:rsid w:val="0057777F"/>
    <w:rsid w:val="00580554"/>
    <w:rsid w:val="0058116C"/>
    <w:rsid w:val="00581360"/>
    <w:rsid w:val="00582F6D"/>
    <w:rsid w:val="005834E9"/>
    <w:rsid w:val="005838C9"/>
    <w:rsid w:val="005843BB"/>
    <w:rsid w:val="00584A85"/>
    <w:rsid w:val="00585024"/>
    <w:rsid w:val="005873D8"/>
    <w:rsid w:val="00590778"/>
    <w:rsid w:val="005926BC"/>
    <w:rsid w:val="005964F3"/>
    <w:rsid w:val="00596A1D"/>
    <w:rsid w:val="0059788E"/>
    <w:rsid w:val="00597E79"/>
    <w:rsid w:val="005A17A8"/>
    <w:rsid w:val="005A1F84"/>
    <w:rsid w:val="005A2CE9"/>
    <w:rsid w:val="005A365D"/>
    <w:rsid w:val="005A4A03"/>
    <w:rsid w:val="005A4CE7"/>
    <w:rsid w:val="005A588E"/>
    <w:rsid w:val="005A5B18"/>
    <w:rsid w:val="005A6A4D"/>
    <w:rsid w:val="005A6DA3"/>
    <w:rsid w:val="005A7407"/>
    <w:rsid w:val="005A7D9A"/>
    <w:rsid w:val="005B034A"/>
    <w:rsid w:val="005B0FD0"/>
    <w:rsid w:val="005B1195"/>
    <w:rsid w:val="005B1C75"/>
    <w:rsid w:val="005B220E"/>
    <w:rsid w:val="005B2A52"/>
    <w:rsid w:val="005B46E1"/>
    <w:rsid w:val="005B490D"/>
    <w:rsid w:val="005B498C"/>
    <w:rsid w:val="005B55AC"/>
    <w:rsid w:val="005B5F1A"/>
    <w:rsid w:val="005B5FCF"/>
    <w:rsid w:val="005C0747"/>
    <w:rsid w:val="005C119F"/>
    <w:rsid w:val="005C1EDA"/>
    <w:rsid w:val="005C291A"/>
    <w:rsid w:val="005C34FF"/>
    <w:rsid w:val="005C3A0A"/>
    <w:rsid w:val="005C3EF4"/>
    <w:rsid w:val="005C50F0"/>
    <w:rsid w:val="005C58A3"/>
    <w:rsid w:val="005C5CF0"/>
    <w:rsid w:val="005C76CA"/>
    <w:rsid w:val="005C7ACB"/>
    <w:rsid w:val="005C7D5A"/>
    <w:rsid w:val="005D1DA6"/>
    <w:rsid w:val="005D3B2B"/>
    <w:rsid w:val="005D5974"/>
    <w:rsid w:val="005D677F"/>
    <w:rsid w:val="005D6A43"/>
    <w:rsid w:val="005D6AF3"/>
    <w:rsid w:val="005D6CC5"/>
    <w:rsid w:val="005D7258"/>
    <w:rsid w:val="005E0398"/>
    <w:rsid w:val="005E17DF"/>
    <w:rsid w:val="005E1BA0"/>
    <w:rsid w:val="005E34C1"/>
    <w:rsid w:val="005E3AC0"/>
    <w:rsid w:val="005E402C"/>
    <w:rsid w:val="005E642D"/>
    <w:rsid w:val="005E64FB"/>
    <w:rsid w:val="005E6631"/>
    <w:rsid w:val="005E66AE"/>
    <w:rsid w:val="005E6E79"/>
    <w:rsid w:val="005E7AC9"/>
    <w:rsid w:val="005F2184"/>
    <w:rsid w:val="005F2A9C"/>
    <w:rsid w:val="005F2D17"/>
    <w:rsid w:val="005F3989"/>
    <w:rsid w:val="005F5858"/>
    <w:rsid w:val="005F748D"/>
    <w:rsid w:val="005F76D2"/>
    <w:rsid w:val="005F7D7E"/>
    <w:rsid w:val="00600264"/>
    <w:rsid w:val="00600392"/>
    <w:rsid w:val="0060041C"/>
    <w:rsid w:val="006009A2"/>
    <w:rsid w:val="006011E9"/>
    <w:rsid w:val="006027F8"/>
    <w:rsid w:val="00603C46"/>
    <w:rsid w:val="00604020"/>
    <w:rsid w:val="006048A1"/>
    <w:rsid w:val="006048DE"/>
    <w:rsid w:val="0060491D"/>
    <w:rsid w:val="006050A5"/>
    <w:rsid w:val="0060773A"/>
    <w:rsid w:val="0060778E"/>
    <w:rsid w:val="006079C5"/>
    <w:rsid w:val="00607C02"/>
    <w:rsid w:val="006101A4"/>
    <w:rsid w:val="00611735"/>
    <w:rsid w:val="006122F7"/>
    <w:rsid w:val="00612529"/>
    <w:rsid w:val="0061734F"/>
    <w:rsid w:val="00617709"/>
    <w:rsid w:val="00617C48"/>
    <w:rsid w:val="0062017D"/>
    <w:rsid w:val="006202CF"/>
    <w:rsid w:val="00620B37"/>
    <w:rsid w:val="00621407"/>
    <w:rsid w:val="00621B98"/>
    <w:rsid w:val="00622461"/>
    <w:rsid w:val="006241C7"/>
    <w:rsid w:val="006243D6"/>
    <w:rsid w:val="00627186"/>
    <w:rsid w:val="00627627"/>
    <w:rsid w:val="00630161"/>
    <w:rsid w:val="006303C2"/>
    <w:rsid w:val="0063071B"/>
    <w:rsid w:val="0063111B"/>
    <w:rsid w:val="00631242"/>
    <w:rsid w:val="00631713"/>
    <w:rsid w:val="00632B44"/>
    <w:rsid w:val="00636A77"/>
    <w:rsid w:val="0063707B"/>
    <w:rsid w:val="006374DA"/>
    <w:rsid w:val="006417A4"/>
    <w:rsid w:val="00642A61"/>
    <w:rsid w:val="006440A9"/>
    <w:rsid w:val="00644E98"/>
    <w:rsid w:val="00645BF4"/>
    <w:rsid w:val="00647277"/>
    <w:rsid w:val="0064763C"/>
    <w:rsid w:val="00647FF7"/>
    <w:rsid w:val="00650841"/>
    <w:rsid w:val="00650893"/>
    <w:rsid w:val="00650A3F"/>
    <w:rsid w:val="00650B81"/>
    <w:rsid w:val="00650DF2"/>
    <w:rsid w:val="00652329"/>
    <w:rsid w:val="00654611"/>
    <w:rsid w:val="00654A7F"/>
    <w:rsid w:val="00654C3A"/>
    <w:rsid w:val="00655364"/>
    <w:rsid w:val="006569DE"/>
    <w:rsid w:val="00656BC0"/>
    <w:rsid w:val="0066130C"/>
    <w:rsid w:val="0066366B"/>
    <w:rsid w:val="00664788"/>
    <w:rsid w:val="00664B5D"/>
    <w:rsid w:val="00666E8A"/>
    <w:rsid w:val="00667053"/>
    <w:rsid w:val="00667744"/>
    <w:rsid w:val="00667DBD"/>
    <w:rsid w:val="00667E17"/>
    <w:rsid w:val="00670104"/>
    <w:rsid w:val="00670BC9"/>
    <w:rsid w:val="00671ED2"/>
    <w:rsid w:val="0067231D"/>
    <w:rsid w:val="00672F13"/>
    <w:rsid w:val="00672FEE"/>
    <w:rsid w:val="00673FE9"/>
    <w:rsid w:val="006749F7"/>
    <w:rsid w:val="00674AFC"/>
    <w:rsid w:val="00675AAD"/>
    <w:rsid w:val="00676388"/>
    <w:rsid w:val="00676549"/>
    <w:rsid w:val="0067678B"/>
    <w:rsid w:val="00676E66"/>
    <w:rsid w:val="00677603"/>
    <w:rsid w:val="00680434"/>
    <w:rsid w:val="00680542"/>
    <w:rsid w:val="00681623"/>
    <w:rsid w:val="00681A56"/>
    <w:rsid w:val="00681BEB"/>
    <w:rsid w:val="00682106"/>
    <w:rsid w:val="00682ADC"/>
    <w:rsid w:val="0068331B"/>
    <w:rsid w:val="006836C8"/>
    <w:rsid w:val="006842EB"/>
    <w:rsid w:val="006846F4"/>
    <w:rsid w:val="00685D3B"/>
    <w:rsid w:val="006861A6"/>
    <w:rsid w:val="0068628C"/>
    <w:rsid w:val="0069151F"/>
    <w:rsid w:val="00692A1E"/>
    <w:rsid w:val="0069331F"/>
    <w:rsid w:val="00693715"/>
    <w:rsid w:val="00693D55"/>
    <w:rsid w:val="00696520"/>
    <w:rsid w:val="006971A2"/>
    <w:rsid w:val="006A24F1"/>
    <w:rsid w:val="006A25C7"/>
    <w:rsid w:val="006A2E1D"/>
    <w:rsid w:val="006A32F8"/>
    <w:rsid w:val="006A3AB9"/>
    <w:rsid w:val="006A4585"/>
    <w:rsid w:val="006A4F62"/>
    <w:rsid w:val="006A5CC8"/>
    <w:rsid w:val="006A631C"/>
    <w:rsid w:val="006A6346"/>
    <w:rsid w:val="006A65A2"/>
    <w:rsid w:val="006A7E9F"/>
    <w:rsid w:val="006B0632"/>
    <w:rsid w:val="006B09F1"/>
    <w:rsid w:val="006B0BB7"/>
    <w:rsid w:val="006B1800"/>
    <w:rsid w:val="006B3150"/>
    <w:rsid w:val="006B491C"/>
    <w:rsid w:val="006B52FA"/>
    <w:rsid w:val="006B6E7A"/>
    <w:rsid w:val="006B778B"/>
    <w:rsid w:val="006C20F8"/>
    <w:rsid w:val="006C221D"/>
    <w:rsid w:val="006C2D1B"/>
    <w:rsid w:val="006C2F33"/>
    <w:rsid w:val="006C30F4"/>
    <w:rsid w:val="006C44CF"/>
    <w:rsid w:val="006C51D4"/>
    <w:rsid w:val="006C5350"/>
    <w:rsid w:val="006C60F2"/>
    <w:rsid w:val="006C629E"/>
    <w:rsid w:val="006C72A2"/>
    <w:rsid w:val="006C7C73"/>
    <w:rsid w:val="006C7FEF"/>
    <w:rsid w:val="006D0ABF"/>
    <w:rsid w:val="006D224D"/>
    <w:rsid w:val="006D2AD7"/>
    <w:rsid w:val="006D2F4D"/>
    <w:rsid w:val="006D38DF"/>
    <w:rsid w:val="006D3BFA"/>
    <w:rsid w:val="006D3CE7"/>
    <w:rsid w:val="006D4A01"/>
    <w:rsid w:val="006D4B93"/>
    <w:rsid w:val="006D5517"/>
    <w:rsid w:val="006D6CCB"/>
    <w:rsid w:val="006D7314"/>
    <w:rsid w:val="006E02F3"/>
    <w:rsid w:val="006E3191"/>
    <w:rsid w:val="006E3F94"/>
    <w:rsid w:val="006E55B4"/>
    <w:rsid w:val="006E642E"/>
    <w:rsid w:val="006E6491"/>
    <w:rsid w:val="006E6BED"/>
    <w:rsid w:val="006E7460"/>
    <w:rsid w:val="006E7CF9"/>
    <w:rsid w:val="006F029B"/>
    <w:rsid w:val="006F0800"/>
    <w:rsid w:val="006F1650"/>
    <w:rsid w:val="006F1DD2"/>
    <w:rsid w:val="006F2ACE"/>
    <w:rsid w:val="006F3062"/>
    <w:rsid w:val="006F36D3"/>
    <w:rsid w:val="006F3707"/>
    <w:rsid w:val="006F3B0B"/>
    <w:rsid w:val="006F3D46"/>
    <w:rsid w:val="006F516A"/>
    <w:rsid w:val="006F68EF"/>
    <w:rsid w:val="00700846"/>
    <w:rsid w:val="00700849"/>
    <w:rsid w:val="00700D67"/>
    <w:rsid w:val="007024E7"/>
    <w:rsid w:val="007029BC"/>
    <w:rsid w:val="007030EE"/>
    <w:rsid w:val="00703189"/>
    <w:rsid w:val="007035BD"/>
    <w:rsid w:val="00703BAA"/>
    <w:rsid w:val="00703E11"/>
    <w:rsid w:val="00704626"/>
    <w:rsid w:val="00704787"/>
    <w:rsid w:val="00704EEC"/>
    <w:rsid w:val="00706D9F"/>
    <w:rsid w:val="007077D0"/>
    <w:rsid w:val="007078F6"/>
    <w:rsid w:val="00707D7A"/>
    <w:rsid w:val="007116E4"/>
    <w:rsid w:val="007124DC"/>
    <w:rsid w:val="007128C0"/>
    <w:rsid w:val="007130AB"/>
    <w:rsid w:val="00714D2F"/>
    <w:rsid w:val="00715979"/>
    <w:rsid w:val="0071625C"/>
    <w:rsid w:val="00717140"/>
    <w:rsid w:val="0071797C"/>
    <w:rsid w:val="00717989"/>
    <w:rsid w:val="00720900"/>
    <w:rsid w:val="007209D6"/>
    <w:rsid w:val="00721CD9"/>
    <w:rsid w:val="007244BF"/>
    <w:rsid w:val="0072521C"/>
    <w:rsid w:val="00725929"/>
    <w:rsid w:val="00725AA5"/>
    <w:rsid w:val="0072646E"/>
    <w:rsid w:val="007265E3"/>
    <w:rsid w:val="00727058"/>
    <w:rsid w:val="007276B5"/>
    <w:rsid w:val="00730124"/>
    <w:rsid w:val="0073031C"/>
    <w:rsid w:val="00731CEA"/>
    <w:rsid w:val="007321E1"/>
    <w:rsid w:val="0073351A"/>
    <w:rsid w:val="00733BC7"/>
    <w:rsid w:val="00733CAA"/>
    <w:rsid w:val="0073579F"/>
    <w:rsid w:val="00737858"/>
    <w:rsid w:val="00737975"/>
    <w:rsid w:val="00742970"/>
    <w:rsid w:val="007450F0"/>
    <w:rsid w:val="00745A6F"/>
    <w:rsid w:val="00746ACC"/>
    <w:rsid w:val="007472B7"/>
    <w:rsid w:val="00747345"/>
    <w:rsid w:val="00747B2F"/>
    <w:rsid w:val="00747DAC"/>
    <w:rsid w:val="00752135"/>
    <w:rsid w:val="00754537"/>
    <w:rsid w:val="00754545"/>
    <w:rsid w:val="00754AA8"/>
    <w:rsid w:val="00756003"/>
    <w:rsid w:val="00756997"/>
    <w:rsid w:val="00756CFF"/>
    <w:rsid w:val="00757DDC"/>
    <w:rsid w:val="00761B01"/>
    <w:rsid w:val="00761DC9"/>
    <w:rsid w:val="007629EC"/>
    <w:rsid w:val="007640DC"/>
    <w:rsid w:val="007653CB"/>
    <w:rsid w:val="0076605C"/>
    <w:rsid w:val="007663FA"/>
    <w:rsid w:val="0076717A"/>
    <w:rsid w:val="00770AA3"/>
    <w:rsid w:val="00771903"/>
    <w:rsid w:val="00771F00"/>
    <w:rsid w:val="007734CE"/>
    <w:rsid w:val="00773835"/>
    <w:rsid w:val="00773EC9"/>
    <w:rsid w:val="007743FC"/>
    <w:rsid w:val="007762A8"/>
    <w:rsid w:val="007763D2"/>
    <w:rsid w:val="00777E65"/>
    <w:rsid w:val="007846C5"/>
    <w:rsid w:val="00785C9B"/>
    <w:rsid w:val="00787D7A"/>
    <w:rsid w:val="00787FEB"/>
    <w:rsid w:val="00790C70"/>
    <w:rsid w:val="0079117F"/>
    <w:rsid w:val="00792567"/>
    <w:rsid w:val="007936C4"/>
    <w:rsid w:val="00794B0C"/>
    <w:rsid w:val="00795158"/>
    <w:rsid w:val="007954CC"/>
    <w:rsid w:val="00796026"/>
    <w:rsid w:val="00796A81"/>
    <w:rsid w:val="00797DC3"/>
    <w:rsid w:val="007A00FD"/>
    <w:rsid w:val="007A0D9F"/>
    <w:rsid w:val="007A0E3D"/>
    <w:rsid w:val="007A1322"/>
    <w:rsid w:val="007A22B1"/>
    <w:rsid w:val="007A29CE"/>
    <w:rsid w:val="007A35C7"/>
    <w:rsid w:val="007A363D"/>
    <w:rsid w:val="007A5D0E"/>
    <w:rsid w:val="007A61DD"/>
    <w:rsid w:val="007A6223"/>
    <w:rsid w:val="007A6866"/>
    <w:rsid w:val="007A78C4"/>
    <w:rsid w:val="007A7DA3"/>
    <w:rsid w:val="007B0B73"/>
    <w:rsid w:val="007B2B19"/>
    <w:rsid w:val="007B321B"/>
    <w:rsid w:val="007B4D70"/>
    <w:rsid w:val="007B541B"/>
    <w:rsid w:val="007B68CB"/>
    <w:rsid w:val="007B71E1"/>
    <w:rsid w:val="007B732B"/>
    <w:rsid w:val="007B7751"/>
    <w:rsid w:val="007C0C17"/>
    <w:rsid w:val="007C1657"/>
    <w:rsid w:val="007C4735"/>
    <w:rsid w:val="007C5781"/>
    <w:rsid w:val="007C586C"/>
    <w:rsid w:val="007C5ACF"/>
    <w:rsid w:val="007C5E3E"/>
    <w:rsid w:val="007C650B"/>
    <w:rsid w:val="007C7EBB"/>
    <w:rsid w:val="007D1AD3"/>
    <w:rsid w:val="007D1E48"/>
    <w:rsid w:val="007D28E4"/>
    <w:rsid w:val="007D2AFE"/>
    <w:rsid w:val="007D3BAE"/>
    <w:rsid w:val="007D465F"/>
    <w:rsid w:val="007D5066"/>
    <w:rsid w:val="007D53F2"/>
    <w:rsid w:val="007D6001"/>
    <w:rsid w:val="007D67E8"/>
    <w:rsid w:val="007D6EAD"/>
    <w:rsid w:val="007D7128"/>
    <w:rsid w:val="007D7528"/>
    <w:rsid w:val="007E021D"/>
    <w:rsid w:val="007E0321"/>
    <w:rsid w:val="007E0505"/>
    <w:rsid w:val="007E0E22"/>
    <w:rsid w:val="007E0EDF"/>
    <w:rsid w:val="007E10E7"/>
    <w:rsid w:val="007E33A2"/>
    <w:rsid w:val="007E3B61"/>
    <w:rsid w:val="007E4CA0"/>
    <w:rsid w:val="007E4CF5"/>
    <w:rsid w:val="007E5D0E"/>
    <w:rsid w:val="007E6763"/>
    <w:rsid w:val="007E67B2"/>
    <w:rsid w:val="007E752D"/>
    <w:rsid w:val="007E7575"/>
    <w:rsid w:val="007F0DA1"/>
    <w:rsid w:val="007F1017"/>
    <w:rsid w:val="007F1241"/>
    <w:rsid w:val="007F1ABD"/>
    <w:rsid w:val="007F2411"/>
    <w:rsid w:val="007F2624"/>
    <w:rsid w:val="007F2998"/>
    <w:rsid w:val="007F2ECC"/>
    <w:rsid w:val="007F39CD"/>
    <w:rsid w:val="007F43D3"/>
    <w:rsid w:val="007F4B49"/>
    <w:rsid w:val="007F4CA4"/>
    <w:rsid w:val="007F56BB"/>
    <w:rsid w:val="00800287"/>
    <w:rsid w:val="008007C5"/>
    <w:rsid w:val="00800B50"/>
    <w:rsid w:val="00801511"/>
    <w:rsid w:val="0080171F"/>
    <w:rsid w:val="008018D1"/>
    <w:rsid w:val="008021D2"/>
    <w:rsid w:val="00802E90"/>
    <w:rsid w:val="00805393"/>
    <w:rsid w:val="0080643F"/>
    <w:rsid w:val="008065FB"/>
    <w:rsid w:val="00806EB3"/>
    <w:rsid w:val="008070EF"/>
    <w:rsid w:val="00810545"/>
    <w:rsid w:val="00810DAA"/>
    <w:rsid w:val="00811278"/>
    <w:rsid w:val="008130DA"/>
    <w:rsid w:val="008153E0"/>
    <w:rsid w:val="00820E93"/>
    <w:rsid w:val="00820EB4"/>
    <w:rsid w:val="008211CD"/>
    <w:rsid w:val="00821F9E"/>
    <w:rsid w:val="00822235"/>
    <w:rsid w:val="00822298"/>
    <w:rsid w:val="00822BC9"/>
    <w:rsid w:val="008250DB"/>
    <w:rsid w:val="0082666F"/>
    <w:rsid w:val="00826C05"/>
    <w:rsid w:val="008272F8"/>
    <w:rsid w:val="0083048B"/>
    <w:rsid w:val="008307C1"/>
    <w:rsid w:val="00831177"/>
    <w:rsid w:val="00831336"/>
    <w:rsid w:val="00831EE4"/>
    <w:rsid w:val="00831FD4"/>
    <w:rsid w:val="0083212A"/>
    <w:rsid w:val="00832823"/>
    <w:rsid w:val="0083326F"/>
    <w:rsid w:val="00833CFE"/>
    <w:rsid w:val="00835FF3"/>
    <w:rsid w:val="008368CE"/>
    <w:rsid w:val="00836BBA"/>
    <w:rsid w:val="0084148A"/>
    <w:rsid w:val="00843271"/>
    <w:rsid w:val="00843F4F"/>
    <w:rsid w:val="008443E7"/>
    <w:rsid w:val="008461D5"/>
    <w:rsid w:val="00846EA7"/>
    <w:rsid w:val="0084770D"/>
    <w:rsid w:val="00850202"/>
    <w:rsid w:val="00850537"/>
    <w:rsid w:val="00850834"/>
    <w:rsid w:val="00850A07"/>
    <w:rsid w:val="008511FC"/>
    <w:rsid w:val="008525A7"/>
    <w:rsid w:val="00852DE5"/>
    <w:rsid w:val="00853C93"/>
    <w:rsid w:val="00856501"/>
    <w:rsid w:val="00856A02"/>
    <w:rsid w:val="00856AE2"/>
    <w:rsid w:val="0085778C"/>
    <w:rsid w:val="00857B71"/>
    <w:rsid w:val="008618DE"/>
    <w:rsid w:val="00862F81"/>
    <w:rsid w:val="008634B4"/>
    <w:rsid w:val="00863E10"/>
    <w:rsid w:val="008640AA"/>
    <w:rsid w:val="00865299"/>
    <w:rsid w:val="00865570"/>
    <w:rsid w:val="00867A54"/>
    <w:rsid w:val="00867F92"/>
    <w:rsid w:val="00870DEC"/>
    <w:rsid w:val="00870FCF"/>
    <w:rsid w:val="00872335"/>
    <w:rsid w:val="00872485"/>
    <w:rsid w:val="008724FF"/>
    <w:rsid w:val="008727F3"/>
    <w:rsid w:val="00872895"/>
    <w:rsid w:val="0087366B"/>
    <w:rsid w:val="008743F3"/>
    <w:rsid w:val="008748AF"/>
    <w:rsid w:val="00876416"/>
    <w:rsid w:val="00876455"/>
    <w:rsid w:val="00877BC1"/>
    <w:rsid w:val="00877FC8"/>
    <w:rsid w:val="0088046E"/>
    <w:rsid w:val="00880827"/>
    <w:rsid w:val="00880BF6"/>
    <w:rsid w:val="0088296C"/>
    <w:rsid w:val="00883F30"/>
    <w:rsid w:val="008856A5"/>
    <w:rsid w:val="00890283"/>
    <w:rsid w:val="00890715"/>
    <w:rsid w:val="00890861"/>
    <w:rsid w:val="0089095D"/>
    <w:rsid w:val="008913F9"/>
    <w:rsid w:val="00891BF8"/>
    <w:rsid w:val="00892932"/>
    <w:rsid w:val="0089399F"/>
    <w:rsid w:val="00893F69"/>
    <w:rsid w:val="00895974"/>
    <w:rsid w:val="008959C7"/>
    <w:rsid w:val="00896033"/>
    <w:rsid w:val="00897920"/>
    <w:rsid w:val="008A0058"/>
    <w:rsid w:val="008A072E"/>
    <w:rsid w:val="008A1C4E"/>
    <w:rsid w:val="008A1DA6"/>
    <w:rsid w:val="008A246C"/>
    <w:rsid w:val="008A2DC2"/>
    <w:rsid w:val="008A3415"/>
    <w:rsid w:val="008A37AF"/>
    <w:rsid w:val="008A3958"/>
    <w:rsid w:val="008A39E9"/>
    <w:rsid w:val="008A3FD7"/>
    <w:rsid w:val="008A48EB"/>
    <w:rsid w:val="008A4D9F"/>
    <w:rsid w:val="008A517A"/>
    <w:rsid w:val="008A5496"/>
    <w:rsid w:val="008A578C"/>
    <w:rsid w:val="008A5F48"/>
    <w:rsid w:val="008A6B5D"/>
    <w:rsid w:val="008A6F97"/>
    <w:rsid w:val="008A7B79"/>
    <w:rsid w:val="008A7F9A"/>
    <w:rsid w:val="008B02DC"/>
    <w:rsid w:val="008B0A8F"/>
    <w:rsid w:val="008B24A3"/>
    <w:rsid w:val="008B2B1D"/>
    <w:rsid w:val="008B40E9"/>
    <w:rsid w:val="008B41BB"/>
    <w:rsid w:val="008B48AF"/>
    <w:rsid w:val="008B55B1"/>
    <w:rsid w:val="008B70C3"/>
    <w:rsid w:val="008C128D"/>
    <w:rsid w:val="008C1A26"/>
    <w:rsid w:val="008C1C3F"/>
    <w:rsid w:val="008C1E83"/>
    <w:rsid w:val="008C220C"/>
    <w:rsid w:val="008C25E4"/>
    <w:rsid w:val="008C2612"/>
    <w:rsid w:val="008C3D2F"/>
    <w:rsid w:val="008C42F7"/>
    <w:rsid w:val="008C43B6"/>
    <w:rsid w:val="008C4E12"/>
    <w:rsid w:val="008C4FFF"/>
    <w:rsid w:val="008C7276"/>
    <w:rsid w:val="008C7D08"/>
    <w:rsid w:val="008D0AC2"/>
    <w:rsid w:val="008D1BC5"/>
    <w:rsid w:val="008D352E"/>
    <w:rsid w:val="008D3681"/>
    <w:rsid w:val="008D370B"/>
    <w:rsid w:val="008D3CF9"/>
    <w:rsid w:val="008D59E7"/>
    <w:rsid w:val="008D5A0E"/>
    <w:rsid w:val="008D6883"/>
    <w:rsid w:val="008D71BF"/>
    <w:rsid w:val="008D76A4"/>
    <w:rsid w:val="008E0096"/>
    <w:rsid w:val="008E021C"/>
    <w:rsid w:val="008E2987"/>
    <w:rsid w:val="008E2C7E"/>
    <w:rsid w:val="008E2DC1"/>
    <w:rsid w:val="008E3972"/>
    <w:rsid w:val="008E39A5"/>
    <w:rsid w:val="008E42A5"/>
    <w:rsid w:val="008E4C05"/>
    <w:rsid w:val="008E4F88"/>
    <w:rsid w:val="008E5012"/>
    <w:rsid w:val="008E58DC"/>
    <w:rsid w:val="008E5BF7"/>
    <w:rsid w:val="008E5CAB"/>
    <w:rsid w:val="008E5ED6"/>
    <w:rsid w:val="008E651F"/>
    <w:rsid w:val="008E65CD"/>
    <w:rsid w:val="008E6E75"/>
    <w:rsid w:val="008E6E91"/>
    <w:rsid w:val="008E7A1F"/>
    <w:rsid w:val="008F08F6"/>
    <w:rsid w:val="008F1F00"/>
    <w:rsid w:val="008F2A68"/>
    <w:rsid w:val="008F3108"/>
    <w:rsid w:val="008F36A3"/>
    <w:rsid w:val="008F3D48"/>
    <w:rsid w:val="008F4928"/>
    <w:rsid w:val="008F5C71"/>
    <w:rsid w:val="008F63E1"/>
    <w:rsid w:val="008F7564"/>
    <w:rsid w:val="0090013E"/>
    <w:rsid w:val="00900D2D"/>
    <w:rsid w:val="00902C0C"/>
    <w:rsid w:val="00902ED6"/>
    <w:rsid w:val="00904BA2"/>
    <w:rsid w:val="00905CE1"/>
    <w:rsid w:val="00905E21"/>
    <w:rsid w:val="00907096"/>
    <w:rsid w:val="009108D7"/>
    <w:rsid w:val="00910B66"/>
    <w:rsid w:val="00910C88"/>
    <w:rsid w:val="009117A8"/>
    <w:rsid w:val="00911EF6"/>
    <w:rsid w:val="00912961"/>
    <w:rsid w:val="00913E80"/>
    <w:rsid w:val="00914754"/>
    <w:rsid w:val="00914E57"/>
    <w:rsid w:val="00915083"/>
    <w:rsid w:val="00915BC3"/>
    <w:rsid w:val="00915EC8"/>
    <w:rsid w:val="009160FA"/>
    <w:rsid w:val="00916497"/>
    <w:rsid w:val="0091707E"/>
    <w:rsid w:val="009171A3"/>
    <w:rsid w:val="00917F66"/>
    <w:rsid w:val="00921355"/>
    <w:rsid w:val="00921D37"/>
    <w:rsid w:val="00921EF9"/>
    <w:rsid w:val="009220F9"/>
    <w:rsid w:val="00922BF2"/>
    <w:rsid w:val="00923535"/>
    <w:rsid w:val="009237A9"/>
    <w:rsid w:val="00923EBE"/>
    <w:rsid w:val="00926003"/>
    <w:rsid w:val="00926015"/>
    <w:rsid w:val="0092630A"/>
    <w:rsid w:val="00926828"/>
    <w:rsid w:val="009310C4"/>
    <w:rsid w:val="0093112D"/>
    <w:rsid w:val="00931398"/>
    <w:rsid w:val="0093201E"/>
    <w:rsid w:val="00932A6A"/>
    <w:rsid w:val="00932E92"/>
    <w:rsid w:val="00933F5B"/>
    <w:rsid w:val="00934F2B"/>
    <w:rsid w:val="00935A6E"/>
    <w:rsid w:val="00935D34"/>
    <w:rsid w:val="00936008"/>
    <w:rsid w:val="0093726B"/>
    <w:rsid w:val="009404A4"/>
    <w:rsid w:val="0094300E"/>
    <w:rsid w:val="00944B89"/>
    <w:rsid w:val="00944DCA"/>
    <w:rsid w:val="009453F0"/>
    <w:rsid w:val="0094581F"/>
    <w:rsid w:val="009475C2"/>
    <w:rsid w:val="00947EDE"/>
    <w:rsid w:val="0095093C"/>
    <w:rsid w:val="00950BB6"/>
    <w:rsid w:val="00950D64"/>
    <w:rsid w:val="00951035"/>
    <w:rsid w:val="00951045"/>
    <w:rsid w:val="00952F36"/>
    <w:rsid w:val="0095699A"/>
    <w:rsid w:val="009575E7"/>
    <w:rsid w:val="00960E59"/>
    <w:rsid w:val="00961027"/>
    <w:rsid w:val="0096150B"/>
    <w:rsid w:val="00961BF6"/>
    <w:rsid w:val="009649A3"/>
    <w:rsid w:val="00964BAE"/>
    <w:rsid w:val="00964C92"/>
    <w:rsid w:val="00967633"/>
    <w:rsid w:val="00967AFA"/>
    <w:rsid w:val="00967BC7"/>
    <w:rsid w:val="009706C0"/>
    <w:rsid w:val="00970C55"/>
    <w:rsid w:val="0097199F"/>
    <w:rsid w:val="00971E4B"/>
    <w:rsid w:val="00973217"/>
    <w:rsid w:val="009733EB"/>
    <w:rsid w:val="00973A03"/>
    <w:rsid w:val="00975DCA"/>
    <w:rsid w:val="0097607A"/>
    <w:rsid w:val="00976593"/>
    <w:rsid w:val="00977205"/>
    <w:rsid w:val="00980115"/>
    <w:rsid w:val="00980CE1"/>
    <w:rsid w:val="0098190E"/>
    <w:rsid w:val="00981E0D"/>
    <w:rsid w:val="00982F87"/>
    <w:rsid w:val="009833A1"/>
    <w:rsid w:val="009864C0"/>
    <w:rsid w:val="00986E77"/>
    <w:rsid w:val="0098743E"/>
    <w:rsid w:val="009878C0"/>
    <w:rsid w:val="009879BC"/>
    <w:rsid w:val="0099031D"/>
    <w:rsid w:val="00990408"/>
    <w:rsid w:val="00990527"/>
    <w:rsid w:val="0099150A"/>
    <w:rsid w:val="009916DC"/>
    <w:rsid w:val="00992578"/>
    <w:rsid w:val="00993597"/>
    <w:rsid w:val="00993D81"/>
    <w:rsid w:val="00994B9A"/>
    <w:rsid w:val="00995861"/>
    <w:rsid w:val="0099654B"/>
    <w:rsid w:val="00996594"/>
    <w:rsid w:val="009967B0"/>
    <w:rsid w:val="00996FA7"/>
    <w:rsid w:val="00997548"/>
    <w:rsid w:val="009A1B8B"/>
    <w:rsid w:val="009A311D"/>
    <w:rsid w:val="009A4E49"/>
    <w:rsid w:val="009A5B90"/>
    <w:rsid w:val="009A677D"/>
    <w:rsid w:val="009A691E"/>
    <w:rsid w:val="009A6C38"/>
    <w:rsid w:val="009A6DAC"/>
    <w:rsid w:val="009A7DF1"/>
    <w:rsid w:val="009B117C"/>
    <w:rsid w:val="009B1BCC"/>
    <w:rsid w:val="009B2017"/>
    <w:rsid w:val="009B2457"/>
    <w:rsid w:val="009B2804"/>
    <w:rsid w:val="009B2F4E"/>
    <w:rsid w:val="009B3C52"/>
    <w:rsid w:val="009B43DB"/>
    <w:rsid w:val="009B6D53"/>
    <w:rsid w:val="009B7ABC"/>
    <w:rsid w:val="009C0346"/>
    <w:rsid w:val="009C0778"/>
    <w:rsid w:val="009C0CA0"/>
    <w:rsid w:val="009C0ECD"/>
    <w:rsid w:val="009C3CA1"/>
    <w:rsid w:val="009C4078"/>
    <w:rsid w:val="009C44F4"/>
    <w:rsid w:val="009C549F"/>
    <w:rsid w:val="009C5A62"/>
    <w:rsid w:val="009C60F6"/>
    <w:rsid w:val="009C6432"/>
    <w:rsid w:val="009C66E5"/>
    <w:rsid w:val="009C6701"/>
    <w:rsid w:val="009C6EC1"/>
    <w:rsid w:val="009C7778"/>
    <w:rsid w:val="009D0123"/>
    <w:rsid w:val="009D0FA3"/>
    <w:rsid w:val="009D2343"/>
    <w:rsid w:val="009D38B2"/>
    <w:rsid w:val="009D4217"/>
    <w:rsid w:val="009D4AAD"/>
    <w:rsid w:val="009D6689"/>
    <w:rsid w:val="009E0069"/>
    <w:rsid w:val="009E0502"/>
    <w:rsid w:val="009E16ED"/>
    <w:rsid w:val="009E41A5"/>
    <w:rsid w:val="009E4FC8"/>
    <w:rsid w:val="009E5266"/>
    <w:rsid w:val="009E55DD"/>
    <w:rsid w:val="009F079B"/>
    <w:rsid w:val="009F0AF7"/>
    <w:rsid w:val="009F1018"/>
    <w:rsid w:val="009F1F83"/>
    <w:rsid w:val="009F3BE7"/>
    <w:rsid w:val="009F43AE"/>
    <w:rsid w:val="009F6D00"/>
    <w:rsid w:val="00A00015"/>
    <w:rsid w:val="00A00314"/>
    <w:rsid w:val="00A008C4"/>
    <w:rsid w:val="00A0098B"/>
    <w:rsid w:val="00A00CAC"/>
    <w:rsid w:val="00A011B3"/>
    <w:rsid w:val="00A05121"/>
    <w:rsid w:val="00A05571"/>
    <w:rsid w:val="00A05944"/>
    <w:rsid w:val="00A062AF"/>
    <w:rsid w:val="00A12829"/>
    <w:rsid w:val="00A13B67"/>
    <w:rsid w:val="00A141C8"/>
    <w:rsid w:val="00A16961"/>
    <w:rsid w:val="00A1790D"/>
    <w:rsid w:val="00A213BA"/>
    <w:rsid w:val="00A2156B"/>
    <w:rsid w:val="00A216E8"/>
    <w:rsid w:val="00A220D0"/>
    <w:rsid w:val="00A22555"/>
    <w:rsid w:val="00A23351"/>
    <w:rsid w:val="00A238BB"/>
    <w:rsid w:val="00A23C6F"/>
    <w:rsid w:val="00A23E4D"/>
    <w:rsid w:val="00A24121"/>
    <w:rsid w:val="00A24BB0"/>
    <w:rsid w:val="00A25BCC"/>
    <w:rsid w:val="00A26B5F"/>
    <w:rsid w:val="00A316EC"/>
    <w:rsid w:val="00A33E0B"/>
    <w:rsid w:val="00A34374"/>
    <w:rsid w:val="00A3470C"/>
    <w:rsid w:val="00A34776"/>
    <w:rsid w:val="00A34D6F"/>
    <w:rsid w:val="00A356C7"/>
    <w:rsid w:val="00A35DF2"/>
    <w:rsid w:val="00A35F24"/>
    <w:rsid w:val="00A371C9"/>
    <w:rsid w:val="00A409A1"/>
    <w:rsid w:val="00A40B0C"/>
    <w:rsid w:val="00A411A4"/>
    <w:rsid w:val="00A41A57"/>
    <w:rsid w:val="00A41DF9"/>
    <w:rsid w:val="00A43FA5"/>
    <w:rsid w:val="00A4491E"/>
    <w:rsid w:val="00A462A6"/>
    <w:rsid w:val="00A4671A"/>
    <w:rsid w:val="00A47F83"/>
    <w:rsid w:val="00A501C6"/>
    <w:rsid w:val="00A51957"/>
    <w:rsid w:val="00A5260A"/>
    <w:rsid w:val="00A52E83"/>
    <w:rsid w:val="00A534F8"/>
    <w:rsid w:val="00A53946"/>
    <w:rsid w:val="00A55890"/>
    <w:rsid w:val="00A55CFF"/>
    <w:rsid w:val="00A579B9"/>
    <w:rsid w:val="00A57C48"/>
    <w:rsid w:val="00A57F6C"/>
    <w:rsid w:val="00A57F77"/>
    <w:rsid w:val="00A604B9"/>
    <w:rsid w:val="00A621E6"/>
    <w:rsid w:val="00A62432"/>
    <w:rsid w:val="00A628DC"/>
    <w:rsid w:val="00A63DA4"/>
    <w:rsid w:val="00A63E6B"/>
    <w:rsid w:val="00A63F2C"/>
    <w:rsid w:val="00A64517"/>
    <w:rsid w:val="00A6537A"/>
    <w:rsid w:val="00A65663"/>
    <w:rsid w:val="00A66580"/>
    <w:rsid w:val="00A66A27"/>
    <w:rsid w:val="00A70900"/>
    <w:rsid w:val="00A70C60"/>
    <w:rsid w:val="00A7193E"/>
    <w:rsid w:val="00A72ACC"/>
    <w:rsid w:val="00A748E3"/>
    <w:rsid w:val="00A75230"/>
    <w:rsid w:val="00A753BF"/>
    <w:rsid w:val="00A76023"/>
    <w:rsid w:val="00A762C5"/>
    <w:rsid w:val="00A779BD"/>
    <w:rsid w:val="00A77B1B"/>
    <w:rsid w:val="00A802CB"/>
    <w:rsid w:val="00A80503"/>
    <w:rsid w:val="00A816CB"/>
    <w:rsid w:val="00A816DD"/>
    <w:rsid w:val="00A82381"/>
    <w:rsid w:val="00A82DFE"/>
    <w:rsid w:val="00A83AA1"/>
    <w:rsid w:val="00A84708"/>
    <w:rsid w:val="00A84D14"/>
    <w:rsid w:val="00A85564"/>
    <w:rsid w:val="00A85D2C"/>
    <w:rsid w:val="00A85E0B"/>
    <w:rsid w:val="00A86DA1"/>
    <w:rsid w:val="00A86E8F"/>
    <w:rsid w:val="00A871F3"/>
    <w:rsid w:val="00A87234"/>
    <w:rsid w:val="00A87720"/>
    <w:rsid w:val="00A90B04"/>
    <w:rsid w:val="00A90E04"/>
    <w:rsid w:val="00A9134B"/>
    <w:rsid w:val="00A94790"/>
    <w:rsid w:val="00A96C64"/>
    <w:rsid w:val="00A96FC6"/>
    <w:rsid w:val="00AA1BC6"/>
    <w:rsid w:val="00AA28C1"/>
    <w:rsid w:val="00AA28EC"/>
    <w:rsid w:val="00AA3048"/>
    <w:rsid w:val="00AA32D6"/>
    <w:rsid w:val="00AA7D5C"/>
    <w:rsid w:val="00AB08D5"/>
    <w:rsid w:val="00AB0F79"/>
    <w:rsid w:val="00AB18C7"/>
    <w:rsid w:val="00AB1C42"/>
    <w:rsid w:val="00AB319C"/>
    <w:rsid w:val="00AB4445"/>
    <w:rsid w:val="00AB4466"/>
    <w:rsid w:val="00AB4F3B"/>
    <w:rsid w:val="00AB54A1"/>
    <w:rsid w:val="00AB619C"/>
    <w:rsid w:val="00AB7262"/>
    <w:rsid w:val="00AB72C6"/>
    <w:rsid w:val="00AC0586"/>
    <w:rsid w:val="00AC06B0"/>
    <w:rsid w:val="00AC1E3E"/>
    <w:rsid w:val="00AC3426"/>
    <w:rsid w:val="00AC49D9"/>
    <w:rsid w:val="00AC53B0"/>
    <w:rsid w:val="00AC5E76"/>
    <w:rsid w:val="00AC7F51"/>
    <w:rsid w:val="00AD072D"/>
    <w:rsid w:val="00AD2C83"/>
    <w:rsid w:val="00AD5809"/>
    <w:rsid w:val="00AD7248"/>
    <w:rsid w:val="00AE065A"/>
    <w:rsid w:val="00AE0A96"/>
    <w:rsid w:val="00AE0B03"/>
    <w:rsid w:val="00AE2425"/>
    <w:rsid w:val="00AE2E91"/>
    <w:rsid w:val="00AE3C99"/>
    <w:rsid w:val="00AE41EB"/>
    <w:rsid w:val="00AE6374"/>
    <w:rsid w:val="00AE72DF"/>
    <w:rsid w:val="00AE7367"/>
    <w:rsid w:val="00AE7422"/>
    <w:rsid w:val="00AE7773"/>
    <w:rsid w:val="00AF232C"/>
    <w:rsid w:val="00AF24AA"/>
    <w:rsid w:val="00AF35B6"/>
    <w:rsid w:val="00AF4744"/>
    <w:rsid w:val="00AF506F"/>
    <w:rsid w:val="00AF5584"/>
    <w:rsid w:val="00AF5DE5"/>
    <w:rsid w:val="00AF6A82"/>
    <w:rsid w:val="00AF7A58"/>
    <w:rsid w:val="00B00243"/>
    <w:rsid w:val="00B0056B"/>
    <w:rsid w:val="00B01895"/>
    <w:rsid w:val="00B01F87"/>
    <w:rsid w:val="00B0228D"/>
    <w:rsid w:val="00B03668"/>
    <w:rsid w:val="00B03915"/>
    <w:rsid w:val="00B04101"/>
    <w:rsid w:val="00B0454F"/>
    <w:rsid w:val="00B04899"/>
    <w:rsid w:val="00B04A5F"/>
    <w:rsid w:val="00B04E3E"/>
    <w:rsid w:val="00B058A5"/>
    <w:rsid w:val="00B05E2B"/>
    <w:rsid w:val="00B06E8C"/>
    <w:rsid w:val="00B07307"/>
    <w:rsid w:val="00B120AE"/>
    <w:rsid w:val="00B13AF1"/>
    <w:rsid w:val="00B13F50"/>
    <w:rsid w:val="00B14322"/>
    <w:rsid w:val="00B147CD"/>
    <w:rsid w:val="00B14E16"/>
    <w:rsid w:val="00B16847"/>
    <w:rsid w:val="00B21683"/>
    <w:rsid w:val="00B24E19"/>
    <w:rsid w:val="00B26309"/>
    <w:rsid w:val="00B2641B"/>
    <w:rsid w:val="00B2675B"/>
    <w:rsid w:val="00B27533"/>
    <w:rsid w:val="00B27B5A"/>
    <w:rsid w:val="00B27C26"/>
    <w:rsid w:val="00B31878"/>
    <w:rsid w:val="00B323E7"/>
    <w:rsid w:val="00B32478"/>
    <w:rsid w:val="00B33245"/>
    <w:rsid w:val="00B34756"/>
    <w:rsid w:val="00B34C54"/>
    <w:rsid w:val="00B35CB6"/>
    <w:rsid w:val="00B35D83"/>
    <w:rsid w:val="00B36162"/>
    <w:rsid w:val="00B367EB"/>
    <w:rsid w:val="00B369D1"/>
    <w:rsid w:val="00B37BC1"/>
    <w:rsid w:val="00B419C4"/>
    <w:rsid w:val="00B41A50"/>
    <w:rsid w:val="00B41C85"/>
    <w:rsid w:val="00B436E4"/>
    <w:rsid w:val="00B437FE"/>
    <w:rsid w:val="00B43A58"/>
    <w:rsid w:val="00B45531"/>
    <w:rsid w:val="00B465FC"/>
    <w:rsid w:val="00B469CE"/>
    <w:rsid w:val="00B512DC"/>
    <w:rsid w:val="00B52640"/>
    <w:rsid w:val="00B5354A"/>
    <w:rsid w:val="00B539DE"/>
    <w:rsid w:val="00B551FD"/>
    <w:rsid w:val="00B56032"/>
    <w:rsid w:val="00B60A87"/>
    <w:rsid w:val="00B617D2"/>
    <w:rsid w:val="00B63DCE"/>
    <w:rsid w:val="00B64235"/>
    <w:rsid w:val="00B643C0"/>
    <w:rsid w:val="00B659C2"/>
    <w:rsid w:val="00B67710"/>
    <w:rsid w:val="00B67A58"/>
    <w:rsid w:val="00B70F00"/>
    <w:rsid w:val="00B72CFB"/>
    <w:rsid w:val="00B73F89"/>
    <w:rsid w:val="00B74881"/>
    <w:rsid w:val="00B77585"/>
    <w:rsid w:val="00B776D3"/>
    <w:rsid w:val="00B8044E"/>
    <w:rsid w:val="00B808FF"/>
    <w:rsid w:val="00B835AA"/>
    <w:rsid w:val="00B839E9"/>
    <w:rsid w:val="00B84026"/>
    <w:rsid w:val="00B9071C"/>
    <w:rsid w:val="00B927A9"/>
    <w:rsid w:val="00B92B11"/>
    <w:rsid w:val="00B9393B"/>
    <w:rsid w:val="00B94228"/>
    <w:rsid w:val="00B95B81"/>
    <w:rsid w:val="00B95DCB"/>
    <w:rsid w:val="00B95FE1"/>
    <w:rsid w:val="00B966B3"/>
    <w:rsid w:val="00B96C5D"/>
    <w:rsid w:val="00B96DA6"/>
    <w:rsid w:val="00B96F95"/>
    <w:rsid w:val="00B970B7"/>
    <w:rsid w:val="00B975AE"/>
    <w:rsid w:val="00BA01A2"/>
    <w:rsid w:val="00BA0ABB"/>
    <w:rsid w:val="00BA1389"/>
    <w:rsid w:val="00BA178A"/>
    <w:rsid w:val="00BA1B9C"/>
    <w:rsid w:val="00BA2045"/>
    <w:rsid w:val="00BA2047"/>
    <w:rsid w:val="00BA2E93"/>
    <w:rsid w:val="00BA3DA6"/>
    <w:rsid w:val="00BA40BE"/>
    <w:rsid w:val="00BA4EF6"/>
    <w:rsid w:val="00BA4F8E"/>
    <w:rsid w:val="00BA5D79"/>
    <w:rsid w:val="00BB0446"/>
    <w:rsid w:val="00BB0978"/>
    <w:rsid w:val="00BB2E80"/>
    <w:rsid w:val="00BB392F"/>
    <w:rsid w:val="00BB5052"/>
    <w:rsid w:val="00BB5134"/>
    <w:rsid w:val="00BB5770"/>
    <w:rsid w:val="00BB75CF"/>
    <w:rsid w:val="00BB7A02"/>
    <w:rsid w:val="00BC014A"/>
    <w:rsid w:val="00BC1100"/>
    <w:rsid w:val="00BC1D60"/>
    <w:rsid w:val="00BC2871"/>
    <w:rsid w:val="00BC2C27"/>
    <w:rsid w:val="00BC2EB3"/>
    <w:rsid w:val="00BC3451"/>
    <w:rsid w:val="00BC377E"/>
    <w:rsid w:val="00BC3A3F"/>
    <w:rsid w:val="00BC594D"/>
    <w:rsid w:val="00BC5A49"/>
    <w:rsid w:val="00BC766B"/>
    <w:rsid w:val="00BD0AC0"/>
    <w:rsid w:val="00BD0BF5"/>
    <w:rsid w:val="00BD3865"/>
    <w:rsid w:val="00BD5051"/>
    <w:rsid w:val="00BD61D0"/>
    <w:rsid w:val="00BD68BB"/>
    <w:rsid w:val="00BD6ABF"/>
    <w:rsid w:val="00BD7E23"/>
    <w:rsid w:val="00BE091F"/>
    <w:rsid w:val="00BE1A89"/>
    <w:rsid w:val="00BE1C87"/>
    <w:rsid w:val="00BE2C71"/>
    <w:rsid w:val="00BE32B1"/>
    <w:rsid w:val="00BE33B3"/>
    <w:rsid w:val="00BE58B4"/>
    <w:rsid w:val="00BE5F84"/>
    <w:rsid w:val="00BE78C4"/>
    <w:rsid w:val="00BF0B63"/>
    <w:rsid w:val="00BF1E8F"/>
    <w:rsid w:val="00BF2190"/>
    <w:rsid w:val="00BF2A7B"/>
    <w:rsid w:val="00BF3E4C"/>
    <w:rsid w:val="00BF57F5"/>
    <w:rsid w:val="00BF606B"/>
    <w:rsid w:val="00BF694B"/>
    <w:rsid w:val="00BF75A7"/>
    <w:rsid w:val="00BF7912"/>
    <w:rsid w:val="00BF7FD4"/>
    <w:rsid w:val="00C00987"/>
    <w:rsid w:val="00C0099D"/>
    <w:rsid w:val="00C00B93"/>
    <w:rsid w:val="00C0135A"/>
    <w:rsid w:val="00C020CC"/>
    <w:rsid w:val="00C05193"/>
    <w:rsid w:val="00C051A5"/>
    <w:rsid w:val="00C053CC"/>
    <w:rsid w:val="00C075B0"/>
    <w:rsid w:val="00C077B4"/>
    <w:rsid w:val="00C10CE8"/>
    <w:rsid w:val="00C114CC"/>
    <w:rsid w:val="00C120F4"/>
    <w:rsid w:val="00C13D49"/>
    <w:rsid w:val="00C14877"/>
    <w:rsid w:val="00C1508D"/>
    <w:rsid w:val="00C15F51"/>
    <w:rsid w:val="00C179B8"/>
    <w:rsid w:val="00C17E8D"/>
    <w:rsid w:val="00C20B90"/>
    <w:rsid w:val="00C214D7"/>
    <w:rsid w:val="00C21A37"/>
    <w:rsid w:val="00C2351F"/>
    <w:rsid w:val="00C2531B"/>
    <w:rsid w:val="00C260E2"/>
    <w:rsid w:val="00C26663"/>
    <w:rsid w:val="00C2686B"/>
    <w:rsid w:val="00C27487"/>
    <w:rsid w:val="00C27489"/>
    <w:rsid w:val="00C27DF2"/>
    <w:rsid w:val="00C307C5"/>
    <w:rsid w:val="00C314E4"/>
    <w:rsid w:val="00C34BC4"/>
    <w:rsid w:val="00C35C71"/>
    <w:rsid w:val="00C35C86"/>
    <w:rsid w:val="00C35DAB"/>
    <w:rsid w:val="00C35FB0"/>
    <w:rsid w:val="00C363FB"/>
    <w:rsid w:val="00C402AD"/>
    <w:rsid w:val="00C40DFB"/>
    <w:rsid w:val="00C42372"/>
    <w:rsid w:val="00C43998"/>
    <w:rsid w:val="00C43E65"/>
    <w:rsid w:val="00C446EE"/>
    <w:rsid w:val="00C44E3F"/>
    <w:rsid w:val="00C4513F"/>
    <w:rsid w:val="00C46242"/>
    <w:rsid w:val="00C46922"/>
    <w:rsid w:val="00C470FA"/>
    <w:rsid w:val="00C47A38"/>
    <w:rsid w:val="00C5115C"/>
    <w:rsid w:val="00C516DB"/>
    <w:rsid w:val="00C533C9"/>
    <w:rsid w:val="00C53452"/>
    <w:rsid w:val="00C55970"/>
    <w:rsid w:val="00C55BBD"/>
    <w:rsid w:val="00C55F62"/>
    <w:rsid w:val="00C5604A"/>
    <w:rsid w:val="00C56ED3"/>
    <w:rsid w:val="00C57583"/>
    <w:rsid w:val="00C5764B"/>
    <w:rsid w:val="00C6030D"/>
    <w:rsid w:val="00C61499"/>
    <w:rsid w:val="00C617A8"/>
    <w:rsid w:val="00C61A8A"/>
    <w:rsid w:val="00C6232F"/>
    <w:rsid w:val="00C62C68"/>
    <w:rsid w:val="00C64060"/>
    <w:rsid w:val="00C646E8"/>
    <w:rsid w:val="00C65ADB"/>
    <w:rsid w:val="00C65DE6"/>
    <w:rsid w:val="00C65E8D"/>
    <w:rsid w:val="00C66364"/>
    <w:rsid w:val="00C666CB"/>
    <w:rsid w:val="00C67ECB"/>
    <w:rsid w:val="00C707DD"/>
    <w:rsid w:val="00C7149E"/>
    <w:rsid w:val="00C730CD"/>
    <w:rsid w:val="00C7419A"/>
    <w:rsid w:val="00C7490D"/>
    <w:rsid w:val="00C7547F"/>
    <w:rsid w:val="00C76694"/>
    <w:rsid w:val="00C8007E"/>
    <w:rsid w:val="00C80156"/>
    <w:rsid w:val="00C81DD9"/>
    <w:rsid w:val="00C81EF2"/>
    <w:rsid w:val="00C81F82"/>
    <w:rsid w:val="00C81F8E"/>
    <w:rsid w:val="00C8229A"/>
    <w:rsid w:val="00C82491"/>
    <w:rsid w:val="00C83C44"/>
    <w:rsid w:val="00C84F9C"/>
    <w:rsid w:val="00C86E01"/>
    <w:rsid w:val="00C87260"/>
    <w:rsid w:val="00C87602"/>
    <w:rsid w:val="00C87C65"/>
    <w:rsid w:val="00C87D05"/>
    <w:rsid w:val="00C87D68"/>
    <w:rsid w:val="00C920F2"/>
    <w:rsid w:val="00C9212E"/>
    <w:rsid w:val="00C94091"/>
    <w:rsid w:val="00C952FB"/>
    <w:rsid w:val="00C971A3"/>
    <w:rsid w:val="00C973D3"/>
    <w:rsid w:val="00CA0EEE"/>
    <w:rsid w:val="00CA24CC"/>
    <w:rsid w:val="00CA3E25"/>
    <w:rsid w:val="00CA3F8E"/>
    <w:rsid w:val="00CA4E12"/>
    <w:rsid w:val="00CA6543"/>
    <w:rsid w:val="00CB04C2"/>
    <w:rsid w:val="00CB0E93"/>
    <w:rsid w:val="00CB143C"/>
    <w:rsid w:val="00CB15B8"/>
    <w:rsid w:val="00CB2DA3"/>
    <w:rsid w:val="00CB347F"/>
    <w:rsid w:val="00CB36AD"/>
    <w:rsid w:val="00CB3F16"/>
    <w:rsid w:val="00CB534A"/>
    <w:rsid w:val="00CB5609"/>
    <w:rsid w:val="00CB62B0"/>
    <w:rsid w:val="00CB6F36"/>
    <w:rsid w:val="00CB7275"/>
    <w:rsid w:val="00CC1191"/>
    <w:rsid w:val="00CC142C"/>
    <w:rsid w:val="00CC22E4"/>
    <w:rsid w:val="00CC400E"/>
    <w:rsid w:val="00CC4910"/>
    <w:rsid w:val="00CC4D78"/>
    <w:rsid w:val="00CC50A7"/>
    <w:rsid w:val="00CC6712"/>
    <w:rsid w:val="00CC72C6"/>
    <w:rsid w:val="00CD17DF"/>
    <w:rsid w:val="00CD23DF"/>
    <w:rsid w:val="00CD31DA"/>
    <w:rsid w:val="00CD41A3"/>
    <w:rsid w:val="00CD445A"/>
    <w:rsid w:val="00CD5898"/>
    <w:rsid w:val="00CD598F"/>
    <w:rsid w:val="00CD7214"/>
    <w:rsid w:val="00CE030A"/>
    <w:rsid w:val="00CE04C9"/>
    <w:rsid w:val="00CE15FC"/>
    <w:rsid w:val="00CE1D36"/>
    <w:rsid w:val="00CE2822"/>
    <w:rsid w:val="00CE3E68"/>
    <w:rsid w:val="00CE4B47"/>
    <w:rsid w:val="00CE5346"/>
    <w:rsid w:val="00CE598D"/>
    <w:rsid w:val="00CE63AB"/>
    <w:rsid w:val="00CE6D99"/>
    <w:rsid w:val="00CE6F3C"/>
    <w:rsid w:val="00CE6FD4"/>
    <w:rsid w:val="00CE7B13"/>
    <w:rsid w:val="00CF0E81"/>
    <w:rsid w:val="00CF143B"/>
    <w:rsid w:val="00CF21E4"/>
    <w:rsid w:val="00CF2B13"/>
    <w:rsid w:val="00CF31A8"/>
    <w:rsid w:val="00CF31AE"/>
    <w:rsid w:val="00CF3C3F"/>
    <w:rsid w:val="00CF3FC5"/>
    <w:rsid w:val="00CF412C"/>
    <w:rsid w:val="00CF4B9E"/>
    <w:rsid w:val="00CF5152"/>
    <w:rsid w:val="00CF5C80"/>
    <w:rsid w:val="00D007A4"/>
    <w:rsid w:val="00D01AC1"/>
    <w:rsid w:val="00D02835"/>
    <w:rsid w:val="00D034D4"/>
    <w:rsid w:val="00D0429F"/>
    <w:rsid w:val="00D042B0"/>
    <w:rsid w:val="00D0499D"/>
    <w:rsid w:val="00D058AC"/>
    <w:rsid w:val="00D0594C"/>
    <w:rsid w:val="00D05C27"/>
    <w:rsid w:val="00D06890"/>
    <w:rsid w:val="00D06DF7"/>
    <w:rsid w:val="00D078BC"/>
    <w:rsid w:val="00D121AB"/>
    <w:rsid w:val="00D13AFB"/>
    <w:rsid w:val="00D162A0"/>
    <w:rsid w:val="00D16416"/>
    <w:rsid w:val="00D167AE"/>
    <w:rsid w:val="00D16A4B"/>
    <w:rsid w:val="00D1777F"/>
    <w:rsid w:val="00D21332"/>
    <w:rsid w:val="00D21A0F"/>
    <w:rsid w:val="00D21D6D"/>
    <w:rsid w:val="00D220FB"/>
    <w:rsid w:val="00D22621"/>
    <w:rsid w:val="00D22C82"/>
    <w:rsid w:val="00D23BC8"/>
    <w:rsid w:val="00D246C7"/>
    <w:rsid w:val="00D247E8"/>
    <w:rsid w:val="00D24E32"/>
    <w:rsid w:val="00D269DE"/>
    <w:rsid w:val="00D27A3E"/>
    <w:rsid w:val="00D27A5E"/>
    <w:rsid w:val="00D3030E"/>
    <w:rsid w:val="00D30376"/>
    <w:rsid w:val="00D30780"/>
    <w:rsid w:val="00D317B9"/>
    <w:rsid w:val="00D322B9"/>
    <w:rsid w:val="00D32504"/>
    <w:rsid w:val="00D32837"/>
    <w:rsid w:val="00D33B4C"/>
    <w:rsid w:val="00D342A0"/>
    <w:rsid w:val="00D357A0"/>
    <w:rsid w:val="00D361C7"/>
    <w:rsid w:val="00D36621"/>
    <w:rsid w:val="00D36E02"/>
    <w:rsid w:val="00D37153"/>
    <w:rsid w:val="00D402AB"/>
    <w:rsid w:val="00D42350"/>
    <w:rsid w:val="00D42BF7"/>
    <w:rsid w:val="00D43B63"/>
    <w:rsid w:val="00D44356"/>
    <w:rsid w:val="00D44562"/>
    <w:rsid w:val="00D4463A"/>
    <w:rsid w:val="00D4484F"/>
    <w:rsid w:val="00D460DD"/>
    <w:rsid w:val="00D469AA"/>
    <w:rsid w:val="00D500CD"/>
    <w:rsid w:val="00D500DF"/>
    <w:rsid w:val="00D5248C"/>
    <w:rsid w:val="00D52C9E"/>
    <w:rsid w:val="00D52F37"/>
    <w:rsid w:val="00D53075"/>
    <w:rsid w:val="00D55D4D"/>
    <w:rsid w:val="00D567DD"/>
    <w:rsid w:val="00D56A48"/>
    <w:rsid w:val="00D575A2"/>
    <w:rsid w:val="00D60A55"/>
    <w:rsid w:val="00D62856"/>
    <w:rsid w:val="00D651BB"/>
    <w:rsid w:val="00D675E1"/>
    <w:rsid w:val="00D677AB"/>
    <w:rsid w:val="00D6787B"/>
    <w:rsid w:val="00D70772"/>
    <w:rsid w:val="00D72BEF"/>
    <w:rsid w:val="00D732FD"/>
    <w:rsid w:val="00D73B2E"/>
    <w:rsid w:val="00D73B3E"/>
    <w:rsid w:val="00D75AFA"/>
    <w:rsid w:val="00D76314"/>
    <w:rsid w:val="00D763E6"/>
    <w:rsid w:val="00D7754E"/>
    <w:rsid w:val="00D8029A"/>
    <w:rsid w:val="00D80BC8"/>
    <w:rsid w:val="00D80FDF"/>
    <w:rsid w:val="00D81261"/>
    <w:rsid w:val="00D81851"/>
    <w:rsid w:val="00D81BF8"/>
    <w:rsid w:val="00D83D11"/>
    <w:rsid w:val="00D84A0A"/>
    <w:rsid w:val="00D8547A"/>
    <w:rsid w:val="00D854AA"/>
    <w:rsid w:val="00D8621E"/>
    <w:rsid w:val="00D87255"/>
    <w:rsid w:val="00D878D3"/>
    <w:rsid w:val="00D90128"/>
    <w:rsid w:val="00D90590"/>
    <w:rsid w:val="00D90D16"/>
    <w:rsid w:val="00D91BB4"/>
    <w:rsid w:val="00D91E16"/>
    <w:rsid w:val="00D938F7"/>
    <w:rsid w:val="00D94DB6"/>
    <w:rsid w:val="00D960E6"/>
    <w:rsid w:val="00D96112"/>
    <w:rsid w:val="00D96B75"/>
    <w:rsid w:val="00D97BD1"/>
    <w:rsid w:val="00DA00C1"/>
    <w:rsid w:val="00DA1273"/>
    <w:rsid w:val="00DA137E"/>
    <w:rsid w:val="00DA13DB"/>
    <w:rsid w:val="00DA1716"/>
    <w:rsid w:val="00DA3D1F"/>
    <w:rsid w:val="00DA510B"/>
    <w:rsid w:val="00DA5189"/>
    <w:rsid w:val="00DA57DE"/>
    <w:rsid w:val="00DA6337"/>
    <w:rsid w:val="00DA6597"/>
    <w:rsid w:val="00DA65C6"/>
    <w:rsid w:val="00DA7514"/>
    <w:rsid w:val="00DB0124"/>
    <w:rsid w:val="00DB0B57"/>
    <w:rsid w:val="00DB35A4"/>
    <w:rsid w:val="00DB3A05"/>
    <w:rsid w:val="00DB4621"/>
    <w:rsid w:val="00DB5527"/>
    <w:rsid w:val="00DB5C68"/>
    <w:rsid w:val="00DB6F62"/>
    <w:rsid w:val="00DB7FF4"/>
    <w:rsid w:val="00DC06F4"/>
    <w:rsid w:val="00DC0834"/>
    <w:rsid w:val="00DC0975"/>
    <w:rsid w:val="00DC1171"/>
    <w:rsid w:val="00DC1747"/>
    <w:rsid w:val="00DC21E5"/>
    <w:rsid w:val="00DC3063"/>
    <w:rsid w:val="00DC3177"/>
    <w:rsid w:val="00DC334A"/>
    <w:rsid w:val="00DC43D1"/>
    <w:rsid w:val="00DC4812"/>
    <w:rsid w:val="00DC4C59"/>
    <w:rsid w:val="00DC59B1"/>
    <w:rsid w:val="00DC6CD1"/>
    <w:rsid w:val="00DC7060"/>
    <w:rsid w:val="00DC7812"/>
    <w:rsid w:val="00DD1C8F"/>
    <w:rsid w:val="00DD211B"/>
    <w:rsid w:val="00DD2AC8"/>
    <w:rsid w:val="00DD2DC6"/>
    <w:rsid w:val="00DD30FC"/>
    <w:rsid w:val="00DD3E74"/>
    <w:rsid w:val="00DD3EE0"/>
    <w:rsid w:val="00DD6089"/>
    <w:rsid w:val="00DE0498"/>
    <w:rsid w:val="00DE1725"/>
    <w:rsid w:val="00DE3B08"/>
    <w:rsid w:val="00DE3C8D"/>
    <w:rsid w:val="00DE3DEF"/>
    <w:rsid w:val="00DE6F00"/>
    <w:rsid w:val="00DE704E"/>
    <w:rsid w:val="00DF0FE2"/>
    <w:rsid w:val="00DF20E4"/>
    <w:rsid w:val="00DF2B48"/>
    <w:rsid w:val="00DF346F"/>
    <w:rsid w:val="00DF38BD"/>
    <w:rsid w:val="00DF3909"/>
    <w:rsid w:val="00DF392F"/>
    <w:rsid w:val="00DF4E2F"/>
    <w:rsid w:val="00DF4EFD"/>
    <w:rsid w:val="00DF72F2"/>
    <w:rsid w:val="00DF765C"/>
    <w:rsid w:val="00DF7C84"/>
    <w:rsid w:val="00E01B68"/>
    <w:rsid w:val="00E01E60"/>
    <w:rsid w:val="00E02128"/>
    <w:rsid w:val="00E02222"/>
    <w:rsid w:val="00E0297F"/>
    <w:rsid w:val="00E0329D"/>
    <w:rsid w:val="00E03346"/>
    <w:rsid w:val="00E03871"/>
    <w:rsid w:val="00E04126"/>
    <w:rsid w:val="00E04286"/>
    <w:rsid w:val="00E04FD1"/>
    <w:rsid w:val="00E05C7A"/>
    <w:rsid w:val="00E06060"/>
    <w:rsid w:val="00E0688D"/>
    <w:rsid w:val="00E0718B"/>
    <w:rsid w:val="00E07873"/>
    <w:rsid w:val="00E079D3"/>
    <w:rsid w:val="00E1039A"/>
    <w:rsid w:val="00E105BB"/>
    <w:rsid w:val="00E107CB"/>
    <w:rsid w:val="00E107D0"/>
    <w:rsid w:val="00E1082E"/>
    <w:rsid w:val="00E10965"/>
    <w:rsid w:val="00E11929"/>
    <w:rsid w:val="00E1232C"/>
    <w:rsid w:val="00E12ADB"/>
    <w:rsid w:val="00E1374E"/>
    <w:rsid w:val="00E1543A"/>
    <w:rsid w:val="00E1561A"/>
    <w:rsid w:val="00E15DDC"/>
    <w:rsid w:val="00E200A3"/>
    <w:rsid w:val="00E20C12"/>
    <w:rsid w:val="00E20D2A"/>
    <w:rsid w:val="00E23765"/>
    <w:rsid w:val="00E24138"/>
    <w:rsid w:val="00E2485F"/>
    <w:rsid w:val="00E24C65"/>
    <w:rsid w:val="00E24C82"/>
    <w:rsid w:val="00E257EB"/>
    <w:rsid w:val="00E25BF2"/>
    <w:rsid w:val="00E27C91"/>
    <w:rsid w:val="00E30172"/>
    <w:rsid w:val="00E30C88"/>
    <w:rsid w:val="00E3113C"/>
    <w:rsid w:val="00E31976"/>
    <w:rsid w:val="00E32378"/>
    <w:rsid w:val="00E32E61"/>
    <w:rsid w:val="00E33BE7"/>
    <w:rsid w:val="00E3473A"/>
    <w:rsid w:val="00E35793"/>
    <w:rsid w:val="00E358E8"/>
    <w:rsid w:val="00E3594B"/>
    <w:rsid w:val="00E368B5"/>
    <w:rsid w:val="00E36986"/>
    <w:rsid w:val="00E37352"/>
    <w:rsid w:val="00E37520"/>
    <w:rsid w:val="00E376A5"/>
    <w:rsid w:val="00E40A01"/>
    <w:rsid w:val="00E41170"/>
    <w:rsid w:val="00E41CF0"/>
    <w:rsid w:val="00E43B2F"/>
    <w:rsid w:val="00E44A19"/>
    <w:rsid w:val="00E46614"/>
    <w:rsid w:val="00E46785"/>
    <w:rsid w:val="00E512A8"/>
    <w:rsid w:val="00E5203C"/>
    <w:rsid w:val="00E522B4"/>
    <w:rsid w:val="00E523F5"/>
    <w:rsid w:val="00E53D59"/>
    <w:rsid w:val="00E53E75"/>
    <w:rsid w:val="00E5471E"/>
    <w:rsid w:val="00E54B8E"/>
    <w:rsid w:val="00E551E1"/>
    <w:rsid w:val="00E556F6"/>
    <w:rsid w:val="00E55E11"/>
    <w:rsid w:val="00E568D2"/>
    <w:rsid w:val="00E57603"/>
    <w:rsid w:val="00E604B5"/>
    <w:rsid w:val="00E60651"/>
    <w:rsid w:val="00E60AA6"/>
    <w:rsid w:val="00E61748"/>
    <w:rsid w:val="00E648BA"/>
    <w:rsid w:val="00E64D52"/>
    <w:rsid w:val="00E6613E"/>
    <w:rsid w:val="00E66F02"/>
    <w:rsid w:val="00E7167B"/>
    <w:rsid w:val="00E71A99"/>
    <w:rsid w:val="00E72887"/>
    <w:rsid w:val="00E736F3"/>
    <w:rsid w:val="00E73B83"/>
    <w:rsid w:val="00E73C8D"/>
    <w:rsid w:val="00E73F14"/>
    <w:rsid w:val="00E74BD5"/>
    <w:rsid w:val="00E762B4"/>
    <w:rsid w:val="00E769DA"/>
    <w:rsid w:val="00E76B9B"/>
    <w:rsid w:val="00E76D24"/>
    <w:rsid w:val="00E77152"/>
    <w:rsid w:val="00E77D0E"/>
    <w:rsid w:val="00E808F5"/>
    <w:rsid w:val="00E80BF3"/>
    <w:rsid w:val="00E81495"/>
    <w:rsid w:val="00E81B5E"/>
    <w:rsid w:val="00E81C78"/>
    <w:rsid w:val="00E81D81"/>
    <w:rsid w:val="00E81FDF"/>
    <w:rsid w:val="00E82BEF"/>
    <w:rsid w:val="00E82F51"/>
    <w:rsid w:val="00E83E4A"/>
    <w:rsid w:val="00E85CD0"/>
    <w:rsid w:val="00E86C83"/>
    <w:rsid w:val="00E901F0"/>
    <w:rsid w:val="00E9076B"/>
    <w:rsid w:val="00E91AD1"/>
    <w:rsid w:val="00E926EC"/>
    <w:rsid w:val="00E96C4F"/>
    <w:rsid w:val="00E96FFC"/>
    <w:rsid w:val="00E9758E"/>
    <w:rsid w:val="00EA060B"/>
    <w:rsid w:val="00EA077E"/>
    <w:rsid w:val="00EA17E5"/>
    <w:rsid w:val="00EA1907"/>
    <w:rsid w:val="00EA2D6E"/>
    <w:rsid w:val="00EA30A5"/>
    <w:rsid w:val="00EA430E"/>
    <w:rsid w:val="00EA4BEC"/>
    <w:rsid w:val="00EA51CD"/>
    <w:rsid w:val="00EA5340"/>
    <w:rsid w:val="00EA65F8"/>
    <w:rsid w:val="00EA72B1"/>
    <w:rsid w:val="00EA7542"/>
    <w:rsid w:val="00EA79E3"/>
    <w:rsid w:val="00EA79E9"/>
    <w:rsid w:val="00EB14CA"/>
    <w:rsid w:val="00EB1A25"/>
    <w:rsid w:val="00EB1D4F"/>
    <w:rsid w:val="00EB24E2"/>
    <w:rsid w:val="00EB2837"/>
    <w:rsid w:val="00EB28F5"/>
    <w:rsid w:val="00EB5ADB"/>
    <w:rsid w:val="00EB60CC"/>
    <w:rsid w:val="00EB6B33"/>
    <w:rsid w:val="00EC0005"/>
    <w:rsid w:val="00EC1253"/>
    <w:rsid w:val="00EC17BC"/>
    <w:rsid w:val="00EC3DBD"/>
    <w:rsid w:val="00EC40BB"/>
    <w:rsid w:val="00EC49F3"/>
    <w:rsid w:val="00EC6486"/>
    <w:rsid w:val="00EC6F29"/>
    <w:rsid w:val="00EC71A2"/>
    <w:rsid w:val="00EC7494"/>
    <w:rsid w:val="00ED18B9"/>
    <w:rsid w:val="00ED2204"/>
    <w:rsid w:val="00ED221C"/>
    <w:rsid w:val="00ED2566"/>
    <w:rsid w:val="00ED45B8"/>
    <w:rsid w:val="00ED4624"/>
    <w:rsid w:val="00ED4C58"/>
    <w:rsid w:val="00ED4DFD"/>
    <w:rsid w:val="00ED4EFD"/>
    <w:rsid w:val="00ED54BD"/>
    <w:rsid w:val="00ED7B2E"/>
    <w:rsid w:val="00EE06A8"/>
    <w:rsid w:val="00EE0D28"/>
    <w:rsid w:val="00EE1495"/>
    <w:rsid w:val="00EE354E"/>
    <w:rsid w:val="00EE3C84"/>
    <w:rsid w:val="00EE47B3"/>
    <w:rsid w:val="00EE5E79"/>
    <w:rsid w:val="00EE682D"/>
    <w:rsid w:val="00EE708F"/>
    <w:rsid w:val="00EF0C52"/>
    <w:rsid w:val="00EF1AAD"/>
    <w:rsid w:val="00EF2999"/>
    <w:rsid w:val="00EF2D27"/>
    <w:rsid w:val="00EF314D"/>
    <w:rsid w:val="00EF355A"/>
    <w:rsid w:val="00EF3645"/>
    <w:rsid w:val="00EF380E"/>
    <w:rsid w:val="00EF3E71"/>
    <w:rsid w:val="00EF5749"/>
    <w:rsid w:val="00EF6946"/>
    <w:rsid w:val="00F00E53"/>
    <w:rsid w:val="00F013AD"/>
    <w:rsid w:val="00F01402"/>
    <w:rsid w:val="00F02BD9"/>
    <w:rsid w:val="00F03AEF"/>
    <w:rsid w:val="00F0405A"/>
    <w:rsid w:val="00F04A36"/>
    <w:rsid w:val="00F04A74"/>
    <w:rsid w:val="00F05E01"/>
    <w:rsid w:val="00F06D83"/>
    <w:rsid w:val="00F0735F"/>
    <w:rsid w:val="00F0764E"/>
    <w:rsid w:val="00F07FEE"/>
    <w:rsid w:val="00F10299"/>
    <w:rsid w:val="00F1133B"/>
    <w:rsid w:val="00F11378"/>
    <w:rsid w:val="00F1158A"/>
    <w:rsid w:val="00F12E67"/>
    <w:rsid w:val="00F1349D"/>
    <w:rsid w:val="00F142EE"/>
    <w:rsid w:val="00F14C30"/>
    <w:rsid w:val="00F1513A"/>
    <w:rsid w:val="00F16826"/>
    <w:rsid w:val="00F1713B"/>
    <w:rsid w:val="00F174E9"/>
    <w:rsid w:val="00F17653"/>
    <w:rsid w:val="00F17C34"/>
    <w:rsid w:val="00F2000F"/>
    <w:rsid w:val="00F2006A"/>
    <w:rsid w:val="00F20600"/>
    <w:rsid w:val="00F21814"/>
    <w:rsid w:val="00F21D07"/>
    <w:rsid w:val="00F2572F"/>
    <w:rsid w:val="00F25B40"/>
    <w:rsid w:val="00F26310"/>
    <w:rsid w:val="00F26AD3"/>
    <w:rsid w:val="00F27D4F"/>
    <w:rsid w:val="00F303D2"/>
    <w:rsid w:val="00F303FE"/>
    <w:rsid w:val="00F31DDE"/>
    <w:rsid w:val="00F323E3"/>
    <w:rsid w:val="00F32D16"/>
    <w:rsid w:val="00F334CF"/>
    <w:rsid w:val="00F335D1"/>
    <w:rsid w:val="00F35DC8"/>
    <w:rsid w:val="00F3645E"/>
    <w:rsid w:val="00F3745B"/>
    <w:rsid w:val="00F37546"/>
    <w:rsid w:val="00F37ADD"/>
    <w:rsid w:val="00F37B6C"/>
    <w:rsid w:val="00F407E9"/>
    <w:rsid w:val="00F40BD4"/>
    <w:rsid w:val="00F415B1"/>
    <w:rsid w:val="00F4191F"/>
    <w:rsid w:val="00F42993"/>
    <w:rsid w:val="00F43257"/>
    <w:rsid w:val="00F43402"/>
    <w:rsid w:val="00F43A7D"/>
    <w:rsid w:val="00F444C8"/>
    <w:rsid w:val="00F45FF6"/>
    <w:rsid w:val="00F47381"/>
    <w:rsid w:val="00F50EBC"/>
    <w:rsid w:val="00F5182E"/>
    <w:rsid w:val="00F5204D"/>
    <w:rsid w:val="00F530CD"/>
    <w:rsid w:val="00F53843"/>
    <w:rsid w:val="00F53A74"/>
    <w:rsid w:val="00F53B49"/>
    <w:rsid w:val="00F54130"/>
    <w:rsid w:val="00F5444E"/>
    <w:rsid w:val="00F54CFA"/>
    <w:rsid w:val="00F5501F"/>
    <w:rsid w:val="00F60E84"/>
    <w:rsid w:val="00F617E9"/>
    <w:rsid w:val="00F62280"/>
    <w:rsid w:val="00F6240D"/>
    <w:rsid w:val="00F633D5"/>
    <w:rsid w:val="00F64E72"/>
    <w:rsid w:val="00F65CF9"/>
    <w:rsid w:val="00F6716A"/>
    <w:rsid w:val="00F67B48"/>
    <w:rsid w:val="00F70B2A"/>
    <w:rsid w:val="00F70BFF"/>
    <w:rsid w:val="00F7153F"/>
    <w:rsid w:val="00F71912"/>
    <w:rsid w:val="00F744C9"/>
    <w:rsid w:val="00F74585"/>
    <w:rsid w:val="00F74B19"/>
    <w:rsid w:val="00F75FA5"/>
    <w:rsid w:val="00F764A3"/>
    <w:rsid w:val="00F7651C"/>
    <w:rsid w:val="00F80AD2"/>
    <w:rsid w:val="00F8134C"/>
    <w:rsid w:val="00F82376"/>
    <w:rsid w:val="00F828A9"/>
    <w:rsid w:val="00F82BD8"/>
    <w:rsid w:val="00F83C23"/>
    <w:rsid w:val="00F844A4"/>
    <w:rsid w:val="00F84B6A"/>
    <w:rsid w:val="00F85AEB"/>
    <w:rsid w:val="00F85E66"/>
    <w:rsid w:val="00F86C9D"/>
    <w:rsid w:val="00F871D8"/>
    <w:rsid w:val="00F875F3"/>
    <w:rsid w:val="00F8776A"/>
    <w:rsid w:val="00F90526"/>
    <w:rsid w:val="00F92373"/>
    <w:rsid w:val="00F9245B"/>
    <w:rsid w:val="00F93473"/>
    <w:rsid w:val="00F94234"/>
    <w:rsid w:val="00F95C58"/>
    <w:rsid w:val="00F96B3C"/>
    <w:rsid w:val="00F979D9"/>
    <w:rsid w:val="00FA02CA"/>
    <w:rsid w:val="00FA4B59"/>
    <w:rsid w:val="00FA56C4"/>
    <w:rsid w:val="00FA6DCE"/>
    <w:rsid w:val="00FA79EB"/>
    <w:rsid w:val="00FB19E5"/>
    <w:rsid w:val="00FB3DCE"/>
    <w:rsid w:val="00FB45B7"/>
    <w:rsid w:val="00FB47DE"/>
    <w:rsid w:val="00FB4A31"/>
    <w:rsid w:val="00FB6200"/>
    <w:rsid w:val="00FB6707"/>
    <w:rsid w:val="00FB69A3"/>
    <w:rsid w:val="00FB6FD6"/>
    <w:rsid w:val="00FB7D65"/>
    <w:rsid w:val="00FC1F1E"/>
    <w:rsid w:val="00FC351C"/>
    <w:rsid w:val="00FC39F2"/>
    <w:rsid w:val="00FC4652"/>
    <w:rsid w:val="00FC4B7D"/>
    <w:rsid w:val="00FC4C63"/>
    <w:rsid w:val="00FC576F"/>
    <w:rsid w:val="00FD0661"/>
    <w:rsid w:val="00FD06C3"/>
    <w:rsid w:val="00FD0773"/>
    <w:rsid w:val="00FD09C8"/>
    <w:rsid w:val="00FD2B22"/>
    <w:rsid w:val="00FD3D67"/>
    <w:rsid w:val="00FD5395"/>
    <w:rsid w:val="00FD6471"/>
    <w:rsid w:val="00FD662D"/>
    <w:rsid w:val="00FD6EA3"/>
    <w:rsid w:val="00FD7139"/>
    <w:rsid w:val="00FE112C"/>
    <w:rsid w:val="00FE5CAF"/>
    <w:rsid w:val="00FE718F"/>
    <w:rsid w:val="00FE7EFF"/>
    <w:rsid w:val="00FF092A"/>
    <w:rsid w:val="00FF24D4"/>
    <w:rsid w:val="00FF2834"/>
    <w:rsid w:val="00FF2F8E"/>
    <w:rsid w:val="00FF3628"/>
    <w:rsid w:val="00FF391D"/>
    <w:rsid w:val="00FF536A"/>
    <w:rsid w:val="00FF543A"/>
    <w:rsid w:val="00FF5F20"/>
    <w:rsid w:val="00FF6C99"/>
    <w:rsid w:val="00FF704C"/>
    <w:rsid w:val="00FF70FE"/>
    <w:rsid w:val="00FF72B9"/>
    <w:rsid w:val="00FF7B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5921"/>
  <w15:docId w15:val="{6830CA8E-8483-4B46-B9AF-FE3A7ADA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C4652"/>
    <w:pPr>
      <w:ind w:left="720"/>
      <w:contextualSpacing/>
    </w:pPr>
  </w:style>
  <w:style w:type="character" w:styleId="TextodoEspaoReservado">
    <w:name w:val="Placeholder Text"/>
    <w:basedOn w:val="Fontepargpadro"/>
    <w:uiPriority w:val="99"/>
    <w:semiHidden/>
    <w:rsid w:val="00F844A4"/>
    <w:rPr>
      <w:color w:val="808080"/>
    </w:rPr>
  </w:style>
  <w:style w:type="paragraph" w:styleId="Textodebalo">
    <w:name w:val="Balloon Text"/>
    <w:basedOn w:val="Normal"/>
    <w:link w:val="TextodebaloChar"/>
    <w:uiPriority w:val="99"/>
    <w:semiHidden/>
    <w:unhideWhenUsed/>
    <w:rsid w:val="00F844A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844A4"/>
    <w:rPr>
      <w:rFonts w:ascii="Tahoma" w:hAnsi="Tahoma" w:cs="Tahoma"/>
      <w:sz w:val="16"/>
      <w:szCs w:val="16"/>
    </w:rPr>
  </w:style>
  <w:style w:type="paragraph" w:styleId="Textodenotaderodap">
    <w:name w:val="footnote text"/>
    <w:aliases w:val="FN,fn"/>
    <w:basedOn w:val="Normal"/>
    <w:link w:val="TextodenotaderodapChar"/>
    <w:uiPriority w:val="99"/>
    <w:unhideWhenUsed/>
    <w:rsid w:val="00F20600"/>
    <w:pPr>
      <w:spacing w:after="0" w:line="240" w:lineRule="auto"/>
    </w:pPr>
    <w:rPr>
      <w:sz w:val="20"/>
      <w:szCs w:val="20"/>
    </w:rPr>
  </w:style>
  <w:style w:type="character" w:customStyle="1" w:styleId="TextodenotaderodapChar">
    <w:name w:val="Texto de nota de rodapé Char"/>
    <w:aliases w:val="FN Char,fn Char"/>
    <w:basedOn w:val="Fontepargpadro"/>
    <w:link w:val="Textodenotaderodap"/>
    <w:uiPriority w:val="99"/>
    <w:rsid w:val="00F20600"/>
    <w:rPr>
      <w:sz w:val="20"/>
      <w:szCs w:val="20"/>
    </w:rPr>
  </w:style>
  <w:style w:type="character" w:styleId="Refdenotaderodap">
    <w:name w:val="footnote reference"/>
    <w:basedOn w:val="Fontepargpadro"/>
    <w:uiPriority w:val="99"/>
    <w:unhideWhenUsed/>
    <w:rsid w:val="00F20600"/>
    <w:rPr>
      <w:vertAlign w:val="superscript"/>
    </w:rPr>
  </w:style>
  <w:style w:type="paragraph" w:styleId="SemEspaamento">
    <w:name w:val="No Spacing"/>
    <w:aliases w:val="Tables"/>
    <w:basedOn w:val="Normal"/>
    <w:link w:val="SemEspaamentoChar"/>
    <w:uiPriority w:val="1"/>
    <w:qFormat/>
    <w:rsid w:val="00E83E4A"/>
    <w:pPr>
      <w:spacing w:after="0"/>
      <w:jc w:val="both"/>
    </w:pPr>
    <w:rPr>
      <w:rFonts w:ascii="Times New Roman" w:hAnsi="Times New Roman"/>
      <w:sz w:val="24"/>
      <w:szCs w:val="20"/>
      <w:lang w:val="en-GB" w:bidi="en-US"/>
    </w:rPr>
  </w:style>
  <w:style w:type="character" w:customStyle="1" w:styleId="SemEspaamentoChar">
    <w:name w:val="Sem Espaçamento Char"/>
    <w:aliases w:val="Tables Char"/>
    <w:basedOn w:val="Fontepargpadro"/>
    <w:link w:val="SemEspaamento"/>
    <w:uiPriority w:val="1"/>
    <w:rsid w:val="00E83E4A"/>
    <w:rPr>
      <w:rFonts w:ascii="Times New Roman" w:eastAsiaTheme="minorEastAsia" w:hAnsi="Times New Roman"/>
      <w:sz w:val="24"/>
      <w:szCs w:val="20"/>
      <w:lang w:val="en-GB" w:bidi="en-US"/>
    </w:rPr>
  </w:style>
  <w:style w:type="table" w:styleId="Tabelacomgrade">
    <w:name w:val="Table Grid"/>
    <w:basedOn w:val="Tabelanormal"/>
    <w:uiPriority w:val="59"/>
    <w:rsid w:val="00BE7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06D63B-A9D4-467F-978B-EC257BE65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7887</Words>
  <Characters>42590</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Guilherme Magacho</cp:lastModifiedBy>
  <cp:revision>2</cp:revision>
  <cp:lastPrinted>2016-03-28T18:04:00Z</cp:lastPrinted>
  <dcterms:created xsi:type="dcterms:W3CDTF">2016-07-20T20:16:00Z</dcterms:created>
  <dcterms:modified xsi:type="dcterms:W3CDTF">2016-07-20T20:16:00Z</dcterms:modified>
</cp:coreProperties>
</file>