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193DB" w14:textId="634A1881" w:rsidR="00F75D52" w:rsidRPr="00A7356B" w:rsidRDefault="00F75D52" w:rsidP="004F5791">
      <w:pPr>
        <w:pStyle w:val="Style1"/>
        <w:ind w:left="1440" w:firstLine="720"/>
        <w:jc w:val="left"/>
        <w:rPr>
          <w:szCs w:val="28"/>
          <w:vertAlign w:val="superscript"/>
        </w:rPr>
      </w:pPr>
      <w:r w:rsidRPr="00A7356B">
        <w:rPr>
          <w:szCs w:val="28"/>
        </w:rPr>
        <w:t>Technological Gap, Demand Lag And Trade</w:t>
      </w:r>
    </w:p>
    <w:p w14:paraId="4317EACA" w14:textId="5085FFB1" w:rsidR="00A10C44" w:rsidRPr="00A7356B" w:rsidRDefault="00F75D52" w:rsidP="00A10C44">
      <w:pPr>
        <w:jc w:val="right"/>
        <w:rPr>
          <w:rFonts w:ascii="Times" w:hAnsi="Times"/>
          <w:bCs/>
          <w:sz w:val="22"/>
          <w:szCs w:val="22"/>
        </w:rPr>
      </w:pPr>
      <w:bookmarkStart w:id="0" w:name="OLE_LINK2"/>
      <w:r w:rsidRPr="00A7356B">
        <w:rPr>
          <w:rFonts w:ascii="Times" w:hAnsi="Times"/>
          <w:b/>
          <w:bCs/>
          <w:sz w:val="22"/>
          <w:szCs w:val="22"/>
        </w:rPr>
        <w:t xml:space="preserve">Paulo Ricardo S. </w:t>
      </w:r>
      <w:bookmarkEnd w:id="0"/>
      <w:r w:rsidRPr="00A7356B">
        <w:rPr>
          <w:rFonts w:ascii="Times" w:hAnsi="Times"/>
          <w:b/>
          <w:bCs/>
          <w:sz w:val="22"/>
          <w:szCs w:val="22"/>
        </w:rPr>
        <w:t>Oliveira</w:t>
      </w:r>
      <w:r w:rsidRPr="00A7356B">
        <w:rPr>
          <w:rStyle w:val="FootnoteReference"/>
          <w:rFonts w:ascii="Times" w:hAnsi="Times"/>
          <w:b/>
          <w:bCs/>
          <w:sz w:val="22"/>
          <w:szCs w:val="22"/>
        </w:rPr>
        <w:footnoteReference w:id="1"/>
      </w:r>
    </w:p>
    <w:p w14:paraId="4AEAC87D" w14:textId="3FAF186B" w:rsidR="00A10C44" w:rsidRPr="00A7356B" w:rsidRDefault="00F75D52" w:rsidP="00A10C44">
      <w:pPr>
        <w:jc w:val="right"/>
        <w:rPr>
          <w:rFonts w:ascii="Times" w:hAnsi="Times"/>
          <w:b/>
          <w:bCs/>
          <w:sz w:val="22"/>
          <w:szCs w:val="22"/>
        </w:rPr>
      </w:pPr>
      <w:r w:rsidRPr="00A7356B">
        <w:rPr>
          <w:rFonts w:ascii="Times" w:hAnsi="Times"/>
          <w:bCs/>
          <w:sz w:val="22"/>
          <w:szCs w:val="22"/>
        </w:rPr>
        <w:t xml:space="preserve"> </w:t>
      </w:r>
      <w:r w:rsidRPr="00A7356B">
        <w:rPr>
          <w:rFonts w:ascii="Times" w:hAnsi="Times"/>
          <w:b/>
          <w:bCs/>
          <w:sz w:val="22"/>
          <w:szCs w:val="22"/>
        </w:rPr>
        <w:t>José Maria F.J. da Silveira</w:t>
      </w:r>
      <w:r w:rsidR="008D44EE" w:rsidRPr="00A7356B">
        <w:rPr>
          <w:rStyle w:val="FootnoteReference"/>
          <w:rFonts w:ascii="Times" w:hAnsi="Times"/>
          <w:b/>
          <w:bCs/>
          <w:sz w:val="22"/>
          <w:szCs w:val="22"/>
        </w:rPr>
        <w:footnoteReference w:id="2"/>
      </w:r>
    </w:p>
    <w:p w14:paraId="1248A4C0" w14:textId="2C9B0846" w:rsidR="00F75D52" w:rsidRPr="00A7356B" w:rsidRDefault="00F75D52" w:rsidP="004F5791">
      <w:pPr>
        <w:jc w:val="right"/>
        <w:rPr>
          <w:rFonts w:ascii="Times" w:hAnsi="Times"/>
          <w:sz w:val="22"/>
          <w:szCs w:val="22"/>
          <w:highlight w:val="yellow"/>
        </w:rPr>
      </w:pPr>
      <w:r w:rsidRPr="00A7356B">
        <w:rPr>
          <w:rFonts w:ascii="Times" w:hAnsi="Times"/>
          <w:b/>
          <w:bCs/>
          <w:sz w:val="22"/>
          <w:szCs w:val="22"/>
        </w:rPr>
        <w:t>David S. Bullock</w:t>
      </w:r>
      <w:r w:rsidR="008D44EE" w:rsidRPr="00A7356B">
        <w:rPr>
          <w:rStyle w:val="FootnoteReference"/>
          <w:rFonts w:ascii="Times" w:hAnsi="Times"/>
          <w:b/>
          <w:smallCaps/>
          <w:sz w:val="22"/>
          <w:szCs w:val="22"/>
        </w:rPr>
        <w:footnoteReference w:id="3"/>
      </w:r>
      <w:r w:rsidRPr="00A7356B">
        <w:rPr>
          <w:rFonts w:ascii="Times" w:hAnsi="Times"/>
          <w:b/>
          <w:smallCaps/>
          <w:sz w:val="22"/>
          <w:szCs w:val="22"/>
        </w:rPr>
        <w:t xml:space="preserve"> </w:t>
      </w:r>
    </w:p>
    <w:p w14:paraId="5EA0D4D5" w14:textId="7388F617" w:rsidR="007E2222" w:rsidRPr="00A7356B" w:rsidRDefault="007E2222" w:rsidP="00786B3F">
      <w:pPr>
        <w:jc w:val="center"/>
        <w:rPr>
          <w:rFonts w:ascii="Times" w:hAnsi="Times"/>
          <w:b/>
        </w:rPr>
      </w:pPr>
      <w:r w:rsidRPr="00A7356B">
        <w:rPr>
          <w:rFonts w:ascii="Times" w:hAnsi="Times"/>
          <w:b/>
        </w:rPr>
        <w:t>Abstract</w:t>
      </w:r>
    </w:p>
    <w:p w14:paraId="6855D5BA" w14:textId="77777777" w:rsidR="00786B3F" w:rsidRPr="00A7356B" w:rsidRDefault="00786B3F" w:rsidP="004F5791">
      <w:pPr>
        <w:rPr>
          <w:rFonts w:ascii="Times" w:hAnsi="Times"/>
          <w:b/>
          <w:smallCaps/>
          <w:sz w:val="28"/>
        </w:rPr>
      </w:pPr>
    </w:p>
    <w:p w14:paraId="5812F077" w14:textId="0AEBA2D8" w:rsidR="007E2222" w:rsidRPr="00A7356B" w:rsidRDefault="004F5791" w:rsidP="00BF27E3">
      <w:pPr>
        <w:pStyle w:val="ANPEC2013"/>
        <w:ind w:firstLine="0"/>
      </w:pPr>
      <w:r w:rsidRPr="00A7356B">
        <w:t xml:space="preserve">The relationship between innovation and trade has been largely </w:t>
      </w:r>
      <w:r w:rsidR="00387683" w:rsidRPr="00A7356B">
        <w:t>seen from the perspective</w:t>
      </w:r>
      <w:r w:rsidRPr="00A7356B">
        <w:t xml:space="preserve"> technological gaps and market share advantages for </w:t>
      </w:r>
      <w:r w:rsidR="00CD3C70">
        <w:t>innovative</w:t>
      </w:r>
      <w:r w:rsidR="00387683" w:rsidRPr="00A7356B">
        <w:t xml:space="preserve"> countries</w:t>
      </w:r>
      <w:r w:rsidRPr="00A7356B">
        <w:t xml:space="preserve">. However, </w:t>
      </w:r>
      <w:r w:rsidR="002F7FFE" w:rsidRPr="00A7356B">
        <w:t xml:space="preserve">this straightforward relationship may not hold in face of certain level of “technology hatred” – as in the case </w:t>
      </w:r>
      <w:r w:rsidRPr="00A7356B">
        <w:rPr>
          <w:sz w:val="22"/>
        </w:rPr>
        <w:t>of genetically modified organisms (GMOs). As national regulatory frameworks w</w:t>
      </w:r>
      <w:r w:rsidR="00387683" w:rsidRPr="00A7356B">
        <w:rPr>
          <w:sz w:val="22"/>
        </w:rPr>
        <w:t>ere built upon unilateral basis</w:t>
      </w:r>
      <w:r w:rsidR="002426F6" w:rsidRPr="00A7356B">
        <w:rPr>
          <w:sz w:val="22"/>
        </w:rPr>
        <w:t>, many conflicts emerged</w:t>
      </w:r>
      <w:r w:rsidRPr="00A7356B">
        <w:rPr>
          <w:sz w:val="22"/>
        </w:rPr>
        <w:t xml:space="preserve"> opening a room for </w:t>
      </w:r>
      <w:r w:rsidR="002426F6" w:rsidRPr="00A7356B">
        <w:rPr>
          <w:sz w:val="22"/>
        </w:rPr>
        <w:t>considering</w:t>
      </w:r>
      <w:r w:rsidRPr="00A7356B">
        <w:rPr>
          <w:sz w:val="22"/>
        </w:rPr>
        <w:t xml:space="preserve"> </w:t>
      </w:r>
      <w:r w:rsidR="002426F6" w:rsidRPr="00A7356B">
        <w:rPr>
          <w:sz w:val="22"/>
        </w:rPr>
        <w:t>backward</w:t>
      </w:r>
      <w:r w:rsidRPr="00A7356B">
        <w:rPr>
          <w:sz w:val="22"/>
        </w:rPr>
        <w:t xml:space="preserve"> effects of technology innovation on trade.</w:t>
      </w:r>
      <w:r w:rsidRPr="00A7356B">
        <w:t xml:space="preserve"> </w:t>
      </w:r>
      <w:r w:rsidR="00DC3D56" w:rsidRPr="00A7356B">
        <w:t>Based on firm heterogeneity</w:t>
      </w:r>
      <w:r w:rsidR="00C55C55" w:rsidRPr="00A7356B">
        <w:t xml:space="preserve"> and evolutionary economics</w:t>
      </w:r>
      <w:r w:rsidR="00DC3D56" w:rsidRPr="00A7356B">
        <w:t xml:space="preserve"> literature</w:t>
      </w:r>
      <w:r w:rsidR="007E2222" w:rsidRPr="00A7356B">
        <w:t xml:space="preserve"> the central aim of this paper is to investigate the role of technological gap and demand lag on trade, in the context of </w:t>
      </w:r>
      <w:r w:rsidR="002426F6" w:rsidRPr="00A7356B">
        <w:t>certain level</w:t>
      </w:r>
      <w:r w:rsidR="007E2222" w:rsidRPr="00A7356B">
        <w:t xml:space="preserve"> of technology </w:t>
      </w:r>
      <w:r w:rsidR="002426F6" w:rsidRPr="00A7356B">
        <w:t>“</w:t>
      </w:r>
      <w:r w:rsidR="007E2222" w:rsidRPr="00A7356B">
        <w:t>hatred</w:t>
      </w:r>
      <w:r w:rsidR="002426F6" w:rsidRPr="00A7356B">
        <w:t>”</w:t>
      </w:r>
      <w:r w:rsidR="007E2222" w:rsidRPr="00A7356B">
        <w:t xml:space="preserve">. The technological gap is the difference or technological distance of techniques employed by late-movers when compared with technology used by leaders. Likewise, the demand lag may be understood as the difference or technological distance of techniques employed by producers in exporting countries and </w:t>
      </w:r>
      <w:r w:rsidR="00DC3D56" w:rsidRPr="00A7356B">
        <w:t xml:space="preserve">the </w:t>
      </w:r>
      <w:r w:rsidR="007E2222" w:rsidRPr="00A7356B">
        <w:t xml:space="preserve">level of acceptance or compatibility in destination markets. By means of a gravity equation we empirically estimated </w:t>
      </w:r>
      <w:r w:rsidR="00DC3D56" w:rsidRPr="00A7356B">
        <w:t>these</w:t>
      </w:r>
      <w:r w:rsidR="007E2222" w:rsidRPr="00A7356B">
        <w:t xml:space="preserve"> effects on bilateral trade flows of soybeans. The results </w:t>
      </w:r>
      <w:r w:rsidR="00042268" w:rsidRPr="00A7356B">
        <w:t>show</w:t>
      </w:r>
      <w:r w:rsidR="007E2222" w:rsidRPr="00A7356B">
        <w:t xml:space="preserve"> that both technological gap and demand lag had important impacts on bilateral trade of soybeans</w:t>
      </w:r>
      <w:r w:rsidR="00DC3D56" w:rsidRPr="00A7356B">
        <w:t xml:space="preserve"> from 1995 to 2012</w:t>
      </w:r>
      <w:r w:rsidR="007E2222" w:rsidRPr="00A7356B">
        <w:t xml:space="preserve">. </w:t>
      </w:r>
    </w:p>
    <w:p w14:paraId="2A6F74E6" w14:textId="77777777" w:rsidR="00387683" w:rsidRPr="00A7356B" w:rsidRDefault="00387683" w:rsidP="00231F38">
      <w:pPr>
        <w:pStyle w:val="ANPEC2013"/>
      </w:pPr>
    </w:p>
    <w:p w14:paraId="2983E5D1" w14:textId="7D357DD7" w:rsidR="005F7C0C" w:rsidRPr="00A7356B" w:rsidRDefault="001F7808">
      <w:pPr>
        <w:rPr>
          <w:rFonts w:ascii="Times" w:eastAsiaTheme="minorHAnsi" w:hAnsi="Times" w:cs="Times New Roman"/>
          <w:szCs w:val="22"/>
          <w:lang w:val="en-US"/>
        </w:rPr>
      </w:pPr>
      <w:proofErr w:type="spellStart"/>
      <w:r w:rsidRPr="00A7356B">
        <w:t>Keywords</w:t>
      </w:r>
      <w:proofErr w:type="spellEnd"/>
      <w:r w:rsidRPr="00A7356B">
        <w:t>: Bilateral Trade, Technolog</w:t>
      </w:r>
      <w:r>
        <w:t>y</w:t>
      </w:r>
      <w:r w:rsidRPr="00A7356B">
        <w:t xml:space="preserve"> Gap, </w:t>
      </w:r>
      <w:proofErr w:type="spellStart"/>
      <w:r w:rsidRPr="00A7356B">
        <w:t>Demand</w:t>
      </w:r>
      <w:proofErr w:type="spellEnd"/>
      <w:r w:rsidRPr="00A7356B">
        <w:t xml:space="preserve"> </w:t>
      </w:r>
      <w:proofErr w:type="spellStart"/>
      <w:r w:rsidRPr="00A7356B">
        <w:t>Lag</w:t>
      </w:r>
      <w:proofErr w:type="spellEnd"/>
      <w:r w:rsidRPr="00A7356B">
        <w:t xml:space="preserve">, </w:t>
      </w:r>
      <w:proofErr w:type="spellStart"/>
      <w:r w:rsidRPr="00A7356B">
        <w:t>Gravity</w:t>
      </w:r>
      <w:proofErr w:type="spellEnd"/>
      <w:r w:rsidRPr="00A7356B">
        <w:t xml:space="preserve"> </w:t>
      </w:r>
      <w:proofErr w:type="spellStart"/>
      <w:r w:rsidRPr="00A7356B">
        <w:t>Equation</w:t>
      </w:r>
      <w:proofErr w:type="spellEnd"/>
      <w:r>
        <w:t xml:space="preserve">, </w:t>
      </w:r>
      <w:proofErr w:type="spellStart"/>
      <w:r>
        <w:t>Firm</w:t>
      </w:r>
      <w:proofErr w:type="spellEnd"/>
      <w:r>
        <w:t xml:space="preserve"> </w:t>
      </w:r>
      <w:proofErr w:type="spellStart"/>
      <w:r>
        <w:t>Heterogeneity</w:t>
      </w:r>
      <w:proofErr w:type="spellEnd"/>
    </w:p>
    <w:p w14:paraId="239A704E" w14:textId="77777777" w:rsidR="001F7808" w:rsidRDefault="001F7808" w:rsidP="00C55C55">
      <w:pPr>
        <w:jc w:val="center"/>
        <w:rPr>
          <w:rFonts w:ascii="Times" w:hAnsi="Times"/>
          <w:b/>
        </w:rPr>
      </w:pPr>
    </w:p>
    <w:p w14:paraId="00227B63" w14:textId="5DCF2A50" w:rsidR="00C55C55" w:rsidRPr="00A7356B" w:rsidRDefault="00C55C55" w:rsidP="00C55C55">
      <w:pPr>
        <w:jc w:val="center"/>
        <w:rPr>
          <w:rFonts w:ascii="Times" w:hAnsi="Times"/>
          <w:b/>
        </w:rPr>
      </w:pPr>
      <w:r w:rsidRPr="00A7356B">
        <w:rPr>
          <w:rFonts w:ascii="Times" w:hAnsi="Times"/>
          <w:b/>
        </w:rPr>
        <w:t>Resumo</w:t>
      </w:r>
    </w:p>
    <w:p w14:paraId="7A934DF4" w14:textId="77777777" w:rsidR="00C55C55" w:rsidRPr="00A7356B" w:rsidRDefault="00C55C55" w:rsidP="00C55C55">
      <w:pPr>
        <w:jc w:val="both"/>
        <w:rPr>
          <w:rFonts w:ascii="Times" w:eastAsiaTheme="minorHAnsi" w:hAnsi="Times" w:cs="Times New Roman"/>
          <w:szCs w:val="22"/>
        </w:rPr>
      </w:pPr>
    </w:p>
    <w:p w14:paraId="343226CA" w14:textId="64F2F366" w:rsidR="00BB66FC" w:rsidRPr="00A7356B" w:rsidRDefault="00387683" w:rsidP="00C55C55">
      <w:pPr>
        <w:jc w:val="both"/>
        <w:rPr>
          <w:rFonts w:ascii="Times" w:eastAsiaTheme="minorHAnsi" w:hAnsi="Times" w:cs="Times New Roman"/>
          <w:szCs w:val="22"/>
        </w:rPr>
      </w:pPr>
      <w:r w:rsidRPr="00A7356B">
        <w:rPr>
          <w:rFonts w:ascii="Times" w:eastAsiaTheme="minorHAnsi" w:hAnsi="Times" w:cs="Times New Roman"/>
          <w:szCs w:val="22"/>
        </w:rPr>
        <w:t xml:space="preserve">A relação entre inovação e comércio tem sido amplamente </w:t>
      </w:r>
      <w:r w:rsidR="004840F1" w:rsidRPr="00A7356B">
        <w:rPr>
          <w:rFonts w:ascii="Times" w:eastAsiaTheme="minorHAnsi" w:hAnsi="Times" w:cs="Times New Roman"/>
          <w:szCs w:val="22"/>
        </w:rPr>
        <w:t>entendida</w:t>
      </w:r>
      <w:r w:rsidRPr="00A7356B">
        <w:rPr>
          <w:rFonts w:ascii="Times" w:eastAsiaTheme="minorHAnsi" w:hAnsi="Times" w:cs="Times New Roman"/>
          <w:szCs w:val="22"/>
        </w:rPr>
        <w:t xml:space="preserve"> sob o prisma dos hiatos tecnológicos e as vantagens de mercado para os países inovadores. Entretanto, esta relação direta pode não ocorrer quando existe certo nível de rejeição tecnológica – como </w:t>
      </w:r>
      <w:r w:rsidR="004840F1" w:rsidRPr="00A7356B">
        <w:rPr>
          <w:rFonts w:ascii="Times" w:eastAsiaTheme="minorHAnsi" w:hAnsi="Times" w:cs="Times New Roman"/>
          <w:szCs w:val="22"/>
        </w:rPr>
        <w:t>foi o</w:t>
      </w:r>
      <w:r w:rsidRPr="00A7356B">
        <w:rPr>
          <w:rFonts w:ascii="Times" w:eastAsiaTheme="minorHAnsi" w:hAnsi="Times" w:cs="Times New Roman"/>
          <w:szCs w:val="22"/>
        </w:rPr>
        <w:t xml:space="preserve"> caso dos organismos geneticamente modificados (</w:t>
      </w:r>
      <w:proofErr w:type="spellStart"/>
      <w:r w:rsidRPr="00A7356B">
        <w:rPr>
          <w:rFonts w:ascii="Times" w:eastAsiaTheme="minorHAnsi" w:hAnsi="Times" w:cs="Times New Roman"/>
          <w:szCs w:val="22"/>
        </w:rPr>
        <w:t>OGMs</w:t>
      </w:r>
      <w:proofErr w:type="spellEnd"/>
      <w:r w:rsidRPr="00A7356B">
        <w:rPr>
          <w:rFonts w:ascii="Times" w:eastAsiaTheme="minorHAnsi" w:hAnsi="Times" w:cs="Times New Roman"/>
          <w:szCs w:val="22"/>
        </w:rPr>
        <w:t>). Como os quadros regulatórios foram elaborados de forma unilateral, mu</w:t>
      </w:r>
      <w:r w:rsidR="004840F1" w:rsidRPr="00A7356B">
        <w:rPr>
          <w:rFonts w:ascii="Times" w:eastAsiaTheme="minorHAnsi" w:hAnsi="Times" w:cs="Times New Roman"/>
          <w:szCs w:val="22"/>
        </w:rPr>
        <w:t xml:space="preserve">itos conflitos se estabeleceram abrindo espaço para se considerar a existência de </w:t>
      </w:r>
      <w:r w:rsidRPr="00A7356B">
        <w:rPr>
          <w:rFonts w:ascii="Times" w:eastAsiaTheme="minorHAnsi" w:hAnsi="Times" w:cs="Times New Roman"/>
          <w:szCs w:val="22"/>
        </w:rPr>
        <w:t xml:space="preserve">efeitos tecnológicos adversos no comércio. </w:t>
      </w:r>
      <w:r w:rsidR="00C55C55" w:rsidRPr="00A7356B">
        <w:rPr>
          <w:rFonts w:ascii="Times" w:eastAsiaTheme="minorHAnsi" w:hAnsi="Times" w:cs="Times New Roman"/>
          <w:szCs w:val="22"/>
        </w:rPr>
        <w:t xml:space="preserve">Baseado na literatura dos modelos da heterogeneidade da firma e na economia evolucionária, o objetivo central deste artigo é investigar o papel do hiato tecnológico e da </w:t>
      </w:r>
      <w:r w:rsidR="004840F1" w:rsidRPr="00A7356B">
        <w:rPr>
          <w:rFonts w:ascii="Times" w:eastAsiaTheme="minorHAnsi" w:hAnsi="Times" w:cs="Times New Roman"/>
          <w:szCs w:val="22"/>
        </w:rPr>
        <w:t xml:space="preserve">rejeição de </w:t>
      </w:r>
      <w:r w:rsidR="00C55C55" w:rsidRPr="00A7356B">
        <w:rPr>
          <w:rFonts w:ascii="Times" w:eastAsiaTheme="minorHAnsi" w:hAnsi="Times" w:cs="Times New Roman"/>
          <w:szCs w:val="22"/>
        </w:rPr>
        <w:t>demanda no comércio. O hiato tecnológico é a diferença ou distância tecnológica entre os países atrasados e os líderes. Analogamente, o hiato</w:t>
      </w:r>
      <w:r w:rsidR="004840F1" w:rsidRPr="00A7356B">
        <w:rPr>
          <w:rFonts w:ascii="Times" w:eastAsiaTheme="minorHAnsi" w:hAnsi="Times" w:cs="Times New Roman"/>
          <w:szCs w:val="22"/>
        </w:rPr>
        <w:t>/rejeição</w:t>
      </w:r>
      <w:r w:rsidR="00C55C55" w:rsidRPr="00A7356B">
        <w:rPr>
          <w:rFonts w:ascii="Times" w:eastAsiaTheme="minorHAnsi" w:hAnsi="Times" w:cs="Times New Roman"/>
          <w:szCs w:val="22"/>
        </w:rPr>
        <w:t xml:space="preserve"> da demanda é a diferença ou distância </w:t>
      </w:r>
      <w:r w:rsidR="004840F1" w:rsidRPr="00A7356B">
        <w:rPr>
          <w:rFonts w:ascii="Times" w:eastAsiaTheme="minorHAnsi" w:hAnsi="Times" w:cs="Times New Roman"/>
          <w:szCs w:val="22"/>
        </w:rPr>
        <w:t>entre as</w:t>
      </w:r>
      <w:r w:rsidR="00C55C55" w:rsidRPr="00A7356B">
        <w:rPr>
          <w:rFonts w:ascii="Times" w:eastAsiaTheme="minorHAnsi" w:hAnsi="Times" w:cs="Times New Roman"/>
          <w:szCs w:val="22"/>
        </w:rPr>
        <w:t xml:space="preserve"> preferências tecnológicas </w:t>
      </w:r>
      <w:r w:rsidR="004840F1" w:rsidRPr="00A7356B">
        <w:rPr>
          <w:rFonts w:ascii="Times" w:eastAsiaTheme="minorHAnsi" w:hAnsi="Times" w:cs="Times New Roman"/>
          <w:szCs w:val="22"/>
        </w:rPr>
        <w:t>dos</w:t>
      </w:r>
      <w:r w:rsidR="00C55C55" w:rsidRPr="00A7356B">
        <w:rPr>
          <w:rFonts w:ascii="Times" w:eastAsiaTheme="minorHAnsi" w:hAnsi="Times" w:cs="Times New Roman"/>
          <w:szCs w:val="22"/>
        </w:rPr>
        <w:t xml:space="preserve"> exportadores e importadores. Por meio de um modelo gravitacional estes efeitos foram estimados </w:t>
      </w:r>
      <w:r w:rsidR="004840F1" w:rsidRPr="00A7356B">
        <w:rPr>
          <w:rFonts w:ascii="Times" w:eastAsiaTheme="minorHAnsi" w:hAnsi="Times" w:cs="Times New Roman"/>
          <w:szCs w:val="22"/>
        </w:rPr>
        <w:t>empiricamente</w:t>
      </w:r>
      <w:r w:rsidR="00C55C55" w:rsidRPr="00A7356B">
        <w:rPr>
          <w:rFonts w:ascii="Times" w:eastAsiaTheme="minorHAnsi" w:hAnsi="Times" w:cs="Times New Roman"/>
          <w:szCs w:val="22"/>
        </w:rPr>
        <w:t xml:space="preserve"> </w:t>
      </w:r>
      <w:r w:rsidR="004840F1" w:rsidRPr="00A7356B">
        <w:rPr>
          <w:rFonts w:ascii="Times" w:eastAsiaTheme="minorHAnsi" w:hAnsi="Times" w:cs="Times New Roman"/>
          <w:szCs w:val="22"/>
        </w:rPr>
        <w:t>com bases em dados de comércio da</w:t>
      </w:r>
      <w:r w:rsidR="00C55C55" w:rsidRPr="00A7356B">
        <w:rPr>
          <w:rFonts w:ascii="Times" w:eastAsiaTheme="minorHAnsi" w:hAnsi="Times" w:cs="Times New Roman"/>
          <w:szCs w:val="22"/>
        </w:rPr>
        <w:t xml:space="preserve"> soja em grão. Os resultados confirmam que tanto o hiato tecnológico quanto o hiato da demanda impactaram de maneira significativa os fluxos comercias entre 1995 e 2012. </w:t>
      </w:r>
    </w:p>
    <w:p w14:paraId="577086AA" w14:textId="77777777" w:rsidR="00E91918" w:rsidRPr="00A7356B" w:rsidRDefault="00E91918" w:rsidP="00C55C55">
      <w:pPr>
        <w:jc w:val="both"/>
        <w:rPr>
          <w:rFonts w:ascii="Times" w:eastAsiaTheme="minorHAnsi" w:hAnsi="Times" w:cs="Times New Roman"/>
          <w:szCs w:val="22"/>
        </w:rPr>
      </w:pPr>
    </w:p>
    <w:p w14:paraId="73AF353E" w14:textId="77777777" w:rsidR="001F7808" w:rsidRPr="00A7356B" w:rsidRDefault="001F7808" w:rsidP="001F7808">
      <w:pPr>
        <w:jc w:val="both"/>
        <w:rPr>
          <w:rFonts w:ascii="Times" w:eastAsiaTheme="minorHAnsi" w:hAnsi="Times" w:cs="Times New Roman"/>
          <w:szCs w:val="22"/>
        </w:rPr>
      </w:pPr>
      <w:proofErr w:type="spellStart"/>
      <w:r w:rsidRPr="00A7356B">
        <w:rPr>
          <w:rFonts w:ascii="Times" w:hAnsi="Times"/>
        </w:rPr>
        <w:t>Keywords</w:t>
      </w:r>
      <w:proofErr w:type="spellEnd"/>
      <w:r w:rsidRPr="00A7356B">
        <w:rPr>
          <w:rFonts w:ascii="Times" w:hAnsi="Times"/>
        </w:rPr>
        <w:t xml:space="preserve">: Comércio, Hiato Tecnológico, Rejeição de </w:t>
      </w:r>
      <w:r>
        <w:rPr>
          <w:rFonts w:ascii="Times" w:hAnsi="Times"/>
        </w:rPr>
        <w:t>Mercado</w:t>
      </w:r>
      <w:r w:rsidRPr="00A7356B">
        <w:rPr>
          <w:rFonts w:ascii="Times" w:hAnsi="Times"/>
        </w:rPr>
        <w:t xml:space="preserve">, </w:t>
      </w:r>
      <w:r>
        <w:rPr>
          <w:rFonts w:ascii="Times" w:hAnsi="Times"/>
        </w:rPr>
        <w:t>Modelo Gravitacional, Heterogeneidade das firmas</w:t>
      </w:r>
    </w:p>
    <w:p w14:paraId="2710FA05" w14:textId="77777777" w:rsidR="00387683" w:rsidRPr="00A7356B" w:rsidRDefault="00387683">
      <w:pPr>
        <w:rPr>
          <w:rFonts w:ascii="Times" w:hAnsi="Times"/>
        </w:rPr>
      </w:pPr>
    </w:p>
    <w:p w14:paraId="701E3839" w14:textId="76D31FA6" w:rsidR="00A86A86" w:rsidRPr="00A7356B" w:rsidRDefault="001F7808">
      <w:pPr>
        <w:rPr>
          <w:rFonts w:ascii="Times" w:hAnsi="Times"/>
        </w:rPr>
      </w:pPr>
      <w:r>
        <w:rPr>
          <w:rFonts w:ascii="Times" w:hAnsi="Times"/>
        </w:rPr>
        <w:t xml:space="preserve">JEL F12; </w:t>
      </w:r>
      <w:r w:rsidR="00A10C44" w:rsidRPr="00A7356B">
        <w:rPr>
          <w:rFonts w:ascii="Times" w:hAnsi="Times"/>
        </w:rPr>
        <w:t>F51;O33</w:t>
      </w:r>
      <w:r w:rsidR="00BB66FC" w:rsidRPr="00A7356B">
        <w:rPr>
          <w:rFonts w:ascii="Times" w:hAnsi="Times"/>
        </w:rPr>
        <w:t>/</w:t>
      </w:r>
      <w:r w:rsidR="004F5791" w:rsidRPr="00A7356B">
        <w:rPr>
          <w:rFonts w:ascii="Times" w:hAnsi="Times"/>
        </w:rPr>
        <w:t>Área: Economia Internacional</w:t>
      </w:r>
    </w:p>
    <w:p w14:paraId="44145A11" w14:textId="333372F8" w:rsidR="005F7C0C" w:rsidRPr="00A7356B" w:rsidRDefault="000E4EF5" w:rsidP="005F7C0C">
      <w:pPr>
        <w:pStyle w:val="title1-d"/>
        <w:numPr>
          <w:ilvl w:val="0"/>
          <w:numId w:val="0"/>
        </w:numPr>
      </w:pPr>
      <w:bookmarkStart w:id="1" w:name="_Toc318840690"/>
      <w:r w:rsidRPr="00A7356B">
        <w:lastRenderedPageBreak/>
        <w:t xml:space="preserve">1. </w:t>
      </w:r>
      <w:r w:rsidR="005F7C0C" w:rsidRPr="00A7356B">
        <w:t>Introduction</w:t>
      </w:r>
      <w:bookmarkEnd w:id="1"/>
      <w:r w:rsidR="005F7C0C" w:rsidRPr="00A7356B">
        <w:t xml:space="preserve"> </w:t>
      </w:r>
    </w:p>
    <w:p w14:paraId="68399585" w14:textId="1572B4E7" w:rsidR="004F0041" w:rsidRPr="00A7356B" w:rsidRDefault="004F0041" w:rsidP="00231F38">
      <w:pPr>
        <w:pStyle w:val="ANPEC2013"/>
      </w:pPr>
      <w:r w:rsidRPr="00A7356B">
        <w:t xml:space="preserve">It has been </w:t>
      </w:r>
      <w:r w:rsidR="009E012D" w:rsidRPr="00A7356B">
        <w:t>commonly</w:t>
      </w:r>
      <w:r w:rsidRPr="00A7356B">
        <w:t xml:space="preserve"> accepted that technol</w:t>
      </w:r>
      <w:r w:rsidR="009E012D" w:rsidRPr="00A7356B">
        <w:t>og</w:t>
      </w:r>
      <w:r w:rsidR="00CD3C70">
        <w:t>y</w:t>
      </w:r>
      <w:r w:rsidRPr="00A7356B">
        <w:t xml:space="preserve"> innovation</w:t>
      </w:r>
      <w:r w:rsidR="005F0446" w:rsidRPr="00A7356B">
        <w:t>s have</w:t>
      </w:r>
      <w:r w:rsidRPr="00A7356B">
        <w:t xml:space="preserve"> positive impacts on </w:t>
      </w:r>
      <w:r w:rsidR="005F0446" w:rsidRPr="00A7356B">
        <w:t>exports</w:t>
      </w:r>
      <w:r w:rsidRPr="00A7356B">
        <w:t xml:space="preserve"> since it improves production efficiency of </w:t>
      </w:r>
      <w:r w:rsidR="00CD3C70">
        <w:t xml:space="preserve">innovative </w:t>
      </w:r>
      <w:r w:rsidRPr="00A7356B">
        <w:t>countries. However, when a particular t</w:t>
      </w:r>
      <w:r w:rsidR="005F0446" w:rsidRPr="00A7356B">
        <w:t>echnology is somehow rejected by part of</w:t>
      </w:r>
      <w:r w:rsidRPr="00A7356B">
        <w:t xml:space="preserve"> international markets this expected effect can be counterbalanced or even </w:t>
      </w:r>
      <w:r w:rsidR="00DA1BC1" w:rsidRPr="00A7356B">
        <w:t>overwhelmed by the negative effect of technology hatred</w:t>
      </w:r>
      <w:r w:rsidRPr="00A7356B">
        <w:t>.</w:t>
      </w:r>
      <w:r w:rsidR="009E012D" w:rsidRPr="00A7356B">
        <w:t xml:space="preserve"> This is not a completely new idea. Posner (1961) had already pointed to very similar insights </w:t>
      </w:r>
      <w:r w:rsidR="0041076F" w:rsidRPr="00A7356B">
        <w:t>in</w:t>
      </w:r>
      <w:r w:rsidR="009E012D" w:rsidRPr="00A7356B">
        <w:t xml:space="preserve"> the relation of technology change and trade. But this subject has been largely neglect as technology </w:t>
      </w:r>
      <w:r w:rsidR="00CD3C70">
        <w:t>has been</w:t>
      </w:r>
      <w:r w:rsidR="009E012D" w:rsidRPr="00A7356B">
        <w:t xml:space="preserve"> always assumed as a good from the consumer perspective. </w:t>
      </w:r>
    </w:p>
    <w:p w14:paraId="5BD02188" w14:textId="22701B9C" w:rsidR="005F7C0C" w:rsidRPr="00A7356B" w:rsidRDefault="005F0446" w:rsidP="00231F38">
      <w:pPr>
        <w:pStyle w:val="ANPEC2013"/>
      </w:pPr>
      <w:r w:rsidRPr="00A7356B">
        <w:t>In this way, t</w:t>
      </w:r>
      <w:r w:rsidR="005F7C0C" w:rsidRPr="00A7356B">
        <w:t xml:space="preserve">he </w:t>
      </w:r>
      <w:r w:rsidRPr="00A7356B">
        <w:t xml:space="preserve">trade on </w:t>
      </w:r>
      <w:r w:rsidR="005F7C0C" w:rsidRPr="00A7356B">
        <w:t>genetically modified organisms (GMOs)</w:t>
      </w:r>
      <w:r w:rsidRPr="00A7356B">
        <w:t xml:space="preserve"> is </w:t>
      </w:r>
      <w:r w:rsidR="0041076F" w:rsidRPr="00A7356B">
        <w:t xml:space="preserve">a good </w:t>
      </w:r>
      <w:r w:rsidRPr="00A7356B">
        <w:t>example of how backward technolog</w:t>
      </w:r>
      <w:r w:rsidR="00CD3C70">
        <w:t>y</w:t>
      </w:r>
      <w:r w:rsidRPr="00A7356B">
        <w:t xml:space="preserve"> effects can </w:t>
      </w:r>
      <w:r w:rsidR="0041076F" w:rsidRPr="00A7356B">
        <w:t>take place</w:t>
      </w:r>
      <w:r w:rsidRPr="00A7356B">
        <w:t>. GMOs</w:t>
      </w:r>
      <w:r w:rsidR="005F7C0C" w:rsidRPr="00A7356B">
        <w:t xml:space="preserve"> have been produced and exported since 1996</w:t>
      </w:r>
      <w:r w:rsidR="00951946" w:rsidRPr="00A7356B">
        <w:t xml:space="preserve">. </w:t>
      </w:r>
      <w:r w:rsidR="005F7C0C" w:rsidRPr="00A7356B">
        <w:t>The technology became rapidly available to producing countries via trade in technology headed by large multinational seed companies all over the world. But, some important consuming markets have</w:t>
      </w:r>
      <w:r w:rsidR="0041076F" w:rsidRPr="00A7356B">
        <w:t xml:space="preserve"> been skeptical</w:t>
      </w:r>
      <w:r w:rsidR="005F7C0C" w:rsidRPr="00A7356B">
        <w:t xml:space="preserve"> </w:t>
      </w:r>
      <w:r w:rsidR="0041076F" w:rsidRPr="00A7356B">
        <w:t>about the benefits of</w:t>
      </w:r>
      <w:r w:rsidR="005F7C0C" w:rsidRPr="00A7356B">
        <w:t xml:space="preserve"> the production and consumption of genetically modified food, </w:t>
      </w:r>
      <w:r w:rsidR="0041076F" w:rsidRPr="00A7356B">
        <w:t xml:space="preserve">concerning </w:t>
      </w:r>
      <w:r w:rsidR="005F7C0C" w:rsidRPr="00A7356B">
        <w:t xml:space="preserve">mainly about high health, environmental and economic </w:t>
      </w:r>
      <w:r w:rsidR="00951946" w:rsidRPr="00A7356B">
        <w:t>potential risks</w:t>
      </w:r>
      <w:r w:rsidR="005F7C0C" w:rsidRPr="00A7356B">
        <w:t xml:space="preserve">. </w:t>
      </w:r>
      <w:r w:rsidR="00CD3C70">
        <w:t>Mainly b</w:t>
      </w:r>
      <w:r w:rsidR="00E52960" w:rsidRPr="00A7356B">
        <w:t xml:space="preserve">ecause of some market characteristics and data availability the case of genetically modified soybean is a </w:t>
      </w:r>
      <w:r w:rsidR="00CD3C70">
        <w:t>unique</w:t>
      </w:r>
      <w:r w:rsidR="00E52960" w:rsidRPr="00A7356B">
        <w:t xml:space="preserve"> experiment to explorer most of the technological impacts we are dealing with.  </w:t>
      </w:r>
    </w:p>
    <w:p w14:paraId="41DCE421" w14:textId="780BAC5A" w:rsidR="005F7C0C" w:rsidRPr="00A7356B" w:rsidRDefault="005F7C0C" w:rsidP="00231F38">
      <w:pPr>
        <w:pStyle w:val="ANPEC2013"/>
      </w:pPr>
      <w:r w:rsidRPr="00A7356B">
        <w:t xml:space="preserve">Together, Brazil, United States and Argentina accounts for 87% of world exports of soybeans, and the EU and China accounts for more than 83% of world imports. </w:t>
      </w:r>
      <w:r w:rsidR="00951946" w:rsidRPr="00A7356B">
        <w:t>While growers</w:t>
      </w:r>
      <w:r w:rsidRPr="00A7356B">
        <w:t xml:space="preserve"> in United States and Argentina </w:t>
      </w:r>
      <w:r w:rsidR="00951946" w:rsidRPr="00A7356B">
        <w:t>have been cultivating</w:t>
      </w:r>
      <w:r w:rsidRPr="00A7356B">
        <w:t xml:space="preserve"> GM seeds </w:t>
      </w:r>
      <w:r w:rsidR="00951946" w:rsidRPr="00A7356B">
        <w:t>since</w:t>
      </w:r>
      <w:r w:rsidRPr="00A7356B">
        <w:t xml:space="preserve"> 1996</w:t>
      </w:r>
      <w:r w:rsidR="00951946" w:rsidRPr="00A7356B">
        <w:t xml:space="preserve">, it </w:t>
      </w:r>
      <w:r w:rsidRPr="00A7356B">
        <w:t xml:space="preserve">took almost </w:t>
      </w:r>
      <w:r w:rsidR="00951946" w:rsidRPr="00A7356B">
        <w:t>a decade</w:t>
      </w:r>
      <w:r w:rsidRPr="00A7356B">
        <w:t xml:space="preserve"> </w:t>
      </w:r>
      <w:r w:rsidR="00951946" w:rsidRPr="00A7356B">
        <w:t xml:space="preserve">to </w:t>
      </w:r>
      <w:r w:rsidR="00E52960" w:rsidRPr="00A7356B">
        <w:t>cultivation be approved in Brazil</w:t>
      </w:r>
      <w:r w:rsidRPr="00A7356B">
        <w:t>. Many European countries, however, have been</w:t>
      </w:r>
      <w:r w:rsidR="00E52960" w:rsidRPr="00A7356B">
        <w:t xml:space="preserve"> noted</w:t>
      </w:r>
      <w:r w:rsidRPr="00A7356B">
        <w:t xml:space="preserve"> contrary to</w:t>
      </w:r>
      <w:r w:rsidR="00E52960" w:rsidRPr="00A7356B">
        <w:t xml:space="preserve"> the</w:t>
      </w:r>
      <w:r w:rsidRPr="00A7356B">
        <w:t xml:space="preserve"> use of GM seeds in agriculture, encouraging the raising of trade barriers or even banning importation of food or contents deriving from </w:t>
      </w:r>
      <w:r w:rsidR="00951946" w:rsidRPr="00A7356B">
        <w:t>GMOs</w:t>
      </w:r>
      <w:r w:rsidRPr="00A7356B">
        <w:t xml:space="preserve">. </w:t>
      </w:r>
      <w:r w:rsidR="004157AC" w:rsidRPr="00A7356B">
        <w:t>On the other hand</w:t>
      </w:r>
      <w:r w:rsidRPr="00A7356B">
        <w:t xml:space="preserve">, in China, </w:t>
      </w:r>
      <w:r w:rsidR="00E52960" w:rsidRPr="00A7356B">
        <w:t>although the</w:t>
      </w:r>
      <w:r w:rsidRPr="00A7356B">
        <w:t xml:space="preserve"> few limitations to free trade of GM products, no rules preventing the country of being a certain destination for GMOs</w:t>
      </w:r>
      <w:r w:rsidR="00951946" w:rsidRPr="00A7356B">
        <w:t xml:space="preserve"> has passed. </w:t>
      </w:r>
    </w:p>
    <w:p w14:paraId="7702E5C9" w14:textId="53E11E35" w:rsidR="007B380F" w:rsidRPr="00A7356B" w:rsidRDefault="007B380F" w:rsidP="00231F38">
      <w:pPr>
        <w:pStyle w:val="ANPEC2013"/>
      </w:pPr>
      <w:r w:rsidRPr="00A7356B">
        <w:t>T</w:t>
      </w:r>
      <w:r w:rsidR="005F7C0C" w:rsidRPr="00A7356B">
        <w:t>he absence of multilateral bodies powerful enough to enforce a compromise</w:t>
      </w:r>
      <w:r w:rsidR="004157AC" w:rsidRPr="00A7356B">
        <w:t xml:space="preserve"> between major </w:t>
      </w:r>
      <w:r w:rsidR="00951946" w:rsidRPr="00A7356B">
        <w:t>players</w:t>
      </w:r>
      <w:r w:rsidR="00CD3C70">
        <w:t xml:space="preserve"> open a room for</w:t>
      </w:r>
      <w:r w:rsidR="005F7C0C" w:rsidRPr="00A7356B">
        <w:t xml:space="preserve"> </w:t>
      </w:r>
      <w:r w:rsidR="00CD3C70">
        <w:t>country-level regulations</w:t>
      </w:r>
      <w:r w:rsidR="005F7C0C" w:rsidRPr="00A7356B">
        <w:t xml:space="preserve"> of approval, coexistence, labeling, and other issues related to GMOs production and trade. As expected, technology turns out to be </w:t>
      </w:r>
      <w:r w:rsidR="004157AC" w:rsidRPr="00A7356B">
        <w:t xml:space="preserve">a </w:t>
      </w:r>
      <w:r w:rsidR="005F7C0C" w:rsidRPr="00A7356B">
        <w:t xml:space="preserve">new source of trade conflicts lasting until today, as pointed by many applied studies dealing with this </w:t>
      </w:r>
      <w:r w:rsidRPr="00A7356B">
        <w:t>puzzle</w:t>
      </w:r>
      <w:r w:rsidR="005F7C0C" w:rsidRPr="00A7356B">
        <w:t xml:space="preserve">. </w:t>
      </w:r>
    </w:p>
    <w:p w14:paraId="3BC8790C" w14:textId="566B83EB" w:rsidR="007367F4" w:rsidRPr="00A7356B" w:rsidRDefault="007B380F" w:rsidP="00231F38">
      <w:pPr>
        <w:pStyle w:val="ANPEC2013"/>
      </w:pPr>
      <w:r w:rsidRPr="00A7356B">
        <w:t xml:space="preserve">The aim of this paper is to evaluate how </w:t>
      </w:r>
      <w:r w:rsidR="00FE04D5" w:rsidRPr="00A7356B">
        <w:t>technical change</w:t>
      </w:r>
      <w:r w:rsidRPr="00A7356B">
        <w:t xml:space="preserve"> </w:t>
      </w:r>
      <w:r w:rsidR="001F0817">
        <w:t>impacted</w:t>
      </w:r>
      <w:r w:rsidRPr="00A7356B">
        <w:t xml:space="preserve"> bilateral trade in</w:t>
      </w:r>
      <w:r w:rsidR="00FE04D5" w:rsidRPr="00A7356B">
        <w:t xml:space="preserve"> the</w:t>
      </w:r>
      <w:r w:rsidRPr="00A7356B">
        <w:t xml:space="preserve"> presence of unequal technology adoption and significant levels of technology </w:t>
      </w:r>
      <w:r w:rsidR="00FE04D5" w:rsidRPr="00A7356B">
        <w:t>hatred</w:t>
      </w:r>
      <w:r w:rsidRPr="00A7356B">
        <w:t xml:space="preserve">. </w:t>
      </w:r>
      <w:r w:rsidR="005F7C0C" w:rsidRPr="00A7356B">
        <w:t>Our central hypothesis is that</w:t>
      </w:r>
      <w:r w:rsidR="00FE04D5" w:rsidRPr="00A7356B">
        <w:t xml:space="preserve"> under these circumstances </w:t>
      </w:r>
      <w:r w:rsidR="005F7C0C" w:rsidRPr="00A7356B">
        <w:t>technological innovation lead</w:t>
      </w:r>
      <w:r w:rsidRPr="00A7356B">
        <w:t>s</w:t>
      </w:r>
      <w:r w:rsidR="005F7C0C" w:rsidRPr="00A7356B">
        <w:t xml:space="preserve"> to a </w:t>
      </w:r>
      <w:r w:rsidR="001F0817">
        <w:t>two-fold</w:t>
      </w:r>
      <w:r w:rsidR="005F7C0C" w:rsidRPr="00A7356B">
        <w:t xml:space="preserve"> effect in trade</w:t>
      </w:r>
      <w:r w:rsidR="00FE04D5" w:rsidRPr="00A7356B">
        <w:t xml:space="preserve"> </w:t>
      </w:r>
      <w:r w:rsidR="005F7C0C" w:rsidRPr="00A7356B">
        <w:t>–</w:t>
      </w:r>
      <w:r w:rsidR="001F0817">
        <w:t xml:space="preserve"> </w:t>
      </w:r>
      <w:r w:rsidR="005F7C0C" w:rsidRPr="00A7356B">
        <w:t xml:space="preserve">the technology-gap and </w:t>
      </w:r>
      <w:r w:rsidR="00020B7A" w:rsidRPr="00A7356B">
        <w:t xml:space="preserve">the </w:t>
      </w:r>
      <w:r w:rsidR="005F7C0C" w:rsidRPr="00A7356B">
        <w:t xml:space="preserve">demand-lag. </w:t>
      </w:r>
      <w:r w:rsidR="00020B7A" w:rsidRPr="00A7356B">
        <w:t xml:space="preserve">The </w:t>
      </w:r>
      <w:r w:rsidR="005F7C0C" w:rsidRPr="00A7356B">
        <w:t>technology gap</w:t>
      </w:r>
      <w:r w:rsidR="00020B7A" w:rsidRPr="00A7356B">
        <w:t xml:space="preserve"> can be seen as</w:t>
      </w:r>
      <w:r w:rsidR="005F7C0C" w:rsidRPr="00A7356B">
        <w:t xml:space="preserve"> how advanced or efficient </w:t>
      </w:r>
      <w:r w:rsidR="00020B7A" w:rsidRPr="00A7356B">
        <w:t>a country technology</w:t>
      </w:r>
      <w:r w:rsidR="005F7C0C" w:rsidRPr="00A7356B">
        <w:t xml:space="preserve"> is </w:t>
      </w:r>
      <w:r w:rsidR="00020B7A" w:rsidRPr="00A7356B">
        <w:t>in comparison with</w:t>
      </w:r>
      <w:r w:rsidR="005F7C0C" w:rsidRPr="00A7356B">
        <w:t xml:space="preserve"> </w:t>
      </w:r>
      <w:r w:rsidR="001F0817">
        <w:t>cutting-</w:t>
      </w:r>
      <w:r w:rsidR="00020B7A" w:rsidRPr="00A7356B">
        <w:t xml:space="preserve">edge technologies globally available. The </w:t>
      </w:r>
      <w:r w:rsidR="005F7C0C" w:rsidRPr="00A7356B">
        <w:t>d</w:t>
      </w:r>
      <w:r w:rsidR="00020B7A" w:rsidRPr="00A7356B">
        <w:t xml:space="preserve">emand lag, instead, is how accepted </w:t>
      </w:r>
      <w:r w:rsidRPr="00A7356B">
        <w:t xml:space="preserve">a </w:t>
      </w:r>
      <w:r w:rsidR="00020B7A" w:rsidRPr="00A7356B">
        <w:t>country technology is in</w:t>
      </w:r>
      <w:r w:rsidR="005F7C0C" w:rsidRPr="00A7356B">
        <w:t xml:space="preserve"> destina</w:t>
      </w:r>
      <w:r w:rsidR="00020B7A" w:rsidRPr="00A7356B">
        <w:t>tion markets in a point of time. These concepts</w:t>
      </w:r>
      <w:r w:rsidR="005F7C0C" w:rsidRPr="00A7356B">
        <w:t xml:space="preserve"> are very insightful to the purposes of this study. </w:t>
      </w:r>
      <w:r w:rsidR="001F0817">
        <w:t>They</w:t>
      </w:r>
      <w:r w:rsidR="005F7C0C" w:rsidRPr="00A7356B">
        <w:t xml:space="preserve"> were discussed firstly by </w:t>
      </w:r>
      <w:r w:rsidR="005F7C0C" w:rsidRPr="00A7356B">
        <w:fldChar w:fldCharType="begin" w:fldLock="1"/>
      </w:r>
      <w:r w:rsidR="005F7C0C" w:rsidRPr="00A7356B">
        <w:instrText>ADDIN CSL_CITATION { "citationItems" : [ { "id" : "ITEM-1", "itemData" : { "author" : [ { "dropping-particle" : "", "family" : "Posner", "given" : "MV", "non-dropping-particle" : "", "parse-names" : false, "suffix" : "" } ], "container-title" : "Oxford economic papers", "id" : "ITEM-1", "issue" : "3", "issued" : { "date-parts" : [ [ "1961" ] ] }, "page" : "323-341", "title" : "International trade and technical change", "type" : "article-journal", "volume" : "13" }, "uris" : [ "http://www.mendeley.com/documents/?uuid=c0eafa5d-2420-4a26-b558-39a55ebe3e69" ] } ], "mendeley" : { "formattedCitation" : "(Posner, 1961)", "manualFormatting" : "Posner (1961)", "plainTextFormattedCitation" : "(Posner, 1961)", "previouslyFormattedCitation" : "(Posner, 1961)" }, "properties" : { "noteIndex" : 0 }, "schema" : "https://github.com/citation-style-language/schema/raw/master/csl-citation.json" }</w:instrText>
      </w:r>
      <w:r w:rsidR="005F7C0C" w:rsidRPr="00A7356B">
        <w:fldChar w:fldCharType="separate"/>
      </w:r>
      <w:r w:rsidR="005F7C0C" w:rsidRPr="00A7356B">
        <w:rPr>
          <w:noProof/>
        </w:rPr>
        <w:t>Posner (1961)</w:t>
      </w:r>
      <w:r w:rsidR="005F7C0C" w:rsidRPr="00A7356B">
        <w:fldChar w:fldCharType="end"/>
      </w:r>
      <w:r w:rsidR="005F7C0C" w:rsidRPr="00A7356B">
        <w:t>, but have been neglected in the new developments of trade theory, partially because of the lack of cases in which these two effects play</w:t>
      </w:r>
      <w:r w:rsidR="004157AC" w:rsidRPr="00A7356B">
        <w:t>ed</w:t>
      </w:r>
      <w:r w:rsidR="005F7C0C" w:rsidRPr="00A7356B">
        <w:t xml:space="preserve"> such clear and opposing roles</w:t>
      </w:r>
      <w:r w:rsidR="000971E9" w:rsidRPr="00A7356B">
        <w:t xml:space="preserve"> </w:t>
      </w:r>
      <w:r w:rsidR="00020B7A" w:rsidRPr="00A7356B">
        <w:t>on trade</w:t>
      </w:r>
      <w:r w:rsidR="005F7C0C" w:rsidRPr="00A7356B">
        <w:t xml:space="preserve">.  </w:t>
      </w:r>
      <w:r w:rsidRPr="00A7356B">
        <w:t>As innovation combined with</w:t>
      </w:r>
      <w:r w:rsidR="001F0817">
        <w:t xml:space="preserve"> different tastes will increase </w:t>
      </w:r>
      <w:r w:rsidRPr="00A7356B">
        <w:t xml:space="preserve">firm heterogeneity in </w:t>
      </w:r>
      <w:r w:rsidR="001F0817">
        <w:t>technological terms</w:t>
      </w:r>
      <w:r w:rsidRPr="00A7356B">
        <w:t xml:space="preserve">, we departed from the general framework by Helpman, </w:t>
      </w:r>
      <w:proofErr w:type="spellStart"/>
      <w:r w:rsidRPr="00A7356B">
        <w:t>Melitz</w:t>
      </w:r>
      <w:proofErr w:type="spellEnd"/>
      <w:r w:rsidRPr="00A7356B">
        <w:t xml:space="preserve"> and Rubinstein (2008) – herei</w:t>
      </w:r>
      <w:r w:rsidR="00904392" w:rsidRPr="00A7356B">
        <w:t xml:space="preserve">nafter referred simply as HMR – to investigate </w:t>
      </w:r>
      <w:r w:rsidR="001F0817">
        <w:t>the technology gap and the demand lag</w:t>
      </w:r>
      <w:r w:rsidR="00904392" w:rsidRPr="00A7356B">
        <w:t>.</w:t>
      </w:r>
    </w:p>
    <w:p w14:paraId="2ABB98FF" w14:textId="4E2D898F" w:rsidR="009C35F8" w:rsidRPr="00A7356B" w:rsidRDefault="00020B7A" w:rsidP="00231F38">
      <w:pPr>
        <w:pStyle w:val="ANPEC2013"/>
      </w:pPr>
      <w:r w:rsidRPr="00A7356B">
        <w:t>Noteworthy, t</w:t>
      </w:r>
      <w:r w:rsidR="00904392" w:rsidRPr="00A7356B">
        <w:t xml:space="preserve">he increasingly complexity of </w:t>
      </w:r>
      <w:r w:rsidR="001F0817">
        <w:t>new technologies</w:t>
      </w:r>
      <w:r w:rsidR="00904392" w:rsidRPr="00A7356B">
        <w:t xml:space="preserve"> </w:t>
      </w:r>
      <w:r w:rsidRPr="00A7356B">
        <w:t xml:space="preserve">– </w:t>
      </w:r>
      <w:r w:rsidR="00904392" w:rsidRPr="00A7356B">
        <w:t>which not rarely brings cultur</w:t>
      </w:r>
      <w:r w:rsidR="009F1CF9" w:rsidRPr="00A7356B">
        <w:t xml:space="preserve">al and ethical issues </w:t>
      </w:r>
      <w:r w:rsidR="001F0817">
        <w:t xml:space="preserve">into the social </w:t>
      </w:r>
      <w:r w:rsidR="00F913D7">
        <w:t>approval</w:t>
      </w:r>
      <w:r w:rsidRPr="00A7356B">
        <w:t xml:space="preserve"> –,</w:t>
      </w:r>
      <w:r w:rsidR="00F913D7">
        <w:t xml:space="preserve"> </w:t>
      </w:r>
      <w:r w:rsidRPr="00A7356B">
        <w:t>consumers’</w:t>
      </w:r>
      <w:r w:rsidR="009F1CF9" w:rsidRPr="00A7356B">
        <w:t xml:space="preserve"> </w:t>
      </w:r>
      <w:r w:rsidR="00F913D7">
        <w:t xml:space="preserve">increased </w:t>
      </w:r>
      <w:r w:rsidR="00904392" w:rsidRPr="00A7356B">
        <w:t xml:space="preserve">access to information make this </w:t>
      </w:r>
      <w:r w:rsidR="009F1CF9" w:rsidRPr="00A7356B">
        <w:t xml:space="preserve">case </w:t>
      </w:r>
      <w:r w:rsidR="00904392" w:rsidRPr="00A7356B">
        <w:t xml:space="preserve">not a unique of his kind. It is important to note that uncertainty about risks </w:t>
      </w:r>
      <w:r w:rsidR="009F1CF9" w:rsidRPr="00A7356B">
        <w:t xml:space="preserve">and cultural-based judgments </w:t>
      </w:r>
      <w:r w:rsidRPr="00A7356B">
        <w:t xml:space="preserve">will be </w:t>
      </w:r>
      <w:r w:rsidR="009F1CF9" w:rsidRPr="00A7356B">
        <w:t>always an argument for</w:t>
      </w:r>
      <w:r w:rsidRPr="00A7356B">
        <w:t xml:space="preserve"> restrictive </w:t>
      </w:r>
      <w:r w:rsidR="009F1CF9" w:rsidRPr="00A7356B">
        <w:t>unilateral regulation</w:t>
      </w:r>
      <w:r w:rsidRPr="00A7356B">
        <w:t>s</w:t>
      </w:r>
      <w:r w:rsidR="00904392" w:rsidRPr="00A7356B">
        <w:t xml:space="preserve">. The growing concern about more </w:t>
      </w:r>
      <w:r w:rsidR="009C35F8" w:rsidRPr="00A7356B">
        <w:t xml:space="preserve">social, economic and environmental sustainable production methods is already a reality as one can see </w:t>
      </w:r>
      <w:r w:rsidR="009F1CF9" w:rsidRPr="00A7356B">
        <w:t>through</w:t>
      </w:r>
      <w:r w:rsidR="009C35F8" w:rsidRPr="00A7356B">
        <w:t xml:space="preserve"> fair trade initiatives, </w:t>
      </w:r>
      <w:r w:rsidRPr="00A7356B">
        <w:t>for instance,</w:t>
      </w:r>
      <w:r w:rsidR="009F1CF9" w:rsidRPr="00A7356B">
        <w:t xml:space="preserve"> which establish principles for work contracts and use of particular inputs in agricultural production.  </w:t>
      </w:r>
    </w:p>
    <w:p w14:paraId="2B8BEADF" w14:textId="0B48EB2B" w:rsidR="000971E9" w:rsidRPr="00A7356B" w:rsidRDefault="005F7C0C" w:rsidP="00231F38">
      <w:pPr>
        <w:pStyle w:val="ANPEC2013"/>
      </w:pPr>
      <w:r w:rsidRPr="00A7356B">
        <w:lastRenderedPageBreak/>
        <w:t xml:space="preserve">This study contributes to current literature mainly by raising issues about the role of consumer preferences, and the </w:t>
      </w:r>
      <w:r w:rsidR="005B5804" w:rsidRPr="00A7356B">
        <w:t>impact of technical progress on</w:t>
      </w:r>
      <w:r w:rsidRPr="00A7356B">
        <w:t xml:space="preserve"> trade. We also advance by estimating the effects of demand lag and technology gap </w:t>
      </w:r>
      <w:r w:rsidR="000971E9" w:rsidRPr="00A7356B">
        <w:t>simultaneously</w:t>
      </w:r>
      <w:r w:rsidR="005B5804" w:rsidRPr="00A7356B">
        <w:t xml:space="preserve"> – as much </w:t>
      </w:r>
      <w:r w:rsidR="00020B7A" w:rsidRPr="00A7356B">
        <w:t>of the applied works on the field of GMOs consider</w:t>
      </w:r>
      <w:r w:rsidR="005B5804" w:rsidRPr="00A7356B">
        <w:t xml:space="preserve"> only the impacts of commercial risks, or demand lag in our jargon</w:t>
      </w:r>
      <w:r w:rsidRPr="00A7356B">
        <w:t>. The combination of technology-gap theories</w:t>
      </w:r>
      <w:r w:rsidR="005B5804" w:rsidRPr="00A7356B">
        <w:t xml:space="preserve"> and firm heterogeneity</w:t>
      </w:r>
      <w:r w:rsidRPr="00A7356B">
        <w:t xml:space="preserve"> </w:t>
      </w:r>
      <w:r w:rsidR="005B5804" w:rsidRPr="00A7356B">
        <w:t>models is</w:t>
      </w:r>
      <w:r w:rsidRPr="00A7356B">
        <w:t xml:space="preserve"> innovative as far as we know.</w:t>
      </w:r>
      <w:r w:rsidR="000971E9" w:rsidRPr="00A7356B">
        <w:t xml:space="preserve"> </w:t>
      </w:r>
      <w:r w:rsidR="005B5804" w:rsidRPr="00A7356B">
        <w:t>A better understanding of this matter</w:t>
      </w:r>
      <w:r w:rsidR="000971E9" w:rsidRPr="00A7356B">
        <w:t xml:space="preserve"> is needed since changes in technology with </w:t>
      </w:r>
      <w:r w:rsidR="0050377A" w:rsidRPr="00A7356B">
        <w:t>backward</w:t>
      </w:r>
      <w:r w:rsidR="000971E9" w:rsidRPr="00A7356B">
        <w:t xml:space="preserve"> </w:t>
      </w:r>
      <w:r w:rsidR="0050377A" w:rsidRPr="00A7356B">
        <w:t>effects in</w:t>
      </w:r>
      <w:r w:rsidR="000971E9" w:rsidRPr="00A7356B">
        <w:t xml:space="preserve"> trade will lead to unequal gains and losses across countries and actors. </w:t>
      </w:r>
    </w:p>
    <w:p w14:paraId="26696B38" w14:textId="156F0805" w:rsidR="007B380F" w:rsidRPr="00A7356B" w:rsidRDefault="00C57841" w:rsidP="00231F38">
      <w:pPr>
        <w:pStyle w:val="ANPEC2013"/>
      </w:pPr>
      <w:r w:rsidRPr="00A7356B">
        <w:t xml:space="preserve">This paper is </w:t>
      </w:r>
      <w:r w:rsidR="002A7279" w:rsidRPr="00A7356B">
        <w:t xml:space="preserve">divided into 4 </w:t>
      </w:r>
      <w:r w:rsidR="0050377A" w:rsidRPr="00A7356B">
        <w:t>remaining</w:t>
      </w:r>
      <w:r w:rsidR="002A7279" w:rsidRPr="00A7356B">
        <w:t xml:space="preserve"> sections besides this introduction. Section 2 brings</w:t>
      </w:r>
      <w:r w:rsidR="0050377A" w:rsidRPr="00A7356B">
        <w:t xml:space="preserve"> forward</w:t>
      </w:r>
      <w:r w:rsidR="002A7279" w:rsidRPr="00A7356B">
        <w:t xml:space="preserve"> the literature review. Section 3 introduces the methodology</w:t>
      </w:r>
      <w:r w:rsidR="0050377A" w:rsidRPr="00A7356B">
        <w:t>. S</w:t>
      </w:r>
      <w:r w:rsidR="002A7279" w:rsidRPr="00A7356B">
        <w:t>ection 4</w:t>
      </w:r>
      <w:r w:rsidR="0050377A" w:rsidRPr="00A7356B">
        <w:t xml:space="preserve"> brings out</w:t>
      </w:r>
      <w:r w:rsidR="002A7279" w:rsidRPr="00A7356B">
        <w:t xml:space="preserve"> the results. Finally, section 5 concludes the paper. </w:t>
      </w:r>
    </w:p>
    <w:p w14:paraId="4E437AFE" w14:textId="7315EB9C" w:rsidR="00505618" w:rsidRPr="00A7356B" w:rsidRDefault="00A03006" w:rsidP="005546EF">
      <w:pPr>
        <w:pStyle w:val="title1-d"/>
        <w:numPr>
          <w:ilvl w:val="0"/>
          <w:numId w:val="0"/>
        </w:numPr>
        <w:ind w:firstLine="720"/>
      </w:pPr>
      <w:r w:rsidRPr="00A7356B">
        <w:t>2. Literature Review</w:t>
      </w:r>
    </w:p>
    <w:p w14:paraId="44495CE5" w14:textId="01D42BEC" w:rsidR="00E36926" w:rsidRDefault="004A2761" w:rsidP="00231F38">
      <w:pPr>
        <w:pStyle w:val="ANPEC2013"/>
      </w:pPr>
      <w:r w:rsidRPr="004A2761">
        <w:t>Tech</w:t>
      </w:r>
      <w:r>
        <w:t xml:space="preserve">nology has been considered a source of comparative advantage under the Ricardian model of trade in opposition to the </w:t>
      </w:r>
      <w:r w:rsidR="00DC1840">
        <w:t>Heckscher</w:t>
      </w:r>
      <w:r>
        <w:t xml:space="preserve">-Ohlin model, which considers differences in endowment as the major driver of trade. However, Ricardian models of trade usually consider an unchangeable level of technology determining specialization and gains of trade. Perfect competition, absence of trade barriers, </w:t>
      </w:r>
      <w:r w:rsidR="00493850">
        <w:t>homothetic preferences and in some cases geography will create a world with certain degree of specialization and the only way of trading technology is through the trade of goods comprising such technologies. Firms can differ in terms of technology, but perfect competition wipes out effects of any love for variety</w:t>
      </w:r>
      <w:r w:rsidR="00183536">
        <w:t xml:space="preserve"> </w:t>
      </w:r>
      <w:r w:rsidR="00493850">
        <w:fldChar w:fldCharType="begin" w:fldLock="1"/>
      </w:r>
      <w:r w:rsidR="00CB1637">
        <w:instrText>ADDIN CSL_CITATION { "citationItems" : [ { "id" : "ITEM-1", "itemData" : { "DOI" : "10.1126/science.151.3712.867-a", "ISBN" : "00028282", "ISSN" : "00028282", "PMID" : "17746758", "abstract" : "This paper discusses Ricardian trade and payments theory in the case of a continuum of goods. The analysis thus extends the development of many-commodity, two-country comparative advantage analysis. Perhaps surprisingly, the continuum assumption simplifies the analysis neatly in comparison with the discrete many-commodity case.", "author" : [ { "dropping-particle" : "", "family" : "Dornbusch", "given" : "R", "non-dropping-particle" : "", "parse-names" : false, "suffix" : "" }, { "dropping-particle" : "", "family" : "Fischer", "given" : "S", "non-dropping-particle" : "", "parse-names" : false, "suffix" : "" }, { "dropping-particle" : "", "family" : "Samuelson", "given" : "P a", "non-dropping-particle" : "", "parse-names" : false, "suffix" : "" } ], "container-title" : "The American Economic Review", "id" : "ITEM-1", "issue" : "5", "issued" : { "date-parts" : [ [ "1977" ] ] }, "page" : "823-839", "title" : "Comparative Advantage, Trade, and Payments in a Ricardian Model with a Continuum of Goods", "type" : "article-journal", "volume" : "67" }, "uris" : [ "http://www.mendeley.com/documents/?uuid=313f706c-7524-4c94-a046-9395abfc0d7e" ] }, { "id" : "ITEM-2", "itemData" : { "DOI" : "10.1111/1468-0262.00352", "ISBN" : "1468-0262", "ISSN" : "0012-9682", "abstract" : "We develop a Ricardian trade model that incorporates realistic geographic features into general equilibrium. It delivers simple structural equations for bilateral trade with parameters relating to absolute advantage, to comparative advantage (promoting trade ), and to ... \\n", "author" : [ { "dropping-particle" : "", "family" : "Eaton", "given" : "Jonathan", "non-dropping-particle" : "", "parse-names" : false, "suffix" : "" }, { "dropping-particle" : "", "family" : "Kortum", "given" : "Samuel", "non-dropping-particle" : "", "parse-names" : false, "suffix" : "" } ], "container-title" : "Econometrica", "id" : "ITEM-2", "issue" : "5", "issued" : { "date-parts" : [ [ "2002" ] ] }, "page" : "1741-1779", "title" : "Technology, Geography, and Trade", "type" : "article-journal", "volume" : "70" }, "uris" : [ "http://www.mendeley.com/documents/?uuid=49faf360-1abc-4942-8f9c-4884daea5dcc" ] } ], "mendeley" : { "formattedCitation" : "(Dornbusch, Fischer e Samuelson, 1977; Eaton e Kortum, 2002)", "plainTextFormattedCitation" : "(Dornbusch, Fischer e Samuelson, 1977; Eaton e Kortum, 2002)", "previouslyFormattedCitation" : "(Dornbusch, Fischer e Samuelson, 1977; Eaton e Kortum, 2002)" }, "properties" : { "noteIndex" : 0 }, "schema" : "https://github.com/citation-style-language/schema/raw/master/csl-citation.json" }</w:instrText>
      </w:r>
      <w:r w:rsidR="00493850">
        <w:fldChar w:fldCharType="separate"/>
      </w:r>
      <w:r w:rsidR="00183536" w:rsidRPr="00183536">
        <w:rPr>
          <w:noProof/>
        </w:rPr>
        <w:t>(Dornbusch, Fischer e Samuelson, 1977; Eaton e Kortum, 2002)</w:t>
      </w:r>
      <w:r w:rsidR="00493850">
        <w:fldChar w:fldCharType="end"/>
      </w:r>
      <w:r w:rsidR="00493850">
        <w:t xml:space="preserve">. </w:t>
      </w:r>
    </w:p>
    <w:p w14:paraId="2F1EC4FA" w14:textId="31FB4562" w:rsidR="00183536" w:rsidRDefault="00183536" w:rsidP="00231F38">
      <w:pPr>
        <w:pStyle w:val="ANPEC2013"/>
      </w:pPr>
      <w:r>
        <w:t xml:space="preserve">The </w:t>
      </w:r>
      <w:r w:rsidR="00CB1637">
        <w:t>ideas of technology-gap are</w:t>
      </w:r>
      <w:r>
        <w:t xml:space="preserve"> mostly related to evolutionary economics as it brings the idea of technical change as the driver of economic change. </w:t>
      </w:r>
      <w:r w:rsidR="00CB1637">
        <w:t xml:space="preserve">In general, an innovation in a particular country will result in increased efficiency and gains of market-share. On the other hand, other comparative advantages such as the costs of non-technological factors can counterbalance technological advantages. The speed of the diffusion rate is also central to think impacts of a particular innovation on trade. In some cases the time elapsed between an innovation and its critical adoption point can be delayed by slow market acceptance of a new technology </w:t>
      </w:r>
      <w:r w:rsidR="00CB1637">
        <w:fldChar w:fldCharType="begin" w:fldLock="1"/>
      </w:r>
      <w:r w:rsidR="001201DC">
        <w:instrText>ADDIN CSL_CITATION { "citationItems" : [ { "id" : "ITEM-1", "itemData" : { "author" : [ { "dropping-particle" : "", "family" : "Dosi", "given" : "Giovanni", "non-dropping-particle" : "", "parse-names" : false, "suffix" : "" }, { "dropping-particle" : "", "family" : "Pavitt", "given" : "Keith", "non-dropping-particle" : "", "parse-names" : false, "suffix" : "" }, { "dropping-particle" : "", "family" : "Soete", "given" : "Luc", "non-dropping-particle" : "", "parse-names" : false, "suffix" : "" } ], "container-title" : "The Economics of Technical Change and International Trade", "id" : "ITEM-1", "issued" : { "date-parts" : [ [ "1990" ] ] }, "title" : "Technology gaps, cost-based adjustments and international trade", "type" : "chapter" }, "uris" : [ "http://www.mendeley.com/documents/?uuid=6a255bee-b490-4dc3-a0fe-a316f4864e1e" ] }, { "id" : "ITEM-2", "itemData" : { "DOI" : "10.1016/j.respol.2015.05.012", "ISBN" : "0048-7333", "ISSN" : "00487333", "abstract" : "This paper examines the microfoundations of the determinants of international competitiveness. It does so within the broader \"technology gap\" perspective whereby wide technological and organizational differences ultimately shape the patterns of trade within sectors across countries and their dynamics. First, we take stock of the incumbent evidence on the relation between cost-related and technological competition at country and sectoral level. The overall picture indeed suggests that the countries' sectoral market shares are mainly shaped by technological factors while cost advantages/disadvantages do not seem to play any significant role. But within any sector, within any country, firms widely differ. Hence the question: does this property apply also at a micro level? Here, we first propose a heuristic model based on a generalized Polya urn process yielding such a property and, then, empirically attempt to identify the underlying dynamics at the firm level using a large panel of Italian firms, over nearly two decades. Results show that also at micro level in most sectors investments and patents correlate positively both with the probability of being an exporter and with the capacity to acquire and to increase exports, whereas labour costs show a negative effect only in some sectors. The result is reinforced when separating the short- and long-run effects, highlighting the predominant impact of technological proxies and basically the irrelevance of wage costs.", "author" : [ { "dropping-particle" : "", "family" : "Dosi", "given" : "Giovanni", "non-dropping-particle" : "", "parse-names" : false, "suffix" : "" }, { "dropping-particle" : "", "family" : "Grazzi", "given" : "Marco", "non-dropping-particle" : "", "parse-names" : false, "suffix" : "" }, { "dropping-particle" : "", "family" : "Moschella", "given" : "Daniele", "non-dropping-particle" : "", "parse-names" : false, "suffix" : "" } ], "container-title" : "Research Policy", "id" : "ITEM-2", "issue" : "10", "issued" : { "date-parts" : [ [ "2015" ] ] }, "page" : "1795-1814", "publisher" : "Elsevier B.V.", "title" : "Technology and costs in international competitiveness: From countries and sectors to firms", "type" : "article-journal", "volume" : "44" }, "uris" : [ "http://www.mendeley.com/documents/?uuid=5d2ad71f-e627-407d-b154-842e7442e12f" ] }, { "id" : "ITEM-3", "itemData" : { "author" : [ { "dropping-particle" : "", "family" : "Dosi", "given" : "Giovanni", "non-dropping-particle" : "", "parse-names" : false, "suffix" : "" }, { "dropping-particle" : "", "family" : "Soete", "given" : "Luc", "non-dropping-particle" : "", "parse-names" : false, "suffix" : "" } ], "chapter-number" : "19", "container-title" : "The Economics of Technical Change and International Trade", "editor" : [ { "dropping-particle" : "", "family" : "Soete", "given" : "Luc", "non-dropping-particle" : "", "parse-names" : false, "suffix" : "" } ], "id" : "ITEM-3", "issued" : { "date-parts" : [ [ "1988" ] ] }, "note" : "(\u00f3timo texto, traz a vis\u00e3o evolucion\u00e1ria, colocando o GAP tecnol\u00f3gico como fonte de com\u00e9rcio em oposi\u00e7\u00e3o a teoria das dota\u00e7\u00f5es de fatores, das bantagens comparativas e absulatas da forma que s\u00e3o apresentadas. Inclui a quest\u00e3o da difus\u00e3o tecnol\u00f3gica nos modelos, como outros autores desde o s\u00e9culo 18 j\u00e1 citavam, dividindo a literatura entre cl\u00e1ssicos , her\u00e9ticos e heterodoxos. Prop\u00f5e de maneira n\u00e3o formal as bases de um modelo evolucion\u00e1rio de com\u00e9rcio. Ainda assim n\u00e3o considera que a tecnologia possa desviar o com\u00e9rcio)\n\nintroduction\n\n- trade analyssi kept the importance of technical change in expl\u00e7aining international trade flows. \n\n- the pure theory: neo-calssical extensions and revisinists\n\n- In its simplilest form, the pure theory of international trade then goes \n\n- the less pure theory: the heretics\n\n- the empirical evidence\n\n\n- some interpretative suggestions\n\n- conclusion", "page" : "401-431", "title" : "Technical change and international trade", "type" : "chapter" }, "uris" : [ "http://www.mendeley.com/documents/?uuid=8c6eb432-3145-4d11-a7c0-3f9d28a54e0b" ] }, { "id" : "ITEM-4", "itemData" : { "author" : [ { "dropping-particle" : "", "family" : "Posner", "given" : "MV", "non-dropping-particle" : "", "parse-names" : false, "suffix" : "" } ], "container-title" : "Oxford economic papers", "id" : "ITEM-4", "issue" : "3", "issued" : { "date-parts" : [ [ "1961" ] ] }, "page" : "323-341", "title" : "International trade and technical change", "type" : "article-journal", "volume" : "13" }, "uris" : [ "http://www.mendeley.com/documents/?uuid=c0eafa5d-2420-4a26-b558-39a55ebe3e69" ] }, { "id" : "ITEM-5", "itemData" : { "author" : [ { "dropping-particle" : "", "family" : "Maggi", "given" : "Giovanni", "non-dropping-particle" : "", "parse-names" : false, "suffix" : "" } ], "container-title" : "Journal of Evolutionary Economics", "id" : "ITEM-5", "issued" : { "date-parts" : [ [ "1993" ] ] }, "note" : "- Introduction; \n\n-internastional gaps suggest that there is no simple LAW that can predict these phenomena. In some cases we observe diverging technology gaps, even in the long run. In other cases, technology gaps seem to keep stable over time, though not necessarily at the zero level. Sometimes late-starter countries are able to catch up and reverse the initial technological and commercial disadvantages. \n\n- The need to study the determinants of international technology gaps and theirinteraction with international trade has long been recognized, since the pioneer- ing work of Posner (1961)\n\n\n-dynamics of the &amp;quot;North-South&amp;quot; trade: Krugman (1979), Cheng (1984), Jensen and Thursby (1986), Flam and Helpman (1987) are a few examples of this strand110 G. Maggi\nof literature. These works either focus on strategic (game-theoretical) aspects of the technological race, or assume exogenous rates of innovation, so their focus is not on the evolutionary aspects of international competition. In\n\n-Technological progress and non-price competition are emphasized as critical factors in the dynamics of the market. Firms' investments and production decisions are modeled as &amp;quot;routines&amp;quot; rather than complex opti- mization procedures.\n\n-A structural assumption of our model is that the international market shareof a firm is determined by: (a) its technological capability relative to the other firms; (b) cost factors that are exogenous to the sector and not affected by technology, like wage differentials or other &amp;quot;Ricardian&amp;quot; factors. The\n\n\n-The firm's R &amp;amp; D and production activities are subject to learning effects: (i)the returns to R &amp;amp; D increase with the experience of the firm, according to the idea of&amp;quot;learning to learn&amp;quot; (see for example Stiglitz 1988), and (ii) efficiency in produc- tion increases with cumulative output - this is an assumption of &amp;quot;learning by doing&amp;quot;.\n\n\n- in light of the above assumptions, the international competition is characterized by self-reinforcing mechanisms: on one hand the learning effects, and on the other hand a circular causation that runs from RD investments to innovations, to market shares, to profits, and back to RD&amp;gt; Not only does the technology gap critically affect international trade, but also the reverse is true: the trade perfomance of a coutnry affects its technological perfomance, through the effect on profits and RD investments. ( reapting - trade perfomance of a country affects its technological perfomance)\n\n- Questions: how does the technology gap evolve over time when the late-starter country has lower labour costs, or other non-technological cost advantages with respect to the early -starter? 2- If there is a degree of international diffusion of technology, so that a negative feedback interacts with positive feedbacks, what is the resulting dynamics of the system?\n\n- In section 2 the basic model is presented. In section 3 we examine the case ofno international diffusion of technology, and no static cost advantages. In sec- tion 4 we allow for a lower cost of labor in the late-starter country. In section 5 we allow for international diffusion of technology. In section 6 we examine the hysteretic effects of policy interventions. In section 7 we summarize the results.\n\n- ler : (cf. for example Dosi ! 988, Malerba1989)\n\n-We formalize the concepts of technology and innovations in a very stylized\nway. We let S (t) denote the technological &amp;quot;capability&amp;quot; (or &amp;quot;level&amp;quot;) of a firm at time t. S (t) is a catch-all measure of the firm's stock of technological knowledge which increases with accumulated R&amp;amp;D and production experience. Its time derivative g (t) represents the rate of technical progress of the firm. 4 To\n\n- To focus on the international dimension of the industrial competition, we\nassume that technological progress is country-specific, meaning that there is complete intra-country diffusion of technology. At this stage we assume no inter- national spillovers, but they will be introduced in section 5. What is essential in the model, at any rate, is a discontinuity between the intra-country and the inter-country spillover of technology.\n\n-Equations (4 a) and (4 b) state that the international competitiveness of an\nindustry depends jointly on its technological lead/lag and on the non-technolog- ical advantages. 7\n\n- The above differential system implicitly defines the time path of eight variables:Si (t), R D i (t), ~i (t), di (t), i = A, B. We are interested particularly in the evolution of the technology gap between the countries, given by A S (t) = SA (t) -- Sa (t).\n\nAsymmetric start (A S (0) ~ O) - fun\u00e7\u00f5es est\u00e3o destorcidas\n\n- If one of the countries starts earlier, or with a technological advantage, the technology gap increases cumulatively over time. The early-starter country enjoys a self-reinforcing technological lead, as well as a growing trade surplus. R &amp;amp; D and production increasingly concentrate in that country. Therefore, the initial condi- tion determines the final solution, with a progressive lock-in of the early-starter's\nleadership\n\n- two sources of positive feedbacks - 1. the circular causationh running from RD to innovations, to market share, to profits, and back to RD.(virtous cicle for one country and viciuosu ccile for other) 2. the learning effects in the RD activity, which imply that technologically more advanced country enjoys higher RD return than the late-comer country. \n\nb symmetric start \n\n- shocks podem gerar o gap. O qeu determina o valo r do GAp na realidade?\n\nTherefore, one of the countries may start with a techno- logical lead (a positive A S (0)) also in a North-North situation. Applied to this context, the model suggests that the geographical location of the radical innova- tion is decisive for the evolution of the international competition in that sector.\n\n\n4 - the role of Exougenous cost asymmetries\n\n\n-The dynamics of the system are the result of the interaction between thepositive feedbacks operating in favor of the early-starter country (A), and the static advantage for the late-starter country (B).\n\n\nThe main result of this section is that the system can follow essentially four\ntypes of trajectory, depending on the initial conditions and on the other parame- ters: (a) the technology gap diverges in favor of country A; (b) the gap decreases and then reverses in favor of country B; (c) the gap follows a non-monotonic path: it first increases, then it decreases and eventually changes sign; (d) the gap con- verges to a steady-state level.\n\nIn region 3 the second effect dominates the first, so the technology gap evolves in favor of the early-starter; in region 4 the first effect dominates the second, so the late-starter eventually catches up and takes over the technological leadership. The model suggests that the technology gap eventually diverges in favor of\none country or the other, whatever the initial conditions are, with the only excep- tion of the singular trajectory tt which converges to a steady state technology gap.\n\nAnother proposition that is implied by the model concerns the dynamics of international trade. In the short run, it is possible that the technologically more advanced country is a net importer, due to the static disadvantage, but in the long run the trade leadership coincides with the technological leadership. The techno- logical (dynamic) factors of competitiveness eventually dominate the static cost advantages.\n\nUnlike the case examined in section 2 (A c = 0), here the final solution is nottrivially determined by the initial gap A S (0), but depends also on the critical value A S *.\n\n5. International DIffusion of Technology\n\nInternational technological spillovers are empirically very important: imita-\ntion and reverse engineering by firms, international exchanges at the instituti- tional level (e. g. at the level of education and basic scientific research), are some of the sources of international spillovers of technology. These\n\n\na. Slow technology diffusion\n- Unlike the case of no technology diffusion, the technology gap eventually\nstabilizes on either of two steady-state levels.\n\nWhich of the two equilibria is selected depends on the initial gap A S (0), andon the critical value A So .11 If A S (0)&amp;gt; A So, the gap converges to A Sz, so country A becomes leader. If on the contrary 0 &amp;lt; A S (0) &amp;lt; A So, the gap decreases and then reverses in favour of country B, stabilizing on the value A $1.\n\n\nand the final leadership is determined by the history of the system (path-dependence). However, the presence of international diffusion of technology puts a ceiling on the technological divergence between countries, so that the technology gap even- tually settles down to a steady-state level.\n\n-b. Fast technology diffusion\n\nIf one of the two countries has a static cost advantage, the system tends to a steady-state technology gap in favour of that country, which also becomes net exporter in the sector. Intuitively, if the diffusion of technology is fast, the pattern of international specialization is determined by the static cost factors, and not by the technological factors.\n\n\n6 - effects of exogenous policy interventions\n\n-If a country subsidizes its firms in the early stages of the competition, whenthe technology gap is still close to zero, the effects are simple to describe: even a small and temporary policy-induced advantage can have permanent effects, lead- ing (if the system receives no further shocks) to the stable technological and commercial leadership of the subsidized firms. 14,1\n\n7 - conclusive remarks\n\n-", "page" : "109-126", "title" : "Technology gap and international trade: an evolutionary model", "type" : "article-journal" }, "uris" : [ "http://www.mendeley.com/documents/?uuid=62887cee-b841-4ac9-9d25-ccdc87f37707" ] } ], "mendeley" : { "formattedCitation" : "(Dosi, Grazzi e Moschella, 2015; Dosi, Pavitt e Soete, 1990; Dosi e Soete, 1988; Maggi, 1993; Posner, 1961)", "plainTextFormattedCitation" : "(Dosi, Grazzi e Moschella, 2015; Dosi, Pavitt e Soete, 1990; Dosi e Soete, 1988; Maggi, 1993; Posner, 1961)", "previouslyFormattedCitation" : "(Dosi, Grazzi e Moschella, 2015; Dosi, Pavitt e Soete, 1990; Dosi e Soete, 1988; Maggi, 1993; Posner, 1961)" }, "properties" : { "noteIndex" : 0 }, "schema" : "https://github.com/citation-style-language/schema/raw/master/csl-citation.json" }</w:instrText>
      </w:r>
      <w:r w:rsidR="00CB1637">
        <w:fldChar w:fldCharType="separate"/>
      </w:r>
      <w:r w:rsidR="00CB1637" w:rsidRPr="00CB1637">
        <w:rPr>
          <w:noProof/>
        </w:rPr>
        <w:t>(Dosi, Grazzi e Moschella, 2015; Dosi, Pavitt e Soete, 1990; Dosi e Soete, 1988; Maggi, 1993; Posner, 1961)</w:t>
      </w:r>
      <w:r w:rsidR="00CB1637">
        <w:fldChar w:fldCharType="end"/>
      </w:r>
      <w:r w:rsidR="00CB1637">
        <w:t>.</w:t>
      </w:r>
    </w:p>
    <w:p w14:paraId="4D7D91B6" w14:textId="2B6F4796" w:rsidR="00E36926" w:rsidRPr="001201DC" w:rsidRDefault="00321247" w:rsidP="00231F38">
      <w:pPr>
        <w:pStyle w:val="ANPEC2013"/>
      </w:pPr>
      <w:r>
        <w:t>Firm heterogeneity models have been raising and discussing a number of interesting questions about trade</w:t>
      </w:r>
      <w:r w:rsidR="00B05514">
        <w:t xml:space="preserve"> by going deeper </w:t>
      </w:r>
      <w:r w:rsidR="001201DC">
        <w:t>into</w:t>
      </w:r>
      <w:r w:rsidR="00B05514">
        <w:t xml:space="preserve"> </w:t>
      </w:r>
      <w:r w:rsidR="001201DC">
        <w:t>firms</w:t>
      </w:r>
      <w:r w:rsidR="00B05514">
        <w:t xml:space="preserve"> instead of thinking country-level characteristics</w:t>
      </w:r>
      <w:r>
        <w:t xml:space="preserve">. Under monopolistic competition, homothetic preferences and love for variety is possible to think trade impacts related to different firms’ efficiencies and product and process innovation as consumers will always see a product of an innovation as a new one. </w:t>
      </w:r>
      <w:r w:rsidR="005029F1">
        <w:t>Fixed and variable costs of trade allow</w:t>
      </w:r>
      <w:r>
        <w:t xml:space="preserve"> the considering of increasing returns to scale in specialization</w:t>
      </w:r>
      <w:r w:rsidR="001201DC">
        <w:fldChar w:fldCharType="begin" w:fldLock="1"/>
      </w:r>
      <w:r w:rsidR="00B644C9">
        <w:instrText>ADDIN CSL_CITATION { "citationItems" : [ { "id" : "ITEM-1", "itemData" : { "author" : [ { "dropping-particle" : "", "family" : "Helpman", "given" : "Elhanan", "non-dropping-particle" : "", "parse-names" : false, "suffix" : "" }, { "dropping-particle" : "", "family" : "Melitz", "given" : "Marc", "non-dropping-particle" : "", "parse-names" : false, "suffix" : "" }, { "dropping-particle" : "", "family" : "Rubestein", "given" : "Yona", "non-dropping-particle" : "", "parse-names" : false, "suffix" : "" } ], "container-title" : "The Quarterly Journal of Economics", "id" : "ITEM-1", "issue" : "May", "issued" : { "date-parts" : [ [ "2008" ] ] }, "note" : "introduction\n\n- Tinbergen (1962) pioneered the use of gravity equations in emperical specifications of bilateral trade flows in which the volume of trade between two countries is proportional to the product of an index of their economic size, and the factor of proportionality depends on measures of trade resistance between then. \ngravity equations has dominated emperical research in international trade; but initial studies disregard countries that do not trade with each other;\n-simetry is also inconsistent \n\n- positive trade flows from country j to country i thus aggregate exports over varying distributions of firms. Distribution is bounded by marginal exporter in j who just breaks even by exporting to i. \n-within this model is possible to work with asswimtry and zero exports;. \n-it is a generalizaton of the model of Anderson and van Wincoop (2003)\n-We propose a two- stage estimation procedure. The first stage consists of estimating a Probit equation that specifies the probability that country j ex- ports to i as a function of observable variables. The\n\nPredicted components of this equation are then used in the second stage to estimate the gravity equation in log-linear form.\n- the model has firm heterogeinity, yet we do not need firm-level data to estimate the gravity equation. \n- extracts from country level data infomration that would normally require firm-level data. \n\n(to continue reading after concluding CMS paper)", "page" : "441-487", "title" : "Estimating trade flows: Trading partners and trading volumes", "type" : "article-journal", "volume" : "CXXIII" }, "uris" : [ "http://www.mendeley.com/documents/?uuid=fe05cf7f-b9be-4282-a89c-58c544896731" ] }, { "id" : "ITEM-2", "itemData" : { "author" : [ { "dropping-particle" : "", "family" : "Melitz", "given" : "Marc J", "non-dropping-particle" : "", "parse-names" : false, "suffix" : "" } ], "container-title" : "Econometrica", "id" : "ITEM-2", "issue" : "6", "issued" : { "date-parts" : [ [ "2003" ] ] }, "page" : "1695-1725", "title" : "The Impact of Trade on Intra-Industry Reallocations and Aggregate Industry Productivity", "type" : "article-journal", "volume" : "71" }, "uris" : [ "http://www.mendeley.com/documents/?uuid=f45da1a8-1007-4047-b1f3-d2e670b1583f" ] } ], "mendeley" : { "formattedCitation" : "(Helpman, Melitz e Rubestein, 2008; Melitz, 2003)", "plainTextFormattedCitation" : "(Helpman, Melitz e Rubestein, 2008; Melitz, 2003)", "previouslyFormattedCitation" : "(Helpman, Melitz e Rubestein, 2008; Melitz, 2003)" }, "properties" : { "noteIndex" : 0 }, "schema" : "https://github.com/citation-style-language/schema/raw/master/csl-citation.json" }</w:instrText>
      </w:r>
      <w:r w:rsidR="001201DC">
        <w:fldChar w:fldCharType="separate"/>
      </w:r>
      <w:r w:rsidR="001201DC" w:rsidRPr="001201DC">
        <w:rPr>
          <w:noProof/>
        </w:rPr>
        <w:t>(Helpman, Melitz e Rubestein, 2008; Melitz, 2003)</w:t>
      </w:r>
      <w:r w:rsidR="001201DC">
        <w:fldChar w:fldCharType="end"/>
      </w:r>
      <w:r>
        <w:t xml:space="preserve">. </w:t>
      </w:r>
    </w:p>
    <w:p w14:paraId="1929FD12" w14:textId="46AC7076" w:rsidR="00A03006" w:rsidRPr="00A7356B" w:rsidRDefault="001201DC" w:rsidP="00231F38">
      <w:pPr>
        <w:pStyle w:val="ANPEC2013"/>
      </w:pPr>
      <w:r>
        <w:t xml:space="preserve">Regarding the case study, </w:t>
      </w:r>
      <w:r w:rsidR="00DC62A5" w:rsidRPr="00A7356B">
        <w:t xml:space="preserve">Oliveira </w:t>
      </w:r>
      <w:r w:rsidR="00DC62A5" w:rsidRPr="00A7356B">
        <w:rPr>
          <w:i/>
        </w:rPr>
        <w:t>et al.</w:t>
      </w:r>
      <w:r w:rsidR="00DC62A5" w:rsidRPr="00A7356B">
        <w:t xml:space="preserve"> (2012)</w:t>
      </w:r>
      <w:r w:rsidR="00354F0B" w:rsidRPr="00A7356B">
        <w:rPr>
          <w:rStyle w:val="FootnoteReference"/>
          <w:rFonts w:ascii="Times" w:hAnsi="Times"/>
        </w:rPr>
        <w:t xml:space="preserve"> </w:t>
      </w:r>
      <w:r w:rsidR="00354F0B" w:rsidRPr="00A7356B">
        <w:rPr>
          <w:rStyle w:val="FootnoteReference"/>
          <w:rFonts w:ascii="Times" w:hAnsi="Times"/>
        </w:rPr>
        <w:footnoteReference w:id="4"/>
      </w:r>
      <w:r w:rsidR="00354F0B" w:rsidRPr="00A7356B">
        <w:t xml:space="preserve"> point</w:t>
      </w:r>
      <w:r w:rsidR="00DC62A5" w:rsidRPr="00A7356B">
        <w:t xml:space="preserve"> out that competitiveness effect, measured as the amount of variation in exports not explained by increases in destination market absorption or world</w:t>
      </w:r>
      <w:r w:rsidR="00354F0B" w:rsidRPr="00A7356B">
        <w:t>’s</w:t>
      </w:r>
      <w:r w:rsidR="00DC62A5" w:rsidRPr="00A7356B">
        <w:t xml:space="preserve"> exports increase, </w:t>
      </w:r>
      <w:r w:rsidR="00A23D16" w:rsidRPr="00A7356B">
        <w:t>brings out</w:t>
      </w:r>
      <w:r w:rsidR="00DC62A5" w:rsidRPr="00A7356B">
        <w:t xml:space="preserve"> </w:t>
      </w:r>
      <w:r w:rsidR="00A23D16" w:rsidRPr="00A7356B">
        <w:t>some interesting patterns</w:t>
      </w:r>
      <w:r w:rsidR="00354F0B" w:rsidRPr="00A7356B">
        <w:t xml:space="preserve"> between 1995 and 2012</w:t>
      </w:r>
      <w:r w:rsidR="00DC62A5" w:rsidRPr="00A7356B">
        <w:t>. Brazilian exports increases by competitiveness</w:t>
      </w:r>
      <w:r w:rsidR="00354F0B" w:rsidRPr="00A7356B">
        <w:t xml:space="preserve"> effect while US decreases when Brazil was considered GM-free and US have achieved high adoption levels – competitiveness can explain up to 60% of Brazilian exports of soybeans in 2000/2002 and -389% of US. </w:t>
      </w:r>
      <w:r w:rsidR="00A03006" w:rsidRPr="00A7356B">
        <w:t>However, the competiveness effect will change in favor of U.S. after 2005</w:t>
      </w:r>
      <w:r w:rsidR="00354F0B" w:rsidRPr="00A7356B">
        <w:t xml:space="preserve">, when Brazil also adopts the technology – </w:t>
      </w:r>
      <w:r w:rsidR="00A03006" w:rsidRPr="00A7356B">
        <w:t>U</w:t>
      </w:r>
      <w:r w:rsidR="00354F0B" w:rsidRPr="00A7356B">
        <w:t>.</w:t>
      </w:r>
      <w:r w:rsidR="00A03006" w:rsidRPr="00A7356B">
        <w:t>S.</w:t>
      </w:r>
      <w:r w:rsidR="00354F0B" w:rsidRPr="00A7356B">
        <w:t xml:space="preserve"> </w:t>
      </w:r>
      <w:r w:rsidR="00A03006" w:rsidRPr="00A7356B">
        <w:t xml:space="preserve"> (31%</w:t>
      </w:r>
      <w:r w:rsidR="00354F0B" w:rsidRPr="00A7356B">
        <w:t>) and</w:t>
      </w:r>
      <w:r w:rsidR="00A03006" w:rsidRPr="00A7356B">
        <w:t xml:space="preserve"> negative to both Brazil (-39%) and Argentina (-47%).</w:t>
      </w:r>
    </w:p>
    <w:p w14:paraId="7E108558" w14:textId="7F715343" w:rsidR="00A03006" w:rsidRPr="00A7356B" w:rsidRDefault="00A03006" w:rsidP="00231F38">
      <w:pPr>
        <w:pStyle w:val="ANPEC2013"/>
      </w:pPr>
      <w:r w:rsidRPr="00A7356B">
        <w:lastRenderedPageBreak/>
        <w:fldChar w:fldCharType="begin" w:fldLock="1"/>
      </w:r>
      <w:r w:rsidR="00105EB7" w:rsidRPr="00A7356B">
        <w:instrText>ADDIN CSL_CITATION { "citationItems" : [ { "id" : "ITEM-1", "itemData" : { "DOI" : "10.1017/S1474745612000262", "ISSN" : "1474-7456", "author" : [ { "dropping-particle" : "", "family" : "Vigani", "given" : "Mauro", "non-dropping-particle" : "", "parse-names" : false, "suffix" : "" }, { "dropping-particle" : "", "family" : "Raimondi", "given" : "Valentina", "non-dropping-particle" : "", "parse-names" : false, "suffix" : "" }, { "dropping-particle" : "", "family" : "Olper", "given" : "Alessandro", "non-dropping-particle" : "", "parse-names" : false, "suffix" : "" } ], "container-title" : "World Trade Review", "id" : "ITEM-1", "issue" : "03", "issued" : { "date-parts" : [ [ "2012", "7", "6" ] ] }, "note" : "An index for GMO regulation\n\n- 60 countries up to 2007\n\n_______________________________________\n\nIntroduction\n\n- diviation in regulation may lead to impacts on the decision of developing countrie sto adopt or not technology.\n- the paper construct a index of sixty countries. \n-simple approach of ussing simple dummies to capture the trade effect of GMO regulation as, for example, in Disdier and Fontagn\u00e8. \n\n- Tothova and Oehmke (2004) develop a Krugman-Style trad emodel to study the endogenous choice of diferrent countreis in saetting GMO standards - club of countreis sharing similar GMO regulations. \n\n- used GAIN reports'. \n\n-approval process, risk assessment, labeling, traceability, coexistence, and membership in international GMO agreements. Each\n\n- zimbabwe and Zambia declare themself as GMO free. \n- index: approval process, risk assessment, labeling, tracebility, coexistance and membership in internationl GMO agreements. \n\n- critics: index do not capture much differentiation between european countries. \n\n---------------------------------------------------------\n3. GMO standards and international trade\n\nthe bilateral trade equation is derived from standard constant elasticity of substitution (CES) monoolistic competition trade model, with increasing returns to scale and iceberg trade costs, introduced by krugman (1980). \n\n- In order to test the robustness of our findings, we also used a second index called GMOwij, following Anderson (2009) and Jaffe (1986). This second index can be defined as follows:?M GMOwij = m=1 fimf jm\n??1/2\n?M\nm=1 f 2 ??1/2\n\n- with regards to the estimation methods: one of the most commom methods to deal with zero trade is the Heckman (1979) two stage selection correction: i. a probit equation where all trade flows determinants are regressed on the indicator variable Tij, equal to 1 when j exports to i and 0 otherwise. (ii) an OLS second-stage with the same regressors as the probit equation, plus the inverse Mills ratio from the first stage, correcting for the bias generated ny the sample selection problem. Following the modification suggested in Helpman et al. (2008) and supported by Martin and Pham (2008), we omitted an independent variable associated with the fixed trade costs in the second OLS stage.9 Furthermore, to check for robustness of the Heckman selection procedure, we used a modified Poisson fixed-effects estimation, namely the zero-inflated negative binomial model (ZINB), which accounts for the possible bias created by the logarithmic transformation (Jensen\u2019s inequality) and the failure of the homoskedasticity assumption.\n\n_____________________________\nData \n\nUnited Nations Statistical Division (UN-COMTRADE) - they consider the product as potentially genetically modified. \n- production data come from FAO\n\n\n- CRITICS: they considered only 2005,2006 and 2007 assuming that only recently an acceleration on the diffusion of gmo regulation took place. \n\n\n- distance, dummies for other trade costs (contiguity, language, and colony) they are taken from CEPII ( Centre d\u00b4Estudes Prospectives et d\u00b4Informations Internationales). \n\n- bilateral tariffs are obtained from the MAcMap database (ITC - Unctad and WTO, Geneva) and VEPII - Paris. HS\n\n\n_________________________\nResults\n\n- The (absolute) magnitude of the estimated effect increases from 1.18 to 1.53 on passing from the OLS to the II stage Heckman, suggesting that selection bias can be a problem, a conclusion confirmed by the high significant level of the Mills ratio.\n\n-It is interesting to note that also the GMOij coefficient of the first stage Probit regression is significantly negative (see Column 2), suggesting that distance in the GMO regulation negatively affects also the probability of positive trade, namely its extensive margin. \n\n- CRITICS: TO HIGH COEFICIENTS. (Column 3 of Table 3), the magnitude of the estimated coefficient implies that a one standard deviation decrease in the GMO dissimilarity index (=0.188), which means an increase in regulatory closeness, increases exports of about 33%, all else remaining equal.\n\n- This effect approximately corresponds to a change in GMOijfrom the value of France\u2212Chile (=0.40) to that of France\u2212Switzerland (=0.20). Thus the effect is not only statistically significant but appears also relevant from an economic point of view. (NOT PRODUCERS!!!!!!!!!!!!!!!)\n\n\n- Not surprisingly, their estimated coefficients decrease in absolute magnitude. However, the (theoretically) most important dimensions, namely labeling, approval process, and traceability, remain strongly significant. Because each component is normalized to vary from 0 to 1, the results suggest that labeling is the dimension most detrimental to trade, followed by the approval process and traceability. Given this ranking, it is not surprising that GMO labeling has been the major field of conflict across countries in terms of trade policies (Carrau, 2009).\n\n_____________________\nENDOGEINETY \nThis result means that when the distance in GMO regulations is modeled endogenously, its estimated coefficient is approximately two times larger than the size obtained from treating it exogenously, as the theory of endogenous trade policy predicts.\n\nA formal test for this conclusion is reported at the bottom of the table. The Hausman endogeneity test rejects at the 1% level the hypothesis that the GMOij index can be treated as exogenous. Moreover, the Cragg-Donald under- identification test is also strongly significant, rejecting the hypothesis of weak identification\n\n\nSecond, they confirm that the GMO regulation is endogenous to trade flows, and this is in line with the idea that governments take into account the country trade position in deciding on GMO regulation. Finally,\n\n_____________________________\nconclusion\n\neverything treated and defend the thesis of harmonization.", "page" : "415-437", "title" : "International trade and endogenous standards: the case of GMO regulations", "type" : "article-journal", "volume" : "11" }, "uris" : [ "http://www.mendeley.com/documents/?uuid=f006e0bb-11a4-49ec-8fb0-bf23db8bfc18" ] } ], "mendeley" : { "formattedCitation" : "(Vigani, Raimondi e Olper, 2012)", "manualFormatting" : "Vigani et al. (2012)", "plainTextFormattedCitation" : "(Vigani, Raimondi e Olper, 2012)", "previouslyFormattedCitation" : "(Vigani, Raimondi e Olper, 2012)" }, "properties" : { "noteIndex" : 0 }, "schema" : "https://github.com/citation-style-language/schema/raw/master/csl-citation.json" }</w:instrText>
      </w:r>
      <w:r w:rsidRPr="00A7356B">
        <w:fldChar w:fldCharType="separate"/>
      </w:r>
      <w:r w:rsidRPr="00A7356B">
        <w:rPr>
          <w:noProof/>
        </w:rPr>
        <w:t xml:space="preserve">Vigani </w:t>
      </w:r>
      <w:r w:rsidRPr="00A7356B">
        <w:rPr>
          <w:i/>
          <w:noProof/>
        </w:rPr>
        <w:t>et al.</w:t>
      </w:r>
      <w:r w:rsidRPr="00A7356B">
        <w:rPr>
          <w:noProof/>
        </w:rPr>
        <w:t xml:space="preserve"> (2012)</w:t>
      </w:r>
      <w:r w:rsidRPr="00A7356B">
        <w:fldChar w:fldCharType="end"/>
      </w:r>
      <w:r w:rsidRPr="00A7356B">
        <w:t xml:space="preserve"> performed a gravity model to analyze the impact of technology on bilateral trade in 2005, 2006 and 2007. The gravity variable was the gap between the regulatory frameworks of trade partners measured by an index estimated by the authors. </w:t>
      </w:r>
      <w:r w:rsidR="00354F0B" w:rsidRPr="00A7356B">
        <w:t xml:space="preserve">Noteworthy, in agriculture, in particular, authors usually consider regulatory differences as non-tariff barriers (NTB) increasing trade costs for most dissimilar partners </w:t>
      </w:r>
      <w:r w:rsidR="00354F0B" w:rsidRPr="00A7356B">
        <w:fldChar w:fldCharType="begin" w:fldLock="1"/>
      </w:r>
      <w:r w:rsidR="00354F0B" w:rsidRPr="00A7356B">
        <w:instrText>ADDIN CSL_CITATION { "citationItems" : [ { "id" : "ITEM-1", "itemData" : { "DOI" : "10.1111/j.1467-9701.2012.01457.x", "ISBN" : "03785920", "ISSN" : "03785920", "abstract" : "We estimate the impact of regulatory heterogeneity on agri-food trade using a gravity analysis that relies on detailed data on non-tariff measures (NTMs) collected by the NTM-Impact project. The data cover a broad range of import requirements for agricultural and food products for the EU and nine of its major trade partners. We find that trade is significantly reduced when importing countries have stricter maximum residue limits (MRLs) for plant products than exporting countries. For most other measures, due to their qualitative nature, we were unable to infer whether the importer has stricter standards relative to the exporter, and we do not find a robust relationship between these measures and trade. Our findings suggest that, at least for some import standards, harmonising regulations will increase trade. We also conclude that tariff reductions remain an effective means to increase trade even when NTMs abound.", "author" : [ { "dropping-particle" : "", "family" : "Winchester", "given" : "Niven", "non-dropping-particle" : "", "parse-names" : false, "suffix" : "" }, { "dropping-particle" : "", "family" : "Rau", "given" : "Marie Luise", "non-dropping-particle" : "", "parse-names" : false, "suffix" : "" }, { "dropping-particle" : "", "family" : "Goetz", "given" : "Christian", "non-dropping-particle" : "", "parse-names" : false, "suffix" : "" }, { "dropping-particle" : "", "family" : "Larue", "given" : "Bruno", "non-dropping-particle" : "", "parse-names" : false, "suffix" : "" }, { "dropping-particle" : "", "family" : "Otsuki", "given" : "Tsunehiro", "non-dropping-particle" : "", "parse-names" : false, "suffix" : "" }, { "dropping-particle" : "", "family" : "Shutes", "given" : "Karl", "non-dropping-particle" : "", "parse-names" : false, "suffix" : "" }, { "dropping-particle" : "", "family" : "Wieck", "given" : "Christine", "non-dropping-particle" : "", "parse-names" : false, "suffix" : "" }, { "dropping-particle" : "", "family" : "Burnquist", "given" : "Heloisa L.", "non-dropping-particle" : "", "parse-names" : false, "suffix" : "" }, { "dropping-particle" : "", "family" : "Pinto de Souza", "given" : "Maur??cio J.", "non-dropping-particle" : "", "parse-names" : false, "suffix" : "" }, { "dropping-particle" : "", "family" : "Nunes de Faria", "given" : "Rosane", "non-dropping-particle" : "", "parse-names" : false, "suffix" : "" } ], "container-title" : "World Economy", "id" : "ITEM-1", "issue" : "8", "issued" : { "date-parts" : [ [ "2012" ] ] }, "page" : "973-993", "title" : "The Impact of Regulatory Heterogeneity on Agri-food Trade", "type" : "article-journal", "volume" : "35" }, "uris" : [ "http://www.mendeley.com/documents/?uuid=f1c4612c-a220-4dd4-8a7f-449044a16ba4" ] }, { "id" : "ITEM-2", "itemData" : { "author" : [ { "dropping-particle" : "", "family" : "Burnquist", "given" : "Heloisa L.", "non-dropping-particle" : "", "parse-names" : false, "suffix" : "" }, { "dropping-particle" : "", "family" : "Shutes", "given" : "Karl", "non-dropping-particle" : "", "parse-names" : false, "suffix" : "" }, { "dropping-particle" : "", "family" : "Rau", "given" : "Marie-Luise", "non-dropping-particle" : "", "parse-names" : false, "suffix" : "" }, { "dropping-particle" : "", "family" : "Souza", "given" : "Maur\u00edcio N.F.", "non-dropping-particle" : "", "parse-names" : false, "suffix" : "" }, { "dropping-particle" : "", "family" : "Faria", "given" : "Rosana N.", "non-dropping-particle" : "", "parse-names" : false, "suffix" : "" } ], "container-title" : "Agricultural &amp; Applied Economics Association\u2019s 2011 AAEA &amp; NAREA Joint Annual Meeting", "id" : "ITEM-2", "issued" : { "date-parts" : [ [ "2011" ] ] }, "page" : "24", "publisher-place" : "Pittsburgh", "title" : "Heterogeneity Index of Trade and Actual Heterogeneity Index \u2013 the case of maximum residue levels ( MRLs ) for pesticides", "type" : "paper-conference" }, "uris" : [ "http://www.mendeley.com/documents/?uuid=308c0100-579b-4e03-bc2c-8a41d627f420" ] }, { "id" : "ITEM-3", "itemData" : { "DOI" : "10.1016/j.foodpol.2013.08.001", "ISBN" : "0306-9192", "ISSN" : "03069192", "abstract" : "The paper develops a composite index of GMO standards restrictiveness for 60 countries, assigning objective scores to six different regulatory dimensions. Using this index and its components, we empirically investigate the political and economic determinants of GMO regulations for 55 countries, controlling for spatial autocorrelation. Results show that many of the determinants highlighted in the theoretical literature, such as the structure of the agricultural sector and the institutional environment are important determinants of the restrictiveness of the GMO regulation. As a key result there emerges a prominent role of the market for information, showing that the structure of domestic mass media (public vs. private) is an important driver of GMO standards. ?? 2013 Elsevier Ltd.", "author" : [ { "dropping-particle" : "", "family" : "Vigani", "given" : "Mauro", "non-dropping-particle" : "", "parse-names" : false, "suffix" : "" }, { "dropping-particle" : "", "family" : "Olper", "given" : "Alessandro", "non-dropping-particle" : "", "parse-names" : false, "suffix" : "" } ], "container-title" : "Food Policy", "id" : "ITEM-3", "issued" : { "date-parts" : [ [ "2013" ] ] }, "page" : "32-43", "publisher" : "Elsevier Ltd", "title" : "GMO standards, endogenous policy and the market for information", "type" : "article-journal", "volume" : "43" }, "uris" : [ "http://www.mendeley.com/documents/?uuid=66d7c409-6209-40d1-8a9e-064bc373da75" ] } ], "mendeley" : { "formattedCitation" : "(Burnquist &lt;i&gt;et al.&lt;/i&gt;, 2011; Vigani e Olper, 2013; Winchester &lt;i&gt;et al.&lt;/i&gt;, 2012)", "plainTextFormattedCitation" : "(Burnquist et al., 2011; Vigani e Olper, 2013; Winchester et al., 2012)", "previouslyFormattedCitation" : "(Burnquist &lt;i&gt;et al.&lt;/i&gt;, 2011; Vigani e Olper, 2013; Winchester &lt;i&gt;et al.&lt;/i&gt;, 2012)" }, "properties" : { "noteIndex" : 0 }, "schema" : "https://github.com/citation-style-language/schema/raw/master/csl-citation.json" }</w:instrText>
      </w:r>
      <w:r w:rsidR="00354F0B" w:rsidRPr="00A7356B">
        <w:fldChar w:fldCharType="separate"/>
      </w:r>
      <w:r w:rsidR="00354F0B" w:rsidRPr="00A7356B">
        <w:rPr>
          <w:noProof/>
        </w:rPr>
        <w:t xml:space="preserve">(Burnquist </w:t>
      </w:r>
      <w:r w:rsidR="00354F0B" w:rsidRPr="00A7356B">
        <w:rPr>
          <w:i/>
          <w:noProof/>
        </w:rPr>
        <w:t>et al.</w:t>
      </w:r>
      <w:r w:rsidR="00354F0B" w:rsidRPr="00A7356B">
        <w:rPr>
          <w:noProof/>
        </w:rPr>
        <w:t xml:space="preserve">, 2011; Vigani e Olper, 2013; Winchester </w:t>
      </w:r>
      <w:r w:rsidR="00354F0B" w:rsidRPr="00A7356B">
        <w:rPr>
          <w:i/>
          <w:noProof/>
        </w:rPr>
        <w:t>et al.</w:t>
      </w:r>
      <w:r w:rsidR="00354F0B" w:rsidRPr="00A7356B">
        <w:rPr>
          <w:noProof/>
        </w:rPr>
        <w:t>, 2012)</w:t>
      </w:r>
      <w:r w:rsidR="00354F0B" w:rsidRPr="00A7356B">
        <w:fldChar w:fldCharType="end"/>
      </w:r>
      <w:r w:rsidR="00354F0B" w:rsidRPr="00A7356B">
        <w:t>.</w:t>
      </w:r>
      <w:r w:rsidR="00A37384" w:rsidRPr="00A7356B">
        <w:t xml:space="preserve"> </w:t>
      </w:r>
      <w:r w:rsidRPr="00A7356B">
        <w:t>The magnitude of the estimated coefficient</w:t>
      </w:r>
      <w:r w:rsidR="00A23D16" w:rsidRPr="00A7356B">
        <w:t xml:space="preserve"> – in </w:t>
      </w:r>
      <w:proofErr w:type="spellStart"/>
      <w:r w:rsidR="00A23D16" w:rsidRPr="00A7356B">
        <w:t>Vigani</w:t>
      </w:r>
      <w:proofErr w:type="spellEnd"/>
      <w:r w:rsidR="00A23D16" w:rsidRPr="00A7356B">
        <w:t xml:space="preserve"> </w:t>
      </w:r>
      <w:r w:rsidR="00A23D16" w:rsidRPr="00A7356B">
        <w:rPr>
          <w:i/>
        </w:rPr>
        <w:t>et al</w:t>
      </w:r>
      <w:r w:rsidR="00A23D16" w:rsidRPr="00A7356B">
        <w:t xml:space="preserve"> (2012)</w:t>
      </w:r>
      <w:r w:rsidRPr="00A7356B">
        <w:t xml:space="preserve"> implies that one standard deviation decrease in the GMO dissimilarity index (=0.188) increases exports by 33%, all else remaining equal.</w:t>
      </w:r>
    </w:p>
    <w:p w14:paraId="3B81ED88" w14:textId="13ABEFA9" w:rsidR="00A03006" w:rsidRPr="00A7356B" w:rsidRDefault="00B331B7" w:rsidP="00231F38">
      <w:pPr>
        <w:pStyle w:val="ANPEC2013"/>
      </w:pPr>
      <w:r w:rsidRPr="00A7356B">
        <w:t>Through a more complete and time-varying restrictiveness index for</w:t>
      </w:r>
      <w:r w:rsidR="00A03006" w:rsidRPr="00A7356B">
        <w:t xml:space="preserve"> 2000, 2009 and 2012 it is possible to see that restrictiveness </w:t>
      </w:r>
      <w:r w:rsidRPr="00A7356B">
        <w:t xml:space="preserve">is larger in </w:t>
      </w:r>
      <w:r w:rsidR="00A03006" w:rsidRPr="00A7356B">
        <w:t xml:space="preserve">European countries and South America, and lower for U.S. </w:t>
      </w:r>
      <w:r w:rsidR="00A03006" w:rsidRPr="00A7356B">
        <w:fldChar w:fldCharType="begin" w:fldLock="1"/>
      </w:r>
      <w:r w:rsidR="00493850">
        <w:instrText>ADDIN CSL_CITATION { "citationItems" : [ { "id" : "ITEM-1", "itemData" : { "DOI" : "10.1016/j.foodpol.2015.03.005", "ISBN" : "0306-9192", "ISSN" : "03069192", "abstract" : "This paper focuses on the ex-post empirical analysis of the trade impact of asynchronous regulatory approval of new genetically modified organism (GMO) events. We contribute to the literature in three ways: first, we define indices to assess the extent of asynchronicity and the relative strictness of the GMO approval authorizations of 40 countries considering GMO regulatory developments between 2000 and 2012 regarding cotton, maize and soybeans. Second, we introduce indices that are country-pair specific, product-specific, and year-specific in a gravity model to examine the trade impact of asynchronous regulatory approval across countries. By grouping the countries according to the state of their national regulatory GMO frameworks, we have an even more differentiated view on the trade impact of asynchronous approval that focuses not only on the existence of regulations but also on their restrictiveness. The results from the gravity model show that asynchronous approval has negatively impacted trade flows of cotton, maize and soybeans. It is observed that both asynchronous approvals and the restrictiveness of importing countries' regulations to address the importation of GMO products matter, meaning those countries that have already adopted a comprehensive GMO regulatory framework and have policies to manage the importation of GMO crops tend to feel a higher negative impact on trade flows.", "author" : [ { "dropping-particle" : "de", "family" : "Faria", "given" : "Rosane Nunes", "non-dropping-particle" : "", "parse-names" : false, "suffix" : "" }, { "dropping-particle" : "", "family" : "Wieck", "given" : "Christine", "non-dropping-particle" : "", "parse-names" : false, "suffix" : "" } ], "container-title" : "Food Policy", "id" : "ITEM-1", "issued" : { "date-parts" : [ [ "2015" ] ] }, "page" : "22-32", "publisher" : "Elsevier Ltd", "title" : "Empirical evidence on the trade impact of asynchronous regulatory approval of new GMO events", "type" : "article-journal", "volume" : "53" }, "uris" : [ "http://www.mendeley.com/documents/?uuid=01f2ca90-da5f-449b-9a71-b4c313038587" ] } ], "mendeley" : { "formattedCitation" : "(Faria e Wieck, 2015)", "plainTextFormattedCitation" : "(Faria e Wieck, 2015)", "previouslyFormattedCitation" : "(Faria e Wieck, 2015)" }, "properties" : { "noteIndex" : 0 }, "schema" : "https://github.com/citation-style-language/schema/raw/master/csl-citation.json" }</w:instrText>
      </w:r>
      <w:r w:rsidR="00A03006" w:rsidRPr="00A7356B">
        <w:fldChar w:fldCharType="separate"/>
      </w:r>
      <w:r w:rsidR="00105B2E" w:rsidRPr="00A7356B">
        <w:rPr>
          <w:noProof/>
        </w:rPr>
        <w:t>(Faria e Wieck, 2015)</w:t>
      </w:r>
      <w:r w:rsidR="00A03006" w:rsidRPr="00A7356B">
        <w:fldChar w:fldCharType="end"/>
      </w:r>
      <w:r w:rsidR="00A03006" w:rsidRPr="00A7356B">
        <w:t>.</w:t>
      </w:r>
      <w:r w:rsidRPr="00A7356B">
        <w:t xml:space="preserve"> Besides, this study points out to significant impacts of dissimilarity on trade. The index take into account not only biosafety regulatory dissimilarity but also the gap between approved varieties.</w:t>
      </w:r>
    </w:p>
    <w:p w14:paraId="596E8E85" w14:textId="1C0193FD" w:rsidR="00A03006" w:rsidRPr="00A7356B" w:rsidRDefault="00A03006" w:rsidP="00231F38">
      <w:pPr>
        <w:pStyle w:val="ANPEC2013"/>
      </w:pPr>
      <w:r w:rsidRPr="00A7356B">
        <w:fldChar w:fldCharType="begin" w:fldLock="1"/>
      </w:r>
      <w:r w:rsidR="00105EB7" w:rsidRPr="00A7356B">
        <w:instrText>ADDIN CSL_CITATION { "citationItems" : [ { "id" : "ITEM-1", "itemData" : { "DOI" : "101007/s1029001401883", "abstract" : "In May 2003, the United States, Canada and Argentina launched a World Trade Organization (WTO) case against the European Union concerning its authorization regime for biotech products. In November 2006, the WTO condemned this regime. Using a gravity equation, we estimate the reduction in exports of potentially affected products from the complainants to the European Union. Our results suggest that the European moratorium and product-specific measures have a negative effect on trade, as do safeguard measures adopted by Germany, Italy and Greece.", "author" : [ { "dropping-particle" : "", "family" : "Disdie", "given" : "Anne-C\u00e9llia", "non-dropping-particle" : "", "parse-names" : false, "suffix" : "" }, { "dropping-particle" : "", "family" : "Fontagn\u00e9", "given" : "Lionel", "non-dropping-particle" : "", "parse-names" : false, "suffix" : "" } ], "container-title" : "Review of World Eocnomics", "id" : "ITEM-1", "issue" : "3", "issued" : { "date-parts" : [ [ "2009" ] ] }, "note" : "introduction \n\nmistakes in gravity model described by Baldwin and Taglioni. (bilateral trade costs used as regressors in the estimated equation are correlated with the ommited variable since trade costs enter into these unobserved prices. \n-used Piosson estimator suggested by Santos and Tenreyro rather than OLS.(PPML) that deals adequately with the zero-valeu observations, since the dependent variable is mesured in levles. \n- check the impact of moratorium of Eu and rejection of other eropean countries on the exports of complainants (Canada, Argentina and US) and non complainants Brazil. \n\nBACKGROUND\n-the first commercial production was planted in 1994.\n-complians were focoused on the general moratorium implented in june 1999, delays in the processing of productspecific applications, and safeguard cluases adopted by certain Member States. \n- moratorium was condemned, undue delays also, and safeguard by Austria, France, Germanay, Greece, Italy and Luxembourg also. The bans were lift only in 2005. (WE NEED TO KNOW IF TRADE BARRIERS WERE IN PLACE)\n\nDATA AND ECONOMETRIC SPECIFICATION \nDATA\n\n- data on soybean exports are excluded because it was the only GM food commercially grown and was approved for import and use in food and feed by th EU before the 1999 moratorium (USD, 2000).\n\n- 1994-2005 data from BACI ( base pour l \u00b4Analyse dy Commerce International) developed by CEPII data meke uses of original procedures to harmonise COMTRADE data ( Commodity trade Statistics Database)\n- econometrically isolate competitiveness and transaction costs and assume adptotion to large to be a problem. \n\n-exporters: Argentina, Canada, the US, Brazil, Australia, China, Ukraine, Turkey, Romania, Bulgaria, Serbia-Montenegro, Poland, Czech Republic, Hungary, Lithuania, Chile and South Africa.\n-importers: each EU Member State,13Norway, Switzerland, Turkey, Japan, New\nZealand, Australia, China, Canada, the US, Argentina, Brazil, Mexico, South Korea, Indonesia and Thailand.\n\n-gravity equation can be seen as a reduced form of the theoretical trade flow prediction. \n-the theoritical foundation for trade patterns is the standard new trade monopolistic competition-CES demandIceberg costs model introduced by Krugman (1980)\n- Producers operating under increasing returns in each country produce differentiated varieties that they ship, with a cost, to consumers in all countries.\n\nA theoretically consistent approach for estimating equation (1) consists in using fixed effects for each exporting and importing country interacted with time dummies. The country fixed effects incorporate size effects, but also the price and number of varieties of the exporting country and the size of demand and the price index of the importing country. This specification overcomes the already mentioned \u201cgold medal\u201d mistake in gravity equations - the failure to consider relative prices. Baldwin and Taglioni (2006) show, however, that in the case of panel data, time-invariant country fixed effects are not sufficient to remove all the related bias: the cross-section bias will be removed but not the time-series bias. To remove the latter, we interact our country fixed effects with year dummies. Furthermore, Santos Silva and Tenreyro (2006) show that in the presence of heteroskedasticity, OLS method can yield biased estimates. They suggest using the Poisson pseudo-maximum likelihood (PPML) method to estimate multiplicative equations like (1). In their specification, the dependent variable is measured in levels. However, this specification provides estimates that are comparable to elasticity estimates from the standard linear-in-logs specification. Furthermore, this specification deals adequately with zero-value observations.\n\nOther methods, such as standard OLS (with ln(1+flow) as the dependent variable) and Tobit, have been suggested in the literature to deal with zero trade flows. To discrimate between these methods properly, one can perform a heteroskedasticity-robust RESET test (Ramsey, 1969). In our case, the test rejects models estimated using the OLS and Tobit regressions. Only the estimations using the PPML method pass the test. The Reset statistic is reported in the results section (bottom of Table 3).\n\n- distance and language. \n\n-After taking logs, our estimated equation is as follows:xd u tij ijt k = feit it++ + \u03bc \u03bb\u03b4 jt jtfe ln ij \u03b4 cbord clang GMOsijt + \u03b4 ij + 4 \u03b4 kk (2) +\n12 3\nij where k\nxijt is the dollar value of country j\u2019s imports from country i in year t, feit\nare the time-\nvarying exporter fixed effects, fejt\nthe time-varying importer fixed effects, ij\nd the bilateral\ndistance. cbordij\nand clangij\nare dummies to control for common border and common\nlanguage. GMOsk\nijt is the vector of dummies accounting for measures on GMOs for product k.\nThe vector 4 represents the estimated coefficients on these variables. u is the error term.\n\n\nESTIMATION RESULTS\n\nFor all products, estimated coefficients on the \u201cEU moratorium and/or product-specific measures\u201d variable are negative and significant. These coefficients can be interpreted as a percentage change in the dependent variable when the dummy variable equals one. Thus, the value -2.24 for maize seeds means that the dependent variable is 89.4% (exp[-2.24]-1) lower when the dummy variable equals one than otherwise. In other words, this econometric specification tends to show that EU measures on GMOs reduce Argentina, Canada and US exports of maize seeds on average by 89.4%. The percentages of the reductions in exports of Argentina, Canada and the US to the EU due to the European moratorium and/or specific measures on GMOs are respectively 71.1% (exp[-1.24]-1) for maize other than seeds, 99.4% (exp[-5.17]-1) for oilseed rape, 98.3% (exp[-4.10]-1) for cotton seeds, 70.5% (exp[-1.22]-1) for starch residues and 47.3% (exp[-0.64]-1) for preparations used in animal feed.\nRegarding national bans, it appears that only the Austrian ones on maize (seeds and other) and the Italian one on maize seeds do not have a significant impact. All other national safeguard measures affect Argentinean, Canadian and US exports. The impact of the German and Greek measures is particularly high. Exports from Argentina, Canada and the US to Germany are reduced by 97.2% (exp[-3.56]-1) for maize seeds and by 97.1% (exp[-3.05]-1) for maize other than seeds. On the other hand, oilseed rape exports from the three complainant countries to Greece are reduced by 95.3% (exp[-3.53]-1)\n\nDISCUSSION OF RESULTS\n\n- deny consumer rejection because 1996 don't capt effects. \n- sui\u00e7a n\u00e3o importa sementes , mas importa alimentos. \nTherefore, we can conclude that Brazilian cotton exports are also reduced by EU restrictions, although Brazil did not launch a WTO case against the EU. ( nem \u00e9 alimento e nem era transgenico no periodo.)\n\nIn our study, we did not consider potential export reorientation. Smyth et al. (2006) showed that the Canada\u2019 oilseed rape and US corn sales to the EU were successfully shifted to other markets. Market losses occurred but only over a short period, and globalization quickly offered new export opportunities to GM producers", "number" : "2009-16", "page" : "495-514", "title" : "Trade Impact of European Measures on GMOs Condemned by the WTO Panel", "type" : "article-journal", "volume" : "146" }, "uris" : [ "http://www.mendeley.com/documents/?uuid=820559e8-3b79-4eed-85b2-1eba6c2e6aa6" ] } ], "mendeley" : { "formattedCitation" : "(Disdie e Fontagn\u00e9, 2009)", "manualFormatting" : "Disdie &amp; Fontagn\u00e9 (2010)", "plainTextFormattedCitation" : "(Disdie e Fontagn\u00e9, 2009)", "previouslyFormattedCitation" : "(Disdie e Fontagn\u00e9, 2009)" }, "properties" : { "noteIndex" : 0 }, "schema" : "https://github.com/citation-style-language/schema/raw/master/csl-citation.json" }</w:instrText>
      </w:r>
      <w:r w:rsidRPr="00A7356B">
        <w:fldChar w:fldCharType="separate"/>
      </w:r>
      <w:r w:rsidRPr="00A7356B">
        <w:rPr>
          <w:noProof/>
        </w:rPr>
        <w:t>Disdie &amp; Fontagné (2010)</w:t>
      </w:r>
      <w:r w:rsidRPr="00A7356B">
        <w:fldChar w:fldCharType="end"/>
      </w:r>
      <w:r w:rsidRPr="00A7356B">
        <w:t xml:space="preserve">, in turn, studied the impact of the EU </w:t>
      </w:r>
      <w:r w:rsidRPr="00A7356B">
        <w:rPr>
          <w:i/>
        </w:rPr>
        <w:t>de facto</w:t>
      </w:r>
      <w:r w:rsidRPr="00A7356B">
        <w:t xml:space="preserve"> moratorium and bans of other European countries on the exports of complainants (Canada, Argentina and US) and non-complainants in the WTO dispute from 1995-2005. </w:t>
      </w:r>
      <w:r w:rsidR="00201549" w:rsidRPr="00A7356B">
        <w:t xml:space="preserve">They conclude </w:t>
      </w:r>
      <w:r w:rsidRPr="00A7356B">
        <w:t>that EU measures on GMOs reduced Argentina, Canada and US exports of maize seeds by 89.4% on average</w:t>
      </w:r>
      <w:r w:rsidR="00201549" w:rsidRPr="00A7356B">
        <w:rPr>
          <w:rStyle w:val="FootnoteReference"/>
          <w:rFonts w:ascii="Times" w:hAnsi="Times"/>
        </w:rPr>
        <w:footnoteReference w:id="5"/>
      </w:r>
      <w:r w:rsidRPr="00A7356B">
        <w:t xml:space="preserve">. Regarding national bans, it appears that only the Austrian ones on maize (seeds and other) and the Italian one on maize seeds do not have a significant impact. All other national safeguard measures affected Argentinean, Canadian and US exports. Noteworthy, recent studies show that policymakers from different member states have kept their positions regarding the technology by voting in a favor or against new approvals in a steady way </w:t>
      </w:r>
      <w:r w:rsidRPr="00A7356B">
        <w:fldChar w:fldCharType="begin" w:fldLock="1"/>
      </w:r>
      <w:r w:rsidR="00105EB7" w:rsidRPr="00A7356B">
        <w:instrText>ADDIN CSL_CITATION { "citationItems" : [ { "id" : "ITEM-1", "itemData" : { "ISBN" : "0002-1121", "author" : [ { "dropping-particle" : "", "family" : "Smart", "given" : "Richard D", "non-dropping-particle" : "", "parse-names" : false, "suffix" : "" }, { "dropping-particle" : "", "family" : "Blum", "given" : "Matthias", "non-dropping-particle" : "", "parse-names" : false, "suffix" : "" }, { "dropping-particle" : "", "family" : "Wesseler", "given" : "Justus", "non-dropping-particle" : "", "parse-names" : false, "suffix" : "" } ], "container-title" : "German Journal of Agricultural Economics", "id" : "ITEM-1", "issue" : "4", "issued" : { "date-parts" : [ [ "2015" ] ] }, "page" : "244-262", "title" : "EU Member States' Voting for Authorizing Genetically Engineered Crops: a Regulatory Gridlock", "type" : "article-journal", "volume" : "64" }, "uris" : [ "http://www.mendeley.com/documents/?uuid=34cdbb82-8b2f-40ae-b610-a715a39ee4f2" ] } ], "mendeley" : { "formattedCitation" : "(Smart, Blum e Wesseler, 2015)", "plainTextFormattedCitation" : "(Smart, Blum e Wesseler, 2015)", "previouslyFormattedCitation" : "(Smart, Blum e Wesseler, 2015)" }, "properties" : { "noteIndex" : 0 }, "schema" : "https://github.com/citation-style-language/schema/raw/master/csl-citation.json" }</w:instrText>
      </w:r>
      <w:r w:rsidRPr="00A7356B">
        <w:fldChar w:fldCharType="separate"/>
      </w:r>
      <w:r w:rsidR="0021722C" w:rsidRPr="00A7356B">
        <w:rPr>
          <w:noProof/>
        </w:rPr>
        <w:t>(Smart, Blum e Wesseler, 2015)</w:t>
      </w:r>
      <w:r w:rsidRPr="00A7356B">
        <w:fldChar w:fldCharType="end"/>
      </w:r>
      <w:r w:rsidRPr="00A7356B">
        <w:rPr>
          <w:rStyle w:val="FootnoteReference"/>
          <w:rFonts w:ascii="Times" w:hAnsi="Times"/>
        </w:rPr>
        <w:footnoteReference w:id="6"/>
      </w:r>
      <w:r w:rsidRPr="00A7356B">
        <w:t xml:space="preserve">. </w:t>
      </w:r>
    </w:p>
    <w:p w14:paraId="1D5A612E" w14:textId="4C96D7F1" w:rsidR="00A03006" w:rsidRPr="00A7356B" w:rsidRDefault="00A03006" w:rsidP="00231F38">
      <w:pPr>
        <w:pStyle w:val="ANPEC2013"/>
      </w:pPr>
      <w:r w:rsidRPr="00A7356B">
        <w:fldChar w:fldCharType="begin" w:fldLock="1"/>
      </w:r>
      <w:r w:rsidR="00105EB7" w:rsidRPr="00A7356B">
        <w:instrText>ADDIN CSL_CITATION { "citationItems" : [ { "id" : "ITEM-1", "itemData" : { "author" : [ { "dropping-particle" : "", "family" : "Anderson", "given" : "Kym", "non-dropping-particle" : "", "parse-names" : false, "suffix" : "" }, { "dropping-particle" : "", "family" : "Jackson", "given" : "Lee Ann", "non-dropping-particle" : "", "parse-names" : false, "suffix" : "" } ], "id" : "ITEM-1", "issue" : "0411", "issued" : { "date-parts" : [ [ "2004" ] ] }, "note" : "introduction \n\nsince 1998 when the EU implemented its moratorium, GMadopting countries have lost EU market share to GMfree suppliers, particulary Brazil for maize and soybean and Australia and Central Europe in the case of Canola. \n\nread (e.g., Nielsen and Anderson 2001; van Meijl and van Tongeren 2002; Nielsen, Robinson and Theirfelder 2003; Huang et al. 2004), by\n\nin the case of no hatred levels the gmadopting countries expand their outuput and net exports of coarse grains and oilseed (and meat) while the opposite happens in the rest of the world. \n\nmoratorium (farm protection) EU worse off by 3,1 billion per year, in addition this policy leads to a onethird reduction in the gain to GM adopting North America, a wealfare improvement for Brazil, and a slight wealfare decline for foodimporting regions of the rest of the wrld. \n\nwhen moratorium is imposed on imports from GMadopting countries, the international prices of coarse grains and oilseed fall more GM adopting countries slightly reduce their output of these crops. In europe output expands because the import ban drives up domestic prices of these products. \n\nunder mandatory labeling regime (nada de novo)\n\nThe terms of trade for the EU improve when the EU implements a moratorium in response to North America and Argentina adoption of GM coarse grains and oilseeds. However,\n\n\nIn short, the EU ban on production and imports of products that may containGMOs harms American farmers' and benefits EU farmers, compared with the EU\u2019s alternatives of embracing the new technology or allowing EU consumers the right to choose.\n\n\nImplications for the global trading system and developing countries. \n\nFor developing countries, our results show that the EU moratorium benefitsfood-importers (and Japan and Korea), because of an improvement in their terms of trade.\n\npolicies potentially provide a\nmechanism for accommodating consumers\u2019 preferences for non-GM food, although not without some cost to the global economy in terms of necessary segregation and identity preservation systems.", "number" : "Discussion Paper: 0411", "publisher-place" : "Adelaide", "title" : "Standards , trade and protection : the case of GMOs", "type" : "report" }, "uris" : [ "http://www.mendeley.com/documents/?uuid=1fcafad8-e592-4527-8c93-ddd2895dc867" ] } ], "mendeley" : { "formattedCitation" : "(Anderson e Jackson, 2004)", "manualFormatting" : "Anderson &amp; Jackson (2004)", "plainTextFormattedCitation" : "(Anderson e Jackson, 2004)", "previouslyFormattedCitation" : "(Anderson e Jackson, 2004)" }, "properties" : { "noteIndex" : 0 }, "schema" : "https://github.com/citation-style-language/schema/raw/master/csl-citation.json" }</w:instrText>
      </w:r>
      <w:r w:rsidRPr="00A7356B">
        <w:fldChar w:fldCharType="separate"/>
      </w:r>
      <w:r w:rsidRPr="00A7356B">
        <w:rPr>
          <w:noProof/>
        </w:rPr>
        <w:t>Anderson &amp; Jackson (2004)</w:t>
      </w:r>
      <w:r w:rsidRPr="00A7356B">
        <w:fldChar w:fldCharType="end"/>
      </w:r>
      <w:r w:rsidRPr="00A7356B">
        <w:t>, by using a GTAP model with neoclassical closure, pointed out that since 1998 when the EU implemented the moratorium, GM adopting countries have lost EU market shares to GM free suppliers, particularly Brazil for maize and soybean and Australia and Central Europe for rapeseed. On the other hand, there are evidences that Canada’s rapeseed and US corn sales to the EU were succes</w:t>
      </w:r>
      <w:r w:rsidR="00201549" w:rsidRPr="00A7356B">
        <w:t>sfully shifted to other markets.</w:t>
      </w:r>
      <w:r w:rsidRPr="00A7356B">
        <w:t xml:space="preserve"> This shift to less adverse markets seems to be the case of soybean markets when we consider the replacement of U.S. by Brazilian Exports in the second half of 1990s, along with growing imports of China</w:t>
      </w:r>
      <w:r w:rsidR="00201549" w:rsidRPr="00A7356B">
        <w:t xml:space="preserve"> </w:t>
      </w:r>
      <w:r w:rsidR="00201549" w:rsidRPr="00A7356B">
        <w:fldChar w:fldCharType="begin" w:fldLock="1"/>
      </w:r>
      <w:r w:rsidR="00105B2E" w:rsidRPr="00A7356B">
        <w:instrText>ADDIN CSL_CITATION { "citationItems" : [ { "id" : "ITEM-1", "itemData" : { "DOI" : "10.1504/IJTG.2006.011923", "ISSN" : "1476-5667", "author" : [ { "dropping-particle" : "", "family" : "Smyth", "given" : "Stuart", "non-dropping-particle" : "", "parse-names" : false, "suffix" : "" }, { "dropping-particle" : "", "family" : "Kerr", "given" : "William a.", "non-dropping-particle" : "", "parse-names" : false, "suffix" : "" }, { "dropping-particle" : "", "family" : "Davey", "given" : "Kelly a.", "non-dropping-particle" : "", "parse-names" : false, "suffix" : "" } ], "container-title" : "International Journal of Technology and Globalisation", "id" : "ITEM-1", "issue" : "3/4", "issued" : { "date-parts" : [ [ "2006" ] ] }, "page" : "377", "title" : "Closing markets to biotechnology: does it pose an economic risk if markets are globalised?", "type" : "chapter", "volume" : "2" }, "uris" : [ "http://www.mendeley.com/documents/?uuid=5212d4f4-f17d-4c4e-8376-7eda6253ce15" ] }, { "id" : "ITEM-2", "itemData" : { "DOI" : "102791/1287", "ISBN" : "9789279126031", "author" : [ { "dropping-particle" : "", "family" : "Stein", "given" : "Alexander J", "non-dropping-particle" : "", "parse-names" : false, "suffix" : "" }, { "dropping-particle" : "", "family" : "Rodriguez-Cerezo", "given" : "Emilio", "non-dropping-particle" : "", "parse-names" : false, "suffix" : "" } ], "id" : "ITEM-2", "issued" : { "date-parts" : [ [ "2009" ] ] }, "number-of-pages" : "109", "publisher-place" : "Luxembourg", "title" : "The global pipeline of new GM crops Implications of asynchronous approval", "type" : "report" }, "uris" : [ "http://www.mendeley.com/documents/?uuid=2aeef3b3-422e-4bc2-a083-da5aa3f73625" ] } ], "mendeley" : { "formattedCitation" : "(Smyth, Kerr e Davey, 2006; Stein e Rodriguez-Cerezo, 2009)", "manualFormatting" : "(see also Smyth, Kerr e Davey, 2006; Stein e Rodriguez-Cerezo, 2009)", "plainTextFormattedCitation" : "(Smyth, Kerr e Davey, 2006; Stein e Rodriguez-Cerezo, 2009)", "previouslyFormattedCitation" : "(Smyth, Kerr e Davey, 2006; Stein e Rodriguez-Cerezo, 2009)" }, "properties" : { "noteIndex" : 0 }, "schema" : "https://github.com/citation-style-language/schema/raw/master/csl-citation.json" }</w:instrText>
      </w:r>
      <w:r w:rsidR="00201549" w:rsidRPr="00A7356B">
        <w:fldChar w:fldCharType="separate"/>
      </w:r>
      <w:r w:rsidR="00201549" w:rsidRPr="00A7356B">
        <w:rPr>
          <w:noProof/>
        </w:rPr>
        <w:t>(see also Smyth, Kerr e Davey, 2006; Stein e Rodriguez-Cerezo, 2009)</w:t>
      </w:r>
      <w:r w:rsidR="00201549" w:rsidRPr="00A7356B">
        <w:fldChar w:fldCharType="end"/>
      </w:r>
      <w:r w:rsidR="00201549" w:rsidRPr="00A7356B">
        <w:t>.</w:t>
      </w:r>
    </w:p>
    <w:p w14:paraId="50E411A1" w14:textId="69017E66" w:rsidR="00A03006" w:rsidRPr="00A7356B" w:rsidRDefault="00A03006" w:rsidP="00231F38">
      <w:pPr>
        <w:pStyle w:val="ANPEC2013"/>
      </w:pPr>
      <w:r w:rsidRPr="00A7356B">
        <w:t xml:space="preserve"> In terms of benefits of planting GMOs there are many studies corroborating economic gains </w:t>
      </w:r>
      <w:r w:rsidRPr="00A7356B">
        <w:fldChar w:fldCharType="begin" w:fldLock="1"/>
      </w:r>
      <w:r w:rsidR="00105EB7" w:rsidRPr="00A7356B">
        <w:instrText>ADDIN CSL_CITATION { "citationItems" : [ { "id" : "ITEM-1", "itemData" : { "author" : [ { "dropping-particle" : "", "family" : "Sturges", "given" : "W", "non-dropping-particle" : "", "parse-names" : false, "suffix" : "" }, { "dropping-particle" : "", "family" : "Perkins", "given" : "H", "non-dropping-particle" : "", "parse-names" : false, "suffix" : "" }, { "dropping-particle" : "", "family" : "Boyd", "given" : "J D", "non-dropping-particle" : "", "parse-names" : false, "suffix" : "" }, { "dropping-particle" : "", "family" : "Stalcup", "given" : "M C", "non-dropping-particle" : "", "parse-names" : false, "suffix" : "" }, { "dropping-particle" : "", "family" : "Talley", "given" : "L D", "non-dropping-particle" : "", "parse-names" : false, "suffix" : "" }, { "dropping-particle" : "", "family" : "Johnson", "given" : "G C", "non-dropping-particle" : "", "parse-names" : false, "suffix" : "" }, { "dropping-particle" : "", "family" : "Watson", "given" : "A J", "non-dropping-particle" : "", "parse-names" : false, "suffix" : "" }, { "dropping-particle" : "", "family" : "Law", "given" : "C S", "non-dropping-particle" : "", "parse-names" : false, "suffix" : "" }, { "dropping-particle" : "", "family" : "Watson", "given" : "A J", "non-dropping-particle" : "", "parse-names" : false, "suffix" : "" }, { "dropping-particle" : "", "family" : "Law", "given" : "C S", "non-dropping-particle" : "", "parse-names" : false, "suffix" : "" }, { "dropping-particle" : "", "family" : "Toole", "given" : "J M", "non-dropping-particle" : "", "parse-names" : false, "suffix" : "" }, { "dropping-particle" : "", "family" : "Ledwell", "given" : "J R", "non-dropping-particle" : "", "parse-names" : false, "suffix" : "" }, { "dropping-particle" : "", "family" : "Schmitt", "given" : "R W", "non-dropping-particle" : "", "parse-names" : false, "suffix" : "" }, { "dropping-particle" : "", "family" : "Montgomery", "given" : "E T", "non-dropping-particle" : "", "parse-names" : false, "suffix" : "" }, { "dropping-particle" : "", "family" : "Polzin", "given" : "K L", "non-dropping-particle" : "", "parse-names" : false, "suffix" : "" }, { "dropping-particle" : "", "family" : "Toole", "given" : "J M", "non-dropping-particle" : "", "parse-names" : false, "suffix" : "" }, { "dropping-particle" : "", "family" : "Perkins", "given" : "H", "non-dropping-particle" : "", "parse-names" : false, "suffix" : "" }, { "dropping-particle" : "", "family" : "Toole", "given" : "J M", "non-dropping-particle" : "", "parse-names" : false, "suffix" : "" }, { "dropping-particle" : "", "family" : "Koehler", "given" : "R L", "non-dropping-particle" : "", "parse-names" : false, "suffix" : "" }, { "dropping-particle" : "", "family" : "Mellinger", "given" : "E C", "non-dropping-particle" : "", "parse-names" : false, "suffix" : "" }, { "dropping-particle" : "", "family" : "Doherty", "given" : "K W", "non-dropping-particle" : "", "parse-names" : false, "suffix" : "" }, { "dropping-particle" : "", "family" : "Brown", "given" : "W K", "non-dropping-particle" : "", "parse-names" : false, "suffix" : "" }, { "dropping-particle" : "", "family" : "Morris", "given" : "W D", "non-dropping-particle" : "", "parse-names" : false, "suffix" : "" }, { "dropping-particle" : "", "family" : "Schmitt", "given" : "R W", "non-dropping-particle" : "", "parse-names" : false, "suffix" : "" }, { "dropping-particle" : "", "family" : "Cox", "given" : "C", "non-dropping-particle" : "", "parse-names" : false, "suffix" : "" }, { "dropping-particle" : "", "family" : "Schmitt", "given" : "R W", "non-dropping-particle" : "", "parse-names" : false, "suffix" : "" }, { "dropping-particle" : "", "family" : "Sanford", "given" : "T", "non-dropping-particle" : "", "parse-names" : false, "suffix" : "" }, { "dropping-particle" : "", "family" : "Georgi", "given" : "D T", "non-dropping-particle" : "", "parse-names" : false, "suffix" : "" }, { "dropping-particle" : "", "family" : "Merryfield", "given" : "W J", "non-dropping-particle" : "", "parse-names" : false, "suffix" : "" }, { "dropping-particle" : "", "family" : "Joyce", "given" : "T M", "non-dropping-particle" : "", "parse-names" : false, "suffix" : "" }, { "dropping-particle" : "", "family" : "Ferrari", "given" : "R", "non-dropping-particle" : "", "parse-names" : false, "suffix" : "" }, { "dropping-particle" : "", "family" : "Polzin", "given" : "K", "non-dropping-particle" : "", "parse-names" : false, "suffix" : "" }, { "dropping-particle" : "", "family" : "Gregg", "given" : "M C", "non-dropping-particle" : "", "parse-names" : false, "suffix" : "" }, { "dropping-particle" : "", "family" : "Polzin", "given" : "K", "non-dropping-particle" : "", "parse-names" : false, "suffix" : "" }, { "dropping-particle" : "", "family" : "Toole", "given" : "J M", "non-dropping-particle" : "", "parse-names" : false, "suffix" : "" }, { "dropping-particle" : "", "family" : "Schmitt", "given" : "R W", "non-dropping-particle" : "", "parse-names" : false, "suffix" : "" }, { "dropping-particle" : "", "family" : "Kunze", "given" : "E", "non-dropping-particle" : "", "parse-names" : false, "suffix" : "" }, { "dropping-particle" : "", "family" : "Brandt", "given" : "A", "non-dropping-particle" : "", "parse-names" : false, "suffix" : "" }, { "dropping-particle" : "", "family" : "Fernando", "given" : "J", "non-dropping-particle" : "", "parse-names" : false, "suffix" : "" }, { "dropping-particle" : "", "family" : "Schmitt", "given" : "R W", "non-dropping-particle" : "", "parse-names" : false, "suffix" : "" }, { "dropping-particle" : "", "family" : "Schmitz", "given" : "W J", "non-dropping-particle" : "", "parse-names" : false, "suffix" : "" }, { "dropping-particle" : "", "family" : "Luyten", "given" : "J R", "non-dropping-particle" : "", "parse-names" : false, "suffix" : "" }, { "dropping-particle" : "", "family" : "Schmitt", "given" : "R W", "non-dropping-particle" : "", "parse-names" : false, "suffix" : "" }, { "dropping-particle" : "", "family" : "Bolmer", "given" : "T", "non-dropping-particle" : "", "parse-names" : false, "suffix" : "" }, { "dropping-particle" : "", "family" : "Farrar", "given" : "T", "non-dropping-particle" : "", "parse-names" : false, "suffix" : "" }, { "dropping-particle" : "", "family" : "Donoghue", "given" : "T", "non-dropping-particle" : "", "parse-names" : false, "suffix" : "" }, { "dropping-particle" : "", "family" : "Guest", "given" : "B", "non-dropping-particle" : "", "parse-names" : false, "suffix" : "" }, { "dropping-particle" : "", "family" : "Sellers", "given" : "C", "non-dropping-particle" : "", "parse-names" : false, "suffix" : "" }, { "dropping-particle" : "", "family" : "Birdwhistell", "given" : "S", "non-dropping-particle" : "", "parse-names" : false, "suffix" : "" }, { "dropping-particle" : "", "family" : "Sutherland", "given" : "S", "non-dropping-particle" : "", "parse-names" : false, "suffix" : "" }, { "dropping-particle" : "", "family" : "Ledwell", "given" : "S", "non-dropping-particle" : "", "parse-names" : false, "suffix" : "" }, { "dropping-particle" : "", "family" : "Benitez", "given" : "A", "non-dropping-particle" : "", "parse-names" : false, "suffix" : "" }, { "dropping-particle" : "", "family" : "Hernandez", "given" : "G", "non-dropping-particle" : "", "parse-names" : false, "suffix" : "" } ], "id" : "ITEM-1", "issued" : { "date-parts" : [ [ "2003" ] ] }, "title" : "Insect-Resistant GM Rice in Farmers \u2019 Fields : Assessing Productivity and Health Effects in China", "type" : "article-journal" }, "uris" : [ "http://www.mendeley.com/documents/?uuid=9d8201c2-ca9a-45f4-99fc-a9de4c4c1c92" ] }, { "id" : "ITEM-2", "itemData" : { "DOI" : "10.2135/cropsci2013.10.0709", "ISSN" : "14350653", "abstract" : "In the United States, maize (Zea mays L.) farm- ers have adopted genetic-modification technol- ogy rapidly since its first commercialization in 1996. By 2012, 88% of U.S. maize is planted with genetically modified (GM) hybrids. Our objective in the paper is to present an empirical analysis of the determinants of U.S. maize yield using experimental maize production data, with a focus on the interaction effects of GM tech- nology, management, and risk. Genetic-modifi- cation technology had a stronger impact on the lower end of maize yield distribution within a trial thereby reducing exposure to downside risk. A strong interaction exists between GM technol- ogy and crop rotations: GM reduces the adverse effects of maize\u2013maize rotation on yield. As such, GM technology is found to be a substitute for crop rotation. Genetic-modification technol- ogy increases the yield gains associated with higher planting density. This indicates that GM technology offers good prospects for future improvements in maize productivity", "author" : [ { "dropping-particle" : "", "family" : "Chavas", "given" : "Jean Paul", "non-dropping-particle" : "", "parse-names" : false, "suffix" : "" }, { "dropping-particle" : "", "family" : "Shi", "given" : "Guanming", "non-dropping-particle" : "", "parse-names" : false, "suffix" : "" }, { "dropping-particle" : "", "family" : "Lauer", "given" : "Joseph", "non-dropping-particle" : "", "parse-names" : false, "suffix" : "" } ], "container-title" : "Crop Science", "id" : "ITEM-2", "issue" : "4", "issued" : { "date-parts" : [ [ "2014" ] ] }, "page" : "1331-1335", "title" : "The effects of GM Technology on maize yield", "type" : "article-journal", "volume" : "54" }, "uris" : [ "http://www.mendeley.com/documents/?uuid=87997875-640b-4a9d-9b2b-d6efac4710fa" ] }, { "id" : "ITEM-3", "itemData" : { "DOI" : "10.4161/gmcr.28098", "ISSN" : "2164-5698", "PMID" : "24637520", "abstract" : "A key part of any assessment of the global value of crop biotechnology in agriculture is an examination of its economic impact at the farm level. This paper follows earlier annual studies which examined economic impacts on yields, key costs of production, direct farm income and effects, and impacts on the production base of the four main crops of soybeans, corn, cotton and canola. The commercialization of genetically modified (GM) crops has continued to occur at a rapid rate, with important changes in both the overall level of adoption and impact occurring in 2012. This annual updated analysis shows that there have been very significant net economic benefits at the farm level amounting to $18.8 billion in 2012 and $116.6 billion for the 17-year period (in nominal terms). These economic gains have been divided roughly 50% each to farmers in developed and developing countries. GM technology have also made important contributions to increasing global production levels of the four main crops, having added 122 million tons and 230 million tons respectively, to the global production of soybeans and maize since the introduction of the technology in the mid-1990s.", "author" : [ { "dropping-particle" : "", "family" : "Brookes", "given" : "Graham", "non-dropping-particle" : "", "parse-names" : false, "suffix" : "" }, { "dropping-particle" : "", "family" : "Barfoot", "given" : "Peter", "non-dropping-particle" : "", "parse-names" : false, "suffix" : "" } ], "container-title" : "GM Crops", "id" : "ITEM-3", "issue" : "March", "issued" : { "date-parts" : [ [ "2014" ] ] }, "page" : "http://dx.doi.org/10.4161/gmcr.28098", "title" : "The global income and production effects 1996 \u2013 2012 Economic impact of GM crops", "type" : "article-journal", "volume" : "5698" }, "uris" : [ "http://www.mendeley.com/documents/?uuid=26858a03-5e5c-41bb-a2b9-2316c8b16bff" ] }, { "id" : "ITEM-4", "itemData" : { "DOI" : "10.2135/cropsci2013.07.0470", "ISSN" : "14350653", "abstract" : "Genetically-modified soybean [Glycine max (L.) Merr.] resistant to glyphosate (N-phosphonomethyl- glycine) herbicide (GR) has turned out to be one of the most highly-used products of plant engineering. The impacts of the soybean, genetically transformed for glyphosate resistance, on the environment under Brazilian soil and climatic conditions are still unknown. For this purpose, two soybean genotypes, one genetically modified (GR BRS 244 RR) and a conventional isogenic genotype were grown under different weed-control methods: hand weeding and glyphosate or imazethapyr herbicide application. The study was performed in Rio Grande do Sul State with evaluations of soil microbial biomass and respiration, biological nitrogen fixation, isoflavone content in seed and glyphosate, and aminomethylphosphonic acid (AMPA) residues in seeds and soil. The use of GR did not affect soil microbial population, biological nitrogen fixation, or plant yield or isoflavone contents in seed. However, even though we used the recommended application doses, the glyphosate residues in the seeds were above levels permitted by Brazilian law. Also, AMPA residues were detected in the soil and the seeds. \u00a9 Crop Science Society of America.", "author" : [ { "dropping-particle" : "", "family" : "B\u00e4rwald Bohm", "given" : "Giani Mariza", "non-dropping-particle" : "", "parse-names" : false, "suffix" : "" }, { "dropping-particle" : "", "family" : "Rombaldi", "given" : "Cesar Valmor", "non-dropping-particle" : "", "parse-names" : false, "suffix" : "" }, { "dropping-particle" : "", "family" : "Genovese", "given" : "Maria In\u00e9s", "non-dropping-particle" : "", "parse-names" : false, "suffix" : "" }, { "dropping-particle" : "", "family" : "Castilhos", "given" : "Danilo", "non-dropping-particle" : "", "parse-names" : false, "suffix" : "" }, { "dropping-particle" : "", "family" : "Rodrigues Alves", "given" : "Bruno Jos\u00e9", "non-dropping-particle" : "", "parse-names" : false, "suffix" : "" }, { "dropping-particle" : "", "family" : "Gouv\u00eaa Rumjanek", "given" : "Norma", "non-dropping-particle" : "", "parse-names" : false, "suffix" : "" } ], "container-title" : "Crop Science", "id" : "ITEM-4", "issue" : "4", "issued" : { "date-parts" : [ [ "2014" ] ] }, "page" : "1737-1743", "title" : "Glyphosate effects on yield, nitrogen fixation, and seed quality in glyphosate-resistant soybean", "type" : "article-journal", "volume" : "54" }, "uris" : [ "http://www.mendeley.com/documents/?uuid=47e97479-1ca1-411e-a1b1-c4c1eb1e161e" ] }, { "id" : "ITEM-5", "itemData" : { "DOI" : "10.1126/science.1080609", "ISBN" : "1095-9203 (Electronic)\\n0036-8075 (Linking)", "ISSN" : "00368075", "PMID" : "12574633", "abstract" : "Onfarm field trials carried out with Bacillus thuringiensis (Bt) cotton in different states of India show that the technology substantially reduces pest damage and increases yields. The yield gains are much higher than what has been reported for other countries where genetically modified crops were used mostly to replace and enhance chemical pest control. In many developing countries, small-scale farmers especially suffer big pest-related yield losses because of technical and economic constraints. Pest-resistant genetically modified crops can contribute to increased yields and agricultural growth in those situations, as the case of Bt cotton in India demonstrates.", "author" : [ { "dropping-particle" : "", "family" : "Qaim", "given" : "Matin", "non-dropping-particle" : "", "parse-names" : false, "suffix" : "" }, { "dropping-particle" : "", "family" : "Zilberman", "given" : "David", "non-dropping-particle" : "", "parse-names" : false, "suffix" : "" } ], "container-title" : "Science (New York, N.Y.)", "id" : "ITEM-5", "issue" : "5608", "issued" : { "date-parts" : [ [ "2003" ] ] }, "page" : "900-902", "title" : "Yield effects of genetically modified crops in developing countries.", "type" : "article-journal", "volume" : "299" }, "uris" : [ "http://www.mendeley.com/documents/?uuid=e5b1ed4b-65fa-4181-ba67-935fb3da7f18" ] } ], "mendeley" : { "formattedCitation" : "(B\u00e4rwald Bohm &lt;i&gt;et al.&lt;/i&gt;, 2014; Brookes e Barfoot, 2014; Chavas, Shi e Lauer, 2014; Qaim e Zilberman, 2003; Sturges &lt;i&gt;et al.&lt;/i&gt;, 2003)", "manualFormatting" : "( see B\u00e4rwald Bohm et al., 2014; Brookes &amp; Barfoot, 2014; Chavas, Shi, &amp; Lauer, 2014; Qaim &amp; Zilberman, 2003; Sturges et al., 2003)", "plainTextFormattedCitation" : "(B\u00e4rwald Bohm et al., 2014; Brookes e Barfoot, 2014; Chavas, Shi e Lauer, 2014; Qaim e Zilberman, 2003; Sturges et al., 2003)", "previouslyFormattedCitation" : "(B\u00e4rwald Bohm &lt;i&gt;et al.&lt;/i&gt;, 2014; Brookes e Barfoot, 2014; Chavas, Shi e Lauer, 2014; Qaim e Zilberman, 2003; Sturges &lt;i&gt;et al.&lt;/i&gt;, 2003)" }, "properties" : { "noteIndex" : 0 }, "schema" : "https://github.com/citation-style-language/schema/raw/master/csl-citation.json" }</w:instrText>
      </w:r>
      <w:r w:rsidRPr="00A7356B">
        <w:fldChar w:fldCharType="separate"/>
      </w:r>
      <w:r w:rsidRPr="00A7356B">
        <w:rPr>
          <w:noProof/>
        </w:rPr>
        <w:t>( see Bärwald Bohm et al., 2014; Brookes &amp; Barfoot, 2014; Chavas, Shi, &amp; Lauer, 2014; Qaim &amp; Zilberman, 2003; Sturges et al., 2003)</w:t>
      </w:r>
      <w:r w:rsidRPr="00A7356B">
        <w:fldChar w:fldCharType="end"/>
      </w:r>
      <w:r w:rsidRPr="00A7356B">
        <w:t xml:space="preserve">. Authors usually point to less expansive and easy control of weed, higher yields and reduction of adoption of tillage systems. </w:t>
      </w:r>
    </w:p>
    <w:p w14:paraId="58851E2F" w14:textId="5005C426" w:rsidR="00A03006" w:rsidRPr="00A7356B" w:rsidRDefault="00A03006" w:rsidP="00231F38">
      <w:pPr>
        <w:pStyle w:val="ANPEC2013"/>
      </w:pPr>
      <w:r w:rsidRPr="00A7356B">
        <w:t>Yield gains are the most questionable benefit being possible to find evidences of negligible or negative effects of technology. However, many studies points to higher yields especially for developing countries in which prior pest controls were poor</w:t>
      </w:r>
      <w:r w:rsidR="000D5DDB" w:rsidRPr="00A7356B">
        <w:t xml:space="preserve"> </w:t>
      </w:r>
      <w:r w:rsidRPr="00A7356B">
        <w:fldChar w:fldCharType="begin" w:fldLock="1"/>
      </w:r>
      <w:r w:rsidR="00105EB7" w:rsidRPr="00A7356B">
        <w:instrText>ADDIN CSL_CITATION { "citationItems" : [ { "id" : "ITEM-1", "itemData" : { "DOI" : "10.1126/science.1080609", "ISBN" : "1095-9203 (Electronic)\\n0036-8075 (Linking)", "ISSN" : "00368075", "PMID" : "12574633", "abstract" : "Onfarm field trials carried out with Bacillus thuringiensis (Bt) cotton in different states of India show that the technology substantially reduces pest damage and increases yields. The yield gains are much higher than what has been reported for other countries where genetically modified crops were used mostly to replace and enhance chemical pest control. In many developing countries, small-scale farmers especially suffer big pest-related yield losses because of technical and economic constraints. Pest-resistant genetically modified crops can contribute to increased yields and agricultural growth in those situations, as the case of Bt cotton in India demonstrates.", "author" : [ { "dropping-particle" : "", "family" : "Qaim", "given" : "Matin", "non-dropping-particle" : "", "parse-names" : false, "suffix" : "" }, { "dropping-particle" : "", "family" : "Zilberman", "given" : "David", "non-dropping-particle" : "", "parse-names" : false, "suffix" : "" } ], "container-title" : "Science (New York, N.Y.)", "id" : "ITEM-1", "issue" : "5608", "issued" : { "date-parts" : [ [ "2003" ] ] }, "page" : "900-902", "title" : "Yield effects of genetically modified crops in developing countries.", "type" : "article-journal", "volume" : "299" }, "uris" : [ "http://www.mendeley.com/documents/?uuid=e5b1ed4b-65fa-4181-ba67-935fb3da7f18" ] } ], "mendeley" : { "formattedCitation" : "(Qaim e Zilberman, 2003)", "plainTextFormattedCitation" : "(Qaim e Zilberman, 2003)", "previouslyFormattedCitation" : "(Qaim e Zilberman, 2003)" }, "properties" : { "noteIndex" : 0 }, "schema" : "https://github.com/citation-style-language/schema/raw/master/csl-citation.json" }</w:instrText>
      </w:r>
      <w:r w:rsidRPr="00A7356B">
        <w:fldChar w:fldCharType="separate"/>
      </w:r>
      <w:r w:rsidR="0021722C" w:rsidRPr="00A7356B">
        <w:rPr>
          <w:noProof/>
        </w:rPr>
        <w:t>(Qaim e Zilberman, 2003)</w:t>
      </w:r>
      <w:r w:rsidRPr="00A7356B">
        <w:fldChar w:fldCharType="end"/>
      </w:r>
      <w:r w:rsidRPr="00A7356B">
        <w:t xml:space="preserve">.  </w:t>
      </w:r>
    </w:p>
    <w:p w14:paraId="05E3E2F8" w14:textId="0D1B6929" w:rsidR="00A03006" w:rsidRPr="00A7356B" w:rsidRDefault="00A03006" w:rsidP="00231F38">
      <w:pPr>
        <w:pStyle w:val="ANPEC2013"/>
      </w:pPr>
      <w:r w:rsidRPr="00A7356B">
        <w:t xml:space="preserve">A recent studied estimated that economic gains reached 116.6 billion of USD from 1996 to 2012. For the soybean case, there was a cut down in production costs, mainly through reduced expenditure on weed control (herbicides). In South America, additionally, there were gains associated with the adoption of no tillage production systems, shortening the production cycle, so enabling famers </w:t>
      </w:r>
      <w:r w:rsidRPr="00A7356B">
        <w:lastRenderedPageBreak/>
        <w:t xml:space="preserve">rip benefits of growing a second crop in the interval of two seasons. They estimate that gains for farm incomes amounted 4.8 billions in 2012 </w:t>
      </w:r>
      <w:r w:rsidRPr="00A7356B">
        <w:fldChar w:fldCharType="begin" w:fldLock="1"/>
      </w:r>
      <w:r w:rsidR="00105EB7" w:rsidRPr="00A7356B">
        <w:instrText>ADDIN CSL_CITATION { "citationItems" : [ { "id" : "ITEM-1", "itemData" : { "DOI" : "10.4161/gmcr.28098", "ISSN" : "2164-5698", "PMID" : "24637520", "abstract" : "A key part of any assessment of the global value of crop biotechnology in agriculture is an examination of its economic impact at the farm level. This paper follows earlier annual studies which examined economic impacts on yields, key costs of production, direct farm income and effects, and impacts on the production base of the four main crops of soybeans, corn, cotton and canola. The commercialization of genetically modified (GM) crops has continued to occur at a rapid rate, with important changes in both the overall level of adoption and impact occurring in 2012. This annual updated analysis shows that there have been very significant net economic benefits at the farm level amounting to $18.8 billion in 2012 and $116.6 billion for the 17-year period (in nominal terms). These economic gains have been divided roughly 50% each to farmers in developed and developing countries. GM technology have also made important contributions to increasing global production levels of the four main crops, having added 122 million tons and 230 million tons respectively, to the global production of soybeans and maize since the introduction of the technology in the mid-1990s.", "author" : [ { "dropping-particle" : "", "family" : "Brookes", "given" : "Graham", "non-dropping-particle" : "", "parse-names" : false, "suffix" : "" }, { "dropping-particle" : "", "family" : "Barfoot", "given" : "Peter", "non-dropping-particle" : "", "parse-names" : false, "suffix" : "" } ], "container-title" : "GM Crops", "id" : "ITEM-1", "issue" : "March", "issued" : { "date-parts" : [ [ "2014" ] ] }, "page" : "http://dx.doi.org/10.4161/gmcr.28098", "title" : "The global income and production effects 1996 \u2013 2012 Economic impact of GM crops", "type" : "article-journal", "volume" : "5698" }, "uris" : [ "http://www.mendeley.com/documents/?uuid=26858a03-5e5c-41bb-a2b9-2316c8b16bff" ] } ], "mendeley" : { "formattedCitation" : "(Brookes e Barfoot, 2014)", "plainTextFormattedCitation" : "(Brookes e Barfoot, 2014)", "previouslyFormattedCitation" : "(Brookes e Barfoot, 2014)" }, "properties" : { "noteIndex" : 0 }, "schema" : "https://github.com/citation-style-language/schema/raw/master/csl-citation.json" }</w:instrText>
      </w:r>
      <w:r w:rsidRPr="00A7356B">
        <w:fldChar w:fldCharType="separate"/>
      </w:r>
      <w:r w:rsidR="0021722C" w:rsidRPr="00A7356B">
        <w:rPr>
          <w:noProof/>
        </w:rPr>
        <w:t>(Brookes e Barfoot, 2014)</w:t>
      </w:r>
      <w:r w:rsidRPr="00A7356B">
        <w:fldChar w:fldCharType="end"/>
      </w:r>
      <w:r w:rsidRPr="00A7356B">
        <w:t xml:space="preserve">. </w:t>
      </w:r>
    </w:p>
    <w:p w14:paraId="1286FB2B" w14:textId="29D130C8" w:rsidR="00A03006" w:rsidRPr="00A7356B" w:rsidRDefault="00A03006" w:rsidP="00231F38">
      <w:pPr>
        <w:pStyle w:val="ANPEC2013"/>
      </w:pPr>
      <w:r w:rsidRPr="00A7356B">
        <w:t xml:space="preserve">It is important to note that technology costs vary across countries and so cost savings also differ. In Argentina technology costs vary from 2-4 dollars per hectare, whereas in Brazil it is 11-25 and in US 15-39. Yield gains are more likely to be seen in Brazil and Argentina where insect resistant varieties improved considerably pest control </w:t>
      </w:r>
      <w:r w:rsidRPr="00A7356B">
        <w:fldChar w:fldCharType="begin" w:fldLock="1"/>
      </w:r>
      <w:r w:rsidR="00105EB7" w:rsidRPr="00A7356B">
        <w:instrText>ADDIN CSL_CITATION { "citationItems" : [ { "id" : "ITEM-1", "itemData" : { "DOI" : "10.2135/cropsci2013.07.0470", "ISSN" : "14350653", "abstract" : "Genetically-modified soybean [Glycine max (L.) Merr.] resistant to glyphosate (N-phosphonomethyl- glycine) herbicide (GR) has turned out to be one of the most highly-used products of plant engineering. The impacts of the soybean, genetically transformed for glyphosate resistance, on the environment under Brazilian soil and climatic conditions are still unknown. For this purpose, two soybean genotypes, one genetically modified (GR BRS 244 RR) and a conventional isogenic genotype were grown under different weed-control methods: hand weeding and glyphosate or imazethapyr herbicide application. The study was performed in Rio Grande do Sul State with evaluations of soil microbial biomass and respiration, biological nitrogen fixation, isoflavone content in seed and glyphosate, and aminomethylphosphonic acid (AMPA) residues in seeds and soil. The use of GR did not affect soil microbial population, biological nitrogen fixation, or plant yield or isoflavone contents in seed. However, even though we used the recommended application doses, the glyphosate residues in the seeds were above levels permitted by Brazilian law. Also, AMPA residues were detected in the soil and the seeds. \u00a9 Crop Science Society of America.", "author" : [ { "dropping-particle" : "", "family" : "B\u00e4rwald Bohm", "given" : "Giani Mariza", "non-dropping-particle" : "", "parse-names" : false, "suffix" : "" }, { "dropping-particle" : "", "family" : "Rombaldi", "given" : "Cesar Valmor", "non-dropping-particle" : "", "parse-names" : false, "suffix" : "" }, { "dropping-particle" : "", "family" : "Genovese", "given" : "Maria In\u00e9s", "non-dropping-particle" : "", "parse-names" : false, "suffix" : "" }, { "dropping-particle" : "", "family" : "Castilhos", "given" : "Danilo", "non-dropping-particle" : "", "parse-names" : false, "suffix" : "" }, { "dropping-particle" : "", "family" : "Rodrigues Alves", "given" : "Bruno Jos\u00e9", "non-dropping-particle" : "", "parse-names" : false, "suffix" : "" }, { "dropping-particle" : "", "family" : "Gouv\u00eaa Rumjanek", "given" : "Norma", "non-dropping-particle" : "", "parse-names" : false, "suffix" : "" } ], "container-title" : "Crop Science", "id" : "ITEM-1", "issue" : "4", "issued" : { "date-parts" : [ [ "2014" ] ] }, "page" : "1737-1743", "title" : "Glyphosate effects on yield, nitrogen fixation, and seed quality in glyphosate-resistant soybean", "type" : "article-journal", "volume" : "54" }, "uris" : [ "http://www.mendeley.com/documents/?uuid=47e97479-1ca1-411e-a1b1-c4c1eb1e161e" ] }, { "id" : "ITEM-2", "itemData" : { "DOI" : "10.4161/gmcr.28098", "ISSN" : "2164-5698", "PMID" : "24637520", "abstract" : "A key part of any assessment of the global value of crop biotechnology in agriculture is an examination of its economic impact at the farm level. This paper follows earlier annual studies which examined economic impacts on yields, key costs of production, direct farm income and effects, and impacts on the production base of the four main crops of soybeans, corn, cotton and canola. The commercialization of genetically modified (GM) crops has continued to occur at a rapid rate, with important changes in both the overall level of adoption and impact occurring in 2012. This annual updated analysis shows that there have been very significant net economic benefits at the farm level amounting to $18.8 billion in 2012 and $116.6 billion for the 17-year period (in nominal terms). These economic gains have been divided roughly 50% each to farmers in developed and developing countries. GM technology have also made important contributions to increasing global production levels of the four main crops, having added 122 million tons and 230 million tons respectively, to the global production of soybeans and maize since the introduction of the technology in the mid-1990s.", "author" : [ { "dropping-particle" : "", "family" : "Brookes", "given" : "Graham", "non-dropping-particle" : "", "parse-names" : false, "suffix" : "" }, { "dropping-particle" : "", "family" : "Barfoot", "given" : "Peter", "non-dropping-particle" : "", "parse-names" : false, "suffix" : "" } ], "container-title" : "GM Crops", "id" : "ITEM-2", "issue" : "March", "issued" : { "date-parts" : [ [ "2014" ] ] }, "page" : "http://dx.doi.org/10.4161/gmcr.28098", "title" : "The global income and production effects 1996 \u2013 2012 Economic impact of GM crops", "type" : "article-journal", "volume" : "5698" }, "uris" : [ "http://www.mendeley.com/documents/?uuid=26858a03-5e5c-41bb-a2b9-2316c8b16bff" ] } ], "mendeley" : { "formattedCitation" : "(B\u00e4rwald Bohm &lt;i&gt;et al.&lt;/i&gt;, 2014; Brookes e Barfoot, 2014)", "plainTextFormattedCitation" : "(B\u00e4rwald Bohm et al., 2014; Brookes e Barfoot, 2014)", "previouslyFormattedCitation" : "(B\u00e4rwald Bohm &lt;i&gt;et al.&lt;/i&gt;, 2014; Brookes e Barfoot, 2014)" }, "properties" : { "noteIndex" : 0 }, "schema" : "https://github.com/citation-style-language/schema/raw/master/csl-citation.json" }</w:instrText>
      </w:r>
      <w:r w:rsidRPr="00A7356B">
        <w:fldChar w:fldCharType="separate"/>
      </w:r>
      <w:r w:rsidR="0021722C" w:rsidRPr="00A7356B">
        <w:rPr>
          <w:noProof/>
        </w:rPr>
        <w:t xml:space="preserve">(Bärwald Bohm </w:t>
      </w:r>
      <w:r w:rsidR="0021722C" w:rsidRPr="00A7356B">
        <w:rPr>
          <w:i/>
          <w:noProof/>
        </w:rPr>
        <w:t>et al.</w:t>
      </w:r>
      <w:r w:rsidR="0021722C" w:rsidRPr="00A7356B">
        <w:rPr>
          <w:noProof/>
        </w:rPr>
        <w:t>, 2014; Brookes e Barfoot, 2014)</w:t>
      </w:r>
      <w:r w:rsidRPr="00A7356B">
        <w:fldChar w:fldCharType="end"/>
      </w:r>
      <w:r w:rsidRPr="00A7356B">
        <w:t xml:space="preserve">. </w:t>
      </w:r>
    </w:p>
    <w:p w14:paraId="5F5E6780" w14:textId="4EB5B951" w:rsidR="00A03006" w:rsidRPr="00A7356B" w:rsidRDefault="00A03006" w:rsidP="00231F38">
      <w:pPr>
        <w:pStyle w:val="ANPEC2013"/>
      </w:pPr>
      <w:r w:rsidRPr="00A7356B">
        <w:t xml:space="preserve">In sum, </w:t>
      </w:r>
      <w:r w:rsidR="000D5DDB" w:rsidRPr="00A7356B">
        <w:t xml:space="preserve">literature shows that, </w:t>
      </w:r>
      <w:r w:rsidRPr="00A7356B">
        <w:t>on the one hand</w:t>
      </w:r>
      <w:r w:rsidR="000D5DDB" w:rsidRPr="00A7356B">
        <w:t>,</w:t>
      </w:r>
      <w:r w:rsidRPr="00A7356B">
        <w:t xml:space="preserve"> we have major producing and exporting countries regulating technology in different ways and, so altering the market forces of international technological diffusion. On the other hand, we have major importers taking different regulatory positions towards this same technology. In addition, consumers all over the word will have different views towards the consumption of products deriving from GMOs. </w:t>
      </w:r>
    </w:p>
    <w:p w14:paraId="43B59342" w14:textId="60196102" w:rsidR="00A03006" w:rsidRPr="00A7356B" w:rsidRDefault="00A03006" w:rsidP="00231F38">
      <w:pPr>
        <w:pStyle w:val="ANPEC2013"/>
      </w:pPr>
      <w:r w:rsidRPr="00A7356B">
        <w:t xml:space="preserve">The combination of this initial scenario will become a unique experiment for studying the interactions of technical change and trade. Overall, a set of empirical and theoretical analysis has been pointing to negative effects of regulatory heterogeneity on trade – mainly through asynchronous approval, mandatory labeling and LLP of unauthorized event. However, empirical analyses have often not considered the effects of technological gap on trade, and this effect is important once not all markets developed levels of hatred against the GMOs technology. </w:t>
      </w:r>
    </w:p>
    <w:p w14:paraId="1BF232C4" w14:textId="6F38EB5E" w:rsidR="00A37384" w:rsidRPr="00A7356B" w:rsidRDefault="00A03006" w:rsidP="00231F38">
      <w:pPr>
        <w:pStyle w:val="ANPEC2013"/>
      </w:pPr>
      <w:r w:rsidRPr="00A7356B">
        <w:t>It is the same of saying that for each approval o</w:t>
      </w:r>
      <w:r w:rsidR="008A2512" w:rsidRPr="00A7356B">
        <w:t xml:space="preserve">f a new variety, </w:t>
      </w:r>
      <w:r w:rsidRPr="00A7356B">
        <w:t xml:space="preserve">countries are facing not only a commercial risk but also an opportunity costs defined as the distance a country is taken from the most innovative markets. </w:t>
      </w:r>
      <w:r w:rsidRPr="00A7356B">
        <w:tab/>
      </w:r>
    </w:p>
    <w:p w14:paraId="3B1891E4" w14:textId="0B1DF074" w:rsidR="000E4EF5" w:rsidRPr="00A7356B" w:rsidRDefault="00D71D39" w:rsidP="005546EF">
      <w:pPr>
        <w:pStyle w:val="title1-d"/>
        <w:numPr>
          <w:ilvl w:val="0"/>
          <w:numId w:val="0"/>
        </w:numPr>
        <w:ind w:firstLine="720"/>
      </w:pPr>
      <w:bookmarkStart w:id="2" w:name="_Toc318840705"/>
      <w:r w:rsidRPr="00A7356B">
        <w:t>3</w:t>
      </w:r>
      <w:r w:rsidR="000E4EF5" w:rsidRPr="00A7356B">
        <w:t>. Method</w:t>
      </w:r>
      <w:bookmarkEnd w:id="2"/>
    </w:p>
    <w:p w14:paraId="798AA827" w14:textId="0736F7A8" w:rsidR="000E4EF5" w:rsidRPr="00A7356B" w:rsidRDefault="000E4EF5" w:rsidP="00231F38">
      <w:pPr>
        <w:pStyle w:val="ANPEC2013"/>
      </w:pPr>
      <w:r w:rsidRPr="00A7356B">
        <w:t xml:space="preserve">In this particular study, we </w:t>
      </w:r>
      <w:r w:rsidR="006A1931" w:rsidRPr="00A7356B">
        <w:t>estimate</w:t>
      </w:r>
      <w:r w:rsidRPr="00A7356B">
        <w:t xml:space="preserve"> a gravity equation to analyze trade of </w:t>
      </w:r>
      <w:r w:rsidR="00B4394C" w:rsidRPr="00A7356B">
        <w:t>one-product</w:t>
      </w:r>
      <w:r w:rsidRPr="00A7356B">
        <w:t xml:space="preserve"> and breakdown</w:t>
      </w:r>
      <w:r w:rsidR="00B4394C" w:rsidRPr="00A7356B">
        <w:t xml:space="preserve"> technology change effects into</w:t>
      </w:r>
      <w:r w:rsidRPr="00A7356B">
        <w:t xml:space="preserve"> technological gap and demand lag</w:t>
      </w:r>
      <w:r w:rsidR="00B4394C" w:rsidRPr="00A7356B">
        <w:t xml:space="preserve"> in the presence of heterogeneous firms and asymmetrical approval of the new technology</w:t>
      </w:r>
      <w:r w:rsidR="002B5583" w:rsidRPr="00A7356B">
        <w:t xml:space="preserve">. </w:t>
      </w:r>
      <w:r w:rsidR="00B4394C" w:rsidRPr="00A7356B">
        <w:t>These</w:t>
      </w:r>
      <w:r w:rsidR="002B5583" w:rsidRPr="00A7356B">
        <w:t xml:space="preserve"> objectives create</w:t>
      </w:r>
      <w:r w:rsidR="00121F88" w:rsidRPr="00A7356B">
        <w:t>d</w:t>
      </w:r>
      <w:r w:rsidR="002B5583" w:rsidRPr="00A7356B">
        <w:t xml:space="preserve"> three </w:t>
      </w:r>
      <w:r w:rsidR="00F600F1">
        <w:t xml:space="preserve">estimation </w:t>
      </w:r>
      <w:r w:rsidR="002B5583" w:rsidRPr="00A7356B">
        <w:t xml:space="preserve">related challenges. </w:t>
      </w:r>
    </w:p>
    <w:p w14:paraId="01F6FBDE" w14:textId="01859F8B" w:rsidR="002B5583" w:rsidRPr="00A7356B" w:rsidRDefault="002B5583" w:rsidP="00231F38">
      <w:pPr>
        <w:pStyle w:val="ANPEC2013"/>
      </w:pPr>
      <w:r w:rsidRPr="00A7356B">
        <w:t>First,</w:t>
      </w:r>
      <w:r w:rsidR="000E4EF5" w:rsidRPr="00A7356B">
        <w:t xml:space="preserve"> we cannot resort to the convenience </w:t>
      </w:r>
      <w:r w:rsidR="005751F5" w:rsidRPr="00A7356B">
        <w:t>of using</w:t>
      </w:r>
      <w:r w:rsidR="000E4EF5" w:rsidRPr="00A7356B">
        <w:t xml:space="preserve"> country fixed effects, as it would hamper the estimation of </w:t>
      </w:r>
      <w:r w:rsidR="005751F5" w:rsidRPr="00A7356B">
        <w:t xml:space="preserve">the </w:t>
      </w:r>
      <w:r w:rsidR="000E4EF5" w:rsidRPr="00A7356B">
        <w:t xml:space="preserve">technological gap, </w:t>
      </w:r>
      <w:r w:rsidR="00121F88" w:rsidRPr="00A7356B">
        <w:t>which is a</w:t>
      </w:r>
      <w:r w:rsidR="000E4EF5" w:rsidRPr="00A7356B">
        <w:t xml:space="preserve"> country-level variable. </w:t>
      </w:r>
      <w:r w:rsidR="005C6A6D" w:rsidRPr="00A7356B">
        <w:t>So we have</w:t>
      </w:r>
      <w:r w:rsidR="000E4EF5" w:rsidRPr="00A7356B">
        <w:t xml:space="preserve"> use</w:t>
      </w:r>
      <w:r w:rsidR="005C6A6D" w:rsidRPr="00A7356B">
        <w:t>d</w:t>
      </w:r>
      <w:r w:rsidR="000E4EF5" w:rsidRPr="00A7356B">
        <w:t xml:space="preserve"> country </w:t>
      </w:r>
      <m:oMath>
        <m:r>
          <w:rPr>
            <w:rFonts w:ascii="Cambria Math" w:hAnsi="Cambria Math"/>
          </w:rPr>
          <m:t>i's</m:t>
        </m:r>
      </m:oMath>
      <w:r w:rsidR="000E4EF5" w:rsidRPr="00A7356B">
        <w:t xml:space="preserve"> production and country </w:t>
      </w:r>
      <m:oMath>
        <m:r>
          <w:rPr>
            <w:rFonts w:ascii="Cambria Math" w:hAnsi="Cambria Math"/>
          </w:rPr>
          <m:t>j's</m:t>
        </m:r>
      </m:oMath>
      <w:r w:rsidR="000E4EF5" w:rsidRPr="00A7356B">
        <w:t xml:space="preserve"> consumption of these commodities to control for size. This procedure is not only recommended but also desired when working with industrial data </w:t>
      </w:r>
      <w:r w:rsidR="000E4EF5" w:rsidRPr="00A7356B">
        <w:fldChar w:fldCharType="begin" w:fldLock="1"/>
      </w:r>
      <w:r w:rsidR="00105EB7" w:rsidRPr="00A7356B">
        <w:instrText>ADDIN CSL_CITATION { "citationItems" : [ { "id" : "ITEM-1", "itemData" : { "DOI" : "10.1016/B978-0-444-54314-1.00003-3", "ISBN" : "9780444543141", "ISSN" : "1573-4404", "abstract" : "This chapter focuses on the estimation and interpretation of gravity equations for bilateral trade. This necessarily involves a careful consideration of the theoretical underpinnings since it has become clear that naive approaches to estimation lead to biased and frequently misin- terpreted results. There are now several theory-consistent estimation methods and we argue against sole reliance on any one method and instead advocate a toolkit approach. One estima- tor may be preferred for certain types of data or research questions but more often the methods should be used in concert to establish robustness. In recent years, estimation has become just a first step before a deeper analysis of the implications of the results, notably in terms of wel- fare. We try to facilitate diffusion of best-practice methods by illustrating their application in a step-by-step cookbook mode of exposition.", "author" : [ { "dropping-particle" : "", "family" : "Head", "given" : "Keith", "non-dropping-particle" : "", "parse-names" : false, "suffix" : "" }, { "dropping-particle" : "", "family" : "Mayer", "given" : "Thierry", "non-dropping-particle" : "", "parse-names" : false, "suffix" : "" } ], "container-title" : "Handbook of International Economics", "id" : "ITEM-1", "issued" : { "date-parts" : [ [ "2013" ] ] }, "page" : "63", "title" : "Gravity Equations: Workhorse, Toolkit, and Cookbook", "type" : "article-journal" }, "uris" : [ "http://www.mendeley.com/documents/?uuid=68b102e6-4331-46b2-b420-78de10cf8261" ] } ], "mendeley" : { "formattedCitation" : "(Head e Mayer, 2013)", "plainTextFormattedCitation" : "(Head e Mayer, 2013)", "previouslyFormattedCitation" : "(Head e Mayer, 2013)" }, "properties" : { "noteIndex" : 0 }, "schema" : "https://github.com/citation-style-language/schema/raw/master/csl-citation.json" }</w:instrText>
      </w:r>
      <w:r w:rsidR="000E4EF5" w:rsidRPr="00A7356B">
        <w:fldChar w:fldCharType="separate"/>
      </w:r>
      <w:r w:rsidR="0021722C" w:rsidRPr="00A7356B">
        <w:rPr>
          <w:noProof/>
        </w:rPr>
        <w:t>(Head e Mayer, 2013)</w:t>
      </w:r>
      <w:r w:rsidR="000E4EF5" w:rsidRPr="00A7356B">
        <w:fldChar w:fldCharType="end"/>
      </w:r>
      <w:r w:rsidR="000E4EF5" w:rsidRPr="00A7356B">
        <w:t xml:space="preserve">. The advantage of this procedure is to avoid the problems of aggregation bias, getting more straightforward coefficients in terms of interpretation. </w:t>
      </w:r>
      <w:r w:rsidRPr="00A7356B">
        <w:t>B</w:t>
      </w:r>
      <w:r w:rsidR="006A1931" w:rsidRPr="00A7356B">
        <w:t xml:space="preserve">y not using country’s fixed effects </w:t>
      </w:r>
      <w:r w:rsidR="00121F88" w:rsidRPr="00A7356B">
        <w:t>the control for Multilateral Resistance of T</w:t>
      </w:r>
      <w:r w:rsidR="006A1931" w:rsidRPr="00A7356B">
        <w:t>rade (MTR) become central to avoid the so called golden medal mistake of gravity equation</w:t>
      </w:r>
      <w:r w:rsidR="00121F88" w:rsidRPr="00A7356B">
        <w:t xml:space="preserve"> </w:t>
      </w:r>
      <w:r w:rsidR="006A1931" w:rsidRPr="00A7356B">
        <w:fldChar w:fldCharType="begin" w:fldLock="1"/>
      </w:r>
      <w:r w:rsidR="00D73118" w:rsidRPr="00A7356B">
        <w:instrText>ADDIN CSL_CITATION { "citationItems" : [ { "id" : "ITEM-1", "itemData" : { "author" : [ { "dropping-particle" : "", "family" : "Anderson", "given" : "James E", "non-dropping-particle" : "", "parse-names" : false, "suffix" : "" }, { "dropping-particle" : "Van", "family" : "Wincoop", "given" : "Eric", "non-dropping-particle" : "", "parse-names" : false, "suffix" : "" } ], "container-title" : "The American Economic Review", "id" : "ITEM-1", "issue" : "1", "issued" : { "date-parts" : [ [ "2003" ] ] }, "page" : "170-192", "title" : "Gravity with Gravitas : A Solution to the Border Puzzle", "type" : "article-journal", "volume" : "93" }, "uris" : [ "http://www.mendeley.com/documents/?uuid=b4709b0f-f00b-4e26-921f-bee52434e8d6" ] }, { "id" : "ITEM-2", "itemData" : { "author" : [ { "dropping-particle" : "", "family" : "WTO", "given" : "", "non-dropping-particle" : "", "parse-names" : false, "suffix" : "" }, { "dropping-particle" : "", "family" : "UNCTAD", "given" : "", "non-dropping-particle" : "", "parse-names" : false, "suffix" : "" } ], "container-title" : "A Pratical Guide to Trade Policy Analysis", "id" : "ITEM-2", "issued" : { "date-parts" : [ [ "2012" ] ] }, "page" : "101-136", "title" : "Analyzing bilateral trade using gravity equation", "type" : "chapter" }, "uris" : [ "http://www.mendeley.com/documents/?uuid=36de047c-6fbb-42f7-b42c-af268c4a7ac9" ] } ], "mendeley" : { "formattedCitation" : "(Anderson e Wincoop, 2003; WTO e UNCTAD, 2012)", "plainTextFormattedCitation" : "(Anderson e Wincoop, 2003; WTO e UNCTAD, 2012)", "previouslyFormattedCitation" : "(Anderson e Wincoop, 2003; WTO e UNCTAD, 2012)" }, "properties" : { "noteIndex" : 0 }, "schema" : "https://github.com/citation-style-language/schema/raw/master/csl-citation.json" }</w:instrText>
      </w:r>
      <w:r w:rsidR="006A1931" w:rsidRPr="00A7356B">
        <w:fldChar w:fldCharType="separate"/>
      </w:r>
      <w:r w:rsidR="006A1931" w:rsidRPr="00A7356B">
        <w:rPr>
          <w:noProof/>
        </w:rPr>
        <w:t>(Anderson e Wincoop, 2003; WTO e UNCTAD, 2012)</w:t>
      </w:r>
      <w:r w:rsidR="006A1931" w:rsidRPr="00A7356B">
        <w:fldChar w:fldCharType="end"/>
      </w:r>
      <w:r w:rsidR="006A1931" w:rsidRPr="00A7356B">
        <w:t xml:space="preserve">. </w:t>
      </w:r>
      <w:r w:rsidRPr="00A7356B">
        <w:t xml:space="preserve">We have used the remoteness index as described by </w:t>
      </w:r>
      <w:r w:rsidRPr="00A7356B">
        <w:rPr>
          <w:noProof/>
        </w:rPr>
        <w:t>Head e Mayer (2013</w:t>
      </w:r>
      <w:r w:rsidR="00121F88" w:rsidRPr="00A7356B">
        <w:rPr>
          <w:noProof/>
        </w:rPr>
        <w:t>)</w:t>
      </w:r>
      <w:r w:rsidRPr="00A7356B">
        <w:rPr>
          <w:noProof/>
        </w:rPr>
        <w:t xml:space="preserve">. </w:t>
      </w:r>
    </w:p>
    <w:p w14:paraId="0FEA3806" w14:textId="688C1194" w:rsidR="000E4EF5" w:rsidRPr="00A7356B" w:rsidRDefault="006A1931" w:rsidP="00231F38">
      <w:pPr>
        <w:pStyle w:val="ANPEC2013"/>
      </w:pPr>
      <w:r w:rsidRPr="00A7356B">
        <w:t xml:space="preserve">Second, when considering a small continuum of goods the number of non-positive trade flows increase considerably creating </w:t>
      </w:r>
      <w:r w:rsidR="00121F88" w:rsidRPr="00A7356B">
        <w:t>difficulties</w:t>
      </w:r>
      <w:r w:rsidRPr="00A7356B">
        <w:t xml:space="preserve"> to estimating the </w:t>
      </w:r>
      <w:r w:rsidR="002B5583" w:rsidRPr="00A7356B">
        <w:t xml:space="preserve">log-linear form of the model.  </w:t>
      </w:r>
      <w:r w:rsidR="000E4EF5" w:rsidRPr="00A7356B">
        <w:t xml:space="preserve">Simply cutting out zero-valued flows from the sample is not the best solution since it can potentially create a problem of strong sample selection bias. Yet, zeroes can be meaningful in some situations as when impeditive fixed costs are playing a role in the chance of a country </w:t>
      </w:r>
      <m:oMath>
        <m:r>
          <w:rPr>
            <w:rFonts w:ascii="Cambria Math" w:hAnsi="Cambria Math"/>
          </w:rPr>
          <m:t>i</m:t>
        </m:r>
      </m:oMath>
      <w:r w:rsidR="000E4EF5" w:rsidRPr="00A7356B">
        <w:t xml:space="preserve"> export</w:t>
      </w:r>
      <w:r w:rsidR="005751F5" w:rsidRPr="00A7356B">
        <w:t>ing</w:t>
      </w:r>
      <w:r w:rsidR="000E4EF5" w:rsidRPr="00A7356B">
        <w:t xml:space="preserve"> to country </w:t>
      </w:r>
      <m:oMath>
        <m:r>
          <w:rPr>
            <w:rFonts w:ascii="Cambria Math" w:hAnsi="Cambria Math"/>
          </w:rPr>
          <m:t>j</m:t>
        </m:r>
      </m:oMath>
      <w:r w:rsidR="000E4EF5" w:rsidRPr="00A7356B">
        <w:t xml:space="preserve"> – what may </w:t>
      </w:r>
      <w:r w:rsidR="00121F88" w:rsidRPr="00A7356B">
        <w:t>occur</w:t>
      </w:r>
      <w:r w:rsidR="000E4EF5" w:rsidRPr="00A7356B">
        <w:t xml:space="preserve"> in our case if levels of “hatred” are big enough to cripple some trade flows. Econometric tests show that censored or truncated regressions and replacement of zeroes with arbitrary numbers are biased and also not preferred to two-stage selection models </w:t>
      </w:r>
      <w:r w:rsidR="000E4EF5" w:rsidRPr="00A7356B">
        <w:fldChar w:fldCharType="begin" w:fldLock="1"/>
      </w:r>
      <w:r w:rsidR="00105EB7" w:rsidRPr="00A7356B">
        <w:instrText>ADDIN CSL_CITATION { "citationItems" : [ { "id" : "ITEM-1", "itemData" : { "DOI" : "10.2139/ssrn.924160", "ISSN" : "15565068", "abstract" : "The gravity model is the workhorse model to describe and explain variation in bilateral trade patterns. Consistent with both Heckscher-Ohlin models and models of imperfect competition and trade, this versatile model has proven to be very successful, explaining a large part of the variance in trade flows. However, the log-linear model cannot straightforwardly account for the occurrence of zero-valued trade flows between pairs of countries. This paper investigates the various approaches suggested to deal with zero flows. Apart from the option to omit the zero flows from the sample, various extensions of Tobit estimation, truncated regression, probit regression and substitutions for zero flows have been suggested. We argue that the choice of method should be based on both economic and econometric considerations. The sample selection model appears to fit both considerations best. Moreover, we show that the choice of method may matter greatly for the results. In the end, the results surprisingly suggest that the simplest solution, to omit zero flows from the sample, often leads to acceptable results, although the sample selection model is preferred theoretically and econometrically.", "author" : [ { "dropping-particle" : "", "family" : "Linders", "given" : "Gert-Jan M.", "non-dropping-particle" : "", "parse-names" : false, "suffix" : "" }, { "dropping-particle" : "", "family" : "Groot", "given" : "Henri L.F.", "non-dropping-particle" : "De", "parse-names" : false, "suffix" : "" } ], "container-title" : "Tinbergen Institute Discussion Paper", "id" : "ITEM-1", "issued" : { "date-parts" : [ [ "2006" ] ] }, "number-of-pages" : "1-26", "publisher-place" : "Amsterdam", "title" : "Estimation of the Gravity Equation in the Presence of Zero Flows", "type" : "report" }, "uris" : [ "http://www.mendeley.com/documents/?uuid=5b67bbf7-c03d-4939-bedd-e409c9a1c13f" ] } ], "mendeley" : { "formattedCitation" : "(Linders e Groot, De, 2006)", "plainTextFormattedCitation" : "(Linders e Groot, De, 2006)", "previouslyFormattedCitation" : "(Linders e Groot, De, 2006)" }, "properties" : { "noteIndex" : 0 }, "schema" : "https://github.com/citation-style-language/schema/raw/master/csl-citation.json" }</w:instrText>
      </w:r>
      <w:r w:rsidR="000E4EF5" w:rsidRPr="00A7356B">
        <w:fldChar w:fldCharType="separate"/>
      </w:r>
      <w:r w:rsidR="0021722C" w:rsidRPr="00A7356B">
        <w:rPr>
          <w:noProof/>
        </w:rPr>
        <w:t>(Linders e Groot, De, 2006)</w:t>
      </w:r>
      <w:r w:rsidR="000E4EF5" w:rsidRPr="00A7356B">
        <w:fldChar w:fldCharType="end"/>
      </w:r>
      <w:r w:rsidR="000E4EF5" w:rsidRPr="00A7356B">
        <w:t xml:space="preserve">. </w:t>
      </w:r>
      <w:r w:rsidR="002B5583" w:rsidRPr="00A7356B">
        <w:t>Thus, we have employed an adapted</w:t>
      </w:r>
      <w:r w:rsidR="000E4EF5" w:rsidRPr="00A7356B">
        <w:t xml:space="preserve"> </w:t>
      </w:r>
      <w:r w:rsidR="000E4EF5" w:rsidRPr="00A7356B">
        <w:fldChar w:fldCharType="begin" w:fldLock="1"/>
      </w:r>
      <w:r w:rsidR="000E4EF5" w:rsidRPr="00A7356B">
        <w:instrText>ADDIN CSL_CITATION { "citationItems" : [ { "id" : "ITEM-1", "itemData" : { "author" : [ { "dropping-particle" : "", "family" : "Heckman", "given" : "JJ", "non-dropping-particle" : "", "parse-names" : false, "suffix" : "" } ], "container-title" : "Econometrica: Journal of the econometric society", "id" : "ITEM-1", "issue" : "1", "issued" : { "date-parts" : [ [ "1979" ] ] }, "page" : "153-161", "title" : "Sample selection bias as a specification error", "type" : "article-journal", "volume" : "47" }, "uris" : [ "http://www.mendeley.com/documents/?uuid=b050412c-77cf-400d-9267-187220252144" ] } ], "mendeley" : { "formattedCitation" : "(Heckman, 1979)", "manualFormatting" : "Heckman (1979)", "plainTextFormattedCitation" : "(Heckman, 1979)", "previouslyFormattedCitation" : "(Heckman, 1979)" }, "properties" : { "noteIndex" : 0 }, "schema" : "https://github.com/citation-style-language/schema/raw/master/csl-citation.json" }</w:instrText>
      </w:r>
      <w:r w:rsidR="000E4EF5" w:rsidRPr="00A7356B">
        <w:fldChar w:fldCharType="separate"/>
      </w:r>
      <w:r w:rsidR="000E4EF5" w:rsidRPr="00A7356B">
        <w:rPr>
          <w:noProof/>
        </w:rPr>
        <w:t>Heckman (1979)</w:t>
      </w:r>
      <w:r w:rsidR="000E4EF5" w:rsidRPr="00A7356B">
        <w:fldChar w:fldCharType="end"/>
      </w:r>
      <w:r w:rsidR="000E4EF5" w:rsidRPr="00A7356B">
        <w:t xml:space="preserve"> two-stage model to correct for sample bias</w:t>
      </w:r>
      <w:r w:rsidR="002B5583" w:rsidRPr="00A7356B">
        <w:t>, as presented by the influential paper by Helpman</w:t>
      </w:r>
      <w:r w:rsidR="00121F88" w:rsidRPr="00A7356B">
        <w:rPr>
          <w:i/>
        </w:rPr>
        <w:t xml:space="preserve">, </w:t>
      </w:r>
      <w:proofErr w:type="spellStart"/>
      <w:r w:rsidR="00121F88" w:rsidRPr="00A7356B">
        <w:t>Melits</w:t>
      </w:r>
      <w:proofErr w:type="spellEnd"/>
      <w:r w:rsidR="00121F88" w:rsidRPr="00A7356B">
        <w:t xml:space="preserve"> and Rubinstein </w:t>
      </w:r>
      <w:r w:rsidR="002B5583" w:rsidRPr="00A7356B">
        <w:t>(2008)</w:t>
      </w:r>
      <w:r w:rsidR="00121F88" w:rsidRPr="00A7356B">
        <w:t>,</w:t>
      </w:r>
      <w:r w:rsidR="002B5583" w:rsidRPr="00A7356B">
        <w:t xml:space="preserve"> wh</w:t>
      </w:r>
      <w:r w:rsidR="00121F88" w:rsidRPr="00A7356B">
        <w:t>ich</w:t>
      </w:r>
      <w:r w:rsidR="002B5583" w:rsidRPr="00A7356B">
        <w:t xml:space="preserve"> also controls for firm heterogeneity </w:t>
      </w:r>
      <w:r w:rsidR="005751F5" w:rsidRPr="00A7356B">
        <w:t xml:space="preserve">by </w:t>
      </w:r>
      <w:r w:rsidR="002B5583" w:rsidRPr="00A7356B">
        <w:t xml:space="preserve">assuming monopolistic competition. </w:t>
      </w:r>
    </w:p>
    <w:p w14:paraId="3E3C21CA" w14:textId="77777777" w:rsidR="00C61C04" w:rsidRDefault="00A00485" w:rsidP="00231F38">
      <w:pPr>
        <w:pStyle w:val="ANPEC2013"/>
      </w:pPr>
      <w:r w:rsidRPr="00A7356B">
        <w:t xml:space="preserve">Third, </w:t>
      </w:r>
      <w:r w:rsidR="000E4EF5" w:rsidRPr="00A7356B">
        <w:t xml:space="preserve">technology gap and the demand lag will change over time, and will impact differently on trade for each </w:t>
      </w:r>
      <w:r w:rsidR="00121F88" w:rsidRPr="00A7356B">
        <w:t>year</w:t>
      </w:r>
      <w:r w:rsidR="000E4EF5" w:rsidRPr="00A7356B">
        <w:t xml:space="preserve"> </w:t>
      </w:r>
      <m:oMath>
        <m:r>
          <w:rPr>
            <w:rFonts w:ascii="Cambria Math" w:hAnsi="Cambria Math"/>
          </w:rPr>
          <m:t>t</m:t>
        </m:r>
      </m:oMath>
      <w:r w:rsidR="000E4EF5" w:rsidRPr="00A7356B">
        <w:t xml:space="preserve">. </w:t>
      </w:r>
      <w:r w:rsidR="00121F88" w:rsidRPr="00A7356B">
        <w:t>HMR</w:t>
      </w:r>
      <w:r w:rsidR="000C5259" w:rsidRPr="00A7356B">
        <w:t xml:space="preserve"> (2008) developed a </w:t>
      </w:r>
      <w:r w:rsidR="00121F88" w:rsidRPr="00A7356B">
        <w:t>complete</w:t>
      </w:r>
      <w:r w:rsidR="000C5259" w:rsidRPr="00A7356B">
        <w:t xml:space="preserve"> model to assess </w:t>
      </w:r>
      <w:r w:rsidR="00121F88" w:rsidRPr="00A7356B">
        <w:t xml:space="preserve">cross-sectional </w:t>
      </w:r>
      <w:r w:rsidR="00121F88" w:rsidRPr="00A7356B">
        <w:lastRenderedPageBreak/>
        <w:t xml:space="preserve">or pooled data. But </w:t>
      </w:r>
      <w:r w:rsidR="000C5259" w:rsidRPr="00A7356B">
        <w:t xml:space="preserve">the calculation of controls for firm heterogeneity and selection bias </w:t>
      </w:r>
      <w:r w:rsidR="00121F88" w:rsidRPr="00A7356B">
        <w:t xml:space="preserve">are </w:t>
      </w:r>
      <w:r w:rsidR="000C5259" w:rsidRPr="00A7356B">
        <w:t>not ready to go with panel data analysis. Several papers attempted to provide a final solution for Heckman type correction in panel</w:t>
      </w:r>
      <w:r w:rsidR="00121F88" w:rsidRPr="00A7356B">
        <w:t>-data</w:t>
      </w:r>
      <w:r w:rsidR="000C5259" w:rsidRPr="00A7356B">
        <w:t xml:space="preserve">, but until </w:t>
      </w:r>
      <w:r w:rsidR="005751F5" w:rsidRPr="00A7356B">
        <w:t>today</w:t>
      </w:r>
      <w:r w:rsidR="000C5259" w:rsidRPr="00A7356B">
        <w:t xml:space="preserve"> there is no optimal solving for this puzzle </w:t>
      </w:r>
      <w:r w:rsidR="000C5259" w:rsidRPr="00A7356B">
        <w:fldChar w:fldCharType="begin" w:fldLock="1"/>
      </w:r>
      <w:r w:rsidR="00105B2E" w:rsidRPr="00A7356B">
        <w:instrText>ADDIN CSL_CITATION { "citationItems" : [ { "id" : "ITEM-1", "itemData" : { "author" : [ { "dropping-particle" : "", "family" : "Mart\u00ednez-zarzoso", "given" : "Inmaculada", "non-dropping-particle" : "", "parse-names" : false, "suffix" : "" }, { "dropping-particle" : "", "family" : "Vidovic", "given" : "Maritna", "non-dropping-particle" : "", "parse-names" : false, "suffix" : "" }, { "dropping-particle" : "", "family" : "Voicu", "given" : "Anca M", "non-dropping-particle" : "", "parse-names" : false, "suffix" : "" } ], "container-title" : "Category 8: Trade Policy", "id" : "ITEM-1", "issued" : { "date-parts" : [ [ "2014" ] ] }, "number" : "No. 4903", "publisher-place" : "Munich", "title" : "EU-Accession Effects on Sectoral Trade : A Helpman-Melitz-Rubinstein Approach with Panel Data", "type" : "report" }, "uris" : [ "http://www.mendeley.com/documents/?uuid=2e4b561b-a3eb-4da2-b123-5b9f703d0d6e" ] }, { "id" : "ITEM-2", "itemData" : { "DOI" : "10.1007/s00181-012-0576-2", "ISSN" : "0377-7332", "author" : [ { "dropping-particle" : "", "family" : "G\u00f3mez-Herrera", "given" : "Estrella", "non-dropping-particle" : "", "parse-names" : false, "suffix" : "" } ], "container-title" : "Empirical Economics", "id" : "ITEM-2", "issue" : "3", "issued" : { "date-parts" : [ [ "2012", "3", "28" ] ] }, "note" : "- think about the heteoskedasticity and zeros\n\n- to use panel data is an option\n\n- methods that do not consider zero trade exhibit noticebly the worse perfomance. \n\n- on the other hand, nonlinear estimators show more accurate results and are robust to the presence of heteroskedasticicity\n\n- multilateral resistence may matter for hetero...\n\n- preference is a problem to the model. \n\n- helpman et al. (2008) uses cross section dataset, for panel framework is very recent. \n\n- multilateral price index are not observed (they used distances, borders and income shares to estimate)\n\n- think about using baier and bergstrand (2009) first order Taylor series expansion. \n\n- gpd per capita as a proxy for capital-labour intensities. \n\ntransactions costs are frequently proxied by geografical distande. \n\n- erros s\u00e3o endogenos ou exogenos (ramdom or fixed effect)-- Under the null hypothesis of zero correclation, the random effects modle is more efficiente. However, if the null is rejected, only the fixed effects provides consistent estimatiors.\n\n- poisson pseudo maximum likelihood\n\n- kernel density\n\n- when ubnverse mills ratio is highly significant, thus a sample selection bias exists.", "page" : "1087-1111", "title" : "Comparing alternative methods to estimate gravity models of bilateral trade", "type" : "article-journal", "volume" : "44" }, "uris" : [ "http://www.mendeley.com/documents/?uuid=07111f9b-4080-48ad-ba11-b4f3bf8c4ba6" ] }, { "id" : "ITEM-3", "itemData" : { "abstract" : "This paper considers the adaptability of estimation methods for binary response panel data models to multiple fixed effects. It is motivated by the gravity equation used in international trade, where important papers such as Helpman, Melitz and Rubinstein (2008) use binary response models with fixed effects for both importing and exporting countries. Econometric theory has mostly focused on the estimation of single fixed effects models. This paper investigates whether existing methods can be modified to eliminate multiple fixed effects for two specific models in which the incidental parameter problem has already been solved in the presence of a single fixed effect. We find that it is possible to generalize the conditional maximum likelihood approach of Rasch (1960, 1961) to include two fixed effects for the logit. Surprisingly, despite many similarities with the logit, Manski\u2019s (1987) maximum score estimator for binary response models cannot be adapted to the presence of two fixed effects. Monte Carlo simulations show that the conditional logit estimator presented in this paper is less biased than other logit estimators without sacrificing on precision. This superiority is emphasized in small samples. An application to trade data using the logit estimator further highlights the importance of properly accounting for two fixed effects.", "author" : [ { "dropping-particle" : "", "family" : "Charbonneau", "given" : "Karyne B.", "non-dropping-particle" : "", "parse-names" : false, "suffix" : "" } ], "id" : "ITEM-3", "issued" : { "date-parts" : [ [ "2014" ] ] }, "number-of-pages" : "37", "publisher-place" : "Ottawa", "title" : "Multiple Fixed Effects in Binary Response Panel Data Models", "type" : "report" }, "uris" : [ "http://www.mendeley.com/documents/?uuid=06f4bd3b-7519-40f9-8221-13aebcd0c9fa" ] } ], "mendeley" : { "formattedCitation" : "(Charbonneau, 2014; G\u00f3mez-Herrera, 2012; Mart\u00ednez-zarzoso, Vidovic e Voicu, 2014)", "plainTextFormattedCitation" : "(Charbonneau, 2014; G\u00f3mez-Herrera, 2012; Mart\u00ednez-zarzoso, Vidovic e Voicu, 2014)", "previouslyFormattedCitation" : "(Charbonneau, 2014; G\u00f3mez-Herrera, 2012; Mart\u00ednez-zarzoso, Vidovic e Voicu, 2014)" }, "properties" : { "noteIndex" : 0 }, "schema" : "https://github.com/citation-style-language/schema/raw/master/csl-citation.json" }</w:instrText>
      </w:r>
      <w:r w:rsidR="000C5259" w:rsidRPr="00A7356B">
        <w:fldChar w:fldCharType="separate"/>
      </w:r>
      <w:r w:rsidR="000C5259" w:rsidRPr="00A7356B">
        <w:rPr>
          <w:noProof/>
        </w:rPr>
        <w:t>(Charbonneau, 2014; Gómez-Herrera, 2012; Martínez-zarzoso, Vidovic e Voicu, 2014)</w:t>
      </w:r>
      <w:r w:rsidR="000C5259" w:rsidRPr="00A7356B">
        <w:fldChar w:fldCharType="end"/>
      </w:r>
      <w:r w:rsidR="000C5259" w:rsidRPr="00A7356B">
        <w:t xml:space="preserve">. </w:t>
      </w:r>
      <w:r w:rsidR="005751F5" w:rsidRPr="00A7356B">
        <w:t>Thus,</w:t>
      </w:r>
      <w:r w:rsidR="000C5259" w:rsidRPr="00A7356B">
        <w:t xml:space="preserve"> we decided to estimate </w:t>
      </w:r>
      <w:r w:rsidR="00121F88" w:rsidRPr="00A7356B">
        <w:t>HMR</w:t>
      </w:r>
      <w:r w:rsidR="000C5259" w:rsidRPr="00A7356B">
        <w:t xml:space="preserve"> controls for firm heterogeneity and sample selection bias as in </w:t>
      </w:r>
      <w:r w:rsidR="000C5259" w:rsidRPr="00A7356B">
        <w:fldChar w:fldCharType="begin" w:fldLock="1"/>
      </w:r>
      <w:r w:rsidR="000C5259" w:rsidRPr="00A7356B">
        <w:instrText>ADDIN CSL_CITATION { "citationItems" : [ { "id" : "ITEM-1", "itemData" : { "author" : [ { "dropping-particle" : "", "family" : "Mart\u00ednez-zarzoso", "given" : "Inmaculada", "non-dropping-particle" : "", "parse-names" : false, "suffix" : "" }, { "dropping-particle" : "", "family" : "Vidovic", "given" : "Maritna", "non-dropping-particle" : "", "parse-names" : false, "suffix" : "" }, { "dropping-particle" : "", "family" : "Voicu", "given" : "Anca M", "non-dropping-particle" : "", "parse-names" : false, "suffix" : "" } ], "container-title" : "Category 8: Trade Policy", "id" : "ITEM-1", "issued" : { "date-parts" : [ [ "2014" ] ] }, "number" : "No. 4903", "publisher-place" : "Munich", "title" : "EU-Accession Effects on Sectoral Trade : A Helpman-Melitz-Rubinstein Approach with Panel Data", "type" : "report" }, "uris" : [ "http://www.mendeley.com/documents/?uuid=2e4b561b-a3eb-4da2-b123-5b9f703d0d6e" ] } ], "mendeley" : { "formattedCitation" : "(Mart\u00ednez-zarzoso, Vidovic e Voicu, 2014)", "manualFormatting" : "Mart\u00ednez-zarzoso, Vidovic, &amp; Voicu (2014)", "plainTextFormattedCitation" : "(Mart\u00ednez-zarzoso, Vidovic e Voicu, 2014)", "previouslyFormattedCitation" : "(Mart\u00ednez-zarzoso, Vidovic e Voicu, 2014)" }, "properties" : { "noteIndex" : 0 }, "schema" : "https://github.com/citation-style-language/schema/raw/master/csl-citation.json" }</w:instrText>
      </w:r>
      <w:r w:rsidR="000C5259" w:rsidRPr="00A7356B">
        <w:fldChar w:fldCharType="separate"/>
      </w:r>
      <w:r w:rsidR="000C5259" w:rsidRPr="00A7356B">
        <w:rPr>
          <w:noProof/>
        </w:rPr>
        <w:t>Martínez-zarzoso, Vidovic, &amp; Voicu (2014)</w:t>
      </w:r>
      <w:r w:rsidR="000C5259" w:rsidRPr="00A7356B">
        <w:fldChar w:fldCharType="end"/>
      </w:r>
      <w:r w:rsidR="00C61C04">
        <w:t xml:space="preserve">. </w:t>
      </w:r>
    </w:p>
    <w:p w14:paraId="48395C66" w14:textId="41EC5CDE" w:rsidR="000E4EF5" w:rsidRPr="00A7356B" w:rsidRDefault="000C5259" w:rsidP="00231F38">
      <w:pPr>
        <w:pStyle w:val="ANPEC2013"/>
      </w:pPr>
      <w:r w:rsidRPr="00A7356B">
        <w:t xml:space="preserve">In addition, supported by further statistical tests, we also estimated a Fixed Effect Model </w:t>
      </w:r>
      <w:r w:rsidR="00121F88" w:rsidRPr="00A7356B">
        <w:t xml:space="preserve">on the same </w:t>
      </w:r>
      <w:r w:rsidR="005751F5" w:rsidRPr="00A7356B">
        <w:t>panel-</w:t>
      </w:r>
      <w:r w:rsidR="00121F88" w:rsidRPr="00A7356B">
        <w:t>data</w:t>
      </w:r>
      <w:r w:rsidRPr="00A7356B">
        <w:t xml:space="preserve">. </w:t>
      </w:r>
      <w:r w:rsidR="005751F5" w:rsidRPr="00A7356B">
        <w:t>Our</w:t>
      </w:r>
      <w:r w:rsidR="000E4EF5" w:rsidRPr="00A7356B">
        <w:t xml:space="preserve"> final models can account for the potential problems of sample selection, omitted firm heterogeneity effects and dynamic effects</w:t>
      </w:r>
      <w:r w:rsidR="000E4EF5" w:rsidRPr="00A7356B">
        <w:rPr>
          <w:rStyle w:val="FootnoteReference"/>
          <w:rFonts w:ascii="Times" w:hAnsi="Times"/>
        </w:rPr>
        <w:footnoteReference w:id="7"/>
      </w:r>
      <w:r w:rsidR="000E4EF5" w:rsidRPr="00A7356B">
        <w:t xml:space="preserve"> of technology change predicted by Posner (1961). In addition we could also include variables to test for other interesting effects, such as </w:t>
      </w:r>
      <w:r w:rsidRPr="00A7356B">
        <w:t xml:space="preserve">the </w:t>
      </w:r>
      <w:r w:rsidR="000E4EF5" w:rsidRPr="00A7356B">
        <w:t>technology state (Eaton and Kortum 2002) – measured by the countries’ average productivity – and differences in land availability, since factor endowments can be a significant source of</w:t>
      </w:r>
      <w:r w:rsidR="00121F88" w:rsidRPr="00A7356B">
        <w:t xml:space="preserve"> trade in</w:t>
      </w:r>
      <w:r w:rsidR="000E4EF5" w:rsidRPr="00A7356B">
        <w:t xml:space="preserve"> agricultural goods. </w:t>
      </w:r>
    </w:p>
    <w:p w14:paraId="4C4B98F3" w14:textId="6FB8636C" w:rsidR="00F11BC7" w:rsidRPr="00A7356B" w:rsidRDefault="00C61C04" w:rsidP="00231F38">
      <w:pPr>
        <w:pStyle w:val="ANPEC2013"/>
      </w:pPr>
      <w:r>
        <w:t>Departing from HMR (2008) and t</w:t>
      </w:r>
      <w:r w:rsidR="000E4EF5" w:rsidRPr="00A7356B">
        <w:t>aking into account our objectives and estimation strategy we adjusted the model for</w:t>
      </w:r>
      <w:r w:rsidR="00C515C0" w:rsidRPr="00A7356B">
        <w:t xml:space="preserve">: </w:t>
      </w:r>
    </w:p>
    <w:p w14:paraId="2DD7467A" w14:textId="77777777" w:rsidR="00391935" w:rsidRPr="00A7356B" w:rsidRDefault="00391935" w:rsidP="00231F38">
      <w:pPr>
        <w:pStyle w:val="ANPEC2013"/>
      </w:pPr>
    </w:p>
    <w:tbl>
      <w:tblPr>
        <w:tblW w:w="0" w:type="auto"/>
        <w:jc w:val="center"/>
        <w:tblLook w:val="04A0" w:firstRow="1" w:lastRow="0" w:firstColumn="1" w:lastColumn="0" w:noHBand="0" w:noVBand="1"/>
      </w:tblPr>
      <w:tblGrid>
        <w:gridCol w:w="236"/>
        <w:gridCol w:w="7711"/>
        <w:gridCol w:w="909"/>
      </w:tblGrid>
      <w:tr w:rsidR="000E4EF5" w:rsidRPr="00BF27E3" w14:paraId="3AC5A311" w14:textId="77777777" w:rsidTr="00E1137D">
        <w:trPr>
          <w:trHeight w:val="710"/>
          <w:jc w:val="center"/>
        </w:trPr>
        <w:tc>
          <w:tcPr>
            <w:tcW w:w="236" w:type="dxa"/>
            <w:vAlign w:val="center"/>
          </w:tcPr>
          <w:p w14:paraId="423B8FF5" w14:textId="77777777" w:rsidR="000E4EF5" w:rsidRPr="00BF27E3" w:rsidRDefault="000E4EF5" w:rsidP="000E4EF5">
            <w:pPr>
              <w:pStyle w:val="text-d"/>
              <w:rPr>
                <w:sz w:val="20"/>
                <w:szCs w:val="20"/>
              </w:rPr>
            </w:pPr>
          </w:p>
        </w:tc>
        <w:tc>
          <w:tcPr>
            <w:tcW w:w="7711" w:type="dxa"/>
          </w:tcPr>
          <w:p w14:paraId="020E857F" w14:textId="7ECAC3FD" w:rsidR="00391935" w:rsidRPr="00BF27E3" w:rsidRDefault="005008E5" w:rsidP="00231F38">
            <w:pPr>
              <w:pStyle w:val="ANPEC2013"/>
              <w:rPr>
                <w:rFonts w:ascii="Times" w:hAnsi="Times"/>
                <w:sz w:val="20"/>
                <w:szCs w:val="20"/>
              </w:rPr>
            </w:pPr>
            <m:oMathPara>
              <m:oMath>
                <m:sSub>
                  <m:sSubPr>
                    <m:ctrlPr>
                      <w:rPr>
                        <w:rFonts w:ascii="Cambria Math" w:hAnsi="Cambria Math"/>
                        <w:sz w:val="20"/>
                        <w:szCs w:val="20"/>
                      </w:rPr>
                    </m:ctrlPr>
                  </m:sSubPr>
                  <m:e>
                    <m:r>
                      <m:rPr>
                        <m:sty m:val="bi"/>
                      </m:rPr>
                      <w:rPr>
                        <w:rFonts w:ascii="Cambria Math" w:hAnsi="Cambria Math"/>
                        <w:sz w:val="20"/>
                        <w:szCs w:val="20"/>
                      </w:rPr>
                      <m:t>m</m:t>
                    </m:r>
                  </m:e>
                  <m:sub>
                    <m:r>
                      <m:rPr>
                        <m:sty m:val="bi"/>
                      </m:rPr>
                      <w:rPr>
                        <w:rFonts w:ascii="Cambria Math" w:hAnsi="Cambria Math"/>
                        <w:sz w:val="20"/>
                        <w:szCs w:val="20"/>
                      </w:rPr>
                      <m:t>ijt</m:t>
                    </m:r>
                  </m:sub>
                </m:sSub>
                <m:r>
                  <m:rPr>
                    <m:sty m:val="p"/>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β</m:t>
                    </m:r>
                  </m:e>
                  <m:sub>
                    <m:r>
                      <m:rPr>
                        <m:sty m:val="bi"/>
                      </m:rPr>
                      <w:rPr>
                        <w:rFonts w:ascii="Cambria Math" w:hAnsi="Cambria Math"/>
                        <w:sz w:val="20"/>
                        <w:szCs w:val="20"/>
                      </w:rPr>
                      <m:t>o</m:t>
                    </m:r>
                  </m:sub>
                </m:sSub>
                <m:r>
                  <m:rPr>
                    <m:sty m:val="p"/>
                  </m:rPr>
                  <w:rPr>
                    <w:rFonts w:ascii="Cambria Math" w:hAnsi="Cambria Math"/>
                    <w:sz w:val="20"/>
                    <w:szCs w:val="20"/>
                  </w:rPr>
                  <m:t>+</m:t>
                </m:r>
                <m:r>
                  <m:rPr>
                    <m:sty m:val="bi"/>
                  </m:rPr>
                  <w:rPr>
                    <w:rFonts w:ascii="Cambria Math" w:hAnsi="Cambria Math"/>
                    <w:sz w:val="20"/>
                    <w:szCs w:val="20"/>
                  </w:rPr>
                  <m:t>φ</m:t>
                </m:r>
                <m:sSub>
                  <m:sSubPr>
                    <m:ctrlPr>
                      <w:rPr>
                        <w:rFonts w:ascii="Cambria Math" w:hAnsi="Cambria Math"/>
                        <w:sz w:val="20"/>
                        <w:szCs w:val="20"/>
                      </w:rPr>
                    </m:ctrlPr>
                  </m:sSubPr>
                  <m:e>
                    <m:r>
                      <m:rPr>
                        <m:sty m:val="bi"/>
                      </m:rPr>
                      <w:rPr>
                        <w:rFonts w:ascii="Cambria Math" w:hAnsi="Cambria Math"/>
                        <w:sz w:val="20"/>
                        <w:szCs w:val="20"/>
                      </w:rPr>
                      <m:t>cons</m:t>
                    </m:r>
                  </m:e>
                  <m:sub>
                    <m:r>
                      <m:rPr>
                        <m:sty m:val="bi"/>
                      </m:rPr>
                      <w:rPr>
                        <w:rFonts w:ascii="Cambria Math" w:hAnsi="Cambria Math"/>
                        <w:sz w:val="20"/>
                        <w:szCs w:val="20"/>
                      </w:rPr>
                      <m:t>it</m:t>
                    </m:r>
                  </m:sub>
                </m:sSub>
                <m:r>
                  <m:rPr>
                    <m:sty m:val="p"/>
                  </m:rPr>
                  <w:rPr>
                    <w:rFonts w:ascii="Cambria Math" w:hAnsi="Cambria Math"/>
                    <w:sz w:val="20"/>
                    <w:szCs w:val="20"/>
                  </w:rPr>
                  <m:t>+</m:t>
                </m:r>
                <m:r>
                  <m:rPr>
                    <m:sty m:val="bi"/>
                  </m:rPr>
                  <w:rPr>
                    <w:rFonts w:ascii="Cambria Math" w:hAnsi="Cambria Math"/>
                    <w:sz w:val="20"/>
                    <w:szCs w:val="20"/>
                  </w:rPr>
                  <m:t>δ</m:t>
                </m:r>
                <m:sSub>
                  <m:sSubPr>
                    <m:ctrlPr>
                      <w:rPr>
                        <w:rFonts w:ascii="Cambria Math" w:hAnsi="Cambria Math"/>
                        <w:sz w:val="20"/>
                        <w:szCs w:val="20"/>
                      </w:rPr>
                    </m:ctrlPr>
                  </m:sSubPr>
                  <m:e>
                    <m:r>
                      <m:rPr>
                        <m:sty m:val="bi"/>
                      </m:rPr>
                      <w:rPr>
                        <w:rFonts w:ascii="Cambria Math" w:hAnsi="Cambria Math"/>
                        <w:sz w:val="20"/>
                        <w:szCs w:val="20"/>
                      </w:rPr>
                      <m:t>p</m:t>
                    </m:r>
                  </m:e>
                  <m:sub>
                    <m:r>
                      <m:rPr>
                        <m:sty m:val="bi"/>
                      </m:rPr>
                      <w:rPr>
                        <w:rFonts w:ascii="Cambria Math" w:hAnsi="Cambria Math"/>
                        <w:sz w:val="20"/>
                        <w:szCs w:val="20"/>
                      </w:rPr>
                      <m:t>it</m:t>
                    </m:r>
                  </m:sub>
                </m:sSub>
                <m:r>
                  <m:rPr>
                    <m:sty m:val="p"/>
                  </m:rPr>
                  <w:rPr>
                    <w:rFonts w:ascii="Cambria Math" w:hAnsi="Cambria Math"/>
                    <w:sz w:val="20"/>
                    <w:szCs w:val="20"/>
                  </w:rPr>
                  <m:t>+</m:t>
                </m:r>
                <m:r>
                  <m:rPr>
                    <m:sty m:val="bi"/>
                  </m:rPr>
                  <w:rPr>
                    <w:rFonts w:ascii="Cambria Math" w:hAnsi="Cambria Math"/>
                    <w:sz w:val="20"/>
                    <w:szCs w:val="20"/>
                  </w:rPr>
                  <m:t>ψpro</m:t>
                </m:r>
                <m:sSub>
                  <m:sSubPr>
                    <m:ctrlPr>
                      <w:rPr>
                        <w:rFonts w:ascii="Cambria Math" w:hAnsi="Cambria Math"/>
                        <w:sz w:val="20"/>
                        <w:szCs w:val="20"/>
                      </w:rPr>
                    </m:ctrlPr>
                  </m:sSubPr>
                  <m:e>
                    <m:r>
                      <m:rPr>
                        <m:sty m:val="bi"/>
                      </m:rPr>
                      <w:rPr>
                        <w:rFonts w:ascii="Cambria Math" w:hAnsi="Cambria Math"/>
                        <w:sz w:val="20"/>
                        <w:szCs w:val="20"/>
                      </w:rPr>
                      <m:t>d</m:t>
                    </m:r>
                  </m:e>
                  <m:sub>
                    <m:r>
                      <m:rPr>
                        <m:sty m:val="bi"/>
                      </m:rPr>
                      <w:rPr>
                        <w:rFonts w:ascii="Cambria Math" w:hAnsi="Cambria Math"/>
                        <w:sz w:val="20"/>
                        <w:szCs w:val="20"/>
                      </w:rPr>
                      <m:t>jt</m:t>
                    </m:r>
                  </m:sub>
                </m:sSub>
                <m:r>
                  <m:rPr>
                    <m:sty m:val="p"/>
                  </m:rPr>
                  <w:rPr>
                    <w:rFonts w:ascii="Cambria Math" w:hAnsi="Cambria Math"/>
                    <w:sz w:val="20"/>
                    <w:szCs w:val="20"/>
                  </w:rPr>
                  <m:t>-</m:t>
                </m:r>
                <m:r>
                  <m:rPr>
                    <m:sty m:val="bi"/>
                  </m:rPr>
                  <w:rPr>
                    <w:rFonts w:ascii="Cambria Math" w:hAnsi="Cambria Math"/>
                    <w:sz w:val="20"/>
                    <w:szCs w:val="20"/>
                  </w:rPr>
                  <m:t>ϱ</m:t>
                </m:r>
                <m:sSub>
                  <m:sSubPr>
                    <m:ctrlPr>
                      <w:rPr>
                        <w:rFonts w:ascii="Cambria Math" w:hAnsi="Cambria Math"/>
                        <w:sz w:val="20"/>
                        <w:szCs w:val="20"/>
                      </w:rPr>
                    </m:ctrlPr>
                  </m:sSubPr>
                  <m:e>
                    <m:r>
                      <m:rPr>
                        <m:sty m:val="bi"/>
                      </m:rPr>
                      <w:rPr>
                        <w:rFonts w:ascii="Cambria Math" w:hAnsi="Cambria Math"/>
                        <w:sz w:val="20"/>
                        <w:szCs w:val="20"/>
                      </w:rPr>
                      <m:t>c</m:t>
                    </m:r>
                  </m:e>
                  <m:sub>
                    <m:r>
                      <m:rPr>
                        <m:sty m:val="bi"/>
                      </m:rPr>
                      <w:rPr>
                        <w:rFonts w:ascii="Cambria Math" w:hAnsi="Cambria Math"/>
                        <w:sz w:val="20"/>
                        <w:szCs w:val="20"/>
                      </w:rPr>
                      <m:t>jt</m:t>
                    </m:r>
                  </m:sub>
                </m:sSub>
                <m:r>
                  <m:rPr>
                    <m:sty m:val="p"/>
                  </m:rPr>
                  <w:rPr>
                    <w:rFonts w:ascii="Cambria Math" w:hAnsi="Cambria Math"/>
                    <w:sz w:val="20"/>
                    <w:szCs w:val="20"/>
                  </w:rPr>
                  <m:t>-</m:t>
                </m:r>
                <m:r>
                  <m:rPr>
                    <m:sty m:val="bi"/>
                  </m:rPr>
                  <w:rPr>
                    <w:rFonts w:ascii="Cambria Math" w:hAnsi="Cambria Math"/>
                    <w:sz w:val="20"/>
                    <w:szCs w:val="20"/>
                  </w:rPr>
                  <m:t>γ</m:t>
                </m:r>
                <m:sSub>
                  <m:sSubPr>
                    <m:ctrlPr>
                      <w:rPr>
                        <w:rFonts w:ascii="Cambria Math" w:hAnsi="Cambria Math"/>
                        <w:sz w:val="20"/>
                        <w:szCs w:val="20"/>
                      </w:rPr>
                    </m:ctrlPr>
                  </m:sSubPr>
                  <m:e>
                    <m:r>
                      <m:rPr>
                        <m:sty m:val="bi"/>
                      </m:rPr>
                      <w:rPr>
                        <w:rFonts w:ascii="Cambria Math" w:hAnsi="Cambria Math"/>
                        <w:sz w:val="20"/>
                        <w:szCs w:val="20"/>
                      </w:rPr>
                      <m:t>d</m:t>
                    </m:r>
                  </m:e>
                  <m:sub>
                    <m:r>
                      <m:rPr>
                        <m:sty m:val="bi"/>
                      </m:rPr>
                      <w:rPr>
                        <w:rFonts w:ascii="Cambria Math" w:hAnsi="Cambria Math"/>
                        <w:sz w:val="20"/>
                        <w:szCs w:val="20"/>
                      </w:rPr>
                      <m:t>ijt</m:t>
                    </m:r>
                  </m:sub>
                </m:sSub>
                <m:r>
                  <m:rPr>
                    <m:sty m:val="p"/>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w</m:t>
                    </m:r>
                  </m:e>
                  <m:sub>
                    <m:r>
                      <m:rPr>
                        <m:sty m:val="bi"/>
                      </m:rPr>
                      <w:rPr>
                        <w:rFonts w:ascii="Cambria Math" w:hAnsi="Cambria Math"/>
                        <w:sz w:val="20"/>
                        <w:szCs w:val="20"/>
                      </w:rPr>
                      <m:t>ijt</m:t>
                    </m:r>
                  </m:sub>
                </m:sSub>
                <m:r>
                  <m:rPr>
                    <m:sty m:val="p"/>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u</m:t>
                    </m:r>
                  </m:e>
                  <m:sub>
                    <m:r>
                      <m:rPr>
                        <m:sty m:val="bi"/>
                      </m:rPr>
                      <w:rPr>
                        <w:rFonts w:ascii="Cambria Math" w:hAnsi="Cambria Math"/>
                        <w:sz w:val="20"/>
                        <w:szCs w:val="20"/>
                      </w:rPr>
                      <m:t>ijt</m:t>
                    </m:r>
                  </m:sub>
                </m:sSub>
                <m:r>
                  <m:rPr>
                    <m:sty m:val="p"/>
                  </m:rPr>
                  <w:rPr>
                    <w:rFonts w:ascii="Cambria Math" w:hAnsi="Cambria Math"/>
                    <w:sz w:val="20"/>
                    <w:szCs w:val="20"/>
                  </w:rPr>
                  <m:t xml:space="preserve">    ,</m:t>
                </m:r>
              </m:oMath>
            </m:oMathPara>
          </w:p>
        </w:tc>
        <w:tc>
          <w:tcPr>
            <w:tcW w:w="909" w:type="dxa"/>
          </w:tcPr>
          <w:p w14:paraId="0224044D" w14:textId="055D84B2" w:rsidR="000E4EF5" w:rsidRPr="00BF27E3" w:rsidRDefault="00C61C04" w:rsidP="00BF27E3">
            <w:pPr>
              <w:pStyle w:val="ANPEC2013"/>
              <w:ind w:firstLine="0"/>
              <w:rPr>
                <w:sz w:val="20"/>
                <w:szCs w:val="20"/>
              </w:rPr>
            </w:pPr>
            <w:r w:rsidRPr="00BF27E3">
              <w:rPr>
                <w:sz w:val="20"/>
                <w:szCs w:val="20"/>
              </w:rPr>
              <w:t>(1</w:t>
            </w:r>
            <w:r w:rsidR="000E4EF5" w:rsidRPr="00BF27E3">
              <w:rPr>
                <w:sz w:val="20"/>
                <w:szCs w:val="20"/>
              </w:rPr>
              <w:t>)</w:t>
            </w:r>
          </w:p>
        </w:tc>
      </w:tr>
    </w:tbl>
    <w:p w14:paraId="4B0D8A47" w14:textId="7EA592FB" w:rsidR="000E4EF5" w:rsidRPr="00A7356B" w:rsidRDefault="000E4EF5" w:rsidP="00BF27E3">
      <w:pPr>
        <w:pStyle w:val="ANPEC2013"/>
        <w:ind w:firstLine="0"/>
      </w:pPr>
      <w:proofErr w:type="gramStart"/>
      <w:r w:rsidRPr="00A7356B">
        <w:t>where</w:t>
      </w:r>
      <w:proofErr w:type="gramEnd"/>
      <w:r w:rsidRPr="00A7356B">
        <w:t xml:space="preserve">, we directly control for country </w:t>
      </w:r>
      <m:oMath>
        <m:r>
          <w:rPr>
            <w:rFonts w:ascii="Cambria Math" w:hAnsi="Cambria Math"/>
          </w:rPr>
          <m:t xml:space="preserve">i's </m:t>
        </m:r>
      </m:oMath>
      <w:r w:rsidRPr="00A7356B">
        <w:t xml:space="preserve">consumption </w:t>
      </w:r>
      <m:oMath>
        <m:r>
          <w:rPr>
            <w:rFonts w:ascii="Cambria Math" w:hAnsi="Cambria Math"/>
          </w:rPr>
          <m:t>(</m:t>
        </m:r>
        <m:sSub>
          <m:sSubPr>
            <m:ctrlPr>
              <w:rPr>
                <w:rFonts w:ascii="Cambria Math" w:hAnsi="Cambria Math"/>
                <w:i/>
              </w:rPr>
            </m:ctrlPr>
          </m:sSubPr>
          <m:e>
            <m:r>
              <w:rPr>
                <w:rFonts w:ascii="Cambria Math" w:hAnsi="Cambria Math"/>
              </w:rPr>
              <m:t>cons</m:t>
            </m:r>
          </m:e>
          <m:sub>
            <m:r>
              <w:rPr>
                <w:rFonts w:ascii="Cambria Math" w:hAnsi="Cambria Math"/>
              </w:rPr>
              <m:t>it</m:t>
            </m:r>
          </m:sub>
        </m:sSub>
        <m:r>
          <w:rPr>
            <w:rFonts w:ascii="Cambria Math" w:hAnsi="Cambria Math"/>
          </w:rPr>
          <m:t>)</m:t>
        </m:r>
      </m:oMath>
      <w:r w:rsidRPr="00A7356B">
        <w:t xml:space="preserve"> and variables impacting on price index or remoteness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oMath>
      <w:r w:rsidRPr="00A7356B">
        <w:t xml:space="preserve">, for country </w:t>
      </w:r>
      <m:oMath>
        <m:r>
          <w:rPr>
            <w:rFonts w:ascii="Cambria Math" w:hAnsi="Cambria Math"/>
          </w:rPr>
          <m:t>j's</m:t>
        </m:r>
      </m:oMath>
      <w:r w:rsidRPr="00A7356B">
        <w:t xml:space="preserve"> outcome </w:t>
      </w:r>
      <m:oMath>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jt</m:t>
            </m:r>
          </m:sub>
        </m:sSub>
      </m:oMath>
      <w:r w:rsidRPr="00A7356B">
        <w:t xml:space="preserve"> )</w:t>
      </w:r>
      <w:r w:rsidR="00C61C04">
        <w:t xml:space="preserve"> </w:t>
      </w:r>
      <w:r w:rsidRPr="00A7356B">
        <w:t xml:space="preserve">and production costs variables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oMath>
      <w:r w:rsidRPr="00A7356B">
        <w:t xml:space="preserve">. The control </w:t>
      </w:r>
      <m:oMath>
        <m:sSub>
          <m:sSubPr>
            <m:ctrlPr>
              <w:rPr>
                <w:rFonts w:ascii="Cambria Math" w:hAnsi="Cambria Math"/>
                <w:i/>
              </w:rPr>
            </m:ctrlPr>
          </m:sSubPr>
          <m:e>
            <m:r>
              <w:rPr>
                <w:rFonts w:ascii="Cambria Math" w:hAnsi="Cambria Math"/>
              </w:rPr>
              <m:t>w</m:t>
            </m:r>
          </m:e>
          <m:sub>
            <m:r>
              <w:rPr>
                <w:rFonts w:ascii="Cambria Math" w:hAnsi="Cambria Math"/>
              </w:rPr>
              <m:t>ijt</m:t>
            </m:r>
          </m:sub>
        </m:sSub>
      </m:oMath>
      <w:r w:rsidRPr="00A7356B">
        <w:t xml:space="preserve"> is defined as in </w:t>
      </w:r>
      <w:r w:rsidR="00121F88" w:rsidRPr="00A7356B">
        <w:t xml:space="preserve">HMR </w:t>
      </w:r>
      <w:r w:rsidRPr="00A7356B">
        <w:t xml:space="preserve">(2008) except for the fact we are controlling firms’ fraction for each period </w:t>
      </w:r>
      <m:oMath>
        <m:r>
          <w:rPr>
            <w:rFonts w:ascii="Cambria Math" w:hAnsi="Cambria Math"/>
          </w:rPr>
          <m:t>t</m:t>
        </m:r>
      </m:oMath>
      <w:r w:rsidRPr="00A7356B">
        <w:t xml:space="preserve">, explicitly assuming that the number of exporting firms can change over time. Note that with this formulation we can compute the technological gap as a country </w:t>
      </w:r>
      <m:oMath>
        <m:r>
          <w:rPr>
            <w:rFonts w:ascii="Cambria Math" w:hAnsi="Cambria Math"/>
          </w:rPr>
          <m:t>j's</m:t>
        </m:r>
      </m:oMath>
      <w:r w:rsidRPr="00A7356B">
        <w:t xml:space="preserve"> specific-cost affecting the overall production costs. The demand lag, in turn, will be computed as a type of variable cost of trade, making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Pr="00A7356B">
        <w:t xml:space="preserve"> change over the time</w:t>
      </w:r>
      <w:r w:rsidRPr="00A7356B">
        <w:rPr>
          <w:rStyle w:val="FootnoteReference"/>
          <w:rFonts w:ascii="Times" w:hAnsi="Times"/>
        </w:rPr>
        <w:footnoteReference w:id="8"/>
      </w:r>
      <w:r w:rsidRPr="00A7356B">
        <w:t xml:space="preserve">. </w:t>
      </w:r>
    </w:p>
    <w:p w14:paraId="617EA673" w14:textId="113DF5C0" w:rsidR="000E4EF5" w:rsidRPr="00A7356B" w:rsidRDefault="000E4EF5" w:rsidP="00231F38">
      <w:pPr>
        <w:pStyle w:val="ANPEC2013"/>
      </w:pPr>
      <w:r w:rsidRPr="00A7356B">
        <w:t xml:space="preserve">As in </w:t>
      </w:r>
      <w:r w:rsidR="005E02A4" w:rsidRPr="00A7356B">
        <w:t xml:space="preserve">HMR </w:t>
      </w:r>
      <w:r w:rsidRPr="00A7356B">
        <w:t xml:space="preserve"> (2008), our first-stage consists of estimating a </w:t>
      </w:r>
      <w:proofErr w:type="gramStart"/>
      <w:r w:rsidRPr="00A7356B">
        <w:t>Probit</w:t>
      </w:r>
      <w:proofErr w:type="gramEnd"/>
      <w:r w:rsidRPr="00A7356B">
        <w:t xml:space="preserve"> model to calculate both the sample selection and the firm heterogeneity controls to be added into the gravity equation at the second-stage. In addition to returning the controls for firm heterogeneity and sample bias, by the means of the </w:t>
      </w:r>
      <w:proofErr w:type="gramStart"/>
      <w:r w:rsidRPr="00A7356B">
        <w:t>Probit</w:t>
      </w:r>
      <w:proofErr w:type="gramEnd"/>
      <w:r w:rsidRPr="00A7356B">
        <w:t xml:space="preserve"> mode</w:t>
      </w:r>
      <w:r w:rsidR="00F11BC7" w:rsidRPr="00A7356B">
        <w:t>l we can breakdown the effects i</w:t>
      </w:r>
      <w:r w:rsidRPr="00A7356B">
        <w:t xml:space="preserve">n trade into extensive and intensive margins. </w:t>
      </w:r>
    </w:p>
    <w:p w14:paraId="1738E43E" w14:textId="23B39AE6" w:rsidR="000E4EF5" w:rsidRPr="00A7356B" w:rsidRDefault="000E4EF5" w:rsidP="00231F38">
      <w:pPr>
        <w:pStyle w:val="ANPEC2013"/>
      </w:pPr>
      <w:r w:rsidRPr="00A7356B">
        <w:t xml:space="preserve">Thus firms’ productivity differs within countries in an interval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a</m:t>
            </m:r>
          </m:e>
          <m:sub>
            <m:r>
              <w:rPr>
                <w:rFonts w:ascii="Cambria Math" w:hAnsi="Cambria Math"/>
              </w:rPr>
              <m:t>H</m:t>
            </m:r>
          </m:sub>
        </m:sSub>
        <m:r>
          <w:rPr>
            <w:rFonts w:ascii="Cambria Math" w:hAnsi="Cambria Math"/>
          </w:rPr>
          <m:t>)</m:t>
        </m:r>
      </m:oMath>
      <w:r w:rsidRPr="00A7356B">
        <w:t xml:space="preserve">, in which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rsidRPr="00A7356B">
        <w:t xml:space="preserve"> is the most productive and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rsidRPr="00A7356B">
        <w:t xml:space="preserve"> the least productive firm. Assume that productivities </w:t>
      </w:r>
      <w:r w:rsidR="00F11BC7" w:rsidRPr="00A7356B">
        <w:t>range</w:t>
      </w:r>
      <w:r w:rsidRPr="00A7356B">
        <w:t xml:space="preserve"> can be represented by a Pareto distribution </w:t>
      </w:r>
      <m:oMath>
        <m:r>
          <w:rPr>
            <w:rFonts w:ascii="Cambria Math" w:hAnsi="Cambria Math"/>
          </w:rPr>
          <m:t>G</m:t>
        </m:r>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H</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K</m:t>
            </m:r>
          </m:sup>
        </m:sSubSup>
        <m:r>
          <w:rPr>
            <w:rFonts w:ascii="Cambria Math" w:hAnsi="Cambria Math"/>
          </w:rPr>
          <m:t>)</m:t>
        </m:r>
        <w:proofErr w:type="gramStart"/>
        <m:r>
          <w:rPr>
            <w:rFonts w:ascii="Cambria Math" w:hAnsi="Cambria Math"/>
          </w:rPr>
          <m:t>,  k</m:t>
        </m:r>
        <w:proofErr w:type="gramEnd"/>
        <m:r>
          <w:rPr>
            <w:rFonts w:ascii="Cambria Math" w:hAnsi="Cambria Math"/>
          </w:rPr>
          <m:t>&gt;(ε-1)</m:t>
        </m:r>
      </m:oMath>
      <w:r w:rsidRPr="00A7356B">
        <w:t xml:space="preserve">. Though, only a share of firms, those with productivity high enough to serve </w:t>
      </w:r>
      <w:r w:rsidR="00C515C0" w:rsidRPr="00A7356B">
        <w:t>country</w:t>
      </w:r>
      <w:r w:rsidRPr="00A7356B">
        <w:t xml:space="preserve"> </w:t>
      </w:r>
      <m:oMath>
        <m:r>
          <w:rPr>
            <w:rFonts w:ascii="Cambria Math" w:hAnsi="Cambria Math"/>
          </w:rPr>
          <m:t>i</m:t>
        </m:r>
      </m:oMath>
      <w:r w:rsidRPr="00A7356B">
        <w:t xml:space="preserve"> and breakeven fixed costs of trade, will export. The selection of firms into exporting markets is determined by a cutoff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A7356B">
        <w:t>, which is implicitly defined</w:t>
      </w:r>
      <w:r w:rsidR="00C515C0" w:rsidRPr="00A7356B">
        <w:t xml:space="preserve"> by the zero profit condition</w:t>
      </w:r>
      <w:r w:rsidRPr="00A7356B">
        <w:rPr>
          <w:rStyle w:val="FootnoteReference"/>
          <w:rFonts w:ascii="Times" w:hAnsi="Times"/>
        </w:rPr>
        <w:footnoteReference w:id="9"/>
      </w:r>
      <w:r w:rsidRPr="00A7356B">
        <w:t xml:space="preserve">. </w:t>
      </w:r>
    </w:p>
    <w:p w14:paraId="7CA9235D" w14:textId="525FDA5E" w:rsidR="000E4EF5" w:rsidRPr="00A7356B" w:rsidRDefault="000E4EF5" w:rsidP="00231F38">
      <w:pPr>
        <w:pStyle w:val="ANPEC2013"/>
      </w:pPr>
      <w:r w:rsidRPr="00A7356B">
        <w:lastRenderedPageBreak/>
        <w:t xml:space="preserve">Let </w:t>
      </w:r>
      <m:oMath>
        <m:sSub>
          <m:sSubPr>
            <m:ctrlPr>
              <w:rPr>
                <w:rFonts w:ascii="Cambria Math" w:hAnsi="Cambria Math"/>
                <w:i/>
              </w:rPr>
            </m:ctrlPr>
          </m:sSubPr>
          <m:e>
            <m:r>
              <w:rPr>
                <w:rFonts w:ascii="Cambria Math" w:hAnsi="Cambria Math"/>
              </w:rPr>
              <m:t>ρ</m:t>
            </m:r>
          </m:e>
          <m:sub>
            <m:r>
              <w:rPr>
                <w:rFonts w:ascii="Cambria Math" w:hAnsi="Cambria Math"/>
              </w:rPr>
              <m:t>ijt</m:t>
            </m:r>
          </m:sub>
        </m:sSub>
      </m:oMath>
      <w:r w:rsidRPr="00A7356B">
        <w:t xml:space="preserve"> be the probability that </w:t>
      </w:r>
      <m:oMath>
        <m:r>
          <w:rPr>
            <w:rFonts w:ascii="Cambria Math" w:hAnsi="Cambria Math"/>
          </w:rPr>
          <m:t>j</m:t>
        </m:r>
      </m:oMath>
      <w:r w:rsidRPr="00A7356B">
        <w:t xml:space="preserve"> exports to </w:t>
      </w:r>
      <m:oMath>
        <m:r>
          <w:rPr>
            <w:rFonts w:ascii="Cambria Math" w:hAnsi="Cambria Math"/>
          </w:rPr>
          <m:t>i</m:t>
        </m:r>
      </m:oMath>
      <w:r w:rsidRPr="00A7356B">
        <w:t>, conditional on the observed variables</w:t>
      </w:r>
      <w:r w:rsidRPr="00A7356B">
        <w:rPr>
          <w:rStyle w:val="FootnoteReference"/>
          <w:rFonts w:ascii="Times" w:hAnsi="Times"/>
        </w:rPr>
        <w:footnoteReference w:id="10"/>
      </w:r>
      <w:r w:rsidRPr="00A7356B">
        <w:t xml:space="preserve">. Thus we can specify the </w:t>
      </w:r>
      <w:proofErr w:type="gramStart"/>
      <w:r w:rsidRPr="00A7356B">
        <w:t>Probit</w:t>
      </w:r>
      <w:proofErr w:type="gramEnd"/>
      <w:r w:rsidRPr="00A7356B">
        <w:t xml:space="preserve"> model</w:t>
      </w:r>
      <w:r w:rsidRPr="00A7356B">
        <w:rPr>
          <w:i/>
        </w:rPr>
        <w:t xml:space="preserve"> </w:t>
      </w:r>
      <w:r w:rsidRPr="00A7356B">
        <w:t>as</w:t>
      </w:r>
    </w:p>
    <w:tbl>
      <w:tblPr>
        <w:tblW w:w="0" w:type="auto"/>
        <w:jc w:val="center"/>
        <w:tblLook w:val="04A0" w:firstRow="1" w:lastRow="0" w:firstColumn="1" w:lastColumn="0" w:noHBand="0" w:noVBand="1"/>
      </w:tblPr>
      <w:tblGrid>
        <w:gridCol w:w="236"/>
        <w:gridCol w:w="7691"/>
        <w:gridCol w:w="929"/>
      </w:tblGrid>
      <w:tr w:rsidR="000E4EF5" w:rsidRPr="00BF27E3" w14:paraId="1DC44145" w14:textId="77777777" w:rsidTr="00554596">
        <w:trPr>
          <w:trHeight w:val="854"/>
          <w:jc w:val="center"/>
        </w:trPr>
        <w:tc>
          <w:tcPr>
            <w:tcW w:w="236" w:type="dxa"/>
            <w:vAlign w:val="center"/>
          </w:tcPr>
          <w:p w14:paraId="7FBE9EF8" w14:textId="77777777" w:rsidR="000E4EF5" w:rsidRPr="00BF27E3" w:rsidRDefault="000E4EF5" w:rsidP="000E4EF5">
            <w:pPr>
              <w:pStyle w:val="text-d"/>
              <w:rPr>
                <w:b/>
                <w:sz w:val="20"/>
                <w:szCs w:val="20"/>
              </w:rPr>
            </w:pPr>
          </w:p>
        </w:tc>
        <w:tc>
          <w:tcPr>
            <w:tcW w:w="7691" w:type="dxa"/>
          </w:tcPr>
          <w:p w14:paraId="4EE582F5" w14:textId="0D9687C2" w:rsidR="000E4EF5" w:rsidRPr="00BF27E3" w:rsidRDefault="005008E5" w:rsidP="00231F38">
            <w:pPr>
              <w:pStyle w:val="ANPEC2013"/>
              <w:rPr>
                <w:rFonts w:ascii="Times" w:hAnsi="Times"/>
                <w:sz w:val="20"/>
                <w:szCs w:val="20"/>
              </w:rPr>
            </w:pPr>
            <m:oMathPara>
              <m:oMath>
                <m:sSub>
                  <m:sSubPr>
                    <m:ctrlPr>
                      <w:rPr>
                        <w:rFonts w:ascii="Cambria Math" w:hAnsi="Cambria Math"/>
                        <w:sz w:val="20"/>
                        <w:szCs w:val="20"/>
                      </w:rPr>
                    </m:ctrlPr>
                  </m:sSubPr>
                  <m:e>
                    <m:r>
                      <m:rPr>
                        <m:sty m:val="bi"/>
                      </m:rPr>
                      <w:rPr>
                        <w:rFonts w:ascii="Cambria Math" w:hAnsi="Cambria Math"/>
                        <w:sz w:val="20"/>
                        <w:szCs w:val="20"/>
                      </w:rPr>
                      <m:t>ρ</m:t>
                    </m:r>
                  </m:e>
                  <m:sub>
                    <m:r>
                      <m:rPr>
                        <m:sty m:val="bi"/>
                      </m:rPr>
                      <w:rPr>
                        <w:rFonts w:ascii="Cambria Math" w:hAnsi="Cambria Math"/>
                        <w:sz w:val="20"/>
                        <w:szCs w:val="20"/>
                      </w:rPr>
                      <m:t>ijt</m:t>
                    </m:r>
                  </m:sub>
                </m:sSub>
                <m:r>
                  <m:rPr>
                    <m:sty m:val="p"/>
                  </m:rPr>
                  <w:rPr>
                    <w:rFonts w:ascii="Cambria Math" w:hAnsi="Cambria Math"/>
                    <w:sz w:val="20"/>
                    <w:szCs w:val="20"/>
                  </w:rPr>
                  <m:t>=</m:t>
                </m:r>
                <m:func>
                  <m:funcPr>
                    <m:ctrlPr>
                      <w:rPr>
                        <w:rFonts w:ascii="Cambria Math" w:hAnsi="Cambria Math"/>
                        <w:sz w:val="20"/>
                        <w:szCs w:val="20"/>
                      </w:rPr>
                    </m:ctrlPr>
                  </m:funcPr>
                  <m:fName>
                    <m:r>
                      <m:rPr>
                        <m:sty m:val="b"/>
                      </m:rPr>
                      <w:rPr>
                        <w:rFonts w:ascii="Cambria Math" w:hAnsi="Cambria Math"/>
                        <w:sz w:val="20"/>
                        <w:szCs w:val="20"/>
                      </w:rPr>
                      <m:t>Pr</m:t>
                    </m:r>
                  </m:fName>
                  <m:e>
                    <m:r>
                      <m:rPr>
                        <m:sty m:val="p"/>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T</m:t>
                        </m:r>
                      </m:e>
                      <m:sub>
                        <m:r>
                          <m:rPr>
                            <m:sty m:val="bi"/>
                          </m:rPr>
                          <w:rPr>
                            <w:rFonts w:ascii="Cambria Math" w:hAnsi="Cambria Math"/>
                            <w:sz w:val="20"/>
                            <w:szCs w:val="20"/>
                          </w:rPr>
                          <m:t>ijt</m:t>
                        </m:r>
                      </m:sub>
                    </m:sSub>
                    <m:r>
                      <m:rPr>
                        <m:sty m:val="p"/>
                      </m:rPr>
                      <w:rPr>
                        <w:rFonts w:ascii="Cambria Math" w:hAnsi="Cambria Math"/>
                        <w:sz w:val="20"/>
                        <w:szCs w:val="20"/>
                      </w:rPr>
                      <m:t>=</m:t>
                    </m:r>
                    <m:r>
                      <m:rPr>
                        <m:sty m:val="b"/>
                      </m:rPr>
                      <w:rPr>
                        <w:rFonts w:ascii="Cambria Math" w:hAnsi="Cambria Math"/>
                        <w:sz w:val="20"/>
                        <w:szCs w:val="20"/>
                      </w:rPr>
                      <m:t>1</m:t>
                    </m:r>
                    <m:r>
                      <m:rPr>
                        <m:sty m:val="p"/>
                      </m:rPr>
                      <w:rPr>
                        <w:rFonts w:ascii="Cambria Math" w:hAnsi="Cambria Math"/>
                        <w:sz w:val="20"/>
                        <w:szCs w:val="20"/>
                      </w:rPr>
                      <m:t>|</m:t>
                    </m:r>
                    <m:r>
                      <m:rPr>
                        <m:sty m:val="bi"/>
                      </m:rPr>
                      <w:rPr>
                        <w:rFonts w:ascii="Cambria Math" w:hAnsi="Cambria Math"/>
                        <w:sz w:val="20"/>
                        <w:szCs w:val="20"/>
                      </w:rPr>
                      <m:t>observed</m:t>
                    </m:r>
                    <m:r>
                      <m:rPr>
                        <m:sty m:val="p"/>
                      </m:rPr>
                      <w:rPr>
                        <w:rFonts w:ascii="Cambria Math" w:hAnsi="Cambria Math"/>
                        <w:sz w:val="20"/>
                        <w:szCs w:val="20"/>
                      </w:rPr>
                      <m:t xml:space="preserve"> </m:t>
                    </m:r>
                    <m:r>
                      <m:rPr>
                        <m:sty m:val="bi"/>
                      </m:rPr>
                      <w:rPr>
                        <w:rFonts w:ascii="Cambria Math" w:hAnsi="Cambria Math"/>
                        <w:sz w:val="20"/>
                        <w:szCs w:val="20"/>
                      </w:rPr>
                      <m:t>variables</m:t>
                    </m:r>
                    <m:r>
                      <m:rPr>
                        <m:sty m:val="p"/>
                      </m:rPr>
                      <w:rPr>
                        <w:rFonts w:ascii="Cambria Math" w:hAnsi="Cambria Math"/>
                        <w:sz w:val="20"/>
                        <w:szCs w:val="20"/>
                      </w:rPr>
                      <m:t>)</m:t>
                    </m:r>
                  </m:e>
                </m:func>
              </m:oMath>
            </m:oMathPara>
          </w:p>
          <w:p w14:paraId="3B5C33E1" w14:textId="73CD2D0A" w:rsidR="000E4EF5" w:rsidRPr="00BF27E3" w:rsidRDefault="00554596" w:rsidP="00231F38">
            <w:pPr>
              <w:pStyle w:val="ANPEC2013"/>
              <w:rPr>
                <w:rFonts w:ascii="Times" w:hAnsi="Times"/>
                <w:sz w:val="20"/>
                <w:szCs w:val="20"/>
              </w:rPr>
            </w:pPr>
            <m:oMathPara>
              <m:oMath>
                <m:r>
                  <m:rPr>
                    <m:sty m:val="p"/>
                  </m:rPr>
                  <w:rPr>
                    <w:rFonts w:ascii="Cambria Math" w:hAnsi="Cambria Math"/>
                    <w:sz w:val="20"/>
                    <w:szCs w:val="20"/>
                  </w:rPr>
                  <m:t>=</m:t>
                </m:r>
                <m:r>
                  <m:rPr>
                    <m:sty m:val="bi"/>
                  </m:rPr>
                  <w:rPr>
                    <w:rFonts w:ascii="Cambria Math" w:hAnsi="Cambria Math"/>
                    <w:sz w:val="20"/>
                    <w:szCs w:val="20"/>
                  </w:rPr>
                  <m:t>Φ</m:t>
                </m:r>
                <m:r>
                  <m:rPr>
                    <m:sty m:val="p"/>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γ</m:t>
                    </m:r>
                  </m:e>
                  <m:sub>
                    <m:r>
                      <m:rPr>
                        <m:sty m:val="b"/>
                      </m:rPr>
                      <w:rPr>
                        <w:rFonts w:ascii="Cambria Math" w:hAnsi="Cambria Math"/>
                        <w:sz w:val="20"/>
                        <w:szCs w:val="20"/>
                      </w:rPr>
                      <m:t>0</m:t>
                    </m:r>
                  </m:sub>
                </m:sSub>
                <m:r>
                  <m:rPr>
                    <m:sty m:val="p"/>
                  </m:rPr>
                  <w:rPr>
                    <w:rFonts w:ascii="Cambria Math" w:hAnsi="Cambria Math"/>
                    <w:sz w:val="20"/>
                    <w:szCs w:val="20"/>
                  </w:rPr>
                  <m:t>+</m:t>
                </m:r>
                <m:r>
                  <m:rPr>
                    <m:sty m:val="bi"/>
                  </m:rPr>
                  <w:rPr>
                    <w:rFonts w:ascii="Cambria Math" w:hAnsi="Cambria Math"/>
                    <w:sz w:val="20"/>
                    <w:szCs w:val="20"/>
                  </w:rPr>
                  <m:t>φ</m:t>
                </m:r>
                <m:sSub>
                  <m:sSubPr>
                    <m:ctrlPr>
                      <w:rPr>
                        <w:rFonts w:ascii="Cambria Math" w:hAnsi="Cambria Math"/>
                        <w:sz w:val="20"/>
                        <w:szCs w:val="20"/>
                      </w:rPr>
                    </m:ctrlPr>
                  </m:sSubPr>
                  <m:e>
                    <m:r>
                      <m:rPr>
                        <m:sty m:val="bi"/>
                      </m:rPr>
                      <w:rPr>
                        <w:rFonts w:ascii="Cambria Math" w:hAnsi="Cambria Math"/>
                        <w:sz w:val="20"/>
                        <w:szCs w:val="20"/>
                      </w:rPr>
                      <m:t>cons</m:t>
                    </m:r>
                  </m:e>
                  <m:sub>
                    <m:r>
                      <m:rPr>
                        <m:sty m:val="bi"/>
                      </m:rPr>
                      <w:rPr>
                        <w:rFonts w:ascii="Cambria Math" w:hAnsi="Cambria Math"/>
                        <w:sz w:val="20"/>
                        <w:szCs w:val="20"/>
                      </w:rPr>
                      <m:t>it</m:t>
                    </m:r>
                  </m:sub>
                </m:sSub>
                <m:r>
                  <m:rPr>
                    <m:sty m:val="p"/>
                  </m:rPr>
                  <w:rPr>
                    <w:rFonts w:ascii="Cambria Math" w:hAnsi="Cambria Math"/>
                    <w:sz w:val="20"/>
                    <w:szCs w:val="20"/>
                  </w:rPr>
                  <m:t>+</m:t>
                </m:r>
                <m:r>
                  <m:rPr>
                    <m:sty m:val="bi"/>
                  </m:rPr>
                  <w:rPr>
                    <w:rFonts w:ascii="Cambria Math" w:hAnsi="Cambria Math"/>
                    <w:sz w:val="20"/>
                    <w:szCs w:val="20"/>
                  </w:rPr>
                  <m:t>ς</m:t>
                </m:r>
                <m:sSub>
                  <m:sSubPr>
                    <m:ctrlPr>
                      <w:rPr>
                        <w:rFonts w:ascii="Cambria Math" w:hAnsi="Cambria Math"/>
                        <w:sz w:val="20"/>
                        <w:szCs w:val="20"/>
                      </w:rPr>
                    </m:ctrlPr>
                  </m:sSubPr>
                  <m:e>
                    <m:r>
                      <m:rPr>
                        <m:sty m:val="bi"/>
                      </m:rPr>
                      <w:rPr>
                        <w:rFonts w:ascii="Cambria Math" w:hAnsi="Cambria Math"/>
                        <w:sz w:val="20"/>
                        <w:szCs w:val="20"/>
                      </w:rPr>
                      <m:t>p</m:t>
                    </m:r>
                  </m:e>
                  <m:sub>
                    <m:r>
                      <m:rPr>
                        <m:sty m:val="bi"/>
                      </m:rPr>
                      <w:rPr>
                        <w:rFonts w:ascii="Cambria Math" w:hAnsi="Cambria Math"/>
                        <w:sz w:val="20"/>
                        <w:szCs w:val="20"/>
                      </w:rPr>
                      <m:t>it</m:t>
                    </m:r>
                  </m:sub>
                </m:sSub>
                <m:r>
                  <m:rPr>
                    <m:sty m:val="p"/>
                  </m:rPr>
                  <w:rPr>
                    <w:rFonts w:ascii="Cambria Math" w:hAnsi="Cambria Math"/>
                    <w:sz w:val="20"/>
                    <w:szCs w:val="20"/>
                  </w:rPr>
                  <m:t>+</m:t>
                </m:r>
                <m:r>
                  <m:rPr>
                    <m:sty m:val="bi"/>
                  </m:rPr>
                  <w:rPr>
                    <w:rFonts w:ascii="Cambria Math" w:hAnsi="Cambria Math"/>
                    <w:sz w:val="20"/>
                    <w:szCs w:val="20"/>
                  </w:rPr>
                  <m:t>ψpro</m:t>
                </m:r>
                <m:sSub>
                  <m:sSubPr>
                    <m:ctrlPr>
                      <w:rPr>
                        <w:rFonts w:ascii="Cambria Math" w:hAnsi="Cambria Math"/>
                        <w:sz w:val="20"/>
                        <w:szCs w:val="20"/>
                      </w:rPr>
                    </m:ctrlPr>
                  </m:sSubPr>
                  <m:e>
                    <m:r>
                      <m:rPr>
                        <m:sty m:val="bi"/>
                      </m:rPr>
                      <w:rPr>
                        <w:rFonts w:ascii="Cambria Math" w:hAnsi="Cambria Math"/>
                        <w:sz w:val="20"/>
                        <w:szCs w:val="20"/>
                      </w:rPr>
                      <m:t>d</m:t>
                    </m:r>
                  </m:e>
                  <m:sub>
                    <m:r>
                      <m:rPr>
                        <m:sty m:val="bi"/>
                      </m:rPr>
                      <w:rPr>
                        <w:rFonts w:ascii="Cambria Math" w:hAnsi="Cambria Math"/>
                        <w:sz w:val="20"/>
                        <w:szCs w:val="20"/>
                      </w:rPr>
                      <m:t>jt</m:t>
                    </m:r>
                  </m:sub>
                </m:sSub>
                <m:r>
                  <m:rPr>
                    <m:sty m:val="p"/>
                  </m:rPr>
                  <w:rPr>
                    <w:rFonts w:ascii="Cambria Math" w:hAnsi="Cambria Math"/>
                    <w:sz w:val="20"/>
                    <w:szCs w:val="20"/>
                  </w:rPr>
                  <m:t>-</m:t>
                </m:r>
                <m:r>
                  <m:rPr>
                    <m:sty m:val="bi"/>
                  </m:rPr>
                  <w:rPr>
                    <w:rFonts w:ascii="Cambria Math" w:hAnsi="Cambria Math"/>
                    <w:sz w:val="20"/>
                    <w:szCs w:val="20"/>
                  </w:rPr>
                  <m:t>ϱ</m:t>
                </m:r>
                <m:sSub>
                  <m:sSubPr>
                    <m:ctrlPr>
                      <w:rPr>
                        <w:rFonts w:ascii="Cambria Math" w:hAnsi="Cambria Math"/>
                        <w:sz w:val="20"/>
                        <w:szCs w:val="20"/>
                      </w:rPr>
                    </m:ctrlPr>
                  </m:sSubPr>
                  <m:e>
                    <m:r>
                      <m:rPr>
                        <m:sty m:val="bi"/>
                      </m:rPr>
                      <w:rPr>
                        <w:rFonts w:ascii="Cambria Math" w:hAnsi="Cambria Math"/>
                        <w:sz w:val="20"/>
                        <w:szCs w:val="20"/>
                      </w:rPr>
                      <m:t>c</m:t>
                    </m:r>
                  </m:e>
                  <m:sub>
                    <m:r>
                      <m:rPr>
                        <m:sty m:val="bi"/>
                      </m:rPr>
                      <w:rPr>
                        <w:rFonts w:ascii="Cambria Math" w:hAnsi="Cambria Math"/>
                        <w:sz w:val="20"/>
                        <w:szCs w:val="20"/>
                      </w:rPr>
                      <m:t>jt</m:t>
                    </m:r>
                  </m:sub>
                </m:sSub>
                <m:r>
                  <m:rPr>
                    <m:sty m:val="p"/>
                  </m:rPr>
                  <w:rPr>
                    <w:rFonts w:ascii="Cambria Math" w:hAnsi="Cambria Math"/>
                    <w:sz w:val="20"/>
                    <w:szCs w:val="20"/>
                  </w:rPr>
                  <m:t>-</m:t>
                </m:r>
                <m:r>
                  <m:rPr>
                    <m:sty m:val="bi"/>
                  </m:rPr>
                  <w:rPr>
                    <w:rFonts w:ascii="Cambria Math" w:hAnsi="Cambria Math"/>
                    <w:sz w:val="20"/>
                    <w:szCs w:val="20"/>
                  </w:rPr>
                  <m:t>γ</m:t>
                </m:r>
                <m:sSub>
                  <m:sSubPr>
                    <m:ctrlPr>
                      <w:rPr>
                        <w:rFonts w:ascii="Cambria Math" w:hAnsi="Cambria Math"/>
                        <w:sz w:val="20"/>
                        <w:szCs w:val="20"/>
                      </w:rPr>
                    </m:ctrlPr>
                  </m:sSubPr>
                  <m:e>
                    <m:r>
                      <m:rPr>
                        <m:sty m:val="bi"/>
                      </m:rPr>
                      <w:rPr>
                        <w:rFonts w:ascii="Cambria Math" w:hAnsi="Cambria Math"/>
                        <w:sz w:val="20"/>
                        <w:szCs w:val="20"/>
                      </w:rPr>
                      <m:t>d</m:t>
                    </m:r>
                  </m:e>
                  <m:sub>
                    <m:r>
                      <m:rPr>
                        <m:sty m:val="bi"/>
                      </m:rPr>
                      <w:rPr>
                        <w:rFonts w:ascii="Cambria Math" w:hAnsi="Cambria Math"/>
                        <w:sz w:val="20"/>
                        <w:szCs w:val="20"/>
                      </w:rPr>
                      <m:t>ijt</m:t>
                    </m:r>
                  </m:sub>
                </m:sSub>
                <m:r>
                  <m:rPr>
                    <m:sty m:val="p"/>
                  </m:rPr>
                  <w:rPr>
                    <w:rFonts w:ascii="Cambria Math" w:hAnsi="Cambria Math"/>
                    <w:sz w:val="20"/>
                    <w:szCs w:val="20"/>
                  </w:rPr>
                  <m:t>-</m:t>
                </m:r>
                <m:r>
                  <m:rPr>
                    <m:sty m:val="bi"/>
                  </m:rPr>
                  <w:rPr>
                    <w:rFonts w:ascii="Cambria Math" w:hAnsi="Cambria Math"/>
                    <w:sz w:val="20"/>
                    <w:szCs w:val="20"/>
                  </w:rPr>
                  <m:t>k</m:t>
                </m:r>
                <m:sSub>
                  <m:sSubPr>
                    <m:ctrlPr>
                      <w:rPr>
                        <w:rFonts w:ascii="Cambria Math" w:hAnsi="Cambria Math"/>
                        <w:sz w:val="20"/>
                        <w:szCs w:val="20"/>
                      </w:rPr>
                    </m:ctrlPr>
                  </m:sSubPr>
                  <m:e>
                    <m:r>
                      <m:rPr>
                        <m:sty m:val="bi"/>
                      </m:rPr>
                      <w:rPr>
                        <w:rFonts w:ascii="Cambria Math" w:hAnsi="Cambria Math"/>
                        <w:sz w:val="20"/>
                        <w:szCs w:val="20"/>
                      </w:rPr>
                      <m:t>ϕ</m:t>
                    </m:r>
                  </m:e>
                  <m:sub>
                    <m:r>
                      <m:rPr>
                        <m:sty m:val="bi"/>
                      </m:rPr>
                      <w:rPr>
                        <w:rFonts w:ascii="Cambria Math" w:hAnsi="Cambria Math"/>
                        <w:sz w:val="20"/>
                        <w:szCs w:val="20"/>
                      </w:rPr>
                      <m:t>ijt</m:t>
                    </m:r>
                  </m:sub>
                </m:sSub>
                <m:r>
                  <m:rPr>
                    <m:sty m:val="p"/>
                  </m:rPr>
                  <w:rPr>
                    <w:rFonts w:ascii="Cambria Math" w:hAnsi="Cambria Math"/>
                    <w:sz w:val="20"/>
                    <w:szCs w:val="20"/>
                  </w:rPr>
                  <m:t>)</m:t>
                </m:r>
              </m:oMath>
            </m:oMathPara>
          </w:p>
        </w:tc>
        <w:tc>
          <w:tcPr>
            <w:tcW w:w="929" w:type="dxa"/>
          </w:tcPr>
          <w:p w14:paraId="5B3F12E2" w14:textId="033DE172" w:rsidR="000E4EF5" w:rsidRPr="00BF27E3" w:rsidRDefault="00E1137D" w:rsidP="00BF27E3">
            <w:pPr>
              <w:pStyle w:val="ANPEC2013"/>
              <w:ind w:firstLine="0"/>
              <w:rPr>
                <w:sz w:val="20"/>
                <w:szCs w:val="20"/>
              </w:rPr>
            </w:pPr>
            <w:r w:rsidRPr="00BF27E3">
              <w:rPr>
                <w:sz w:val="20"/>
                <w:szCs w:val="20"/>
              </w:rPr>
              <w:t>(2</w:t>
            </w:r>
            <w:r w:rsidR="000E4EF5" w:rsidRPr="00BF27E3">
              <w:rPr>
                <w:sz w:val="20"/>
                <w:szCs w:val="20"/>
              </w:rPr>
              <w:t>)</w:t>
            </w:r>
          </w:p>
        </w:tc>
      </w:tr>
    </w:tbl>
    <w:p w14:paraId="0D08AD64" w14:textId="7D19E19C" w:rsidR="000E4EF5" w:rsidRPr="00A7356B" w:rsidRDefault="000E4EF5" w:rsidP="00BF27E3">
      <w:pPr>
        <w:pStyle w:val="ANPEC2013"/>
        <w:ind w:firstLine="0"/>
      </w:pPr>
      <w:proofErr w:type="gramStart"/>
      <w:r w:rsidRPr="00A7356B">
        <w:t>where</w:t>
      </w:r>
      <w:proofErr w:type="gramEnd"/>
      <w:r w:rsidRPr="00A7356B">
        <w:t xml:space="preserve"> </w:t>
      </w:r>
      <m:oMath>
        <m:r>
          <w:rPr>
            <w:rFonts w:ascii="Cambria Math" w:hAnsi="Cambria Math"/>
          </w:rPr>
          <m:t>Φ(.)</m:t>
        </m:r>
      </m:oMath>
      <w:r w:rsidRPr="00A7356B">
        <w:t xml:space="preserve"> is the cdf of the unit-normal distribution. According to </w:t>
      </w:r>
      <w:r w:rsidR="005E02A4" w:rsidRPr="00A7356B">
        <w:t>HMR</w:t>
      </w:r>
      <w:r w:rsidRPr="00A7356B">
        <w:t xml:space="preserve"> (2008) this selection equation has been derived from a firm level decision, and it therefore does not contain the unobserved and endogenous variable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Pr="00A7356B">
        <w:t xml:space="preserve"> that is related to the fraction of exporting firms. Moreover, the Probit can be used to derive consistent estimates of </w:t>
      </w:r>
      <m:oMath>
        <m:sSub>
          <m:sSubPr>
            <m:ctrlPr>
              <w:rPr>
                <w:rFonts w:ascii="Cambria Math" w:hAnsi="Cambria Math"/>
                <w:i/>
              </w:rPr>
            </m:ctrlPr>
          </m:sSubPr>
          <m:e>
            <m:r>
              <w:rPr>
                <w:rFonts w:ascii="Cambria Math" w:hAnsi="Cambria Math"/>
              </w:rPr>
              <m:t>W</m:t>
            </m:r>
          </m:e>
          <m:sub>
            <m:r>
              <w:rPr>
                <w:rFonts w:ascii="Cambria Math" w:hAnsi="Cambria Math"/>
              </w:rPr>
              <m:t>ijt</m:t>
            </m:r>
          </m:sub>
        </m:sSub>
        <m:r>
          <w:rPr>
            <w:rFonts w:ascii="Cambria Math" w:hAnsi="Cambria Math"/>
          </w:rPr>
          <m:t>.</m:t>
        </m:r>
      </m:oMath>
    </w:p>
    <w:p w14:paraId="70A4D025" w14:textId="77777777" w:rsidR="000E4EF5" w:rsidRPr="00A7356B" w:rsidRDefault="000E4EF5" w:rsidP="00231F38">
      <w:pPr>
        <w:pStyle w:val="ANPEC2013"/>
      </w:pPr>
      <w:r w:rsidRPr="00A7356B">
        <w:t xml:space="preserve">According to our assumptions, consistent estimation of the log-linear model requires control for both the endogenous number of exporters (via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Pr="00A7356B">
        <w:t xml:space="preserve">) and the selection of country pairs into trading partners (which generates a correlation between the unobserved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sidRPr="00A7356B">
        <w:t xml:space="preserve"> and the dependent variables). Thus, estimates for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ij</m:t>
                </m:r>
              </m:sub>
            </m:sSub>
          </m:e>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=1</m:t>
            </m:r>
          </m:e>
        </m:d>
      </m:oMath>
      <w:r w:rsidRPr="00A7356B">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ijt</m:t>
                </m:r>
              </m:sub>
            </m:sSub>
          </m:e>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ijt</m:t>
                </m:r>
              </m:sub>
            </m:sSub>
            <m:r>
              <w:rPr>
                <w:rFonts w:ascii="Cambria Math" w:hAnsi="Cambria Math"/>
              </w:rPr>
              <m:t>=1</m:t>
            </m:r>
          </m:e>
        </m:d>
      </m:oMath>
      <w:r w:rsidRPr="00A7356B">
        <w:t xml:space="preserve"> are needed. </w:t>
      </w:r>
    </w:p>
    <w:p w14:paraId="7DD2150C" w14:textId="77777777" w:rsidR="000E4EF5" w:rsidRPr="00A7356B" w:rsidRDefault="000E4EF5" w:rsidP="00231F38">
      <w:pPr>
        <w:pStyle w:val="ANPEC2013"/>
      </w:pPr>
      <w:r w:rsidRPr="00A7356B">
        <w:t xml:space="preserve">Additionally,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ijt</m:t>
                </m:r>
              </m:sub>
            </m:sSub>
          </m:e>
        </m:d>
        <w:proofErr w:type="gramStart"/>
        <m:r>
          <w:rPr>
            <w:rFonts w:ascii="Cambria Math" w:hAnsi="Cambria Math"/>
          </w:rPr>
          <m:t>.,</m:t>
        </m:r>
        <w:proofErr w:type="gramEn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ijt</m:t>
            </m:r>
          </m:sub>
        </m:sSub>
        <m:r>
          <w:rPr>
            <w:rFonts w:ascii="Cambria Math" w:hAnsi="Cambria Math"/>
          </w:rPr>
          <m:t>=1]=corr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ijt</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ijt</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ut</m:t>
                    </m:r>
                  </m:sub>
                </m:sSub>
              </m:num>
              <m:den>
                <m:sSub>
                  <m:sSubPr>
                    <m:ctrlPr>
                      <w:rPr>
                        <w:rFonts w:ascii="Cambria Math" w:hAnsi="Cambria Math"/>
                        <w:i/>
                      </w:rPr>
                    </m:ctrlPr>
                  </m:sSubPr>
                  <m:e>
                    <m:r>
                      <w:rPr>
                        <w:rFonts w:ascii="Cambria Math" w:hAnsi="Cambria Math"/>
                      </w:rPr>
                      <m:t>σ</m:t>
                    </m:r>
                  </m:e>
                  <m:sub>
                    <m:r>
                      <w:rPr>
                        <w:rFonts w:ascii="Cambria Math" w:hAnsi="Cambria Math"/>
                      </w:rPr>
                      <m:t>ηt</m:t>
                    </m:r>
                  </m:sub>
                </m:sSub>
              </m:den>
            </m:f>
          </m:e>
        </m:d>
        <m:sSub>
          <m:sSubPr>
            <m:ctrlPr>
              <w:rPr>
                <w:rFonts w:ascii="Cambria Math" w:hAnsi="Cambria Math"/>
                <w:i/>
              </w:rPr>
            </m:ctrlPr>
          </m:sSubPr>
          <m:e>
            <m:acc>
              <m:accPr>
                <m:ctrlPr>
                  <w:rPr>
                    <w:rFonts w:ascii="Cambria Math" w:hAnsi="Cambria Math"/>
                    <w:i/>
                  </w:rPr>
                </m:ctrlPr>
              </m:accPr>
              <m:e>
                <m:acc>
                  <m:accPr>
                    <m:chr m:val="̅"/>
                    <m:ctrlPr>
                      <w:rPr>
                        <w:rFonts w:ascii="Cambria Math" w:hAnsi="Cambria Math"/>
                        <w:i/>
                      </w:rPr>
                    </m:ctrlPr>
                  </m:accPr>
                  <m:e>
                    <m:r>
                      <w:rPr>
                        <w:rFonts w:ascii="Cambria Math" w:hAnsi="Cambria Math"/>
                      </w:rPr>
                      <m:t>η</m:t>
                    </m:r>
                  </m:e>
                </m:acc>
              </m:e>
            </m:acc>
          </m:e>
          <m:sub>
            <m:r>
              <w:rPr>
                <w:rFonts w:ascii="Cambria Math" w:hAnsi="Cambria Math"/>
              </w:rPr>
              <m:t>ijt</m:t>
            </m:r>
          </m:sub>
        </m:sSub>
      </m:oMath>
      <w:r w:rsidRPr="00A7356B">
        <w:t xml:space="preserve">. As </w:t>
      </w:r>
      <m:oMath>
        <m:sSub>
          <m:sSubPr>
            <m:ctrlPr>
              <w:rPr>
                <w:rFonts w:ascii="Cambria Math" w:hAnsi="Cambria Math"/>
                <w:i/>
              </w:rPr>
            </m:ctrlPr>
          </m:sSubPr>
          <m:e>
            <m:r>
              <w:rPr>
                <w:rFonts w:ascii="Cambria Math" w:hAnsi="Cambria Math"/>
              </w:rPr>
              <m:t>η</m:t>
            </m:r>
          </m:e>
          <m:sub>
            <m:r>
              <w:rPr>
                <w:rFonts w:ascii="Cambria Math" w:hAnsi="Cambria Math"/>
              </w:rPr>
              <m:t>ijt</m:t>
            </m:r>
          </m:sub>
        </m:sSub>
      </m:oMath>
      <w:r w:rsidRPr="00A7356B">
        <w:t xml:space="preserve"> has a unit normal distribution, the inverse Mills ratio, as in Heckman (1979) seminal paper, is thus a consistent estimation of </w:t>
      </w:r>
      <m:oMath>
        <m:sSub>
          <m:sSubPr>
            <m:ctrlPr>
              <w:rPr>
                <w:rFonts w:ascii="Cambria Math" w:hAnsi="Cambria Math"/>
                <w:i/>
              </w:rPr>
            </m:ctrlPr>
          </m:sSubPr>
          <m:e>
            <m:acc>
              <m:accPr>
                <m:ctrlPr>
                  <w:rPr>
                    <w:rFonts w:ascii="Cambria Math" w:hAnsi="Cambria Math"/>
                    <w:i/>
                  </w:rPr>
                </m:ctrlPr>
              </m:accPr>
              <m:e>
                <m:acc>
                  <m:accPr>
                    <m:chr m:val="̅"/>
                    <m:ctrlPr>
                      <w:rPr>
                        <w:rFonts w:ascii="Cambria Math" w:hAnsi="Cambria Math"/>
                        <w:i/>
                      </w:rPr>
                    </m:ctrlPr>
                  </m:accPr>
                  <m:e>
                    <m:r>
                      <w:rPr>
                        <w:rFonts w:ascii="Cambria Math" w:hAnsi="Cambria Math"/>
                      </w:rPr>
                      <m:t>η</m:t>
                    </m:r>
                  </m:e>
                </m:acc>
              </m:e>
            </m:acc>
          </m:e>
          <m:sub>
            <m:r>
              <w:rPr>
                <w:rFonts w:ascii="Cambria Math" w:hAnsi="Cambria Math"/>
              </w:rPr>
              <m:t>ijt</m:t>
            </m:r>
          </m:sub>
        </m:sSub>
        <m:r>
          <w:rPr>
            <w:rStyle w:val="FootnoteReference"/>
            <w:rFonts w:ascii="Cambria Math" w:hAnsi="Cambria Math"/>
            <w:i/>
          </w:rPr>
          <w:footnoteReference w:id="11"/>
        </m:r>
      </m:oMath>
      <w:r w:rsidRPr="00A7356B">
        <w:t xml:space="preserve">. Therefore, </w:t>
      </w:r>
      <m:oMath>
        <m:sSub>
          <m:sSubPr>
            <m:ctrlPr>
              <w:rPr>
                <w:rFonts w:ascii="Cambria Math" w:hAnsi="Cambria Math"/>
                <w:i/>
              </w:rPr>
            </m:ctrlPr>
          </m:sSubPr>
          <m:e>
            <m:acc>
              <m:accPr>
                <m:ctrlPr>
                  <w:rPr>
                    <w:rFonts w:ascii="Cambria Math" w:hAnsi="Cambria Math"/>
                    <w:i/>
                  </w:rPr>
                </m:ctrlPr>
              </m:accPr>
              <m:e>
                <m:acc>
                  <m:accPr>
                    <m:chr m:val="̅"/>
                    <m:ctrlPr>
                      <w:rPr>
                        <w:rFonts w:ascii="Cambria Math" w:hAnsi="Cambria Math"/>
                        <w:i/>
                      </w:rPr>
                    </m:ctrlPr>
                  </m:accPr>
                  <m:e>
                    <m:r>
                      <w:rPr>
                        <w:rFonts w:ascii="Cambria Math" w:hAnsi="Cambria Math"/>
                      </w:rPr>
                      <m:t>z</m:t>
                    </m:r>
                  </m:e>
                </m:acc>
              </m:e>
            </m:acc>
          </m:e>
          <m:sub>
            <m:r>
              <w:rPr>
                <w:rFonts w:ascii="Cambria Math" w:hAnsi="Cambria Math"/>
              </w:rPr>
              <m:t>ijt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ijt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acc>
                  <m:accPr>
                    <m:chr m:val="̅"/>
                    <m:ctrlPr>
                      <w:rPr>
                        <w:rFonts w:ascii="Cambria Math" w:hAnsi="Cambria Math"/>
                        <w:i/>
                      </w:rPr>
                    </m:ctrlPr>
                  </m:accPr>
                  <m:e>
                    <m:r>
                      <w:rPr>
                        <w:rFonts w:ascii="Cambria Math" w:hAnsi="Cambria Math"/>
                      </w:rPr>
                      <m:t>η</m:t>
                    </m:r>
                  </m:e>
                </m:acc>
              </m:e>
            </m:acc>
          </m:e>
          <m:sub>
            <m:r>
              <w:rPr>
                <w:rFonts w:ascii="Cambria Math" w:hAnsi="Cambria Math"/>
              </w:rPr>
              <m:t>ijt</m:t>
            </m:r>
          </m:sub>
        </m:sSub>
        <m:r>
          <w:rPr>
            <w:rFonts w:ascii="Cambria Math" w:hAnsi="Cambria Math"/>
          </w:rPr>
          <m:t xml:space="preserve"> </m:t>
        </m:r>
      </m:oMath>
      <w:r w:rsidRPr="00A7356B">
        <w:t xml:space="preserve">is a consistent estimate for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ijt</m:t>
                </m:r>
              </m:sub>
            </m:sSub>
          </m:e>
        </m:d>
        <w:proofErr w:type="gramStart"/>
        <m:r>
          <w:rPr>
            <w:rFonts w:ascii="Cambria Math" w:hAnsi="Cambria Math"/>
          </w:rPr>
          <m:t>.,</m:t>
        </m:r>
        <w:proofErr w:type="gramEn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ijt</m:t>
            </m:r>
          </m:sub>
        </m:sSub>
        <m:r>
          <w:rPr>
            <w:rFonts w:ascii="Cambria Math" w:hAnsi="Cambria Math"/>
          </w:rPr>
          <m:t>=1]</m:t>
        </m:r>
      </m:oMath>
      <w:r w:rsidRPr="00A7356B">
        <w:t xml:space="preserve"> and </w:t>
      </w:r>
      <m:oMath>
        <m:sSub>
          <m:sSubPr>
            <m:ctrlPr>
              <w:rPr>
                <w:rFonts w:ascii="Cambria Math" w:hAnsi="Cambria Math"/>
                <w:i/>
              </w:rPr>
            </m:ctrlPr>
          </m:sSubPr>
          <m:e>
            <m:acc>
              <m:accPr>
                <m:ctrlPr>
                  <w:rPr>
                    <w:rFonts w:ascii="Cambria Math" w:hAnsi="Cambria Math"/>
                    <w:i/>
                  </w:rPr>
                </m:ctrlPr>
              </m:accPr>
              <m:e>
                <m:acc>
                  <m:accPr>
                    <m:chr m:val="̅"/>
                    <m:ctrlPr>
                      <w:rPr>
                        <w:rFonts w:ascii="Cambria Math" w:hAnsi="Cambria Math"/>
                        <w:i/>
                      </w:rPr>
                    </m:ctrlPr>
                  </m:accPr>
                  <m:e>
                    <m:r>
                      <w:rPr>
                        <w:rFonts w:ascii="Cambria Math" w:hAnsi="Cambria Math"/>
                      </w:rPr>
                      <m:t>w</m:t>
                    </m:r>
                  </m:e>
                </m:acc>
              </m:e>
            </m:acc>
          </m:e>
          <m:sub>
            <m:r>
              <w:rPr>
                <w:rFonts w:ascii="Cambria Math" w:hAnsi="Cambria Math"/>
              </w:rPr>
              <m:t>ijt</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δ</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ijt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acc>
                                  <m:accPr>
                                    <m:chr m:val="̅"/>
                                    <m:ctrlPr>
                                      <w:rPr>
                                        <w:rFonts w:ascii="Cambria Math" w:hAnsi="Cambria Math"/>
                                        <w:i/>
                                      </w:rPr>
                                    </m:ctrlPr>
                                  </m:accPr>
                                  <m:e>
                                    <m:r>
                                      <w:rPr>
                                        <w:rFonts w:ascii="Cambria Math" w:hAnsi="Cambria Math"/>
                                      </w:rPr>
                                      <m:t>η</m:t>
                                    </m:r>
                                  </m:e>
                                </m:acc>
                              </m:e>
                            </m:acc>
                          </m:e>
                          <m:sub>
                            <m:r>
                              <w:rPr>
                                <w:rFonts w:ascii="Cambria Math" w:hAnsi="Cambria Math"/>
                              </w:rPr>
                              <m:t>ijt</m:t>
                            </m:r>
                          </m:sub>
                        </m:sSub>
                      </m:e>
                    </m:d>
                  </m:e>
                </m:d>
                <m:r>
                  <w:rPr>
                    <w:rFonts w:ascii="Cambria Math" w:hAnsi="Cambria Math"/>
                  </w:rPr>
                  <m:t xml:space="preserve">-1} </m:t>
                </m:r>
              </m:e>
            </m:func>
          </m:e>
        </m:func>
      </m:oMath>
      <w:r w:rsidRPr="00A7356B">
        <w:t xml:space="preserve">is a consistent estimate for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ijt</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ijt</m:t>
            </m:r>
          </m:sub>
        </m:sSub>
        <m:r>
          <w:rPr>
            <w:rFonts w:ascii="Cambria Math" w:hAnsi="Cambria Math"/>
          </w:rPr>
          <m:t>=1]</m:t>
        </m:r>
      </m:oMath>
      <w:r w:rsidRPr="00A7356B">
        <w:t xml:space="preserve"> . Thus the model can be estimate using the transformation</w:t>
      </w:r>
    </w:p>
    <w:p w14:paraId="7F7E6611" w14:textId="77777777" w:rsidR="000E4EF5" w:rsidRPr="00A7356B" w:rsidRDefault="000E4EF5" w:rsidP="00231F38">
      <w:pPr>
        <w:pStyle w:val="ANPEC2013"/>
      </w:pPr>
    </w:p>
    <w:tbl>
      <w:tblPr>
        <w:tblW w:w="8944" w:type="dxa"/>
        <w:jc w:val="center"/>
        <w:tblInd w:w="-498" w:type="dxa"/>
        <w:tblLook w:val="04A0" w:firstRow="1" w:lastRow="0" w:firstColumn="1" w:lastColumn="0" w:noHBand="0" w:noVBand="1"/>
      </w:tblPr>
      <w:tblGrid>
        <w:gridCol w:w="422"/>
        <w:gridCol w:w="8049"/>
        <w:gridCol w:w="473"/>
      </w:tblGrid>
      <w:tr w:rsidR="00554596" w:rsidRPr="00A7356B" w14:paraId="3EECC623" w14:textId="77777777" w:rsidTr="00E1137D">
        <w:trPr>
          <w:trHeight w:val="1078"/>
          <w:jc w:val="center"/>
        </w:trPr>
        <w:tc>
          <w:tcPr>
            <w:tcW w:w="422" w:type="dxa"/>
            <w:vAlign w:val="center"/>
          </w:tcPr>
          <w:p w14:paraId="2F1E8BFE" w14:textId="77777777" w:rsidR="000E4EF5" w:rsidRPr="00A7356B" w:rsidRDefault="000E4EF5" w:rsidP="00554596">
            <w:pPr>
              <w:pStyle w:val="xx"/>
              <w:numPr>
                <w:ilvl w:val="0"/>
                <w:numId w:val="0"/>
              </w:numPr>
              <w:rPr>
                <w:b w:val="0"/>
              </w:rPr>
            </w:pPr>
          </w:p>
        </w:tc>
        <w:tc>
          <w:tcPr>
            <w:tcW w:w="8049" w:type="dxa"/>
          </w:tcPr>
          <w:p w14:paraId="3424ABA2" w14:textId="77777777" w:rsidR="00F11BC7" w:rsidRPr="00A7356B" w:rsidRDefault="005008E5" w:rsidP="00E95DD4">
            <w:pPr>
              <w:pStyle w:val="xx"/>
              <w:numPr>
                <w:ilvl w:val="0"/>
                <w:numId w:val="0"/>
              </w:numPr>
              <w:jc w:val="center"/>
              <w:rPr>
                <w:rFonts w:eastAsiaTheme="minorEastAsia"/>
                <w:sz w:val="20"/>
                <w:szCs w:val="20"/>
              </w:rPr>
            </w:pPr>
            <m:oMathPara>
              <m:oMath>
                <m:sSub>
                  <m:sSubPr>
                    <m:ctrlPr>
                      <w:rPr>
                        <w:rFonts w:ascii="Cambria Math" w:hAnsi="Cambria Math"/>
                        <w:sz w:val="20"/>
                        <w:szCs w:val="20"/>
                      </w:rPr>
                    </m:ctrlPr>
                  </m:sSubPr>
                  <m:e>
                    <m:r>
                      <m:rPr>
                        <m:sty m:val="bi"/>
                      </m:rPr>
                      <w:rPr>
                        <w:rFonts w:ascii="Cambria Math" w:hAnsi="Cambria Math"/>
                        <w:sz w:val="20"/>
                        <w:szCs w:val="20"/>
                      </w:rPr>
                      <m:t>m</m:t>
                    </m:r>
                  </m:e>
                  <m:sub>
                    <m:r>
                      <m:rPr>
                        <m:sty m:val="bi"/>
                      </m:rPr>
                      <w:rPr>
                        <w:rFonts w:ascii="Cambria Math" w:hAnsi="Cambria Math"/>
                        <w:sz w:val="20"/>
                        <w:szCs w:val="20"/>
                      </w:rPr>
                      <m:t>ijt</m:t>
                    </m:r>
                  </m:sub>
                </m:sSub>
                <m:r>
                  <m:rPr>
                    <m:sty m:val="b"/>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β</m:t>
                    </m:r>
                  </m:e>
                  <m:sub>
                    <m:r>
                      <m:rPr>
                        <m:sty m:val="b"/>
                      </m:rPr>
                      <w:rPr>
                        <w:rFonts w:ascii="Cambria Math" w:hAnsi="Cambria Math"/>
                        <w:sz w:val="20"/>
                        <w:szCs w:val="20"/>
                      </w:rPr>
                      <m:t>0</m:t>
                    </m:r>
                  </m:sub>
                </m:sSub>
                <m:r>
                  <m:rPr>
                    <m:sty m:val="b"/>
                  </m:rPr>
                  <w:rPr>
                    <w:rFonts w:ascii="Cambria Math" w:hAnsi="Cambria Math" w:cs="Times New Roman"/>
                    <w:sz w:val="20"/>
                    <w:szCs w:val="20"/>
                  </w:rPr>
                  <m:t>+</m:t>
                </m:r>
                <m:r>
                  <m:rPr>
                    <m:sty m:val="bi"/>
                  </m:rPr>
                  <w:rPr>
                    <w:rFonts w:ascii="Cambria Math" w:hAnsi="Cambria Math" w:cs="Times New Roman"/>
                    <w:sz w:val="20"/>
                    <w:szCs w:val="20"/>
                  </w:rPr>
                  <m:t>φ</m:t>
                </m:r>
                <m:sSub>
                  <m:sSubPr>
                    <m:ctrlPr>
                      <w:rPr>
                        <w:rFonts w:ascii="Cambria Math" w:hAnsi="Cambria Math" w:cs="Times New Roman"/>
                        <w:sz w:val="20"/>
                        <w:szCs w:val="20"/>
                      </w:rPr>
                    </m:ctrlPr>
                  </m:sSubPr>
                  <m:e>
                    <m:r>
                      <m:rPr>
                        <m:sty m:val="bi"/>
                      </m:rPr>
                      <w:rPr>
                        <w:rFonts w:ascii="Cambria Math" w:hAnsi="Cambria Math" w:cs="Times New Roman"/>
                        <w:sz w:val="20"/>
                        <w:szCs w:val="20"/>
                      </w:rPr>
                      <m:t>cons</m:t>
                    </m:r>
                  </m:e>
                  <m:sub>
                    <m:r>
                      <m:rPr>
                        <m:sty m:val="bi"/>
                      </m:rPr>
                      <w:rPr>
                        <w:rFonts w:ascii="Cambria Math" w:hAnsi="Cambria Math" w:cs="Times New Roman"/>
                        <w:sz w:val="20"/>
                        <w:szCs w:val="20"/>
                      </w:rPr>
                      <m:t>it</m:t>
                    </m:r>
                  </m:sub>
                </m:sSub>
                <m:r>
                  <m:rPr>
                    <m:sty m:val="b"/>
                  </m:rPr>
                  <w:rPr>
                    <w:rFonts w:ascii="Cambria Math" w:hAnsi="Cambria Math"/>
                    <w:sz w:val="20"/>
                    <w:szCs w:val="20"/>
                  </w:rPr>
                  <m:t>+</m:t>
                </m:r>
                <m:r>
                  <m:rPr>
                    <m:sty m:val="bi"/>
                  </m:rPr>
                  <w:rPr>
                    <w:rFonts w:ascii="Cambria Math" w:hAnsi="Cambria Math" w:cs="Times New Roman"/>
                    <w:sz w:val="20"/>
                    <w:szCs w:val="20"/>
                  </w:rPr>
                  <m:t>ς</m:t>
                </m:r>
                <m:sSub>
                  <m:sSubPr>
                    <m:ctrlPr>
                      <w:rPr>
                        <w:rFonts w:ascii="Cambria Math" w:hAnsi="Cambria Math" w:cs="Times New Roman"/>
                        <w:sz w:val="20"/>
                        <w:szCs w:val="20"/>
                      </w:rPr>
                    </m:ctrlPr>
                  </m:sSubPr>
                  <m:e>
                    <m:r>
                      <m:rPr>
                        <m:sty m:val="bi"/>
                      </m:rPr>
                      <w:rPr>
                        <w:rFonts w:ascii="Cambria Math" w:hAnsi="Cambria Math" w:cs="Times New Roman"/>
                        <w:sz w:val="20"/>
                        <w:szCs w:val="20"/>
                      </w:rPr>
                      <m:t>p</m:t>
                    </m:r>
                  </m:e>
                  <m:sub>
                    <m:r>
                      <m:rPr>
                        <m:sty m:val="bi"/>
                      </m:rPr>
                      <w:rPr>
                        <w:rFonts w:ascii="Cambria Math" w:hAnsi="Cambria Math" w:cs="Times New Roman"/>
                        <w:sz w:val="20"/>
                        <w:szCs w:val="20"/>
                      </w:rPr>
                      <m:t>it</m:t>
                    </m:r>
                  </m:sub>
                </m:sSub>
                <m:r>
                  <m:rPr>
                    <m:sty m:val="b"/>
                  </m:rPr>
                  <w:rPr>
                    <w:rFonts w:ascii="Cambria Math" w:hAnsi="Cambria Math" w:cs="Times New Roman"/>
                    <w:sz w:val="20"/>
                    <w:szCs w:val="20"/>
                  </w:rPr>
                  <m:t>+</m:t>
                </m:r>
                <m:r>
                  <m:rPr>
                    <m:sty m:val="bi"/>
                  </m:rPr>
                  <w:rPr>
                    <w:rFonts w:ascii="Cambria Math" w:hAnsi="Cambria Math" w:cs="Times New Roman"/>
                    <w:sz w:val="20"/>
                    <w:szCs w:val="20"/>
                  </w:rPr>
                  <m:t>ψpro</m:t>
                </m:r>
                <m:sSub>
                  <m:sSubPr>
                    <m:ctrlPr>
                      <w:rPr>
                        <w:rFonts w:ascii="Cambria Math" w:hAnsi="Cambria Math" w:cs="Times New Roman"/>
                        <w:sz w:val="20"/>
                        <w:szCs w:val="20"/>
                      </w:rPr>
                    </m:ctrlPr>
                  </m:sSubPr>
                  <m:e>
                    <m:r>
                      <m:rPr>
                        <m:sty m:val="bi"/>
                      </m:rPr>
                      <w:rPr>
                        <w:rFonts w:ascii="Cambria Math" w:hAnsi="Cambria Math" w:cs="Times New Roman"/>
                        <w:sz w:val="20"/>
                        <w:szCs w:val="20"/>
                      </w:rPr>
                      <m:t>d</m:t>
                    </m:r>
                  </m:e>
                  <m:sub>
                    <m:r>
                      <m:rPr>
                        <m:sty m:val="bi"/>
                      </m:rPr>
                      <w:rPr>
                        <w:rFonts w:ascii="Cambria Math" w:hAnsi="Cambria Math" w:cs="Times New Roman"/>
                        <w:sz w:val="20"/>
                        <w:szCs w:val="20"/>
                      </w:rPr>
                      <m:t>jt</m:t>
                    </m:r>
                  </m:sub>
                </m:sSub>
                <m:r>
                  <m:rPr>
                    <m:sty m:val="b"/>
                  </m:rPr>
                  <w:rPr>
                    <w:rFonts w:ascii="Cambria Math" w:hAnsi="Cambria Math" w:cs="Times New Roman"/>
                    <w:sz w:val="20"/>
                    <w:szCs w:val="20"/>
                  </w:rPr>
                  <m:t>-</m:t>
                </m:r>
                <m:r>
                  <m:rPr>
                    <m:sty m:val="bi"/>
                  </m:rPr>
                  <w:rPr>
                    <w:rFonts w:ascii="Cambria Math" w:hAnsi="Cambria Math" w:cs="Times New Roman"/>
                    <w:sz w:val="20"/>
                    <w:szCs w:val="20"/>
                  </w:rPr>
                  <m:t>ϱ</m:t>
                </m:r>
                <m:sSub>
                  <m:sSubPr>
                    <m:ctrlPr>
                      <w:rPr>
                        <w:rFonts w:ascii="Cambria Math" w:hAnsi="Cambria Math" w:cs="Times New Roman"/>
                        <w:sz w:val="20"/>
                        <w:szCs w:val="20"/>
                      </w:rPr>
                    </m:ctrlPr>
                  </m:sSubPr>
                  <m:e>
                    <m:r>
                      <m:rPr>
                        <m:sty m:val="bi"/>
                      </m:rPr>
                      <w:rPr>
                        <w:rFonts w:ascii="Cambria Math" w:hAnsi="Cambria Math" w:cs="Times New Roman"/>
                        <w:sz w:val="20"/>
                        <w:szCs w:val="20"/>
                      </w:rPr>
                      <m:t>c</m:t>
                    </m:r>
                  </m:e>
                  <m:sub>
                    <m:r>
                      <m:rPr>
                        <m:sty m:val="bi"/>
                      </m:rPr>
                      <w:rPr>
                        <w:rFonts w:ascii="Cambria Math" w:hAnsi="Cambria Math" w:cs="Times New Roman"/>
                        <w:sz w:val="20"/>
                        <w:szCs w:val="20"/>
                      </w:rPr>
                      <m:t>jt</m:t>
                    </m:r>
                  </m:sub>
                </m:sSub>
                <m:r>
                  <m:rPr>
                    <m:sty m:val="b"/>
                  </m:rPr>
                  <w:rPr>
                    <w:rFonts w:ascii="Cambria Math" w:hAnsi="Cambria Math"/>
                    <w:sz w:val="20"/>
                    <w:szCs w:val="20"/>
                  </w:rPr>
                  <m:t>-</m:t>
                </m:r>
                <m:r>
                  <m:rPr>
                    <m:sty m:val="bi"/>
                  </m:rPr>
                  <w:rPr>
                    <w:rFonts w:ascii="Cambria Math" w:hAnsi="Cambria Math"/>
                    <w:sz w:val="20"/>
                    <w:szCs w:val="20"/>
                  </w:rPr>
                  <m:t>γ</m:t>
                </m:r>
                <m:sSub>
                  <m:sSubPr>
                    <m:ctrlPr>
                      <w:rPr>
                        <w:rFonts w:ascii="Cambria Math" w:hAnsi="Cambria Math"/>
                        <w:sz w:val="20"/>
                        <w:szCs w:val="20"/>
                      </w:rPr>
                    </m:ctrlPr>
                  </m:sSubPr>
                  <m:e>
                    <m:r>
                      <m:rPr>
                        <m:sty m:val="bi"/>
                      </m:rPr>
                      <w:rPr>
                        <w:rFonts w:ascii="Cambria Math" w:hAnsi="Cambria Math"/>
                        <w:sz w:val="20"/>
                        <w:szCs w:val="20"/>
                      </w:rPr>
                      <m:t>d</m:t>
                    </m:r>
                  </m:e>
                  <m:sub>
                    <m:r>
                      <m:rPr>
                        <m:sty m:val="bi"/>
                      </m:rPr>
                      <w:rPr>
                        <w:rFonts w:ascii="Cambria Math" w:hAnsi="Cambria Math"/>
                        <w:sz w:val="20"/>
                        <w:szCs w:val="20"/>
                      </w:rPr>
                      <m:t>ijt</m:t>
                    </m:r>
                  </m:sub>
                </m:sSub>
              </m:oMath>
            </m:oMathPara>
          </w:p>
          <w:p w14:paraId="4B67D4E6" w14:textId="1EAD81B3" w:rsidR="000E4EF5" w:rsidRPr="00C61C04" w:rsidRDefault="00F11BC7" w:rsidP="00C61C04">
            <w:pPr>
              <w:pStyle w:val="xx"/>
              <w:numPr>
                <w:ilvl w:val="0"/>
                <w:numId w:val="0"/>
              </w:numPr>
              <w:jc w:val="center"/>
              <w:rPr>
                <w:sz w:val="20"/>
                <w:szCs w:val="20"/>
              </w:rPr>
            </w:pPr>
            <m:oMathPara>
              <m:oMath>
                <m:r>
                  <m:rPr>
                    <m:sty m:val="b"/>
                  </m:rPr>
                  <w:rPr>
                    <w:rFonts w:ascii="Cambria Math" w:hAnsi="Cambria Math"/>
                    <w:sz w:val="20"/>
                    <w:szCs w:val="20"/>
                  </w:rPr>
                  <m:t>+</m:t>
                </m:r>
                <m:func>
                  <m:funcPr>
                    <m:ctrlPr>
                      <w:rPr>
                        <w:rFonts w:ascii="Cambria Math" w:hAnsi="Cambria Math"/>
                        <w:sz w:val="20"/>
                        <w:szCs w:val="20"/>
                      </w:rPr>
                    </m:ctrlPr>
                  </m:funcPr>
                  <m:fName>
                    <m:r>
                      <m:rPr>
                        <m:sty m:val="b"/>
                      </m:rPr>
                      <w:rPr>
                        <w:rFonts w:ascii="Cambria Math" w:hAnsi="Cambria Math"/>
                        <w:sz w:val="20"/>
                        <w:szCs w:val="20"/>
                      </w:rPr>
                      <m:t>ln</m:t>
                    </m:r>
                  </m:fName>
                  <m:e>
                    <m:r>
                      <m:rPr>
                        <m:sty m:val="b"/>
                      </m:rPr>
                      <w:rPr>
                        <w:rFonts w:ascii="Cambria Math" w:hAnsi="Cambria Math"/>
                        <w:sz w:val="20"/>
                        <w:szCs w:val="20"/>
                      </w:rPr>
                      <m:t>{</m:t>
                    </m:r>
                    <m:func>
                      <m:funcPr>
                        <m:ctrlPr>
                          <w:rPr>
                            <w:rFonts w:ascii="Cambria Math" w:hAnsi="Cambria Math"/>
                            <w:sz w:val="20"/>
                            <w:szCs w:val="20"/>
                          </w:rPr>
                        </m:ctrlPr>
                      </m:funcPr>
                      <m:fName>
                        <m:r>
                          <m:rPr>
                            <m:sty m:val="b"/>
                          </m:rPr>
                          <w:rPr>
                            <w:rFonts w:ascii="Cambria Math" w:hAnsi="Cambria Math"/>
                            <w:sz w:val="20"/>
                            <w:szCs w:val="20"/>
                          </w:rPr>
                          <m:t>exp</m:t>
                        </m:r>
                      </m:fName>
                      <m:e>
                        <m:d>
                          <m:dPr>
                            <m:begChr m:val="["/>
                            <m:endChr m:val="]"/>
                            <m:ctrlPr>
                              <w:rPr>
                                <w:rFonts w:ascii="Cambria Math" w:hAnsi="Cambria Math"/>
                                <w:sz w:val="20"/>
                                <w:szCs w:val="20"/>
                              </w:rPr>
                            </m:ctrlPr>
                          </m:dPr>
                          <m:e>
                            <m:r>
                              <m:rPr>
                                <m:sty m:val="bi"/>
                              </m:rPr>
                              <w:rPr>
                                <w:rFonts w:ascii="Cambria Math" w:hAnsi="Cambria Math"/>
                                <w:sz w:val="20"/>
                                <w:szCs w:val="20"/>
                              </w:rPr>
                              <m:t>δ</m:t>
                            </m:r>
                            <m:d>
                              <m:dPr>
                                <m:ctrlPr>
                                  <w:rPr>
                                    <w:rFonts w:ascii="Cambria Math" w:hAnsi="Cambria Math"/>
                                    <w:sz w:val="20"/>
                                    <w:szCs w:val="20"/>
                                  </w:rPr>
                                </m:ctrlPr>
                              </m:dPr>
                              <m:e>
                                <m:sSub>
                                  <m:sSubPr>
                                    <m:ctrlPr>
                                      <w:rPr>
                                        <w:rFonts w:ascii="Cambria Math" w:hAnsi="Cambria Math"/>
                                        <w:sz w:val="20"/>
                                        <w:szCs w:val="20"/>
                                      </w:rPr>
                                    </m:ctrlPr>
                                  </m:sSubPr>
                                  <m:e>
                                    <m:acc>
                                      <m:accPr>
                                        <m:ctrlPr>
                                          <w:rPr>
                                            <w:rFonts w:ascii="Cambria Math" w:hAnsi="Cambria Math"/>
                                            <w:sz w:val="20"/>
                                            <w:szCs w:val="20"/>
                                          </w:rPr>
                                        </m:ctrlPr>
                                      </m:accPr>
                                      <m:e>
                                        <m:r>
                                          <m:rPr>
                                            <m:sty m:val="bi"/>
                                          </m:rPr>
                                          <w:rPr>
                                            <w:rFonts w:ascii="Cambria Math" w:hAnsi="Cambria Math"/>
                                            <w:sz w:val="20"/>
                                            <w:szCs w:val="20"/>
                                          </w:rPr>
                                          <m:t>z</m:t>
                                        </m:r>
                                      </m:e>
                                    </m:acc>
                                  </m:e>
                                  <m:sub>
                                    <m:r>
                                      <m:rPr>
                                        <m:sty m:val="bi"/>
                                      </m:rPr>
                                      <w:rPr>
                                        <w:rFonts w:ascii="Cambria Math" w:hAnsi="Cambria Math"/>
                                        <w:sz w:val="20"/>
                                        <w:szCs w:val="20"/>
                                      </w:rPr>
                                      <m:t>ijt</m:t>
                                    </m:r>
                                  </m:sub>
                                </m:sSub>
                                <m:r>
                                  <m:rPr>
                                    <m:sty m:val="b"/>
                                  </m:rPr>
                                  <w:rPr>
                                    <w:rFonts w:ascii="Cambria Math" w:hAnsi="Cambria Math"/>
                                    <w:sz w:val="20"/>
                                    <w:szCs w:val="20"/>
                                  </w:rPr>
                                  <m:t>+</m:t>
                                </m:r>
                                <m:sSub>
                                  <m:sSubPr>
                                    <m:ctrlPr>
                                      <w:rPr>
                                        <w:rFonts w:ascii="Cambria Math" w:hAnsi="Cambria Math"/>
                                        <w:sz w:val="20"/>
                                        <w:szCs w:val="20"/>
                                      </w:rPr>
                                    </m:ctrlPr>
                                  </m:sSubPr>
                                  <m:e>
                                    <m:acc>
                                      <m:accPr>
                                        <m:ctrlPr>
                                          <w:rPr>
                                            <w:rFonts w:ascii="Cambria Math" w:hAnsi="Cambria Math"/>
                                            <w:sz w:val="20"/>
                                            <w:szCs w:val="20"/>
                                          </w:rPr>
                                        </m:ctrlPr>
                                      </m:accPr>
                                      <m:e>
                                        <m:acc>
                                          <m:accPr>
                                            <m:chr m:val="̅"/>
                                            <m:ctrlPr>
                                              <w:rPr>
                                                <w:rFonts w:ascii="Cambria Math" w:hAnsi="Cambria Math"/>
                                                <w:sz w:val="20"/>
                                                <w:szCs w:val="20"/>
                                              </w:rPr>
                                            </m:ctrlPr>
                                          </m:accPr>
                                          <m:e>
                                            <m:r>
                                              <m:rPr>
                                                <m:sty m:val="bi"/>
                                              </m:rPr>
                                              <w:rPr>
                                                <w:rFonts w:ascii="Cambria Math" w:hAnsi="Cambria Math"/>
                                                <w:sz w:val="20"/>
                                                <w:szCs w:val="20"/>
                                              </w:rPr>
                                              <m:t>η</m:t>
                                            </m:r>
                                          </m:e>
                                        </m:acc>
                                      </m:e>
                                    </m:acc>
                                  </m:e>
                                  <m:sub>
                                    <m:r>
                                      <m:rPr>
                                        <m:sty m:val="bi"/>
                                      </m:rPr>
                                      <w:rPr>
                                        <w:rFonts w:ascii="Cambria Math" w:hAnsi="Cambria Math"/>
                                        <w:sz w:val="20"/>
                                        <w:szCs w:val="20"/>
                                      </w:rPr>
                                      <m:t>ijt</m:t>
                                    </m:r>
                                  </m:sub>
                                </m:sSub>
                              </m:e>
                            </m:d>
                          </m:e>
                        </m:d>
                        <m:r>
                          <m:rPr>
                            <m:sty m:val="b"/>
                          </m:rPr>
                          <w:rPr>
                            <w:rFonts w:ascii="Cambria Math" w:hAnsi="Cambria Math"/>
                            <w:sz w:val="20"/>
                            <w:szCs w:val="20"/>
                          </w:rPr>
                          <m:t xml:space="preserve">-1} </m:t>
                        </m:r>
                      </m:e>
                    </m:func>
                  </m:e>
                </m:func>
                <m:r>
                  <m:rPr>
                    <m:sty m:val="b"/>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β</m:t>
                    </m:r>
                  </m:e>
                  <m:sub>
                    <m:r>
                      <m:rPr>
                        <m:sty m:val="bi"/>
                      </m:rPr>
                      <w:rPr>
                        <w:rFonts w:ascii="Cambria Math" w:hAnsi="Cambria Math"/>
                        <w:sz w:val="20"/>
                        <w:szCs w:val="20"/>
                      </w:rPr>
                      <m:t>uη</m:t>
                    </m:r>
                  </m:sub>
                </m:sSub>
                <m:sSub>
                  <m:sSubPr>
                    <m:ctrlPr>
                      <w:rPr>
                        <w:rFonts w:ascii="Cambria Math" w:hAnsi="Cambria Math"/>
                        <w:sz w:val="20"/>
                        <w:szCs w:val="20"/>
                      </w:rPr>
                    </m:ctrlPr>
                  </m:sSubPr>
                  <m:e>
                    <m:acc>
                      <m:accPr>
                        <m:ctrlPr>
                          <w:rPr>
                            <w:rFonts w:ascii="Cambria Math" w:hAnsi="Cambria Math"/>
                            <w:sz w:val="20"/>
                            <w:szCs w:val="20"/>
                          </w:rPr>
                        </m:ctrlPr>
                      </m:accPr>
                      <m:e>
                        <m:acc>
                          <m:accPr>
                            <m:chr m:val="̅"/>
                            <m:ctrlPr>
                              <w:rPr>
                                <w:rFonts w:ascii="Cambria Math" w:hAnsi="Cambria Math"/>
                                <w:sz w:val="20"/>
                                <w:szCs w:val="20"/>
                              </w:rPr>
                            </m:ctrlPr>
                          </m:accPr>
                          <m:e>
                            <m:r>
                              <m:rPr>
                                <m:sty m:val="bi"/>
                              </m:rPr>
                              <w:rPr>
                                <w:rFonts w:ascii="Cambria Math" w:hAnsi="Cambria Math"/>
                                <w:sz w:val="20"/>
                                <w:szCs w:val="20"/>
                              </w:rPr>
                              <m:t>η</m:t>
                            </m:r>
                          </m:e>
                        </m:acc>
                      </m:e>
                    </m:acc>
                  </m:e>
                  <m:sub>
                    <m:r>
                      <m:rPr>
                        <m:sty m:val="bi"/>
                      </m:rPr>
                      <w:rPr>
                        <w:rFonts w:ascii="Cambria Math" w:hAnsi="Cambria Math"/>
                        <w:sz w:val="20"/>
                        <w:szCs w:val="20"/>
                      </w:rPr>
                      <m:t>ijt</m:t>
                    </m:r>
                  </m:sub>
                </m:sSub>
                <m:r>
                  <m:rPr>
                    <m:sty m:val="b"/>
                  </m:rPr>
                  <w:rPr>
                    <w:rFonts w:ascii="Cambria Math" w:hAnsi="Cambria Math"/>
                    <w:sz w:val="20"/>
                    <w:szCs w:val="20"/>
                  </w:rPr>
                  <m:t>+</m:t>
                </m:r>
                <m:sSub>
                  <m:sSubPr>
                    <m:ctrlPr>
                      <w:rPr>
                        <w:rFonts w:ascii="Cambria Math" w:hAnsi="Cambria Math"/>
                        <w:sz w:val="20"/>
                        <w:szCs w:val="20"/>
                      </w:rPr>
                    </m:ctrlPr>
                  </m:sSubPr>
                  <m:e>
                    <m:r>
                      <m:rPr>
                        <m:scr m:val="script"/>
                        <m:sty m:val="b"/>
                      </m:rPr>
                      <w:rPr>
                        <w:rFonts w:ascii="Cambria Math" w:hAnsi="Cambria Math"/>
                        <w:sz w:val="20"/>
                        <w:szCs w:val="20"/>
                      </w:rPr>
                      <m:t>e</m:t>
                    </m:r>
                  </m:e>
                  <m:sub>
                    <m:r>
                      <m:rPr>
                        <m:sty m:val="bi"/>
                      </m:rPr>
                      <w:rPr>
                        <w:rFonts w:ascii="Cambria Math" w:hAnsi="Cambria Math"/>
                        <w:sz w:val="20"/>
                        <w:szCs w:val="20"/>
                      </w:rPr>
                      <m:t>ijt</m:t>
                    </m:r>
                  </m:sub>
                </m:sSub>
              </m:oMath>
            </m:oMathPara>
          </w:p>
        </w:tc>
        <w:tc>
          <w:tcPr>
            <w:tcW w:w="473" w:type="dxa"/>
          </w:tcPr>
          <w:p w14:paraId="07B82840" w14:textId="79F8F249" w:rsidR="000E4EF5" w:rsidRPr="00A7356B" w:rsidRDefault="002C13FE" w:rsidP="00554596">
            <w:pPr>
              <w:pStyle w:val="xx"/>
              <w:numPr>
                <w:ilvl w:val="0"/>
                <w:numId w:val="0"/>
              </w:numPr>
            </w:pPr>
            <w:r w:rsidRPr="00A7356B">
              <w:t>(</w:t>
            </w:r>
            <w:r w:rsidR="00E1137D">
              <w:t>3</w:t>
            </w:r>
            <w:r w:rsidR="000E4EF5" w:rsidRPr="00A7356B">
              <w:t>)</w:t>
            </w:r>
          </w:p>
        </w:tc>
      </w:tr>
    </w:tbl>
    <w:p w14:paraId="1C7A10F9" w14:textId="7E49208F" w:rsidR="000E4EF5" w:rsidRPr="00A7356B" w:rsidRDefault="000E4EF5" w:rsidP="00231F38">
      <w:pPr>
        <w:pStyle w:val="ANPEC2013"/>
      </w:pPr>
      <w:proofErr w:type="gramStart"/>
      <w:r w:rsidRPr="00A7356B">
        <w:t>where</w:t>
      </w:r>
      <w:proofErr w:type="gramEnd"/>
      <w:r w:rsidRPr="00A7356B">
        <w:t xml:space="preserve"> </w:t>
      </w:r>
      <m:oMath>
        <m:sSub>
          <m:sSubPr>
            <m:ctrlPr>
              <w:rPr>
                <w:rFonts w:ascii="Cambria Math" w:hAnsi="Cambria Math"/>
                <w:i/>
              </w:rPr>
            </m:ctrlPr>
          </m:sSubPr>
          <m:e>
            <m:r>
              <w:rPr>
                <w:rFonts w:ascii="Cambria Math" w:hAnsi="Cambria Math"/>
              </w:rPr>
              <m:t>β</m:t>
            </m:r>
          </m:e>
          <m:sub>
            <m:r>
              <w:rPr>
                <w:rFonts w:ascii="Cambria Math" w:hAnsi="Cambria Math"/>
              </w:rPr>
              <m:t>uη</m:t>
            </m:r>
          </m:sub>
        </m:sSub>
        <m:r>
          <w:rPr>
            <w:rFonts w:ascii="Cambria Math" w:hAnsi="Cambria Math"/>
          </w:rPr>
          <m:t>≡corr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ijt</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ijt</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ut</m:t>
                    </m:r>
                  </m:sub>
                </m:sSub>
              </m:num>
              <m:den>
                <m:sSub>
                  <m:sSubPr>
                    <m:ctrlPr>
                      <w:rPr>
                        <w:rFonts w:ascii="Cambria Math" w:hAnsi="Cambria Math"/>
                        <w:i/>
                      </w:rPr>
                    </m:ctrlPr>
                  </m:sSubPr>
                  <m:e>
                    <m:r>
                      <w:rPr>
                        <w:rFonts w:ascii="Cambria Math" w:hAnsi="Cambria Math"/>
                      </w:rPr>
                      <m:t>σ</m:t>
                    </m:r>
                  </m:e>
                  <m:sub>
                    <m:r>
                      <w:rPr>
                        <w:rFonts w:ascii="Cambria Math" w:hAnsi="Cambria Math"/>
                      </w:rPr>
                      <m:t>ηt</m:t>
                    </m:r>
                  </m:sub>
                </m:sSub>
              </m:den>
            </m:f>
          </m:e>
        </m:d>
      </m:oMath>
      <w:r w:rsidRPr="00A7356B">
        <w:t xml:space="preserve"> and </w:t>
      </w:r>
      <m:oMath>
        <m:sSub>
          <m:sSubPr>
            <m:ctrlPr>
              <w:rPr>
                <w:rFonts w:ascii="Cambria Math" w:hAnsi="Cambria Math"/>
                <w:i/>
              </w:rPr>
            </m:ctrlPr>
          </m:sSubPr>
          <m:e>
            <m:r>
              <m:rPr>
                <m:scr m:val="script"/>
              </m:rPr>
              <w:rPr>
                <w:rFonts w:ascii="Cambria Math" w:hAnsi="Cambria Math"/>
              </w:rPr>
              <m:t>e</m:t>
            </m:r>
          </m:e>
          <m:sub>
            <m:r>
              <w:rPr>
                <w:rFonts w:ascii="Cambria Math" w:hAnsi="Cambria Math"/>
              </w:rPr>
              <m:t>ijt</m:t>
            </m:r>
          </m:sub>
        </m:sSub>
      </m:oMath>
      <w:r w:rsidRPr="00A7356B">
        <w:t xml:space="preserve"> is an i.i.d error term satisfying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ij</m:t>
                </m:r>
              </m:sub>
            </m:sSub>
          </m:e>
        </m:d>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=1]=0</m:t>
        </m:r>
      </m:oMath>
      <w:r w:rsidRPr="00A7356B">
        <w:t xml:space="preserve">. Note that equation </w:t>
      </w:r>
      <w:r w:rsidR="00A10E8F" w:rsidRPr="00A7356B">
        <w:t>(5</w:t>
      </w:r>
      <w:r w:rsidRPr="00A7356B">
        <w:t xml:space="preserve">) is nonlinear in </w:t>
      </w:r>
      <m:oMath>
        <m:sSub>
          <m:sSubPr>
            <m:ctrlPr>
              <w:rPr>
                <w:rFonts w:ascii="Cambria Math" w:hAnsi="Cambria Math"/>
                <w:i/>
              </w:rPr>
            </m:ctrlPr>
          </m:sSubPr>
          <m:e>
            <m:r>
              <w:rPr>
                <w:rFonts w:ascii="Cambria Math" w:hAnsi="Cambria Math"/>
              </w:rPr>
              <m:t>δ</m:t>
            </m:r>
          </m:e>
          <m:sub>
            <m:r>
              <w:rPr>
                <w:rFonts w:ascii="Cambria Math" w:hAnsi="Cambria Math"/>
              </w:rPr>
              <m:t>t</m:t>
            </m:r>
          </m:sub>
        </m:sSub>
      </m:oMath>
      <w:r w:rsidRPr="00A7356B">
        <w:t xml:space="preserve">. However, a linear model can be estimated. Following specifications in </w:t>
      </w:r>
      <w:proofErr w:type="gramStart"/>
      <w:r w:rsidR="00554596">
        <w:t>HMR(</w:t>
      </w:r>
      <w:proofErr w:type="gramEnd"/>
      <w:r w:rsidR="00554596">
        <w:t>2008)</w:t>
      </w:r>
      <w:r w:rsidRPr="00A7356B">
        <w:t xml:space="preserve"> we dropped the Pareto assumption </w:t>
      </w:r>
      <m:oMath>
        <m:r>
          <w:rPr>
            <w:rFonts w:ascii="Cambria Math" w:hAnsi="Cambria Math"/>
          </w:rPr>
          <m:t>G(.)</m:t>
        </m:r>
      </m:oMath>
      <w:r w:rsidRPr="00A7356B">
        <w:t xml:space="preserve"> and revert it to the general specification for </w:t>
      </w:r>
      <m:oMath>
        <m:sSub>
          <m:sSubPr>
            <m:ctrlPr>
              <w:rPr>
                <w:rFonts w:ascii="Cambria Math" w:hAnsi="Cambria Math"/>
                <w:i/>
              </w:rPr>
            </m:ctrlPr>
          </m:sSubPr>
          <m:e>
            <m:r>
              <w:rPr>
                <w:rFonts w:ascii="Cambria Math" w:hAnsi="Cambria Math"/>
              </w:rPr>
              <m:t>V</m:t>
            </m:r>
          </m:e>
          <m:sub>
            <m:r>
              <w:rPr>
                <w:rFonts w:ascii="Cambria Math" w:hAnsi="Cambria Math"/>
              </w:rPr>
              <m:t>ijt</m:t>
            </m:r>
          </m:sub>
        </m:sSub>
        <m:r>
          <w:rPr>
            <w:rStyle w:val="FootnoteReference"/>
            <w:rFonts w:ascii="Cambria Math" w:hAnsi="Cambria Math"/>
            <w:i/>
          </w:rPr>
          <w:footnoteReference w:id="12"/>
        </m:r>
      </m:oMath>
      <w:r w:rsidRPr="00A7356B">
        <w:t xml:space="preserve">. Thus, </w:t>
      </w:r>
      <m:oMath>
        <m:sSub>
          <m:sSubPr>
            <m:ctrlPr>
              <w:rPr>
                <w:rFonts w:ascii="Cambria Math" w:hAnsi="Cambria Math"/>
                <w:i/>
              </w:rPr>
            </m:ctrlPr>
          </m:sSubPr>
          <m:e>
            <m:r>
              <w:rPr>
                <w:rFonts w:ascii="Cambria Math" w:hAnsi="Cambria Math"/>
              </w:rPr>
              <m:t>v</m:t>
            </m:r>
          </m:e>
          <m:sub>
            <m:r>
              <w:rPr>
                <w:rFonts w:ascii="Cambria Math" w:hAnsi="Cambria Math"/>
              </w:rPr>
              <m:t>ijt</m:t>
            </m:r>
          </m:sub>
        </m:sSub>
        <w:proofErr w:type="gramStart"/>
        <m:r>
          <w:rPr>
            <w:rFonts w:ascii="Cambria Math" w:hAnsi="Cambria Math"/>
          </w:rPr>
          <m:t>≡v(</m:t>
        </m:r>
        <w:proofErr w:type="gramEnd"/>
        <m:sSub>
          <m:sSubPr>
            <m:ctrlPr>
              <w:rPr>
                <w:rFonts w:ascii="Cambria Math" w:hAnsi="Cambria Math"/>
                <w:i/>
              </w:rPr>
            </m:ctrlPr>
          </m:sSubPr>
          <m:e>
            <m:r>
              <w:rPr>
                <w:rFonts w:ascii="Cambria Math" w:hAnsi="Cambria Math"/>
              </w:rPr>
              <m:t>z</m:t>
            </m:r>
          </m:e>
          <m:sub>
            <m:r>
              <w:rPr>
                <w:rFonts w:ascii="Cambria Math" w:hAnsi="Cambria Math"/>
              </w:rPr>
              <m:t>ijt</m:t>
            </m:r>
          </m:sub>
        </m:sSub>
        <m:r>
          <w:rPr>
            <w:rFonts w:ascii="Cambria Math" w:hAnsi="Cambria Math"/>
          </w:rPr>
          <m:t>)</m:t>
        </m:r>
      </m:oMath>
      <w:r w:rsidRPr="00A7356B">
        <w:t xml:space="preserve"> is now an arbitrary and increasing function of </w:t>
      </w:r>
      <m:oMath>
        <m:sSub>
          <m:sSubPr>
            <m:ctrlPr>
              <w:rPr>
                <w:rFonts w:ascii="Cambria Math" w:hAnsi="Cambria Math"/>
                <w:i/>
              </w:rPr>
            </m:ctrlPr>
          </m:sSubPr>
          <m:e>
            <m:r>
              <w:rPr>
                <w:rFonts w:ascii="Cambria Math" w:hAnsi="Cambria Math"/>
              </w:rPr>
              <m:t>z</m:t>
            </m:r>
          </m:e>
          <m:sub>
            <m:r>
              <w:rPr>
                <w:rFonts w:ascii="Cambria Math" w:hAnsi="Cambria Math"/>
              </w:rPr>
              <m:t>ijt</m:t>
            </m:r>
          </m:sub>
        </m:sSub>
      </m:oMath>
      <w:r w:rsidRPr="00A7356B">
        <w:t xml:space="preserve">. Then, it’s possible to control for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ijt</m:t>
                </m:r>
              </m:sub>
            </m:sSub>
            <m:r>
              <w:rPr>
                <w:rFonts w:ascii="Cambria Math" w:hAnsi="Cambria Math"/>
              </w:rPr>
              <m:t xml:space="preserve"> </m:t>
            </m:r>
          </m:e>
        </m:d>
        <w:proofErr w:type="gramStart"/>
        <m:r>
          <w:rPr>
            <w:rFonts w:ascii="Cambria Math" w:hAnsi="Cambria Math"/>
          </w:rPr>
          <m:t>.,</m:t>
        </m:r>
        <w:proofErr w:type="gramEn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ijt</m:t>
            </m:r>
          </m:sub>
        </m:sSub>
        <m:r>
          <w:rPr>
            <w:rFonts w:ascii="Cambria Math" w:hAnsi="Cambria Math"/>
          </w:rPr>
          <m:t>=1]</m:t>
        </m:r>
      </m:oMath>
      <w:r w:rsidRPr="00A7356B">
        <w:t xml:space="preserve"> using </w:t>
      </w:r>
      <m:oMath>
        <m:r>
          <w:rPr>
            <w:rFonts w:ascii="Cambria Math" w:hAnsi="Cambria Math"/>
          </w:rPr>
          <m: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acc>
                      <m:accPr>
                        <m:chr m:val="̅"/>
                        <m:ctrlPr>
                          <w:rPr>
                            <w:rFonts w:ascii="Cambria Math" w:hAnsi="Cambria Math"/>
                            <w:i/>
                          </w:rPr>
                        </m:ctrlPr>
                      </m:accPr>
                      <m:e>
                        <m:r>
                          <w:rPr>
                            <w:rFonts w:ascii="Cambria Math" w:hAnsi="Cambria Math"/>
                          </w:rPr>
                          <m:t>z</m:t>
                        </m:r>
                      </m:e>
                    </m:acc>
                  </m:e>
                </m:acc>
              </m:e>
              <m:sub>
                <m:r>
                  <w:rPr>
                    <w:rFonts w:ascii="Cambria Math" w:hAnsi="Cambria Math"/>
                  </w:rPr>
                  <m:t>ijt</m:t>
                </m:r>
              </m:sub>
            </m:sSub>
          </m:e>
        </m:d>
        <m:r>
          <w:rPr>
            <w:rFonts w:ascii="Cambria Math" w:hAnsi="Cambria Math"/>
          </w:rPr>
          <m:t xml:space="preserve">, </m:t>
        </m:r>
      </m:oMath>
      <w:r w:rsidRPr="00A7356B">
        <w:t xml:space="preserve">approximated with a polynomial in </w:t>
      </w:r>
      <m:oMath>
        <m:sSub>
          <m:sSubPr>
            <m:ctrlPr>
              <w:rPr>
                <w:rFonts w:ascii="Cambria Math" w:hAnsi="Cambria Math"/>
                <w:i/>
              </w:rPr>
            </m:ctrlPr>
          </m:sSubPr>
          <m:e>
            <m:acc>
              <m:accPr>
                <m:ctrlPr>
                  <w:rPr>
                    <w:rFonts w:ascii="Cambria Math" w:hAnsi="Cambria Math"/>
                    <w:i/>
                  </w:rPr>
                </m:ctrlPr>
              </m:accPr>
              <m:e>
                <m:acc>
                  <m:accPr>
                    <m:chr m:val="̅"/>
                    <m:ctrlPr>
                      <w:rPr>
                        <w:rFonts w:ascii="Cambria Math" w:hAnsi="Cambria Math"/>
                        <w:i/>
                      </w:rPr>
                    </m:ctrlPr>
                  </m:accPr>
                  <m:e>
                    <m:r>
                      <w:rPr>
                        <w:rFonts w:ascii="Cambria Math" w:hAnsi="Cambria Math"/>
                      </w:rPr>
                      <m:t>z</m:t>
                    </m:r>
                  </m:e>
                </m:acc>
              </m:e>
            </m:acc>
          </m:e>
          <m:sub>
            <m:r>
              <w:rPr>
                <w:rFonts w:ascii="Cambria Math" w:hAnsi="Cambria Math"/>
              </w:rPr>
              <m:t>ijt</m:t>
            </m:r>
          </m:sub>
        </m:sSub>
      </m:oMath>
      <w:r w:rsidRPr="00A7356B">
        <w:t xml:space="preserve"> replacing </w:t>
      </w:r>
      <m:oMath>
        <m:sSub>
          <m:sSubPr>
            <m:ctrlPr>
              <w:rPr>
                <w:rFonts w:ascii="Cambria Math" w:hAnsi="Cambria Math"/>
                <w:i/>
              </w:rPr>
            </m:ctrlPr>
          </m:sSubPr>
          <m:e>
            <m:acc>
              <m:accPr>
                <m:ctrlPr>
                  <w:rPr>
                    <w:rFonts w:ascii="Cambria Math" w:hAnsi="Cambria Math"/>
                    <w:i/>
                  </w:rPr>
                </m:ctrlPr>
              </m:accPr>
              <m:e>
                <m:acc>
                  <m:accPr>
                    <m:chr m:val="̅"/>
                    <m:ctrlPr>
                      <w:rPr>
                        <w:rFonts w:ascii="Cambria Math" w:hAnsi="Cambria Math"/>
                        <w:i/>
                      </w:rPr>
                    </m:ctrlPr>
                  </m:accPr>
                  <m:e>
                    <m:r>
                      <w:rPr>
                        <w:rFonts w:ascii="Cambria Math" w:hAnsi="Cambria Math"/>
                      </w:rPr>
                      <m:t>w</m:t>
                    </m:r>
                  </m:e>
                </m:acc>
              </m:e>
            </m:acc>
          </m:e>
          <m:sub>
            <m:r>
              <w:rPr>
                <w:rFonts w:ascii="Cambria Math" w:hAnsi="Cambria Math"/>
              </w:rPr>
              <m:t>ijt</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ijt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acc>
                                  <m:accPr>
                                    <m:chr m:val="̅"/>
                                    <m:ctrlPr>
                                      <w:rPr>
                                        <w:rFonts w:ascii="Cambria Math" w:hAnsi="Cambria Math"/>
                                        <w:i/>
                                      </w:rPr>
                                    </m:ctrlPr>
                                  </m:accPr>
                                  <m:e>
                                    <m:r>
                                      <w:rPr>
                                        <w:rFonts w:ascii="Cambria Math" w:hAnsi="Cambria Math"/>
                                      </w:rPr>
                                      <m:t>η</m:t>
                                    </m:r>
                                  </m:e>
                                </m:acc>
                              </m:e>
                            </m:acc>
                          </m:e>
                          <m:sub>
                            <m:r>
                              <w:rPr>
                                <w:rFonts w:ascii="Cambria Math" w:hAnsi="Cambria Math"/>
                              </w:rPr>
                              <m:t>ijt</m:t>
                            </m:r>
                          </m:sub>
                        </m:sSub>
                      </m:e>
                    </m:d>
                  </m:e>
                </m:d>
                <m:r>
                  <w:rPr>
                    <w:rFonts w:ascii="Cambria Math" w:hAnsi="Cambria Math"/>
                  </w:rPr>
                  <m:t xml:space="preserve">-1} </m:t>
                </m:r>
              </m:e>
            </m:func>
          </m:e>
        </m:func>
      </m:oMath>
      <w:r w:rsidRPr="00A7356B">
        <w:t xml:space="preserve"> in the equation at the second-stage. Accordingly, our final estimate equation will be </w:t>
      </w:r>
    </w:p>
    <w:p w14:paraId="11E9D549" w14:textId="77777777" w:rsidR="000E4EF5" w:rsidRPr="00A7356B" w:rsidRDefault="000E4EF5" w:rsidP="00231F38">
      <w:pPr>
        <w:pStyle w:val="ANPEC2013"/>
      </w:pPr>
    </w:p>
    <w:tbl>
      <w:tblPr>
        <w:tblW w:w="0" w:type="auto"/>
        <w:jc w:val="center"/>
        <w:tblInd w:w="-378" w:type="dxa"/>
        <w:tblLook w:val="04A0" w:firstRow="1" w:lastRow="0" w:firstColumn="1" w:lastColumn="0" w:noHBand="0" w:noVBand="1"/>
      </w:tblPr>
      <w:tblGrid>
        <w:gridCol w:w="236"/>
        <w:gridCol w:w="8510"/>
        <w:gridCol w:w="574"/>
      </w:tblGrid>
      <w:tr w:rsidR="000E4EF5" w:rsidRPr="00A7356B" w14:paraId="7D1B61A7" w14:textId="77777777" w:rsidTr="00E1137D">
        <w:trPr>
          <w:trHeight w:val="360"/>
          <w:jc w:val="center"/>
        </w:trPr>
        <w:tc>
          <w:tcPr>
            <w:tcW w:w="236" w:type="dxa"/>
            <w:vAlign w:val="center"/>
          </w:tcPr>
          <w:p w14:paraId="52A8072B" w14:textId="77777777" w:rsidR="000E4EF5" w:rsidRPr="00A7356B" w:rsidRDefault="000E4EF5" w:rsidP="002C13FE">
            <w:pPr>
              <w:pStyle w:val="xx"/>
            </w:pPr>
          </w:p>
        </w:tc>
        <w:tc>
          <w:tcPr>
            <w:tcW w:w="8510" w:type="dxa"/>
          </w:tcPr>
          <w:p w14:paraId="457D37D0" w14:textId="77777777" w:rsidR="00B644C9" w:rsidRPr="00B644C9" w:rsidRDefault="005008E5" w:rsidP="00B644C9">
            <w:pPr>
              <w:pStyle w:val="xx"/>
              <w:numPr>
                <w:ilvl w:val="0"/>
                <w:numId w:val="0"/>
              </w:numPr>
              <w:jc w:val="center"/>
              <w:rPr>
                <w:rFonts w:eastAsiaTheme="minorEastAsia"/>
                <w:sz w:val="20"/>
                <w:szCs w:val="20"/>
              </w:rPr>
            </w:pPr>
            <m:oMathPara>
              <m:oMath>
                <m:sSub>
                  <m:sSubPr>
                    <m:ctrlPr>
                      <w:rPr>
                        <w:rFonts w:ascii="Cambria Math" w:hAnsi="Cambria Math"/>
                        <w:sz w:val="20"/>
                        <w:szCs w:val="20"/>
                      </w:rPr>
                    </m:ctrlPr>
                  </m:sSubPr>
                  <m:e>
                    <m:r>
                      <m:rPr>
                        <m:sty m:val="bi"/>
                      </m:rPr>
                      <w:rPr>
                        <w:rFonts w:ascii="Cambria Math" w:hAnsi="Cambria Math"/>
                        <w:sz w:val="20"/>
                        <w:szCs w:val="20"/>
                      </w:rPr>
                      <m:t>m</m:t>
                    </m:r>
                  </m:e>
                  <m:sub>
                    <m:r>
                      <m:rPr>
                        <m:sty m:val="bi"/>
                      </m:rPr>
                      <w:rPr>
                        <w:rFonts w:ascii="Cambria Math" w:hAnsi="Cambria Math"/>
                        <w:sz w:val="20"/>
                        <w:szCs w:val="20"/>
                      </w:rPr>
                      <m:t>ijt</m:t>
                    </m:r>
                  </m:sub>
                </m:sSub>
                <m:r>
                  <m:rPr>
                    <m:sty m:val="b"/>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β</m:t>
                    </m:r>
                  </m:e>
                  <m:sub>
                    <m:r>
                      <m:rPr>
                        <m:sty m:val="b"/>
                      </m:rPr>
                      <w:rPr>
                        <w:rFonts w:ascii="Cambria Math" w:hAnsi="Cambria Math"/>
                        <w:sz w:val="20"/>
                        <w:szCs w:val="20"/>
                      </w:rPr>
                      <m:t>0</m:t>
                    </m:r>
                  </m:sub>
                </m:sSub>
                <m:r>
                  <m:rPr>
                    <m:sty m:val="b"/>
                  </m:rPr>
                  <w:rPr>
                    <w:rFonts w:ascii="Cambria Math" w:hAnsi="Cambria Math" w:cs="Times New Roman"/>
                    <w:sz w:val="20"/>
                    <w:szCs w:val="20"/>
                  </w:rPr>
                  <m:t>+</m:t>
                </m:r>
                <m:r>
                  <m:rPr>
                    <m:sty m:val="bi"/>
                  </m:rPr>
                  <w:rPr>
                    <w:rFonts w:ascii="Cambria Math" w:hAnsi="Cambria Math" w:cs="Times New Roman"/>
                    <w:sz w:val="20"/>
                    <w:szCs w:val="20"/>
                  </w:rPr>
                  <m:t>φ</m:t>
                </m:r>
                <m:sSub>
                  <m:sSubPr>
                    <m:ctrlPr>
                      <w:rPr>
                        <w:rFonts w:ascii="Cambria Math" w:hAnsi="Cambria Math" w:cs="Times New Roman"/>
                        <w:sz w:val="20"/>
                        <w:szCs w:val="20"/>
                      </w:rPr>
                    </m:ctrlPr>
                  </m:sSubPr>
                  <m:e>
                    <m:r>
                      <m:rPr>
                        <m:sty m:val="bi"/>
                      </m:rPr>
                      <w:rPr>
                        <w:rFonts w:ascii="Cambria Math" w:hAnsi="Cambria Math" w:cs="Times New Roman"/>
                        <w:sz w:val="20"/>
                        <w:szCs w:val="20"/>
                      </w:rPr>
                      <m:t>cons</m:t>
                    </m:r>
                  </m:e>
                  <m:sub>
                    <m:r>
                      <m:rPr>
                        <m:sty m:val="bi"/>
                      </m:rPr>
                      <w:rPr>
                        <w:rFonts w:ascii="Cambria Math" w:hAnsi="Cambria Math" w:cs="Times New Roman"/>
                        <w:sz w:val="20"/>
                        <w:szCs w:val="20"/>
                      </w:rPr>
                      <m:t>jt</m:t>
                    </m:r>
                  </m:sub>
                </m:sSub>
                <m:r>
                  <m:rPr>
                    <m:sty m:val="b"/>
                  </m:rPr>
                  <w:rPr>
                    <w:rFonts w:ascii="Cambria Math" w:hAnsi="Cambria Math"/>
                    <w:sz w:val="20"/>
                    <w:szCs w:val="20"/>
                  </w:rPr>
                  <m:t>+</m:t>
                </m:r>
                <m:r>
                  <m:rPr>
                    <m:sty m:val="bi"/>
                  </m:rPr>
                  <w:rPr>
                    <w:rFonts w:ascii="Cambria Math" w:hAnsi="Cambria Math" w:cs="Times New Roman"/>
                    <w:sz w:val="20"/>
                    <w:szCs w:val="20"/>
                  </w:rPr>
                  <m:t>ς</m:t>
                </m:r>
                <m:sSub>
                  <m:sSubPr>
                    <m:ctrlPr>
                      <w:rPr>
                        <w:rFonts w:ascii="Cambria Math" w:hAnsi="Cambria Math" w:cs="Times New Roman"/>
                        <w:sz w:val="20"/>
                        <w:szCs w:val="20"/>
                      </w:rPr>
                    </m:ctrlPr>
                  </m:sSubPr>
                  <m:e>
                    <m:r>
                      <m:rPr>
                        <m:sty m:val="bi"/>
                      </m:rPr>
                      <w:rPr>
                        <w:rFonts w:ascii="Cambria Math" w:hAnsi="Cambria Math" w:cs="Times New Roman"/>
                        <w:sz w:val="20"/>
                        <w:szCs w:val="20"/>
                      </w:rPr>
                      <m:t>p</m:t>
                    </m:r>
                  </m:e>
                  <m:sub>
                    <m:r>
                      <m:rPr>
                        <m:sty m:val="bi"/>
                      </m:rPr>
                      <w:rPr>
                        <w:rFonts w:ascii="Cambria Math" w:hAnsi="Cambria Math" w:cs="Times New Roman"/>
                        <w:sz w:val="20"/>
                        <w:szCs w:val="20"/>
                      </w:rPr>
                      <m:t>jt</m:t>
                    </m:r>
                  </m:sub>
                </m:sSub>
                <m:r>
                  <m:rPr>
                    <m:sty m:val="b"/>
                  </m:rPr>
                  <w:rPr>
                    <w:rFonts w:ascii="Cambria Math" w:hAnsi="Cambria Math" w:cs="Times New Roman"/>
                    <w:sz w:val="20"/>
                    <w:szCs w:val="20"/>
                  </w:rPr>
                  <m:t>+</m:t>
                </m:r>
                <m:r>
                  <m:rPr>
                    <m:sty m:val="bi"/>
                  </m:rPr>
                  <w:rPr>
                    <w:rFonts w:ascii="Cambria Math" w:hAnsi="Cambria Math" w:cs="Times New Roman"/>
                    <w:sz w:val="20"/>
                    <w:szCs w:val="20"/>
                  </w:rPr>
                  <m:t>ψpro</m:t>
                </m:r>
                <m:sSub>
                  <m:sSubPr>
                    <m:ctrlPr>
                      <w:rPr>
                        <w:rFonts w:ascii="Cambria Math" w:hAnsi="Cambria Math" w:cs="Times New Roman"/>
                        <w:sz w:val="20"/>
                        <w:szCs w:val="20"/>
                      </w:rPr>
                    </m:ctrlPr>
                  </m:sSubPr>
                  <m:e>
                    <m:r>
                      <m:rPr>
                        <m:sty m:val="bi"/>
                      </m:rPr>
                      <w:rPr>
                        <w:rFonts w:ascii="Cambria Math" w:hAnsi="Cambria Math" w:cs="Times New Roman"/>
                        <w:sz w:val="20"/>
                        <w:szCs w:val="20"/>
                      </w:rPr>
                      <m:t>d</m:t>
                    </m:r>
                  </m:e>
                  <m:sub>
                    <m:r>
                      <m:rPr>
                        <m:sty m:val="bi"/>
                      </m:rPr>
                      <w:rPr>
                        <w:rFonts w:ascii="Cambria Math" w:hAnsi="Cambria Math" w:cs="Times New Roman"/>
                        <w:sz w:val="20"/>
                        <w:szCs w:val="20"/>
                      </w:rPr>
                      <m:t>it</m:t>
                    </m:r>
                  </m:sub>
                </m:sSub>
                <m:r>
                  <m:rPr>
                    <m:sty m:val="b"/>
                  </m:rPr>
                  <w:rPr>
                    <w:rFonts w:ascii="Cambria Math" w:hAnsi="Cambria Math" w:cs="Times New Roman"/>
                    <w:sz w:val="20"/>
                    <w:szCs w:val="20"/>
                  </w:rPr>
                  <m:t>-</m:t>
                </m:r>
                <m:r>
                  <m:rPr>
                    <m:sty m:val="bi"/>
                  </m:rPr>
                  <w:rPr>
                    <w:rFonts w:ascii="Cambria Math" w:hAnsi="Cambria Math" w:cs="Times New Roman"/>
                    <w:sz w:val="20"/>
                    <w:szCs w:val="20"/>
                  </w:rPr>
                  <m:t>ϱ</m:t>
                </m:r>
                <m:sSub>
                  <m:sSubPr>
                    <m:ctrlPr>
                      <w:rPr>
                        <w:rFonts w:ascii="Cambria Math" w:hAnsi="Cambria Math" w:cs="Times New Roman"/>
                        <w:sz w:val="20"/>
                        <w:szCs w:val="20"/>
                      </w:rPr>
                    </m:ctrlPr>
                  </m:sSubPr>
                  <m:e>
                    <m:r>
                      <m:rPr>
                        <m:sty m:val="bi"/>
                      </m:rPr>
                      <w:rPr>
                        <w:rFonts w:ascii="Cambria Math" w:hAnsi="Cambria Math" w:cs="Times New Roman"/>
                        <w:sz w:val="20"/>
                        <w:szCs w:val="20"/>
                      </w:rPr>
                      <m:t>c</m:t>
                    </m:r>
                  </m:e>
                  <m:sub>
                    <m:r>
                      <m:rPr>
                        <m:sty m:val="bi"/>
                      </m:rPr>
                      <w:rPr>
                        <w:rFonts w:ascii="Cambria Math" w:hAnsi="Cambria Math" w:cs="Times New Roman"/>
                        <w:sz w:val="20"/>
                        <w:szCs w:val="20"/>
                      </w:rPr>
                      <m:t>it</m:t>
                    </m:r>
                  </m:sub>
                </m:sSub>
                <m:r>
                  <m:rPr>
                    <m:sty m:val="b"/>
                  </m:rPr>
                  <w:rPr>
                    <w:rFonts w:ascii="Cambria Math" w:hAnsi="Cambria Math"/>
                    <w:sz w:val="20"/>
                    <w:szCs w:val="20"/>
                  </w:rPr>
                  <m:t>-</m:t>
                </m:r>
                <m:r>
                  <m:rPr>
                    <m:sty m:val="bi"/>
                  </m:rPr>
                  <w:rPr>
                    <w:rFonts w:ascii="Cambria Math" w:hAnsi="Cambria Math"/>
                    <w:sz w:val="20"/>
                    <w:szCs w:val="20"/>
                  </w:rPr>
                  <m:t>γ</m:t>
                </m:r>
                <m:sSub>
                  <m:sSubPr>
                    <m:ctrlPr>
                      <w:rPr>
                        <w:rFonts w:ascii="Cambria Math" w:hAnsi="Cambria Math"/>
                        <w:sz w:val="20"/>
                        <w:szCs w:val="20"/>
                      </w:rPr>
                    </m:ctrlPr>
                  </m:sSubPr>
                  <m:e>
                    <m:r>
                      <m:rPr>
                        <m:sty m:val="bi"/>
                      </m:rPr>
                      <w:rPr>
                        <w:rFonts w:ascii="Cambria Math" w:hAnsi="Cambria Math"/>
                        <w:sz w:val="20"/>
                        <w:szCs w:val="20"/>
                      </w:rPr>
                      <m:t>d</m:t>
                    </m:r>
                  </m:e>
                  <m:sub>
                    <m:r>
                      <m:rPr>
                        <m:sty m:val="bi"/>
                      </m:rPr>
                      <w:rPr>
                        <w:rFonts w:ascii="Cambria Math" w:hAnsi="Cambria Math"/>
                        <w:sz w:val="20"/>
                        <w:szCs w:val="20"/>
                      </w:rPr>
                      <m:t>ijt</m:t>
                    </m:r>
                  </m:sub>
                </m:sSub>
              </m:oMath>
            </m:oMathPara>
          </w:p>
          <w:p w14:paraId="7AABBAEA" w14:textId="6FD3098A" w:rsidR="000E4EF5" w:rsidRPr="00B644C9" w:rsidRDefault="00951946" w:rsidP="00B644C9">
            <w:pPr>
              <w:pStyle w:val="xx"/>
              <w:numPr>
                <w:ilvl w:val="0"/>
                <w:numId w:val="0"/>
              </w:numPr>
              <w:jc w:val="center"/>
              <w:rPr>
                <w:sz w:val="20"/>
                <w:szCs w:val="20"/>
              </w:rPr>
            </w:pPr>
            <m:oMath>
              <m:r>
                <m:rPr>
                  <m:sty m:val="b"/>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β</m:t>
                  </m:r>
                </m:e>
                <m:sub>
                  <m:r>
                    <m:rPr>
                      <m:sty m:val="b"/>
                    </m:rPr>
                    <w:rPr>
                      <w:rFonts w:ascii="Cambria Math" w:hAnsi="Cambria Math"/>
                      <w:sz w:val="20"/>
                      <w:szCs w:val="20"/>
                    </w:rPr>
                    <m:t>1</m:t>
                  </m:r>
                </m:sub>
              </m:sSub>
              <m:sSub>
                <m:sSubPr>
                  <m:ctrlPr>
                    <w:rPr>
                      <w:rFonts w:ascii="Cambria Math" w:hAnsi="Cambria Math"/>
                      <w:sz w:val="20"/>
                      <w:szCs w:val="20"/>
                    </w:rPr>
                  </m:ctrlPr>
                </m:sSubPr>
                <m:e>
                  <m:acc>
                    <m:accPr>
                      <m:ctrlPr>
                        <w:rPr>
                          <w:rFonts w:ascii="Cambria Math" w:hAnsi="Cambria Math"/>
                          <w:sz w:val="20"/>
                          <w:szCs w:val="20"/>
                        </w:rPr>
                      </m:ctrlPr>
                    </m:accPr>
                    <m:e>
                      <m:acc>
                        <m:accPr>
                          <m:chr m:val="̅"/>
                          <m:ctrlPr>
                            <w:rPr>
                              <w:rFonts w:ascii="Cambria Math" w:hAnsi="Cambria Math"/>
                              <w:sz w:val="20"/>
                              <w:szCs w:val="20"/>
                            </w:rPr>
                          </m:ctrlPr>
                        </m:accPr>
                        <m:e>
                          <m:r>
                            <m:rPr>
                              <m:sty m:val="bi"/>
                            </m:rPr>
                            <w:rPr>
                              <w:rFonts w:ascii="Cambria Math" w:hAnsi="Cambria Math"/>
                              <w:sz w:val="20"/>
                              <w:szCs w:val="20"/>
                            </w:rPr>
                            <m:t>z</m:t>
                          </m:r>
                        </m:e>
                      </m:acc>
                    </m:e>
                  </m:acc>
                </m:e>
                <m:sub>
                  <m:r>
                    <m:rPr>
                      <m:sty m:val="bi"/>
                    </m:rPr>
                    <w:rPr>
                      <w:rFonts w:ascii="Cambria Math" w:hAnsi="Cambria Math"/>
                      <w:sz w:val="20"/>
                      <w:szCs w:val="20"/>
                    </w:rPr>
                    <m:t>ijt</m:t>
                  </m:r>
                </m:sub>
              </m:sSub>
              <m:r>
                <m:rPr>
                  <m:sty m:val="b"/>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β</m:t>
                  </m:r>
                </m:e>
                <m:sub>
                  <m:r>
                    <m:rPr>
                      <m:sty m:val="bi"/>
                    </m:rPr>
                    <w:rPr>
                      <w:rFonts w:ascii="Cambria Math" w:hAnsi="Cambria Math"/>
                      <w:sz w:val="20"/>
                      <w:szCs w:val="20"/>
                    </w:rPr>
                    <m:t>uη</m:t>
                  </m:r>
                </m:sub>
              </m:sSub>
              <m:sSub>
                <m:sSubPr>
                  <m:ctrlPr>
                    <w:rPr>
                      <w:rFonts w:ascii="Cambria Math" w:hAnsi="Cambria Math"/>
                      <w:sz w:val="20"/>
                      <w:szCs w:val="20"/>
                    </w:rPr>
                  </m:ctrlPr>
                </m:sSubPr>
                <m:e>
                  <m:acc>
                    <m:accPr>
                      <m:ctrlPr>
                        <w:rPr>
                          <w:rFonts w:ascii="Cambria Math" w:hAnsi="Cambria Math"/>
                          <w:sz w:val="20"/>
                          <w:szCs w:val="20"/>
                        </w:rPr>
                      </m:ctrlPr>
                    </m:accPr>
                    <m:e>
                      <m:acc>
                        <m:accPr>
                          <m:chr m:val="̅"/>
                          <m:ctrlPr>
                            <w:rPr>
                              <w:rFonts w:ascii="Cambria Math" w:hAnsi="Cambria Math"/>
                              <w:sz w:val="20"/>
                              <w:szCs w:val="20"/>
                            </w:rPr>
                          </m:ctrlPr>
                        </m:accPr>
                        <m:e>
                          <m:r>
                            <m:rPr>
                              <m:sty m:val="bi"/>
                            </m:rPr>
                            <w:rPr>
                              <w:rFonts w:ascii="Cambria Math" w:hAnsi="Cambria Math"/>
                              <w:sz w:val="20"/>
                              <w:szCs w:val="20"/>
                            </w:rPr>
                            <m:t>η</m:t>
                          </m:r>
                        </m:e>
                      </m:acc>
                    </m:e>
                  </m:acc>
                </m:e>
                <m:sub>
                  <m:r>
                    <m:rPr>
                      <m:sty m:val="bi"/>
                    </m:rPr>
                    <w:rPr>
                      <w:rFonts w:ascii="Cambria Math" w:hAnsi="Cambria Math"/>
                      <w:sz w:val="20"/>
                      <w:szCs w:val="20"/>
                    </w:rPr>
                    <m:t>ijt</m:t>
                  </m:r>
                </m:sub>
              </m:sSub>
              <m:r>
                <m:rPr>
                  <m:sty m:val="b"/>
                </m:rPr>
                <w:rPr>
                  <w:rFonts w:ascii="Cambria Math" w:hAnsi="Cambria Math"/>
                  <w:sz w:val="20"/>
                  <w:szCs w:val="20"/>
                </w:rPr>
                <m:t>+</m:t>
              </m:r>
              <m:sSub>
                <m:sSubPr>
                  <m:ctrlPr>
                    <w:rPr>
                      <w:rFonts w:ascii="Cambria Math" w:hAnsi="Cambria Math"/>
                      <w:sz w:val="20"/>
                      <w:szCs w:val="20"/>
                    </w:rPr>
                  </m:ctrlPr>
                </m:sSubPr>
                <m:e>
                  <m:r>
                    <m:rPr>
                      <m:scr m:val="script"/>
                      <m:sty m:val="b"/>
                    </m:rPr>
                    <w:rPr>
                      <w:rFonts w:ascii="Cambria Math" w:hAnsi="Cambria Math"/>
                      <w:sz w:val="20"/>
                      <w:szCs w:val="20"/>
                    </w:rPr>
                    <m:t>e</m:t>
                  </m:r>
                </m:e>
                <m:sub>
                  <m:r>
                    <m:rPr>
                      <m:sty m:val="bi"/>
                    </m:rPr>
                    <w:rPr>
                      <w:rFonts w:ascii="Cambria Math" w:hAnsi="Cambria Math"/>
                      <w:sz w:val="20"/>
                      <w:szCs w:val="20"/>
                    </w:rPr>
                    <m:t>ijt</m:t>
                  </m:r>
                </m:sub>
              </m:sSub>
            </m:oMath>
            <w:r w:rsidR="000E4EF5" w:rsidRPr="00A7356B">
              <w:rPr>
                <w:sz w:val="20"/>
                <w:szCs w:val="20"/>
              </w:rPr>
              <w:t>.</w:t>
            </w:r>
          </w:p>
        </w:tc>
        <w:tc>
          <w:tcPr>
            <w:tcW w:w="574" w:type="dxa"/>
          </w:tcPr>
          <w:p w14:paraId="292EA276" w14:textId="1B16D9ED" w:rsidR="000E4EF5" w:rsidRPr="00A7356B" w:rsidRDefault="002C13FE" w:rsidP="00F11BC7">
            <w:pPr>
              <w:pStyle w:val="xx"/>
              <w:numPr>
                <w:ilvl w:val="0"/>
                <w:numId w:val="0"/>
              </w:numPr>
            </w:pPr>
            <w:r w:rsidRPr="00A7356B">
              <w:t>(</w:t>
            </w:r>
            <w:r w:rsidR="00E1137D">
              <w:t>4</w:t>
            </w:r>
            <w:r w:rsidR="000E4EF5" w:rsidRPr="00A7356B">
              <w:t>)</w:t>
            </w:r>
          </w:p>
        </w:tc>
      </w:tr>
    </w:tbl>
    <w:p w14:paraId="6E65E384" w14:textId="562AC4DC" w:rsidR="000E4EF5" w:rsidRPr="00A7356B" w:rsidRDefault="000E4EF5" w:rsidP="00231F38">
      <w:pPr>
        <w:pStyle w:val="ANPEC2013"/>
      </w:pPr>
      <w:r w:rsidRPr="00A7356B">
        <w:t xml:space="preserve">As the estimation of the controls for sample selection and firm heterogeneity are not straightforward </w:t>
      </w:r>
      <w:r w:rsidR="005E02A4" w:rsidRPr="00A7356B">
        <w:t>for</w:t>
      </w:r>
      <w:r w:rsidR="00321B96" w:rsidRPr="00A7356B">
        <w:t xml:space="preserve"> panel data, </w:t>
      </w:r>
      <w:r w:rsidR="00B644C9">
        <w:t>there is a</w:t>
      </w:r>
      <w:r w:rsidRPr="00A7356B">
        <w:t xml:space="preserve"> solution proposed by </w:t>
      </w:r>
      <w:r w:rsidRPr="00A7356B">
        <w:fldChar w:fldCharType="begin" w:fldLock="1"/>
      </w:r>
      <w:r w:rsidRPr="00A7356B">
        <w:instrText>ADDIN CSL_CITATION { "citationItems" : [ { "id" : "ITEM-1", "itemData" : { "DOI" : "10.1016/0304-4076(94)01645-G", "ISBN" : "0304407694016", "ISSN" : "03044076", "abstract" : "Some new methods for testing and correcting for sample selection bias in panel data models are proposed. The assumptions allow the unobserved effects in both the regression and selection equations to be correlated with the observed variables; the error distribution in the regression equation is unspecified; arbitrary serial dependence in the idiosyncratic errors of both equations is allowed; and all idiosyncratic errors can be heterogeneously distributed. Compared with maximum likelihood and other estimators derived under fully parametric assumptions, the new estimators are much more robust and have significant computational advantages.", "author" : [ { "dropping-particle" : "", "family" : "Wooldridge", "given" : "Jeffrey M.", "non-dropping-particle" : "", "parse-names" : false, "suffix" : "" } ], "container-title" : "Journal of Econometrics", "id" : "ITEM-1", "issued" : { "date-parts" : [ [ "1995" ] ] }, "page" : "115-132", "title" : "Selection corrections for panel data models under conditional mean independence assumptions", "type" : "article-journal", "volume" : "68" }, "uris" : [ "http://www.mendeley.com/documents/?uuid=e4d6a565-0a3a-4a3a-86c7-a31b85116bac" ] } ], "mendeley" : { "formattedCitation" : "(Wooldridge, 1995)", "manualFormatting" : "Wooldridge (1995, p.121-130)", "plainTextFormattedCitation" : "(Wooldridge, 1995)", "previouslyFormattedCitation" : "(Wooldridge, 1995)" }, "properties" : { "noteIndex" : 0 }, "schema" : "https://github.com/citation-style-language/schema/raw/master/csl-citation.json" }</w:instrText>
      </w:r>
      <w:r w:rsidRPr="00A7356B">
        <w:fldChar w:fldCharType="separate"/>
      </w:r>
      <w:r w:rsidRPr="00A7356B">
        <w:rPr>
          <w:noProof/>
        </w:rPr>
        <w:t>Wooldridge (1995, p.121-130)</w:t>
      </w:r>
      <w:r w:rsidRPr="00A7356B">
        <w:fldChar w:fldCharType="end"/>
      </w:r>
      <w:r w:rsidRPr="00A7356B">
        <w:t xml:space="preserve"> which </w:t>
      </w:r>
      <w:r w:rsidRPr="00A7356B">
        <w:lastRenderedPageBreak/>
        <w:t>makes use of a Chamberlain-</w:t>
      </w:r>
      <w:proofErr w:type="spellStart"/>
      <w:r w:rsidRPr="00A7356B">
        <w:t>Mundlak</w:t>
      </w:r>
      <w:proofErr w:type="spellEnd"/>
      <w:r w:rsidRPr="00A7356B">
        <w:t xml:space="preserve"> approach (see works by Egger </w:t>
      </w:r>
      <w:r w:rsidRPr="00A7356B">
        <w:rPr>
          <w:i/>
        </w:rPr>
        <w:t>et al</w:t>
      </w:r>
      <w:r w:rsidRPr="00A7356B">
        <w:t xml:space="preserve"> (2009); Egger a</w:t>
      </w:r>
      <w:r w:rsidR="00B644C9">
        <w:t xml:space="preserve">nd </w:t>
      </w:r>
      <w:proofErr w:type="spellStart"/>
      <w:r w:rsidR="00B644C9">
        <w:t>Pfaffermayr</w:t>
      </w:r>
      <w:proofErr w:type="spellEnd"/>
      <w:r w:rsidR="00B644C9">
        <w:t xml:space="preserve"> (2011)).</w:t>
      </w:r>
      <w:r w:rsidRPr="00A7356B">
        <w:t xml:space="preserve"> </w:t>
      </w:r>
    </w:p>
    <w:p w14:paraId="6F21B811" w14:textId="0D6B409D" w:rsidR="000E4EF5" w:rsidRPr="00A7356B" w:rsidRDefault="004400B5" w:rsidP="00231F38">
      <w:pPr>
        <w:pStyle w:val="ANPEC2013"/>
      </w:pPr>
      <w:r w:rsidRPr="00A7356B">
        <w:t>Neither</w:t>
      </w:r>
      <w:r w:rsidR="000E4EF5" w:rsidRPr="00A7356B">
        <w:t xml:space="preserve">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η</m:t>
                </m:r>
              </m:e>
            </m:acc>
          </m:e>
          <m:sub>
            <m:r>
              <m:rPr>
                <m:sty m:val="p"/>
              </m:rPr>
              <w:rPr>
                <w:rFonts w:ascii="Cambria Math" w:hAnsi="Cambria Math"/>
              </w:rPr>
              <m:t>i</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t</m:t>
                </m:r>
              </m:sub>
            </m:sSub>
          </m:sub>
        </m:sSub>
      </m:oMath>
      <w:r w:rsidR="000E4EF5" w:rsidRPr="00A7356B">
        <w:t xml:space="preserve"> nor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i</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t</m:t>
                </m:r>
              </m:sub>
            </m:sSub>
          </m:sub>
        </m:sSub>
      </m:oMath>
      <w:r w:rsidR="000E4EF5" w:rsidRPr="00A7356B">
        <w:t xml:space="preserve"> coefficients are significant in the pooled data model, meaning that estimate via FE model on panel data is consistent.</w:t>
      </w:r>
      <w:r w:rsidR="000E4EF5" w:rsidRPr="00A7356B">
        <w:rPr>
          <w:sz w:val="18"/>
          <w:szCs w:val="18"/>
        </w:rPr>
        <w:t xml:space="preserve"> </w:t>
      </w:r>
      <w:r w:rsidR="000E4EF5" w:rsidRPr="00A7356B">
        <w:t xml:space="preserve">Our FE model has as individuals the country-pairs and time dimension from 1996 to 2012. Taking country-pairs as ids is very common in the literature </w:t>
      </w:r>
      <w:r w:rsidR="000E4EF5" w:rsidRPr="00A7356B">
        <w:fldChar w:fldCharType="begin" w:fldLock="1"/>
      </w:r>
      <w:r w:rsidR="00105B2E" w:rsidRPr="00A7356B">
        <w:instrText>ADDIN CSL_CITATION { "citationItems" : [ { "id" : "ITEM-1", "itemData" : { "abstract" : "One of the oldest and largest literatures in empirical economics is concerned with the estimation of demand and supply of goods, services, and factors across national or subnational borders (see Leamer and Levinsohn, 1995). The respective empirical models specified and estimated are often referred to as gravity models, accruing to their functional- form similarity to Newton\u2019s law of gravity in physics. As Newton\u2019s model, gravity models of international trade or factor flows are (at least) double-indexed, involving a region or country of origin and a region or country of destination. Pooling such demand equations across pairs or regional units or even across cross-sectional units and time inevitably leads to a panel data structure of the data. This chapter is concerned with a host of issues that arise with the estimation of such models, respecting their panel econometric generic structure. The issues covered range from the estimation of double-indexed versus higher-indexed models, the estimation of fixed effects versus random effects models, issues of endogeneity, of approximation, estimation with missing or zero trade flow data, structural versus reduced- form estimation, the role of dynamics or cross-sectional dependence, and issues with specific applications.", "author" : [ { "dropping-particle" : "", "family" : "Baltagi", "given" : "Badi H", "non-dropping-particle" : "", "parse-names" : false, "suffix" : "" }, { "dropping-particle" : "", "family" : "Egger", "given" : "Peter", "non-dropping-particle" : "", "parse-names" : false, "suffix" : "" }, { "dropping-particle" : "", "family" : "Pfaffermayr", "given" : "Michael", "non-dropping-particle" : "", "parse-names" : false, "suffix" : "" } ], "collection-title" : "Category 8: Trade Policy", "container-title" : "Working Papers CESifo", "id" : "ITEM-1", "issued" : { "date-parts" : [ [ "2014" ] ] }, "number" : "4616", "number-of-pages" : "58", "publisher-place" : "Munich", "title" : "Panel Data Gravity Models of International Trade", "type" : "report" }, "uris" : [ "http://www.mendeley.com/documents/?uuid=0c25ba07-6555-4673-b7a2-d5bb0bd95eb2" ] }, { "id" : "ITEM-2", "itemData" : { "DOI" : "10.1007/s00181-012-0576-2", "ISSN" : "0377-7332", "author" : [ { "dropping-particle" : "", "family" : "G\u00f3mez-Herrera", "given" : "Estrella", "non-dropping-particle" : "", "parse-names" : false, "suffix" : "" } ], "container-title" : "Empirical Economics", "id" : "ITEM-2", "issue" : "3", "issued" : { "date-parts" : [ [ "2012", "3", "28" ] ] }, "note" : "- think about the heteoskedasticity and zeros\n\n- to use panel data is an option\n\n- methods that do not consider zero trade exhibit noticebly the worse perfomance. \n\n- on the other hand, nonlinear estimators show more accurate results and are robust to the presence of heteroskedasticicity\n\n- multilateral resistence may matter for hetero...\n\n- preference is a problem to the model. \n\n- helpman et al. (2008) uses cross section dataset, for panel framework is very recent. \n\n- multilateral price index are not observed (they used distances, borders and income shares to estimate)\n\n- think about using baier and bergstrand (2009) first order Taylor series expansion. \n\n- gpd per capita as a proxy for capital-labour intensities. \n\ntransactions costs are frequently proxied by geografical distande. \n\n- erros s\u00e3o endogenos ou exogenos (ramdom or fixed effect)-- Under the null hypothesis of zero correclation, the random effects modle is more efficiente. However, if the null is rejected, only the fixed effects provides consistent estimatiors.\n\n- poisson pseudo maximum likelihood\n\n- kernel density\n\n- when ubnverse mills ratio is highly significant, thus a sample selection bias exists.", "page" : "1087-1111", "title" : "Comparing alternative methods to estimate gravity models of bilateral trade", "type" : "article-journal", "volume" : "44" }, "uris" : [ "http://www.mendeley.com/documents/?uuid=07111f9b-4080-48ad-ba11-b4f3bf8c4ba6" ] } ], "mendeley" : { "formattedCitation" : "(Baltagi, Egger e Pfaffermayr, 2014; G\u00f3mez-Herrera, 2012)", "plainTextFormattedCitation" : "(Baltagi, Egger e Pfaffermayr, 2014; G\u00f3mez-Herrera, 2012)", "previouslyFormattedCitation" : "(Baltagi, Egger e Pfaffermayr, 2014; G\u00f3mez-Herrera, 2012)" }, "properties" : { "noteIndex" : 0 }, "schema" : "https://github.com/citation-style-language/schema/raw/master/csl-citation.json" }</w:instrText>
      </w:r>
      <w:r w:rsidR="000E4EF5" w:rsidRPr="00A7356B">
        <w:fldChar w:fldCharType="separate"/>
      </w:r>
      <w:r w:rsidR="0021722C" w:rsidRPr="00A7356B">
        <w:rPr>
          <w:noProof/>
        </w:rPr>
        <w:t>(Baltagi, Egger e Pfaffermayr, 2014; Gómez-Herrera, 2012)</w:t>
      </w:r>
      <w:r w:rsidR="000E4EF5" w:rsidRPr="00A7356B">
        <w:fldChar w:fldCharType="end"/>
      </w:r>
      <w:r w:rsidR="000E4EF5" w:rsidRPr="00A7356B">
        <w:t xml:space="preserve">.  </w:t>
      </w:r>
    </w:p>
    <w:p w14:paraId="4950F45D" w14:textId="7FEAB1FD" w:rsidR="000E4EF5" w:rsidRPr="00A7356B" w:rsidRDefault="000E4EF5" w:rsidP="00231F38">
      <w:pPr>
        <w:pStyle w:val="ANPEC2013"/>
      </w:pPr>
      <w:r w:rsidRPr="00A7356B">
        <w:t>An F test for FE model and OLS, with the null hypothesis of non-significant effect of heterogeneity across individual</w:t>
      </w:r>
      <w:r w:rsidR="00B644C9">
        <w:t>s, returned a p-value &lt; 2.2e-16</w:t>
      </w:r>
      <w:r w:rsidRPr="00A7356B">
        <w:t xml:space="preserve">. </w:t>
      </w:r>
      <w:r w:rsidR="0059675A" w:rsidRPr="00A7356B">
        <w:t xml:space="preserve">A </w:t>
      </w:r>
      <w:r w:rsidRPr="00A7356B">
        <w:t>Houseman test with the null hypothesis of non-correlatio</w:t>
      </w:r>
      <w:r w:rsidR="00B644C9">
        <w:t>n between unique errors and predictors</w:t>
      </w:r>
      <w:r w:rsidRPr="00A7356B">
        <w:t xml:space="preserve">, we get a p-value =1.914e-13. Thus, the Random Effect model is inconsistent (see Green, 2008, chapter 9). A Lagrange Multiplier Test (Breusch-Pagan), with null hypothesis of no need for fixed time effect, pointed to the need for including time fixed effect in our FE model (p-value&lt; 2.2e-16). </w:t>
      </w:r>
    </w:p>
    <w:p w14:paraId="41BB6D8D" w14:textId="17DDF68B" w:rsidR="000E4EF5" w:rsidRPr="00A7356B" w:rsidRDefault="000E4EF5" w:rsidP="00231F38">
      <w:pPr>
        <w:pStyle w:val="ANPEC2013"/>
      </w:pPr>
      <w:r w:rsidRPr="00A7356B">
        <w:t>Regarding model fitness, we tested for serial correlation, heteroskedasticity, and multi-collinearity. Breusch-Godfrey/Woodridge test don’t allow us to reject the hypothesis for serial correlation (p-value = 5.117e-08). Also, the Breusch-Pagan test for panel data revealed the problem of heteroskedasticity (p-value &lt; 2.2e-16). We treat both problems with “</w:t>
      </w:r>
      <w:proofErr w:type="spellStart"/>
      <w:r w:rsidR="005E02A4" w:rsidRPr="00A7356B">
        <w:t>arellano</w:t>
      </w:r>
      <w:proofErr w:type="spellEnd"/>
      <w:r w:rsidR="005E02A4" w:rsidRPr="00A7356B">
        <w:t xml:space="preserve">” correction in R </w:t>
      </w:r>
      <w:proofErr w:type="spellStart"/>
      <w:r w:rsidR="005E02A4" w:rsidRPr="00A7356B">
        <w:t>cran</w:t>
      </w:r>
      <w:proofErr w:type="spellEnd"/>
      <w:r w:rsidR="005E02A4" w:rsidRPr="00A7356B">
        <w:t xml:space="preserve"> </w:t>
      </w:r>
      <w:r w:rsidRPr="00A7356B">
        <w:t>according to White method</w:t>
      </w:r>
      <w:r w:rsidR="005E02A4" w:rsidRPr="00A7356B">
        <w:t xml:space="preserve"> </w:t>
      </w:r>
      <w:r w:rsidRPr="00A7356B">
        <w:fldChar w:fldCharType="begin" w:fldLock="1"/>
      </w:r>
      <w:r w:rsidRPr="00A7356B">
        <w:instrText>ADDIN CSL_CITATION { "citationItems" : [ { "id" : "ITEM-1", "itemData" : { "DOI" : "10.2307/1912934", "ISBN" : "0012-9682", "ISSN" : "00129682", "PMID" : "214658727", "abstract" : "This paper presents a parameter covariance matrix estimator which is consistent even when the disturbances of a linear regression model are heteroskedastic. This estimator does not depend on a formal model of the structure of the heteroskedasticity. By comparing the elements of the new estimator to those of the usual covariance estimator, one obtains a direct test for heteroskedasticity, since in the absence of heteroskedasticity, the two estimators will be approximately equal, but will generally diverge otherwise. The test has an appealing least squares interpretation. CR - Copyright &amp;#169; 1980 The Econometric Society", "author" : [ { "dropping-particle" : "", "family" : "White", "given" : "H.", "non-dropping-particle" : "", "parse-names" : false, "suffix" : "" } ], "container-title" : "Econometrica", "id" : "ITEM-1", "issue" : "4", "issued" : { "date-parts" : [ [ "1980" ] ] }, "page" : "817-838", "title" : "A Heteroskedasticity-Consistent Covariance Matrix Estimator and a Direct Test for Heteroskedasticity", "type" : "article-journal", "volume" : "48" }, "uris" : [ "http://www.mendeley.com/documents/?uuid=961b01b2-ba6f-4f7d-910b-33727249ea96" ] }, { "id" : "ITEM-2", "itemData" : { "DOI" : "10.1111/j.1468-0084.1987.mp49004006.x", "ISBN" : "1468-0084", "ISSN" : "03059049", "author" : [ { "dropping-particle" : "", "family" : "Arellano", "given" : "M.", "non-dropping-particle" : "", "parse-names" : false, "suffix" : "" } ], "container-title" : "Oxford Bulletin of Economics and Statistics", "id" : "ITEM-2", "issue" : "4", "issued" : { "date-parts" : [ [ "1987" ] ] }, "page" : "431-434", "title" : "Computing robust standard errors for within group estimators", "type" : "article", "volume" : "48" }, "uris" : [ "http://www.mendeley.com/documents/?uuid=28e1ba13-e7b3-4f6c-8d7f-fa4300a5ba57" ] } ], "mendeley" : { "formattedCitation" : "(Arellano, 1987; White, 1980)", "plainTextFormattedCitation" : "(Arellano, 1987; White, 1980)", "previouslyFormattedCitation" : "(Arellano, 1987; White, 1980)" }, "properties" : { "noteIndex" : 0 }, "schema" : "https://github.com/citation-style-language/schema/raw/master/csl-citation.json" }</w:instrText>
      </w:r>
      <w:r w:rsidRPr="00A7356B">
        <w:fldChar w:fldCharType="separate"/>
      </w:r>
      <w:r w:rsidRPr="00A7356B">
        <w:rPr>
          <w:noProof/>
        </w:rPr>
        <w:t>(Arellano, 1987; White, 1980)</w:t>
      </w:r>
      <w:r w:rsidRPr="00A7356B">
        <w:fldChar w:fldCharType="end"/>
      </w:r>
      <w:r w:rsidRPr="00A7356B">
        <w:t xml:space="preserve">. </w:t>
      </w:r>
    </w:p>
    <w:p w14:paraId="4E06559C" w14:textId="16BE6E17" w:rsidR="000E4EF5" w:rsidRPr="00A7356B" w:rsidRDefault="000E4EF5" w:rsidP="00231F38">
      <w:pPr>
        <w:pStyle w:val="ANPEC2013"/>
      </w:pPr>
      <w:r w:rsidRPr="00A7356B">
        <w:t xml:space="preserve">All tests </w:t>
      </w:r>
      <w:r w:rsidR="0059675A" w:rsidRPr="00A7356B">
        <w:t xml:space="preserve">and models </w:t>
      </w:r>
      <w:r w:rsidRPr="00A7356B">
        <w:t xml:space="preserve">were run in the Comprehensive R Archive Network (R </w:t>
      </w:r>
      <w:proofErr w:type="spellStart"/>
      <w:r w:rsidRPr="00A7356B">
        <w:t>Cran</w:t>
      </w:r>
      <w:proofErr w:type="spellEnd"/>
      <w:r w:rsidRPr="00A7356B">
        <w:t xml:space="preserve">) making use of </w:t>
      </w:r>
      <w:proofErr w:type="spellStart"/>
      <w:r w:rsidRPr="00A7356B">
        <w:rPr>
          <w:i/>
        </w:rPr>
        <w:t>plm</w:t>
      </w:r>
      <w:proofErr w:type="spellEnd"/>
      <w:r w:rsidRPr="00A7356B">
        <w:t xml:space="preserve">, </w:t>
      </w:r>
      <w:proofErr w:type="spellStart"/>
      <w:r w:rsidRPr="00A7356B">
        <w:rPr>
          <w:i/>
        </w:rPr>
        <w:t>glm</w:t>
      </w:r>
      <w:proofErr w:type="spellEnd"/>
      <w:r w:rsidRPr="00A7356B">
        <w:t xml:space="preserve">, </w:t>
      </w:r>
      <w:r w:rsidRPr="00A7356B">
        <w:rPr>
          <w:i/>
        </w:rPr>
        <w:t>sandwich</w:t>
      </w:r>
      <w:r w:rsidRPr="00A7356B">
        <w:t xml:space="preserve">, </w:t>
      </w:r>
      <w:proofErr w:type="spellStart"/>
      <w:r w:rsidRPr="00A7356B">
        <w:rPr>
          <w:i/>
        </w:rPr>
        <w:t>lmtest</w:t>
      </w:r>
      <w:proofErr w:type="spellEnd"/>
      <w:r w:rsidRPr="00A7356B">
        <w:t xml:space="preserve">, </w:t>
      </w:r>
      <w:proofErr w:type="spellStart"/>
      <w:r w:rsidRPr="00A7356B">
        <w:rPr>
          <w:i/>
        </w:rPr>
        <w:t>sampleSelection</w:t>
      </w:r>
      <w:proofErr w:type="spellEnd"/>
      <w:r w:rsidRPr="00A7356B">
        <w:rPr>
          <w:i/>
        </w:rPr>
        <w:t>, car</w:t>
      </w:r>
      <w:r w:rsidRPr="00A7356B">
        <w:t xml:space="preserve"> and </w:t>
      </w:r>
      <w:proofErr w:type="spellStart"/>
      <w:r w:rsidRPr="00A7356B">
        <w:rPr>
          <w:i/>
        </w:rPr>
        <w:t>tseries</w:t>
      </w:r>
      <w:proofErr w:type="spellEnd"/>
      <w:r w:rsidRPr="00A7356B">
        <w:t xml:space="preserve">. </w:t>
      </w:r>
    </w:p>
    <w:p w14:paraId="640F0F85" w14:textId="77777777" w:rsidR="000E4EF5" w:rsidRPr="00A7356B" w:rsidRDefault="000E4EF5" w:rsidP="00501785">
      <w:pPr>
        <w:pStyle w:val="Titulo2"/>
      </w:pPr>
      <w:bookmarkStart w:id="3" w:name="_Toc318840706"/>
      <w:r w:rsidRPr="00501785">
        <w:t>Data</w:t>
      </w:r>
      <w:bookmarkEnd w:id="3"/>
      <w:r w:rsidRPr="00A7356B">
        <w:t xml:space="preserve"> </w:t>
      </w:r>
    </w:p>
    <w:p w14:paraId="2FBAC9FC" w14:textId="0D13BACC" w:rsidR="00314A2A" w:rsidRPr="00A7356B" w:rsidRDefault="000E4EF5" w:rsidP="00231F38">
      <w:pPr>
        <w:pStyle w:val="ANPEC2013"/>
      </w:pPr>
      <w:r w:rsidRPr="00A7356B">
        <w:t>Data on soybean trade comes from BACI database developed by CEPII at a high level of product disaggregation</w:t>
      </w:r>
      <w:r w:rsidR="00AE41A0" w:rsidRPr="00A7356B">
        <w:t xml:space="preserve"> </w:t>
      </w:r>
      <w:r w:rsidRPr="00A7356B">
        <w:fldChar w:fldCharType="begin" w:fldLock="1"/>
      </w:r>
      <w:r w:rsidR="00105EB7" w:rsidRPr="00A7356B">
        <w:instrText>ADDIN CSL_CITATION { "citationItems" : [ { "id" : "ITEM-1", "itemData" : { "abstract" : "This paper documents the construction of BACI, our international trade database, which covers more than 200 countries and 5,000 products, between 1994 and 2007. New approaches have been developed to reconcile data reported by almost 150 countries to the United Nations Statistics Division, collated via COMTRADE. When both exporting and importing countries report to Comtrade, we have two different figures for the same flow, so it is useful to reconcile these into a single figure. To do this, firstly, as import values are reported CIF (cost, insurance and freight) while exports are reported FOB (free on board), transport and insurance rates have to be estimated and removed from import values. We regress the observed CIF/FOB ratios for a given flow on gravity variables and a product-specific world median unit value. In a second step we evaluate the reliability of countries reporting. We decompose the absolute value of the ratios of mirror flows using a (weighted) variance analysis. These measures of the reliability of reported data are used as weights in the reconciliation of each bilateral trade flow which is reported twice. Taking advantage of this bilateral information on each flow, we end up with a large coverage of countries and more reliable data, especially in terms of unit-values. BACI is freely available online to users of COMTRADE database, in different product classifications", "author" : [ { "dropping-particle" : "", "family" : "Guillaume", "given" : "Gaulier", "non-dropping-particle" : "", "parse-names" : false, "suffix" : "" }, { "dropping-particle" : "", "family" : "Zignago", "given" : "Soledad", "non-dropping-particle" : "", "parse-names" : false, "suffix" : "" } ], "id" : "ITEM-1", "issued" : { "date-parts" : [ [ "2010" ] ] }, "number" : "No. 2010-23", "publisher-place" : "Paris", "title" : "BACI: International Trade Database at the Product-Level. The 1994-2007 Version", "type" : "report" }, "uris" : [ "http://www.mendeley.com/documents/?uuid=a113278d-b6b8-4d4a-ae23-4704459860a7" ] } ], "mendeley" : { "formattedCitation" : "(Guillaume e Zignago, 2010)", "manualFormatting" : "(for detailed information see Guillaume &amp; Zignago, 2010)", "plainTextFormattedCitation" : "(Guillaume e Zignago, 2010)", "previouslyFormattedCitation" : "(Guillaume e Zignago, 2010)" }, "properties" : { "noteIndex" : 0 }, "schema" : "https://github.com/citation-style-language/schema/raw/master/csl-citation.json" }</w:instrText>
      </w:r>
      <w:r w:rsidRPr="00A7356B">
        <w:fldChar w:fldCharType="separate"/>
      </w:r>
      <w:r w:rsidRPr="00A7356B">
        <w:rPr>
          <w:noProof/>
        </w:rPr>
        <w:t>(for detailed information see Guillaume &amp; Zignago, 2010)</w:t>
      </w:r>
      <w:r w:rsidRPr="00A7356B">
        <w:fldChar w:fldCharType="end"/>
      </w:r>
      <w:r w:rsidRPr="00A7356B">
        <w:t xml:space="preserve">. General gravity data – distance, colonial ties, common language, contiguous or landlocked territories, among others, are from </w:t>
      </w:r>
      <w:proofErr w:type="spellStart"/>
      <w:r w:rsidRPr="00A7356B">
        <w:t>GeoDist</w:t>
      </w:r>
      <w:proofErr w:type="spellEnd"/>
      <w:r w:rsidRPr="00A7356B">
        <w:t xml:space="preserve"> database also by CEPII </w:t>
      </w:r>
      <w:r w:rsidRPr="00A7356B">
        <w:fldChar w:fldCharType="begin" w:fldLock="1"/>
      </w:r>
      <w:r w:rsidR="00105EB7" w:rsidRPr="00A7356B">
        <w:instrText>ADDIN CSL_CITATION { "citationItems" : [ { "id" : "ITEM-1", "itemData" : { "author" : [ { "dropping-particle" : "", "family" : "Mayer", "given" : "Thierry", "non-dropping-particle" : "", "parse-names" : false, "suffix" : "" }, { "dropping-particle" : "", "family" : "Zignago", "given" : "Soledad", "non-dropping-particle" : "", "parse-names" : false, "suffix" : "" } ], "container-title" : "CEPII Working Paper", "id" : "ITEM-1", "issued" : { "date-parts" : [ [ "2011" ] ] }, "publisher-place" : "Paris", "title" : "Notes on CEPII's distance measures: the GeoDist database", "type" : "report" }, "uris" : [ "http://www.mendeley.com/documents/?uuid=f8334919-9566-43a5-bc68-f28b704d731c" ] } ], "mendeley" : { "formattedCitation" : "(Mayer e Zignago, 2011)", "manualFormatting" : "(for detailed information see Mayer &amp; Zignago, 2011)", "plainTextFormattedCitation" : "(Mayer e Zignago, 2011)", "previouslyFormattedCitation" : "(Mayer e Zignago, 2011)" }, "properties" : { "noteIndex" : 0 }, "schema" : "https://github.com/citation-style-language/schema/raw/master/csl-citation.json" }</w:instrText>
      </w:r>
      <w:r w:rsidRPr="00A7356B">
        <w:fldChar w:fldCharType="separate"/>
      </w:r>
      <w:r w:rsidRPr="00A7356B">
        <w:rPr>
          <w:noProof/>
        </w:rPr>
        <w:t>(for detailed information see Mayer &amp; Zignago, 2011)</w:t>
      </w:r>
      <w:r w:rsidRPr="00A7356B">
        <w:fldChar w:fldCharType="end"/>
      </w:r>
      <w:r w:rsidRPr="00A7356B">
        <w:t xml:space="preserve">. Agricultural related data, such as production, average </w:t>
      </w:r>
      <w:proofErr w:type="gramStart"/>
      <w:r w:rsidRPr="00A7356B">
        <w:t>yield,</w:t>
      </w:r>
      <w:proofErr w:type="gramEnd"/>
      <w:r w:rsidRPr="00A7356B">
        <w:t xml:space="preserve"> arable-land and others were collected from the FAOSTAT database. </w:t>
      </w:r>
    </w:p>
    <w:p w14:paraId="593DFCB7" w14:textId="2BE39F17" w:rsidR="000E4EF5" w:rsidRPr="00A7356B" w:rsidRDefault="000E4EF5" w:rsidP="00231F38">
      <w:pPr>
        <w:pStyle w:val="ANPEC2013"/>
      </w:pPr>
      <w:r w:rsidRPr="00A7356B">
        <w:t>Data on exchange rates comes from the International Monetary Fund (IMF), and prices data from World Bank Commodity Price Data (The Pink Sheet).</w:t>
      </w:r>
    </w:p>
    <w:p w14:paraId="3A14DE9C" w14:textId="77777777" w:rsidR="000E4EF5" w:rsidRPr="00A7356B" w:rsidRDefault="000E4EF5" w:rsidP="00231F38">
      <w:pPr>
        <w:pStyle w:val="ANPEC2013"/>
      </w:pPr>
      <w:r w:rsidRPr="00A7356B">
        <w:t xml:space="preserve">Country-level data on biosafety used to build our technological variables comes from different sources. Data on approval of genetically modified varieties comes mainly from International Service for the Acquisition of </w:t>
      </w:r>
      <w:proofErr w:type="spellStart"/>
      <w:r w:rsidRPr="00A7356B">
        <w:t>Agri</w:t>
      </w:r>
      <w:proofErr w:type="spellEnd"/>
      <w:r w:rsidRPr="00A7356B">
        <w:t xml:space="preserve">-biotech Applications (ISAAA) database. However, when needed – because of missing or incomplete information – data was fulfilled by information from Global Agricultural Information Network (GAINS) report by the Foreign Agricultural Service of the USDA (FAS-USDA) and data from Biosafety-Clearing House (BCH) databases. </w:t>
      </w:r>
    </w:p>
    <w:p w14:paraId="1455BF94" w14:textId="0E91A0DD" w:rsidR="000E4EF5" w:rsidRPr="00A7356B" w:rsidRDefault="000E4EF5" w:rsidP="00231F38">
      <w:pPr>
        <w:pStyle w:val="ANPEC2013"/>
      </w:pPr>
      <w:r w:rsidRPr="00A7356B">
        <w:t xml:space="preserve">The final database used for the estimation of the </w:t>
      </w:r>
      <w:proofErr w:type="gramStart"/>
      <w:r w:rsidRPr="00A7356B">
        <w:t>Probit</w:t>
      </w:r>
      <w:proofErr w:type="gramEnd"/>
      <w:r w:rsidRPr="00A7356B">
        <w:t xml:space="preserve"> model contained 39,751 observations for 16 years, 42 variables and 84 countries. From those, only 6,634 observations had positive trade flows. The significant reduction of the database calls for a correct assess of sample selection bias to assure that estimates are consistent. However, as we have seen in 3.1, according to W</w:t>
      </w:r>
      <w:r w:rsidR="00314A2A" w:rsidRPr="00A7356B">
        <w:t>ooldridge (1995) test, estimating</w:t>
      </w:r>
      <w:r w:rsidRPr="00A7356B">
        <w:t xml:space="preserve"> </w:t>
      </w:r>
      <w:r w:rsidR="00314A2A" w:rsidRPr="00A7356B">
        <w:t>a</w:t>
      </w:r>
      <w:r w:rsidRPr="00A7356B">
        <w:t xml:space="preserve"> FE model </w:t>
      </w:r>
      <w:r w:rsidR="00314A2A" w:rsidRPr="00A7356B">
        <w:t>is consistent</w:t>
      </w:r>
      <w:r w:rsidRPr="00A7356B">
        <w:t xml:space="preserve"> without these controls. However, these controls enter the </w:t>
      </w:r>
      <w:r w:rsidR="00F51CB0" w:rsidRPr="00A7356B">
        <w:t>HMR</w:t>
      </w:r>
      <w:r w:rsidRPr="00A7356B">
        <w:t xml:space="preserve"> (2008) model via the specification of the theoretical model. </w:t>
      </w:r>
      <w:r w:rsidR="00314A2A" w:rsidRPr="00A7356B">
        <w:t>The final database for panel estimates</w:t>
      </w:r>
      <w:r w:rsidRPr="00A7356B">
        <w:t xml:space="preserve"> has 6,634 observations (id=country-pairs) and 44 variables, containing trade flows of soybean between 1995 and 2012 for 84 countries. </w:t>
      </w:r>
      <w:r w:rsidR="00314A2A" w:rsidRPr="00A7356B">
        <w:t>In Box</w:t>
      </w:r>
      <w:r w:rsidR="00C4521D" w:rsidRPr="00A7356B">
        <w:t xml:space="preserve"> 1</w:t>
      </w:r>
      <w:r w:rsidR="00F51CB0" w:rsidRPr="00A7356B">
        <w:t xml:space="preserve">, in </w:t>
      </w:r>
      <w:r w:rsidR="00314A2A" w:rsidRPr="00A7356B">
        <w:t>appendix, we briefly</w:t>
      </w:r>
      <w:r w:rsidRPr="00A7356B">
        <w:t xml:space="preserve"> introduce the variables actually used in the models.</w:t>
      </w:r>
    </w:p>
    <w:p w14:paraId="03D4F0F1" w14:textId="77777777" w:rsidR="00314A2A" w:rsidRPr="00A7356B" w:rsidRDefault="00314A2A" w:rsidP="00231F38">
      <w:pPr>
        <w:pStyle w:val="ANPEC2013"/>
      </w:pPr>
    </w:p>
    <w:p w14:paraId="163F82BE" w14:textId="0183A02F" w:rsidR="000E4EF5" w:rsidRPr="00A7356B" w:rsidRDefault="005546EF" w:rsidP="00231F38">
      <w:pPr>
        <w:pStyle w:val="ANPEC2013"/>
      </w:pPr>
      <w:r>
        <w:t xml:space="preserve">Technological </w:t>
      </w:r>
      <w:r w:rsidR="000E4EF5" w:rsidRPr="00A7356B">
        <w:t xml:space="preserve">Variables </w:t>
      </w:r>
    </w:p>
    <w:p w14:paraId="1D87648E" w14:textId="77777777" w:rsidR="000E4EF5" w:rsidRPr="00A7356B" w:rsidRDefault="000E4EF5" w:rsidP="00231F38">
      <w:pPr>
        <w:pStyle w:val="ANPEC2013"/>
      </w:pPr>
    </w:p>
    <w:p w14:paraId="4229C637" w14:textId="77777777" w:rsidR="000E4EF5" w:rsidRPr="00A7356B" w:rsidRDefault="000E4EF5" w:rsidP="00231F38">
      <w:pPr>
        <w:pStyle w:val="ANPEC2013"/>
      </w:pPr>
      <w:r w:rsidRPr="00A7356B">
        <w:t xml:space="preserve">General approach to create the variable </w:t>
      </w:r>
      <w:r w:rsidRPr="00A7356B">
        <w:rPr>
          <w:i/>
        </w:rPr>
        <w:t>Demand lag</w:t>
      </w:r>
      <w:r w:rsidRPr="00A7356B">
        <w:t xml:space="preserve"> consisted of three steps. First, we gathered data on approvals for cultivation, food and feed for all the varieties of soybean available, as reported in ISAAA database. Second, for each </w:t>
      </w:r>
      <m:oMath>
        <m:r>
          <w:rPr>
            <w:rFonts w:ascii="Cambria Math" w:hAnsi="Cambria Math"/>
          </w:rPr>
          <m:t>t</m:t>
        </m:r>
      </m:oMath>
      <w:r w:rsidRPr="00A7356B">
        <w:t xml:space="preserve"> and variety we created a dummy variable</w:t>
      </w:r>
      <m:oMath>
        <m:r>
          <w:rPr>
            <w:rFonts w:ascii="Cambria Math" w:hAnsi="Cambria Math"/>
          </w:rPr>
          <m:t xml:space="preserve"> (as</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Pr="00A7356B">
        <w:t xml:space="preserve"> assuming value 1 when country </w:t>
      </w:r>
      <m:oMath>
        <m:r>
          <w:rPr>
            <w:rFonts w:ascii="Cambria Math" w:hAnsi="Cambria Math"/>
          </w:rPr>
          <m:t>i</m:t>
        </m:r>
      </m:oMath>
      <w:r w:rsidRPr="00A7356B">
        <w:t xml:space="preserve"> has approved a variety for cultivation not approved for consumption as food, feed or both in country </w:t>
      </w:r>
      <m:oMath>
        <m:r>
          <w:rPr>
            <w:rFonts w:ascii="Cambria Math" w:hAnsi="Cambria Math"/>
          </w:rPr>
          <m:t>j</m:t>
        </m:r>
        <m:r>
          <w:rPr>
            <w:rStyle w:val="FootnoteReference"/>
            <w:rFonts w:ascii="Cambria Math" w:hAnsi="Cambria Math"/>
            <w:i/>
          </w:rPr>
          <w:footnoteReference w:id="13"/>
        </m:r>
      </m:oMath>
      <w:r w:rsidRPr="00A7356B">
        <w:t xml:space="preserve">. Third, we aggregated the values of dummy variables per year to have the total of demand lag for each pair of countries in year </w:t>
      </w:r>
      <m:oMath>
        <m:r>
          <w:rPr>
            <w:rFonts w:ascii="Cambria Math" w:hAnsi="Cambria Math"/>
          </w:rPr>
          <m:t>t</m:t>
        </m:r>
      </m:oMath>
      <w:r w:rsidRPr="00A7356B">
        <w:t>.</w:t>
      </w:r>
    </w:p>
    <w:p w14:paraId="57A616E7" w14:textId="64D20BF7" w:rsidR="000E4EF5" w:rsidRPr="00A7356B" w:rsidRDefault="000E4EF5" w:rsidP="00231F38">
      <w:pPr>
        <w:pStyle w:val="ANPEC2013"/>
      </w:pPr>
      <w:r w:rsidRPr="00A7356B">
        <w:t xml:space="preserve">Further steps were necessary to solve the problem of including countries with “zero” approved </w:t>
      </w:r>
      <w:r w:rsidR="005546EF">
        <w:t>varieties</w:t>
      </w:r>
      <w:r w:rsidRPr="00A7356B">
        <w:t xml:space="preserve"> into the model. We know that many countries haven’t implemented regulatory frameworks, or have no assessment capacity to carry out tests for identification of imports of unauthorized events. On the other hand, we also know that some countries banned importation of </w:t>
      </w:r>
      <w:r w:rsidR="002B00F9" w:rsidRPr="00A7356B">
        <w:t>all GMOs</w:t>
      </w:r>
      <w:r w:rsidRPr="00A7356B">
        <w:t xml:space="preserve">. A related problem emerges when a country implements risk assessments measures after 1996 – the first year of commercial release of GMOs. </w:t>
      </w:r>
    </w:p>
    <w:p w14:paraId="19C97D7A" w14:textId="39EFC9C3" w:rsidR="000E4EF5" w:rsidRPr="00A7356B" w:rsidRDefault="000E4EF5" w:rsidP="00231F38">
      <w:pPr>
        <w:pStyle w:val="ANPEC2013"/>
      </w:pPr>
      <w:r w:rsidRPr="00A7356B">
        <w:t xml:space="preserve">Therefore, we analyzed all zero approvals case-by-case to determine if the value of total events approved for each year should be ascribed, or zero approval actually means a ban. Underlying information to discriminate between these two types of zero came from GAINS reports, but also from BCH archives and the Africa Centre for Biosafety report </w:t>
      </w:r>
      <w:r w:rsidRPr="00A7356B">
        <w:fldChar w:fldCharType="begin" w:fldLock="1"/>
      </w:r>
      <w:r w:rsidR="00105EB7" w:rsidRPr="00A7356B">
        <w:instrText>ADDIN CSL_CITATION { "citationItems" : [ { "id" : "ITEM-1", "itemData" : { "ISBN" : "978-0-620-40099-2 www.biosafetyafrica.net", "author" : [ { "dropping-particle" : "", "family" : "Moola", "given" : "Shenaz", "non-dropping-particle" : "", "parse-names" : false, "suffix" : "" }, { "dropping-particle" : "", "family" : "Munnik", "given" : "Victor", "non-dropping-particle" : "", "parse-names" : false, "suffix" : "" } ], "container-title" : "Africa", "id" : "ITEM-1", "issued" : { "date-parts" : [ [ "2007" ] ] }, "number-of-pages" : "100", "publisher-place" : "Johannesburg", "title" : "GMOs in Africa : food and agriculture Status report 2007", "type" : "report" }, "uris" : [ "http://www.mendeley.com/documents/?uuid=b7d360dd-f4ed-4f2f-9142-b705fa8161c3" ] } ], "mendeley" : { "formattedCitation" : "(Moola e Munnik, 2007)", "manualFormatting" : "(Moola &amp; Munnik, 2007; BCH, 2015; FAS, 2015)", "plainTextFormattedCitation" : "(Moola e Munnik, 2007)", "previouslyFormattedCitation" : "(Moola e Munnik, 2007)" }, "properties" : { "noteIndex" : 0 }, "schema" : "https://github.com/citation-style-language/schema/raw/master/csl-citation.json" }</w:instrText>
      </w:r>
      <w:r w:rsidRPr="00A7356B">
        <w:fldChar w:fldCharType="separate"/>
      </w:r>
      <w:r w:rsidRPr="00A7356B">
        <w:rPr>
          <w:noProof/>
        </w:rPr>
        <w:t>(Moola &amp; Munnik, 2007; BCH, 2015; FAS, 2015)</w:t>
      </w:r>
      <w:r w:rsidRPr="00A7356B">
        <w:fldChar w:fldCharType="end"/>
      </w:r>
      <w:r w:rsidRPr="00A7356B">
        <w:t xml:space="preserve">. As bans to GMOs were usually of public concerns and well disseminated across specialist and media, we created a dummy for bans to correct for false zero approvals </w:t>
      </w:r>
      <m:oMath>
        <m:r>
          <w:rPr>
            <w:rFonts w:ascii="Cambria Math" w:hAnsi="Cambria Math"/>
          </w:rPr>
          <m:t>(ba</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oMath>
      <w:r w:rsidRPr="00A7356B">
        <w:t xml:space="preserve">. If a ban were reported by one of the data sources for a specific </w:t>
      </w:r>
      <m:oMath>
        <m:r>
          <w:rPr>
            <w:rFonts w:ascii="Cambria Math" w:hAnsi="Cambria Math"/>
          </w:rPr>
          <m:t>t</m:t>
        </m:r>
      </m:oMath>
      <w:r w:rsidRPr="00A7356B">
        <w:t xml:space="preserve">, so the dummy variable was set to 1. Otherwise, if no ban was reported, the dummy is set to 0. By multiplying both we get the adjusted asymmetry between </w:t>
      </w:r>
      <m:oMath>
        <m:r>
          <w:rPr>
            <w:rFonts w:ascii="Cambria Math" w:hAnsi="Cambria Math"/>
          </w:rPr>
          <m:t>i</m:t>
        </m:r>
      </m:oMath>
      <w:r w:rsidRPr="00A7356B">
        <w:t xml:space="preserve"> and </w:t>
      </w:r>
      <m:oMath>
        <m:r>
          <w:rPr>
            <w:rFonts w:ascii="Cambria Math" w:hAnsi="Cambria Math"/>
          </w:rPr>
          <m:t>j</m:t>
        </m:r>
      </m:oMath>
      <w:r w:rsidRPr="00A7356B">
        <w:t xml:space="preserve"> in terms of approved varieties – i.e. (</w:t>
      </w:r>
      <m:oMath>
        <m:r>
          <w:rPr>
            <w:rFonts w:ascii="Cambria Math" w:hAnsi="Cambria Math"/>
          </w:rPr>
          <m:t>as</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*ba</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=adjusted_ass_ij)</m:t>
        </m:r>
      </m:oMath>
      <w:r w:rsidRPr="00A7356B">
        <w:t>.</w:t>
      </w:r>
    </w:p>
    <w:p w14:paraId="61DF77D3" w14:textId="77777777" w:rsidR="000E4EF5" w:rsidRPr="00A7356B" w:rsidRDefault="000E4EF5" w:rsidP="00231F38">
      <w:pPr>
        <w:pStyle w:val="ANPEC2013"/>
      </w:pPr>
      <w:r w:rsidRPr="00A7356B">
        <w:t xml:space="preserve">In the case of </w:t>
      </w:r>
      <w:r w:rsidRPr="00A7356B">
        <w:rPr>
          <w:i/>
        </w:rPr>
        <w:t>Tech. Gap</w:t>
      </w:r>
      <w:r w:rsidRPr="00A7356B">
        <w:t xml:space="preserve"> we took a more pragmatic approach. We simply found the total number of different varieties available and approved for production in at least one country </w:t>
      </w:r>
      <m:oMath>
        <m:r>
          <w:rPr>
            <w:rFonts w:ascii="Cambria Math" w:hAnsi="Cambria Math"/>
          </w:rPr>
          <m:t>j</m:t>
        </m:r>
      </m:oMath>
      <w:r w:rsidRPr="00A7356B">
        <w:t xml:space="preserve"> for a given </w:t>
      </w:r>
      <m:oMath>
        <m:r>
          <w:rPr>
            <w:rFonts w:ascii="Cambria Math" w:hAnsi="Cambria Math"/>
          </w:rPr>
          <m:t>t</m:t>
        </m:r>
      </m:oMath>
      <w:r w:rsidRPr="00A7356B">
        <w:t xml:space="preserve"> and subtracted the number of approved varieties in particular country </w:t>
      </w:r>
      <m:oMath>
        <m:r>
          <w:rPr>
            <w:rFonts w:ascii="Cambria Math" w:hAnsi="Cambria Math"/>
          </w:rPr>
          <m:t>j</m:t>
        </m:r>
      </m:oMath>
      <w:r w:rsidRPr="00A7356B">
        <w:t xml:space="preserve"> to have a “distance” between country varieties and the state of the art of technology. That was possible because major producing countries have taken very clear legal positions towards the technology since the early-1990s. It’s worth noting that we haven’t used logarithm transformation to these variables, as they are derived of dummy variables. </w:t>
      </w:r>
    </w:p>
    <w:p w14:paraId="30252717" w14:textId="27C3324D" w:rsidR="000E4EF5" w:rsidRPr="00A7356B" w:rsidRDefault="000E4EF5" w:rsidP="00A72E34">
      <w:pPr>
        <w:pStyle w:val="T1Tese"/>
        <w:numPr>
          <w:ilvl w:val="0"/>
          <w:numId w:val="46"/>
        </w:numPr>
      </w:pPr>
      <w:bookmarkStart w:id="4" w:name="_Toc318840707"/>
      <w:proofErr w:type="spellStart"/>
      <w:r w:rsidRPr="00A7356B">
        <w:t>Results</w:t>
      </w:r>
      <w:proofErr w:type="spellEnd"/>
      <w:r w:rsidRPr="00A7356B">
        <w:t xml:space="preserve"> and </w:t>
      </w:r>
      <w:proofErr w:type="spellStart"/>
      <w:r w:rsidRPr="00A7356B">
        <w:t>Discussion</w:t>
      </w:r>
      <w:bookmarkEnd w:id="4"/>
      <w:proofErr w:type="spellEnd"/>
      <w:r w:rsidRPr="00A7356B">
        <w:t xml:space="preserve">  </w:t>
      </w:r>
    </w:p>
    <w:p w14:paraId="4BFC2651" w14:textId="3AEA17DA" w:rsidR="000E4EF5" w:rsidRPr="00A7356B" w:rsidRDefault="000E4EF5" w:rsidP="00231F38">
      <w:pPr>
        <w:pStyle w:val="ANPEC2013"/>
      </w:pPr>
      <w:r w:rsidRPr="00A7356B">
        <w:t xml:space="preserve">Results can be seen </w:t>
      </w:r>
      <w:r w:rsidR="00F51CB0" w:rsidRPr="00A7356B">
        <w:t>in Table</w:t>
      </w:r>
      <w:r w:rsidR="00607E19" w:rsidRPr="00A7356B">
        <w:t xml:space="preserve"> 1 and</w:t>
      </w:r>
      <w:r w:rsidR="00F51CB0" w:rsidRPr="00A7356B">
        <w:t xml:space="preserve"> </w:t>
      </w:r>
      <w:r w:rsidR="00501785">
        <w:t>2</w:t>
      </w:r>
      <w:r w:rsidR="00607E19" w:rsidRPr="00A7356B">
        <w:t>,</w:t>
      </w:r>
      <w:r w:rsidR="00F51CB0" w:rsidRPr="00A7356B">
        <w:t xml:space="preserve"> in appendix. </w:t>
      </w:r>
      <w:r w:rsidRPr="00A7356B">
        <w:t xml:space="preserve">As </w:t>
      </w:r>
      <w:r w:rsidR="005546EF" w:rsidRPr="00A7356B">
        <w:t>tests indicate</w:t>
      </w:r>
      <w:r w:rsidRPr="00A7356B">
        <w:t xml:space="preserve"> the consistence of FE models we are </w:t>
      </w:r>
      <w:r w:rsidR="005546EF">
        <w:t>setting this</w:t>
      </w:r>
      <w:r w:rsidRPr="00A7356B">
        <w:t xml:space="preserve"> model (7) as our benchmark – hereinafter FE (7). But we are also </w:t>
      </w:r>
      <w:r w:rsidR="00607E19" w:rsidRPr="00A7356B">
        <w:t>considering</w:t>
      </w:r>
      <w:r w:rsidRPr="00A7356B">
        <w:t xml:space="preserve"> results </w:t>
      </w:r>
      <w:r w:rsidR="005546EF">
        <w:t>from</w:t>
      </w:r>
      <w:r w:rsidRPr="00A7356B">
        <w:t xml:space="preserve"> HMR-I (column 3) along with the </w:t>
      </w:r>
      <w:proofErr w:type="gramStart"/>
      <w:r w:rsidRPr="00A7356B">
        <w:t>Probit</w:t>
      </w:r>
      <w:proofErr w:type="gramEnd"/>
      <w:r w:rsidRPr="00A7356B">
        <w:t xml:space="preserve"> results (column 1) – hereinafter HMR-I (3). HMR-I (3) is interesting to discuss the effects on the intensive and extensive margin</w:t>
      </w:r>
      <w:r w:rsidR="00505757">
        <w:t>s</w:t>
      </w:r>
      <w:r w:rsidRPr="00A7356B">
        <w:t xml:space="preserve"> of trade, as well as the impacts of firm heterogeneity. </w:t>
      </w:r>
    </w:p>
    <w:p w14:paraId="56457092" w14:textId="77777777" w:rsidR="000E4EF5" w:rsidRPr="00A7356B" w:rsidRDefault="000E4EF5" w:rsidP="0021722C">
      <w:pPr>
        <w:pStyle w:val="head-3d"/>
      </w:pPr>
      <w:r w:rsidRPr="00A7356B">
        <w:t>Sample Selection and Firm Heterogeneity Biases</w:t>
      </w:r>
    </w:p>
    <w:p w14:paraId="40FC778B" w14:textId="325742B1" w:rsidR="000E4EF5" w:rsidRPr="00A7356B" w:rsidRDefault="000E4EF5" w:rsidP="00231F38">
      <w:pPr>
        <w:pStyle w:val="ANPEC2013"/>
      </w:pPr>
      <w:r w:rsidRPr="00A7356B">
        <w:t xml:space="preserve">As expected, the controls for firm heterogeneity and selection bias play a role only in the HMR-I (3). Firm heterogeneity is related to prohibitive fixed costs leading to the lack of trade between country pairs. This latter effect is important since we are assuming that the adoption of GM technology by Argentina and </w:t>
      </w:r>
      <w:r w:rsidR="00607E19" w:rsidRPr="00A7356B">
        <w:t xml:space="preserve">the </w:t>
      </w:r>
      <w:r w:rsidRPr="00A7356B">
        <w:t xml:space="preserve">US </w:t>
      </w:r>
      <w:r w:rsidR="00607E19" w:rsidRPr="00A7356B">
        <w:t>along with</w:t>
      </w:r>
      <w:r w:rsidRPr="00A7356B">
        <w:t xml:space="preserve"> non-adoption by Brazil from 1996-2005 may have caused changes in the extensive and intensive margin of trade. </w:t>
      </w:r>
    </w:p>
    <w:p w14:paraId="3082D58E" w14:textId="03E0F9B7" w:rsidR="000E4EF5" w:rsidRPr="00A7356B" w:rsidRDefault="000E4EF5" w:rsidP="00231F38">
      <w:pPr>
        <w:pStyle w:val="ANPEC2013"/>
      </w:pPr>
      <w:r w:rsidRPr="00A7356B">
        <w:t>A comparison between models in columns (2) and (3)</w:t>
      </w:r>
      <w:r w:rsidR="00501785">
        <w:t xml:space="preserve"> in table 2</w:t>
      </w:r>
      <w:r w:rsidRPr="00A7356B">
        <w:t xml:space="preserve"> provides a picture about the general impact the proposed controls have on the coefficients. The absence of controls will make some coefficients have an upward bias. Overall, variables controlling for sizes, country </w:t>
      </w:r>
      <m:oMath>
        <m:r>
          <w:rPr>
            <w:rFonts w:ascii="Cambria Math" w:hAnsi="Cambria Math"/>
          </w:rPr>
          <m:t xml:space="preserve">i's </m:t>
        </m:r>
      </m:oMath>
      <w:r w:rsidRPr="00A7356B">
        <w:t xml:space="preserve">remoteness and bilateral trade costs returned upward biased coefficients, whereas country </w:t>
      </w:r>
      <m:oMath>
        <m:r>
          <w:rPr>
            <w:rFonts w:ascii="Cambria Math" w:hAnsi="Cambria Math"/>
          </w:rPr>
          <m:t>j</m:t>
        </m:r>
      </m:oMath>
      <w:r w:rsidRPr="00A7356B">
        <w:t>’s remoteness is downward. Interestingly, coefficients with higher importance for extensive margin of trade not only return downward biases but also became significant after the controls introduction (see coefficients for Language, Same Country, and RTA in columns (1) to (3)</w:t>
      </w:r>
      <w:r w:rsidR="00501785">
        <w:t xml:space="preserve"> in table 2</w:t>
      </w:r>
      <w:r w:rsidRPr="00A7356B">
        <w:t xml:space="preserve">).  </w:t>
      </w:r>
    </w:p>
    <w:p w14:paraId="26477C0F" w14:textId="1B448E13" w:rsidR="000E4EF5" w:rsidRPr="00A7356B" w:rsidRDefault="00F51CB0" w:rsidP="00231F38">
      <w:pPr>
        <w:pStyle w:val="ANPEC2013"/>
      </w:pPr>
      <w:r w:rsidRPr="00A7356B">
        <w:t>Results are consistent with HMR</w:t>
      </w:r>
      <w:r w:rsidR="00607E19" w:rsidRPr="00A7356B">
        <w:t xml:space="preserve"> (2008)</w:t>
      </w:r>
      <w:r w:rsidRPr="00A7356B">
        <w:t>, where the</w:t>
      </w:r>
      <w:r w:rsidR="000E4EF5" w:rsidRPr="00A7356B">
        <w:t xml:space="preserve"> firm heterogeneity overcomes the effects of selection bias. Also, the coefficients are positive, meaning that countries with higher proportion of exporting firms and unobserved characteristic of countries determining positive trade flows will also positively</w:t>
      </w:r>
      <w:r w:rsidR="00607E19" w:rsidRPr="00A7356B">
        <w:t xml:space="preserve"> impact on</w:t>
      </w:r>
      <w:r w:rsidR="000E4EF5" w:rsidRPr="00A7356B">
        <w:t xml:space="preserve"> </w:t>
      </w:r>
      <w:r w:rsidR="00607E19" w:rsidRPr="00A7356B">
        <w:t>trade volumes.</w:t>
      </w:r>
    </w:p>
    <w:p w14:paraId="023644C1" w14:textId="35C975FC" w:rsidR="000E4EF5" w:rsidRPr="00A7356B" w:rsidRDefault="000E4EF5" w:rsidP="00231F38">
      <w:pPr>
        <w:pStyle w:val="ANPEC2013"/>
      </w:pPr>
      <w:r w:rsidRPr="00A7356B">
        <w:t xml:space="preserve">Note that none of the controls are significant in FE (7). Comparing model HMR-I (3) with FE (7) we can see that some coefficients will return greater and others smaller </w:t>
      </w:r>
      <w:r w:rsidR="00607E19" w:rsidRPr="00A7356B">
        <w:t>coefficients</w:t>
      </w:r>
      <w:r w:rsidRPr="00A7356B">
        <w:t xml:space="preserve">. However, remoteness and exchange rate of exporters and common language will be statistically insignificant in (7) but significant in (3). </w:t>
      </w:r>
    </w:p>
    <w:p w14:paraId="76F84E7E" w14:textId="77777777" w:rsidR="000E4EF5" w:rsidRPr="00A7356B" w:rsidRDefault="000E4EF5" w:rsidP="0021722C">
      <w:pPr>
        <w:pStyle w:val="head-3d"/>
      </w:pPr>
      <w:r w:rsidRPr="00A7356B">
        <w:t xml:space="preserve">Impacts of country-level variables </w:t>
      </w:r>
    </w:p>
    <w:p w14:paraId="1A799FF3" w14:textId="77777777" w:rsidR="000E4EF5" w:rsidRPr="00A7356B" w:rsidRDefault="000E4EF5" w:rsidP="00231F38">
      <w:pPr>
        <w:pStyle w:val="ANPEC2013"/>
      </w:pPr>
      <w:r w:rsidRPr="00A7356B">
        <w:t xml:space="preserve">From the supply side, based on theory and studies on aggregated data, we can expect that soybean trade will increase along with higher outcomes of soybean and average yields of exports. Conversely, trade volumes tend to be decreased by higher exchange rates, lack of maritime exits and remoteness. </w:t>
      </w:r>
    </w:p>
    <w:p w14:paraId="7B107F34" w14:textId="4A42A319" w:rsidR="000E4EF5" w:rsidRPr="00A7356B" w:rsidRDefault="000E4EF5" w:rsidP="00231F38">
      <w:pPr>
        <w:pStyle w:val="ANPEC2013"/>
      </w:pPr>
      <w:r w:rsidRPr="00A7356B">
        <w:t>Production and yield returned the expected impact on trade flows as we can see in columns (3) and (7)</w:t>
      </w:r>
      <w:r w:rsidR="00501785">
        <w:t xml:space="preserve"> in 2</w:t>
      </w:r>
      <w:r w:rsidRPr="00A7356B">
        <w:t>. Given the production elasticity of trade reported in FE (3), for each increase of say, 10%, in pr</w:t>
      </w:r>
      <w:r w:rsidR="007D36D0" w:rsidRPr="00A7356B">
        <w:t>oduction, trade will increase by</w:t>
      </w:r>
      <w:r w:rsidRPr="00A7356B">
        <w:t xml:space="preserve"> 3.8%. Trade elasticity of production is not higher because of internal consumption of soybean in major producing countries (e.g. China) and some of the larger exporters produce small quantities of soybean (</w:t>
      </w:r>
      <w:proofErr w:type="spellStart"/>
      <w:r w:rsidRPr="00A7356B">
        <w:t>eg</w:t>
      </w:r>
      <w:proofErr w:type="spellEnd"/>
      <w:r w:rsidRPr="00A7356B">
        <w:t xml:space="preserve">. </w:t>
      </w:r>
      <w:r w:rsidR="00A8392D" w:rsidRPr="00A7356B">
        <w:t>the Netherlands</w:t>
      </w:r>
      <w:r w:rsidRPr="00A7356B">
        <w:t xml:space="preserve">). Note that production also impacts the probability of exporting, but the relevant impact will be at the intensive margin of trade. Exporter with higher average yields, which can be seen as a </w:t>
      </w:r>
      <w:r w:rsidR="007D36D0" w:rsidRPr="00A7356B">
        <w:t>result</w:t>
      </w:r>
      <w:r w:rsidRPr="00A7356B">
        <w:t xml:space="preserve"> of technologies available at the country level, also increases the volume of trade significantly. </w:t>
      </w:r>
      <w:r w:rsidR="007D36D0" w:rsidRPr="00A7356B">
        <w:t>An</w:t>
      </w:r>
      <w:r w:rsidRPr="00A7356B">
        <w:t xml:space="preserve"> increase in average productivity level of 10 % make</w:t>
      </w:r>
      <w:r w:rsidR="007D36D0" w:rsidRPr="00A7356B">
        <w:t>s</w:t>
      </w:r>
      <w:r w:rsidRPr="00A7356B">
        <w:t xml:space="preserve"> exports increase by 11.4%. The parameter in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A7356B">
        <w:t xml:space="preserve"> in Eaton and Kortum (2002) model, representing the general le</w:t>
      </w:r>
      <w:r w:rsidR="007D36D0" w:rsidRPr="00A7356B">
        <w:t xml:space="preserve">vel of technology in a country </w:t>
      </w:r>
      <w:r w:rsidRPr="00A7356B">
        <w:t xml:space="preserve">can be a theoretical explanation for the high yield elasticity of exports.  </w:t>
      </w:r>
    </w:p>
    <w:p w14:paraId="42ECF49D" w14:textId="2C38F89D" w:rsidR="000E4EF5" w:rsidRPr="00A7356B" w:rsidRDefault="007D36D0" w:rsidP="00231F38">
      <w:pPr>
        <w:pStyle w:val="ANPEC2013"/>
      </w:pPr>
      <w:r w:rsidRPr="00A7356B">
        <w:t>Paradoxically</w:t>
      </w:r>
      <w:r w:rsidR="000E4EF5" w:rsidRPr="00A7356B">
        <w:t>, landlocked exporters tend to export considerably higher volumes when compared to countries with maritime access</w:t>
      </w:r>
      <w:r w:rsidR="000E4EF5" w:rsidRPr="00A7356B">
        <w:rPr>
          <w:rStyle w:val="FootnoteReference"/>
          <w:rFonts w:ascii="Times" w:hAnsi="Times"/>
        </w:rPr>
        <w:footnoteReference w:id="14"/>
      </w:r>
      <w:r w:rsidR="000E4EF5" w:rsidRPr="00A7356B">
        <w:t xml:space="preserve">. However, this effect has a negative impact on the extensive margin of trade, indicating that landlocked country has on average less trade connections than others. A </w:t>
      </w:r>
      <w:r w:rsidRPr="00A7356B">
        <w:t xml:space="preserve">closer </w:t>
      </w:r>
      <w:r w:rsidR="000E4EF5" w:rsidRPr="00A7356B">
        <w:t xml:space="preserve">look at the data </w:t>
      </w:r>
      <w:r w:rsidRPr="00A7356B">
        <w:t xml:space="preserve">shows that </w:t>
      </w:r>
      <w:r w:rsidR="000E4EF5" w:rsidRPr="00A7356B">
        <w:t xml:space="preserve">this seeming odd result is valid only for the soybean case, given intra-bloc trade in European Union and significant shares of world exports of landlocked countries like Paraguay, Switzerland, Bolivia, Zambia, Austria and Hungary. </w:t>
      </w:r>
    </w:p>
    <w:p w14:paraId="637EF1F2" w14:textId="348F17D2" w:rsidR="000E4EF5" w:rsidRPr="00A7356B" w:rsidRDefault="000E4EF5" w:rsidP="00231F38">
      <w:pPr>
        <w:pStyle w:val="ANPEC2013"/>
      </w:pPr>
      <w:r w:rsidRPr="00A7356B">
        <w:t>Remoteness and variations of the exchange rate in exporting</w:t>
      </w:r>
      <w:r w:rsidR="007D36D0" w:rsidRPr="00A7356B">
        <w:t xml:space="preserve"> countries</w:t>
      </w:r>
      <w:r w:rsidRPr="00A7356B">
        <w:t xml:space="preserve"> aren’t significant in FE</w:t>
      </w:r>
      <w:r w:rsidR="007D36D0" w:rsidRPr="00A7356B">
        <w:t xml:space="preserve"> </w:t>
      </w:r>
      <w:r w:rsidRPr="00A7356B">
        <w:t xml:space="preserve">(7), and have very small values in HMR-I (3) models. This result </w:t>
      </w:r>
      <w:r w:rsidR="007D36D0" w:rsidRPr="00A7356B">
        <w:t>is explained</w:t>
      </w:r>
      <w:r w:rsidRPr="00A7356B">
        <w:t xml:space="preserve"> by the concentrated international supply of soybeans – primarily in the Americas. Variations in exchange rate in exporting countries are expected to impact trade in two different ways. On the one hand it makes soybean export prices in countries with devaluated currency cheaper. On the other hand, it makes the inputs used in production more expensive. Some studies show that currency devaluations in South America displace exports of </w:t>
      </w:r>
      <w:r w:rsidR="007D36D0" w:rsidRPr="00A7356B">
        <w:t xml:space="preserve">the </w:t>
      </w:r>
      <w:r w:rsidRPr="00A7356B">
        <w:t xml:space="preserve">US in international markets </w:t>
      </w:r>
      <w:r w:rsidRPr="00A7356B">
        <w:fldChar w:fldCharType="begin" w:fldLock="1"/>
      </w:r>
      <w:r w:rsidR="00105EB7" w:rsidRPr="00A7356B">
        <w:instrText>ADDIN CSL_CITATION { "citationItems" : [ { "id" : "ITEM-1", "itemData" : { "abstract" : "We analyzed the effects of Brazil and Argentina\u2019s currency devaluation on the U.S. soybean import demand in major importing countries. Results indicate that nominal exchange rates between the United States and importers affect the U.S. soybean export market. Additionally, we found evidence that currency depreciations have favored soybean exports from Argentina and Brazil at the cost of reduced exports from the United States. Increased world soybean demand has promoted export sales from major producers, affecting export prices. However, adoption of GM soybeans in the United States has been a determinant in decreased U.S. soybean exports.", "author" : [ { "dropping-particle" : "", "family" : "Andino", "given" : "Jose", "non-dropping-particle" : "", "parse-names" : false, "suffix" : "" }, { "dropping-particle" : "", "family" : "Koo", "given" : "Won W", "non-dropping-particle" : "", "parse-names" : false, "suffix" : "" } ], "container-title" : "Agribusiness &amp; Applied Economics", "id" : "ITEM-1", "issue" : "574", "issued" : { "date-parts" : [ [ "2005" ] ] }, "page" : "18", "title" : "The Impact of Brazil and Argentina \u2019 s Currency Devaluation on U . S . Soybean Trade", "type" : "article-journal" }, "uris" : [ "http://www.mendeley.com/documents/?uuid=9f793715-52fd-4be3-b2ca-b0871fc70ffe" ] } ], "mendeley" : { "formattedCitation" : "(Andino e Koo, 2005)", "plainTextFormattedCitation" : "(Andino e Koo, 2005)", "previouslyFormattedCitation" : "(Andino e Koo, 2005)" }, "properties" : { "noteIndex" : 0 }, "schema" : "https://github.com/citation-style-language/schema/raw/master/csl-citation.json" }</w:instrText>
      </w:r>
      <w:r w:rsidRPr="00A7356B">
        <w:fldChar w:fldCharType="separate"/>
      </w:r>
      <w:r w:rsidR="0021722C" w:rsidRPr="00A7356B">
        <w:rPr>
          <w:noProof/>
        </w:rPr>
        <w:t>(Andino e Koo, 2005)</w:t>
      </w:r>
      <w:r w:rsidRPr="00A7356B">
        <w:fldChar w:fldCharType="end"/>
      </w:r>
      <w:r w:rsidRPr="00A7356B">
        <w:t xml:space="preserve">. However, our </w:t>
      </w:r>
      <w:r w:rsidR="0021722C" w:rsidRPr="00A7356B">
        <w:t>results show</w:t>
      </w:r>
      <w:r w:rsidRPr="00A7356B">
        <w:t xml:space="preserve"> that </w:t>
      </w:r>
      <w:r w:rsidR="00883F78" w:rsidRPr="00A7356B">
        <w:t>impacts on the l</w:t>
      </w:r>
      <w:r w:rsidR="00883F78">
        <w:t>ikelihood of exports are possibly</w:t>
      </w:r>
      <w:r w:rsidRPr="00A7356B">
        <w:t xml:space="preserve"> very low and positive (0.08%), meaning that currency valuation in country </w:t>
      </w:r>
      <m:oMath>
        <m:r>
          <w:rPr>
            <w:rFonts w:ascii="Cambria Math" w:hAnsi="Cambria Math"/>
          </w:rPr>
          <m:t>j</m:t>
        </m:r>
      </m:oMath>
      <w:r w:rsidRPr="00A7356B">
        <w:t xml:space="preserve"> increases the likelihood of positive trade flows, marginally. Regarding the intensive margin of trade, HMR-I (3) returned an elasticity of 0.082 for this variable. It can be a result of the predominance of increases of imported inputs relative prices as well as an indication of the weakness of this variable to explain bilateral trade of soybeans as the international prices are always given in USD dollars regardless variation of international currencies. </w:t>
      </w:r>
    </w:p>
    <w:p w14:paraId="1814B77E" w14:textId="77777777" w:rsidR="000E4EF5" w:rsidRPr="00A7356B" w:rsidRDefault="000E4EF5" w:rsidP="00231F38">
      <w:pPr>
        <w:pStyle w:val="ANPEC2013"/>
      </w:pPr>
      <w:r w:rsidRPr="00A7356B">
        <w:t xml:space="preserve">From the demand side, theory predicts that bilateral trade tends to increase along with higher demand levels, valuated exchange rates, absence or high imperfectness of substitute goods, easy access to the sea and low levels of remoteness. </w:t>
      </w:r>
    </w:p>
    <w:p w14:paraId="6DD029CC" w14:textId="2A566061" w:rsidR="000E4EF5" w:rsidRPr="00A7356B" w:rsidRDefault="000E4EF5" w:rsidP="00231F38">
      <w:pPr>
        <w:pStyle w:val="ANPEC2013"/>
      </w:pPr>
      <w:r w:rsidRPr="00A7356B">
        <w:t xml:space="preserve">Results show that </w:t>
      </w:r>
      <w:r w:rsidR="00883F78">
        <w:t>o</w:t>
      </w:r>
      <w:r w:rsidRPr="00A7356B">
        <w:t xml:space="preserve">ne increase of 10% in consumption, will lead to an increase of 3% of imports. </w:t>
      </w:r>
      <w:r w:rsidR="00883F78">
        <w:t>T</w:t>
      </w:r>
      <w:r w:rsidRPr="00A7356B">
        <w:t xml:space="preserve">his number isn’t higher because larger consuming markets also produce certain amounts of soybean, with the obvious exception of the EU. The effect of substitutes goods (Other Goods </w:t>
      </w:r>
      <w:proofErr w:type="spellStart"/>
      <w:r w:rsidRPr="00A7356B">
        <w:rPr>
          <w:i/>
        </w:rPr>
        <w:t>i</w:t>
      </w:r>
      <w:proofErr w:type="spellEnd"/>
      <w:r w:rsidRPr="00A7356B">
        <w:t>) shows that soybean has no</w:t>
      </w:r>
      <w:r w:rsidR="001C34A8" w:rsidRPr="00A7356B">
        <w:t>t</w:t>
      </w:r>
      <w:r w:rsidRPr="00A7356B">
        <w:t xml:space="preserve"> a close substitute for meal production in international markets</w:t>
      </w:r>
      <w:r w:rsidR="00883F78">
        <w:rPr>
          <w:rStyle w:val="FootnoteReference"/>
          <w:rFonts w:ascii="Times" w:hAnsi="Times"/>
        </w:rPr>
        <w:footnoteReference w:id="15"/>
      </w:r>
      <w:r w:rsidRPr="00A7356B">
        <w:t xml:space="preserve">. For each increase of 10% in imports of other meals feedstock, such as meat and bone meals, fishmeal, among others, imports of soybean increase by 2.12% on average. HMR-I (3) returns coefficients with the same sign and significance but with smaller values. </w:t>
      </w:r>
    </w:p>
    <w:p w14:paraId="65E06CD2" w14:textId="3CE3288E" w:rsidR="000E4EF5" w:rsidRPr="00A7356B" w:rsidRDefault="000E4EF5" w:rsidP="00231F38">
      <w:pPr>
        <w:pStyle w:val="ANPEC2013"/>
      </w:pPr>
      <w:r w:rsidRPr="00A7356B">
        <w:t xml:space="preserve">Importing countries with high degrees of remoteness, devaluated currencies and landlocked will actually import less volumes of soybean. Landlocked countries import on average 60% less when compared to countries with maritime access. Currency devaluations and increases in the remoteness index have smaller impacts, but considering the magnitude of small percentages applied on huge amounts of soybean traded, the economic significance can be considerable in some cases. HMR-I (3) </w:t>
      </w:r>
      <w:r w:rsidR="003C7842">
        <w:t>shows</w:t>
      </w:r>
      <w:r w:rsidRPr="00A7356B">
        <w:t xml:space="preserve"> similar impacts in terms of sign, magnitude and significance of coefficients. Noteworthy, landlocked country tends to have more positive trade inflows when compared to others, accordingly to results of model (1).</w:t>
      </w:r>
    </w:p>
    <w:p w14:paraId="6DBB9BEA" w14:textId="61D5B192" w:rsidR="000E4EF5" w:rsidRPr="00A7356B" w:rsidRDefault="000E4EF5" w:rsidP="00231F38">
      <w:pPr>
        <w:pStyle w:val="ANPEC2013"/>
      </w:pPr>
      <w:r w:rsidRPr="00A7356B">
        <w:t xml:space="preserve">In sum, we can say size and state of technology in producing countries are the key drivers of exports volume. On the demand side, size, remoteness, valuated currencies and access to maritime routes are the most important </w:t>
      </w:r>
      <w:r w:rsidR="003C7842">
        <w:t>drivers of</w:t>
      </w:r>
      <w:r w:rsidRPr="00A7356B">
        <w:t xml:space="preserve"> trade inflows. In addition, the lack of international close substitutes for soybean will also play a role in determining demand. </w:t>
      </w:r>
    </w:p>
    <w:p w14:paraId="515941DD" w14:textId="77777777" w:rsidR="000E4EF5" w:rsidRPr="00A7356B" w:rsidRDefault="000E4EF5" w:rsidP="0021722C">
      <w:pPr>
        <w:pStyle w:val="head-3d"/>
      </w:pPr>
      <w:r w:rsidRPr="00A7356B">
        <w:t xml:space="preserve">Impact of trade-level variables </w:t>
      </w:r>
    </w:p>
    <w:p w14:paraId="5CFE5A11" w14:textId="273173F5" w:rsidR="00707B6F" w:rsidRPr="00A7356B" w:rsidRDefault="000E4EF5" w:rsidP="00231F38">
      <w:pPr>
        <w:pStyle w:val="ANPEC2013"/>
      </w:pPr>
      <w:r w:rsidRPr="00A7356B">
        <w:t>First, it is important to note that common language is not significant according to our benchmark model FE (7). On the other hand, this variable is highly significant in the HMR-I (3) model</w:t>
      </w:r>
      <w:r w:rsidR="00094421">
        <w:t>.</w:t>
      </w:r>
      <w:r w:rsidRPr="00A7356B">
        <w:t xml:space="preserve"> Thinking of Brazil, Argentina and United States, it is difficult to think about a determined effect as the number of countries speaking Portuguese will be reduced – as well as their economic importance. This and other qualifications peculiar to our case, such as the importance of China as a consumer market, and absence of a larger producer speaking Chinese, will make the analysis of language effect ambiguous. </w:t>
      </w:r>
    </w:p>
    <w:p w14:paraId="396A3E51" w14:textId="07110426" w:rsidR="000E4EF5" w:rsidRPr="00A7356B" w:rsidRDefault="000E4EF5" w:rsidP="00231F38">
      <w:pPr>
        <w:pStyle w:val="ANPEC2013"/>
      </w:pPr>
      <w:r w:rsidRPr="00A7356B">
        <w:t>Countries having colonial ties trade approx. 158% more when compared to others. On the other hand, countries sharing a same colonist for long periods will trade reduced volumes of soybean (46.5% approx.). It can be a result of agricultural specialization of colonies, making the trade of agricultural products smaller between two agricultural-based countries, but intense between industrialized and agricultural countries. Impact on extensive margins, however, will be positive (see column (1)</w:t>
      </w:r>
      <w:r w:rsidR="00501785">
        <w:t xml:space="preserve"> in table 2</w:t>
      </w:r>
      <w:r w:rsidR="00707B6F" w:rsidRPr="00A7356B">
        <w:t>)</w:t>
      </w:r>
      <w:r w:rsidRPr="00A7356B">
        <w:t xml:space="preserve">. As expected, RTAs will have the very same type of impact on trade. </w:t>
      </w:r>
    </w:p>
    <w:p w14:paraId="6DEF84A0" w14:textId="4339FAA8" w:rsidR="000E4EF5" w:rsidRPr="00A7356B" w:rsidRDefault="000E4EF5" w:rsidP="00231F38">
      <w:pPr>
        <w:pStyle w:val="ANPEC2013"/>
      </w:pPr>
      <w:r w:rsidRPr="00A7356B">
        <w:t>Distance, as a proxy for variable costs of trade based on the Samuelson’s “iceberg costs” is expected to decrease trade volumes. According to our estimates, a 10% increase in distance will lead to 28.9% decrease in the volume trade (see column (7)</w:t>
      </w:r>
      <w:r w:rsidR="00501785">
        <w:t xml:space="preserve"> in table 2</w:t>
      </w:r>
      <w:r w:rsidRPr="00A7356B">
        <w:t xml:space="preserve">). That is a consistent result, as international freights tend to be a significant component of trade costs. The access to the Pacific Ocean by the U.S. will make “iceberg costs” of exporting to China smaller when compared to costs of Brazilian exports to the same market. Additionally, results of HMR-I (3) suggest that distance has a negative impact on the probability of trade, but a positive effect </w:t>
      </w:r>
      <w:r w:rsidR="00094421">
        <w:t>in</w:t>
      </w:r>
      <w:r w:rsidRPr="00A7356B">
        <w:t xml:space="preserve"> volumes. This can be a result of gains of scale. Related to distance effects, the estimates show that countries sharing a land border will trade significantly more than others. </w:t>
      </w:r>
    </w:p>
    <w:p w14:paraId="18BFD4C8" w14:textId="7937FCC4" w:rsidR="000E4EF5" w:rsidRPr="00A7356B" w:rsidRDefault="000E4EF5" w:rsidP="00231F38">
      <w:pPr>
        <w:pStyle w:val="ANPEC2013"/>
      </w:pPr>
      <w:r w:rsidRPr="00A7356B">
        <w:t xml:space="preserve">Finally, we can expect that endowment of land will be important to partially explain the formation and direction of soybean trade flows. This variable can be somehow interpreted as the effects of differences in input costs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A7356B">
        <w:t xml:space="preserve"> and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A7356B">
        <w:t xml:space="preserve"> that will lead to industry specialization, </w:t>
      </w:r>
      <w:r w:rsidRPr="00A7356B">
        <w:rPr>
          <w:i/>
        </w:rPr>
        <w:t>ceteris paribus</w:t>
      </w:r>
      <w:r w:rsidRPr="00A7356B">
        <w:t xml:space="preserve">. It is a source of trade mostly </w:t>
      </w:r>
      <w:r w:rsidR="00707B6F" w:rsidRPr="00A7356B">
        <w:t xml:space="preserve">considered in </w:t>
      </w:r>
      <w:r w:rsidRPr="00A7356B">
        <w:t xml:space="preserve">HO models, but also treatable in the framework developed by Eaton and Kortum (2002), if we assume that relative endowments of land will impact the costs of production of agricultural goods. The difference in land endowment will impact mostly on the extensive margin of trade. If this difference increases by 10%, trade will increase by approximately 1.87%. Note that the values of the coefficients are very similar in HMR-I (3) model. </w:t>
      </w:r>
    </w:p>
    <w:p w14:paraId="086163DB" w14:textId="51BB5591" w:rsidR="000E4EF5" w:rsidRPr="00A7356B" w:rsidRDefault="000E4EF5" w:rsidP="00231F38">
      <w:pPr>
        <w:pStyle w:val="ANPEC2013"/>
      </w:pPr>
      <w:r w:rsidRPr="00A7356B">
        <w:t xml:space="preserve">In sum, the trade between countries located geographically closer, sharing a border, with colonial ties and different factors endowment (land) is </w:t>
      </w:r>
      <w:r w:rsidR="00094421">
        <w:t xml:space="preserve">comparatively </w:t>
      </w:r>
      <w:r w:rsidRPr="00A7356B">
        <w:t>more frequent and higher in volume</w:t>
      </w:r>
      <w:r w:rsidR="00094421">
        <w:t>.</w:t>
      </w:r>
      <w:r w:rsidRPr="00A7356B">
        <w:t xml:space="preserve"> Remarkably, countries under regional trade agreements and considered as the same countries trade more often but in lower volumes.</w:t>
      </w:r>
    </w:p>
    <w:p w14:paraId="1B4081E2" w14:textId="77777777" w:rsidR="000E4EF5" w:rsidRPr="00A7356B" w:rsidRDefault="000E4EF5" w:rsidP="0021722C">
      <w:pPr>
        <w:pStyle w:val="head-3d"/>
      </w:pPr>
      <w:bookmarkStart w:id="5" w:name="_GoBack"/>
      <w:bookmarkEnd w:id="5"/>
      <w:r w:rsidRPr="00A7356B">
        <w:t>Impacts of technological variables</w:t>
      </w:r>
    </w:p>
    <w:p w14:paraId="513B5D9B" w14:textId="77777777" w:rsidR="00BC44B4" w:rsidRPr="00A7356B" w:rsidRDefault="000E4EF5" w:rsidP="00231F38">
      <w:pPr>
        <w:pStyle w:val="ANPEC2013"/>
      </w:pPr>
      <w:r w:rsidRPr="00A7356B">
        <w:t>Precisely, differences in mandatory labeling regimes are more a proxy for regulation asymmetry than for technological change, impacting mostly on the extensive margin of trade. This assumption is based on several studies, which points out that mandatory labeling is one of the most detrimental factors impacting trade of GMOs</w:t>
      </w:r>
      <w:r w:rsidRPr="00A7356B">
        <w:fldChar w:fldCharType="begin" w:fldLock="1"/>
      </w:r>
      <w:r w:rsidR="00105EB7" w:rsidRPr="00A7356B">
        <w:instrText>ADDIN CSL_CITATION { "citationItems" : [ { "id" : "ITEM-1", "itemData" : { "author" : [ { "dropping-particle" : "", "family" : "Regimes", "given" : "Regulatory", "non-dropping-particle" : "", "parse-names" : false, "suffix" : "" }, { "dropping-particle" : "", "family" : "Giannakas", "given" : "Konstantinos", "non-dropping-particle" : "", "parse-names" : false, "suffix" : "" } ], "container-title" : "American Journal of Agricultural Economics", "id" : "ITEM-1", "issue" : "1", "issued" : { "date-parts" : [ [ "2013" ] ] }, "note" : "- nao focado nos fluxos. \n\n\nIntroduction \n\n- purpose: to develop a framework whre these modifications are introduced and where their feedback on the rest of the system is caputured. \n- to capture diferent consumer attitudes toward GM products, the conventional assumption of consumer homogeneity is relaxed. \n- credence good models.", "page" : "42-60", "title" : "Inserting Gm Products Into The Food Chain: The Market And Welfare Effects Of Different Labeling And Regulatory", "type" : "article-journal", "volume" : "86" }, "uris" : [ "http://www.mendeley.com/documents/?uuid=b5fa32a0-944e-405e-b77e-5550e57f0f50" ] }, { "id" : "ITEM-2", "itemData" : { "author" : [ { "dropping-particle" : "", "family" : "Carter", "given" : "CA", "non-dropping-particle" : "", "parse-names" : false, "suffix" : "" }, { "dropping-particle" : "", "family" : "Gru\u00e8re", "given" : "GP", "non-dropping-particle" : "", "parse-names" : false, "suffix" : "" } ], "chapter-number" : "21", "container-title" : "Regulating agricultural biotechnology: economics and policy", "editor" : [ { "dropping-particle" : "", "family" : "Just", "given" : "Richard E. ( University of Maryland)", "non-dropping-particle" : "", "parse-names" : false, "suffix" : "" }, { "dropping-particle" : "", "family" : "Alston, Juliian M. (University of California", "given" : "Davis)", "non-dropping-particle" : "", "parse-names" : false, "suffix" : "" }, { "dropping-particle" : "", "family" : "Zilberman, David (University of California", "given" : "Berkeley)", "non-dropping-particle" : "", "parse-names" : false, "suffix" : "" } ], "id" : "ITEM-2", "issued" : { "date-parts" : [ [ "2006" ] ] }, "page" : "459-480", "publisher" : "Springer New York", "publisher-place" : "New York, NY", "title" : "International approval and labeling regulations of genetically modified food in major trading countries", "type" : "chapter" }, "uris" : [ "http://www.mendeley.com/documents/?uuid=dfaff7e1-5c3e-4490-b619-6c71015b08ea" ] }, { "id" : "ITEM-3", "itemData" : { "abstract" : "World markets for a number of grains (soybeans, corn, canola and cottonseed) have become differentiated into GM, certified non-GM and organic segments, which has created opportunities and challenges for grain market participants. This paper summarises the evidence to date on the extent of price premiums for non-GM products throughout the world. A broad economic framework is employed to explain the observed pattern of price premiums. The key conclusion of the analysis is that world grains markets for which there are GM variants are dominated by GM grains, but there are niches for certified non-GM and organically produced grains, for which price premiums are paid. With some certified non-GM grains for a specific purpose, price premiums appear to be increasing. Apart from consumer attitudes, the key drivers of price premiums are mandatory labelling of GM products in some key grain consuming countries (particularly high income countries), higher production costs for non-GM crops and the cost of identity preservation. ============= A new report by the Australian Bureau of Agricultural and Resource Economics (ABARE) examines whether price premiums exist for non-GM grains and some of the reasons such premiums may exist. The report, Evidence of price premiums for non-GM grains in world markets, focuses on the main commercialised GM crops soybean, corn, cotton and canola. The report makes the following points. When GM grains are highly substitutable for non-GM grains (for example, canola and cottonseed) there are no price premiums for the non-GM grains. As a result, premiums for certified non-GM canola or cottonseed were either small or non-existent. Some of the reasons for the high substitutability between GM and non-GM canola and cotton are because they are crushed to produce oil and meal. In most countries, mandatory labelling is not required on the oil because there is no detectable DNA. Second, the meal of cottonseed and canola has virtually no food use (it is used primarily as animal feed). If GM and non-GM grains are not perfectly substitutable this can mean differentiated markets and differences in prices between the different markets. Organic grains and non-GM soybeans and corn for food purposes are examples of such products. It appears that growers of non-GM corn and soybeans in exporting countries are requiring continual increases in prices to forgo the benefits of employing GM technologies and to meet identity-preservation costs. Increasing consumer \u2026", "author" : [ { "dropping-particle" : "", "family" : "Foster", "given" : "Max", "non-dropping-particle" : "", "parse-names" : false, "suffix" : "" } ], "container-title" : "Australian Agricultural and Resource Economics Society", "id" : "ITEM-3", "issued" : { "date-parts" : [ [ "2010" ] ] }, "page" : "16", "publisher" : "ABARE, Australia", "title" : "Evidence of price premiums for non-GM grains in world markets", "type" : "article", "volume" : "10.04 Conf" }, "uris" : [ "http://www.mendeley.com/documents/?uuid=618764f8-a664-471d-9c67-46cdff751d28" ] } ], "mendeley" : { "formattedCitation" : "(Carter e Gru\u00e8re, 2006; Foster, 2010; Regimes e Giannakas, 2013)", "plainTextFormattedCitation" : "(Carter e Gru\u00e8re, 2006; Foster, 2010; Regimes e Giannakas, 2013)", "previouslyFormattedCitation" : "(Carter e Gru\u00e8re, 2006; Foster, 2010; Regimes e Giannakas, 2013)" }, "properties" : { "noteIndex" : 0 }, "schema" : "https://github.com/citation-style-language/schema/raw/master/csl-citation.json" }</w:instrText>
      </w:r>
      <w:r w:rsidRPr="00A7356B">
        <w:fldChar w:fldCharType="separate"/>
      </w:r>
      <w:r w:rsidR="0021722C" w:rsidRPr="00A7356B">
        <w:rPr>
          <w:noProof/>
        </w:rPr>
        <w:t>(Carter e Gruère, 2006; Foster, 2010; Regimes e Giannakas, 2013)</w:t>
      </w:r>
      <w:r w:rsidRPr="00A7356B">
        <w:fldChar w:fldCharType="end"/>
      </w:r>
      <w:r w:rsidRPr="00A7356B">
        <w:t xml:space="preserve">. There are evidences that countries with mandatory labeling imported soybeans primary from Brazil, at least until the end of 2012 </w:t>
      </w:r>
      <w:r w:rsidRPr="00A7356B">
        <w:fldChar w:fldCharType="begin" w:fldLock="1"/>
      </w:r>
      <w:r w:rsidR="00105EB7" w:rsidRPr="00A7356B">
        <w:instrText>ADDIN CSL_CITATION { "citationItems" : [ { "id" : "ITEM-1", "itemData" : { "author" : [ { "dropping-particle" : "", "family" : "Oliveira", "given" : "Paulo R Silva", "non-dropping-particle" : "", "parse-names" : false, "suffix" : "" }, { "dropping-particle" : "", "family" : "Silveira", "given" : "Jos\u00e9 Maria Ferreira Jardim", "non-dropping-particle" : "", "parse-names" : false, "suffix" : "" }, { "dropping-particle" : "", "family" : "Magalh\u00e3es", "given" : "Marcelo M.", "non-dropping-particle" : "", "parse-names" : false, "suffix" : "" }, { "dropping-particle" : "", "family" : "Souza", "given" : "Roney Fraga", "non-dropping-particle" : "", "parse-names" : false, "suffix" : "" } ], "container-title" : "17th ICABR Conference: \u201cINNOVATION AND POLICY FOR THE BIOECONOMY\u201d", "id" : "ITEM-1", "issued" : { "date-parts" : [ [ "2013" ] ] }, "publisher-place" : "Ravello - Italy", "title" : "Adoption Of Technologies With Market Rejection And Return On Exports: Brazil, United States, Argentina And The Case Of Gm-Soybeans", "type" : "paper-conference" }, "uris" : [ "http://www.mendeley.com/documents/?uuid=b93faeac-65e0-4470-977e-e9a88c51e422" ] } ], "mendeley" : { "formattedCitation" : "(Oliveira &lt;i&gt;et al.&lt;/i&gt;, 2013)", "plainTextFormattedCitation" : "(Oliveira et al., 2013)", "previouslyFormattedCitation" : "(Oliveira &lt;i&gt;et al.&lt;/i&gt;, 2013)" }, "properties" : { "noteIndex" : 0 }, "schema" : "https://github.com/citation-style-language/schema/raw/master/csl-citation.json" }</w:instrText>
      </w:r>
      <w:r w:rsidRPr="00A7356B">
        <w:fldChar w:fldCharType="separate"/>
      </w:r>
      <w:r w:rsidR="0021722C" w:rsidRPr="00A7356B">
        <w:rPr>
          <w:noProof/>
        </w:rPr>
        <w:t xml:space="preserve">(Oliveira </w:t>
      </w:r>
      <w:r w:rsidR="0021722C" w:rsidRPr="00A7356B">
        <w:rPr>
          <w:i/>
          <w:noProof/>
        </w:rPr>
        <w:t>et al.</w:t>
      </w:r>
      <w:r w:rsidR="0021722C" w:rsidRPr="00A7356B">
        <w:rPr>
          <w:noProof/>
        </w:rPr>
        <w:t>, 2013)</w:t>
      </w:r>
      <w:r w:rsidRPr="00A7356B">
        <w:fldChar w:fldCharType="end"/>
      </w:r>
      <w:r w:rsidRPr="00A7356B">
        <w:t xml:space="preserve">. Authors estimated that when mandatory labeling regimes are increased by one year, imports from Brazil increase by 4.5%. </w:t>
      </w:r>
      <w:r w:rsidR="00BC44B4" w:rsidRPr="00A7356B">
        <w:t xml:space="preserve">The existence of a mandatory labeling regime in destination and absence in sourcing countries decreases the probability of trade almost by 3%. Beforehand, we can see that the coefficients of our technological variables behavior steadily in all models. </w:t>
      </w:r>
    </w:p>
    <w:p w14:paraId="196BC80B" w14:textId="10D8162D" w:rsidR="000E4EF5" w:rsidRPr="00A7356B" w:rsidRDefault="00BC44B4" w:rsidP="00231F38">
      <w:pPr>
        <w:pStyle w:val="ANPEC2013"/>
      </w:pPr>
      <w:r>
        <w:t xml:space="preserve">                  </w:t>
      </w:r>
      <w:r w:rsidR="000E4EF5" w:rsidRPr="00A7356B">
        <w:t xml:space="preserve">The Demand Lag variable, in turn, was defined based on the general idea of imitation lag developed by Posner (1961). In this study we consider that the lag will enlarge market shares of countries producing the </w:t>
      </w:r>
      <w:r w:rsidR="00094421">
        <w:t>old good</w:t>
      </w:r>
      <w:r w:rsidR="000E4EF5" w:rsidRPr="00A7356B">
        <w:t xml:space="preserve"> in markets averse to the technology. The duration and the proportion of the lag will determine the backward effects of technology. </w:t>
      </w:r>
    </w:p>
    <w:p w14:paraId="0F5B8A28" w14:textId="68A8C5BC" w:rsidR="000E4EF5" w:rsidRPr="00A7356B" w:rsidRDefault="000E4EF5" w:rsidP="00231F38">
      <w:pPr>
        <w:pStyle w:val="ANPEC2013"/>
      </w:pPr>
      <w:r w:rsidRPr="00A7356B">
        <w:t xml:space="preserve">We </w:t>
      </w:r>
      <w:r w:rsidR="00531430" w:rsidRPr="00A7356B">
        <w:t>assume</w:t>
      </w:r>
      <w:r w:rsidRPr="00A7356B">
        <w:t xml:space="preserve"> that </w:t>
      </w:r>
      <w:r w:rsidR="00094421">
        <w:t>technology-gap</w:t>
      </w:r>
      <w:r w:rsidRPr="00A7356B">
        <w:t xml:space="preserve"> is</w:t>
      </w:r>
      <w:r w:rsidR="00094421">
        <w:t xml:space="preserve"> also</w:t>
      </w:r>
      <w:r w:rsidRPr="00A7356B">
        <w:t xml:space="preserve"> key to determine trade volumes. The rationale behind this is that international competition and innovation rate will create an international technology frontier, which is constantly moving forward given the pace and nature of innovation in the economic system. As technology will impact on the overall production costs and not all the countries developed technology “hatred”, there will be gains of adoption that should be considered. From that, trade should increase as countries adopted newer and better technologies of production, in </w:t>
      </w:r>
      <w:r w:rsidR="00BC44B4">
        <w:t xml:space="preserve">those </w:t>
      </w:r>
      <w:r w:rsidRPr="00A7356B">
        <w:t xml:space="preserve">markets without </w:t>
      </w:r>
      <w:r w:rsidR="00BC44B4">
        <w:t>high levels of</w:t>
      </w:r>
      <w:r w:rsidRPr="00A7356B">
        <w:t xml:space="preserve"> technology </w:t>
      </w:r>
      <w:r w:rsidR="00531430" w:rsidRPr="00A7356B">
        <w:t>hatred</w:t>
      </w:r>
      <w:r w:rsidRPr="00A7356B">
        <w:t>. That is because in “</w:t>
      </w:r>
      <w:r w:rsidR="00531430" w:rsidRPr="00A7356B">
        <w:t>common</w:t>
      </w:r>
      <w:r w:rsidRPr="00A7356B">
        <w:t>” markets, “</w:t>
      </w:r>
      <w:r w:rsidR="00531430" w:rsidRPr="00A7356B">
        <w:t>common</w:t>
      </w:r>
      <w:r w:rsidRPr="00A7356B">
        <w:t xml:space="preserve">” technological effects are expected to stand out – i.e. the positive impact of technology on overall production costs will be a source of comparative advantage. </w:t>
      </w:r>
    </w:p>
    <w:p w14:paraId="4D057C72" w14:textId="7809BA6F" w:rsidR="000E4EF5" w:rsidRPr="00A7356B" w:rsidRDefault="000E4EF5" w:rsidP="00231F38">
      <w:pPr>
        <w:pStyle w:val="ANPEC2013"/>
      </w:pPr>
      <w:proofErr w:type="gramStart"/>
      <w:r w:rsidRPr="00A7356B">
        <w:t>Our estimates from the FE (7)</w:t>
      </w:r>
      <w:r w:rsidR="00BC44B4">
        <w:t xml:space="preserve"> in </w:t>
      </w:r>
      <w:r w:rsidR="00501785">
        <w:t>2</w:t>
      </w:r>
      <w:r w:rsidRPr="00A7356B">
        <w:t xml:space="preserve"> </w:t>
      </w:r>
      <w:r w:rsidR="00BC44B4">
        <w:t>show</w:t>
      </w:r>
      <w:r w:rsidRPr="00A7356B">
        <w:t xml:space="preserve"> that </w:t>
      </w:r>
      <w:r w:rsidR="00531430" w:rsidRPr="00A7356B">
        <w:t>the technological gap</w:t>
      </w:r>
      <w:r w:rsidRPr="00A7356B">
        <w:t xml:space="preserve"> is statistically and economically significant.</w:t>
      </w:r>
      <w:proofErr w:type="gramEnd"/>
      <w:r w:rsidRPr="00A7356B">
        <w:t xml:space="preserve"> For each variety that a producing country doesn’t grant approval for any reason, trade will decrease by 16.4% on average. Looking at the coefficients of HMR-I (3) we can say that impacts can be even larger – 3.4% in the </w:t>
      </w:r>
      <w:r w:rsidR="00531430" w:rsidRPr="00A7356B">
        <w:t>extensive margin</w:t>
      </w:r>
      <w:r w:rsidRPr="00A7356B">
        <w:t xml:space="preserve"> and 22.2% in the </w:t>
      </w:r>
      <w:r w:rsidR="00531430" w:rsidRPr="00A7356B">
        <w:t>intensive margin.</w:t>
      </w:r>
      <w:r w:rsidR="00BC44B4">
        <w:t xml:space="preserve"> </w:t>
      </w:r>
      <w:r w:rsidRPr="00A7356B">
        <w:t xml:space="preserve">Interestingly, the demand lag will have a very similar impact. A difference in approved varieties between exporting and importing countries will decrease trade by 16%. HMR-I (3) also returns greater coefficients - 2.1% decreases in the </w:t>
      </w:r>
      <w:r w:rsidR="00561550" w:rsidRPr="00A7356B">
        <w:t>extensive</w:t>
      </w:r>
      <w:r w:rsidRPr="00A7356B">
        <w:t xml:space="preserve"> and 24.9% in </w:t>
      </w:r>
      <w:r w:rsidR="00561550" w:rsidRPr="00A7356B">
        <w:t>the intensive margins</w:t>
      </w:r>
      <w:r w:rsidRPr="00A7356B">
        <w:t xml:space="preserve">. </w:t>
      </w:r>
    </w:p>
    <w:p w14:paraId="39D0B2DB" w14:textId="670183F9" w:rsidR="000E4EF5" w:rsidRPr="00A7356B" w:rsidRDefault="000E4EF5" w:rsidP="00231F38">
      <w:pPr>
        <w:pStyle w:val="ANPEC2013"/>
      </w:pPr>
      <w:r w:rsidRPr="00A7356B">
        <w:t xml:space="preserve">The similarity of the impacts of both variables </w:t>
      </w:r>
      <w:r w:rsidR="00561550" w:rsidRPr="00A7356B">
        <w:t>may be an</w:t>
      </w:r>
      <w:r w:rsidRPr="00A7356B">
        <w:t xml:space="preserve"> indication of the existence of certain market rationality in approving new varieties, which balances opportunity costs of not approving new and better varieties, and the commercial risks involved in adopting too many varieties in the context of </w:t>
      </w:r>
      <w:r w:rsidR="00BC44B4">
        <w:t>certain level of technology “hatred”</w:t>
      </w:r>
      <w:r w:rsidRPr="00A7356B">
        <w:t xml:space="preserve">. </w:t>
      </w:r>
    </w:p>
    <w:p w14:paraId="096EEF51" w14:textId="5657FDD2" w:rsidR="000E4EF5" w:rsidRPr="00A7356B" w:rsidRDefault="000E4EF5" w:rsidP="00231F38">
      <w:pPr>
        <w:pStyle w:val="ANPEC2013"/>
      </w:pPr>
      <w:r w:rsidRPr="00A7356B">
        <w:t xml:space="preserve">Notwithstanding, the technological advance and development of new and better varieties considerably </w:t>
      </w:r>
      <w:r w:rsidR="00955F96" w:rsidRPr="00A7356B">
        <w:t xml:space="preserve">increased </w:t>
      </w:r>
      <w:r w:rsidRPr="00A7356B">
        <w:t xml:space="preserve">the opportunity costs of non-adoption. From a more evolutionary perspective, very high opportunity costs can make an advantage of an innovator irreversible. In other words, in the absence of non-technological advantages if a proved better technology is available and adopted by other producing countries, the late-mover can fail to catch-up, loosing significant shares of the market or even leaving the marketplace. </w:t>
      </w:r>
    </w:p>
    <w:p w14:paraId="7FDF9D76" w14:textId="4030C6FE" w:rsidR="000E4EF5" w:rsidRPr="00A7356B" w:rsidRDefault="000E4EF5" w:rsidP="00231F38">
      <w:pPr>
        <w:pStyle w:val="ANPEC2013"/>
      </w:pPr>
      <w:r w:rsidRPr="00A7356B">
        <w:t>In sum, at the same time countries with more similar pace of approvals – smaller demand-lags – tend to trade more (extensive</w:t>
      </w:r>
      <w:r w:rsidR="00955F96" w:rsidRPr="00A7356B">
        <w:t>ly</w:t>
      </w:r>
      <w:r w:rsidRPr="00A7356B">
        <w:t xml:space="preserve"> and intensive</w:t>
      </w:r>
      <w:r w:rsidR="00955F96" w:rsidRPr="00A7356B">
        <w:t xml:space="preserve">ly), </w:t>
      </w:r>
      <w:r w:rsidRPr="00A7356B">
        <w:t>there are opportunity costs of not approving better varieties that can decrease trade</w:t>
      </w:r>
      <w:r w:rsidR="00955F96" w:rsidRPr="00A7356B">
        <w:t xml:space="preserve"> at the same time</w:t>
      </w:r>
      <w:r w:rsidRPr="00A7356B">
        <w:t xml:space="preserve">. In other others, we are saying that countries faced a kind of technological trade-off in deciding about adoption under technology rejection. </w:t>
      </w:r>
    </w:p>
    <w:p w14:paraId="36E3869A" w14:textId="2B6BE8E2" w:rsidR="000E4EF5" w:rsidRPr="00A7356B" w:rsidRDefault="000E4EF5" w:rsidP="00824A52">
      <w:pPr>
        <w:pStyle w:val="T1Tese"/>
        <w:numPr>
          <w:ilvl w:val="0"/>
          <w:numId w:val="41"/>
        </w:numPr>
        <w:rPr>
          <w:rFonts w:ascii="Times" w:hAnsi="Times"/>
          <w:lang w:val="en-US"/>
        </w:rPr>
      </w:pPr>
      <w:bookmarkStart w:id="6" w:name="_Toc318840708"/>
      <w:r w:rsidRPr="00A7356B">
        <w:rPr>
          <w:rFonts w:ascii="Times" w:hAnsi="Times"/>
          <w:lang w:val="en-US"/>
        </w:rPr>
        <w:t>Conclusions</w:t>
      </w:r>
      <w:bookmarkEnd w:id="6"/>
    </w:p>
    <w:p w14:paraId="59C17BF7" w14:textId="1A3A580C" w:rsidR="000E4EF5" w:rsidRPr="00A7356B" w:rsidRDefault="000E4EF5" w:rsidP="00231F38">
      <w:pPr>
        <w:pStyle w:val="ANPEC2013"/>
      </w:pPr>
      <w:r w:rsidRPr="00A7356B">
        <w:t xml:space="preserve">The central aim of this </w:t>
      </w:r>
      <w:r w:rsidR="0021722C" w:rsidRPr="00A7356B">
        <w:t>paper</w:t>
      </w:r>
      <w:r w:rsidRPr="00A7356B">
        <w:t xml:space="preserve"> was to study the relationship of technological gap and demand lag on bilateral trade under high levels of “hatred” toward the “new” product. The case of GM-soy</w:t>
      </w:r>
      <w:r w:rsidR="00700D27">
        <w:t>bean</w:t>
      </w:r>
      <w:r w:rsidRPr="00A7356B">
        <w:t xml:space="preserve"> is a </w:t>
      </w:r>
      <w:r w:rsidR="009E15AA" w:rsidRPr="00A7356B">
        <w:t>suitable</w:t>
      </w:r>
      <w:r w:rsidRPr="00A7356B">
        <w:t xml:space="preserve"> experiment, since both the adoption rate in producing countries and the acceptance of the “new” product in international markets were asymmetric and asynchronous across time and countries. Moreover, the production and consumption of soybeans are concentrated at country level, mitigating </w:t>
      </w:r>
      <w:r w:rsidR="00700D27">
        <w:t>problems related to</w:t>
      </w:r>
      <w:r w:rsidRPr="00A7356B">
        <w:t xml:space="preserve"> the lack of disaggregated </w:t>
      </w:r>
      <w:r w:rsidR="00700D27">
        <w:t>data of trade on</w:t>
      </w:r>
      <w:r w:rsidRPr="00A7356B">
        <w:t xml:space="preserve"> conventional and GM grains. </w:t>
      </w:r>
    </w:p>
    <w:p w14:paraId="6EBDAAFD" w14:textId="5DA2AC12" w:rsidR="000E4EF5" w:rsidRPr="00A7356B" w:rsidRDefault="000E4EF5" w:rsidP="00231F38">
      <w:pPr>
        <w:pStyle w:val="ANPEC2013"/>
      </w:pPr>
      <w:r w:rsidRPr="00A7356B">
        <w:t xml:space="preserve">In the international arena, Brazil, United States, Argentina at the supply side, and China and the EU countries at the demand side, </w:t>
      </w:r>
      <w:proofErr w:type="gramStart"/>
      <w:r w:rsidRPr="00A7356B">
        <w:t>are</w:t>
      </w:r>
      <w:proofErr w:type="gramEnd"/>
      <w:r w:rsidRPr="00A7356B">
        <w:t xml:space="preserve"> the protagonists of the </w:t>
      </w:r>
      <w:r w:rsidR="009E15AA" w:rsidRPr="00A7356B">
        <w:t>history</w:t>
      </w:r>
      <w:r w:rsidRPr="00A7356B">
        <w:t xml:space="preserve"> of trade</w:t>
      </w:r>
      <w:r w:rsidR="009E15AA" w:rsidRPr="00A7356B">
        <w:t xml:space="preserve"> in soybeans</w:t>
      </w:r>
      <w:r w:rsidRPr="00A7356B">
        <w:t xml:space="preserve">. Brazil adopted the technology ten years after </w:t>
      </w:r>
      <w:r w:rsidR="009E15AA" w:rsidRPr="00A7356B">
        <w:t>growers in</w:t>
      </w:r>
      <w:r w:rsidRPr="00A7356B">
        <w:t xml:space="preserve"> U.S. and Argentina planted their first genetically modified seeds. On the other hand the EU members, the second largest destination of soybeans, developed </w:t>
      </w:r>
      <w:r w:rsidR="009E15AA" w:rsidRPr="00A7356B">
        <w:t>high levels of technology hatred</w:t>
      </w:r>
      <w:r w:rsidRPr="00A7356B">
        <w:t>. Yet, China hasn’t raised significant bans against the consumption of GMOs, being an important player to mitigate commercial risks.</w:t>
      </w:r>
    </w:p>
    <w:p w14:paraId="5AFB3F93" w14:textId="059735F4" w:rsidR="000E4EF5" w:rsidRPr="00A7356B" w:rsidRDefault="000E4EF5" w:rsidP="00231F38">
      <w:pPr>
        <w:pStyle w:val="ANPEC2013"/>
      </w:pPr>
      <w:r w:rsidRPr="00A7356B">
        <w:t xml:space="preserve">Considering the underlying idea of technology differences creating comparative advantages, the theory of firm heterogeneity and the central concepts of demand lag and technological gap, we structured a model in which bilateral trade is a function of sizes, variable and fixed costs of trade and technological variables. The </w:t>
      </w:r>
      <w:r w:rsidR="00700D27">
        <w:t>inclusion of the technology-gap</w:t>
      </w:r>
      <w:r w:rsidRPr="00A7356B">
        <w:t xml:space="preserve"> is our ma</w:t>
      </w:r>
      <w:r w:rsidR="00700D27">
        <w:t>jor</w:t>
      </w:r>
      <w:r w:rsidRPr="00A7356B">
        <w:t xml:space="preserve"> contribution in the matter of correct specification of empirical models. Without this control, the analysis is partial, since </w:t>
      </w:r>
      <w:r w:rsidR="000B2865" w:rsidRPr="00A7356B">
        <w:t>technology hatred</w:t>
      </w:r>
      <w:r w:rsidRPr="00A7356B">
        <w:t xml:space="preserve"> is not verified in everywhere. </w:t>
      </w:r>
    </w:p>
    <w:p w14:paraId="73C2D612" w14:textId="39A835D6" w:rsidR="000E4EF5" w:rsidRPr="00A7356B" w:rsidRDefault="000E4EF5" w:rsidP="00231F38">
      <w:pPr>
        <w:pStyle w:val="ANPEC2013"/>
      </w:pPr>
      <w:r w:rsidRPr="00A7356B">
        <w:t>We found that both the technological gap and the demand lag had significant impacts on trade. Impacts can be seen in the extensive and intensive margin</w:t>
      </w:r>
      <w:r w:rsidR="00FD5A10">
        <w:t>s</w:t>
      </w:r>
      <w:r w:rsidRPr="00A7356B">
        <w:t xml:space="preserve">. </w:t>
      </w:r>
    </w:p>
    <w:p w14:paraId="149B716B" w14:textId="77777777" w:rsidR="000E4EF5" w:rsidRPr="00A7356B" w:rsidRDefault="000E4EF5" w:rsidP="00231F38">
      <w:pPr>
        <w:pStyle w:val="ANPEC2013"/>
      </w:pPr>
      <w:r w:rsidRPr="00A7356B">
        <w:t xml:space="preserve">We believe results can contribute to better designs of technological and trade policies, since they provide a broader perspective of technological effects on trade. We also believe that other similar cases marked by technological frictions can emerge at anytime, as the “preference for technology” seems to be a structural change in consumption patterns. </w:t>
      </w:r>
    </w:p>
    <w:p w14:paraId="2A5AD988" w14:textId="77777777" w:rsidR="000E4EF5" w:rsidRPr="00A7356B" w:rsidRDefault="000E4EF5" w:rsidP="00231F38">
      <w:pPr>
        <w:pStyle w:val="ANPEC2013"/>
      </w:pPr>
      <w:r w:rsidRPr="00A7356B">
        <w:t xml:space="preserve">The increased concern about the production means and their relation with ethical, environmental, social and economic factors will likely increase trade conflicts if multilateral bodies have reduced coordination power – as seen in the case of modern biotechnology and trade. Clearly, agriculture is the sector to which impacts tend to be more noteworthy, given the especial features faced by this sector, as intense competition in international markets and increased concern of consumers about food safety. </w:t>
      </w:r>
    </w:p>
    <w:p w14:paraId="32182E50" w14:textId="5F6BB170" w:rsidR="00D73118" w:rsidRPr="00A7356B" w:rsidRDefault="00FD5A10" w:rsidP="00231F38">
      <w:pPr>
        <w:pStyle w:val="ANPEC2013"/>
      </w:pPr>
      <w:r>
        <w:t>Lastly</w:t>
      </w:r>
      <w:r w:rsidR="000E4EF5" w:rsidRPr="00A7356B">
        <w:t xml:space="preserve">, future research on the relationship of technological change and trade is needed to advance in theoretical developments, especially to relax some of the strong assumptions on consumer behavior. Empirical studies of other products and industries is also required to investigate if this effect is particular to agricultural goods subjected to commercialization approval, or the technological effects can be thought from a more general perspective. </w:t>
      </w:r>
    </w:p>
    <w:p w14:paraId="1BA05E3F" w14:textId="77777777" w:rsidR="00105B2E" w:rsidRPr="00A7356B" w:rsidRDefault="00105B2E" w:rsidP="00231F38">
      <w:pPr>
        <w:pStyle w:val="ANPEC2013"/>
      </w:pPr>
    </w:p>
    <w:p w14:paraId="724C5E84" w14:textId="77777777" w:rsidR="00105B2E" w:rsidRDefault="00105B2E" w:rsidP="00231F38">
      <w:pPr>
        <w:pStyle w:val="ANPEC2013"/>
      </w:pPr>
    </w:p>
    <w:p w14:paraId="7C690D9D" w14:textId="77777777" w:rsidR="00A72E34" w:rsidRDefault="00A72E34" w:rsidP="00231F38">
      <w:pPr>
        <w:pStyle w:val="ANPEC2013"/>
      </w:pPr>
    </w:p>
    <w:p w14:paraId="653C4A20" w14:textId="77777777" w:rsidR="00A72E34" w:rsidRDefault="00A72E34" w:rsidP="00231F38">
      <w:pPr>
        <w:pStyle w:val="ANPEC2013"/>
      </w:pPr>
    </w:p>
    <w:p w14:paraId="54F4A4D6" w14:textId="77777777" w:rsidR="00A72E34" w:rsidRDefault="00A72E34" w:rsidP="00231F38">
      <w:pPr>
        <w:pStyle w:val="ANPEC2013"/>
      </w:pPr>
    </w:p>
    <w:p w14:paraId="48647F35" w14:textId="77777777" w:rsidR="00A72E34" w:rsidRDefault="00A72E34" w:rsidP="00231F38">
      <w:pPr>
        <w:pStyle w:val="ANPEC2013"/>
      </w:pPr>
    </w:p>
    <w:p w14:paraId="5F528FB4" w14:textId="77777777" w:rsidR="00BF27E3" w:rsidRDefault="00BF27E3" w:rsidP="00231F38">
      <w:pPr>
        <w:pStyle w:val="ANPEC2013"/>
      </w:pPr>
    </w:p>
    <w:p w14:paraId="7D5FE22D" w14:textId="77777777" w:rsidR="00BF27E3" w:rsidRDefault="00BF27E3" w:rsidP="00231F38">
      <w:pPr>
        <w:pStyle w:val="ANPEC2013"/>
      </w:pPr>
    </w:p>
    <w:p w14:paraId="6274C6DD" w14:textId="77777777" w:rsidR="00BF27E3" w:rsidRDefault="00BF27E3" w:rsidP="00231F38">
      <w:pPr>
        <w:pStyle w:val="ANPEC2013"/>
      </w:pPr>
    </w:p>
    <w:p w14:paraId="34FE097E" w14:textId="77777777" w:rsidR="00BF27E3" w:rsidRDefault="00BF27E3" w:rsidP="00231F38">
      <w:pPr>
        <w:pStyle w:val="ANPEC2013"/>
      </w:pPr>
    </w:p>
    <w:p w14:paraId="10BEEE42" w14:textId="77777777" w:rsidR="00BF27E3" w:rsidRDefault="00BF27E3" w:rsidP="00231F38">
      <w:pPr>
        <w:pStyle w:val="ANPEC2013"/>
      </w:pPr>
    </w:p>
    <w:p w14:paraId="07C71865" w14:textId="77777777" w:rsidR="00BF27E3" w:rsidRDefault="00BF27E3" w:rsidP="00231F38">
      <w:pPr>
        <w:pStyle w:val="ANPEC2013"/>
      </w:pPr>
    </w:p>
    <w:p w14:paraId="7BFF99ED" w14:textId="77777777" w:rsidR="00BF27E3" w:rsidRDefault="00BF27E3" w:rsidP="00231F38">
      <w:pPr>
        <w:pStyle w:val="ANPEC2013"/>
      </w:pPr>
    </w:p>
    <w:p w14:paraId="17C124FE" w14:textId="77777777" w:rsidR="00BF27E3" w:rsidRDefault="00BF27E3" w:rsidP="00231F38">
      <w:pPr>
        <w:pStyle w:val="ANPEC2013"/>
      </w:pPr>
    </w:p>
    <w:p w14:paraId="67B4DC8B" w14:textId="77777777" w:rsidR="00BF27E3" w:rsidRDefault="00BF27E3" w:rsidP="00231F38">
      <w:pPr>
        <w:pStyle w:val="ANPEC2013"/>
      </w:pPr>
    </w:p>
    <w:p w14:paraId="207DAA26" w14:textId="77777777" w:rsidR="00BF27E3" w:rsidRDefault="00BF27E3" w:rsidP="00231F38">
      <w:pPr>
        <w:pStyle w:val="ANPEC2013"/>
      </w:pPr>
    </w:p>
    <w:p w14:paraId="0FF52BA1" w14:textId="77777777" w:rsidR="00BF27E3" w:rsidRDefault="00BF27E3" w:rsidP="00231F38">
      <w:pPr>
        <w:pStyle w:val="ANPEC2013"/>
      </w:pPr>
    </w:p>
    <w:p w14:paraId="4B977F54" w14:textId="77777777" w:rsidR="00BF27E3" w:rsidRDefault="00BF27E3" w:rsidP="00231F38">
      <w:pPr>
        <w:pStyle w:val="ANPEC2013"/>
      </w:pPr>
    </w:p>
    <w:p w14:paraId="0DFC8A11" w14:textId="77777777" w:rsidR="00BF27E3" w:rsidRDefault="00BF27E3" w:rsidP="00231F38">
      <w:pPr>
        <w:pStyle w:val="ANPEC2013"/>
      </w:pPr>
    </w:p>
    <w:p w14:paraId="2C496BC5" w14:textId="77777777" w:rsidR="00BF27E3" w:rsidRDefault="00BF27E3" w:rsidP="00231F38">
      <w:pPr>
        <w:pStyle w:val="ANPEC2013"/>
      </w:pPr>
    </w:p>
    <w:p w14:paraId="17B823E2" w14:textId="77777777" w:rsidR="00BF27E3" w:rsidRDefault="00BF27E3" w:rsidP="00231F38">
      <w:pPr>
        <w:pStyle w:val="ANPEC2013"/>
      </w:pPr>
    </w:p>
    <w:p w14:paraId="0E455B3D" w14:textId="77777777" w:rsidR="00BF27E3" w:rsidRDefault="00BF27E3" w:rsidP="00231F38">
      <w:pPr>
        <w:pStyle w:val="ANPEC2013"/>
      </w:pPr>
    </w:p>
    <w:p w14:paraId="15C9E73D" w14:textId="77777777" w:rsidR="00BF27E3" w:rsidRDefault="00BF27E3" w:rsidP="00231F38">
      <w:pPr>
        <w:pStyle w:val="ANPEC2013"/>
      </w:pPr>
    </w:p>
    <w:p w14:paraId="7DB8CBD9" w14:textId="77777777" w:rsidR="00BF27E3" w:rsidRDefault="00BF27E3" w:rsidP="00231F38">
      <w:pPr>
        <w:pStyle w:val="ANPEC2013"/>
      </w:pPr>
    </w:p>
    <w:p w14:paraId="357148FB" w14:textId="77777777" w:rsidR="00BF27E3" w:rsidRDefault="00BF27E3" w:rsidP="00231F38">
      <w:pPr>
        <w:pStyle w:val="ANPEC2013"/>
      </w:pPr>
    </w:p>
    <w:p w14:paraId="5609967B" w14:textId="77777777" w:rsidR="00BF27E3" w:rsidRDefault="00BF27E3" w:rsidP="00231F38">
      <w:pPr>
        <w:pStyle w:val="ANPEC2013"/>
      </w:pPr>
    </w:p>
    <w:p w14:paraId="48DEC998" w14:textId="77777777" w:rsidR="00BF27E3" w:rsidRDefault="00BF27E3" w:rsidP="00231F38">
      <w:pPr>
        <w:pStyle w:val="ANPEC2013"/>
      </w:pPr>
    </w:p>
    <w:p w14:paraId="25E8AF0D" w14:textId="77777777" w:rsidR="00BF27E3" w:rsidRDefault="00BF27E3" w:rsidP="00231F38">
      <w:pPr>
        <w:pStyle w:val="ANPEC2013"/>
      </w:pPr>
    </w:p>
    <w:p w14:paraId="6A904F9A" w14:textId="77777777" w:rsidR="00BF27E3" w:rsidRDefault="00BF27E3" w:rsidP="00231F38">
      <w:pPr>
        <w:pStyle w:val="ANPEC2013"/>
      </w:pPr>
    </w:p>
    <w:p w14:paraId="3D4AA488" w14:textId="77777777" w:rsidR="00BF27E3" w:rsidRDefault="00BF27E3" w:rsidP="00231F38">
      <w:pPr>
        <w:pStyle w:val="ANPEC2013"/>
      </w:pPr>
    </w:p>
    <w:p w14:paraId="7396CA39" w14:textId="77777777" w:rsidR="00BF27E3" w:rsidRDefault="00BF27E3" w:rsidP="00231F38">
      <w:pPr>
        <w:pStyle w:val="ANPEC2013"/>
      </w:pPr>
    </w:p>
    <w:p w14:paraId="7AD8DE38" w14:textId="77777777" w:rsidR="00BF27E3" w:rsidRDefault="00BF27E3" w:rsidP="00231F38">
      <w:pPr>
        <w:pStyle w:val="ANPEC2013"/>
      </w:pPr>
    </w:p>
    <w:p w14:paraId="6CD211BD" w14:textId="77777777" w:rsidR="00BF27E3" w:rsidRDefault="00BF27E3" w:rsidP="00231F38">
      <w:pPr>
        <w:pStyle w:val="ANPEC2013"/>
      </w:pPr>
    </w:p>
    <w:p w14:paraId="51FF6231" w14:textId="77777777" w:rsidR="00BF27E3" w:rsidRDefault="00BF27E3" w:rsidP="00231F38">
      <w:pPr>
        <w:pStyle w:val="ANPEC2013"/>
      </w:pPr>
    </w:p>
    <w:p w14:paraId="4D66C63F" w14:textId="77777777" w:rsidR="00BF27E3" w:rsidRDefault="00BF27E3" w:rsidP="00231F38">
      <w:pPr>
        <w:pStyle w:val="ANPEC2013"/>
      </w:pPr>
    </w:p>
    <w:p w14:paraId="7AD02D8F" w14:textId="77777777" w:rsidR="00BF27E3" w:rsidRDefault="00BF27E3" w:rsidP="00231F38">
      <w:pPr>
        <w:pStyle w:val="ANPEC2013"/>
      </w:pPr>
    </w:p>
    <w:p w14:paraId="1F70BC84" w14:textId="77777777" w:rsidR="00BF27E3" w:rsidRDefault="00BF27E3" w:rsidP="00231F38">
      <w:pPr>
        <w:pStyle w:val="ANPEC2013"/>
      </w:pPr>
    </w:p>
    <w:p w14:paraId="42FCC747" w14:textId="77777777" w:rsidR="00BF27E3" w:rsidRDefault="00BF27E3" w:rsidP="00231F38">
      <w:pPr>
        <w:pStyle w:val="ANPEC2013"/>
      </w:pPr>
    </w:p>
    <w:p w14:paraId="7675D8E3" w14:textId="77777777" w:rsidR="00BF27E3" w:rsidRDefault="00BF27E3" w:rsidP="00231F38">
      <w:pPr>
        <w:pStyle w:val="ANPEC2013"/>
      </w:pPr>
    </w:p>
    <w:p w14:paraId="220E8476" w14:textId="77777777" w:rsidR="00BF27E3" w:rsidRDefault="00BF27E3" w:rsidP="00231F38">
      <w:pPr>
        <w:pStyle w:val="ANPEC2013"/>
      </w:pPr>
    </w:p>
    <w:p w14:paraId="21FC706C" w14:textId="77777777" w:rsidR="00BF27E3" w:rsidRDefault="00BF27E3" w:rsidP="00231F38">
      <w:pPr>
        <w:pStyle w:val="ANPEC2013"/>
      </w:pPr>
    </w:p>
    <w:p w14:paraId="6C7192A2" w14:textId="77777777" w:rsidR="00BF27E3" w:rsidRDefault="00BF27E3" w:rsidP="00231F38">
      <w:pPr>
        <w:pStyle w:val="ANPEC2013"/>
      </w:pPr>
    </w:p>
    <w:p w14:paraId="1FBBD8D3" w14:textId="77777777" w:rsidR="001269D3" w:rsidRDefault="001269D3" w:rsidP="00231F38">
      <w:pPr>
        <w:pStyle w:val="ANPEC2013"/>
      </w:pPr>
    </w:p>
    <w:p w14:paraId="52D87CCB" w14:textId="77777777" w:rsidR="001269D3" w:rsidRDefault="001269D3" w:rsidP="003E1434">
      <w:pPr>
        <w:pStyle w:val="ANPEC2013"/>
        <w:ind w:firstLine="0"/>
      </w:pPr>
    </w:p>
    <w:p w14:paraId="5270E972" w14:textId="77777777" w:rsidR="00A72E34" w:rsidRPr="00A7356B" w:rsidRDefault="00A72E34" w:rsidP="00231F38">
      <w:pPr>
        <w:pStyle w:val="ANPEC2013"/>
      </w:pPr>
    </w:p>
    <w:p w14:paraId="46C1346A" w14:textId="2F8D7ACB" w:rsidR="00DD3152" w:rsidRPr="00A7356B" w:rsidRDefault="003A5A14" w:rsidP="003A5A14">
      <w:pPr>
        <w:pStyle w:val="T1Tese"/>
        <w:numPr>
          <w:ilvl w:val="0"/>
          <w:numId w:val="0"/>
        </w:numPr>
        <w:rPr>
          <w:rFonts w:ascii="Times" w:hAnsi="Times"/>
          <w:lang w:val="en-US"/>
        </w:rPr>
      </w:pPr>
      <w:bookmarkStart w:id="7" w:name="_Ref318539770"/>
      <w:bookmarkStart w:id="8" w:name="_Ref318562148"/>
      <w:bookmarkStart w:id="9" w:name="_Toc318715245"/>
      <w:r>
        <w:rPr>
          <w:rFonts w:ascii="Times" w:hAnsi="Times"/>
          <w:lang w:val="en-US"/>
        </w:rPr>
        <w:t>Appendix I</w:t>
      </w:r>
    </w:p>
    <w:p w14:paraId="7C849948" w14:textId="2B34D49F" w:rsidR="00047ADA" w:rsidRPr="00A7356B" w:rsidRDefault="00047ADA" w:rsidP="00047ADA">
      <w:pPr>
        <w:pStyle w:val="Caption"/>
      </w:pPr>
      <w:r w:rsidRPr="00A7356B">
        <w:t xml:space="preserve">Box </w:t>
      </w:r>
      <w:r w:rsidR="005008E5">
        <w:fldChar w:fldCharType="begin"/>
      </w:r>
      <w:r w:rsidR="005008E5">
        <w:instrText xml:space="preserve"> SEQ Box \* ARABIC </w:instrText>
      </w:r>
      <w:r w:rsidR="005008E5">
        <w:fldChar w:fldCharType="separate"/>
      </w:r>
      <w:r w:rsidR="003A5A14">
        <w:rPr>
          <w:noProof/>
        </w:rPr>
        <w:t>1</w:t>
      </w:r>
      <w:r w:rsidR="005008E5">
        <w:rPr>
          <w:noProof/>
        </w:rPr>
        <w:fldChar w:fldCharType="end"/>
      </w:r>
      <w:bookmarkEnd w:id="7"/>
      <w:r w:rsidRPr="00A7356B">
        <w:t>– Model’s Variables Description</w:t>
      </w:r>
      <w:bookmarkEnd w:id="8"/>
      <w:bookmarkEnd w:id="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0"/>
        <w:gridCol w:w="6317"/>
        <w:gridCol w:w="2091"/>
      </w:tblGrid>
      <w:tr w:rsidR="00047ADA" w:rsidRPr="00A7356B" w14:paraId="1EE6D21B" w14:textId="77777777" w:rsidTr="00047ADA">
        <w:tc>
          <w:tcPr>
            <w:tcW w:w="874" w:type="pct"/>
            <w:tcMar>
              <w:top w:w="20" w:type="nil"/>
              <w:left w:w="20" w:type="nil"/>
              <w:bottom w:w="20" w:type="nil"/>
              <w:right w:w="20" w:type="nil"/>
            </w:tcMar>
            <w:vAlign w:val="center"/>
          </w:tcPr>
          <w:p w14:paraId="05F96535" w14:textId="77777777" w:rsidR="00047ADA" w:rsidRPr="00A7356B" w:rsidRDefault="00047ADA" w:rsidP="00047ADA">
            <w:pPr>
              <w:widowControl w:val="0"/>
              <w:autoSpaceDE w:val="0"/>
              <w:autoSpaceDN w:val="0"/>
              <w:adjustRightInd w:val="0"/>
              <w:jc w:val="center"/>
              <w:rPr>
                <w:rFonts w:ascii="Times" w:hAnsi="Times" w:cs="Times"/>
                <w:b/>
                <w:sz w:val="18"/>
                <w:szCs w:val="18"/>
                <w:lang w:val="en-US"/>
              </w:rPr>
            </w:pPr>
            <w:r w:rsidRPr="00A7356B">
              <w:rPr>
                <w:rFonts w:ascii="Times" w:hAnsi="Times" w:cs="Times"/>
                <w:b/>
                <w:sz w:val="18"/>
                <w:szCs w:val="18"/>
                <w:lang w:val="en-US"/>
              </w:rPr>
              <w:t>Variable Name</w:t>
            </w:r>
          </w:p>
        </w:tc>
        <w:tc>
          <w:tcPr>
            <w:tcW w:w="3100" w:type="pct"/>
          </w:tcPr>
          <w:p w14:paraId="4BAC5415" w14:textId="77777777" w:rsidR="00047ADA" w:rsidRPr="00A7356B" w:rsidRDefault="00047ADA" w:rsidP="00047ADA">
            <w:pPr>
              <w:widowControl w:val="0"/>
              <w:autoSpaceDE w:val="0"/>
              <w:autoSpaceDN w:val="0"/>
              <w:adjustRightInd w:val="0"/>
              <w:jc w:val="center"/>
              <w:rPr>
                <w:rFonts w:ascii="Times" w:hAnsi="Times" w:cs="Times"/>
                <w:b/>
                <w:sz w:val="18"/>
                <w:szCs w:val="18"/>
                <w:lang w:val="en-US"/>
              </w:rPr>
            </w:pPr>
            <w:r w:rsidRPr="00A7356B">
              <w:rPr>
                <w:rFonts w:ascii="Times" w:hAnsi="Times" w:cs="Times"/>
                <w:b/>
                <w:sz w:val="18"/>
                <w:szCs w:val="18"/>
                <w:lang w:val="en-US"/>
              </w:rPr>
              <w:t xml:space="preserve">Description </w:t>
            </w:r>
          </w:p>
        </w:tc>
        <w:tc>
          <w:tcPr>
            <w:tcW w:w="1026" w:type="pct"/>
          </w:tcPr>
          <w:p w14:paraId="2D227B74" w14:textId="77777777" w:rsidR="00047ADA" w:rsidRPr="00A7356B" w:rsidRDefault="00047ADA" w:rsidP="00047ADA">
            <w:pPr>
              <w:widowControl w:val="0"/>
              <w:autoSpaceDE w:val="0"/>
              <w:autoSpaceDN w:val="0"/>
              <w:adjustRightInd w:val="0"/>
              <w:jc w:val="center"/>
              <w:rPr>
                <w:rFonts w:ascii="Times" w:hAnsi="Times" w:cs="Times"/>
                <w:b/>
                <w:sz w:val="18"/>
                <w:szCs w:val="18"/>
                <w:lang w:val="en-US"/>
              </w:rPr>
            </w:pPr>
            <w:r w:rsidRPr="00A7356B">
              <w:rPr>
                <w:rFonts w:ascii="Times" w:hAnsi="Times" w:cs="Times"/>
                <w:b/>
                <w:sz w:val="18"/>
                <w:szCs w:val="18"/>
                <w:lang w:val="en-US"/>
              </w:rPr>
              <w:t>Source</w:t>
            </w:r>
          </w:p>
        </w:tc>
      </w:tr>
      <w:tr w:rsidR="00047ADA" w:rsidRPr="00A7356B" w14:paraId="0FADD41D" w14:textId="77777777" w:rsidTr="00047ADA">
        <w:tc>
          <w:tcPr>
            <w:tcW w:w="874" w:type="pct"/>
            <w:tcMar>
              <w:top w:w="20" w:type="nil"/>
              <w:left w:w="20" w:type="nil"/>
              <w:bottom w:w="20" w:type="nil"/>
              <w:right w:w="20" w:type="nil"/>
            </w:tcMar>
            <w:vAlign w:val="center"/>
          </w:tcPr>
          <w:p w14:paraId="18171BCB"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r w:rsidRPr="00A7356B">
              <w:rPr>
                <w:rFonts w:ascii="Times" w:hAnsi="Times" w:cs="Times"/>
                <w:sz w:val="18"/>
                <w:szCs w:val="18"/>
                <w:lang w:val="en-US"/>
              </w:rPr>
              <w:t>Bilateral Trade</w:t>
            </w:r>
          </w:p>
        </w:tc>
        <w:tc>
          <w:tcPr>
            <w:tcW w:w="3100" w:type="pct"/>
          </w:tcPr>
          <w:p w14:paraId="4992073F" w14:textId="77777777" w:rsidR="00047ADA" w:rsidRPr="00A7356B" w:rsidRDefault="00047ADA" w:rsidP="00047ADA">
            <w:pPr>
              <w:widowControl w:val="0"/>
              <w:autoSpaceDE w:val="0"/>
              <w:autoSpaceDN w:val="0"/>
              <w:adjustRightInd w:val="0"/>
              <w:jc w:val="both"/>
              <w:rPr>
                <w:rFonts w:ascii="Times" w:hAnsi="Times" w:cs="Times"/>
                <w:sz w:val="18"/>
                <w:szCs w:val="18"/>
                <w:lang w:val="en-US"/>
              </w:rPr>
            </w:pPr>
            <w:r w:rsidRPr="00A7356B">
              <w:rPr>
                <w:rFonts w:ascii="Times" w:hAnsi="Times" w:cs="Times"/>
                <w:sz w:val="18"/>
                <w:szCs w:val="18"/>
                <w:lang w:val="en-US"/>
              </w:rPr>
              <w:t xml:space="preserve">Natural logarithm of annual exports of soybean (HS6-120100) from country </w:t>
            </w:r>
            <m:oMath>
              <m:r>
                <w:rPr>
                  <w:rFonts w:ascii="Cambria Math" w:hAnsi="Cambria Math" w:cs="Times"/>
                  <w:sz w:val="18"/>
                  <w:szCs w:val="18"/>
                  <w:lang w:val="en-US"/>
                </w:rPr>
                <m:t>j</m:t>
              </m:r>
            </m:oMath>
            <w:r w:rsidRPr="00A7356B">
              <w:rPr>
                <w:rFonts w:ascii="Times" w:hAnsi="Times" w:cs="Times"/>
                <w:sz w:val="18"/>
                <w:szCs w:val="18"/>
                <w:lang w:val="en-US"/>
              </w:rPr>
              <w:t xml:space="preserve"> to country </w:t>
            </w:r>
            <m:oMath>
              <m:r>
                <w:rPr>
                  <w:rFonts w:ascii="Cambria Math" w:hAnsi="Cambria Math" w:cs="Times"/>
                  <w:sz w:val="18"/>
                  <w:szCs w:val="18"/>
                  <w:lang w:val="en-US"/>
                </w:rPr>
                <m:t>i</m:t>
              </m:r>
            </m:oMath>
            <w:r w:rsidRPr="00A7356B">
              <w:rPr>
                <w:rFonts w:ascii="Times" w:hAnsi="Times" w:cs="Times"/>
                <w:sz w:val="18"/>
                <w:szCs w:val="18"/>
                <w:lang w:val="en-US"/>
              </w:rPr>
              <w:t>, calculated from the original variable “v”.</w:t>
            </w:r>
          </w:p>
        </w:tc>
        <w:tc>
          <w:tcPr>
            <w:tcW w:w="1026" w:type="pct"/>
          </w:tcPr>
          <w:p w14:paraId="022CE730"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r w:rsidRPr="00A7356B">
              <w:rPr>
                <w:rFonts w:ascii="Times" w:hAnsi="Times" w:cs="Times"/>
                <w:sz w:val="18"/>
                <w:szCs w:val="18"/>
                <w:lang w:val="en-US"/>
              </w:rPr>
              <w:t>BACI-CEPII</w:t>
            </w:r>
          </w:p>
        </w:tc>
      </w:tr>
      <w:tr w:rsidR="00047ADA" w:rsidRPr="00A7356B" w14:paraId="6FC24BD5" w14:textId="77777777" w:rsidTr="00047ADA">
        <w:tc>
          <w:tcPr>
            <w:tcW w:w="874" w:type="pct"/>
            <w:tcMar>
              <w:top w:w="20" w:type="nil"/>
              <w:left w:w="20" w:type="nil"/>
              <w:bottom w:w="20" w:type="nil"/>
              <w:right w:w="20" w:type="nil"/>
            </w:tcMar>
            <w:vAlign w:val="center"/>
          </w:tcPr>
          <w:p w14:paraId="1AAF0E71"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r w:rsidRPr="00A7356B">
              <w:rPr>
                <w:rFonts w:ascii="Times" w:hAnsi="Times" w:cs="Times"/>
                <w:sz w:val="18"/>
                <w:szCs w:val="18"/>
                <w:lang w:val="en-US"/>
              </w:rPr>
              <w:t xml:space="preserve">Production </w:t>
            </w:r>
          </w:p>
        </w:tc>
        <w:tc>
          <w:tcPr>
            <w:tcW w:w="3100" w:type="pct"/>
          </w:tcPr>
          <w:p w14:paraId="48C9CE7B" w14:textId="77777777" w:rsidR="00047ADA" w:rsidRPr="00A7356B" w:rsidRDefault="00047ADA" w:rsidP="00047ADA">
            <w:pPr>
              <w:widowControl w:val="0"/>
              <w:autoSpaceDE w:val="0"/>
              <w:autoSpaceDN w:val="0"/>
              <w:adjustRightInd w:val="0"/>
              <w:jc w:val="both"/>
              <w:rPr>
                <w:rFonts w:ascii="Times" w:hAnsi="Times" w:cs="Times"/>
                <w:sz w:val="18"/>
                <w:szCs w:val="18"/>
                <w:lang w:val="en-US"/>
              </w:rPr>
            </w:pPr>
            <w:r w:rsidRPr="00A7356B">
              <w:rPr>
                <w:rFonts w:ascii="Times" w:hAnsi="Times" w:cs="Times"/>
                <w:sz w:val="18"/>
                <w:szCs w:val="18"/>
                <w:lang w:val="en-US"/>
              </w:rPr>
              <w:t xml:space="preserve">Natural logarithm of annual outcome of soybean, calculated from the original variable “Production Quantity” given in metric tons. It includes declared and estimated data. </w:t>
            </w:r>
          </w:p>
        </w:tc>
        <w:tc>
          <w:tcPr>
            <w:tcW w:w="1026" w:type="pct"/>
          </w:tcPr>
          <w:p w14:paraId="01031ED4"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r w:rsidRPr="00A7356B">
              <w:rPr>
                <w:rFonts w:ascii="Times" w:hAnsi="Times" w:cs="Times"/>
                <w:sz w:val="18"/>
                <w:szCs w:val="18"/>
                <w:lang w:val="en-US"/>
              </w:rPr>
              <w:t>FAOSTAT</w:t>
            </w:r>
          </w:p>
        </w:tc>
      </w:tr>
      <w:tr w:rsidR="00047ADA" w:rsidRPr="00A7356B" w14:paraId="42F8C7BD" w14:textId="77777777" w:rsidTr="00047ADA">
        <w:tc>
          <w:tcPr>
            <w:tcW w:w="874" w:type="pct"/>
            <w:tcMar>
              <w:top w:w="20" w:type="nil"/>
              <w:left w:w="20" w:type="nil"/>
              <w:bottom w:w="20" w:type="nil"/>
              <w:right w:w="20" w:type="nil"/>
            </w:tcMar>
            <w:vAlign w:val="center"/>
          </w:tcPr>
          <w:p w14:paraId="0BE419A7"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r w:rsidRPr="00A7356B">
              <w:rPr>
                <w:rFonts w:ascii="Times" w:hAnsi="Times" w:cs="Times"/>
                <w:sz w:val="18"/>
                <w:szCs w:val="18"/>
                <w:lang w:val="en-US"/>
              </w:rPr>
              <w:t xml:space="preserve">Consumption </w:t>
            </w:r>
          </w:p>
        </w:tc>
        <w:tc>
          <w:tcPr>
            <w:tcW w:w="3100" w:type="pct"/>
          </w:tcPr>
          <w:p w14:paraId="48B8D0A4" w14:textId="77777777" w:rsidR="00047ADA" w:rsidRPr="00A7356B" w:rsidRDefault="00047ADA" w:rsidP="00047ADA">
            <w:pPr>
              <w:widowControl w:val="0"/>
              <w:autoSpaceDE w:val="0"/>
              <w:autoSpaceDN w:val="0"/>
              <w:adjustRightInd w:val="0"/>
              <w:jc w:val="both"/>
              <w:rPr>
                <w:rFonts w:ascii="Times" w:hAnsi="Times" w:cs="Times"/>
                <w:sz w:val="18"/>
                <w:szCs w:val="18"/>
                <w:lang w:val="en-US"/>
              </w:rPr>
            </w:pPr>
            <w:r w:rsidRPr="00A7356B">
              <w:rPr>
                <w:rFonts w:ascii="Times" w:hAnsi="Times" w:cs="Times"/>
                <w:sz w:val="18"/>
                <w:szCs w:val="18"/>
                <w:lang w:val="en-US"/>
              </w:rPr>
              <w:t>Natural logarithm of annual domestic supply (</w:t>
            </w:r>
            <w:proofErr w:type="spellStart"/>
            <w:r w:rsidRPr="00A7356B">
              <w:rPr>
                <w:rFonts w:ascii="Times" w:hAnsi="Times" w:cs="Times"/>
                <w:sz w:val="18"/>
                <w:szCs w:val="18"/>
                <w:lang w:val="en-US"/>
              </w:rPr>
              <w:t>imports-exports+stocks</w:t>
            </w:r>
            <w:proofErr w:type="spellEnd"/>
            <w:r w:rsidRPr="00A7356B">
              <w:rPr>
                <w:rFonts w:ascii="Times" w:hAnsi="Times" w:cs="Times"/>
                <w:sz w:val="18"/>
                <w:szCs w:val="18"/>
                <w:lang w:val="en-US"/>
              </w:rPr>
              <w:t xml:space="preserve">) of soybeans, including uses as food, feed, seed, processing, waste and others given in metric tons.  </w:t>
            </w:r>
          </w:p>
        </w:tc>
        <w:tc>
          <w:tcPr>
            <w:tcW w:w="1026" w:type="pct"/>
          </w:tcPr>
          <w:p w14:paraId="75290D86"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r w:rsidRPr="00A7356B">
              <w:rPr>
                <w:rFonts w:ascii="Times" w:hAnsi="Times" w:cs="Times"/>
                <w:sz w:val="18"/>
                <w:szCs w:val="18"/>
                <w:lang w:val="en-US"/>
              </w:rPr>
              <w:t>FAOSTAT</w:t>
            </w:r>
          </w:p>
        </w:tc>
      </w:tr>
      <w:tr w:rsidR="00047ADA" w:rsidRPr="00A7356B" w14:paraId="2951A627" w14:textId="77777777" w:rsidTr="00047ADA">
        <w:tc>
          <w:tcPr>
            <w:tcW w:w="874" w:type="pct"/>
            <w:tcMar>
              <w:top w:w="20" w:type="nil"/>
              <w:left w:w="20" w:type="nil"/>
              <w:bottom w:w="20" w:type="nil"/>
              <w:right w:w="20" w:type="nil"/>
            </w:tcMar>
            <w:vAlign w:val="center"/>
          </w:tcPr>
          <w:p w14:paraId="5D137374"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r w:rsidRPr="00A7356B">
              <w:rPr>
                <w:rFonts w:ascii="Times" w:hAnsi="Times" w:cs="Times"/>
                <w:sz w:val="18"/>
                <w:szCs w:val="18"/>
                <w:lang w:val="en-US"/>
              </w:rPr>
              <w:t xml:space="preserve">Distance </w:t>
            </w:r>
          </w:p>
        </w:tc>
        <w:tc>
          <w:tcPr>
            <w:tcW w:w="3100" w:type="pct"/>
          </w:tcPr>
          <w:p w14:paraId="4E410228" w14:textId="77777777" w:rsidR="00047ADA" w:rsidRPr="00A7356B" w:rsidRDefault="00047ADA" w:rsidP="00047ADA">
            <w:pPr>
              <w:widowControl w:val="0"/>
              <w:autoSpaceDE w:val="0"/>
              <w:autoSpaceDN w:val="0"/>
              <w:adjustRightInd w:val="0"/>
              <w:jc w:val="both"/>
              <w:rPr>
                <w:rFonts w:ascii="Times" w:hAnsi="Times" w:cs="Times"/>
                <w:sz w:val="18"/>
                <w:szCs w:val="18"/>
                <w:lang w:val="en-US"/>
              </w:rPr>
            </w:pPr>
            <w:r w:rsidRPr="00A7356B">
              <w:rPr>
                <w:rFonts w:ascii="Times" w:hAnsi="Times" w:cs="Times"/>
                <w:sz w:val="18"/>
                <w:szCs w:val="18"/>
                <w:lang w:val="en-US"/>
              </w:rPr>
              <w:t xml:space="preserve">Natural logarithm of geodesic distances between most populated cities in </w:t>
            </w:r>
            <m:oMath>
              <m:r>
                <w:rPr>
                  <w:rFonts w:ascii="Cambria Math" w:hAnsi="Cambria Math" w:cs="Times"/>
                  <w:sz w:val="18"/>
                  <w:szCs w:val="18"/>
                  <w:lang w:val="en-US"/>
                </w:rPr>
                <m:t>j</m:t>
              </m:r>
            </m:oMath>
            <w:r w:rsidRPr="00A7356B">
              <w:rPr>
                <w:rFonts w:ascii="Times" w:hAnsi="Times" w:cs="Times"/>
                <w:sz w:val="18"/>
                <w:szCs w:val="18"/>
                <w:lang w:val="en-US"/>
              </w:rPr>
              <w:t xml:space="preserve"> and </w:t>
            </w:r>
            <m:oMath>
              <m:r>
                <w:rPr>
                  <w:rFonts w:ascii="Cambria Math" w:hAnsi="Cambria Math" w:cs="Times"/>
                  <w:sz w:val="18"/>
                  <w:szCs w:val="18"/>
                  <w:lang w:val="en-US"/>
                </w:rPr>
                <m:t>i</m:t>
              </m:r>
            </m:oMath>
            <w:r w:rsidRPr="00A7356B">
              <w:rPr>
                <w:rFonts w:ascii="Times" w:hAnsi="Times" w:cs="Times"/>
                <w:sz w:val="18"/>
                <w:szCs w:val="18"/>
                <w:lang w:val="en-US"/>
              </w:rPr>
              <w:t xml:space="preserve">. Distance (or dist in original database) was calculated following the great circle formula. </w:t>
            </w:r>
          </w:p>
        </w:tc>
        <w:tc>
          <w:tcPr>
            <w:tcW w:w="1026" w:type="pct"/>
          </w:tcPr>
          <w:p w14:paraId="2EFC8A48"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proofErr w:type="spellStart"/>
            <w:r w:rsidRPr="00A7356B">
              <w:rPr>
                <w:rFonts w:ascii="Times" w:hAnsi="Times" w:cs="Times"/>
                <w:sz w:val="18"/>
                <w:szCs w:val="18"/>
                <w:lang w:val="en-US"/>
              </w:rPr>
              <w:t>GeoDist</w:t>
            </w:r>
            <w:proofErr w:type="spellEnd"/>
            <w:r w:rsidRPr="00A7356B">
              <w:rPr>
                <w:rFonts w:ascii="Times" w:hAnsi="Times" w:cs="Times"/>
                <w:sz w:val="18"/>
                <w:szCs w:val="18"/>
                <w:lang w:val="en-US"/>
              </w:rPr>
              <w:t xml:space="preserve"> -CEPII</w:t>
            </w:r>
          </w:p>
        </w:tc>
      </w:tr>
      <w:tr w:rsidR="00047ADA" w:rsidRPr="00A7356B" w14:paraId="691B010E" w14:textId="77777777" w:rsidTr="00047ADA">
        <w:tc>
          <w:tcPr>
            <w:tcW w:w="874" w:type="pct"/>
            <w:tcMar>
              <w:top w:w="20" w:type="nil"/>
              <w:left w:w="20" w:type="nil"/>
              <w:bottom w:w="20" w:type="nil"/>
              <w:right w:w="20" w:type="nil"/>
            </w:tcMar>
            <w:vAlign w:val="center"/>
          </w:tcPr>
          <w:p w14:paraId="3C5FF046"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r w:rsidRPr="00A7356B">
              <w:rPr>
                <w:rFonts w:ascii="Times" w:hAnsi="Times" w:cs="Times"/>
                <w:sz w:val="18"/>
                <w:szCs w:val="18"/>
                <w:lang w:val="en-US"/>
              </w:rPr>
              <w:t>Land Border</w:t>
            </w:r>
          </w:p>
        </w:tc>
        <w:tc>
          <w:tcPr>
            <w:tcW w:w="3100" w:type="pct"/>
          </w:tcPr>
          <w:p w14:paraId="4791798F" w14:textId="77777777" w:rsidR="00047ADA" w:rsidRPr="00A7356B" w:rsidRDefault="00047ADA" w:rsidP="00047ADA">
            <w:pPr>
              <w:widowControl w:val="0"/>
              <w:autoSpaceDE w:val="0"/>
              <w:autoSpaceDN w:val="0"/>
              <w:adjustRightInd w:val="0"/>
              <w:jc w:val="both"/>
              <w:rPr>
                <w:rFonts w:ascii="Times" w:hAnsi="Times" w:cs="Times"/>
                <w:sz w:val="18"/>
                <w:szCs w:val="18"/>
                <w:lang w:val="en-US"/>
              </w:rPr>
            </w:pPr>
            <w:r w:rsidRPr="00A7356B">
              <w:rPr>
                <w:rFonts w:ascii="Times" w:hAnsi="Times" w:cs="Times"/>
                <w:sz w:val="18"/>
                <w:szCs w:val="18"/>
                <w:lang w:val="en-US"/>
              </w:rPr>
              <w:t>Dummy variable assuming value 1 if</w:t>
            </w:r>
            <w:r w:rsidRPr="00A7356B">
              <w:rPr>
                <w:rFonts w:ascii="Times" w:hAnsi="Times" w:cs="Times"/>
                <w:i/>
                <w:sz w:val="18"/>
                <w:szCs w:val="18"/>
                <w:lang w:val="en-US"/>
              </w:rPr>
              <w:t xml:space="preserve"> </w:t>
            </w:r>
            <m:oMath>
              <m:r>
                <w:rPr>
                  <w:rFonts w:ascii="Cambria Math" w:hAnsi="Cambria Math" w:cs="Times"/>
                  <w:sz w:val="18"/>
                  <w:szCs w:val="18"/>
                  <w:lang w:val="en-US"/>
                </w:rPr>
                <m:t>i</m:t>
              </m:r>
            </m:oMath>
            <w:r w:rsidRPr="00A7356B">
              <w:rPr>
                <w:rFonts w:ascii="Times" w:hAnsi="Times" w:cs="Times"/>
                <w:sz w:val="18"/>
                <w:szCs w:val="18"/>
                <w:lang w:val="en-US"/>
              </w:rPr>
              <w:t xml:space="preserve"> and </w:t>
            </w:r>
            <m:oMath>
              <m:r>
                <w:rPr>
                  <w:rFonts w:ascii="Cambria Math" w:hAnsi="Cambria Math" w:cs="Times"/>
                  <w:sz w:val="18"/>
                  <w:szCs w:val="18"/>
                  <w:lang w:val="en-US"/>
                </w:rPr>
                <m:t>j</m:t>
              </m:r>
            </m:oMath>
            <w:r w:rsidRPr="00A7356B">
              <w:rPr>
                <w:rFonts w:ascii="Times" w:hAnsi="Times" w:cs="Times"/>
                <w:sz w:val="18"/>
                <w:szCs w:val="18"/>
                <w:lang w:val="en-US"/>
              </w:rPr>
              <w:t xml:space="preserve"> are contiguous, 0 otherwise. </w:t>
            </w:r>
          </w:p>
        </w:tc>
        <w:tc>
          <w:tcPr>
            <w:tcW w:w="1026" w:type="pct"/>
          </w:tcPr>
          <w:p w14:paraId="32F12B68"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proofErr w:type="spellStart"/>
            <w:r w:rsidRPr="00A7356B">
              <w:rPr>
                <w:rFonts w:ascii="Times" w:hAnsi="Times" w:cs="Times"/>
                <w:sz w:val="18"/>
                <w:szCs w:val="18"/>
                <w:lang w:val="en-US"/>
              </w:rPr>
              <w:t>GeoDist</w:t>
            </w:r>
            <w:proofErr w:type="spellEnd"/>
            <w:r w:rsidRPr="00A7356B">
              <w:rPr>
                <w:rFonts w:ascii="Times" w:hAnsi="Times" w:cs="Times"/>
                <w:sz w:val="18"/>
                <w:szCs w:val="18"/>
                <w:lang w:val="en-US"/>
              </w:rPr>
              <w:t xml:space="preserve"> -CEPII</w:t>
            </w:r>
          </w:p>
        </w:tc>
      </w:tr>
      <w:tr w:rsidR="00047ADA" w:rsidRPr="00A7356B" w14:paraId="2DF4F1B8" w14:textId="77777777" w:rsidTr="00047ADA">
        <w:tc>
          <w:tcPr>
            <w:tcW w:w="874" w:type="pct"/>
            <w:tcMar>
              <w:top w:w="20" w:type="nil"/>
              <w:left w:w="20" w:type="nil"/>
              <w:bottom w:w="20" w:type="nil"/>
              <w:right w:w="20" w:type="nil"/>
            </w:tcMar>
            <w:vAlign w:val="center"/>
          </w:tcPr>
          <w:p w14:paraId="4C0472D7"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r w:rsidRPr="00A7356B">
              <w:rPr>
                <w:rFonts w:ascii="Times" w:hAnsi="Times" w:cs="Times"/>
                <w:sz w:val="18"/>
                <w:szCs w:val="18"/>
                <w:lang w:val="en-US"/>
              </w:rPr>
              <w:t>Language</w:t>
            </w:r>
          </w:p>
        </w:tc>
        <w:tc>
          <w:tcPr>
            <w:tcW w:w="3100" w:type="pct"/>
          </w:tcPr>
          <w:p w14:paraId="61B68C80" w14:textId="77777777" w:rsidR="00047ADA" w:rsidRPr="00A7356B" w:rsidRDefault="00047ADA" w:rsidP="00047ADA">
            <w:pPr>
              <w:widowControl w:val="0"/>
              <w:autoSpaceDE w:val="0"/>
              <w:autoSpaceDN w:val="0"/>
              <w:adjustRightInd w:val="0"/>
              <w:jc w:val="both"/>
              <w:rPr>
                <w:rFonts w:ascii="Times" w:hAnsi="Times" w:cs="Times"/>
                <w:sz w:val="18"/>
                <w:szCs w:val="18"/>
                <w:lang w:val="en-US"/>
              </w:rPr>
            </w:pPr>
            <w:r w:rsidRPr="00A7356B">
              <w:rPr>
                <w:rFonts w:ascii="Times" w:hAnsi="Times" w:cs="Times"/>
                <w:sz w:val="18"/>
                <w:szCs w:val="18"/>
                <w:lang w:val="en-US"/>
              </w:rPr>
              <w:t xml:space="preserve">Dummy variable assuming value 1 if </w:t>
            </w:r>
            <m:oMath>
              <m:r>
                <w:rPr>
                  <w:rFonts w:ascii="Cambria Math" w:hAnsi="Cambria Math" w:cs="Times"/>
                  <w:sz w:val="18"/>
                  <w:szCs w:val="18"/>
                  <w:lang w:val="en-US"/>
                </w:rPr>
                <m:t>i</m:t>
              </m:r>
            </m:oMath>
            <w:r w:rsidRPr="00A7356B">
              <w:rPr>
                <w:rFonts w:ascii="Times" w:hAnsi="Times" w:cs="Times"/>
                <w:sz w:val="18"/>
                <w:szCs w:val="18"/>
                <w:lang w:val="en-US"/>
              </w:rPr>
              <w:t xml:space="preserve"> and </w:t>
            </w:r>
            <m:oMath>
              <m:r>
                <w:rPr>
                  <w:rFonts w:ascii="Cambria Math" w:hAnsi="Cambria Math" w:cs="Times"/>
                  <w:sz w:val="18"/>
                  <w:szCs w:val="18"/>
                  <w:lang w:val="en-US"/>
                </w:rPr>
                <m:t>j</m:t>
              </m:r>
            </m:oMath>
            <w:r w:rsidRPr="00A7356B">
              <w:rPr>
                <w:rFonts w:ascii="Times" w:hAnsi="Times" w:cs="Times"/>
                <w:sz w:val="18"/>
                <w:szCs w:val="18"/>
                <w:lang w:val="en-US"/>
              </w:rPr>
              <w:t xml:space="preserve"> share a common language spoken for at least by 20% of the population, 0 otherwise. </w:t>
            </w:r>
          </w:p>
        </w:tc>
        <w:tc>
          <w:tcPr>
            <w:tcW w:w="1026" w:type="pct"/>
          </w:tcPr>
          <w:p w14:paraId="33390802"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proofErr w:type="spellStart"/>
            <w:r w:rsidRPr="00A7356B">
              <w:rPr>
                <w:rFonts w:ascii="Times" w:hAnsi="Times" w:cs="Times"/>
                <w:sz w:val="18"/>
                <w:szCs w:val="18"/>
                <w:lang w:val="en-US"/>
              </w:rPr>
              <w:t>GeoDist</w:t>
            </w:r>
            <w:proofErr w:type="spellEnd"/>
            <w:r w:rsidRPr="00A7356B">
              <w:rPr>
                <w:rFonts w:ascii="Times" w:hAnsi="Times" w:cs="Times"/>
                <w:sz w:val="18"/>
                <w:szCs w:val="18"/>
                <w:lang w:val="en-US"/>
              </w:rPr>
              <w:t xml:space="preserve"> -CEPII</w:t>
            </w:r>
          </w:p>
        </w:tc>
      </w:tr>
      <w:tr w:rsidR="00047ADA" w:rsidRPr="00A7356B" w14:paraId="78FDA503" w14:textId="77777777" w:rsidTr="00047ADA">
        <w:tc>
          <w:tcPr>
            <w:tcW w:w="874" w:type="pct"/>
            <w:tcMar>
              <w:top w:w="20" w:type="nil"/>
              <w:left w:w="20" w:type="nil"/>
              <w:bottom w:w="20" w:type="nil"/>
              <w:right w:w="20" w:type="nil"/>
            </w:tcMar>
            <w:vAlign w:val="center"/>
          </w:tcPr>
          <w:p w14:paraId="28E9F424"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r w:rsidRPr="00A7356B">
              <w:rPr>
                <w:rFonts w:ascii="Times" w:hAnsi="Times" w:cs="Times"/>
                <w:sz w:val="18"/>
                <w:szCs w:val="18"/>
                <w:lang w:val="en-US"/>
              </w:rPr>
              <w:t>Colony</w:t>
            </w:r>
          </w:p>
        </w:tc>
        <w:tc>
          <w:tcPr>
            <w:tcW w:w="3100" w:type="pct"/>
          </w:tcPr>
          <w:p w14:paraId="3247C9D1" w14:textId="77777777" w:rsidR="00047ADA" w:rsidRPr="00A7356B" w:rsidRDefault="00047ADA" w:rsidP="00047ADA">
            <w:pPr>
              <w:widowControl w:val="0"/>
              <w:autoSpaceDE w:val="0"/>
              <w:autoSpaceDN w:val="0"/>
              <w:adjustRightInd w:val="0"/>
              <w:jc w:val="both"/>
              <w:rPr>
                <w:rFonts w:ascii="Times" w:hAnsi="Times" w:cs="Times"/>
                <w:sz w:val="18"/>
                <w:szCs w:val="18"/>
                <w:lang w:val="en-US"/>
              </w:rPr>
            </w:pPr>
            <w:r w:rsidRPr="00A7356B">
              <w:rPr>
                <w:rFonts w:ascii="Times" w:hAnsi="Times" w:cs="Times"/>
                <w:sz w:val="18"/>
                <w:szCs w:val="18"/>
                <w:lang w:val="en-US"/>
              </w:rPr>
              <w:t xml:space="preserve">Dummy variable assuming value 1 if </w:t>
            </w:r>
            <m:oMath>
              <m:r>
                <w:rPr>
                  <w:rFonts w:ascii="Cambria Math" w:hAnsi="Cambria Math" w:cs="Times"/>
                  <w:sz w:val="18"/>
                  <w:szCs w:val="18"/>
                  <w:lang w:val="en-US"/>
                </w:rPr>
                <m:t>i</m:t>
              </m:r>
            </m:oMath>
            <w:r w:rsidRPr="00A7356B">
              <w:rPr>
                <w:rFonts w:ascii="Times" w:hAnsi="Times" w:cs="Times"/>
                <w:sz w:val="18"/>
                <w:szCs w:val="18"/>
                <w:lang w:val="en-US"/>
              </w:rPr>
              <w:t xml:space="preserve"> and </w:t>
            </w:r>
            <m:oMath>
              <m:r>
                <w:rPr>
                  <w:rFonts w:ascii="Cambria Math" w:hAnsi="Cambria Math" w:cs="Times"/>
                  <w:sz w:val="18"/>
                  <w:szCs w:val="18"/>
                  <w:lang w:val="en-US"/>
                </w:rPr>
                <m:t>j</m:t>
              </m:r>
            </m:oMath>
            <w:r w:rsidRPr="00A7356B">
              <w:rPr>
                <w:rFonts w:ascii="Times" w:hAnsi="Times" w:cs="Times"/>
                <w:sz w:val="18"/>
                <w:szCs w:val="18"/>
                <w:lang w:val="en-US"/>
              </w:rPr>
              <w:t xml:space="preserve"> had/have a colonial tie, 0 otherwise.</w:t>
            </w:r>
          </w:p>
        </w:tc>
        <w:tc>
          <w:tcPr>
            <w:tcW w:w="1026" w:type="pct"/>
          </w:tcPr>
          <w:p w14:paraId="07162E5F"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proofErr w:type="spellStart"/>
            <w:r w:rsidRPr="00A7356B">
              <w:rPr>
                <w:rFonts w:ascii="Times" w:hAnsi="Times" w:cs="Times"/>
                <w:sz w:val="18"/>
                <w:szCs w:val="18"/>
                <w:lang w:val="en-US"/>
              </w:rPr>
              <w:t>GeoDist</w:t>
            </w:r>
            <w:proofErr w:type="spellEnd"/>
            <w:r w:rsidRPr="00A7356B">
              <w:rPr>
                <w:rFonts w:ascii="Times" w:hAnsi="Times" w:cs="Times"/>
                <w:sz w:val="18"/>
                <w:szCs w:val="18"/>
                <w:lang w:val="en-US"/>
              </w:rPr>
              <w:t xml:space="preserve"> -CEPII</w:t>
            </w:r>
          </w:p>
        </w:tc>
      </w:tr>
      <w:tr w:rsidR="00047ADA" w:rsidRPr="00A7356B" w14:paraId="0B2556A6" w14:textId="77777777" w:rsidTr="00047ADA">
        <w:trPr>
          <w:trHeight w:val="890"/>
        </w:trPr>
        <w:tc>
          <w:tcPr>
            <w:tcW w:w="874" w:type="pct"/>
            <w:tcMar>
              <w:top w:w="20" w:type="nil"/>
              <w:left w:w="20" w:type="nil"/>
              <w:bottom w:w="20" w:type="nil"/>
              <w:right w:w="20" w:type="nil"/>
            </w:tcMar>
            <w:vAlign w:val="center"/>
          </w:tcPr>
          <w:p w14:paraId="35B04E44"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r w:rsidRPr="00A7356B">
              <w:rPr>
                <w:rFonts w:ascii="Times" w:hAnsi="Times" w:cs="Times"/>
                <w:sz w:val="18"/>
                <w:szCs w:val="18"/>
                <w:lang w:val="en-US"/>
              </w:rPr>
              <w:t>Same Country</w:t>
            </w:r>
          </w:p>
        </w:tc>
        <w:tc>
          <w:tcPr>
            <w:tcW w:w="3100" w:type="pct"/>
          </w:tcPr>
          <w:p w14:paraId="47B74904" w14:textId="77777777" w:rsidR="00047ADA" w:rsidRPr="00A7356B" w:rsidRDefault="00047ADA" w:rsidP="00047ADA">
            <w:pPr>
              <w:widowControl w:val="0"/>
              <w:autoSpaceDE w:val="0"/>
              <w:autoSpaceDN w:val="0"/>
              <w:adjustRightInd w:val="0"/>
              <w:jc w:val="both"/>
              <w:rPr>
                <w:rFonts w:ascii="Times" w:hAnsi="Times" w:cs="Times"/>
                <w:sz w:val="18"/>
                <w:szCs w:val="18"/>
                <w:lang w:val="en-US"/>
              </w:rPr>
            </w:pPr>
            <w:r w:rsidRPr="00A7356B">
              <w:rPr>
                <w:rFonts w:ascii="Times" w:hAnsi="Times" w:cs="Times"/>
                <w:sz w:val="18"/>
                <w:szCs w:val="18"/>
                <w:lang w:val="en-US"/>
              </w:rPr>
              <w:t xml:space="preserve">Dummy variable assuming value 1 if </w:t>
            </w:r>
            <m:oMath>
              <m:r>
                <w:rPr>
                  <w:rFonts w:ascii="Cambria Math" w:hAnsi="Cambria Math" w:cs="Times"/>
                  <w:sz w:val="18"/>
                  <w:szCs w:val="18"/>
                  <w:lang w:val="en-US"/>
                </w:rPr>
                <m:t>i</m:t>
              </m:r>
            </m:oMath>
            <w:r w:rsidRPr="00A7356B">
              <w:rPr>
                <w:rFonts w:ascii="Times" w:hAnsi="Times" w:cs="Times"/>
                <w:sz w:val="18"/>
                <w:szCs w:val="18"/>
                <w:lang w:val="en-US"/>
              </w:rPr>
              <w:t xml:space="preserve"> and </w:t>
            </w:r>
            <m:oMath>
              <m:r>
                <w:rPr>
                  <w:rFonts w:ascii="Cambria Math" w:hAnsi="Cambria Math" w:cs="Times"/>
                  <w:sz w:val="18"/>
                  <w:szCs w:val="18"/>
                  <w:lang w:val="en-US"/>
                </w:rPr>
                <m:t>j</m:t>
              </m:r>
            </m:oMath>
            <w:r w:rsidRPr="00A7356B">
              <w:rPr>
                <w:rFonts w:ascii="Times" w:hAnsi="Times" w:cs="Times"/>
                <w:sz w:val="18"/>
                <w:szCs w:val="18"/>
                <w:lang w:val="en-US"/>
              </w:rPr>
              <w:t xml:space="preserve"> is considered the same country. Value 1 is settled when countries were/are considered the same state or the same administrative entity for a long period (25-50 years in the twentieth century, 75 year in the ninetieth and 100 years before).</w:t>
            </w:r>
          </w:p>
          <w:p w14:paraId="5D78EEC6" w14:textId="77777777" w:rsidR="00047ADA" w:rsidRPr="00A7356B" w:rsidRDefault="00047ADA" w:rsidP="00047ADA">
            <w:pPr>
              <w:widowControl w:val="0"/>
              <w:autoSpaceDE w:val="0"/>
              <w:autoSpaceDN w:val="0"/>
              <w:adjustRightInd w:val="0"/>
              <w:jc w:val="both"/>
              <w:rPr>
                <w:rFonts w:ascii="Times" w:hAnsi="Times" w:cs="Times"/>
                <w:sz w:val="18"/>
                <w:szCs w:val="18"/>
                <w:lang w:val="en-US"/>
              </w:rPr>
            </w:pPr>
          </w:p>
        </w:tc>
        <w:tc>
          <w:tcPr>
            <w:tcW w:w="1026" w:type="pct"/>
          </w:tcPr>
          <w:p w14:paraId="036D1759"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proofErr w:type="spellStart"/>
            <w:r w:rsidRPr="00A7356B">
              <w:rPr>
                <w:rFonts w:ascii="Times" w:hAnsi="Times" w:cs="Times"/>
                <w:sz w:val="18"/>
                <w:szCs w:val="18"/>
                <w:lang w:val="en-US"/>
              </w:rPr>
              <w:t>GeoDist</w:t>
            </w:r>
            <w:proofErr w:type="spellEnd"/>
            <w:r w:rsidRPr="00A7356B">
              <w:rPr>
                <w:rFonts w:ascii="Times" w:hAnsi="Times" w:cs="Times"/>
                <w:sz w:val="18"/>
                <w:szCs w:val="18"/>
                <w:lang w:val="en-US"/>
              </w:rPr>
              <w:t xml:space="preserve"> -CEPII</w:t>
            </w:r>
          </w:p>
        </w:tc>
      </w:tr>
      <w:tr w:rsidR="00047ADA" w:rsidRPr="00A7356B" w14:paraId="4A0BE3F4" w14:textId="77777777" w:rsidTr="00047ADA">
        <w:tc>
          <w:tcPr>
            <w:tcW w:w="874" w:type="pct"/>
            <w:tcMar>
              <w:top w:w="20" w:type="nil"/>
              <w:left w:w="20" w:type="nil"/>
              <w:bottom w:w="20" w:type="nil"/>
              <w:right w:w="20" w:type="nil"/>
            </w:tcMar>
            <w:vAlign w:val="center"/>
          </w:tcPr>
          <w:p w14:paraId="3279E351"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r w:rsidRPr="00A7356B">
              <w:rPr>
                <w:rFonts w:ascii="Times" w:hAnsi="Times" w:cs="Times"/>
                <w:sz w:val="18"/>
                <w:szCs w:val="18"/>
                <w:lang w:val="en-US"/>
              </w:rPr>
              <w:t>Exch. Rate</w:t>
            </w:r>
            <w:r w:rsidRPr="00A7356B">
              <w:rPr>
                <w:rFonts w:ascii="Times" w:hAnsi="Times" w:cs="Times"/>
                <w:i/>
                <w:sz w:val="18"/>
                <w:szCs w:val="18"/>
                <w:lang w:val="en-US"/>
              </w:rPr>
              <w:t xml:space="preserve"> </w:t>
            </w:r>
          </w:p>
        </w:tc>
        <w:tc>
          <w:tcPr>
            <w:tcW w:w="3100" w:type="pct"/>
          </w:tcPr>
          <w:p w14:paraId="09125912" w14:textId="77777777" w:rsidR="00047ADA" w:rsidRPr="00A7356B" w:rsidRDefault="00047ADA" w:rsidP="00047ADA">
            <w:pPr>
              <w:widowControl w:val="0"/>
              <w:autoSpaceDE w:val="0"/>
              <w:autoSpaceDN w:val="0"/>
              <w:adjustRightInd w:val="0"/>
              <w:jc w:val="both"/>
              <w:rPr>
                <w:rFonts w:ascii="Times" w:hAnsi="Times" w:cs="Times"/>
                <w:sz w:val="18"/>
                <w:szCs w:val="18"/>
                <w:lang w:val="en-US"/>
              </w:rPr>
            </w:pPr>
            <w:r w:rsidRPr="00A7356B">
              <w:rPr>
                <w:rFonts w:ascii="Times" w:hAnsi="Times" w:cs="Times"/>
                <w:sz w:val="18"/>
                <w:szCs w:val="18"/>
                <w:lang w:val="en-US"/>
              </w:rPr>
              <w:t>Natural logarithm of the inverse official annual exchange rate given in value of local currencies in terms of 1 US dollar (1/</w:t>
            </w:r>
            <w:proofErr w:type="spellStart"/>
            <w:r w:rsidRPr="00A7356B">
              <w:rPr>
                <w:rFonts w:ascii="Times" w:hAnsi="Times" w:cs="Times"/>
                <w:sz w:val="18"/>
                <w:szCs w:val="18"/>
                <w:lang w:val="en-US"/>
              </w:rPr>
              <w:t>ex_rate</w:t>
            </w:r>
            <w:proofErr w:type="spellEnd"/>
            <w:r w:rsidRPr="00A7356B">
              <w:rPr>
                <w:rFonts w:ascii="Times" w:hAnsi="Times" w:cs="Times"/>
                <w:sz w:val="18"/>
                <w:szCs w:val="18"/>
                <w:lang w:val="en-US"/>
              </w:rPr>
              <w:t xml:space="preserve">). </w:t>
            </w:r>
          </w:p>
        </w:tc>
        <w:tc>
          <w:tcPr>
            <w:tcW w:w="1026" w:type="pct"/>
          </w:tcPr>
          <w:p w14:paraId="1FEFB553"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r w:rsidRPr="00A7356B">
              <w:rPr>
                <w:rFonts w:ascii="Times" w:hAnsi="Times" w:cs="Times"/>
                <w:sz w:val="18"/>
                <w:szCs w:val="18"/>
                <w:lang w:val="en-US"/>
              </w:rPr>
              <w:t>FMI database</w:t>
            </w:r>
          </w:p>
        </w:tc>
      </w:tr>
      <w:tr w:rsidR="00047ADA" w:rsidRPr="00A7356B" w14:paraId="1DFF2AD2" w14:textId="77777777" w:rsidTr="00047ADA">
        <w:tc>
          <w:tcPr>
            <w:tcW w:w="874" w:type="pct"/>
            <w:tcMar>
              <w:top w:w="20" w:type="nil"/>
              <w:left w:w="20" w:type="nil"/>
              <w:bottom w:w="20" w:type="nil"/>
              <w:right w:w="20" w:type="nil"/>
            </w:tcMar>
            <w:vAlign w:val="center"/>
          </w:tcPr>
          <w:p w14:paraId="4534E753"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r w:rsidRPr="00A7356B">
              <w:rPr>
                <w:rFonts w:ascii="Times" w:hAnsi="Times" w:cs="Times"/>
                <w:sz w:val="18"/>
                <w:szCs w:val="18"/>
                <w:lang w:val="en-US"/>
              </w:rPr>
              <w:t xml:space="preserve">Landlocked </w:t>
            </w:r>
          </w:p>
        </w:tc>
        <w:tc>
          <w:tcPr>
            <w:tcW w:w="3100" w:type="pct"/>
          </w:tcPr>
          <w:p w14:paraId="199B3345" w14:textId="77777777" w:rsidR="00047ADA" w:rsidRPr="00A7356B" w:rsidRDefault="00047ADA" w:rsidP="00047ADA">
            <w:pPr>
              <w:widowControl w:val="0"/>
              <w:autoSpaceDE w:val="0"/>
              <w:autoSpaceDN w:val="0"/>
              <w:adjustRightInd w:val="0"/>
              <w:jc w:val="both"/>
              <w:rPr>
                <w:rFonts w:ascii="Times" w:hAnsi="Times" w:cs="Times"/>
                <w:sz w:val="18"/>
                <w:szCs w:val="18"/>
                <w:lang w:val="en-US"/>
              </w:rPr>
            </w:pPr>
            <w:r w:rsidRPr="00A7356B">
              <w:rPr>
                <w:rFonts w:ascii="Times" w:hAnsi="Times" w:cs="Times"/>
                <w:sz w:val="18"/>
                <w:szCs w:val="18"/>
                <w:lang w:val="en-US"/>
              </w:rPr>
              <w:t>Dummy variables assuming value 1 if a country is landlocked.</w:t>
            </w:r>
          </w:p>
        </w:tc>
        <w:tc>
          <w:tcPr>
            <w:tcW w:w="1026" w:type="pct"/>
          </w:tcPr>
          <w:p w14:paraId="720AA8EB"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proofErr w:type="spellStart"/>
            <w:r w:rsidRPr="00A7356B">
              <w:rPr>
                <w:rFonts w:ascii="Times" w:hAnsi="Times" w:cs="Times"/>
                <w:sz w:val="18"/>
                <w:szCs w:val="18"/>
                <w:lang w:val="en-US"/>
              </w:rPr>
              <w:t>GeoDist</w:t>
            </w:r>
            <w:proofErr w:type="spellEnd"/>
            <w:r w:rsidRPr="00A7356B">
              <w:rPr>
                <w:rFonts w:ascii="Times" w:hAnsi="Times" w:cs="Times"/>
                <w:sz w:val="18"/>
                <w:szCs w:val="18"/>
                <w:lang w:val="en-US"/>
              </w:rPr>
              <w:t xml:space="preserve"> -CEPII</w:t>
            </w:r>
          </w:p>
        </w:tc>
      </w:tr>
      <w:tr w:rsidR="00047ADA" w:rsidRPr="00A7356B" w14:paraId="2EBAF1E8" w14:textId="77777777" w:rsidTr="00047ADA">
        <w:tc>
          <w:tcPr>
            <w:tcW w:w="874" w:type="pct"/>
            <w:tcMar>
              <w:top w:w="20" w:type="nil"/>
              <w:left w:w="20" w:type="nil"/>
              <w:bottom w:w="20" w:type="nil"/>
              <w:right w:w="20" w:type="nil"/>
            </w:tcMar>
            <w:vAlign w:val="center"/>
          </w:tcPr>
          <w:p w14:paraId="611A800C"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r w:rsidRPr="00A7356B">
              <w:rPr>
                <w:rFonts w:ascii="Times" w:hAnsi="Times" w:cs="Times"/>
                <w:sz w:val="18"/>
                <w:szCs w:val="18"/>
                <w:lang w:val="en-US"/>
              </w:rPr>
              <w:t xml:space="preserve">Yield </w:t>
            </w:r>
            <w:r w:rsidRPr="00A7356B">
              <w:rPr>
                <w:rFonts w:ascii="Times" w:hAnsi="Times" w:cs="Times"/>
                <w:i/>
                <w:sz w:val="18"/>
                <w:szCs w:val="18"/>
                <w:lang w:val="en-US"/>
              </w:rPr>
              <w:t>j</w:t>
            </w:r>
          </w:p>
        </w:tc>
        <w:tc>
          <w:tcPr>
            <w:tcW w:w="3100" w:type="pct"/>
          </w:tcPr>
          <w:p w14:paraId="50AF2A52" w14:textId="77777777" w:rsidR="00047ADA" w:rsidRPr="00A7356B" w:rsidRDefault="00047ADA" w:rsidP="00047ADA">
            <w:pPr>
              <w:widowControl w:val="0"/>
              <w:autoSpaceDE w:val="0"/>
              <w:autoSpaceDN w:val="0"/>
              <w:adjustRightInd w:val="0"/>
              <w:jc w:val="both"/>
              <w:rPr>
                <w:rFonts w:ascii="Times" w:hAnsi="Times" w:cs="Times"/>
                <w:sz w:val="18"/>
                <w:szCs w:val="18"/>
                <w:lang w:val="en-US"/>
              </w:rPr>
            </w:pPr>
            <w:r w:rsidRPr="00A7356B">
              <w:rPr>
                <w:rFonts w:ascii="Times" w:hAnsi="Times" w:cs="Times"/>
                <w:sz w:val="18"/>
                <w:szCs w:val="18"/>
                <w:lang w:val="en-US"/>
              </w:rPr>
              <w:t xml:space="preserve">Natural logarithm of country </w:t>
            </w:r>
            <m:oMath>
              <m:r>
                <w:rPr>
                  <w:rFonts w:ascii="Cambria Math" w:hAnsi="Cambria Math" w:cs="Times"/>
                  <w:sz w:val="18"/>
                  <w:szCs w:val="18"/>
                  <w:lang w:val="en-US"/>
                </w:rPr>
                <m:t>j</m:t>
              </m:r>
              <m:r>
                <m:rPr>
                  <m:sty m:val="p"/>
                </m:rPr>
                <w:rPr>
                  <w:rFonts w:ascii="Cambria Math" w:hAnsi="Cambria Math" w:cs="Times"/>
                  <w:sz w:val="18"/>
                  <w:szCs w:val="18"/>
                  <w:lang w:val="en-US"/>
                </w:rPr>
                <m:t>’</m:t>
              </m:r>
              <m:r>
                <w:rPr>
                  <w:rFonts w:ascii="Cambria Math" w:hAnsi="Cambria Math" w:cs="Times"/>
                  <w:sz w:val="18"/>
                  <w:szCs w:val="18"/>
                  <w:lang w:val="en-US"/>
                </w:rPr>
                <m:t>s</m:t>
              </m:r>
              <m:r>
                <m:rPr>
                  <m:sty m:val="p"/>
                </m:rPr>
                <w:rPr>
                  <w:rFonts w:ascii="Cambria Math" w:hAnsi="Cambria Math" w:cs="Times"/>
                  <w:sz w:val="18"/>
                  <w:szCs w:val="18"/>
                  <w:lang w:val="en-US"/>
                </w:rPr>
                <m:t xml:space="preserve"> </m:t>
              </m:r>
            </m:oMath>
            <w:r w:rsidRPr="00A7356B">
              <w:rPr>
                <w:rFonts w:ascii="Times" w:hAnsi="Times" w:cs="Times"/>
                <w:sz w:val="18"/>
                <w:szCs w:val="18"/>
                <w:lang w:val="en-US"/>
              </w:rPr>
              <w:t>average yield per unit of harvested area for crop products. In most of the cases yield data are not recorded but obtained by dividing the production data by the data on area harvested.</w:t>
            </w:r>
          </w:p>
        </w:tc>
        <w:tc>
          <w:tcPr>
            <w:tcW w:w="1026" w:type="pct"/>
          </w:tcPr>
          <w:p w14:paraId="6AF75D15"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r w:rsidRPr="00A7356B">
              <w:rPr>
                <w:rFonts w:ascii="Times" w:hAnsi="Times" w:cs="Times"/>
                <w:sz w:val="18"/>
                <w:szCs w:val="18"/>
                <w:lang w:val="en-US"/>
              </w:rPr>
              <w:t>FAOSTAT</w:t>
            </w:r>
          </w:p>
        </w:tc>
      </w:tr>
      <w:tr w:rsidR="00047ADA" w:rsidRPr="00A7356B" w14:paraId="49EB7BB9" w14:textId="77777777" w:rsidTr="00047ADA">
        <w:tc>
          <w:tcPr>
            <w:tcW w:w="874" w:type="pct"/>
            <w:tcMar>
              <w:top w:w="20" w:type="nil"/>
              <w:left w:w="20" w:type="nil"/>
              <w:bottom w:w="20" w:type="nil"/>
              <w:right w:w="20" w:type="nil"/>
            </w:tcMar>
            <w:vAlign w:val="center"/>
          </w:tcPr>
          <w:p w14:paraId="54DF0DBF"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r w:rsidRPr="00A7356B">
              <w:rPr>
                <w:rFonts w:ascii="Times" w:hAnsi="Times" w:cs="Times"/>
                <w:sz w:val="18"/>
                <w:szCs w:val="18"/>
                <w:lang w:val="en-US"/>
              </w:rPr>
              <w:t>Land</w:t>
            </w:r>
          </w:p>
        </w:tc>
        <w:tc>
          <w:tcPr>
            <w:tcW w:w="3100" w:type="pct"/>
          </w:tcPr>
          <w:p w14:paraId="0C1F48A2" w14:textId="77777777" w:rsidR="00047ADA" w:rsidRPr="00A7356B" w:rsidRDefault="00047ADA" w:rsidP="00047ADA">
            <w:pPr>
              <w:widowControl w:val="0"/>
              <w:autoSpaceDE w:val="0"/>
              <w:autoSpaceDN w:val="0"/>
              <w:adjustRightInd w:val="0"/>
              <w:jc w:val="both"/>
              <w:rPr>
                <w:rFonts w:ascii="Times" w:hAnsi="Times" w:cs="Times"/>
                <w:sz w:val="18"/>
                <w:szCs w:val="18"/>
                <w:lang w:val="en-US"/>
              </w:rPr>
            </w:pPr>
            <w:r w:rsidRPr="00A7356B">
              <w:rPr>
                <w:rFonts w:ascii="Times" w:hAnsi="Times" w:cs="Times"/>
                <w:sz w:val="18"/>
                <w:szCs w:val="18"/>
                <w:lang w:val="en-US"/>
              </w:rPr>
              <w:t xml:space="preserve">Natural logarithm of differences between </w:t>
            </w:r>
            <m:oMath>
              <m:r>
                <w:rPr>
                  <w:rFonts w:ascii="Cambria Math" w:hAnsi="Cambria Math" w:cs="Times"/>
                  <w:sz w:val="18"/>
                  <w:szCs w:val="18"/>
                  <w:lang w:val="en-US"/>
                </w:rPr>
                <m:t>i</m:t>
              </m:r>
            </m:oMath>
            <w:r w:rsidRPr="00A7356B">
              <w:rPr>
                <w:rFonts w:ascii="Times" w:hAnsi="Times" w:cs="Times"/>
                <w:sz w:val="18"/>
                <w:szCs w:val="18"/>
                <w:lang w:val="en-US"/>
              </w:rPr>
              <w:t xml:space="preserve"> and </w:t>
            </w:r>
            <m:oMath>
              <m:r>
                <w:rPr>
                  <w:rFonts w:ascii="Cambria Math" w:hAnsi="Cambria Math" w:cs="Times"/>
                  <w:sz w:val="18"/>
                  <w:szCs w:val="18"/>
                  <w:lang w:val="en-US"/>
                </w:rPr>
                <m:t>j</m:t>
              </m:r>
            </m:oMath>
            <w:r w:rsidRPr="00A7356B">
              <w:rPr>
                <w:rFonts w:ascii="Times" w:hAnsi="Times" w:cs="Times"/>
                <w:sz w:val="18"/>
                <w:szCs w:val="18"/>
                <w:lang w:val="en-US"/>
              </w:rPr>
              <w:t xml:space="preserve"> in terms of land under temporary agricultural crops (multiple-cropped areas are counted only once), temporary meadows for mowing or pasture, land under market and kitchen gardens and land temporarily fallow (less than five years). Variable named as arable-land in the original database.</w:t>
            </w:r>
          </w:p>
        </w:tc>
        <w:tc>
          <w:tcPr>
            <w:tcW w:w="1026" w:type="pct"/>
          </w:tcPr>
          <w:p w14:paraId="27322613"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r w:rsidRPr="00A7356B">
              <w:rPr>
                <w:rFonts w:ascii="Times" w:hAnsi="Times" w:cs="Times"/>
                <w:sz w:val="18"/>
                <w:szCs w:val="18"/>
                <w:lang w:val="en-US"/>
              </w:rPr>
              <w:t>FAOSTAT</w:t>
            </w:r>
          </w:p>
        </w:tc>
      </w:tr>
      <w:tr w:rsidR="00047ADA" w:rsidRPr="00A7356B" w14:paraId="450C7E18" w14:textId="77777777" w:rsidTr="00047ADA">
        <w:tc>
          <w:tcPr>
            <w:tcW w:w="874" w:type="pct"/>
            <w:tcMar>
              <w:top w:w="20" w:type="nil"/>
              <w:left w:w="20" w:type="nil"/>
              <w:bottom w:w="20" w:type="nil"/>
              <w:right w:w="20" w:type="nil"/>
            </w:tcMar>
            <w:vAlign w:val="center"/>
          </w:tcPr>
          <w:p w14:paraId="69F6335C"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r w:rsidRPr="00A7356B">
              <w:rPr>
                <w:rFonts w:ascii="Times" w:hAnsi="Times" w:cs="Times"/>
                <w:sz w:val="18"/>
                <w:szCs w:val="18"/>
                <w:lang w:val="en-US"/>
              </w:rPr>
              <w:t>RTA</w:t>
            </w:r>
          </w:p>
        </w:tc>
        <w:tc>
          <w:tcPr>
            <w:tcW w:w="3100" w:type="pct"/>
          </w:tcPr>
          <w:p w14:paraId="251D3162" w14:textId="77777777" w:rsidR="00047ADA" w:rsidRPr="00A7356B" w:rsidRDefault="00047ADA" w:rsidP="00047ADA">
            <w:pPr>
              <w:widowControl w:val="0"/>
              <w:autoSpaceDE w:val="0"/>
              <w:autoSpaceDN w:val="0"/>
              <w:adjustRightInd w:val="0"/>
              <w:jc w:val="both"/>
              <w:rPr>
                <w:rFonts w:ascii="Times" w:hAnsi="Times" w:cs="Times"/>
                <w:sz w:val="18"/>
                <w:szCs w:val="18"/>
                <w:lang w:val="en-US"/>
              </w:rPr>
            </w:pPr>
            <w:r w:rsidRPr="00A7356B">
              <w:rPr>
                <w:rFonts w:ascii="Times" w:hAnsi="Times" w:cs="Times"/>
                <w:sz w:val="18"/>
                <w:szCs w:val="18"/>
                <w:lang w:val="en-US"/>
              </w:rPr>
              <w:t xml:space="preserve">Dummy variable assuming value 1 if countries </w:t>
            </w:r>
            <m:oMath>
              <m:r>
                <w:rPr>
                  <w:rFonts w:ascii="Cambria Math" w:hAnsi="Cambria Math" w:cs="Times"/>
                  <w:sz w:val="18"/>
                  <w:szCs w:val="18"/>
                  <w:lang w:val="en-US"/>
                </w:rPr>
                <m:t>i</m:t>
              </m:r>
            </m:oMath>
            <w:r w:rsidRPr="00A7356B">
              <w:rPr>
                <w:rFonts w:ascii="Times" w:hAnsi="Times" w:cs="Times"/>
                <w:sz w:val="18"/>
                <w:szCs w:val="18"/>
                <w:lang w:val="en-US"/>
              </w:rPr>
              <w:t xml:space="preserve"> and </w:t>
            </w:r>
            <m:oMath>
              <m:r>
                <w:rPr>
                  <w:rFonts w:ascii="Cambria Math" w:hAnsi="Cambria Math" w:cs="Times"/>
                  <w:sz w:val="18"/>
                  <w:szCs w:val="18"/>
                  <w:lang w:val="en-US"/>
                </w:rPr>
                <m:t>j</m:t>
              </m:r>
            </m:oMath>
            <w:r w:rsidRPr="00A7356B">
              <w:rPr>
                <w:rFonts w:ascii="Times" w:hAnsi="Times" w:cs="Times"/>
                <w:sz w:val="18"/>
                <w:szCs w:val="18"/>
                <w:lang w:val="en-US"/>
              </w:rPr>
              <w:t xml:space="preserve"> make part of Regional Trade Agreement (RTA), and 0 otherwise. </w:t>
            </w:r>
          </w:p>
        </w:tc>
        <w:tc>
          <w:tcPr>
            <w:tcW w:w="1026" w:type="pct"/>
          </w:tcPr>
          <w:p w14:paraId="6BFC31B9" w14:textId="0C367BF0" w:rsidR="00047ADA" w:rsidRPr="00A7356B" w:rsidRDefault="00047ADA" w:rsidP="00047ADA">
            <w:pPr>
              <w:widowControl w:val="0"/>
              <w:autoSpaceDE w:val="0"/>
              <w:autoSpaceDN w:val="0"/>
              <w:adjustRightInd w:val="0"/>
              <w:jc w:val="both"/>
              <w:rPr>
                <w:rFonts w:ascii="Times" w:hAnsi="Times" w:cs="Times"/>
                <w:sz w:val="18"/>
                <w:szCs w:val="18"/>
                <w:lang w:val="en-US"/>
              </w:rPr>
            </w:pPr>
            <w:r w:rsidRPr="00A7356B">
              <w:rPr>
                <w:rFonts w:ascii="Times" w:hAnsi="Times" w:cs="Times"/>
                <w:sz w:val="18"/>
                <w:szCs w:val="18"/>
                <w:lang w:val="en-US"/>
              </w:rPr>
              <w:t xml:space="preserve">International Economics Data and Programs - </w:t>
            </w:r>
            <w:r w:rsidRPr="00A7356B">
              <w:rPr>
                <w:rFonts w:ascii="Times" w:hAnsi="Times" w:cs="Times"/>
                <w:sz w:val="18"/>
                <w:szCs w:val="18"/>
                <w:lang w:val="en-US"/>
              </w:rPr>
              <w:fldChar w:fldCharType="begin" w:fldLock="1"/>
            </w:r>
            <w:r w:rsidR="00493850">
              <w:rPr>
                <w:rFonts w:ascii="Times" w:hAnsi="Times" w:cs="Times"/>
                <w:sz w:val="18"/>
                <w:szCs w:val="18"/>
                <w:lang w:val="en-US"/>
              </w:rPr>
              <w:instrText>ADDIN CSL_CITATION { "citationItems" : [ { "id" : "ITEM-1", "itemData" : { "DOI" : "10.1016/j.econlet.2012.07.009", "ISSN" : "01651765", "abstract" : "Estimating a theoretical gravity model over a sixty-year period, from 1948 to 2009, I found an unexpected trend: the currency union impact on trade is decreasing over time. This result suggests that with trade and financial globalization, currency unions become less and less important for promoting trade. \u00a9 2012 Elsevier B.V.", "author" : [ { "dropping-particle" : "de", "family" : "Sousa", "given" : "Jos\u00e9", "non-dropping-particle" : "", "parse-names" : false, "suffix" : "" } ], "container-title" : "Economics Letters", "id" : "ITEM-1", "issue" : "3", "issued" : { "date-parts" : [ [ "2012" ] ] }, "page" : "917-920", "publisher" : "Elsevier B.V.", "title" : "The currency union effect on trade is decreasing over time", "type" : "article-journal", "volume" : "117" }, "uris" : [ "http://www.mendeley.com/documents/?uuid=2157977b-879e-4576-8182-02293c954a93" ] } ], "mendeley" : { "formattedCitation" : "(Sousa, 2012)", "plainTextFormattedCitation" : "(Sousa, 2012)", "previouslyFormattedCitation" : "(Sousa, 2012)" }, "properties" : { "noteIndex" : 0 }, "schema" : "https://github.com/citation-style-language/schema/raw/master/csl-citation.json" }</w:instrText>
            </w:r>
            <w:r w:rsidRPr="00A7356B">
              <w:rPr>
                <w:rFonts w:ascii="Times" w:hAnsi="Times" w:cs="Times"/>
                <w:sz w:val="18"/>
                <w:szCs w:val="18"/>
                <w:lang w:val="en-US"/>
              </w:rPr>
              <w:fldChar w:fldCharType="separate"/>
            </w:r>
            <w:r w:rsidR="00105B2E" w:rsidRPr="00A7356B">
              <w:rPr>
                <w:rFonts w:ascii="Times" w:hAnsi="Times" w:cs="Times"/>
                <w:noProof/>
                <w:sz w:val="18"/>
                <w:szCs w:val="18"/>
                <w:lang w:val="en-US"/>
              </w:rPr>
              <w:t>(Sousa, 2012)</w:t>
            </w:r>
            <w:r w:rsidRPr="00A7356B">
              <w:rPr>
                <w:rFonts w:ascii="Times" w:hAnsi="Times" w:cs="Times"/>
                <w:sz w:val="18"/>
                <w:szCs w:val="18"/>
                <w:lang w:val="en-US"/>
              </w:rPr>
              <w:fldChar w:fldCharType="end"/>
            </w:r>
          </w:p>
        </w:tc>
      </w:tr>
      <w:tr w:rsidR="00047ADA" w:rsidRPr="00A7356B" w14:paraId="0384E777" w14:textId="77777777" w:rsidTr="00047ADA">
        <w:tc>
          <w:tcPr>
            <w:tcW w:w="874" w:type="pct"/>
            <w:tcMar>
              <w:top w:w="20" w:type="nil"/>
              <w:left w:w="20" w:type="nil"/>
              <w:bottom w:w="20" w:type="nil"/>
              <w:right w:w="20" w:type="nil"/>
            </w:tcMar>
            <w:vAlign w:val="center"/>
          </w:tcPr>
          <w:p w14:paraId="0B4E2A2D"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r w:rsidRPr="00A7356B">
              <w:rPr>
                <w:rFonts w:ascii="Times" w:hAnsi="Times" w:cs="Times"/>
                <w:sz w:val="18"/>
                <w:szCs w:val="18"/>
                <w:lang w:val="en-US"/>
              </w:rPr>
              <w:t xml:space="preserve">Other Goods </w:t>
            </w:r>
            <m:oMath>
              <m:r>
                <w:rPr>
                  <w:rFonts w:ascii="Cambria Math" w:hAnsi="Cambria Math" w:cs="Times"/>
                  <w:sz w:val="18"/>
                  <w:szCs w:val="18"/>
                  <w:lang w:val="en-US"/>
                </w:rPr>
                <m:t>i</m:t>
              </m:r>
            </m:oMath>
          </w:p>
        </w:tc>
        <w:tc>
          <w:tcPr>
            <w:tcW w:w="3100" w:type="pct"/>
          </w:tcPr>
          <w:p w14:paraId="50B4B073" w14:textId="77777777" w:rsidR="00047ADA" w:rsidRPr="00A7356B" w:rsidRDefault="00047ADA" w:rsidP="00047ADA">
            <w:pPr>
              <w:widowControl w:val="0"/>
              <w:autoSpaceDE w:val="0"/>
              <w:autoSpaceDN w:val="0"/>
              <w:adjustRightInd w:val="0"/>
              <w:jc w:val="both"/>
              <w:rPr>
                <w:rFonts w:ascii="Times" w:hAnsi="Times" w:cs="Times"/>
                <w:sz w:val="18"/>
                <w:szCs w:val="18"/>
                <w:lang w:val="en-US"/>
              </w:rPr>
            </w:pPr>
            <w:r w:rsidRPr="00A7356B">
              <w:rPr>
                <w:rFonts w:ascii="Times" w:hAnsi="Times" w:cs="Times"/>
                <w:sz w:val="18"/>
                <w:szCs w:val="18"/>
                <w:lang w:val="en-US"/>
              </w:rPr>
              <w:t xml:space="preserve">Natural logarithm of an index built by aggregating annual imports of major substitutes goods for soybean meal by </w:t>
            </w:r>
            <m:oMath>
              <m:r>
                <w:rPr>
                  <w:rFonts w:ascii="Cambria Math" w:hAnsi="Cambria Math" w:cs="Times"/>
                  <w:sz w:val="18"/>
                  <w:szCs w:val="18"/>
                  <w:lang w:val="en-US"/>
                </w:rPr>
                <m:t>i</m:t>
              </m:r>
            </m:oMath>
            <w:r w:rsidRPr="00A7356B">
              <w:rPr>
                <w:rFonts w:ascii="Times" w:hAnsi="Times" w:cs="Times"/>
                <w:sz w:val="18"/>
                <w:szCs w:val="18"/>
                <w:lang w:val="en-US"/>
              </w:rPr>
              <w:t xml:space="preserve">, such as meat meal (HS6-230110), fishmeal (HS6-230120), cottonseed meal (HS6-230610), linseed meal (HS6-230620) and groundnut meal (HS6-230500). Value given in tones. </w:t>
            </w:r>
          </w:p>
        </w:tc>
        <w:tc>
          <w:tcPr>
            <w:tcW w:w="1026" w:type="pct"/>
          </w:tcPr>
          <w:p w14:paraId="3EE21D25"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r w:rsidRPr="00A7356B">
              <w:rPr>
                <w:rFonts w:ascii="Times" w:hAnsi="Times" w:cs="Times"/>
                <w:sz w:val="18"/>
                <w:szCs w:val="18"/>
                <w:lang w:val="en-US"/>
              </w:rPr>
              <w:t>BACI-CEPII</w:t>
            </w:r>
          </w:p>
        </w:tc>
      </w:tr>
      <w:tr w:rsidR="00047ADA" w:rsidRPr="00A7356B" w14:paraId="4D8D40E6" w14:textId="77777777" w:rsidTr="00047ADA">
        <w:tc>
          <w:tcPr>
            <w:tcW w:w="874" w:type="pct"/>
            <w:tcMar>
              <w:top w:w="20" w:type="nil"/>
              <w:left w:w="20" w:type="nil"/>
              <w:bottom w:w="20" w:type="nil"/>
              <w:right w:w="20" w:type="nil"/>
            </w:tcMar>
            <w:vAlign w:val="center"/>
          </w:tcPr>
          <w:p w14:paraId="1CB07D99"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proofErr w:type="spellStart"/>
            <w:r w:rsidRPr="00A7356B">
              <w:rPr>
                <w:rFonts w:ascii="Times" w:hAnsi="Times" w:cs="Times"/>
                <w:sz w:val="18"/>
                <w:szCs w:val="18"/>
                <w:lang w:val="en-US"/>
              </w:rPr>
              <w:t>Mand</w:t>
            </w:r>
            <w:proofErr w:type="spellEnd"/>
            <w:r w:rsidRPr="00A7356B">
              <w:rPr>
                <w:rFonts w:ascii="Times" w:hAnsi="Times" w:cs="Times"/>
                <w:sz w:val="18"/>
                <w:szCs w:val="18"/>
                <w:lang w:val="en-US"/>
              </w:rPr>
              <w:t>. Label</w:t>
            </w:r>
          </w:p>
        </w:tc>
        <w:tc>
          <w:tcPr>
            <w:tcW w:w="3100" w:type="pct"/>
          </w:tcPr>
          <w:p w14:paraId="39CF275B" w14:textId="77777777" w:rsidR="00047ADA" w:rsidRPr="00A7356B" w:rsidRDefault="00047ADA" w:rsidP="00047ADA">
            <w:pPr>
              <w:widowControl w:val="0"/>
              <w:autoSpaceDE w:val="0"/>
              <w:autoSpaceDN w:val="0"/>
              <w:adjustRightInd w:val="0"/>
              <w:jc w:val="both"/>
              <w:rPr>
                <w:rFonts w:ascii="Times" w:hAnsi="Times" w:cs="Times"/>
                <w:sz w:val="18"/>
                <w:szCs w:val="18"/>
                <w:vertAlign w:val="subscript"/>
                <w:lang w:val="en-US"/>
              </w:rPr>
            </w:pPr>
            <w:r w:rsidRPr="00A7356B">
              <w:rPr>
                <w:rFonts w:ascii="Times" w:hAnsi="Times" w:cs="Times"/>
                <w:sz w:val="18"/>
                <w:szCs w:val="18"/>
                <w:lang w:val="en-US"/>
              </w:rPr>
              <w:t xml:space="preserve">Dummy variable assuming value 1 if country </w:t>
            </w:r>
            <m:oMath>
              <m:r>
                <w:rPr>
                  <w:rFonts w:ascii="Cambria Math" w:hAnsi="Cambria Math" w:cs="Times"/>
                  <w:sz w:val="18"/>
                  <w:szCs w:val="18"/>
                  <w:lang w:val="en-US"/>
                </w:rPr>
                <m:t>i</m:t>
              </m:r>
            </m:oMath>
            <w:r w:rsidRPr="00A7356B">
              <w:rPr>
                <w:rFonts w:ascii="Times" w:hAnsi="Times" w:cs="Times"/>
                <w:sz w:val="18"/>
                <w:szCs w:val="18"/>
                <w:lang w:val="en-US"/>
              </w:rPr>
              <w:t xml:space="preserve"> has implemented mandatory labeling rules and country </w:t>
            </w:r>
            <m:oMath>
              <m:r>
                <w:rPr>
                  <w:rFonts w:ascii="Cambria Math" w:hAnsi="Cambria Math" w:cs="Times"/>
                  <w:sz w:val="18"/>
                  <w:szCs w:val="18"/>
                  <w:lang w:val="en-US"/>
                </w:rPr>
                <m:t>j</m:t>
              </m:r>
            </m:oMath>
            <w:r w:rsidRPr="00A7356B">
              <w:rPr>
                <w:rFonts w:ascii="Times" w:hAnsi="Times" w:cs="Times"/>
                <w:sz w:val="18"/>
                <w:szCs w:val="18"/>
                <w:lang w:val="en-US"/>
              </w:rPr>
              <w:t xml:space="preserve"> hasn’t, and 0 otherwise.</w:t>
            </w:r>
          </w:p>
        </w:tc>
        <w:tc>
          <w:tcPr>
            <w:tcW w:w="1026" w:type="pct"/>
          </w:tcPr>
          <w:p w14:paraId="5B25A08E"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r w:rsidRPr="00A7356B">
              <w:rPr>
                <w:rFonts w:ascii="Times" w:hAnsi="Times" w:cs="Times"/>
                <w:sz w:val="18"/>
                <w:szCs w:val="18"/>
                <w:lang w:val="en-US"/>
              </w:rPr>
              <w:t>GAINS Report - USDA</w:t>
            </w:r>
          </w:p>
        </w:tc>
      </w:tr>
      <w:tr w:rsidR="00047ADA" w:rsidRPr="00A7356B" w14:paraId="33B3B02E" w14:textId="77777777" w:rsidTr="00047ADA">
        <w:tc>
          <w:tcPr>
            <w:tcW w:w="874" w:type="pct"/>
            <w:tcMar>
              <w:top w:w="20" w:type="nil"/>
              <w:left w:w="20" w:type="nil"/>
              <w:bottom w:w="20" w:type="nil"/>
              <w:right w:w="20" w:type="nil"/>
            </w:tcMar>
            <w:vAlign w:val="center"/>
          </w:tcPr>
          <w:p w14:paraId="3EFFA52D"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r w:rsidRPr="00A7356B">
              <w:rPr>
                <w:rFonts w:ascii="Times" w:hAnsi="Times" w:cs="Times"/>
                <w:sz w:val="18"/>
                <w:szCs w:val="18"/>
                <w:lang w:val="en-US"/>
              </w:rPr>
              <w:t>Price</w:t>
            </w:r>
          </w:p>
        </w:tc>
        <w:tc>
          <w:tcPr>
            <w:tcW w:w="3100" w:type="pct"/>
          </w:tcPr>
          <w:p w14:paraId="70707F38" w14:textId="77777777" w:rsidR="00047ADA" w:rsidRPr="00A7356B" w:rsidRDefault="00047ADA" w:rsidP="00047ADA">
            <w:pPr>
              <w:widowControl w:val="0"/>
              <w:autoSpaceDE w:val="0"/>
              <w:autoSpaceDN w:val="0"/>
              <w:adjustRightInd w:val="0"/>
              <w:jc w:val="both"/>
              <w:rPr>
                <w:rFonts w:ascii="Times" w:hAnsi="Times" w:cs="Times"/>
                <w:sz w:val="18"/>
                <w:szCs w:val="18"/>
                <w:lang w:val="en-US"/>
              </w:rPr>
            </w:pPr>
            <w:r w:rsidRPr="00A7356B">
              <w:rPr>
                <w:rFonts w:ascii="Times" w:hAnsi="Times" w:cs="Times"/>
                <w:sz w:val="18"/>
                <w:szCs w:val="18"/>
                <w:lang w:val="en-US"/>
              </w:rPr>
              <w:t xml:space="preserve">Natural logarithm of average annual prices of soybean in global markets given in nominal USD. </w:t>
            </w:r>
          </w:p>
        </w:tc>
        <w:tc>
          <w:tcPr>
            <w:tcW w:w="1026" w:type="pct"/>
          </w:tcPr>
          <w:p w14:paraId="26CD7950"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r w:rsidRPr="00A7356B">
              <w:rPr>
                <w:rFonts w:ascii="Times" w:hAnsi="Times" w:cs="Times"/>
                <w:sz w:val="18"/>
                <w:szCs w:val="18"/>
                <w:lang w:val="en-US"/>
              </w:rPr>
              <w:t xml:space="preserve">World Bank Commodity Price Data </w:t>
            </w:r>
            <w:proofErr w:type="gramStart"/>
            <w:r w:rsidRPr="00A7356B">
              <w:rPr>
                <w:rFonts w:ascii="Times" w:hAnsi="Times" w:cs="Times"/>
                <w:sz w:val="18"/>
                <w:szCs w:val="18"/>
                <w:lang w:val="en-US"/>
              </w:rPr>
              <w:t>( The</w:t>
            </w:r>
            <w:proofErr w:type="gramEnd"/>
            <w:r w:rsidRPr="00A7356B">
              <w:rPr>
                <w:rFonts w:ascii="Times" w:hAnsi="Times" w:cs="Times"/>
                <w:sz w:val="18"/>
                <w:szCs w:val="18"/>
                <w:lang w:val="en-US"/>
              </w:rPr>
              <w:t xml:space="preserve"> Pink Sheet)</w:t>
            </w:r>
          </w:p>
        </w:tc>
      </w:tr>
      <w:tr w:rsidR="00047ADA" w:rsidRPr="00A7356B" w14:paraId="5EC86A4B" w14:textId="77777777" w:rsidTr="00047ADA">
        <w:tc>
          <w:tcPr>
            <w:tcW w:w="874" w:type="pct"/>
            <w:tcMar>
              <w:top w:w="20" w:type="nil"/>
              <w:left w:w="20" w:type="nil"/>
              <w:bottom w:w="20" w:type="nil"/>
              <w:right w:w="20" w:type="nil"/>
            </w:tcMar>
            <w:vAlign w:val="center"/>
          </w:tcPr>
          <w:p w14:paraId="0F7A9E72"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r w:rsidRPr="00A7356B">
              <w:rPr>
                <w:rFonts w:ascii="Times" w:hAnsi="Times" w:cs="Times"/>
                <w:sz w:val="18"/>
                <w:szCs w:val="18"/>
                <w:lang w:val="en-US"/>
              </w:rPr>
              <w:t xml:space="preserve">Remoteness </w:t>
            </w:r>
          </w:p>
        </w:tc>
        <w:tc>
          <w:tcPr>
            <w:tcW w:w="3100" w:type="pct"/>
          </w:tcPr>
          <w:p w14:paraId="6E1D24B2" w14:textId="77777777" w:rsidR="00047ADA" w:rsidRPr="00A7356B" w:rsidRDefault="00047ADA" w:rsidP="00047ADA">
            <w:pPr>
              <w:widowControl w:val="0"/>
              <w:autoSpaceDE w:val="0"/>
              <w:autoSpaceDN w:val="0"/>
              <w:adjustRightInd w:val="0"/>
              <w:jc w:val="both"/>
              <w:rPr>
                <w:rFonts w:ascii="Times" w:hAnsi="Times" w:cs="Times"/>
                <w:sz w:val="18"/>
                <w:szCs w:val="18"/>
                <w:lang w:val="en-US"/>
              </w:rPr>
            </w:pPr>
            <w:r w:rsidRPr="00A7356B">
              <w:rPr>
                <w:rFonts w:ascii="Times" w:hAnsi="Times" w:cs="Times"/>
                <w:sz w:val="18"/>
                <w:szCs w:val="18"/>
                <w:lang w:val="en-US"/>
              </w:rPr>
              <w:t xml:space="preserve">Natural logarithm of </w:t>
            </w:r>
            <m:oMath>
              <m:r>
                <w:rPr>
                  <w:rFonts w:ascii="Cambria Math" w:hAnsi="Cambria Math" w:cs="Times"/>
                  <w:sz w:val="18"/>
                  <w:szCs w:val="18"/>
                  <w:lang w:val="en-US"/>
                </w:rPr>
                <m:t>annual</m:t>
              </m:r>
            </m:oMath>
            <w:r w:rsidRPr="00A7356B">
              <w:rPr>
                <w:rFonts w:ascii="Times" w:hAnsi="Times" w:cs="Times"/>
                <w:sz w:val="18"/>
                <w:szCs w:val="18"/>
                <w:lang w:val="en-US"/>
              </w:rPr>
              <w:t xml:space="preserve"> remoteness index as proposed by Head (2003) – i.e. </w:t>
            </w:r>
            <m:oMath>
              <m:r>
                <w:rPr>
                  <w:rFonts w:ascii="Cambria Math" w:hAnsi="Cambria Math" w:cs="Times"/>
                  <w:sz w:val="18"/>
                  <w:szCs w:val="18"/>
                  <w:lang w:val="en-US"/>
                </w:rPr>
                <m:t>R</m:t>
              </m:r>
              <m:sSub>
                <m:sSubPr>
                  <m:ctrlPr>
                    <w:rPr>
                      <w:rFonts w:ascii="Cambria Math" w:hAnsi="Cambria Math" w:cs="Times"/>
                      <w:sz w:val="18"/>
                      <w:szCs w:val="18"/>
                      <w:lang w:val="en-US"/>
                    </w:rPr>
                  </m:ctrlPr>
                </m:sSubPr>
                <m:e>
                  <m:r>
                    <w:rPr>
                      <w:rFonts w:ascii="Cambria Math" w:hAnsi="Cambria Math" w:cs="Times"/>
                      <w:sz w:val="18"/>
                      <w:szCs w:val="18"/>
                      <w:lang w:val="en-US"/>
                    </w:rPr>
                    <m:t>em</m:t>
                  </m:r>
                </m:e>
                <m:sub>
                  <m:r>
                    <w:rPr>
                      <w:rFonts w:ascii="Cambria Math" w:hAnsi="Cambria Math" w:cs="Times"/>
                      <w:sz w:val="18"/>
                      <w:szCs w:val="18"/>
                      <w:lang w:val="en-US"/>
                    </w:rPr>
                    <m:t>jt</m:t>
                  </m:r>
                </m:sub>
              </m:sSub>
              <m:r>
                <m:rPr>
                  <m:sty m:val="p"/>
                </m:rPr>
                <w:rPr>
                  <w:rFonts w:ascii="Cambria Math" w:hAnsi="Cambria Math" w:cs="Times"/>
                  <w:sz w:val="18"/>
                  <w:szCs w:val="18"/>
                  <w:lang w:val="en-US"/>
                </w:rPr>
                <m:t>=</m:t>
              </m:r>
              <m:nary>
                <m:naryPr>
                  <m:chr m:val="∑"/>
                  <m:limLoc m:val="undOvr"/>
                  <m:supHide m:val="1"/>
                  <m:ctrlPr>
                    <w:rPr>
                      <w:rFonts w:ascii="Cambria Math" w:hAnsi="Cambria Math" w:cs="Times"/>
                      <w:sz w:val="18"/>
                      <w:szCs w:val="18"/>
                      <w:lang w:val="en-US"/>
                    </w:rPr>
                  </m:ctrlPr>
                </m:naryPr>
                <m:sub>
                  <m:r>
                    <w:rPr>
                      <w:rFonts w:ascii="Cambria Math" w:hAnsi="Cambria Math" w:cs="Times"/>
                      <w:sz w:val="18"/>
                      <w:szCs w:val="18"/>
                      <w:lang w:val="en-US"/>
                    </w:rPr>
                    <m:t>jt</m:t>
                  </m:r>
                </m:sub>
                <m:sup/>
                <m:e>
                  <m:sSub>
                    <m:sSubPr>
                      <m:ctrlPr>
                        <w:rPr>
                          <w:rFonts w:ascii="Cambria Math" w:hAnsi="Cambria Math" w:cs="Times"/>
                          <w:sz w:val="18"/>
                          <w:szCs w:val="18"/>
                          <w:lang w:val="en-US"/>
                        </w:rPr>
                      </m:ctrlPr>
                    </m:sSubPr>
                    <m:e>
                      <m:r>
                        <w:rPr>
                          <w:rFonts w:ascii="Cambria Math" w:hAnsi="Cambria Math" w:cs="Times"/>
                          <w:sz w:val="18"/>
                          <w:szCs w:val="18"/>
                          <w:lang w:val="en-US"/>
                        </w:rPr>
                        <m:t>d</m:t>
                      </m:r>
                    </m:e>
                    <m:sub>
                      <m:r>
                        <w:rPr>
                          <w:rFonts w:ascii="Cambria Math" w:hAnsi="Cambria Math" w:cs="Times"/>
                          <w:sz w:val="18"/>
                          <w:szCs w:val="18"/>
                          <w:lang w:val="en-US"/>
                        </w:rPr>
                        <m:t>ij</m:t>
                      </m:r>
                    </m:sub>
                  </m:sSub>
                  <m:r>
                    <m:rPr>
                      <m:sty m:val="p"/>
                    </m:rPr>
                    <w:rPr>
                      <w:rFonts w:ascii="Cambria Math" w:hAnsi="Cambria Math" w:cs="Times"/>
                      <w:sz w:val="18"/>
                      <w:szCs w:val="18"/>
                      <w:lang w:val="en-US"/>
                    </w:rPr>
                    <m:t>/(</m:t>
                  </m:r>
                  <m:r>
                    <w:rPr>
                      <w:rFonts w:ascii="Cambria Math" w:hAnsi="Cambria Math" w:cs="Times"/>
                      <w:sz w:val="18"/>
                      <w:szCs w:val="18"/>
                      <w:lang w:val="en-US"/>
                    </w:rPr>
                    <m:t>G</m:t>
                  </m:r>
                  <m:sSub>
                    <m:sSubPr>
                      <m:ctrlPr>
                        <w:rPr>
                          <w:rFonts w:ascii="Cambria Math" w:hAnsi="Cambria Math" w:cs="Times"/>
                          <w:sz w:val="18"/>
                          <w:szCs w:val="18"/>
                          <w:lang w:val="en-US"/>
                        </w:rPr>
                      </m:ctrlPr>
                    </m:sSubPr>
                    <m:e>
                      <m:r>
                        <w:rPr>
                          <w:rFonts w:ascii="Cambria Math" w:hAnsi="Cambria Math" w:cs="Times"/>
                          <w:sz w:val="18"/>
                          <w:szCs w:val="18"/>
                          <w:lang w:val="en-US"/>
                        </w:rPr>
                        <m:t>DP</m:t>
                      </m:r>
                    </m:e>
                    <m:sub>
                      <m:r>
                        <w:rPr>
                          <w:rFonts w:ascii="Cambria Math" w:hAnsi="Cambria Math" w:cs="Times"/>
                          <w:sz w:val="18"/>
                          <w:szCs w:val="18"/>
                          <w:lang w:val="en-US"/>
                        </w:rPr>
                        <m:t>jt</m:t>
                      </m:r>
                    </m:sub>
                  </m:sSub>
                  <m:r>
                    <m:rPr>
                      <m:sty m:val="p"/>
                    </m:rPr>
                    <w:rPr>
                      <w:rFonts w:ascii="Cambria Math" w:hAnsi="Cambria Math" w:cs="Times"/>
                      <w:sz w:val="18"/>
                      <w:szCs w:val="18"/>
                      <w:lang w:val="en-US"/>
                    </w:rPr>
                    <m:t>/</m:t>
                  </m:r>
                  <m:r>
                    <w:rPr>
                      <w:rFonts w:ascii="Cambria Math" w:hAnsi="Cambria Math" w:cs="Times"/>
                      <w:sz w:val="18"/>
                      <w:szCs w:val="18"/>
                      <w:lang w:val="en-US"/>
                    </w:rPr>
                    <m:t>GD</m:t>
                  </m:r>
                  <m:sSub>
                    <m:sSubPr>
                      <m:ctrlPr>
                        <w:rPr>
                          <w:rFonts w:ascii="Cambria Math" w:hAnsi="Cambria Math" w:cs="Times"/>
                          <w:sz w:val="18"/>
                          <w:szCs w:val="18"/>
                          <w:lang w:val="en-US"/>
                        </w:rPr>
                      </m:ctrlPr>
                    </m:sSubPr>
                    <m:e>
                      <m:r>
                        <w:rPr>
                          <w:rFonts w:ascii="Cambria Math" w:hAnsi="Cambria Math" w:cs="Times"/>
                          <w:sz w:val="18"/>
                          <w:szCs w:val="18"/>
                          <w:lang w:val="en-US"/>
                        </w:rPr>
                        <m:t>P</m:t>
                      </m:r>
                    </m:e>
                    <m:sub>
                      <m:r>
                        <w:rPr>
                          <w:rFonts w:ascii="Cambria Math" w:hAnsi="Cambria Math" w:cs="Times"/>
                          <w:sz w:val="18"/>
                          <w:szCs w:val="18"/>
                          <w:lang w:val="en-US"/>
                        </w:rPr>
                        <m:t>wt</m:t>
                      </m:r>
                    </m:sub>
                  </m:sSub>
                  <m:r>
                    <m:rPr>
                      <m:sty m:val="p"/>
                    </m:rPr>
                    <w:rPr>
                      <w:rFonts w:ascii="Cambria Math" w:hAnsi="Cambria Math" w:cs="Times"/>
                      <w:sz w:val="18"/>
                      <w:szCs w:val="18"/>
                      <w:lang w:val="en-US"/>
                    </w:rPr>
                    <m:t>)</m:t>
                  </m:r>
                </m:e>
              </m:nary>
            </m:oMath>
            <w:r w:rsidRPr="00A7356B">
              <w:rPr>
                <w:rFonts w:ascii="Times" w:hAnsi="Times" w:cs="Times"/>
                <w:sz w:val="18"/>
                <w:szCs w:val="18"/>
                <w:lang w:val="en-US"/>
              </w:rPr>
              <w:t xml:space="preserve">. Annual nominal GDP data comes from IMF databases and distance from </w:t>
            </w:r>
            <w:proofErr w:type="spellStart"/>
            <w:r w:rsidRPr="00A7356B">
              <w:rPr>
                <w:rFonts w:ascii="Times" w:hAnsi="Times" w:cs="Times"/>
                <w:sz w:val="18"/>
                <w:szCs w:val="18"/>
                <w:lang w:val="en-US"/>
              </w:rPr>
              <w:t>GeoDist</w:t>
            </w:r>
            <w:proofErr w:type="spellEnd"/>
            <w:r w:rsidRPr="00A7356B">
              <w:rPr>
                <w:rFonts w:ascii="Times" w:hAnsi="Times" w:cs="Times"/>
                <w:sz w:val="18"/>
                <w:szCs w:val="18"/>
                <w:lang w:val="en-US"/>
              </w:rPr>
              <w:t xml:space="preserve">.  </w:t>
            </w:r>
          </w:p>
        </w:tc>
        <w:tc>
          <w:tcPr>
            <w:tcW w:w="1026" w:type="pct"/>
          </w:tcPr>
          <w:p w14:paraId="6F15C416"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r w:rsidRPr="00A7356B">
              <w:rPr>
                <w:rFonts w:ascii="Times" w:hAnsi="Times" w:cs="Times"/>
                <w:sz w:val="18"/>
                <w:szCs w:val="18"/>
                <w:lang w:val="en-US"/>
              </w:rPr>
              <w:t>IMF Data</w:t>
            </w:r>
          </w:p>
          <w:p w14:paraId="311070E9"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proofErr w:type="spellStart"/>
            <w:r w:rsidRPr="00A7356B">
              <w:rPr>
                <w:rFonts w:ascii="Times" w:hAnsi="Times" w:cs="Times"/>
                <w:sz w:val="18"/>
                <w:szCs w:val="18"/>
                <w:lang w:val="en-US"/>
              </w:rPr>
              <w:t>GeoDist</w:t>
            </w:r>
            <w:proofErr w:type="spellEnd"/>
            <w:r w:rsidRPr="00A7356B">
              <w:rPr>
                <w:rFonts w:ascii="Times" w:hAnsi="Times" w:cs="Times"/>
                <w:sz w:val="18"/>
                <w:szCs w:val="18"/>
                <w:lang w:val="en-US"/>
              </w:rPr>
              <w:t xml:space="preserve"> -CEPII</w:t>
            </w:r>
          </w:p>
        </w:tc>
      </w:tr>
      <w:tr w:rsidR="00047ADA" w:rsidRPr="00A7356B" w14:paraId="10E6E1C1" w14:textId="77777777" w:rsidTr="00047ADA">
        <w:tc>
          <w:tcPr>
            <w:tcW w:w="874" w:type="pct"/>
            <w:tcMar>
              <w:top w:w="20" w:type="nil"/>
              <w:left w:w="20" w:type="nil"/>
              <w:bottom w:w="20" w:type="nil"/>
              <w:right w:w="20" w:type="nil"/>
            </w:tcMar>
            <w:vAlign w:val="center"/>
          </w:tcPr>
          <w:p w14:paraId="49A29C4F"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r w:rsidRPr="00A7356B">
              <w:rPr>
                <w:rFonts w:ascii="Times" w:hAnsi="Times" w:cs="Times"/>
                <w:sz w:val="18"/>
                <w:szCs w:val="18"/>
                <w:lang w:val="en-US"/>
              </w:rPr>
              <w:t>Tech. Gap</w:t>
            </w:r>
          </w:p>
        </w:tc>
        <w:tc>
          <w:tcPr>
            <w:tcW w:w="3100" w:type="pct"/>
          </w:tcPr>
          <w:p w14:paraId="7E534D19" w14:textId="77777777" w:rsidR="00047ADA" w:rsidRPr="00A7356B" w:rsidRDefault="00047ADA" w:rsidP="00047ADA">
            <w:pPr>
              <w:widowControl w:val="0"/>
              <w:autoSpaceDE w:val="0"/>
              <w:autoSpaceDN w:val="0"/>
              <w:adjustRightInd w:val="0"/>
              <w:jc w:val="both"/>
              <w:rPr>
                <w:rFonts w:ascii="Times" w:hAnsi="Times" w:cs="Times"/>
                <w:sz w:val="18"/>
                <w:szCs w:val="18"/>
                <w:lang w:val="en-US"/>
              </w:rPr>
            </w:pPr>
            <w:r w:rsidRPr="00A7356B">
              <w:rPr>
                <w:rFonts w:ascii="Times" w:hAnsi="Times" w:cs="Times"/>
                <w:sz w:val="18"/>
                <w:szCs w:val="18"/>
                <w:lang w:val="en-US"/>
              </w:rPr>
              <w:t xml:space="preserve">Variable calculated as the difference between numbers of approved varieties for production in country </w:t>
            </w:r>
            <m:oMath>
              <m:r>
                <w:rPr>
                  <w:rFonts w:ascii="Cambria Math" w:hAnsi="Cambria Math" w:cs="Times"/>
                  <w:sz w:val="18"/>
                  <w:szCs w:val="18"/>
                  <w:lang w:val="en-US"/>
                </w:rPr>
                <m:t>j</m:t>
              </m:r>
            </m:oMath>
            <w:r w:rsidRPr="00A7356B">
              <w:rPr>
                <w:rFonts w:ascii="Times" w:hAnsi="Times" w:cs="Times"/>
                <w:sz w:val="18"/>
                <w:szCs w:val="18"/>
                <w:lang w:val="en-US"/>
              </w:rPr>
              <w:t xml:space="preserve">and the total varieties of GM-soybean adopted by other </w:t>
            </w:r>
            <m:oMath>
              <m:r>
                <w:rPr>
                  <w:rFonts w:ascii="Cambria Math" w:hAnsi="Cambria Math" w:cs="Times"/>
                  <w:sz w:val="18"/>
                  <w:szCs w:val="18"/>
                  <w:lang w:val="en-US"/>
                </w:rPr>
                <m:t xml:space="preserve">j’s. </m:t>
              </m:r>
            </m:oMath>
            <w:r w:rsidRPr="00A7356B">
              <w:rPr>
                <w:rFonts w:ascii="Times" w:hAnsi="Times" w:cs="Times"/>
                <w:sz w:val="18"/>
                <w:szCs w:val="18"/>
                <w:lang w:val="en-US"/>
              </w:rPr>
              <w:t xml:space="preserve">Raw data includes approval of GM-variety in producing countries. </w:t>
            </w:r>
          </w:p>
        </w:tc>
        <w:tc>
          <w:tcPr>
            <w:tcW w:w="1026" w:type="pct"/>
          </w:tcPr>
          <w:p w14:paraId="5CC1C672"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r w:rsidRPr="00A7356B">
              <w:rPr>
                <w:rFonts w:ascii="Times" w:hAnsi="Times" w:cs="Times"/>
                <w:sz w:val="18"/>
                <w:szCs w:val="18"/>
                <w:lang w:val="en-US"/>
              </w:rPr>
              <w:t>ISAAA approval database</w:t>
            </w:r>
          </w:p>
        </w:tc>
      </w:tr>
      <w:tr w:rsidR="00047ADA" w:rsidRPr="00A7356B" w14:paraId="3E2691E8" w14:textId="77777777" w:rsidTr="00047ADA">
        <w:tc>
          <w:tcPr>
            <w:tcW w:w="874" w:type="pct"/>
            <w:tcMar>
              <w:top w:w="20" w:type="nil"/>
              <w:left w:w="20" w:type="nil"/>
              <w:bottom w:w="20" w:type="nil"/>
              <w:right w:w="20" w:type="nil"/>
            </w:tcMar>
            <w:vAlign w:val="center"/>
          </w:tcPr>
          <w:p w14:paraId="046F5088"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r w:rsidRPr="00A7356B">
              <w:rPr>
                <w:rFonts w:ascii="Times" w:hAnsi="Times" w:cs="Times"/>
                <w:sz w:val="18"/>
                <w:szCs w:val="18"/>
                <w:lang w:val="en-US"/>
              </w:rPr>
              <w:t>Demand Lag</w:t>
            </w:r>
          </w:p>
        </w:tc>
        <w:tc>
          <w:tcPr>
            <w:tcW w:w="3100" w:type="pct"/>
          </w:tcPr>
          <w:p w14:paraId="3D711359" w14:textId="77777777" w:rsidR="00047ADA" w:rsidRPr="00A7356B" w:rsidRDefault="00047ADA" w:rsidP="00047ADA">
            <w:pPr>
              <w:widowControl w:val="0"/>
              <w:autoSpaceDE w:val="0"/>
              <w:autoSpaceDN w:val="0"/>
              <w:adjustRightInd w:val="0"/>
              <w:jc w:val="both"/>
              <w:rPr>
                <w:rFonts w:ascii="Times" w:hAnsi="Times" w:cs="Times"/>
                <w:sz w:val="18"/>
                <w:szCs w:val="18"/>
                <w:lang w:val="en-US"/>
              </w:rPr>
            </w:pPr>
            <w:r w:rsidRPr="00A7356B">
              <w:rPr>
                <w:rFonts w:ascii="Times" w:hAnsi="Times" w:cs="Times"/>
                <w:sz w:val="18"/>
                <w:szCs w:val="18"/>
                <w:lang w:val="en-US"/>
              </w:rPr>
              <w:t xml:space="preserve">Variable calculated as the difference between number of approved varieties for production in country </w:t>
            </w:r>
            <m:oMath>
              <m:r>
                <w:rPr>
                  <w:rFonts w:ascii="Cambria Math" w:hAnsi="Cambria Math" w:cs="Times"/>
                  <w:sz w:val="18"/>
                  <w:szCs w:val="18"/>
                  <w:lang w:val="en-US"/>
                </w:rPr>
                <m:t>j</m:t>
              </m:r>
            </m:oMath>
            <w:r w:rsidRPr="00A7356B">
              <w:rPr>
                <w:rFonts w:ascii="Times" w:hAnsi="Times" w:cs="Times"/>
                <w:sz w:val="18"/>
                <w:szCs w:val="18"/>
                <w:lang w:val="en-US"/>
              </w:rPr>
              <w:t xml:space="preserve"> and the total varieties approved for consumption in country </w:t>
            </w:r>
            <m:oMath>
              <m:r>
                <w:rPr>
                  <w:rFonts w:ascii="Cambria Math" w:hAnsi="Cambria Math" w:cs="Times"/>
                  <w:sz w:val="18"/>
                  <w:szCs w:val="18"/>
                  <w:lang w:val="en-US"/>
                </w:rPr>
                <m:t>i</m:t>
              </m:r>
            </m:oMath>
            <w:r w:rsidRPr="00A7356B">
              <w:rPr>
                <w:rFonts w:ascii="Times" w:hAnsi="Times" w:cs="Times"/>
                <w:sz w:val="18"/>
                <w:szCs w:val="18"/>
                <w:lang w:val="en-US"/>
              </w:rPr>
              <w:t>. Original data includes approval of GM-variety in producing and importing countries.</w:t>
            </w:r>
          </w:p>
        </w:tc>
        <w:tc>
          <w:tcPr>
            <w:tcW w:w="1026" w:type="pct"/>
          </w:tcPr>
          <w:p w14:paraId="36002209" w14:textId="77777777" w:rsidR="00047ADA" w:rsidRPr="00A7356B" w:rsidRDefault="00047ADA" w:rsidP="00047ADA">
            <w:pPr>
              <w:widowControl w:val="0"/>
              <w:autoSpaceDE w:val="0"/>
              <w:autoSpaceDN w:val="0"/>
              <w:adjustRightInd w:val="0"/>
              <w:jc w:val="center"/>
              <w:rPr>
                <w:rFonts w:ascii="Times" w:hAnsi="Times" w:cs="Times"/>
                <w:sz w:val="18"/>
                <w:szCs w:val="18"/>
                <w:lang w:val="en-US"/>
              </w:rPr>
            </w:pPr>
            <w:r w:rsidRPr="00A7356B">
              <w:rPr>
                <w:rFonts w:ascii="Times" w:hAnsi="Times" w:cs="Times"/>
                <w:sz w:val="18"/>
                <w:szCs w:val="18"/>
                <w:lang w:val="en-US"/>
              </w:rPr>
              <w:t>ISAAA approval database</w:t>
            </w:r>
          </w:p>
        </w:tc>
      </w:tr>
    </w:tbl>
    <w:p w14:paraId="4166A1B5" w14:textId="50B8A868" w:rsidR="00D30D82" w:rsidRDefault="00047ADA" w:rsidP="00A72E34">
      <w:pPr>
        <w:pStyle w:val="Fonte"/>
        <w:rPr>
          <w:rFonts w:ascii="Times" w:hAnsi="Times"/>
        </w:rPr>
      </w:pPr>
      <w:r w:rsidRPr="00A7356B">
        <w:rPr>
          <w:rFonts w:ascii="Times" w:hAnsi="Times"/>
        </w:rPr>
        <w:t xml:space="preserve"> </w:t>
      </w:r>
      <w:proofErr w:type="spellStart"/>
      <w:r w:rsidRPr="00A7356B">
        <w:rPr>
          <w:rFonts w:ascii="Times" w:hAnsi="Times"/>
        </w:rPr>
        <w:t>Source</w:t>
      </w:r>
      <w:proofErr w:type="spellEnd"/>
      <w:r w:rsidRPr="00A7356B">
        <w:rPr>
          <w:rFonts w:ascii="Times" w:hAnsi="Times"/>
        </w:rPr>
        <w:t xml:space="preserve">: </w:t>
      </w:r>
      <w:proofErr w:type="spellStart"/>
      <w:r w:rsidRPr="00A7356B">
        <w:rPr>
          <w:rFonts w:ascii="Times" w:hAnsi="Times"/>
        </w:rPr>
        <w:t>Prepared</w:t>
      </w:r>
      <w:proofErr w:type="spellEnd"/>
      <w:r w:rsidRPr="00A7356B">
        <w:rPr>
          <w:rFonts w:ascii="Times" w:hAnsi="Times"/>
        </w:rPr>
        <w:t xml:space="preserve"> </w:t>
      </w:r>
      <w:proofErr w:type="spellStart"/>
      <w:r w:rsidRPr="00A7356B">
        <w:rPr>
          <w:rFonts w:ascii="Times" w:hAnsi="Times"/>
        </w:rPr>
        <w:t>by</w:t>
      </w:r>
      <w:proofErr w:type="spellEnd"/>
      <w:r w:rsidRPr="00A7356B">
        <w:rPr>
          <w:rFonts w:ascii="Times" w:hAnsi="Times"/>
        </w:rPr>
        <w:t xml:space="preserve"> </w:t>
      </w:r>
      <w:proofErr w:type="spellStart"/>
      <w:r w:rsidRPr="00A7356B">
        <w:rPr>
          <w:rFonts w:ascii="Times" w:hAnsi="Times"/>
        </w:rPr>
        <w:t>the</w:t>
      </w:r>
      <w:proofErr w:type="spellEnd"/>
      <w:r w:rsidRPr="00A7356B">
        <w:rPr>
          <w:rFonts w:ascii="Times" w:hAnsi="Times"/>
        </w:rPr>
        <w:t xml:space="preserve"> </w:t>
      </w:r>
      <w:proofErr w:type="spellStart"/>
      <w:r w:rsidRPr="00A7356B">
        <w:rPr>
          <w:rFonts w:ascii="Times" w:hAnsi="Times"/>
        </w:rPr>
        <w:t>author</w:t>
      </w:r>
      <w:proofErr w:type="spellEnd"/>
      <w:r w:rsidRPr="00A7356B">
        <w:rPr>
          <w:rFonts w:ascii="Times" w:hAnsi="Times"/>
        </w:rPr>
        <w:t>.</w:t>
      </w:r>
    </w:p>
    <w:p w14:paraId="5721907F" w14:textId="77777777" w:rsidR="00A72E34" w:rsidRPr="00A7356B" w:rsidRDefault="00A72E34" w:rsidP="00A72E34">
      <w:pPr>
        <w:pStyle w:val="Fonte"/>
        <w:rPr>
          <w:rFonts w:ascii="Times" w:hAnsi="Times"/>
        </w:rPr>
      </w:pPr>
    </w:p>
    <w:p w14:paraId="1F291D7F" w14:textId="77777777" w:rsidR="00047ADA" w:rsidRPr="00A7356B" w:rsidRDefault="00047ADA" w:rsidP="00047ADA">
      <w:pPr>
        <w:pStyle w:val="Caption"/>
      </w:pPr>
      <w:r w:rsidRPr="00A7356B">
        <w:t xml:space="preserve">Table </w:t>
      </w:r>
      <w:r w:rsidR="005008E5">
        <w:fldChar w:fldCharType="begin"/>
      </w:r>
      <w:r w:rsidR="005008E5">
        <w:instrText xml:space="preserve"> SEQ Table \* ARABIC </w:instrText>
      </w:r>
      <w:r w:rsidR="005008E5">
        <w:fldChar w:fldCharType="separate"/>
      </w:r>
      <w:r w:rsidR="003A5A14">
        <w:rPr>
          <w:noProof/>
        </w:rPr>
        <w:t>1</w:t>
      </w:r>
      <w:r w:rsidR="005008E5">
        <w:rPr>
          <w:noProof/>
        </w:rPr>
        <w:fldChar w:fldCharType="end"/>
      </w:r>
      <w:r w:rsidRPr="00A7356B">
        <w:t xml:space="preserve"> – Descriptive Statistics</w:t>
      </w:r>
    </w:p>
    <w:tbl>
      <w:tblPr>
        <w:tblW w:w="0" w:type="auto"/>
        <w:jc w:val="center"/>
        <w:tblBorders>
          <w:top w:val="nil"/>
          <w:left w:val="nil"/>
          <w:right w:val="nil"/>
        </w:tblBorders>
        <w:tblLayout w:type="fixed"/>
        <w:tblLook w:val="0000" w:firstRow="0" w:lastRow="0" w:firstColumn="0" w:lastColumn="0" w:noHBand="0" w:noVBand="0"/>
      </w:tblPr>
      <w:tblGrid>
        <w:gridCol w:w="1980"/>
        <w:gridCol w:w="720"/>
        <w:gridCol w:w="1280"/>
        <w:gridCol w:w="1280"/>
        <w:gridCol w:w="720"/>
        <w:gridCol w:w="2080"/>
      </w:tblGrid>
      <w:tr w:rsidR="00047ADA" w:rsidRPr="00A7356B" w14:paraId="33B985A8" w14:textId="77777777" w:rsidTr="00047ADA">
        <w:trPr>
          <w:jc w:val="center"/>
        </w:trPr>
        <w:tc>
          <w:tcPr>
            <w:tcW w:w="1980" w:type="dxa"/>
            <w:tcBorders>
              <w:top w:val="single" w:sz="4" w:space="0" w:color="auto"/>
            </w:tcBorders>
            <w:tcMar>
              <w:top w:w="20" w:type="nil"/>
              <w:left w:w="20" w:type="nil"/>
              <w:bottom w:w="20" w:type="nil"/>
              <w:right w:w="20" w:type="nil"/>
            </w:tcMar>
            <w:vAlign w:val="center"/>
          </w:tcPr>
          <w:p w14:paraId="075D60CA" w14:textId="77777777" w:rsidR="00047ADA" w:rsidRPr="00A7356B" w:rsidRDefault="00047ADA" w:rsidP="00047ADA">
            <w:pPr>
              <w:widowControl w:val="0"/>
              <w:autoSpaceDE w:val="0"/>
              <w:autoSpaceDN w:val="0"/>
              <w:adjustRightInd w:val="0"/>
              <w:jc w:val="center"/>
              <w:rPr>
                <w:rFonts w:ascii="Times" w:hAnsi="Times" w:cs="Times"/>
                <w:b/>
                <w:sz w:val="20"/>
                <w:szCs w:val="20"/>
                <w:lang w:val="en-US"/>
              </w:rPr>
            </w:pPr>
            <w:r w:rsidRPr="00A7356B">
              <w:rPr>
                <w:rFonts w:ascii="Times" w:hAnsi="Times" w:cs="Times"/>
                <w:b/>
                <w:sz w:val="20"/>
                <w:szCs w:val="20"/>
                <w:lang w:val="en-US"/>
              </w:rPr>
              <w:t>Statistic</w:t>
            </w:r>
          </w:p>
        </w:tc>
        <w:tc>
          <w:tcPr>
            <w:tcW w:w="720" w:type="dxa"/>
            <w:tcBorders>
              <w:top w:val="single" w:sz="4" w:space="0" w:color="auto"/>
            </w:tcBorders>
            <w:tcMar>
              <w:top w:w="20" w:type="nil"/>
              <w:left w:w="20" w:type="nil"/>
              <w:bottom w:w="20" w:type="nil"/>
              <w:right w:w="20" w:type="nil"/>
            </w:tcMar>
            <w:vAlign w:val="center"/>
          </w:tcPr>
          <w:p w14:paraId="2456DC15" w14:textId="77777777" w:rsidR="00047ADA" w:rsidRPr="00A7356B" w:rsidRDefault="00047ADA" w:rsidP="00047ADA">
            <w:pPr>
              <w:widowControl w:val="0"/>
              <w:autoSpaceDE w:val="0"/>
              <w:autoSpaceDN w:val="0"/>
              <w:adjustRightInd w:val="0"/>
              <w:jc w:val="center"/>
              <w:rPr>
                <w:rFonts w:ascii="Times" w:hAnsi="Times" w:cs="Times"/>
                <w:b/>
                <w:sz w:val="20"/>
                <w:szCs w:val="20"/>
                <w:lang w:val="en-US"/>
              </w:rPr>
            </w:pPr>
            <w:r w:rsidRPr="00A7356B">
              <w:rPr>
                <w:rFonts w:ascii="Times" w:hAnsi="Times" w:cs="Times"/>
                <w:b/>
                <w:sz w:val="20"/>
                <w:szCs w:val="20"/>
                <w:lang w:val="en-US"/>
              </w:rPr>
              <w:t>N</w:t>
            </w:r>
          </w:p>
        </w:tc>
        <w:tc>
          <w:tcPr>
            <w:tcW w:w="1280" w:type="dxa"/>
            <w:tcBorders>
              <w:top w:val="single" w:sz="4" w:space="0" w:color="auto"/>
            </w:tcBorders>
            <w:tcMar>
              <w:top w:w="20" w:type="nil"/>
              <w:left w:w="20" w:type="nil"/>
              <w:bottom w:w="20" w:type="nil"/>
              <w:right w:w="20" w:type="nil"/>
            </w:tcMar>
            <w:vAlign w:val="center"/>
          </w:tcPr>
          <w:p w14:paraId="3345DC09" w14:textId="77777777" w:rsidR="00047ADA" w:rsidRPr="00A7356B" w:rsidRDefault="00047ADA" w:rsidP="00047ADA">
            <w:pPr>
              <w:widowControl w:val="0"/>
              <w:autoSpaceDE w:val="0"/>
              <w:autoSpaceDN w:val="0"/>
              <w:adjustRightInd w:val="0"/>
              <w:jc w:val="center"/>
              <w:rPr>
                <w:rFonts w:ascii="Times" w:hAnsi="Times" w:cs="Times"/>
                <w:b/>
                <w:sz w:val="20"/>
                <w:szCs w:val="20"/>
                <w:lang w:val="en-US"/>
              </w:rPr>
            </w:pPr>
            <w:r w:rsidRPr="00A7356B">
              <w:rPr>
                <w:rFonts w:ascii="Times" w:hAnsi="Times" w:cs="Times"/>
                <w:b/>
                <w:sz w:val="20"/>
                <w:szCs w:val="20"/>
                <w:lang w:val="en-US"/>
              </w:rPr>
              <w:t>Mean</w:t>
            </w:r>
          </w:p>
        </w:tc>
        <w:tc>
          <w:tcPr>
            <w:tcW w:w="1280" w:type="dxa"/>
            <w:tcBorders>
              <w:top w:val="single" w:sz="4" w:space="0" w:color="auto"/>
            </w:tcBorders>
            <w:tcMar>
              <w:top w:w="20" w:type="nil"/>
              <w:left w:w="20" w:type="nil"/>
              <w:bottom w:w="20" w:type="nil"/>
              <w:right w:w="20" w:type="nil"/>
            </w:tcMar>
            <w:vAlign w:val="center"/>
          </w:tcPr>
          <w:p w14:paraId="1A1706E9" w14:textId="77777777" w:rsidR="00047ADA" w:rsidRPr="00A7356B" w:rsidRDefault="00047ADA" w:rsidP="00047ADA">
            <w:pPr>
              <w:widowControl w:val="0"/>
              <w:autoSpaceDE w:val="0"/>
              <w:autoSpaceDN w:val="0"/>
              <w:adjustRightInd w:val="0"/>
              <w:jc w:val="center"/>
              <w:rPr>
                <w:rFonts w:ascii="Times" w:hAnsi="Times" w:cs="Times"/>
                <w:b/>
                <w:sz w:val="20"/>
                <w:szCs w:val="20"/>
                <w:lang w:val="en-US"/>
              </w:rPr>
            </w:pPr>
            <w:r w:rsidRPr="00A7356B">
              <w:rPr>
                <w:rFonts w:ascii="Times" w:hAnsi="Times" w:cs="Times"/>
                <w:b/>
                <w:sz w:val="20"/>
                <w:szCs w:val="20"/>
                <w:lang w:val="en-US"/>
              </w:rPr>
              <w:t>St. Dev.</w:t>
            </w:r>
          </w:p>
        </w:tc>
        <w:tc>
          <w:tcPr>
            <w:tcW w:w="720" w:type="dxa"/>
            <w:tcBorders>
              <w:top w:val="single" w:sz="4" w:space="0" w:color="auto"/>
            </w:tcBorders>
            <w:tcMar>
              <w:top w:w="20" w:type="nil"/>
              <w:left w:w="20" w:type="nil"/>
              <w:bottom w:w="20" w:type="nil"/>
              <w:right w:w="20" w:type="nil"/>
            </w:tcMar>
            <w:vAlign w:val="center"/>
          </w:tcPr>
          <w:p w14:paraId="0070D09F" w14:textId="77777777" w:rsidR="00047ADA" w:rsidRPr="00A7356B" w:rsidRDefault="00047ADA" w:rsidP="00047ADA">
            <w:pPr>
              <w:widowControl w:val="0"/>
              <w:autoSpaceDE w:val="0"/>
              <w:autoSpaceDN w:val="0"/>
              <w:adjustRightInd w:val="0"/>
              <w:jc w:val="center"/>
              <w:rPr>
                <w:rFonts w:ascii="Times" w:hAnsi="Times" w:cs="Times"/>
                <w:b/>
                <w:sz w:val="20"/>
                <w:szCs w:val="20"/>
                <w:lang w:val="en-US"/>
              </w:rPr>
            </w:pPr>
            <w:r w:rsidRPr="00A7356B">
              <w:rPr>
                <w:rFonts w:ascii="Times" w:hAnsi="Times" w:cs="Times"/>
                <w:b/>
                <w:sz w:val="20"/>
                <w:szCs w:val="20"/>
                <w:lang w:val="en-US"/>
              </w:rPr>
              <w:t>Min</w:t>
            </w:r>
          </w:p>
        </w:tc>
        <w:tc>
          <w:tcPr>
            <w:tcW w:w="2080" w:type="dxa"/>
            <w:tcBorders>
              <w:top w:val="single" w:sz="4" w:space="0" w:color="auto"/>
            </w:tcBorders>
            <w:tcMar>
              <w:top w:w="20" w:type="nil"/>
              <w:left w:w="20" w:type="nil"/>
              <w:bottom w:w="20" w:type="nil"/>
              <w:right w:w="20" w:type="nil"/>
            </w:tcMar>
            <w:vAlign w:val="center"/>
          </w:tcPr>
          <w:p w14:paraId="03000B2E" w14:textId="77777777" w:rsidR="00047ADA" w:rsidRPr="00A7356B" w:rsidRDefault="00047ADA" w:rsidP="00047ADA">
            <w:pPr>
              <w:widowControl w:val="0"/>
              <w:autoSpaceDE w:val="0"/>
              <w:autoSpaceDN w:val="0"/>
              <w:adjustRightInd w:val="0"/>
              <w:jc w:val="center"/>
              <w:rPr>
                <w:rFonts w:ascii="Times" w:hAnsi="Times" w:cs="Times"/>
                <w:b/>
                <w:sz w:val="20"/>
                <w:szCs w:val="20"/>
                <w:lang w:val="en-US"/>
              </w:rPr>
            </w:pPr>
            <w:r w:rsidRPr="00A7356B">
              <w:rPr>
                <w:rFonts w:ascii="Times" w:hAnsi="Times" w:cs="Times"/>
                <w:b/>
                <w:sz w:val="20"/>
                <w:szCs w:val="20"/>
                <w:lang w:val="en-US"/>
              </w:rPr>
              <w:t>Max</w:t>
            </w:r>
          </w:p>
        </w:tc>
      </w:tr>
      <w:tr w:rsidR="00047ADA" w:rsidRPr="00A7356B" w14:paraId="69570C4A" w14:textId="77777777" w:rsidTr="00047ADA">
        <w:tblPrEx>
          <w:tblBorders>
            <w:top w:val="none" w:sz="0" w:space="0" w:color="auto"/>
          </w:tblBorders>
        </w:tblPrEx>
        <w:trPr>
          <w:jc w:val="center"/>
        </w:trPr>
        <w:tc>
          <w:tcPr>
            <w:tcW w:w="8060" w:type="dxa"/>
            <w:gridSpan w:val="6"/>
            <w:tcBorders>
              <w:bottom w:val="single" w:sz="8" w:space="0" w:color="000000"/>
            </w:tcBorders>
            <w:tcMar>
              <w:top w:w="20" w:type="nil"/>
              <w:left w:w="20" w:type="nil"/>
              <w:bottom w:w="20" w:type="nil"/>
              <w:right w:w="20" w:type="nil"/>
            </w:tcMar>
            <w:vAlign w:val="center"/>
          </w:tcPr>
          <w:p w14:paraId="6F4947DE"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p>
        </w:tc>
      </w:tr>
      <w:tr w:rsidR="00047ADA" w:rsidRPr="00A7356B" w14:paraId="4666DAB9" w14:textId="77777777" w:rsidTr="00047ADA">
        <w:tblPrEx>
          <w:tblBorders>
            <w:top w:val="none" w:sz="0" w:space="0" w:color="auto"/>
          </w:tblBorders>
        </w:tblPrEx>
        <w:trPr>
          <w:jc w:val="center"/>
        </w:trPr>
        <w:tc>
          <w:tcPr>
            <w:tcW w:w="1980" w:type="dxa"/>
            <w:tcMar>
              <w:top w:w="20" w:type="nil"/>
              <w:left w:w="20" w:type="nil"/>
              <w:bottom w:w="20" w:type="nil"/>
              <w:right w:w="20" w:type="nil"/>
            </w:tcMar>
            <w:vAlign w:val="center"/>
          </w:tcPr>
          <w:p w14:paraId="4B7F660C" w14:textId="77777777" w:rsidR="00047ADA" w:rsidRPr="00A7356B" w:rsidRDefault="00047ADA" w:rsidP="00047ADA">
            <w:pPr>
              <w:widowControl w:val="0"/>
              <w:autoSpaceDE w:val="0"/>
              <w:autoSpaceDN w:val="0"/>
              <w:adjustRightInd w:val="0"/>
              <w:jc w:val="center"/>
              <w:rPr>
                <w:rFonts w:ascii="Times" w:hAnsi="Times" w:cs="Times"/>
                <w:i/>
                <w:sz w:val="20"/>
                <w:szCs w:val="20"/>
                <w:lang w:val="en-US"/>
              </w:rPr>
            </w:pPr>
            <w:proofErr w:type="gramStart"/>
            <w:r w:rsidRPr="00A7356B">
              <w:rPr>
                <w:rFonts w:ascii="Times" w:hAnsi="Times" w:cs="Times"/>
                <w:i/>
                <w:sz w:val="20"/>
                <w:szCs w:val="20"/>
                <w:lang w:val="en-US"/>
              </w:rPr>
              <w:t>t</w:t>
            </w:r>
            <w:proofErr w:type="gramEnd"/>
          </w:p>
        </w:tc>
        <w:tc>
          <w:tcPr>
            <w:tcW w:w="720" w:type="dxa"/>
            <w:tcMar>
              <w:top w:w="20" w:type="nil"/>
              <w:left w:w="20" w:type="nil"/>
              <w:bottom w:w="20" w:type="nil"/>
              <w:right w:w="20" w:type="nil"/>
            </w:tcMar>
            <w:vAlign w:val="center"/>
          </w:tcPr>
          <w:p w14:paraId="717ABB2A"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6,634</w:t>
            </w:r>
          </w:p>
        </w:tc>
        <w:tc>
          <w:tcPr>
            <w:tcW w:w="1280" w:type="dxa"/>
            <w:tcMar>
              <w:top w:w="20" w:type="nil"/>
              <w:left w:w="20" w:type="nil"/>
              <w:bottom w:w="20" w:type="nil"/>
              <w:right w:w="20" w:type="nil"/>
            </w:tcMar>
            <w:vAlign w:val="center"/>
          </w:tcPr>
          <w:p w14:paraId="0C6B2E2D"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2,003.9</w:t>
            </w:r>
          </w:p>
        </w:tc>
        <w:tc>
          <w:tcPr>
            <w:tcW w:w="1280" w:type="dxa"/>
            <w:tcMar>
              <w:top w:w="20" w:type="nil"/>
              <w:left w:w="20" w:type="nil"/>
              <w:bottom w:w="20" w:type="nil"/>
              <w:right w:w="20" w:type="nil"/>
            </w:tcMar>
            <w:vAlign w:val="center"/>
          </w:tcPr>
          <w:p w14:paraId="06D727D4"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5.0</w:t>
            </w:r>
          </w:p>
        </w:tc>
        <w:tc>
          <w:tcPr>
            <w:tcW w:w="720" w:type="dxa"/>
            <w:tcMar>
              <w:top w:w="20" w:type="nil"/>
              <w:left w:w="20" w:type="nil"/>
              <w:bottom w:w="20" w:type="nil"/>
              <w:right w:w="20" w:type="nil"/>
            </w:tcMar>
            <w:vAlign w:val="center"/>
          </w:tcPr>
          <w:p w14:paraId="071F9B54"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1,995</w:t>
            </w:r>
          </w:p>
        </w:tc>
        <w:tc>
          <w:tcPr>
            <w:tcW w:w="2080" w:type="dxa"/>
            <w:tcMar>
              <w:top w:w="20" w:type="nil"/>
              <w:left w:w="20" w:type="nil"/>
              <w:bottom w:w="20" w:type="nil"/>
              <w:right w:w="20" w:type="nil"/>
            </w:tcMar>
            <w:vAlign w:val="center"/>
          </w:tcPr>
          <w:p w14:paraId="6296988A"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2,012</w:t>
            </w:r>
          </w:p>
        </w:tc>
      </w:tr>
      <w:tr w:rsidR="00047ADA" w:rsidRPr="00A7356B" w14:paraId="49C66BE6" w14:textId="77777777" w:rsidTr="00047ADA">
        <w:tblPrEx>
          <w:tblBorders>
            <w:top w:val="none" w:sz="0" w:space="0" w:color="auto"/>
          </w:tblBorders>
        </w:tblPrEx>
        <w:trPr>
          <w:jc w:val="center"/>
        </w:trPr>
        <w:tc>
          <w:tcPr>
            <w:tcW w:w="1980" w:type="dxa"/>
            <w:tcMar>
              <w:top w:w="20" w:type="nil"/>
              <w:left w:w="20" w:type="nil"/>
              <w:bottom w:w="20" w:type="nil"/>
              <w:right w:w="20" w:type="nil"/>
            </w:tcMar>
            <w:vAlign w:val="center"/>
          </w:tcPr>
          <w:p w14:paraId="72E1B6F5" w14:textId="77777777" w:rsidR="00047ADA" w:rsidRPr="00A7356B" w:rsidRDefault="00047ADA" w:rsidP="00047ADA">
            <w:pPr>
              <w:widowControl w:val="0"/>
              <w:autoSpaceDE w:val="0"/>
              <w:autoSpaceDN w:val="0"/>
              <w:adjustRightInd w:val="0"/>
              <w:jc w:val="center"/>
              <w:rPr>
                <w:rFonts w:ascii="Times" w:hAnsi="Times" w:cs="Times"/>
                <w:i/>
                <w:sz w:val="20"/>
                <w:szCs w:val="20"/>
                <w:lang w:val="en-US"/>
              </w:rPr>
            </w:pPr>
            <w:r w:rsidRPr="00A7356B">
              <w:rPr>
                <w:rFonts w:ascii="Times" w:hAnsi="Times" w:cs="Times"/>
                <w:i/>
                <w:sz w:val="20"/>
                <w:szCs w:val="20"/>
                <w:lang w:val="en-US"/>
              </w:rPr>
              <w:t xml:space="preserve">Bilateral Trade </w:t>
            </w:r>
          </w:p>
        </w:tc>
        <w:tc>
          <w:tcPr>
            <w:tcW w:w="720" w:type="dxa"/>
            <w:tcMar>
              <w:top w:w="20" w:type="nil"/>
              <w:left w:w="20" w:type="nil"/>
              <w:bottom w:w="20" w:type="nil"/>
              <w:right w:w="20" w:type="nil"/>
            </w:tcMar>
            <w:vAlign w:val="center"/>
          </w:tcPr>
          <w:p w14:paraId="5834C758"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6,634</w:t>
            </w:r>
          </w:p>
        </w:tc>
        <w:tc>
          <w:tcPr>
            <w:tcW w:w="1280" w:type="dxa"/>
            <w:tcMar>
              <w:top w:w="20" w:type="nil"/>
              <w:left w:w="20" w:type="nil"/>
              <w:bottom w:w="20" w:type="nil"/>
              <w:right w:w="20" w:type="nil"/>
            </w:tcMar>
            <w:vAlign w:val="center"/>
          </w:tcPr>
          <w:p w14:paraId="7BD05BFF"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5.6</w:t>
            </w:r>
          </w:p>
        </w:tc>
        <w:tc>
          <w:tcPr>
            <w:tcW w:w="1280" w:type="dxa"/>
            <w:tcMar>
              <w:top w:w="20" w:type="nil"/>
              <w:left w:w="20" w:type="nil"/>
              <w:bottom w:w="20" w:type="nil"/>
              <w:right w:w="20" w:type="nil"/>
            </w:tcMar>
            <w:vAlign w:val="center"/>
          </w:tcPr>
          <w:p w14:paraId="03664E76"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3.6</w:t>
            </w:r>
          </w:p>
        </w:tc>
        <w:tc>
          <w:tcPr>
            <w:tcW w:w="720" w:type="dxa"/>
            <w:tcMar>
              <w:top w:w="20" w:type="nil"/>
              <w:left w:w="20" w:type="nil"/>
              <w:bottom w:w="20" w:type="nil"/>
              <w:right w:w="20" w:type="nil"/>
            </w:tcMar>
            <w:vAlign w:val="center"/>
          </w:tcPr>
          <w:p w14:paraId="06DCAC0F"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0.0</w:t>
            </w:r>
          </w:p>
        </w:tc>
        <w:tc>
          <w:tcPr>
            <w:tcW w:w="2080" w:type="dxa"/>
            <w:tcMar>
              <w:top w:w="20" w:type="nil"/>
              <w:left w:w="20" w:type="nil"/>
              <w:bottom w:w="20" w:type="nil"/>
              <w:right w:w="20" w:type="nil"/>
            </w:tcMar>
            <w:vAlign w:val="center"/>
          </w:tcPr>
          <w:p w14:paraId="5AC16ED9"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16.5</w:t>
            </w:r>
          </w:p>
        </w:tc>
      </w:tr>
      <w:tr w:rsidR="00047ADA" w:rsidRPr="00A7356B" w14:paraId="625199AD" w14:textId="77777777" w:rsidTr="00047ADA">
        <w:tblPrEx>
          <w:tblBorders>
            <w:top w:val="none" w:sz="0" w:space="0" w:color="auto"/>
          </w:tblBorders>
        </w:tblPrEx>
        <w:trPr>
          <w:jc w:val="center"/>
        </w:trPr>
        <w:tc>
          <w:tcPr>
            <w:tcW w:w="1980" w:type="dxa"/>
            <w:tcMar>
              <w:top w:w="20" w:type="nil"/>
              <w:left w:w="20" w:type="nil"/>
              <w:bottom w:w="20" w:type="nil"/>
              <w:right w:w="20" w:type="nil"/>
            </w:tcMar>
            <w:vAlign w:val="center"/>
          </w:tcPr>
          <w:p w14:paraId="5C263410" w14:textId="77777777" w:rsidR="00047ADA" w:rsidRPr="00A7356B" w:rsidRDefault="00047ADA" w:rsidP="00047ADA">
            <w:pPr>
              <w:widowControl w:val="0"/>
              <w:autoSpaceDE w:val="0"/>
              <w:autoSpaceDN w:val="0"/>
              <w:adjustRightInd w:val="0"/>
              <w:jc w:val="center"/>
              <w:rPr>
                <w:rFonts w:ascii="Times" w:hAnsi="Times" w:cs="Times"/>
                <w:i/>
                <w:sz w:val="20"/>
                <w:szCs w:val="20"/>
                <w:lang w:val="en-US"/>
              </w:rPr>
            </w:pPr>
            <w:r w:rsidRPr="00A7356B">
              <w:rPr>
                <w:rFonts w:ascii="Times" w:hAnsi="Times" w:cs="Times"/>
                <w:i/>
                <w:sz w:val="20"/>
                <w:szCs w:val="20"/>
                <w:lang w:val="en-US"/>
              </w:rPr>
              <w:t xml:space="preserve">Production </w:t>
            </w:r>
            <m:oMath>
              <m:r>
                <w:rPr>
                  <w:rFonts w:ascii="Cambria Math" w:hAnsi="Cambria Math" w:cs="Times"/>
                  <w:sz w:val="20"/>
                  <w:szCs w:val="20"/>
                  <w:lang w:val="en-US"/>
                </w:rPr>
                <m:t>j</m:t>
              </m:r>
            </m:oMath>
          </w:p>
        </w:tc>
        <w:tc>
          <w:tcPr>
            <w:tcW w:w="720" w:type="dxa"/>
            <w:tcMar>
              <w:top w:w="20" w:type="nil"/>
              <w:left w:w="20" w:type="nil"/>
              <w:bottom w:w="20" w:type="nil"/>
              <w:right w:w="20" w:type="nil"/>
            </w:tcMar>
            <w:vAlign w:val="center"/>
          </w:tcPr>
          <w:p w14:paraId="40A83E07"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6,634</w:t>
            </w:r>
          </w:p>
        </w:tc>
        <w:tc>
          <w:tcPr>
            <w:tcW w:w="1280" w:type="dxa"/>
            <w:tcMar>
              <w:top w:w="20" w:type="nil"/>
              <w:left w:w="20" w:type="nil"/>
              <w:bottom w:w="20" w:type="nil"/>
              <w:right w:w="20" w:type="nil"/>
            </w:tcMar>
            <w:vAlign w:val="center"/>
          </w:tcPr>
          <w:p w14:paraId="116061D2"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13.7</w:t>
            </w:r>
          </w:p>
        </w:tc>
        <w:tc>
          <w:tcPr>
            <w:tcW w:w="1280" w:type="dxa"/>
            <w:tcMar>
              <w:top w:w="20" w:type="nil"/>
              <w:left w:w="20" w:type="nil"/>
              <w:bottom w:w="20" w:type="nil"/>
              <w:right w:w="20" w:type="nil"/>
            </w:tcMar>
            <w:vAlign w:val="center"/>
          </w:tcPr>
          <w:p w14:paraId="39956F82"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3.5</w:t>
            </w:r>
          </w:p>
        </w:tc>
        <w:tc>
          <w:tcPr>
            <w:tcW w:w="720" w:type="dxa"/>
            <w:tcMar>
              <w:top w:w="20" w:type="nil"/>
              <w:left w:w="20" w:type="nil"/>
              <w:bottom w:w="20" w:type="nil"/>
              <w:right w:w="20" w:type="nil"/>
            </w:tcMar>
            <w:vAlign w:val="center"/>
          </w:tcPr>
          <w:p w14:paraId="34E3AD3D"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3.4</w:t>
            </w:r>
          </w:p>
        </w:tc>
        <w:tc>
          <w:tcPr>
            <w:tcW w:w="2080" w:type="dxa"/>
            <w:tcMar>
              <w:top w:w="20" w:type="nil"/>
              <w:left w:w="20" w:type="nil"/>
              <w:bottom w:w="20" w:type="nil"/>
              <w:right w:w="20" w:type="nil"/>
            </w:tcMar>
            <w:vAlign w:val="center"/>
          </w:tcPr>
          <w:p w14:paraId="1D79BCED"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18.3</w:t>
            </w:r>
          </w:p>
        </w:tc>
      </w:tr>
      <w:tr w:rsidR="00047ADA" w:rsidRPr="00A7356B" w14:paraId="65CA99C7" w14:textId="77777777" w:rsidTr="00047ADA">
        <w:tblPrEx>
          <w:tblBorders>
            <w:top w:val="none" w:sz="0" w:space="0" w:color="auto"/>
          </w:tblBorders>
        </w:tblPrEx>
        <w:trPr>
          <w:jc w:val="center"/>
        </w:trPr>
        <w:tc>
          <w:tcPr>
            <w:tcW w:w="1980" w:type="dxa"/>
            <w:tcMar>
              <w:top w:w="20" w:type="nil"/>
              <w:left w:w="20" w:type="nil"/>
              <w:bottom w:w="20" w:type="nil"/>
              <w:right w:w="20" w:type="nil"/>
            </w:tcMar>
            <w:vAlign w:val="center"/>
          </w:tcPr>
          <w:p w14:paraId="6F8169EC" w14:textId="77777777" w:rsidR="00047ADA" w:rsidRPr="00A7356B" w:rsidRDefault="00047ADA" w:rsidP="00047ADA">
            <w:pPr>
              <w:widowControl w:val="0"/>
              <w:autoSpaceDE w:val="0"/>
              <w:autoSpaceDN w:val="0"/>
              <w:adjustRightInd w:val="0"/>
              <w:jc w:val="center"/>
              <w:rPr>
                <w:rFonts w:ascii="Times" w:hAnsi="Times" w:cs="Times"/>
                <w:i/>
                <w:sz w:val="20"/>
                <w:szCs w:val="20"/>
                <w:lang w:val="en-US"/>
              </w:rPr>
            </w:pPr>
            <w:r w:rsidRPr="00A7356B">
              <w:rPr>
                <w:rFonts w:ascii="Times" w:hAnsi="Times" w:cs="Times"/>
                <w:i/>
                <w:sz w:val="20"/>
                <w:szCs w:val="20"/>
                <w:lang w:val="en-US"/>
              </w:rPr>
              <w:t>Distance</w:t>
            </w:r>
          </w:p>
        </w:tc>
        <w:tc>
          <w:tcPr>
            <w:tcW w:w="720" w:type="dxa"/>
            <w:tcMar>
              <w:top w:w="20" w:type="nil"/>
              <w:left w:w="20" w:type="nil"/>
              <w:bottom w:w="20" w:type="nil"/>
              <w:right w:w="20" w:type="nil"/>
            </w:tcMar>
            <w:vAlign w:val="center"/>
          </w:tcPr>
          <w:p w14:paraId="52C96809"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6,634</w:t>
            </w:r>
          </w:p>
        </w:tc>
        <w:tc>
          <w:tcPr>
            <w:tcW w:w="1280" w:type="dxa"/>
            <w:tcMar>
              <w:top w:w="20" w:type="nil"/>
              <w:left w:w="20" w:type="nil"/>
              <w:bottom w:w="20" w:type="nil"/>
              <w:right w:w="20" w:type="nil"/>
            </w:tcMar>
            <w:vAlign w:val="center"/>
          </w:tcPr>
          <w:p w14:paraId="13A9114A"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8.3</w:t>
            </w:r>
          </w:p>
        </w:tc>
        <w:tc>
          <w:tcPr>
            <w:tcW w:w="1280" w:type="dxa"/>
            <w:tcMar>
              <w:top w:w="20" w:type="nil"/>
              <w:left w:w="20" w:type="nil"/>
              <w:bottom w:w="20" w:type="nil"/>
              <w:right w:w="20" w:type="nil"/>
            </w:tcMar>
            <w:vAlign w:val="center"/>
          </w:tcPr>
          <w:p w14:paraId="58090C90"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1.2</w:t>
            </w:r>
          </w:p>
        </w:tc>
        <w:tc>
          <w:tcPr>
            <w:tcW w:w="720" w:type="dxa"/>
            <w:tcMar>
              <w:top w:w="20" w:type="nil"/>
              <w:left w:w="20" w:type="nil"/>
              <w:bottom w:w="20" w:type="nil"/>
              <w:right w:w="20" w:type="nil"/>
            </w:tcMar>
            <w:vAlign w:val="center"/>
          </w:tcPr>
          <w:p w14:paraId="6E33D17E"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4.1</w:t>
            </w:r>
          </w:p>
        </w:tc>
        <w:tc>
          <w:tcPr>
            <w:tcW w:w="2080" w:type="dxa"/>
            <w:tcMar>
              <w:top w:w="20" w:type="nil"/>
              <w:left w:w="20" w:type="nil"/>
              <w:bottom w:w="20" w:type="nil"/>
              <w:right w:w="20" w:type="nil"/>
            </w:tcMar>
            <w:vAlign w:val="center"/>
          </w:tcPr>
          <w:p w14:paraId="54F8BF2A"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9.9</w:t>
            </w:r>
          </w:p>
        </w:tc>
      </w:tr>
      <w:tr w:rsidR="00047ADA" w:rsidRPr="00A7356B" w14:paraId="61C6E259" w14:textId="77777777" w:rsidTr="00047ADA">
        <w:tblPrEx>
          <w:tblBorders>
            <w:top w:val="none" w:sz="0" w:space="0" w:color="auto"/>
          </w:tblBorders>
        </w:tblPrEx>
        <w:trPr>
          <w:jc w:val="center"/>
        </w:trPr>
        <w:tc>
          <w:tcPr>
            <w:tcW w:w="1980" w:type="dxa"/>
            <w:tcMar>
              <w:top w:w="20" w:type="nil"/>
              <w:left w:w="20" w:type="nil"/>
              <w:bottom w:w="20" w:type="nil"/>
              <w:right w:w="20" w:type="nil"/>
            </w:tcMar>
            <w:vAlign w:val="center"/>
          </w:tcPr>
          <w:p w14:paraId="287A5A3C" w14:textId="77777777" w:rsidR="00047ADA" w:rsidRPr="00A7356B" w:rsidRDefault="00047ADA" w:rsidP="00047ADA">
            <w:pPr>
              <w:widowControl w:val="0"/>
              <w:autoSpaceDE w:val="0"/>
              <w:autoSpaceDN w:val="0"/>
              <w:adjustRightInd w:val="0"/>
              <w:jc w:val="center"/>
              <w:rPr>
                <w:rFonts w:ascii="Times" w:hAnsi="Times" w:cs="Times"/>
                <w:i/>
                <w:sz w:val="20"/>
                <w:szCs w:val="20"/>
                <w:lang w:val="en-US"/>
              </w:rPr>
            </w:pPr>
            <w:r w:rsidRPr="00A7356B">
              <w:rPr>
                <w:rFonts w:ascii="Times" w:hAnsi="Times" w:cs="Times"/>
                <w:i/>
                <w:sz w:val="20"/>
                <w:szCs w:val="20"/>
                <w:lang w:val="en-US"/>
              </w:rPr>
              <w:t>Land Border</w:t>
            </w:r>
          </w:p>
        </w:tc>
        <w:tc>
          <w:tcPr>
            <w:tcW w:w="720" w:type="dxa"/>
            <w:tcMar>
              <w:top w:w="20" w:type="nil"/>
              <w:left w:w="20" w:type="nil"/>
              <w:bottom w:w="20" w:type="nil"/>
              <w:right w:w="20" w:type="nil"/>
            </w:tcMar>
            <w:vAlign w:val="center"/>
          </w:tcPr>
          <w:p w14:paraId="78E47BB2"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6,634</w:t>
            </w:r>
          </w:p>
        </w:tc>
        <w:tc>
          <w:tcPr>
            <w:tcW w:w="1280" w:type="dxa"/>
            <w:tcMar>
              <w:top w:w="20" w:type="nil"/>
              <w:left w:w="20" w:type="nil"/>
              <w:bottom w:w="20" w:type="nil"/>
              <w:right w:w="20" w:type="nil"/>
            </w:tcMar>
            <w:vAlign w:val="center"/>
          </w:tcPr>
          <w:p w14:paraId="706A5BF0"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0.2</w:t>
            </w:r>
          </w:p>
        </w:tc>
        <w:tc>
          <w:tcPr>
            <w:tcW w:w="1280" w:type="dxa"/>
            <w:tcMar>
              <w:top w:w="20" w:type="nil"/>
              <w:left w:w="20" w:type="nil"/>
              <w:bottom w:w="20" w:type="nil"/>
              <w:right w:w="20" w:type="nil"/>
            </w:tcMar>
            <w:vAlign w:val="center"/>
          </w:tcPr>
          <w:p w14:paraId="3B560531"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0.4</w:t>
            </w:r>
          </w:p>
        </w:tc>
        <w:tc>
          <w:tcPr>
            <w:tcW w:w="720" w:type="dxa"/>
            <w:tcMar>
              <w:top w:w="20" w:type="nil"/>
              <w:left w:w="20" w:type="nil"/>
              <w:bottom w:w="20" w:type="nil"/>
              <w:right w:w="20" w:type="nil"/>
            </w:tcMar>
            <w:vAlign w:val="center"/>
          </w:tcPr>
          <w:p w14:paraId="6E11FE24"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w:t>
            </w:r>
          </w:p>
        </w:tc>
        <w:tc>
          <w:tcPr>
            <w:tcW w:w="2080" w:type="dxa"/>
            <w:tcMar>
              <w:top w:w="20" w:type="nil"/>
              <w:left w:w="20" w:type="nil"/>
              <w:bottom w:w="20" w:type="nil"/>
              <w:right w:w="20" w:type="nil"/>
            </w:tcMar>
            <w:vAlign w:val="center"/>
          </w:tcPr>
          <w:p w14:paraId="434FA702"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1</w:t>
            </w:r>
          </w:p>
        </w:tc>
      </w:tr>
      <w:tr w:rsidR="00047ADA" w:rsidRPr="00A7356B" w14:paraId="5768D61D" w14:textId="77777777" w:rsidTr="00047ADA">
        <w:tblPrEx>
          <w:tblBorders>
            <w:top w:val="none" w:sz="0" w:space="0" w:color="auto"/>
          </w:tblBorders>
        </w:tblPrEx>
        <w:trPr>
          <w:jc w:val="center"/>
        </w:trPr>
        <w:tc>
          <w:tcPr>
            <w:tcW w:w="1980" w:type="dxa"/>
            <w:tcMar>
              <w:top w:w="20" w:type="nil"/>
              <w:left w:w="20" w:type="nil"/>
              <w:bottom w:w="20" w:type="nil"/>
              <w:right w:w="20" w:type="nil"/>
            </w:tcMar>
            <w:vAlign w:val="center"/>
          </w:tcPr>
          <w:p w14:paraId="25E65C61" w14:textId="77777777" w:rsidR="00047ADA" w:rsidRPr="00A7356B" w:rsidRDefault="00047ADA" w:rsidP="00047ADA">
            <w:pPr>
              <w:widowControl w:val="0"/>
              <w:autoSpaceDE w:val="0"/>
              <w:autoSpaceDN w:val="0"/>
              <w:adjustRightInd w:val="0"/>
              <w:jc w:val="center"/>
              <w:rPr>
                <w:rFonts w:ascii="Times" w:hAnsi="Times" w:cs="Times"/>
                <w:i/>
                <w:sz w:val="20"/>
                <w:szCs w:val="20"/>
                <w:lang w:val="en-US"/>
              </w:rPr>
            </w:pPr>
            <w:r w:rsidRPr="00A7356B">
              <w:rPr>
                <w:rFonts w:ascii="Times" w:hAnsi="Times" w:cs="Times"/>
                <w:i/>
                <w:sz w:val="20"/>
                <w:szCs w:val="20"/>
                <w:lang w:val="en-US"/>
              </w:rPr>
              <w:t>Language</w:t>
            </w:r>
          </w:p>
        </w:tc>
        <w:tc>
          <w:tcPr>
            <w:tcW w:w="720" w:type="dxa"/>
            <w:tcMar>
              <w:top w:w="20" w:type="nil"/>
              <w:left w:w="20" w:type="nil"/>
              <w:bottom w:w="20" w:type="nil"/>
              <w:right w:w="20" w:type="nil"/>
            </w:tcMar>
            <w:vAlign w:val="center"/>
          </w:tcPr>
          <w:p w14:paraId="1172CC3C"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6,634</w:t>
            </w:r>
          </w:p>
        </w:tc>
        <w:tc>
          <w:tcPr>
            <w:tcW w:w="1280" w:type="dxa"/>
            <w:tcMar>
              <w:top w:w="20" w:type="nil"/>
              <w:left w:w="20" w:type="nil"/>
              <w:bottom w:w="20" w:type="nil"/>
              <w:right w:w="20" w:type="nil"/>
            </w:tcMar>
            <w:vAlign w:val="center"/>
          </w:tcPr>
          <w:p w14:paraId="7C11C8D9"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0.2</w:t>
            </w:r>
          </w:p>
        </w:tc>
        <w:tc>
          <w:tcPr>
            <w:tcW w:w="1280" w:type="dxa"/>
            <w:tcMar>
              <w:top w:w="20" w:type="nil"/>
              <w:left w:w="20" w:type="nil"/>
              <w:bottom w:w="20" w:type="nil"/>
              <w:right w:w="20" w:type="nil"/>
            </w:tcMar>
            <w:vAlign w:val="center"/>
          </w:tcPr>
          <w:p w14:paraId="51532FBB"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0.4</w:t>
            </w:r>
          </w:p>
        </w:tc>
        <w:tc>
          <w:tcPr>
            <w:tcW w:w="720" w:type="dxa"/>
            <w:tcMar>
              <w:top w:w="20" w:type="nil"/>
              <w:left w:w="20" w:type="nil"/>
              <w:bottom w:w="20" w:type="nil"/>
              <w:right w:w="20" w:type="nil"/>
            </w:tcMar>
            <w:vAlign w:val="center"/>
          </w:tcPr>
          <w:p w14:paraId="7F5AFF5B"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w:t>
            </w:r>
          </w:p>
        </w:tc>
        <w:tc>
          <w:tcPr>
            <w:tcW w:w="2080" w:type="dxa"/>
            <w:tcMar>
              <w:top w:w="20" w:type="nil"/>
              <w:left w:w="20" w:type="nil"/>
              <w:bottom w:w="20" w:type="nil"/>
              <w:right w:w="20" w:type="nil"/>
            </w:tcMar>
            <w:vAlign w:val="center"/>
          </w:tcPr>
          <w:p w14:paraId="610351E0"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1</w:t>
            </w:r>
          </w:p>
        </w:tc>
      </w:tr>
      <w:tr w:rsidR="00047ADA" w:rsidRPr="00A7356B" w14:paraId="1BACD071" w14:textId="77777777" w:rsidTr="00047ADA">
        <w:tblPrEx>
          <w:tblBorders>
            <w:top w:val="none" w:sz="0" w:space="0" w:color="auto"/>
          </w:tblBorders>
        </w:tblPrEx>
        <w:trPr>
          <w:jc w:val="center"/>
        </w:trPr>
        <w:tc>
          <w:tcPr>
            <w:tcW w:w="1980" w:type="dxa"/>
            <w:tcMar>
              <w:top w:w="20" w:type="nil"/>
              <w:left w:w="20" w:type="nil"/>
              <w:bottom w:w="20" w:type="nil"/>
              <w:right w:w="20" w:type="nil"/>
            </w:tcMar>
            <w:vAlign w:val="center"/>
          </w:tcPr>
          <w:p w14:paraId="6BEB0B45" w14:textId="77777777" w:rsidR="00047ADA" w:rsidRPr="00A7356B" w:rsidRDefault="00047ADA" w:rsidP="00047ADA">
            <w:pPr>
              <w:widowControl w:val="0"/>
              <w:autoSpaceDE w:val="0"/>
              <w:autoSpaceDN w:val="0"/>
              <w:adjustRightInd w:val="0"/>
              <w:jc w:val="center"/>
              <w:rPr>
                <w:rFonts w:ascii="Times" w:hAnsi="Times" w:cs="Times"/>
                <w:i/>
                <w:sz w:val="20"/>
                <w:szCs w:val="20"/>
                <w:lang w:val="en-US"/>
              </w:rPr>
            </w:pPr>
            <w:r w:rsidRPr="00A7356B">
              <w:rPr>
                <w:rFonts w:ascii="Times" w:hAnsi="Times" w:cs="Times"/>
                <w:i/>
                <w:sz w:val="20"/>
                <w:szCs w:val="20"/>
                <w:lang w:val="en-US"/>
              </w:rPr>
              <w:t>Colony</w:t>
            </w:r>
          </w:p>
        </w:tc>
        <w:tc>
          <w:tcPr>
            <w:tcW w:w="720" w:type="dxa"/>
            <w:tcMar>
              <w:top w:w="20" w:type="nil"/>
              <w:left w:w="20" w:type="nil"/>
              <w:bottom w:w="20" w:type="nil"/>
              <w:right w:w="20" w:type="nil"/>
            </w:tcMar>
            <w:vAlign w:val="center"/>
          </w:tcPr>
          <w:p w14:paraId="331C561F"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6,634</w:t>
            </w:r>
          </w:p>
        </w:tc>
        <w:tc>
          <w:tcPr>
            <w:tcW w:w="1280" w:type="dxa"/>
            <w:tcMar>
              <w:top w:w="20" w:type="nil"/>
              <w:left w:w="20" w:type="nil"/>
              <w:bottom w:w="20" w:type="nil"/>
              <w:right w:w="20" w:type="nil"/>
            </w:tcMar>
            <w:vAlign w:val="center"/>
          </w:tcPr>
          <w:p w14:paraId="6120A712"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0.1</w:t>
            </w:r>
          </w:p>
        </w:tc>
        <w:tc>
          <w:tcPr>
            <w:tcW w:w="1280" w:type="dxa"/>
            <w:tcMar>
              <w:top w:w="20" w:type="nil"/>
              <w:left w:w="20" w:type="nil"/>
              <w:bottom w:w="20" w:type="nil"/>
              <w:right w:w="20" w:type="nil"/>
            </w:tcMar>
            <w:vAlign w:val="center"/>
          </w:tcPr>
          <w:p w14:paraId="3CB64624"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0.2</w:t>
            </w:r>
          </w:p>
        </w:tc>
        <w:tc>
          <w:tcPr>
            <w:tcW w:w="720" w:type="dxa"/>
            <w:tcMar>
              <w:top w:w="20" w:type="nil"/>
              <w:left w:w="20" w:type="nil"/>
              <w:bottom w:w="20" w:type="nil"/>
              <w:right w:w="20" w:type="nil"/>
            </w:tcMar>
            <w:vAlign w:val="center"/>
          </w:tcPr>
          <w:p w14:paraId="37AD9C6F"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w:t>
            </w:r>
          </w:p>
        </w:tc>
        <w:tc>
          <w:tcPr>
            <w:tcW w:w="2080" w:type="dxa"/>
            <w:tcMar>
              <w:top w:w="20" w:type="nil"/>
              <w:left w:w="20" w:type="nil"/>
              <w:bottom w:w="20" w:type="nil"/>
              <w:right w:w="20" w:type="nil"/>
            </w:tcMar>
            <w:vAlign w:val="center"/>
          </w:tcPr>
          <w:p w14:paraId="1A57217F"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1</w:t>
            </w:r>
          </w:p>
        </w:tc>
      </w:tr>
      <w:tr w:rsidR="00047ADA" w:rsidRPr="00A7356B" w14:paraId="0B52FCBA" w14:textId="77777777" w:rsidTr="00047ADA">
        <w:tblPrEx>
          <w:tblBorders>
            <w:top w:val="none" w:sz="0" w:space="0" w:color="auto"/>
          </w:tblBorders>
        </w:tblPrEx>
        <w:trPr>
          <w:jc w:val="center"/>
        </w:trPr>
        <w:tc>
          <w:tcPr>
            <w:tcW w:w="1980" w:type="dxa"/>
            <w:tcMar>
              <w:top w:w="20" w:type="nil"/>
              <w:left w:w="20" w:type="nil"/>
              <w:bottom w:w="20" w:type="nil"/>
              <w:right w:w="20" w:type="nil"/>
            </w:tcMar>
            <w:vAlign w:val="center"/>
          </w:tcPr>
          <w:p w14:paraId="4FC54795" w14:textId="77777777" w:rsidR="00047ADA" w:rsidRPr="00A7356B" w:rsidRDefault="00047ADA" w:rsidP="00047ADA">
            <w:pPr>
              <w:widowControl w:val="0"/>
              <w:autoSpaceDE w:val="0"/>
              <w:autoSpaceDN w:val="0"/>
              <w:adjustRightInd w:val="0"/>
              <w:jc w:val="center"/>
              <w:rPr>
                <w:rFonts w:ascii="Times" w:hAnsi="Times" w:cs="Times"/>
                <w:i/>
                <w:sz w:val="20"/>
                <w:szCs w:val="20"/>
                <w:lang w:val="en-US"/>
              </w:rPr>
            </w:pPr>
            <w:r w:rsidRPr="00A7356B">
              <w:rPr>
                <w:rFonts w:ascii="Times" w:hAnsi="Times" w:cs="Times"/>
                <w:i/>
                <w:sz w:val="20"/>
                <w:szCs w:val="20"/>
                <w:lang w:val="en-US"/>
              </w:rPr>
              <w:t>Same Country</w:t>
            </w:r>
          </w:p>
        </w:tc>
        <w:tc>
          <w:tcPr>
            <w:tcW w:w="720" w:type="dxa"/>
            <w:tcMar>
              <w:top w:w="20" w:type="nil"/>
              <w:left w:w="20" w:type="nil"/>
              <w:bottom w:w="20" w:type="nil"/>
              <w:right w:w="20" w:type="nil"/>
            </w:tcMar>
            <w:vAlign w:val="center"/>
          </w:tcPr>
          <w:p w14:paraId="5E57F25F"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6,634</w:t>
            </w:r>
          </w:p>
        </w:tc>
        <w:tc>
          <w:tcPr>
            <w:tcW w:w="1280" w:type="dxa"/>
            <w:tcMar>
              <w:top w:w="20" w:type="nil"/>
              <w:left w:w="20" w:type="nil"/>
              <w:bottom w:w="20" w:type="nil"/>
              <w:right w:w="20" w:type="nil"/>
            </w:tcMar>
            <w:vAlign w:val="center"/>
          </w:tcPr>
          <w:p w14:paraId="6EFA1F25"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0.05</w:t>
            </w:r>
          </w:p>
        </w:tc>
        <w:tc>
          <w:tcPr>
            <w:tcW w:w="1280" w:type="dxa"/>
            <w:tcMar>
              <w:top w:w="20" w:type="nil"/>
              <w:left w:w="20" w:type="nil"/>
              <w:bottom w:w="20" w:type="nil"/>
              <w:right w:w="20" w:type="nil"/>
            </w:tcMar>
            <w:vAlign w:val="center"/>
          </w:tcPr>
          <w:p w14:paraId="0C89B938"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0.2</w:t>
            </w:r>
          </w:p>
        </w:tc>
        <w:tc>
          <w:tcPr>
            <w:tcW w:w="720" w:type="dxa"/>
            <w:tcMar>
              <w:top w:w="20" w:type="nil"/>
              <w:left w:w="20" w:type="nil"/>
              <w:bottom w:w="20" w:type="nil"/>
              <w:right w:w="20" w:type="nil"/>
            </w:tcMar>
            <w:vAlign w:val="center"/>
          </w:tcPr>
          <w:p w14:paraId="1A9346AE"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w:t>
            </w:r>
          </w:p>
        </w:tc>
        <w:tc>
          <w:tcPr>
            <w:tcW w:w="2080" w:type="dxa"/>
            <w:tcMar>
              <w:top w:w="20" w:type="nil"/>
              <w:left w:w="20" w:type="nil"/>
              <w:bottom w:w="20" w:type="nil"/>
              <w:right w:w="20" w:type="nil"/>
            </w:tcMar>
            <w:vAlign w:val="center"/>
          </w:tcPr>
          <w:p w14:paraId="1F0B3091"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1</w:t>
            </w:r>
          </w:p>
        </w:tc>
      </w:tr>
      <w:tr w:rsidR="00047ADA" w:rsidRPr="00A7356B" w14:paraId="3C0C7246" w14:textId="77777777" w:rsidTr="00047ADA">
        <w:tblPrEx>
          <w:tblBorders>
            <w:top w:val="none" w:sz="0" w:space="0" w:color="auto"/>
          </w:tblBorders>
        </w:tblPrEx>
        <w:trPr>
          <w:jc w:val="center"/>
        </w:trPr>
        <w:tc>
          <w:tcPr>
            <w:tcW w:w="1980" w:type="dxa"/>
            <w:tcMar>
              <w:top w:w="20" w:type="nil"/>
              <w:left w:w="20" w:type="nil"/>
              <w:bottom w:w="20" w:type="nil"/>
              <w:right w:w="20" w:type="nil"/>
            </w:tcMar>
            <w:vAlign w:val="center"/>
          </w:tcPr>
          <w:p w14:paraId="09B61B14" w14:textId="77777777" w:rsidR="00047ADA" w:rsidRPr="00A7356B" w:rsidRDefault="00047ADA" w:rsidP="00047ADA">
            <w:pPr>
              <w:widowControl w:val="0"/>
              <w:autoSpaceDE w:val="0"/>
              <w:autoSpaceDN w:val="0"/>
              <w:adjustRightInd w:val="0"/>
              <w:jc w:val="center"/>
              <w:rPr>
                <w:rFonts w:ascii="Times" w:hAnsi="Times" w:cs="Times"/>
                <w:i/>
                <w:sz w:val="20"/>
                <w:szCs w:val="20"/>
                <w:lang w:val="en-US"/>
              </w:rPr>
            </w:pPr>
            <w:r w:rsidRPr="00A7356B">
              <w:rPr>
                <w:rFonts w:ascii="Times" w:hAnsi="Times" w:cs="Times"/>
                <w:i/>
                <w:sz w:val="20"/>
                <w:szCs w:val="20"/>
                <w:lang w:val="en-US"/>
              </w:rPr>
              <w:t>Price</w:t>
            </w:r>
          </w:p>
        </w:tc>
        <w:tc>
          <w:tcPr>
            <w:tcW w:w="720" w:type="dxa"/>
            <w:tcMar>
              <w:top w:w="20" w:type="nil"/>
              <w:left w:w="20" w:type="nil"/>
              <w:bottom w:w="20" w:type="nil"/>
              <w:right w:w="20" w:type="nil"/>
            </w:tcMar>
            <w:vAlign w:val="center"/>
          </w:tcPr>
          <w:p w14:paraId="2A3987E3"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6,634</w:t>
            </w:r>
          </w:p>
        </w:tc>
        <w:tc>
          <w:tcPr>
            <w:tcW w:w="1280" w:type="dxa"/>
            <w:tcMar>
              <w:top w:w="20" w:type="nil"/>
              <w:left w:w="20" w:type="nil"/>
              <w:bottom w:w="20" w:type="nil"/>
              <w:right w:w="20" w:type="nil"/>
            </w:tcMar>
            <w:vAlign w:val="center"/>
          </w:tcPr>
          <w:p w14:paraId="7C1EDD16"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5.8</w:t>
            </w:r>
          </w:p>
        </w:tc>
        <w:tc>
          <w:tcPr>
            <w:tcW w:w="1280" w:type="dxa"/>
            <w:tcMar>
              <w:top w:w="20" w:type="nil"/>
              <w:left w:w="20" w:type="nil"/>
              <w:bottom w:w="20" w:type="nil"/>
              <w:right w:w="20" w:type="nil"/>
            </w:tcMar>
            <w:vAlign w:val="center"/>
          </w:tcPr>
          <w:p w14:paraId="47149C16"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0.3</w:t>
            </w:r>
          </w:p>
        </w:tc>
        <w:tc>
          <w:tcPr>
            <w:tcW w:w="720" w:type="dxa"/>
            <w:tcMar>
              <w:top w:w="20" w:type="nil"/>
              <w:left w:w="20" w:type="nil"/>
              <w:bottom w:w="20" w:type="nil"/>
              <w:right w:w="20" w:type="nil"/>
            </w:tcMar>
            <w:vAlign w:val="center"/>
          </w:tcPr>
          <w:p w14:paraId="7CB4E502"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5.3</w:t>
            </w:r>
          </w:p>
        </w:tc>
        <w:tc>
          <w:tcPr>
            <w:tcW w:w="2080" w:type="dxa"/>
            <w:tcMar>
              <w:top w:w="20" w:type="nil"/>
              <w:left w:w="20" w:type="nil"/>
              <w:bottom w:w="20" w:type="nil"/>
              <w:right w:w="20" w:type="nil"/>
            </w:tcMar>
            <w:vAlign w:val="center"/>
          </w:tcPr>
          <w:p w14:paraId="42C288F2"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6.4</w:t>
            </w:r>
          </w:p>
        </w:tc>
      </w:tr>
      <w:tr w:rsidR="00047ADA" w:rsidRPr="00A7356B" w14:paraId="31D2153B" w14:textId="77777777" w:rsidTr="00047ADA">
        <w:tblPrEx>
          <w:tblBorders>
            <w:top w:val="none" w:sz="0" w:space="0" w:color="auto"/>
          </w:tblBorders>
        </w:tblPrEx>
        <w:trPr>
          <w:jc w:val="center"/>
        </w:trPr>
        <w:tc>
          <w:tcPr>
            <w:tcW w:w="1980" w:type="dxa"/>
            <w:tcMar>
              <w:top w:w="20" w:type="nil"/>
              <w:left w:w="20" w:type="nil"/>
              <w:bottom w:w="20" w:type="nil"/>
              <w:right w:w="20" w:type="nil"/>
            </w:tcMar>
            <w:vAlign w:val="center"/>
          </w:tcPr>
          <w:p w14:paraId="4488B069" w14:textId="77777777" w:rsidR="00047ADA" w:rsidRPr="00A7356B" w:rsidRDefault="00047ADA" w:rsidP="00047ADA">
            <w:pPr>
              <w:widowControl w:val="0"/>
              <w:autoSpaceDE w:val="0"/>
              <w:autoSpaceDN w:val="0"/>
              <w:adjustRightInd w:val="0"/>
              <w:jc w:val="center"/>
              <w:rPr>
                <w:rFonts w:ascii="Times" w:hAnsi="Times" w:cs="Times"/>
                <w:i/>
                <w:sz w:val="20"/>
                <w:szCs w:val="20"/>
                <w:lang w:val="en-US"/>
              </w:rPr>
            </w:pPr>
            <w:r w:rsidRPr="00A7356B">
              <w:rPr>
                <w:rFonts w:ascii="Times" w:hAnsi="Times" w:cs="Times"/>
                <w:i/>
                <w:sz w:val="20"/>
                <w:szCs w:val="20"/>
                <w:lang w:val="en-US"/>
              </w:rPr>
              <w:t>Land</w:t>
            </w:r>
          </w:p>
        </w:tc>
        <w:tc>
          <w:tcPr>
            <w:tcW w:w="720" w:type="dxa"/>
            <w:tcMar>
              <w:top w:w="20" w:type="nil"/>
              <w:left w:w="20" w:type="nil"/>
              <w:bottom w:w="20" w:type="nil"/>
              <w:right w:w="20" w:type="nil"/>
            </w:tcMar>
            <w:vAlign w:val="center"/>
          </w:tcPr>
          <w:p w14:paraId="4AE482D6"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6,634</w:t>
            </w:r>
          </w:p>
        </w:tc>
        <w:tc>
          <w:tcPr>
            <w:tcW w:w="1280" w:type="dxa"/>
            <w:tcMar>
              <w:top w:w="20" w:type="nil"/>
              <w:left w:w="20" w:type="nil"/>
              <w:bottom w:w="20" w:type="nil"/>
              <w:right w:w="20" w:type="nil"/>
            </w:tcMar>
            <w:vAlign w:val="center"/>
          </w:tcPr>
          <w:p w14:paraId="3B7C2BA7"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1.3</w:t>
            </w:r>
          </w:p>
        </w:tc>
        <w:tc>
          <w:tcPr>
            <w:tcW w:w="1280" w:type="dxa"/>
            <w:tcMar>
              <w:top w:w="20" w:type="nil"/>
              <w:left w:w="20" w:type="nil"/>
              <w:bottom w:w="20" w:type="nil"/>
              <w:right w:w="20" w:type="nil"/>
            </w:tcMar>
            <w:vAlign w:val="center"/>
          </w:tcPr>
          <w:p w14:paraId="25A36C54"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2.3</w:t>
            </w:r>
          </w:p>
        </w:tc>
        <w:tc>
          <w:tcPr>
            <w:tcW w:w="720" w:type="dxa"/>
            <w:tcMar>
              <w:top w:w="20" w:type="nil"/>
              <w:left w:w="20" w:type="nil"/>
              <w:bottom w:w="20" w:type="nil"/>
              <w:right w:w="20" w:type="nil"/>
            </w:tcMar>
            <w:vAlign w:val="center"/>
          </w:tcPr>
          <w:p w14:paraId="097F9102"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-6.1</w:t>
            </w:r>
          </w:p>
        </w:tc>
        <w:tc>
          <w:tcPr>
            <w:tcW w:w="2080" w:type="dxa"/>
            <w:tcMar>
              <w:top w:w="20" w:type="nil"/>
              <w:left w:w="20" w:type="nil"/>
              <w:bottom w:w="20" w:type="nil"/>
              <w:right w:w="20" w:type="nil"/>
            </w:tcMar>
            <w:vAlign w:val="center"/>
          </w:tcPr>
          <w:p w14:paraId="7DEABFEE"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16.6</w:t>
            </w:r>
          </w:p>
        </w:tc>
      </w:tr>
      <w:tr w:rsidR="00047ADA" w:rsidRPr="00A7356B" w14:paraId="6E91FB95" w14:textId="77777777" w:rsidTr="00047ADA">
        <w:tblPrEx>
          <w:tblBorders>
            <w:top w:val="none" w:sz="0" w:space="0" w:color="auto"/>
          </w:tblBorders>
        </w:tblPrEx>
        <w:trPr>
          <w:jc w:val="center"/>
        </w:trPr>
        <w:tc>
          <w:tcPr>
            <w:tcW w:w="1980" w:type="dxa"/>
            <w:tcMar>
              <w:top w:w="20" w:type="nil"/>
              <w:left w:w="20" w:type="nil"/>
              <w:bottom w:w="20" w:type="nil"/>
              <w:right w:w="20" w:type="nil"/>
            </w:tcMar>
            <w:vAlign w:val="center"/>
          </w:tcPr>
          <w:p w14:paraId="6385575E" w14:textId="77777777" w:rsidR="00047ADA" w:rsidRPr="00A7356B" w:rsidRDefault="00047ADA" w:rsidP="00047ADA">
            <w:pPr>
              <w:widowControl w:val="0"/>
              <w:autoSpaceDE w:val="0"/>
              <w:autoSpaceDN w:val="0"/>
              <w:adjustRightInd w:val="0"/>
              <w:jc w:val="center"/>
              <w:rPr>
                <w:rFonts w:ascii="Times" w:hAnsi="Times" w:cs="Times"/>
                <w:i/>
                <w:sz w:val="20"/>
                <w:szCs w:val="20"/>
                <w:lang w:val="en-US"/>
              </w:rPr>
            </w:pPr>
            <w:r w:rsidRPr="00A7356B">
              <w:rPr>
                <w:rFonts w:ascii="Times" w:hAnsi="Times" w:cs="Times"/>
                <w:i/>
                <w:sz w:val="20"/>
                <w:szCs w:val="20"/>
                <w:lang w:val="en-US"/>
              </w:rPr>
              <w:t xml:space="preserve">Yield </w:t>
            </w:r>
            <m:oMath>
              <m:r>
                <w:rPr>
                  <w:rFonts w:ascii="Cambria Math" w:hAnsi="Cambria Math" w:cs="Times"/>
                  <w:sz w:val="20"/>
                  <w:szCs w:val="20"/>
                  <w:lang w:val="en-US"/>
                </w:rPr>
                <m:t>j</m:t>
              </m:r>
            </m:oMath>
          </w:p>
        </w:tc>
        <w:tc>
          <w:tcPr>
            <w:tcW w:w="720" w:type="dxa"/>
            <w:tcMar>
              <w:top w:w="20" w:type="nil"/>
              <w:left w:w="20" w:type="nil"/>
              <w:bottom w:w="20" w:type="nil"/>
              <w:right w:w="20" w:type="nil"/>
            </w:tcMar>
            <w:vAlign w:val="center"/>
          </w:tcPr>
          <w:p w14:paraId="0D759050"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6,634</w:t>
            </w:r>
          </w:p>
        </w:tc>
        <w:tc>
          <w:tcPr>
            <w:tcW w:w="1280" w:type="dxa"/>
            <w:tcMar>
              <w:top w:w="20" w:type="nil"/>
              <w:left w:w="20" w:type="nil"/>
              <w:bottom w:w="20" w:type="nil"/>
              <w:right w:w="20" w:type="nil"/>
            </w:tcMar>
            <w:vAlign w:val="center"/>
          </w:tcPr>
          <w:p w14:paraId="722DF466"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10.0</w:t>
            </w:r>
          </w:p>
        </w:tc>
        <w:tc>
          <w:tcPr>
            <w:tcW w:w="1280" w:type="dxa"/>
            <w:tcMar>
              <w:top w:w="20" w:type="nil"/>
              <w:left w:w="20" w:type="nil"/>
              <w:bottom w:w="20" w:type="nil"/>
              <w:right w:w="20" w:type="nil"/>
            </w:tcMar>
            <w:vAlign w:val="center"/>
          </w:tcPr>
          <w:p w14:paraId="6805D4C1"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0.3</w:t>
            </w:r>
          </w:p>
        </w:tc>
        <w:tc>
          <w:tcPr>
            <w:tcW w:w="720" w:type="dxa"/>
            <w:tcMar>
              <w:top w:w="20" w:type="nil"/>
              <w:left w:w="20" w:type="nil"/>
              <w:bottom w:w="20" w:type="nil"/>
              <w:right w:w="20" w:type="nil"/>
            </w:tcMar>
            <w:vAlign w:val="center"/>
          </w:tcPr>
          <w:p w14:paraId="42BFD8F0"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8.1</w:t>
            </w:r>
          </w:p>
        </w:tc>
        <w:tc>
          <w:tcPr>
            <w:tcW w:w="2080" w:type="dxa"/>
            <w:tcMar>
              <w:top w:w="20" w:type="nil"/>
              <w:left w:w="20" w:type="nil"/>
              <w:bottom w:w="20" w:type="nil"/>
              <w:right w:w="20" w:type="nil"/>
            </w:tcMar>
            <w:vAlign w:val="center"/>
          </w:tcPr>
          <w:p w14:paraId="54F24D72"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10.6</w:t>
            </w:r>
          </w:p>
        </w:tc>
      </w:tr>
      <w:tr w:rsidR="00047ADA" w:rsidRPr="00A7356B" w14:paraId="28816745" w14:textId="77777777" w:rsidTr="00047ADA">
        <w:tblPrEx>
          <w:tblBorders>
            <w:top w:val="none" w:sz="0" w:space="0" w:color="auto"/>
          </w:tblBorders>
        </w:tblPrEx>
        <w:trPr>
          <w:jc w:val="center"/>
        </w:trPr>
        <w:tc>
          <w:tcPr>
            <w:tcW w:w="1980" w:type="dxa"/>
            <w:tcMar>
              <w:top w:w="20" w:type="nil"/>
              <w:left w:w="20" w:type="nil"/>
              <w:bottom w:w="20" w:type="nil"/>
              <w:right w:w="20" w:type="nil"/>
            </w:tcMar>
            <w:vAlign w:val="center"/>
          </w:tcPr>
          <w:p w14:paraId="716D75EB" w14:textId="77777777" w:rsidR="00047ADA" w:rsidRPr="00A7356B" w:rsidRDefault="00047ADA" w:rsidP="00047ADA">
            <w:pPr>
              <w:widowControl w:val="0"/>
              <w:autoSpaceDE w:val="0"/>
              <w:autoSpaceDN w:val="0"/>
              <w:adjustRightInd w:val="0"/>
              <w:jc w:val="center"/>
              <w:rPr>
                <w:rFonts w:ascii="Times" w:hAnsi="Times" w:cs="Times"/>
                <w:i/>
                <w:sz w:val="20"/>
                <w:szCs w:val="20"/>
                <w:lang w:val="en-US"/>
              </w:rPr>
            </w:pPr>
            <w:r w:rsidRPr="00A7356B">
              <w:rPr>
                <w:rFonts w:ascii="Times" w:hAnsi="Times" w:cs="Times"/>
                <w:i/>
                <w:sz w:val="20"/>
                <w:szCs w:val="20"/>
                <w:lang w:val="en-US"/>
              </w:rPr>
              <w:t>Tech. Gap</w:t>
            </w:r>
          </w:p>
        </w:tc>
        <w:tc>
          <w:tcPr>
            <w:tcW w:w="720" w:type="dxa"/>
            <w:tcMar>
              <w:top w:w="20" w:type="nil"/>
              <w:left w:w="20" w:type="nil"/>
              <w:bottom w:w="20" w:type="nil"/>
              <w:right w:w="20" w:type="nil"/>
            </w:tcMar>
            <w:vAlign w:val="center"/>
          </w:tcPr>
          <w:p w14:paraId="0F519CB4"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6,634</w:t>
            </w:r>
          </w:p>
        </w:tc>
        <w:tc>
          <w:tcPr>
            <w:tcW w:w="1280" w:type="dxa"/>
            <w:tcMar>
              <w:top w:w="20" w:type="nil"/>
              <w:left w:w="20" w:type="nil"/>
              <w:bottom w:w="20" w:type="nil"/>
              <w:right w:w="20" w:type="nil"/>
            </w:tcMar>
            <w:vAlign w:val="center"/>
          </w:tcPr>
          <w:p w14:paraId="48F56142"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7.4</w:t>
            </w:r>
          </w:p>
        </w:tc>
        <w:tc>
          <w:tcPr>
            <w:tcW w:w="1280" w:type="dxa"/>
            <w:tcMar>
              <w:top w:w="20" w:type="nil"/>
              <w:left w:w="20" w:type="nil"/>
              <w:bottom w:w="20" w:type="nil"/>
              <w:right w:w="20" w:type="nil"/>
            </w:tcMar>
            <w:vAlign w:val="center"/>
          </w:tcPr>
          <w:p w14:paraId="08A0FFD7"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3.9</w:t>
            </w:r>
          </w:p>
        </w:tc>
        <w:tc>
          <w:tcPr>
            <w:tcW w:w="720" w:type="dxa"/>
            <w:tcMar>
              <w:top w:w="20" w:type="nil"/>
              <w:left w:w="20" w:type="nil"/>
              <w:bottom w:w="20" w:type="nil"/>
              <w:right w:w="20" w:type="nil"/>
            </w:tcMar>
            <w:vAlign w:val="center"/>
          </w:tcPr>
          <w:p w14:paraId="23838CEF"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w:t>
            </w:r>
          </w:p>
        </w:tc>
        <w:tc>
          <w:tcPr>
            <w:tcW w:w="2080" w:type="dxa"/>
            <w:tcMar>
              <w:top w:w="20" w:type="nil"/>
              <w:left w:w="20" w:type="nil"/>
              <w:bottom w:w="20" w:type="nil"/>
              <w:right w:w="20" w:type="nil"/>
            </w:tcMar>
            <w:vAlign w:val="center"/>
          </w:tcPr>
          <w:p w14:paraId="08C27EA6"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15</w:t>
            </w:r>
          </w:p>
        </w:tc>
      </w:tr>
      <w:tr w:rsidR="00047ADA" w:rsidRPr="00A7356B" w14:paraId="4A46D8F8" w14:textId="77777777" w:rsidTr="00047ADA">
        <w:tblPrEx>
          <w:tblBorders>
            <w:top w:val="none" w:sz="0" w:space="0" w:color="auto"/>
          </w:tblBorders>
        </w:tblPrEx>
        <w:trPr>
          <w:jc w:val="center"/>
        </w:trPr>
        <w:tc>
          <w:tcPr>
            <w:tcW w:w="1980" w:type="dxa"/>
            <w:tcMar>
              <w:top w:w="20" w:type="nil"/>
              <w:left w:w="20" w:type="nil"/>
              <w:bottom w:w="20" w:type="nil"/>
              <w:right w:w="20" w:type="nil"/>
            </w:tcMar>
            <w:vAlign w:val="center"/>
          </w:tcPr>
          <w:p w14:paraId="0763880E" w14:textId="77777777" w:rsidR="00047ADA" w:rsidRPr="00A7356B" w:rsidRDefault="00047ADA" w:rsidP="00047ADA">
            <w:pPr>
              <w:widowControl w:val="0"/>
              <w:autoSpaceDE w:val="0"/>
              <w:autoSpaceDN w:val="0"/>
              <w:adjustRightInd w:val="0"/>
              <w:jc w:val="center"/>
              <w:rPr>
                <w:rFonts w:ascii="Times" w:hAnsi="Times" w:cs="Times"/>
                <w:i/>
                <w:sz w:val="20"/>
                <w:szCs w:val="20"/>
                <w:lang w:val="en-US"/>
              </w:rPr>
            </w:pPr>
            <w:proofErr w:type="spellStart"/>
            <w:r w:rsidRPr="00A7356B">
              <w:rPr>
                <w:rFonts w:ascii="Times" w:hAnsi="Times" w:cs="Times"/>
                <w:i/>
                <w:sz w:val="20"/>
                <w:szCs w:val="20"/>
                <w:lang w:val="en-US"/>
              </w:rPr>
              <w:t>Mand</w:t>
            </w:r>
            <w:proofErr w:type="spellEnd"/>
            <w:r w:rsidRPr="00A7356B">
              <w:rPr>
                <w:rFonts w:ascii="Times" w:hAnsi="Times" w:cs="Times"/>
                <w:i/>
                <w:sz w:val="20"/>
                <w:szCs w:val="20"/>
                <w:lang w:val="en-US"/>
              </w:rPr>
              <w:t>. Label</w:t>
            </w:r>
          </w:p>
        </w:tc>
        <w:tc>
          <w:tcPr>
            <w:tcW w:w="720" w:type="dxa"/>
            <w:tcMar>
              <w:top w:w="20" w:type="nil"/>
              <w:left w:w="20" w:type="nil"/>
              <w:bottom w:w="20" w:type="nil"/>
              <w:right w:w="20" w:type="nil"/>
            </w:tcMar>
            <w:vAlign w:val="center"/>
          </w:tcPr>
          <w:p w14:paraId="1067273A"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6,634</w:t>
            </w:r>
          </w:p>
        </w:tc>
        <w:tc>
          <w:tcPr>
            <w:tcW w:w="1280" w:type="dxa"/>
            <w:tcMar>
              <w:top w:w="20" w:type="nil"/>
              <w:left w:w="20" w:type="nil"/>
              <w:bottom w:w="20" w:type="nil"/>
              <w:right w:w="20" w:type="nil"/>
            </w:tcMar>
            <w:vAlign w:val="center"/>
          </w:tcPr>
          <w:p w14:paraId="6058A101"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0.3</w:t>
            </w:r>
          </w:p>
        </w:tc>
        <w:tc>
          <w:tcPr>
            <w:tcW w:w="1280" w:type="dxa"/>
            <w:tcMar>
              <w:top w:w="20" w:type="nil"/>
              <w:left w:w="20" w:type="nil"/>
              <w:bottom w:w="20" w:type="nil"/>
              <w:right w:w="20" w:type="nil"/>
            </w:tcMar>
            <w:vAlign w:val="center"/>
          </w:tcPr>
          <w:p w14:paraId="43258166"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0.4</w:t>
            </w:r>
          </w:p>
        </w:tc>
        <w:tc>
          <w:tcPr>
            <w:tcW w:w="720" w:type="dxa"/>
            <w:tcMar>
              <w:top w:w="20" w:type="nil"/>
              <w:left w:w="20" w:type="nil"/>
              <w:bottom w:w="20" w:type="nil"/>
              <w:right w:w="20" w:type="nil"/>
            </w:tcMar>
            <w:vAlign w:val="center"/>
          </w:tcPr>
          <w:p w14:paraId="10E1FE53"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w:t>
            </w:r>
          </w:p>
        </w:tc>
        <w:tc>
          <w:tcPr>
            <w:tcW w:w="2080" w:type="dxa"/>
            <w:tcMar>
              <w:top w:w="20" w:type="nil"/>
              <w:left w:w="20" w:type="nil"/>
              <w:bottom w:w="20" w:type="nil"/>
              <w:right w:w="20" w:type="nil"/>
            </w:tcMar>
            <w:vAlign w:val="center"/>
          </w:tcPr>
          <w:p w14:paraId="48E66894"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1</w:t>
            </w:r>
          </w:p>
        </w:tc>
      </w:tr>
      <w:tr w:rsidR="00047ADA" w:rsidRPr="00A7356B" w14:paraId="12F779A9" w14:textId="77777777" w:rsidTr="00047ADA">
        <w:tblPrEx>
          <w:tblBorders>
            <w:top w:val="none" w:sz="0" w:space="0" w:color="auto"/>
          </w:tblBorders>
        </w:tblPrEx>
        <w:trPr>
          <w:jc w:val="center"/>
        </w:trPr>
        <w:tc>
          <w:tcPr>
            <w:tcW w:w="1980" w:type="dxa"/>
            <w:tcMar>
              <w:top w:w="20" w:type="nil"/>
              <w:left w:w="20" w:type="nil"/>
              <w:bottom w:w="20" w:type="nil"/>
              <w:right w:w="20" w:type="nil"/>
            </w:tcMar>
            <w:vAlign w:val="center"/>
          </w:tcPr>
          <w:p w14:paraId="1AFE8ED1" w14:textId="77777777" w:rsidR="00047ADA" w:rsidRPr="00A7356B" w:rsidRDefault="00047ADA" w:rsidP="00047ADA">
            <w:pPr>
              <w:widowControl w:val="0"/>
              <w:autoSpaceDE w:val="0"/>
              <w:autoSpaceDN w:val="0"/>
              <w:adjustRightInd w:val="0"/>
              <w:jc w:val="center"/>
              <w:rPr>
                <w:rFonts w:ascii="Times" w:hAnsi="Times" w:cs="Times"/>
                <w:i/>
                <w:sz w:val="20"/>
                <w:szCs w:val="20"/>
                <w:lang w:val="en-US"/>
              </w:rPr>
            </w:pPr>
            <w:r w:rsidRPr="00A7356B">
              <w:rPr>
                <w:rFonts w:ascii="Times" w:hAnsi="Times" w:cs="Times"/>
                <w:i/>
                <w:sz w:val="20"/>
                <w:szCs w:val="20"/>
                <w:lang w:val="en-US"/>
              </w:rPr>
              <w:t>Demand Lag</w:t>
            </w:r>
          </w:p>
        </w:tc>
        <w:tc>
          <w:tcPr>
            <w:tcW w:w="720" w:type="dxa"/>
            <w:tcMar>
              <w:top w:w="20" w:type="nil"/>
              <w:left w:w="20" w:type="nil"/>
              <w:bottom w:w="20" w:type="nil"/>
              <w:right w:w="20" w:type="nil"/>
            </w:tcMar>
            <w:vAlign w:val="center"/>
          </w:tcPr>
          <w:p w14:paraId="32B9B0E8"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6,634</w:t>
            </w:r>
          </w:p>
        </w:tc>
        <w:tc>
          <w:tcPr>
            <w:tcW w:w="1280" w:type="dxa"/>
            <w:tcMar>
              <w:top w:w="20" w:type="nil"/>
              <w:left w:w="20" w:type="nil"/>
              <w:bottom w:w="20" w:type="nil"/>
              <w:right w:w="20" w:type="nil"/>
            </w:tcMar>
            <w:vAlign w:val="center"/>
          </w:tcPr>
          <w:p w14:paraId="18C48AFA"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1.5</w:t>
            </w:r>
          </w:p>
        </w:tc>
        <w:tc>
          <w:tcPr>
            <w:tcW w:w="1280" w:type="dxa"/>
            <w:tcMar>
              <w:top w:w="20" w:type="nil"/>
              <w:left w:w="20" w:type="nil"/>
              <w:bottom w:w="20" w:type="nil"/>
              <w:right w:w="20" w:type="nil"/>
            </w:tcMar>
            <w:vAlign w:val="center"/>
          </w:tcPr>
          <w:p w14:paraId="4714525D"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2.9</w:t>
            </w:r>
          </w:p>
        </w:tc>
        <w:tc>
          <w:tcPr>
            <w:tcW w:w="720" w:type="dxa"/>
            <w:tcMar>
              <w:top w:w="20" w:type="nil"/>
              <w:left w:w="20" w:type="nil"/>
              <w:bottom w:w="20" w:type="nil"/>
              <w:right w:w="20" w:type="nil"/>
            </w:tcMar>
            <w:vAlign w:val="center"/>
          </w:tcPr>
          <w:p w14:paraId="71A8A6CE"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w:t>
            </w:r>
          </w:p>
        </w:tc>
        <w:tc>
          <w:tcPr>
            <w:tcW w:w="2080" w:type="dxa"/>
            <w:tcMar>
              <w:top w:w="20" w:type="nil"/>
              <w:left w:w="20" w:type="nil"/>
              <w:bottom w:w="20" w:type="nil"/>
              <w:right w:w="20" w:type="nil"/>
            </w:tcMar>
            <w:vAlign w:val="center"/>
          </w:tcPr>
          <w:p w14:paraId="6E1411B0"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15</w:t>
            </w:r>
          </w:p>
        </w:tc>
      </w:tr>
      <w:tr w:rsidR="00047ADA" w:rsidRPr="00A7356B" w14:paraId="65424DB5" w14:textId="77777777" w:rsidTr="00047ADA">
        <w:tblPrEx>
          <w:tblBorders>
            <w:top w:val="none" w:sz="0" w:space="0" w:color="auto"/>
          </w:tblBorders>
        </w:tblPrEx>
        <w:trPr>
          <w:jc w:val="center"/>
        </w:trPr>
        <w:tc>
          <w:tcPr>
            <w:tcW w:w="1980" w:type="dxa"/>
            <w:tcMar>
              <w:top w:w="20" w:type="nil"/>
              <w:left w:w="20" w:type="nil"/>
              <w:bottom w:w="20" w:type="nil"/>
              <w:right w:w="20" w:type="nil"/>
            </w:tcMar>
            <w:vAlign w:val="center"/>
          </w:tcPr>
          <w:p w14:paraId="3B031173" w14:textId="77777777" w:rsidR="00047ADA" w:rsidRPr="00A7356B" w:rsidRDefault="00047ADA" w:rsidP="00047ADA">
            <w:pPr>
              <w:widowControl w:val="0"/>
              <w:autoSpaceDE w:val="0"/>
              <w:autoSpaceDN w:val="0"/>
              <w:adjustRightInd w:val="0"/>
              <w:jc w:val="center"/>
              <w:rPr>
                <w:rFonts w:ascii="Times" w:hAnsi="Times" w:cs="Times"/>
                <w:i/>
                <w:sz w:val="20"/>
                <w:szCs w:val="20"/>
                <w:lang w:val="en-US"/>
              </w:rPr>
            </w:pPr>
            <w:r w:rsidRPr="00A7356B">
              <w:rPr>
                <w:rFonts w:ascii="Times" w:hAnsi="Times" w:cs="Times"/>
                <w:i/>
                <w:sz w:val="20"/>
                <w:szCs w:val="20"/>
                <w:lang w:val="en-US"/>
              </w:rPr>
              <w:t>RTA</w:t>
            </w:r>
          </w:p>
        </w:tc>
        <w:tc>
          <w:tcPr>
            <w:tcW w:w="720" w:type="dxa"/>
            <w:tcMar>
              <w:top w:w="20" w:type="nil"/>
              <w:left w:w="20" w:type="nil"/>
              <w:bottom w:w="20" w:type="nil"/>
              <w:right w:w="20" w:type="nil"/>
            </w:tcMar>
            <w:vAlign w:val="center"/>
          </w:tcPr>
          <w:p w14:paraId="7FC1466F"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6,634</w:t>
            </w:r>
          </w:p>
        </w:tc>
        <w:tc>
          <w:tcPr>
            <w:tcW w:w="1280" w:type="dxa"/>
            <w:tcMar>
              <w:top w:w="20" w:type="nil"/>
              <w:left w:w="20" w:type="nil"/>
              <w:bottom w:w="20" w:type="nil"/>
              <w:right w:w="20" w:type="nil"/>
            </w:tcMar>
            <w:vAlign w:val="center"/>
          </w:tcPr>
          <w:p w14:paraId="34B8127A"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0.3</w:t>
            </w:r>
          </w:p>
        </w:tc>
        <w:tc>
          <w:tcPr>
            <w:tcW w:w="1280" w:type="dxa"/>
            <w:tcMar>
              <w:top w:w="20" w:type="nil"/>
              <w:left w:w="20" w:type="nil"/>
              <w:bottom w:w="20" w:type="nil"/>
              <w:right w:w="20" w:type="nil"/>
            </w:tcMar>
            <w:vAlign w:val="center"/>
          </w:tcPr>
          <w:p w14:paraId="14A9996E"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0.5</w:t>
            </w:r>
          </w:p>
        </w:tc>
        <w:tc>
          <w:tcPr>
            <w:tcW w:w="720" w:type="dxa"/>
            <w:tcMar>
              <w:top w:w="20" w:type="nil"/>
              <w:left w:w="20" w:type="nil"/>
              <w:bottom w:w="20" w:type="nil"/>
              <w:right w:w="20" w:type="nil"/>
            </w:tcMar>
            <w:vAlign w:val="center"/>
          </w:tcPr>
          <w:p w14:paraId="496FD2E6"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w:t>
            </w:r>
          </w:p>
        </w:tc>
        <w:tc>
          <w:tcPr>
            <w:tcW w:w="2080" w:type="dxa"/>
            <w:tcMar>
              <w:top w:w="20" w:type="nil"/>
              <w:left w:w="20" w:type="nil"/>
              <w:bottom w:w="20" w:type="nil"/>
              <w:right w:w="20" w:type="nil"/>
            </w:tcMar>
            <w:vAlign w:val="center"/>
          </w:tcPr>
          <w:p w14:paraId="61FA9566"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1</w:t>
            </w:r>
          </w:p>
        </w:tc>
      </w:tr>
      <w:tr w:rsidR="00047ADA" w:rsidRPr="00A7356B" w14:paraId="0065BAE7" w14:textId="77777777" w:rsidTr="00047ADA">
        <w:tblPrEx>
          <w:tblBorders>
            <w:top w:val="none" w:sz="0" w:space="0" w:color="auto"/>
          </w:tblBorders>
        </w:tblPrEx>
        <w:trPr>
          <w:jc w:val="center"/>
        </w:trPr>
        <w:tc>
          <w:tcPr>
            <w:tcW w:w="1980" w:type="dxa"/>
            <w:tcMar>
              <w:top w:w="20" w:type="nil"/>
              <w:left w:w="20" w:type="nil"/>
              <w:bottom w:w="20" w:type="nil"/>
              <w:right w:w="20" w:type="nil"/>
            </w:tcMar>
            <w:vAlign w:val="center"/>
          </w:tcPr>
          <w:p w14:paraId="3BAC08EC" w14:textId="77777777" w:rsidR="00047ADA" w:rsidRPr="00A7356B" w:rsidRDefault="00047ADA" w:rsidP="00047ADA">
            <w:pPr>
              <w:widowControl w:val="0"/>
              <w:autoSpaceDE w:val="0"/>
              <w:autoSpaceDN w:val="0"/>
              <w:adjustRightInd w:val="0"/>
              <w:jc w:val="center"/>
              <w:rPr>
                <w:rFonts w:ascii="Times" w:hAnsi="Times" w:cs="Times"/>
                <w:i/>
                <w:sz w:val="20"/>
                <w:szCs w:val="20"/>
                <w:lang w:val="en-US"/>
              </w:rPr>
            </w:pPr>
            <w:r w:rsidRPr="00A7356B">
              <w:rPr>
                <w:rFonts w:ascii="Times" w:hAnsi="Times" w:cs="Times"/>
                <w:i/>
                <w:sz w:val="20"/>
                <w:szCs w:val="20"/>
                <w:lang w:val="en-US"/>
              </w:rPr>
              <w:t xml:space="preserve">Exch. Rate </w:t>
            </w:r>
            <m:oMath>
              <m:r>
                <w:rPr>
                  <w:rFonts w:ascii="Cambria Math" w:hAnsi="Cambria Math" w:cs="Times"/>
                  <w:sz w:val="20"/>
                  <w:szCs w:val="20"/>
                  <w:lang w:val="en-US"/>
                </w:rPr>
                <m:t>i</m:t>
              </m:r>
            </m:oMath>
          </w:p>
        </w:tc>
        <w:tc>
          <w:tcPr>
            <w:tcW w:w="720" w:type="dxa"/>
            <w:tcMar>
              <w:top w:w="20" w:type="nil"/>
              <w:left w:w="20" w:type="nil"/>
              <w:bottom w:w="20" w:type="nil"/>
              <w:right w:w="20" w:type="nil"/>
            </w:tcMar>
            <w:vAlign w:val="center"/>
          </w:tcPr>
          <w:p w14:paraId="51DF1C5A"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6,634</w:t>
            </w:r>
          </w:p>
        </w:tc>
        <w:tc>
          <w:tcPr>
            <w:tcW w:w="1280" w:type="dxa"/>
            <w:tcMar>
              <w:top w:w="20" w:type="nil"/>
              <w:left w:w="20" w:type="nil"/>
              <w:bottom w:w="20" w:type="nil"/>
              <w:right w:w="20" w:type="nil"/>
            </w:tcMar>
            <w:vAlign w:val="center"/>
          </w:tcPr>
          <w:p w14:paraId="774F81A2"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-1.8</w:t>
            </w:r>
          </w:p>
        </w:tc>
        <w:tc>
          <w:tcPr>
            <w:tcW w:w="1280" w:type="dxa"/>
            <w:tcMar>
              <w:top w:w="20" w:type="nil"/>
              <w:left w:w="20" w:type="nil"/>
              <w:bottom w:w="20" w:type="nil"/>
              <w:right w:w="20" w:type="nil"/>
            </w:tcMar>
            <w:vAlign w:val="center"/>
          </w:tcPr>
          <w:p w14:paraId="402D14FE"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2.5</w:t>
            </w:r>
          </w:p>
        </w:tc>
        <w:tc>
          <w:tcPr>
            <w:tcW w:w="720" w:type="dxa"/>
            <w:tcMar>
              <w:top w:w="20" w:type="nil"/>
              <w:left w:w="20" w:type="nil"/>
              <w:bottom w:w="20" w:type="nil"/>
              <w:right w:w="20" w:type="nil"/>
            </w:tcMar>
            <w:vAlign w:val="center"/>
          </w:tcPr>
          <w:p w14:paraId="1C8B38E8"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-9.9</w:t>
            </w:r>
          </w:p>
        </w:tc>
        <w:tc>
          <w:tcPr>
            <w:tcW w:w="2080" w:type="dxa"/>
            <w:tcMar>
              <w:top w:w="20" w:type="nil"/>
              <w:left w:w="20" w:type="nil"/>
              <w:bottom w:w="20" w:type="nil"/>
              <w:right w:w="20" w:type="nil"/>
            </w:tcMar>
            <w:vAlign w:val="center"/>
          </w:tcPr>
          <w:p w14:paraId="2412CD96"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3.1</w:t>
            </w:r>
          </w:p>
        </w:tc>
      </w:tr>
      <w:tr w:rsidR="00047ADA" w:rsidRPr="00A7356B" w14:paraId="59FF0608" w14:textId="77777777" w:rsidTr="00047ADA">
        <w:tblPrEx>
          <w:tblBorders>
            <w:top w:val="none" w:sz="0" w:space="0" w:color="auto"/>
          </w:tblBorders>
        </w:tblPrEx>
        <w:trPr>
          <w:jc w:val="center"/>
        </w:trPr>
        <w:tc>
          <w:tcPr>
            <w:tcW w:w="1980" w:type="dxa"/>
            <w:tcMar>
              <w:top w:w="20" w:type="nil"/>
              <w:left w:w="20" w:type="nil"/>
              <w:bottom w:w="20" w:type="nil"/>
              <w:right w:w="20" w:type="nil"/>
            </w:tcMar>
            <w:vAlign w:val="center"/>
          </w:tcPr>
          <w:p w14:paraId="59BFE75D" w14:textId="77777777" w:rsidR="00047ADA" w:rsidRPr="00A7356B" w:rsidRDefault="00047ADA" w:rsidP="00047ADA">
            <w:pPr>
              <w:widowControl w:val="0"/>
              <w:autoSpaceDE w:val="0"/>
              <w:autoSpaceDN w:val="0"/>
              <w:adjustRightInd w:val="0"/>
              <w:jc w:val="center"/>
              <w:rPr>
                <w:rFonts w:ascii="Times" w:hAnsi="Times" w:cs="Times"/>
                <w:i/>
                <w:sz w:val="20"/>
                <w:szCs w:val="20"/>
                <w:lang w:val="en-US"/>
              </w:rPr>
            </w:pPr>
            <w:r w:rsidRPr="00A7356B">
              <w:rPr>
                <w:rFonts w:ascii="Times" w:hAnsi="Times" w:cs="Times"/>
                <w:i/>
                <w:sz w:val="20"/>
                <w:szCs w:val="20"/>
                <w:lang w:val="en-US"/>
              </w:rPr>
              <w:t xml:space="preserve">Exch. Rate </w:t>
            </w:r>
            <m:oMath>
              <m:r>
                <w:rPr>
                  <w:rFonts w:ascii="Cambria Math" w:hAnsi="Cambria Math" w:cs="Times"/>
                  <w:sz w:val="20"/>
                  <w:szCs w:val="20"/>
                  <w:lang w:val="en-US"/>
                </w:rPr>
                <m:t>j</m:t>
              </m:r>
            </m:oMath>
          </w:p>
        </w:tc>
        <w:tc>
          <w:tcPr>
            <w:tcW w:w="720" w:type="dxa"/>
            <w:tcMar>
              <w:top w:w="20" w:type="nil"/>
              <w:left w:w="20" w:type="nil"/>
              <w:bottom w:w="20" w:type="nil"/>
              <w:right w:w="20" w:type="nil"/>
            </w:tcMar>
            <w:vAlign w:val="center"/>
          </w:tcPr>
          <w:p w14:paraId="321BC483"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6,634</w:t>
            </w:r>
          </w:p>
        </w:tc>
        <w:tc>
          <w:tcPr>
            <w:tcW w:w="1280" w:type="dxa"/>
            <w:tcMar>
              <w:top w:w="20" w:type="nil"/>
              <w:left w:w="20" w:type="nil"/>
              <w:bottom w:w="20" w:type="nil"/>
              <w:right w:w="20" w:type="nil"/>
            </w:tcMar>
            <w:vAlign w:val="center"/>
          </w:tcPr>
          <w:p w14:paraId="6E4EA2C3"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-1.9</w:t>
            </w:r>
          </w:p>
        </w:tc>
        <w:tc>
          <w:tcPr>
            <w:tcW w:w="1280" w:type="dxa"/>
            <w:tcMar>
              <w:top w:w="20" w:type="nil"/>
              <w:left w:w="20" w:type="nil"/>
              <w:bottom w:w="20" w:type="nil"/>
              <w:right w:w="20" w:type="nil"/>
            </w:tcMar>
            <w:vAlign w:val="center"/>
          </w:tcPr>
          <w:p w14:paraId="59C7167D"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2.5</w:t>
            </w:r>
          </w:p>
        </w:tc>
        <w:tc>
          <w:tcPr>
            <w:tcW w:w="720" w:type="dxa"/>
            <w:tcMar>
              <w:top w:w="20" w:type="nil"/>
              <w:left w:w="20" w:type="nil"/>
              <w:bottom w:w="20" w:type="nil"/>
              <w:right w:w="20" w:type="nil"/>
            </w:tcMar>
            <w:vAlign w:val="center"/>
          </w:tcPr>
          <w:p w14:paraId="45B698CB"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-9.9</w:t>
            </w:r>
          </w:p>
        </w:tc>
        <w:tc>
          <w:tcPr>
            <w:tcW w:w="2080" w:type="dxa"/>
            <w:tcMar>
              <w:top w:w="20" w:type="nil"/>
              <w:left w:w="20" w:type="nil"/>
              <w:bottom w:w="20" w:type="nil"/>
              <w:right w:w="20" w:type="nil"/>
            </w:tcMar>
            <w:vAlign w:val="center"/>
          </w:tcPr>
          <w:p w14:paraId="0910865B"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3.1</w:t>
            </w:r>
          </w:p>
        </w:tc>
      </w:tr>
      <w:tr w:rsidR="00047ADA" w:rsidRPr="00A7356B" w14:paraId="00FB562F" w14:textId="77777777" w:rsidTr="00047ADA">
        <w:tblPrEx>
          <w:tblBorders>
            <w:top w:val="none" w:sz="0" w:space="0" w:color="auto"/>
          </w:tblBorders>
        </w:tblPrEx>
        <w:trPr>
          <w:jc w:val="center"/>
        </w:trPr>
        <w:tc>
          <w:tcPr>
            <w:tcW w:w="1980" w:type="dxa"/>
            <w:tcMar>
              <w:top w:w="20" w:type="nil"/>
              <w:left w:w="20" w:type="nil"/>
              <w:bottom w:w="20" w:type="nil"/>
              <w:right w:w="20" w:type="nil"/>
            </w:tcMar>
            <w:vAlign w:val="center"/>
          </w:tcPr>
          <w:p w14:paraId="27974ADB" w14:textId="77777777" w:rsidR="00047ADA" w:rsidRPr="00A7356B" w:rsidRDefault="00047ADA" w:rsidP="00047ADA">
            <w:pPr>
              <w:widowControl w:val="0"/>
              <w:autoSpaceDE w:val="0"/>
              <w:autoSpaceDN w:val="0"/>
              <w:adjustRightInd w:val="0"/>
              <w:jc w:val="center"/>
              <w:rPr>
                <w:rFonts w:ascii="Times" w:hAnsi="Times" w:cs="Times"/>
                <w:i/>
                <w:sz w:val="20"/>
                <w:szCs w:val="20"/>
                <w:lang w:val="en-US"/>
              </w:rPr>
            </w:pPr>
            <w:r w:rsidRPr="00A7356B">
              <w:rPr>
                <w:rFonts w:ascii="Times" w:hAnsi="Times" w:cs="Times"/>
                <w:i/>
                <w:sz w:val="20"/>
                <w:szCs w:val="20"/>
                <w:lang w:val="en-US"/>
              </w:rPr>
              <w:t xml:space="preserve">Consumption </w:t>
            </w:r>
            <m:oMath>
              <m:r>
                <w:rPr>
                  <w:rFonts w:ascii="Cambria Math" w:hAnsi="Cambria Math" w:cs="Times"/>
                  <w:sz w:val="20"/>
                  <w:szCs w:val="20"/>
                  <w:lang w:val="en-US"/>
                </w:rPr>
                <m:t>i</m:t>
              </m:r>
            </m:oMath>
          </w:p>
        </w:tc>
        <w:tc>
          <w:tcPr>
            <w:tcW w:w="720" w:type="dxa"/>
            <w:tcMar>
              <w:top w:w="20" w:type="nil"/>
              <w:left w:w="20" w:type="nil"/>
              <w:bottom w:w="20" w:type="nil"/>
              <w:right w:w="20" w:type="nil"/>
            </w:tcMar>
            <w:vAlign w:val="center"/>
          </w:tcPr>
          <w:p w14:paraId="721F8740"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6,634</w:t>
            </w:r>
          </w:p>
        </w:tc>
        <w:tc>
          <w:tcPr>
            <w:tcW w:w="1280" w:type="dxa"/>
            <w:tcMar>
              <w:top w:w="20" w:type="nil"/>
              <w:left w:w="20" w:type="nil"/>
              <w:bottom w:w="20" w:type="nil"/>
              <w:right w:w="20" w:type="nil"/>
            </w:tcMar>
            <w:vAlign w:val="center"/>
          </w:tcPr>
          <w:p w14:paraId="3E949E55"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5.6</w:t>
            </w:r>
          </w:p>
        </w:tc>
        <w:tc>
          <w:tcPr>
            <w:tcW w:w="1280" w:type="dxa"/>
            <w:tcMar>
              <w:top w:w="20" w:type="nil"/>
              <w:left w:w="20" w:type="nil"/>
              <w:bottom w:w="20" w:type="nil"/>
              <w:right w:w="20" w:type="nil"/>
            </w:tcMar>
            <w:vAlign w:val="center"/>
          </w:tcPr>
          <w:p w14:paraId="668AF4EC"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2.9</w:t>
            </w:r>
          </w:p>
        </w:tc>
        <w:tc>
          <w:tcPr>
            <w:tcW w:w="720" w:type="dxa"/>
            <w:tcMar>
              <w:top w:w="20" w:type="nil"/>
              <w:left w:w="20" w:type="nil"/>
              <w:bottom w:w="20" w:type="nil"/>
              <w:right w:w="20" w:type="nil"/>
            </w:tcMar>
            <w:vAlign w:val="center"/>
          </w:tcPr>
          <w:p w14:paraId="7BE2FDF6"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-2.3</w:t>
            </w:r>
          </w:p>
        </w:tc>
        <w:tc>
          <w:tcPr>
            <w:tcW w:w="2080" w:type="dxa"/>
            <w:tcMar>
              <w:top w:w="20" w:type="nil"/>
              <w:left w:w="20" w:type="nil"/>
              <w:bottom w:w="20" w:type="nil"/>
              <w:right w:w="20" w:type="nil"/>
            </w:tcMar>
            <w:vAlign w:val="center"/>
          </w:tcPr>
          <w:p w14:paraId="4E35CCB7"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11.2</w:t>
            </w:r>
          </w:p>
        </w:tc>
      </w:tr>
      <w:tr w:rsidR="00047ADA" w:rsidRPr="00A7356B" w14:paraId="431BD60C" w14:textId="77777777" w:rsidTr="00047ADA">
        <w:tblPrEx>
          <w:tblBorders>
            <w:top w:val="none" w:sz="0" w:space="0" w:color="auto"/>
          </w:tblBorders>
        </w:tblPrEx>
        <w:trPr>
          <w:jc w:val="center"/>
        </w:trPr>
        <w:tc>
          <w:tcPr>
            <w:tcW w:w="1980" w:type="dxa"/>
            <w:tcMar>
              <w:top w:w="20" w:type="nil"/>
              <w:left w:w="20" w:type="nil"/>
              <w:bottom w:w="20" w:type="nil"/>
              <w:right w:w="20" w:type="nil"/>
            </w:tcMar>
            <w:vAlign w:val="center"/>
          </w:tcPr>
          <w:p w14:paraId="45260A69" w14:textId="77777777" w:rsidR="00047ADA" w:rsidRPr="00A7356B" w:rsidRDefault="00047ADA" w:rsidP="00047ADA">
            <w:pPr>
              <w:widowControl w:val="0"/>
              <w:autoSpaceDE w:val="0"/>
              <w:autoSpaceDN w:val="0"/>
              <w:adjustRightInd w:val="0"/>
              <w:jc w:val="center"/>
              <w:rPr>
                <w:rFonts w:ascii="Times" w:hAnsi="Times" w:cs="Times"/>
                <w:i/>
                <w:sz w:val="20"/>
                <w:szCs w:val="20"/>
                <w:lang w:val="en-US"/>
              </w:rPr>
            </w:pPr>
            <w:r w:rsidRPr="00A7356B">
              <w:rPr>
                <w:rFonts w:ascii="Times" w:hAnsi="Times" w:cs="Times"/>
                <w:i/>
                <w:sz w:val="20"/>
                <w:szCs w:val="20"/>
                <w:lang w:val="en-US"/>
              </w:rPr>
              <w:t xml:space="preserve">Other Goods </w:t>
            </w:r>
            <m:oMath>
              <m:r>
                <w:rPr>
                  <w:rFonts w:ascii="Cambria Math" w:hAnsi="Cambria Math" w:cs="Times"/>
                  <w:sz w:val="20"/>
                  <w:szCs w:val="20"/>
                  <w:lang w:val="en-US"/>
                </w:rPr>
                <m:t>i</m:t>
              </m:r>
            </m:oMath>
          </w:p>
        </w:tc>
        <w:tc>
          <w:tcPr>
            <w:tcW w:w="720" w:type="dxa"/>
            <w:tcMar>
              <w:top w:w="20" w:type="nil"/>
              <w:left w:w="20" w:type="nil"/>
              <w:bottom w:w="20" w:type="nil"/>
              <w:right w:w="20" w:type="nil"/>
            </w:tcMar>
            <w:vAlign w:val="center"/>
          </w:tcPr>
          <w:p w14:paraId="5F6A46F8"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6,634</w:t>
            </w:r>
          </w:p>
        </w:tc>
        <w:tc>
          <w:tcPr>
            <w:tcW w:w="1280" w:type="dxa"/>
            <w:tcMar>
              <w:top w:w="20" w:type="nil"/>
              <w:left w:w="20" w:type="nil"/>
              <w:bottom w:w="20" w:type="nil"/>
              <w:right w:w="20" w:type="nil"/>
            </w:tcMar>
            <w:vAlign w:val="center"/>
          </w:tcPr>
          <w:p w14:paraId="0B3181D2"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10.8</w:t>
            </w:r>
          </w:p>
        </w:tc>
        <w:tc>
          <w:tcPr>
            <w:tcW w:w="1280" w:type="dxa"/>
            <w:tcMar>
              <w:top w:w="20" w:type="nil"/>
              <w:left w:w="20" w:type="nil"/>
              <w:bottom w:w="20" w:type="nil"/>
              <w:right w:w="20" w:type="nil"/>
            </w:tcMar>
            <w:vAlign w:val="center"/>
          </w:tcPr>
          <w:p w14:paraId="054E1415"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2.0</w:t>
            </w:r>
          </w:p>
        </w:tc>
        <w:tc>
          <w:tcPr>
            <w:tcW w:w="720" w:type="dxa"/>
            <w:tcMar>
              <w:top w:w="20" w:type="nil"/>
              <w:left w:w="20" w:type="nil"/>
              <w:bottom w:w="20" w:type="nil"/>
              <w:right w:w="20" w:type="nil"/>
            </w:tcMar>
            <w:vAlign w:val="center"/>
          </w:tcPr>
          <w:p w14:paraId="1F652559"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-3.9</w:t>
            </w:r>
          </w:p>
        </w:tc>
        <w:tc>
          <w:tcPr>
            <w:tcW w:w="2080" w:type="dxa"/>
            <w:tcMar>
              <w:top w:w="20" w:type="nil"/>
              <w:left w:w="20" w:type="nil"/>
              <w:bottom w:w="20" w:type="nil"/>
              <w:right w:w="20" w:type="nil"/>
            </w:tcMar>
            <w:vAlign w:val="center"/>
          </w:tcPr>
          <w:p w14:paraId="06569842"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14.3</w:t>
            </w:r>
          </w:p>
        </w:tc>
      </w:tr>
      <w:tr w:rsidR="00047ADA" w:rsidRPr="00A7356B" w14:paraId="4A116B96" w14:textId="77777777" w:rsidTr="00047ADA">
        <w:tblPrEx>
          <w:tblBorders>
            <w:top w:val="none" w:sz="0" w:space="0" w:color="auto"/>
          </w:tblBorders>
        </w:tblPrEx>
        <w:trPr>
          <w:jc w:val="center"/>
        </w:trPr>
        <w:tc>
          <w:tcPr>
            <w:tcW w:w="1980" w:type="dxa"/>
            <w:tcMar>
              <w:top w:w="20" w:type="nil"/>
              <w:left w:w="20" w:type="nil"/>
              <w:bottom w:w="20" w:type="nil"/>
              <w:right w:w="20" w:type="nil"/>
            </w:tcMar>
            <w:vAlign w:val="center"/>
          </w:tcPr>
          <w:p w14:paraId="1DEF5B6F" w14:textId="77777777" w:rsidR="00047ADA" w:rsidRPr="00A7356B" w:rsidRDefault="00047ADA" w:rsidP="00047ADA">
            <w:pPr>
              <w:widowControl w:val="0"/>
              <w:autoSpaceDE w:val="0"/>
              <w:autoSpaceDN w:val="0"/>
              <w:adjustRightInd w:val="0"/>
              <w:jc w:val="center"/>
              <w:rPr>
                <w:rFonts w:ascii="Times" w:hAnsi="Times" w:cs="Times"/>
                <w:i/>
                <w:sz w:val="20"/>
                <w:szCs w:val="20"/>
                <w:lang w:val="en-US"/>
              </w:rPr>
            </w:pPr>
            <w:r w:rsidRPr="00A7356B">
              <w:rPr>
                <w:rFonts w:ascii="Times" w:hAnsi="Times" w:cs="Times"/>
                <w:i/>
                <w:sz w:val="20"/>
                <w:szCs w:val="20"/>
                <w:lang w:val="en-US"/>
              </w:rPr>
              <w:t xml:space="preserve">Landlocked </w:t>
            </w:r>
            <m:oMath>
              <m:r>
                <w:rPr>
                  <w:rFonts w:ascii="Cambria Math" w:hAnsi="Cambria Math" w:cs="Times"/>
                  <w:sz w:val="20"/>
                  <w:szCs w:val="20"/>
                  <w:lang w:val="en-US"/>
                </w:rPr>
                <m:t>j</m:t>
              </m:r>
            </m:oMath>
          </w:p>
        </w:tc>
        <w:tc>
          <w:tcPr>
            <w:tcW w:w="720" w:type="dxa"/>
            <w:tcMar>
              <w:top w:w="20" w:type="nil"/>
              <w:left w:w="20" w:type="nil"/>
              <w:bottom w:w="20" w:type="nil"/>
              <w:right w:w="20" w:type="nil"/>
            </w:tcMar>
            <w:vAlign w:val="center"/>
          </w:tcPr>
          <w:p w14:paraId="02937956"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6,634</w:t>
            </w:r>
          </w:p>
        </w:tc>
        <w:tc>
          <w:tcPr>
            <w:tcW w:w="1280" w:type="dxa"/>
            <w:tcMar>
              <w:top w:w="20" w:type="nil"/>
              <w:left w:w="20" w:type="nil"/>
              <w:bottom w:w="20" w:type="nil"/>
              <w:right w:w="20" w:type="nil"/>
            </w:tcMar>
            <w:vAlign w:val="center"/>
          </w:tcPr>
          <w:p w14:paraId="6EA27AB5"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0.2</w:t>
            </w:r>
          </w:p>
        </w:tc>
        <w:tc>
          <w:tcPr>
            <w:tcW w:w="1280" w:type="dxa"/>
            <w:tcMar>
              <w:top w:w="20" w:type="nil"/>
              <w:left w:w="20" w:type="nil"/>
              <w:bottom w:w="20" w:type="nil"/>
              <w:right w:w="20" w:type="nil"/>
            </w:tcMar>
            <w:vAlign w:val="center"/>
          </w:tcPr>
          <w:p w14:paraId="6A4A60DF"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0.4</w:t>
            </w:r>
          </w:p>
        </w:tc>
        <w:tc>
          <w:tcPr>
            <w:tcW w:w="720" w:type="dxa"/>
            <w:tcMar>
              <w:top w:w="20" w:type="nil"/>
              <w:left w:w="20" w:type="nil"/>
              <w:bottom w:w="20" w:type="nil"/>
              <w:right w:w="20" w:type="nil"/>
            </w:tcMar>
            <w:vAlign w:val="center"/>
          </w:tcPr>
          <w:p w14:paraId="42734A2A"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w:t>
            </w:r>
          </w:p>
        </w:tc>
        <w:tc>
          <w:tcPr>
            <w:tcW w:w="2080" w:type="dxa"/>
            <w:tcMar>
              <w:top w:w="20" w:type="nil"/>
              <w:left w:w="20" w:type="nil"/>
              <w:bottom w:w="20" w:type="nil"/>
              <w:right w:w="20" w:type="nil"/>
            </w:tcMar>
            <w:vAlign w:val="center"/>
          </w:tcPr>
          <w:p w14:paraId="5BF11076"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1</w:t>
            </w:r>
          </w:p>
        </w:tc>
      </w:tr>
      <w:tr w:rsidR="00047ADA" w:rsidRPr="00A7356B" w14:paraId="02AA9EE2" w14:textId="77777777" w:rsidTr="00047ADA">
        <w:tblPrEx>
          <w:tblBorders>
            <w:top w:val="none" w:sz="0" w:space="0" w:color="auto"/>
          </w:tblBorders>
        </w:tblPrEx>
        <w:trPr>
          <w:jc w:val="center"/>
        </w:trPr>
        <w:tc>
          <w:tcPr>
            <w:tcW w:w="1980" w:type="dxa"/>
            <w:tcMar>
              <w:top w:w="20" w:type="nil"/>
              <w:left w:w="20" w:type="nil"/>
              <w:bottom w:w="20" w:type="nil"/>
              <w:right w:w="20" w:type="nil"/>
            </w:tcMar>
            <w:vAlign w:val="center"/>
          </w:tcPr>
          <w:p w14:paraId="195948D7" w14:textId="77777777" w:rsidR="00047ADA" w:rsidRPr="00A7356B" w:rsidRDefault="00047ADA" w:rsidP="00047ADA">
            <w:pPr>
              <w:widowControl w:val="0"/>
              <w:autoSpaceDE w:val="0"/>
              <w:autoSpaceDN w:val="0"/>
              <w:adjustRightInd w:val="0"/>
              <w:jc w:val="center"/>
              <w:rPr>
                <w:rFonts w:ascii="Times" w:hAnsi="Times" w:cs="Times"/>
                <w:i/>
                <w:sz w:val="20"/>
                <w:szCs w:val="20"/>
                <w:lang w:val="en-US"/>
              </w:rPr>
            </w:pPr>
            <w:r w:rsidRPr="00A7356B">
              <w:rPr>
                <w:rFonts w:ascii="Times" w:hAnsi="Times" w:cs="Times"/>
                <w:i/>
                <w:sz w:val="20"/>
                <w:szCs w:val="20"/>
                <w:lang w:val="en-US"/>
              </w:rPr>
              <w:t xml:space="preserve">Landlocked </w:t>
            </w:r>
            <m:oMath>
              <m:r>
                <w:rPr>
                  <w:rFonts w:ascii="Cambria Math" w:hAnsi="Cambria Math" w:cs="Times"/>
                  <w:sz w:val="20"/>
                  <w:szCs w:val="20"/>
                  <w:lang w:val="en-US"/>
                </w:rPr>
                <m:t>i</m:t>
              </m:r>
            </m:oMath>
          </w:p>
        </w:tc>
        <w:tc>
          <w:tcPr>
            <w:tcW w:w="720" w:type="dxa"/>
            <w:tcMar>
              <w:top w:w="20" w:type="nil"/>
              <w:left w:w="20" w:type="nil"/>
              <w:bottom w:w="20" w:type="nil"/>
              <w:right w:w="20" w:type="nil"/>
            </w:tcMar>
            <w:vAlign w:val="center"/>
          </w:tcPr>
          <w:p w14:paraId="114C1070"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6,634</w:t>
            </w:r>
          </w:p>
        </w:tc>
        <w:tc>
          <w:tcPr>
            <w:tcW w:w="1280" w:type="dxa"/>
            <w:tcMar>
              <w:top w:w="20" w:type="nil"/>
              <w:left w:w="20" w:type="nil"/>
              <w:bottom w:w="20" w:type="nil"/>
              <w:right w:w="20" w:type="nil"/>
            </w:tcMar>
            <w:vAlign w:val="center"/>
          </w:tcPr>
          <w:p w14:paraId="2E1F523C"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0.1</w:t>
            </w:r>
          </w:p>
        </w:tc>
        <w:tc>
          <w:tcPr>
            <w:tcW w:w="1280" w:type="dxa"/>
            <w:tcMar>
              <w:top w:w="20" w:type="nil"/>
              <w:left w:w="20" w:type="nil"/>
              <w:bottom w:w="20" w:type="nil"/>
              <w:right w:w="20" w:type="nil"/>
            </w:tcMar>
            <w:vAlign w:val="center"/>
          </w:tcPr>
          <w:p w14:paraId="02A28E75"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0.3</w:t>
            </w:r>
          </w:p>
        </w:tc>
        <w:tc>
          <w:tcPr>
            <w:tcW w:w="720" w:type="dxa"/>
            <w:tcMar>
              <w:top w:w="20" w:type="nil"/>
              <w:left w:w="20" w:type="nil"/>
              <w:bottom w:w="20" w:type="nil"/>
              <w:right w:w="20" w:type="nil"/>
            </w:tcMar>
            <w:vAlign w:val="center"/>
          </w:tcPr>
          <w:p w14:paraId="313FDCFF"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w:t>
            </w:r>
          </w:p>
        </w:tc>
        <w:tc>
          <w:tcPr>
            <w:tcW w:w="2080" w:type="dxa"/>
            <w:tcMar>
              <w:top w:w="20" w:type="nil"/>
              <w:left w:w="20" w:type="nil"/>
              <w:bottom w:w="20" w:type="nil"/>
              <w:right w:w="20" w:type="nil"/>
            </w:tcMar>
            <w:vAlign w:val="center"/>
          </w:tcPr>
          <w:p w14:paraId="7A0DE8D8"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1</w:t>
            </w:r>
          </w:p>
        </w:tc>
      </w:tr>
      <w:tr w:rsidR="00047ADA" w:rsidRPr="00A7356B" w14:paraId="0CF7B407" w14:textId="77777777" w:rsidTr="00047ADA">
        <w:tblPrEx>
          <w:tblBorders>
            <w:top w:val="none" w:sz="0" w:space="0" w:color="auto"/>
          </w:tblBorders>
        </w:tblPrEx>
        <w:trPr>
          <w:jc w:val="center"/>
        </w:trPr>
        <w:tc>
          <w:tcPr>
            <w:tcW w:w="1980" w:type="dxa"/>
            <w:tcMar>
              <w:top w:w="20" w:type="nil"/>
              <w:left w:w="20" w:type="nil"/>
              <w:bottom w:w="20" w:type="nil"/>
              <w:right w:w="20" w:type="nil"/>
            </w:tcMar>
            <w:vAlign w:val="center"/>
          </w:tcPr>
          <w:p w14:paraId="669DF3AE" w14:textId="77777777" w:rsidR="00047ADA" w:rsidRPr="00A7356B" w:rsidRDefault="00047ADA" w:rsidP="00047ADA">
            <w:pPr>
              <w:widowControl w:val="0"/>
              <w:autoSpaceDE w:val="0"/>
              <w:autoSpaceDN w:val="0"/>
              <w:adjustRightInd w:val="0"/>
              <w:jc w:val="center"/>
              <w:rPr>
                <w:rFonts w:ascii="Times" w:hAnsi="Times" w:cs="Times"/>
                <w:i/>
                <w:sz w:val="20"/>
                <w:szCs w:val="20"/>
                <w:lang w:val="en-US"/>
              </w:rPr>
            </w:pPr>
            <w:r w:rsidRPr="00A7356B">
              <w:rPr>
                <w:rFonts w:ascii="Times" w:hAnsi="Times" w:cs="Times"/>
                <w:i/>
                <w:sz w:val="20"/>
                <w:szCs w:val="20"/>
                <w:lang w:val="en-US"/>
              </w:rPr>
              <w:t xml:space="preserve">Remoteness </w:t>
            </w:r>
            <m:oMath>
              <m:r>
                <w:rPr>
                  <w:rFonts w:ascii="Cambria Math" w:hAnsi="Cambria Math" w:cs="Times"/>
                  <w:sz w:val="20"/>
                  <w:szCs w:val="20"/>
                  <w:lang w:val="en-US"/>
                </w:rPr>
                <m:t>j</m:t>
              </m:r>
            </m:oMath>
          </w:p>
        </w:tc>
        <w:tc>
          <w:tcPr>
            <w:tcW w:w="720" w:type="dxa"/>
            <w:tcMar>
              <w:top w:w="20" w:type="nil"/>
              <w:left w:w="20" w:type="nil"/>
              <w:bottom w:w="20" w:type="nil"/>
              <w:right w:w="20" w:type="nil"/>
            </w:tcMar>
            <w:vAlign w:val="center"/>
          </w:tcPr>
          <w:p w14:paraId="549A412A"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6,634</w:t>
            </w:r>
          </w:p>
        </w:tc>
        <w:tc>
          <w:tcPr>
            <w:tcW w:w="1280" w:type="dxa"/>
            <w:tcMar>
              <w:top w:w="20" w:type="nil"/>
              <w:left w:w="20" w:type="nil"/>
              <w:bottom w:w="20" w:type="nil"/>
              <w:right w:w="20" w:type="nil"/>
            </w:tcMar>
            <w:vAlign w:val="center"/>
          </w:tcPr>
          <w:p w14:paraId="3CC2C8C4"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18.0</w:t>
            </w:r>
          </w:p>
        </w:tc>
        <w:tc>
          <w:tcPr>
            <w:tcW w:w="1280" w:type="dxa"/>
            <w:tcMar>
              <w:top w:w="20" w:type="nil"/>
              <w:left w:w="20" w:type="nil"/>
              <w:bottom w:w="20" w:type="nil"/>
              <w:right w:w="20" w:type="nil"/>
            </w:tcMar>
            <w:vAlign w:val="center"/>
          </w:tcPr>
          <w:p w14:paraId="179CDF3F"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1.0</w:t>
            </w:r>
          </w:p>
        </w:tc>
        <w:tc>
          <w:tcPr>
            <w:tcW w:w="720" w:type="dxa"/>
            <w:tcMar>
              <w:top w:w="20" w:type="nil"/>
              <w:left w:w="20" w:type="nil"/>
              <w:bottom w:w="20" w:type="nil"/>
              <w:right w:w="20" w:type="nil"/>
            </w:tcMar>
            <w:vAlign w:val="center"/>
          </w:tcPr>
          <w:p w14:paraId="782D37C5"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16.5</w:t>
            </w:r>
          </w:p>
        </w:tc>
        <w:tc>
          <w:tcPr>
            <w:tcW w:w="2080" w:type="dxa"/>
            <w:tcMar>
              <w:top w:w="20" w:type="nil"/>
              <w:left w:w="20" w:type="nil"/>
              <w:bottom w:w="20" w:type="nil"/>
              <w:right w:w="20" w:type="nil"/>
            </w:tcMar>
            <w:vAlign w:val="center"/>
          </w:tcPr>
          <w:p w14:paraId="79C17022"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22.3</w:t>
            </w:r>
          </w:p>
        </w:tc>
      </w:tr>
      <w:tr w:rsidR="00047ADA" w:rsidRPr="00A7356B" w14:paraId="0A77FE27" w14:textId="77777777" w:rsidTr="00047ADA">
        <w:tblPrEx>
          <w:tblBorders>
            <w:top w:val="none" w:sz="0" w:space="0" w:color="auto"/>
          </w:tblBorders>
        </w:tblPrEx>
        <w:trPr>
          <w:jc w:val="center"/>
        </w:trPr>
        <w:tc>
          <w:tcPr>
            <w:tcW w:w="1980" w:type="dxa"/>
            <w:tcMar>
              <w:top w:w="20" w:type="nil"/>
              <w:left w:w="20" w:type="nil"/>
              <w:bottom w:w="20" w:type="nil"/>
              <w:right w:w="20" w:type="nil"/>
            </w:tcMar>
            <w:vAlign w:val="center"/>
          </w:tcPr>
          <w:p w14:paraId="15C224C5" w14:textId="77777777" w:rsidR="00047ADA" w:rsidRPr="00A7356B" w:rsidRDefault="00047ADA" w:rsidP="00047ADA">
            <w:pPr>
              <w:widowControl w:val="0"/>
              <w:autoSpaceDE w:val="0"/>
              <w:autoSpaceDN w:val="0"/>
              <w:adjustRightInd w:val="0"/>
              <w:jc w:val="center"/>
              <w:rPr>
                <w:rFonts w:ascii="Times" w:hAnsi="Times" w:cs="Times"/>
                <w:i/>
                <w:sz w:val="20"/>
                <w:szCs w:val="20"/>
                <w:lang w:val="en-US"/>
              </w:rPr>
            </w:pPr>
            <w:r w:rsidRPr="00A7356B">
              <w:rPr>
                <w:rFonts w:ascii="Times" w:hAnsi="Times" w:cs="Times"/>
                <w:i/>
                <w:sz w:val="20"/>
                <w:szCs w:val="20"/>
                <w:lang w:val="en-US"/>
              </w:rPr>
              <w:t xml:space="preserve">Remoteness </w:t>
            </w:r>
            <m:oMath>
              <m:r>
                <w:rPr>
                  <w:rFonts w:ascii="Cambria Math" w:hAnsi="Cambria Math" w:cs="Times"/>
                  <w:sz w:val="20"/>
                  <w:szCs w:val="20"/>
                  <w:lang w:val="en-US"/>
                </w:rPr>
                <m:t>i</m:t>
              </m:r>
            </m:oMath>
          </w:p>
        </w:tc>
        <w:tc>
          <w:tcPr>
            <w:tcW w:w="720" w:type="dxa"/>
            <w:tcMar>
              <w:top w:w="20" w:type="nil"/>
              <w:left w:w="20" w:type="nil"/>
              <w:bottom w:w="20" w:type="nil"/>
              <w:right w:w="20" w:type="nil"/>
            </w:tcMar>
            <w:vAlign w:val="center"/>
          </w:tcPr>
          <w:p w14:paraId="54096432"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6,634</w:t>
            </w:r>
          </w:p>
        </w:tc>
        <w:tc>
          <w:tcPr>
            <w:tcW w:w="1280" w:type="dxa"/>
            <w:tcMar>
              <w:top w:w="20" w:type="nil"/>
              <w:left w:w="20" w:type="nil"/>
              <w:bottom w:w="20" w:type="nil"/>
              <w:right w:w="20" w:type="nil"/>
            </w:tcMar>
            <w:vAlign w:val="center"/>
          </w:tcPr>
          <w:p w14:paraId="0755A8B6"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17.8</w:t>
            </w:r>
          </w:p>
        </w:tc>
        <w:tc>
          <w:tcPr>
            <w:tcW w:w="1280" w:type="dxa"/>
            <w:tcMar>
              <w:top w:w="20" w:type="nil"/>
              <w:left w:w="20" w:type="nil"/>
              <w:bottom w:w="20" w:type="nil"/>
              <w:right w:w="20" w:type="nil"/>
            </w:tcMar>
            <w:vAlign w:val="center"/>
          </w:tcPr>
          <w:p w14:paraId="7C35F9B9"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0.9</w:t>
            </w:r>
          </w:p>
        </w:tc>
        <w:tc>
          <w:tcPr>
            <w:tcW w:w="720" w:type="dxa"/>
            <w:tcMar>
              <w:top w:w="20" w:type="nil"/>
              <w:left w:w="20" w:type="nil"/>
              <w:bottom w:w="20" w:type="nil"/>
              <w:right w:w="20" w:type="nil"/>
            </w:tcMar>
            <w:vAlign w:val="center"/>
          </w:tcPr>
          <w:p w14:paraId="3DBA2378"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15.7</w:t>
            </w:r>
          </w:p>
        </w:tc>
        <w:tc>
          <w:tcPr>
            <w:tcW w:w="2080" w:type="dxa"/>
            <w:tcMar>
              <w:top w:w="20" w:type="nil"/>
              <w:left w:w="20" w:type="nil"/>
              <w:bottom w:w="20" w:type="nil"/>
              <w:right w:w="20" w:type="nil"/>
            </w:tcMar>
            <w:vAlign w:val="center"/>
          </w:tcPr>
          <w:p w14:paraId="28EF96C6"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24.3</w:t>
            </w:r>
          </w:p>
        </w:tc>
      </w:tr>
      <w:tr w:rsidR="00047ADA" w:rsidRPr="00A7356B" w14:paraId="6F4B9AC4" w14:textId="77777777" w:rsidTr="00047ADA">
        <w:tblPrEx>
          <w:tblBorders>
            <w:top w:val="none" w:sz="0" w:space="0" w:color="auto"/>
          </w:tblBorders>
        </w:tblPrEx>
        <w:trPr>
          <w:jc w:val="center"/>
        </w:trPr>
        <w:tc>
          <w:tcPr>
            <w:tcW w:w="1980" w:type="dxa"/>
            <w:tcMar>
              <w:top w:w="20" w:type="nil"/>
              <w:left w:w="20" w:type="nil"/>
              <w:bottom w:w="20" w:type="nil"/>
              <w:right w:w="20" w:type="nil"/>
            </w:tcMar>
            <w:vAlign w:val="center"/>
          </w:tcPr>
          <w:p w14:paraId="385DD7F0" w14:textId="77777777" w:rsidR="00047ADA" w:rsidRPr="00A7356B" w:rsidRDefault="005008E5" w:rsidP="00047ADA">
            <w:pPr>
              <w:widowControl w:val="0"/>
              <w:autoSpaceDE w:val="0"/>
              <w:autoSpaceDN w:val="0"/>
              <w:adjustRightInd w:val="0"/>
              <w:jc w:val="center"/>
              <w:rPr>
                <w:rFonts w:ascii="Times" w:hAnsi="Times" w:cs="Times"/>
                <w:sz w:val="20"/>
                <w:szCs w:val="20"/>
                <w:lang w:val="en-US"/>
              </w:rPr>
            </w:pPr>
            <m:oMathPara>
              <m:oMath>
                <m:sSub>
                  <m:sSubPr>
                    <m:ctrlPr>
                      <w:rPr>
                        <w:rFonts w:ascii="Cambria Math" w:eastAsia="Times New Roman" w:hAnsi="Cambria Math" w:cs="Times New Roman"/>
                        <w:i/>
                        <w:sz w:val="20"/>
                        <w:szCs w:val="20"/>
                        <w:lang w:val="en-US"/>
                      </w:rPr>
                    </m:ctrlPr>
                  </m:sSubPr>
                  <m:e>
                    <m:sSup>
                      <m:sSupPr>
                        <m:ctrlPr>
                          <w:rPr>
                            <w:rFonts w:ascii="Cambria Math" w:eastAsia="Times New Roman" w:hAnsi="Cambria Math" w:cs="Times New Roman"/>
                            <w:i/>
                            <w:sz w:val="20"/>
                            <w:szCs w:val="20"/>
                            <w:lang w:val="en-US"/>
                          </w:rPr>
                        </m:ctrlPr>
                      </m:sSupPr>
                      <m:e>
                        <m:acc>
                          <m:accPr>
                            <m:ctrlPr>
                              <w:rPr>
                                <w:rFonts w:ascii="Cambria Math" w:eastAsia="Times New Roman" w:hAnsi="Cambria Math" w:cs="Times New Roman"/>
                                <w:i/>
                                <w:sz w:val="20"/>
                                <w:szCs w:val="20"/>
                                <w:lang w:val="en-US"/>
                              </w:rPr>
                            </m:ctrlPr>
                          </m:accPr>
                          <m:e>
                            <m:r>
                              <w:rPr>
                                <w:rFonts w:ascii="Cambria Math" w:eastAsia="Times New Roman" w:hAnsi="Cambria Math" w:cs="Times New Roman"/>
                                <w:sz w:val="20"/>
                                <w:szCs w:val="20"/>
                                <w:lang w:val="en-US"/>
                              </w:rPr>
                              <m:t>η</m:t>
                            </m:r>
                          </m:e>
                        </m:acc>
                      </m:e>
                      <m:sup>
                        <m:r>
                          <w:rPr>
                            <w:rFonts w:ascii="Cambria Math" w:eastAsia="Times New Roman" w:hAnsi="Cambria Math" w:cs="Times New Roman"/>
                            <w:sz w:val="20"/>
                            <w:szCs w:val="20"/>
                            <w:lang w:val="en-US"/>
                          </w:rPr>
                          <m:t>*</m:t>
                        </m:r>
                      </m:sup>
                    </m:sSup>
                  </m:e>
                  <m:sub>
                    <m:r>
                      <w:rPr>
                        <w:rFonts w:ascii="Cambria Math" w:eastAsia="Times New Roman" w:hAnsi="Cambria Math" w:cs="Times New Roman"/>
                        <w:sz w:val="20"/>
                        <w:szCs w:val="20"/>
                        <w:lang w:val="en-US"/>
                      </w:rPr>
                      <m:t>i</m:t>
                    </m:r>
                    <m:sSub>
                      <m:sSubPr>
                        <m:ctrlPr>
                          <w:rPr>
                            <w:rFonts w:ascii="Cambria Math" w:eastAsia="Times New Roman" w:hAnsi="Cambria Math" w:cs="Times New Roman"/>
                            <w:i/>
                            <w:sz w:val="20"/>
                            <w:szCs w:val="20"/>
                            <w:lang w:val="en-US"/>
                          </w:rPr>
                        </m:ctrlPr>
                      </m:sSubPr>
                      <m:e>
                        <m:r>
                          <w:rPr>
                            <w:rFonts w:ascii="Cambria Math" w:eastAsia="Times New Roman" w:hAnsi="Cambria Math" w:cs="Times New Roman"/>
                            <w:sz w:val="20"/>
                            <w:szCs w:val="20"/>
                            <w:lang w:val="en-US"/>
                          </w:rPr>
                          <m:t>j</m:t>
                        </m:r>
                      </m:e>
                      <m:sub>
                        <m:r>
                          <w:rPr>
                            <w:rFonts w:ascii="Cambria Math" w:eastAsia="Times New Roman" w:hAnsi="Cambria Math" w:cs="Times New Roman"/>
                            <w:sz w:val="20"/>
                            <w:szCs w:val="20"/>
                            <w:lang w:val="en-US"/>
                          </w:rPr>
                          <m:t>t</m:t>
                        </m:r>
                      </m:sub>
                    </m:sSub>
                  </m:sub>
                </m:sSub>
              </m:oMath>
            </m:oMathPara>
          </w:p>
        </w:tc>
        <w:tc>
          <w:tcPr>
            <w:tcW w:w="720" w:type="dxa"/>
            <w:tcMar>
              <w:top w:w="20" w:type="nil"/>
              <w:left w:w="20" w:type="nil"/>
              <w:bottom w:w="20" w:type="nil"/>
              <w:right w:w="20" w:type="nil"/>
            </w:tcMar>
            <w:vAlign w:val="center"/>
          </w:tcPr>
          <w:p w14:paraId="0331EDC1"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6,634</w:t>
            </w:r>
          </w:p>
        </w:tc>
        <w:tc>
          <w:tcPr>
            <w:tcW w:w="1280" w:type="dxa"/>
            <w:tcMar>
              <w:top w:w="20" w:type="nil"/>
              <w:left w:w="20" w:type="nil"/>
              <w:bottom w:w="20" w:type="nil"/>
              <w:right w:w="20" w:type="nil"/>
            </w:tcMar>
            <w:vAlign w:val="center"/>
          </w:tcPr>
          <w:p w14:paraId="2D7AB73E"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1.0</w:t>
            </w:r>
          </w:p>
        </w:tc>
        <w:tc>
          <w:tcPr>
            <w:tcW w:w="1280" w:type="dxa"/>
            <w:tcMar>
              <w:top w:w="20" w:type="nil"/>
              <w:left w:w="20" w:type="nil"/>
              <w:bottom w:w="20" w:type="nil"/>
              <w:right w:w="20" w:type="nil"/>
            </w:tcMar>
            <w:vAlign w:val="center"/>
          </w:tcPr>
          <w:p w14:paraId="57D48CDB"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0.6</w:t>
            </w:r>
          </w:p>
        </w:tc>
        <w:tc>
          <w:tcPr>
            <w:tcW w:w="720" w:type="dxa"/>
            <w:tcMar>
              <w:top w:w="20" w:type="nil"/>
              <w:left w:w="20" w:type="nil"/>
              <w:bottom w:w="20" w:type="nil"/>
              <w:right w:w="20" w:type="nil"/>
            </w:tcMar>
            <w:vAlign w:val="center"/>
          </w:tcPr>
          <w:p w14:paraId="102C9B68"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0.0</w:t>
            </w:r>
          </w:p>
        </w:tc>
        <w:tc>
          <w:tcPr>
            <w:tcW w:w="2080" w:type="dxa"/>
            <w:tcMar>
              <w:top w:w="20" w:type="nil"/>
              <w:left w:w="20" w:type="nil"/>
              <w:bottom w:w="20" w:type="nil"/>
              <w:right w:w="20" w:type="nil"/>
            </w:tcMar>
            <w:vAlign w:val="center"/>
          </w:tcPr>
          <w:p w14:paraId="1A52A333"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3.5</w:t>
            </w:r>
          </w:p>
        </w:tc>
      </w:tr>
      <w:tr w:rsidR="00047ADA" w:rsidRPr="00A7356B" w14:paraId="350DF137" w14:textId="77777777" w:rsidTr="00047ADA">
        <w:tblPrEx>
          <w:tblBorders>
            <w:top w:val="none" w:sz="0" w:space="0" w:color="auto"/>
          </w:tblBorders>
        </w:tblPrEx>
        <w:trPr>
          <w:jc w:val="center"/>
        </w:trPr>
        <w:tc>
          <w:tcPr>
            <w:tcW w:w="1980" w:type="dxa"/>
            <w:tcMar>
              <w:top w:w="20" w:type="nil"/>
              <w:left w:w="20" w:type="nil"/>
              <w:bottom w:w="20" w:type="nil"/>
              <w:right w:w="20" w:type="nil"/>
            </w:tcMar>
            <w:vAlign w:val="center"/>
          </w:tcPr>
          <w:p w14:paraId="427D36BB" w14:textId="77777777" w:rsidR="00047ADA" w:rsidRPr="00A7356B" w:rsidRDefault="005008E5" w:rsidP="00047ADA">
            <w:pPr>
              <w:widowControl w:val="0"/>
              <w:autoSpaceDE w:val="0"/>
              <w:autoSpaceDN w:val="0"/>
              <w:adjustRightInd w:val="0"/>
              <w:jc w:val="center"/>
              <w:rPr>
                <w:rFonts w:ascii="Times" w:hAnsi="Times" w:cs="Times"/>
                <w:sz w:val="20"/>
                <w:szCs w:val="20"/>
                <w:lang w:val="en-US"/>
              </w:rPr>
            </w:pPr>
            <m:oMathPara>
              <m:oMath>
                <m:sSub>
                  <m:sSubPr>
                    <m:ctrlPr>
                      <w:rPr>
                        <w:rFonts w:ascii="Cambria Math" w:eastAsia="Times New Roman" w:hAnsi="Cambria Math" w:cs="Times New Roman"/>
                        <w:i/>
                        <w:sz w:val="20"/>
                        <w:szCs w:val="20"/>
                        <w:lang w:val="en-US"/>
                      </w:rPr>
                    </m:ctrlPr>
                  </m:sSubPr>
                  <m:e>
                    <m:sSup>
                      <m:sSupPr>
                        <m:ctrlPr>
                          <w:rPr>
                            <w:rFonts w:ascii="Cambria Math" w:eastAsia="Times New Roman" w:hAnsi="Cambria Math" w:cs="Times New Roman"/>
                            <w:i/>
                            <w:sz w:val="20"/>
                            <w:szCs w:val="20"/>
                            <w:lang w:val="en-US"/>
                          </w:rPr>
                        </m:ctrlPr>
                      </m:sSupPr>
                      <m:e>
                        <m:acc>
                          <m:accPr>
                            <m:ctrlPr>
                              <w:rPr>
                                <w:rFonts w:ascii="Cambria Math" w:eastAsia="Times New Roman" w:hAnsi="Cambria Math" w:cs="Times New Roman"/>
                                <w:i/>
                                <w:sz w:val="20"/>
                                <w:szCs w:val="20"/>
                                <w:lang w:val="en-US"/>
                              </w:rPr>
                            </m:ctrlPr>
                          </m:accPr>
                          <m:e>
                            <m:r>
                              <w:rPr>
                                <w:rFonts w:ascii="Cambria Math" w:eastAsia="Times New Roman" w:hAnsi="Cambria Math" w:cs="Times New Roman"/>
                                <w:sz w:val="20"/>
                                <w:szCs w:val="20"/>
                                <w:lang w:val="en-US"/>
                              </w:rPr>
                              <m:t>z</m:t>
                            </m:r>
                          </m:e>
                        </m:acc>
                      </m:e>
                      <m:sup>
                        <m:r>
                          <w:rPr>
                            <w:rFonts w:ascii="Cambria Math" w:eastAsia="Times New Roman" w:hAnsi="Cambria Math" w:cs="Times New Roman"/>
                            <w:sz w:val="20"/>
                            <w:szCs w:val="20"/>
                            <w:lang w:val="en-US"/>
                          </w:rPr>
                          <m:t>*</m:t>
                        </m:r>
                      </m:sup>
                    </m:sSup>
                  </m:e>
                  <m:sub>
                    <m:r>
                      <w:rPr>
                        <w:rFonts w:ascii="Cambria Math" w:eastAsia="Times New Roman" w:hAnsi="Cambria Math" w:cs="Times New Roman"/>
                        <w:sz w:val="20"/>
                        <w:szCs w:val="20"/>
                        <w:lang w:val="en-US"/>
                      </w:rPr>
                      <m:t>i</m:t>
                    </m:r>
                    <m:sSub>
                      <m:sSubPr>
                        <m:ctrlPr>
                          <w:rPr>
                            <w:rFonts w:ascii="Cambria Math" w:eastAsia="Times New Roman" w:hAnsi="Cambria Math" w:cs="Times New Roman"/>
                            <w:i/>
                            <w:sz w:val="20"/>
                            <w:szCs w:val="20"/>
                            <w:lang w:val="en-US"/>
                          </w:rPr>
                        </m:ctrlPr>
                      </m:sSubPr>
                      <m:e>
                        <m:r>
                          <w:rPr>
                            <w:rFonts w:ascii="Cambria Math" w:eastAsia="Times New Roman" w:hAnsi="Cambria Math" w:cs="Times New Roman"/>
                            <w:sz w:val="20"/>
                            <w:szCs w:val="20"/>
                            <w:lang w:val="en-US"/>
                          </w:rPr>
                          <m:t>j</m:t>
                        </m:r>
                      </m:e>
                      <m:sub>
                        <m:r>
                          <w:rPr>
                            <w:rFonts w:ascii="Cambria Math" w:eastAsia="Times New Roman" w:hAnsi="Cambria Math" w:cs="Times New Roman"/>
                            <w:sz w:val="20"/>
                            <w:szCs w:val="20"/>
                            <w:lang w:val="en-US"/>
                          </w:rPr>
                          <m:t>t</m:t>
                        </m:r>
                      </m:sub>
                    </m:sSub>
                  </m:sub>
                </m:sSub>
              </m:oMath>
            </m:oMathPara>
          </w:p>
        </w:tc>
        <w:tc>
          <w:tcPr>
            <w:tcW w:w="720" w:type="dxa"/>
            <w:tcMar>
              <w:top w:w="20" w:type="nil"/>
              <w:left w:w="20" w:type="nil"/>
              <w:bottom w:w="20" w:type="nil"/>
              <w:right w:w="20" w:type="nil"/>
            </w:tcMar>
            <w:vAlign w:val="center"/>
          </w:tcPr>
          <w:p w14:paraId="58A98291"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6,634</w:t>
            </w:r>
          </w:p>
        </w:tc>
        <w:tc>
          <w:tcPr>
            <w:tcW w:w="1280" w:type="dxa"/>
            <w:tcMar>
              <w:top w:w="20" w:type="nil"/>
              <w:left w:w="20" w:type="nil"/>
              <w:bottom w:w="20" w:type="nil"/>
              <w:right w:w="20" w:type="nil"/>
            </w:tcMar>
            <w:vAlign w:val="center"/>
          </w:tcPr>
          <w:p w14:paraId="7A02DE52"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0.9</w:t>
            </w:r>
          </w:p>
        </w:tc>
        <w:tc>
          <w:tcPr>
            <w:tcW w:w="1280" w:type="dxa"/>
            <w:tcMar>
              <w:top w:w="20" w:type="nil"/>
              <w:left w:w="20" w:type="nil"/>
              <w:bottom w:w="20" w:type="nil"/>
              <w:right w:w="20" w:type="nil"/>
            </w:tcMar>
            <w:vAlign w:val="center"/>
          </w:tcPr>
          <w:p w14:paraId="5B17F456"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0.5</w:t>
            </w:r>
          </w:p>
        </w:tc>
        <w:tc>
          <w:tcPr>
            <w:tcW w:w="720" w:type="dxa"/>
            <w:tcMar>
              <w:top w:w="20" w:type="nil"/>
              <w:left w:w="20" w:type="nil"/>
              <w:bottom w:w="20" w:type="nil"/>
              <w:right w:w="20" w:type="nil"/>
            </w:tcMar>
            <w:vAlign w:val="center"/>
          </w:tcPr>
          <w:p w14:paraId="41056D85"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0.3</w:t>
            </w:r>
          </w:p>
        </w:tc>
        <w:tc>
          <w:tcPr>
            <w:tcW w:w="2080" w:type="dxa"/>
            <w:tcMar>
              <w:top w:w="20" w:type="nil"/>
              <w:left w:w="20" w:type="nil"/>
              <w:bottom w:w="20" w:type="nil"/>
              <w:right w:w="20" w:type="nil"/>
            </w:tcMar>
            <w:vAlign w:val="center"/>
          </w:tcPr>
          <w:p w14:paraId="08475ED6"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6.3</w:t>
            </w:r>
          </w:p>
        </w:tc>
      </w:tr>
      <w:tr w:rsidR="00047ADA" w:rsidRPr="00A7356B" w14:paraId="0F31A238" w14:textId="77777777" w:rsidTr="00047ADA">
        <w:tblPrEx>
          <w:tblBorders>
            <w:top w:val="none" w:sz="0" w:space="0" w:color="auto"/>
          </w:tblBorders>
        </w:tblPrEx>
        <w:trPr>
          <w:jc w:val="center"/>
        </w:trPr>
        <w:tc>
          <w:tcPr>
            <w:tcW w:w="1980" w:type="dxa"/>
            <w:tcMar>
              <w:top w:w="20" w:type="nil"/>
              <w:left w:w="20" w:type="nil"/>
              <w:bottom w:w="20" w:type="nil"/>
              <w:right w:w="20" w:type="nil"/>
            </w:tcMar>
            <w:vAlign w:val="center"/>
          </w:tcPr>
          <w:p w14:paraId="72EB8AAB" w14:textId="77777777" w:rsidR="00047ADA" w:rsidRPr="00A7356B" w:rsidRDefault="005008E5" w:rsidP="00047ADA">
            <w:pPr>
              <w:widowControl w:val="0"/>
              <w:autoSpaceDE w:val="0"/>
              <w:autoSpaceDN w:val="0"/>
              <w:adjustRightInd w:val="0"/>
              <w:jc w:val="center"/>
              <w:rPr>
                <w:rFonts w:ascii="Times" w:hAnsi="Times" w:cs="Times"/>
                <w:sz w:val="20"/>
                <w:szCs w:val="20"/>
                <w:lang w:val="en-US"/>
              </w:rPr>
            </w:pPr>
            <m:oMathPara>
              <m:oMath>
                <m:sSubSup>
                  <m:sSubSupPr>
                    <m:ctrlPr>
                      <w:rPr>
                        <w:rFonts w:ascii="Cambria Math" w:eastAsia="Times New Roman" w:hAnsi="Cambria Math" w:cs="Times New Roman"/>
                        <w:i/>
                        <w:sz w:val="20"/>
                        <w:szCs w:val="20"/>
                        <w:lang w:val="en-US"/>
                      </w:rPr>
                    </m:ctrlPr>
                  </m:sSubSupPr>
                  <m:e>
                    <m:sSup>
                      <m:sSupPr>
                        <m:ctrlPr>
                          <w:rPr>
                            <w:rFonts w:ascii="Cambria Math" w:eastAsia="Times New Roman" w:hAnsi="Cambria Math" w:cs="Times New Roman"/>
                            <w:i/>
                            <w:sz w:val="20"/>
                            <w:szCs w:val="20"/>
                            <w:lang w:val="en-US"/>
                          </w:rPr>
                        </m:ctrlPr>
                      </m:sSupPr>
                      <m:e>
                        <m:acc>
                          <m:accPr>
                            <m:ctrlPr>
                              <w:rPr>
                                <w:rFonts w:ascii="Cambria Math" w:eastAsia="Times New Roman" w:hAnsi="Cambria Math" w:cs="Times New Roman"/>
                                <w:i/>
                                <w:sz w:val="20"/>
                                <w:szCs w:val="20"/>
                                <w:lang w:val="en-US"/>
                              </w:rPr>
                            </m:ctrlPr>
                          </m:accPr>
                          <m:e>
                            <m:r>
                              <w:rPr>
                                <w:rFonts w:ascii="Cambria Math" w:eastAsia="Times New Roman" w:hAnsi="Cambria Math" w:cs="Times New Roman"/>
                                <w:sz w:val="20"/>
                                <w:szCs w:val="20"/>
                                <w:lang w:val="en-US"/>
                              </w:rPr>
                              <m:t>z</m:t>
                            </m:r>
                          </m:e>
                        </m:acc>
                      </m:e>
                      <m:sup>
                        <m:r>
                          <w:rPr>
                            <w:rFonts w:ascii="Cambria Math" w:eastAsia="Times New Roman" w:hAnsi="Cambria Math" w:cs="Times New Roman"/>
                            <w:sz w:val="20"/>
                            <w:szCs w:val="20"/>
                            <w:lang w:val="en-US"/>
                          </w:rPr>
                          <m:t>*</m:t>
                        </m:r>
                      </m:sup>
                    </m:sSup>
                  </m:e>
                  <m:sub>
                    <m:r>
                      <w:rPr>
                        <w:rFonts w:ascii="Cambria Math" w:eastAsia="Times New Roman" w:hAnsi="Cambria Math" w:cs="Times New Roman"/>
                        <w:sz w:val="20"/>
                        <w:szCs w:val="20"/>
                        <w:lang w:val="en-US"/>
                      </w:rPr>
                      <m:t>i</m:t>
                    </m:r>
                    <m:sSub>
                      <m:sSubPr>
                        <m:ctrlPr>
                          <w:rPr>
                            <w:rFonts w:ascii="Cambria Math" w:eastAsia="Times New Roman" w:hAnsi="Cambria Math" w:cs="Times New Roman"/>
                            <w:i/>
                            <w:sz w:val="20"/>
                            <w:szCs w:val="20"/>
                            <w:lang w:val="en-US"/>
                          </w:rPr>
                        </m:ctrlPr>
                      </m:sSubPr>
                      <m:e>
                        <m:r>
                          <w:rPr>
                            <w:rFonts w:ascii="Cambria Math" w:eastAsia="Times New Roman" w:hAnsi="Cambria Math" w:cs="Times New Roman"/>
                            <w:sz w:val="20"/>
                            <w:szCs w:val="20"/>
                            <w:lang w:val="en-US"/>
                          </w:rPr>
                          <m:t>j</m:t>
                        </m:r>
                      </m:e>
                      <m:sub>
                        <m:r>
                          <w:rPr>
                            <w:rFonts w:ascii="Cambria Math" w:eastAsia="Times New Roman" w:hAnsi="Cambria Math" w:cs="Times New Roman"/>
                            <w:sz w:val="20"/>
                            <w:szCs w:val="20"/>
                            <w:lang w:val="en-US"/>
                          </w:rPr>
                          <m:t>t</m:t>
                        </m:r>
                      </m:sub>
                    </m:sSub>
                  </m:sub>
                  <m:sup>
                    <m:r>
                      <w:rPr>
                        <w:rFonts w:ascii="Cambria Math" w:eastAsia="Times New Roman" w:hAnsi="Cambria Math" w:cs="Times New Roman"/>
                        <w:sz w:val="20"/>
                        <w:szCs w:val="20"/>
                        <w:lang w:val="en-US"/>
                      </w:rPr>
                      <m:t>2</m:t>
                    </m:r>
                  </m:sup>
                </m:sSubSup>
              </m:oMath>
            </m:oMathPara>
          </w:p>
        </w:tc>
        <w:tc>
          <w:tcPr>
            <w:tcW w:w="720" w:type="dxa"/>
            <w:tcMar>
              <w:top w:w="20" w:type="nil"/>
              <w:left w:w="20" w:type="nil"/>
              <w:bottom w:w="20" w:type="nil"/>
              <w:right w:w="20" w:type="nil"/>
            </w:tcMar>
            <w:vAlign w:val="center"/>
          </w:tcPr>
          <w:p w14:paraId="5133AB18"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6,634</w:t>
            </w:r>
          </w:p>
        </w:tc>
        <w:tc>
          <w:tcPr>
            <w:tcW w:w="1280" w:type="dxa"/>
            <w:tcMar>
              <w:top w:w="20" w:type="nil"/>
              <w:left w:w="20" w:type="nil"/>
              <w:bottom w:w="20" w:type="nil"/>
              <w:right w:w="20" w:type="nil"/>
            </w:tcMar>
            <w:vAlign w:val="center"/>
          </w:tcPr>
          <w:p w14:paraId="4637A3FD"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1.0</w:t>
            </w:r>
          </w:p>
        </w:tc>
        <w:tc>
          <w:tcPr>
            <w:tcW w:w="1280" w:type="dxa"/>
            <w:tcMar>
              <w:top w:w="20" w:type="nil"/>
              <w:left w:w="20" w:type="nil"/>
              <w:bottom w:w="20" w:type="nil"/>
              <w:right w:w="20" w:type="nil"/>
            </w:tcMar>
            <w:vAlign w:val="center"/>
          </w:tcPr>
          <w:p w14:paraId="5F9B0CCE"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1.7</w:t>
            </w:r>
          </w:p>
        </w:tc>
        <w:tc>
          <w:tcPr>
            <w:tcW w:w="720" w:type="dxa"/>
            <w:tcMar>
              <w:top w:w="20" w:type="nil"/>
              <w:left w:w="20" w:type="nil"/>
              <w:bottom w:w="20" w:type="nil"/>
              <w:right w:w="20" w:type="nil"/>
            </w:tcMar>
            <w:vAlign w:val="center"/>
          </w:tcPr>
          <w:p w14:paraId="5A472A41"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0.1</w:t>
            </w:r>
          </w:p>
        </w:tc>
        <w:tc>
          <w:tcPr>
            <w:tcW w:w="2080" w:type="dxa"/>
            <w:tcMar>
              <w:top w:w="20" w:type="nil"/>
              <w:left w:w="20" w:type="nil"/>
              <w:bottom w:w="20" w:type="nil"/>
              <w:right w:w="20" w:type="nil"/>
            </w:tcMar>
            <w:vAlign w:val="center"/>
          </w:tcPr>
          <w:p w14:paraId="772CDD45"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39.3</w:t>
            </w:r>
          </w:p>
        </w:tc>
      </w:tr>
      <w:tr w:rsidR="00047ADA" w:rsidRPr="00A7356B" w14:paraId="35CBD564" w14:textId="77777777" w:rsidTr="00047ADA">
        <w:tblPrEx>
          <w:tblBorders>
            <w:top w:val="none" w:sz="0" w:space="0" w:color="auto"/>
          </w:tblBorders>
        </w:tblPrEx>
        <w:trPr>
          <w:jc w:val="center"/>
        </w:trPr>
        <w:tc>
          <w:tcPr>
            <w:tcW w:w="1980" w:type="dxa"/>
            <w:tcMar>
              <w:top w:w="20" w:type="nil"/>
              <w:left w:w="20" w:type="nil"/>
              <w:bottom w:w="20" w:type="nil"/>
              <w:right w:w="20" w:type="nil"/>
            </w:tcMar>
            <w:vAlign w:val="center"/>
          </w:tcPr>
          <w:p w14:paraId="7E290572" w14:textId="77777777" w:rsidR="00047ADA" w:rsidRPr="00A7356B" w:rsidRDefault="005008E5" w:rsidP="00047ADA">
            <w:pPr>
              <w:widowControl w:val="0"/>
              <w:autoSpaceDE w:val="0"/>
              <w:autoSpaceDN w:val="0"/>
              <w:adjustRightInd w:val="0"/>
              <w:jc w:val="center"/>
              <w:rPr>
                <w:rFonts w:ascii="Times" w:hAnsi="Times" w:cs="Times"/>
                <w:sz w:val="20"/>
                <w:szCs w:val="20"/>
                <w:lang w:val="en-US"/>
              </w:rPr>
            </w:pPr>
            <m:oMathPara>
              <m:oMath>
                <m:sSubSup>
                  <m:sSubSupPr>
                    <m:ctrlPr>
                      <w:rPr>
                        <w:rFonts w:ascii="Cambria Math" w:eastAsia="Times New Roman" w:hAnsi="Cambria Math" w:cs="Times New Roman"/>
                        <w:i/>
                        <w:sz w:val="20"/>
                        <w:szCs w:val="20"/>
                        <w:lang w:val="en-US"/>
                      </w:rPr>
                    </m:ctrlPr>
                  </m:sSubSupPr>
                  <m:e>
                    <m:sSup>
                      <m:sSupPr>
                        <m:ctrlPr>
                          <w:rPr>
                            <w:rFonts w:ascii="Cambria Math" w:eastAsia="Times New Roman" w:hAnsi="Cambria Math" w:cs="Times New Roman"/>
                            <w:i/>
                            <w:sz w:val="20"/>
                            <w:szCs w:val="20"/>
                            <w:lang w:val="en-US"/>
                          </w:rPr>
                        </m:ctrlPr>
                      </m:sSupPr>
                      <m:e>
                        <m:acc>
                          <m:accPr>
                            <m:ctrlPr>
                              <w:rPr>
                                <w:rFonts w:ascii="Cambria Math" w:eastAsia="Times New Roman" w:hAnsi="Cambria Math" w:cs="Times New Roman"/>
                                <w:i/>
                                <w:sz w:val="20"/>
                                <w:szCs w:val="20"/>
                                <w:lang w:val="en-US"/>
                              </w:rPr>
                            </m:ctrlPr>
                          </m:accPr>
                          <m:e>
                            <m:r>
                              <w:rPr>
                                <w:rFonts w:ascii="Cambria Math" w:eastAsia="Times New Roman" w:hAnsi="Cambria Math" w:cs="Times New Roman"/>
                                <w:sz w:val="20"/>
                                <w:szCs w:val="20"/>
                                <w:lang w:val="en-US"/>
                              </w:rPr>
                              <m:t>z</m:t>
                            </m:r>
                          </m:e>
                        </m:acc>
                      </m:e>
                      <m:sup>
                        <m:r>
                          <w:rPr>
                            <w:rFonts w:ascii="Cambria Math" w:eastAsia="Times New Roman" w:hAnsi="Cambria Math" w:cs="Times New Roman"/>
                            <w:sz w:val="20"/>
                            <w:szCs w:val="20"/>
                            <w:lang w:val="en-US"/>
                          </w:rPr>
                          <m:t>*</m:t>
                        </m:r>
                      </m:sup>
                    </m:sSup>
                  </m:e>
                  <m:sub>
                    <m:r>
                      <w:rPr>
                        <w:rFonts w:ascii="Cambria Math" w:eastAsia="Times New Roman" w:hAnsi="Cambria Math" w:cs="Times New Roman"/>
                        <w:sz w:val="20"/>
                        <w:szCs w:val="20"/>
                        <w:lang w:val="en-US"/>
                      </w:rPr>
                      <m:t>i</m:t>
                    </m:r>
                    <m:sSub>
                      <m:sSubPr>
                        <m:ctrlPr>
                          <w:rPr>
                            <w:rFonts w:ascii="Cambria Math" w:eastAsia="Times New Roman" w:hAnsi="Cambria Math" w:cs="Times New Roman"/>
                            <w:i/>
                            <w:sz w:val="20"/>
                            <w:szCs w:val="20"/>
                            <w:lang w:val="en-US"/>
                          </w:rPr>
                        </m:ctrlPr>
                      </m:sSubPr>
                      <m:e>
                        <m:r>
                          <w:rPr>
                            <w:rFonts w:ascii="Cambria Math" w:eastAsia="Times New Roman" w:hAnsi="Cambria Math" w:cs="Times New Roman"/>
                            <w:sz w:val="20"/>
                            <w:szCs w:val="20"/>
                            <w:lang w:val="en-US"/>
                          </w:rPr>
                          <m:t>j</m:t>
                        </m:r>
                      </m:e>
                      <m:sub>
                        <m:r>
                          <w:rPr>
                            <w:rFonts w:ascii="Cambria Math" w:eastAsia="Times New Roman" w:hAnsi="Cambria Math" w:cs="Times New Roman"/>
                            <w:sz w:val="20"/>
                            <w:szCs w:val="20"/>
                            <w:lang w:val="en-US"/>
                          </w:rPr>
                          <m:t>t</m:t>
                        </m:r>
                      </m:sub>
                    </m:sSub>
                  </m:sub>
                  <m:sup>
                    <m:r>
                      <w:rPr>
                        <w:rFonts w:ascii="Cambria Math" w:eastAsia="Times New Roman" w:hAnsi="Cambria Math" w:cs="Times New Roman"/>
                        <w:sz w:val="20"/>
                        <w:szCs w:val="20"/>
                        <w:lang w:val="en-US"/>
                      </w:rPr>
                      <m:t>3</m:t>
                    </m:r>
                  </m:sup>
                </m:sSubSup>
              </m:oMath>
            </m:oMathPara>
          </w:p>
        </w:tc>
        <w:tc>
          <w:tcPr>
            <w:tcW w:w="720" w:type="dxa"/>
            <w:tcMar>
              <w:top w:w="20" w:type="nil"/>
              <w:left w:w="20" w:type="nil"/>
              <w:bottom w:w="20" w:type="nil"/>
              <w:right w:w="20" w:type="nil"/>
            </w:tcMar>
            <w:vAlign w:val="center"/>
          </w:tcPr>
          <w:p w14:paraId="06C2F515"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6,634</w:t>
            </w:r>
          </w:p>
        </w:tc>
        <w:tc>
          <w:tcPr>
            <w:tcW w:w="1280" w:type="dxa"/>
            <w:tcMar>
              <w:top w:w="20" w:type="nil"/>
              <w:left w:w="20" w:type="nil"/>
              <w:bottom w:w="20" w:type="nil"/>
              <w:right w:w="20" w:type="nil"/>
            </w:tcMar>
            <w:vAlign w:val="center"/>
          </w:tcPr>
          <w:p w14:paraId="0040D41D"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1.5</w:t>
            </w:r>
          </w:p>
        </w:tc>
        <w:tc>
          <w:tcPr>
            <w:tcW w:w="1280" w:type="dxa"/>
            <w:tcMar>
              <w:top w:w="20" w:type="nil"/>
              <w:left w:w="20" w:type="nil"/>
              <w:bottom w:w="20" w:type="nil"/>
              <w:right w:w="20" w:type="nil"/>
            </w:tcMar>
            <w:vAlign w:val="center"/>
          </w:tcPr>
          <w:p w14:paraId="521619D3"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7.3</w:t>
            </w:r>
          </w:p>
        </w:tc>
        <w:tc>
          <w:tcPr>
            <w:tcW w:w="720" w:type="dxa"/>
            <w:tcMar>
              <w:top w:w="20" w:type="nil"/>
              <w:left w:w="20" w:type="nil"/>
              <w:bottom w:w="20" w:type="nil"/>
              <w:right w:w="20" w:type="nil"/>
            </w:tcMar>
            <w:vAlign w:val="center"/>
          </w:tcPr>
          <w:p w14:paraId="34E9A3D3"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0.02</w:t>
            </w:r>
          </w:p>
        </w:tc>
        <w:tc>
          <w:tcPr>
            <w:tcW w:w="2080" w:type="dxa"/>
            <w:tcMar>
              <w:top w:w="20" w:type="nil"/>
              <w:left w:w="20" w:type="nil"/>
              <w:bottom w:w="20" w:type="nil"/>
              <w:right w:w="20" w:type="nil"/>
            </w:tcMar>
            <w:vAlign w:val="center"/>
          </w:tcPr>
          <w:p w14:paraId="023E944C"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r w:rsidRPr="00A7356B">
              <w:rPr>
                <w:rFonts w:ascii="Times" w:hAnsi="Times" w:cs="Times"/>
                <w:sz w:val="20"/>
                <w:szCs w:val="20"/>
                <w:lang w:val="en-US"/>
              </w:rPr>
              <w:t>246.2</w:t>
            </w:r>
          </w:p>
        </w:tc>
      </w:tr>
      <w:tr w:rsidR="00047ADA" w:rsidRPr="00A7356B" w14:paraId="3A257676" w14:textId="77777777" w:rsidTr="00047ADA">
        <w:trPr>
          <w:jc w:val="center"/>
        </w:trPr>
        <w:tc>
          <w:tcPr>
            <w:tcW w:w="8060" w:type="dxa"/>
            <w:gridSpan w:val="6"/>
            <w:tcBorders>
              <w:bottom w:val="single" w:sz="8" w:space="0" w:color="000000"/>
            </w:tcBorders>
            <w:tcMar>
              <w:top w:w="20" w:type="nil"/>
              <w:left w:w="20" w:type="nil"/>
              <w:bottom w:w="20" w:type="nil"/>
              <w:right w:w="20" w:type="nil"/>
            </w:tcMar>
            <w:vAlign w:val="center"/>
          </w:tcPr>
          <w:p w14:paraId="67C6367E" w14:textId="77777777" w:rsidR="00047ADA" w:rsidRPr="00A7356B" w:rsidRDefault="00047ADA" w:rsidP="00047ADA">
            <w:pPr>
              <w:widowControl w:val="0"/>
              <w:autoSpaceDE w:val="0"/>
              <w:autoSpaceDN w:val="0"/>
              <w:adjustRightInd w:val="0"/>
              <w:jc w:val="center"/>
              <w:rPr>
                <w:rFonts w:ascii="Times" w:hAnsi="Times" w:cs="Times"/>
                <w:sz w:val="20"/>
                <w:szCs w:val="20"/>
                <w:lang w:val="en-US"/>
              </w:rPr>
            </w:pPr>
          </w:p>
        </w:tc>
      </w:tr>
    </w:tbl>
    <w:p w14:paraId="4A3E5BEB" w14:textId="77777777" w:rsidR="00047ADA" w:rsidRPr="00A7356B" w:rsidRDefault="00047ADA" w:rsidP="00047ADA">
      <w:pPr>
        <w:pStyle w:val="Fonte"/>
        <w:rPr>
          <w:rFonts w:ascii="Times" w:hAnsi="Times"/>
        </w:rPr>
      </w:pPr>
      <w:proofErr w:type="spellStart"/>
      <w:r w:rsidRPr="00A7356B">
        <w:rPr>
          <w:rFonts w:ascii="Times" w:hAnsi="Times"/>
        </w:rPr>
        <w:t>Source</w:t>
      </w:r>
      <w:proofErr w:type="spellEnd"/>
      <w:r w:rsidRPr="00A7356B">
        <w:rPr>
          <w:rFonts w:ascii="Times" w:hAnsi="Times"/>
        </w:rPr>
        <w:t xml:space="preserve">: </w:t>
      </w:r>
      <w:proofErr w:type="spellStart"/>
      <w:r w:rsidRPr="00A7356B">
        <w:rPr>
          <w:rFonts w:ascii="Times" w:hAnsi="Times"/>
        </w:rPr>
        <w:t>prepared</w:t>
      </w:r>
      <w:proofErr w:type="spellEnd"/>
      <w:r w:rsidRPr="00A7356B">
        <w:rPr>
          <w:rFonts w:ascii="Times" w:hAnsi="Times"/>
        </w:rPr>
        <w:t xml:space="preserve"> </w:t>
      </w:r>
      <w:proofErr w:type="spellStart"/>
      <w:r w:rsidRPr="00A7356B">
        <w:rPr>
          <w:rFonts w:ascii="Times" w:hAnsi="Times"/>
        </w:rPr>
        <w:t>by</w:t>
      </w:r>
      <w:proofErr w:type="spellEnd"/>
      <w:r w:rsidRPr="00A7356B">
        <w:rPr>
          <w:rFonts w:ascii="Times" w:hAnsi="Times"/>
        </w:rPr>
        <w:t xml:space="preserve"> </w:t>
      </w:r>
      <w:proofErr w:type="spellStart"/>
      <w:r w:rsidRPr="00A7356B">
        <w:rPr>
          <w:rFonts w:ascii="Times" w:hAnsi="Times"/>
        </w:rPr>
        <w:t>the</w:t>
      </w:r>
      <w:proofErr w:type="spellEnd"/>
      <w:r w:rsidRPr="00A7356B">
        <w:rPr>
          <w:rFonts w:ascii="Times" w:hAnsi="Times"/>
        </w:rPr>
        <w:t xml:space="preserve"> </w:t>
      </w:r>
      <w:proofErr w:type="spellStart"/>
      <w:r w:rsidRPr="00A7356B">
        <w:rPr>
          <w:rFonts w:ascii="Times" w:hAnsi="Times"/>
        </w:rPr>
        <w:t>authors</w:t>
      </w:r>
      <w:proofErr w:type="spellEnd"/>
      <w:r w:rsidRPr="00A7356B">
        <w:rPr>
          <w:rFonts w:ascii="Times" w:hAnsi="Times"/>
        </w:rPr>
        <w:t>.</w:t>
      </w:r>
    </w:p>
    <w:p w14:paraId="42B6480D" w14:textId="77777777" w:rsidR="00DD3152" w:rsidRPr="00A7356B" w:rsidRDefault="00DD3152" w:rsidP="00047ADA">
      <w:pPr>
        <w:pStyle w:val="Caption"/>
      </w:pPr>
    </w:p>
    <w:p w14:paraId="65F6F994" w14:textId="77777777" w:rsidR="00DD3152" w:rsidRPr="00A7356B" w:rsidRDefault="00DD3152" w:rsidP="00047ADA">
      <w:pPr>
        <w:pStyle w:val="Caption"/>
      </w:pPr>
    </w:p>
    <w:p w14:paraId="4ED1A152" w14:textId="77777777" w:rsidR="00DD3152" w:rsidRPr="00A7356B" w:rsidRDefault="00DD3152" w:rsidP="00047ADA">
      <w:pPr>
        <w:pStyle w:val="Caption"/>
      </w:pPr>
    </w:p>
    <w:p w14:paraId="5B26989C" w14:textId="77777777" w:rsidR="00DD3152" w:rsidRPr="00A7356B" w:rsidRDefault="00DD3152" w:rsidP="00047ADA">
      <w:pPr>
        <w:pStyle w:val="Caption"/>
      </w:pPr>
    </w:p>
    <w:p w14:paraId="72B97FFF" w14:textId="77777777" w:rsidR="00DD3152" w:rsidRPr="00A7356B" w:rsidRDefault="00DD3152" w:rsidP="00047ADA">
      <w:pPr>
        <w:pStyle w:val="Caption"/>
      </w:pPr>
    </w:p>
    <w:p w14:paraId="517045FB" w14:textId="77777777" w:rsidR="00DD3152" w:rsidRPr="00A7356B" w:rsidRDefault="00DD3152" w:rsidP="00047ADA">
      <w:pPr>
        <w:pStyle w:val="Caption"/>
      </w:pPr>
    </w:p>
    <w:p w14:paraId="5B39A132" w14:textId="77777777" w:rsidR="00DD3152" w:rsidRDefault="00DD3152" w:rsidP="00047ADA">
      <w:pPr>
        <w:pStyle w:val="Caption"/>
      </w:pPr>
    </w:p>
    <w:p w14:paraId="3DB1357F" w14:textId="77777777" w:rsidR="00A72E34" w:rsidRDefault="00A72E34" w:rsidP="00A72E34"/>
    <w:p w14:paraId="525E2F6A" w14:textId="77777777" w:rsidR="00A72E34" w:rsidRPr="00A72E34" w:rsidRDefault="00A72E34" w:rsidP="00A72E34"/>
    <w:p w14:paraId="40541F5E" w14:textId="77777777" w:rsidR="003A5A14" w:rsidRPr="003A5A14" w:rsidRDefault="003A5A14" w:rsidP="003A5A14"/>
    <w:p w14:paraId="7BAF4CF7" w14:textId="77777777" w:rsidR="00047ADA" w:rsidRPr="00A7356B" w:rsidRDefault="00047ADA" w:rsidP="00047ADA">
      <w:pPr>
        <w:pStyle w:val="Caption"/>
      </w:pPr>
      <w:r w:rsidRPr="00A7356B">
        <w:t xml:space="preserve">Table </w:t>
      </w:r>
      <w:r w:rsidR="005008E5">
        <w:fldChar w:fldCharType="begin"/>
      </w:r>
      <w:r w:rsidR="005008E5">
        <w:instrText xml:space="preserve"> SEQ Table \* ARABIC </w:instrText>
      </w:r>
      <w:r w:rsidR="005008E5">
        <w:fldChar w:fldCharType="separate"/>
      </w:r>
      <w:r w:rsidR="003A5A14">
        <w:rPr>
          <w:noProof/>
        </w:rPr>
        <w:t>2</w:t>
      </w:r>
      <w:r w:rsidR="005008E5">
        <w:rPr>
          <w:noProof/>
        </w:rPr>
        <w:fldChar w:fldCharType="end"/>
      </w:r>
      <w:r w:rsidRPr="00A7356B">
        <w:t xml:space="preserve"> </w:t>
      </w:r>
      <w:bookmarkStart w:id="10" w:name="_Ref318562821"/>
      <w:r w:rsidRPr="00A7356B">
        <w:t>– Estimates Results</w:t>
      </w:r>
      <w:bookmarkEnd w:id="10"/>
    </w:p>
    <w:tbl>
      <w:tblPr>
        <w:tblW w:w="9926" w:type="dxa"/>
        <w:tblLayout w:type="fixed"/>
        <w:tblLook w:val="0000" w:firstRow="0" w:lastRow="0" w:firstColumn="0" w:lastColumn="0" w:noHBand="0" w:noVBand="0"/>
      </w:tblPr>
      <w:tblGrid>
        <w:gridCol w:w="1344"/>
        <w:gridCol w:w="216"/>
        <w:gridCol w:w="936"/>
        <w:gridCol w:w="1428"/>
        <w:gridCol w:w="1404"/>
        <w:gridCol w:w="1152"/>
        <w:gridCol w:w="1053"/>
        <w:gridCol w:w="1334"/>
        <w:gridCol w:w="1059"/>
      </w:tblGrid>
      <w:tr w:rsidR="00047ADA" w:rsidRPr="00A7356B" w14:paraId="6303F972" w14:textId="77777777" w:rsidTr="00047ADA">
        <w:tc>
          <w:tcPr>
            <w:tcW w:w="1560" w:type="dxa"/>
            <w:gridSpan w:val="2"/>
            <w:tcMar>
              <w:top w:w="20" w:type="nil"/>
              <w:left w:w="20" w:type="nil"/>
              <w:bottom w:w="20" w:type="nil"/>
              <w:right w:w="20" w:type="nil"/>
            </w:tcMar>
            <w:vAlign w:val="center"/>
          </w:tcPr>
          <w:p w14:paraId="0F288AA8" w14:textId="77777777" w:rsidR="00047ADA" w:rsidRPr="00A7356B" w:rsidRDefault="00047ADA" w:rsidP="00047ADA">
            <w:pPr>
              <w:widowControl w:val="0"/>
              <w:autoSpaceDE w:val="0"/>
              <w:autoSpaceDN w:val="0"/>
              <w:adjustRightInd w:val="0"/>
              <w:rPr>
                <w:rFonts w:ascii="Times" w:hAnsi="Times" w:cs="Times"/>
                <w:sz w:val="16"/>
                <w:szCs w:val="16"/>
                <w:lang w:val="en-US"/>
              </w:rPr>
            </w:pPr>
          </w:p>
        </w:tc>
        <w:tc>
          <w:tcPr>
            <w:tcW w:w="8366" w:type="dxa"/>
            <w:gridSpan w:val="7"/>
            <w:tcBorders>
              <w:top w:val="single" w:sz="4" w:space="0" w:color="auto"/>
            </w:tcBorders>
            <w:tcMar>
              <w:top w:w="20" w:type="nil"/>
              <w:left w:w="20" w:type="nil"/>
              <w:bottom w:w="20" w:type="nil"/>
              <w:right w:w="20" w:type="nil"/>
            </w:tcMar>
            <w:vAlign w:val="center"/>
          </w:tcPr>
          <w:p w14:paraId="215C0A4D"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i/>
                <w:sz w:val="16"/>
                <w:szCs w:val="16"/>
                <w:lang w:val="en-US"/>
              </w:rPr>
              <w:t>Dependent variable: Bilateral Trade</w:t>
            </w:r>
          </w:p>
        </w:tc>
      </w:tr>
      <w:tr w:rsidR="00047ADA" w:rsidRPr="00A7356B" w14:paraId="3D1A3100" w14:textId="77777777" w:rsidTr="00047ADA">
        <w:tc>
          <w:tcPr>
            <w:tcW w:w="1560" w:type="dxa"/>
            <w:gridSpan w:val="2"/>
            <w:tcMar>
              <w:top w:w="20" w:type="nil"/>
              <w:left w:w="20" w:type="nil"/>
              <w:bottom w:w="20" w:type="nil"/>
              <w:right w:w="20" w:type="nil"/>
            </w:tcMar>
            <w:vAlign w:val="center"/>
          </w:tcPr>
          <w:p w14:paraId="2A858393" w14:textId="77777777" w:rsidR="00047ADA" w:rsidRPr="00A7356B" w:rsidRDefault="00047ADA" w:rsidP="00047ADA">
            <w:pPr>
              <w:widowControl w:val="0"/>
              <w:autoSpaceDE w:val="0"/>
              <w:autoSpaceDN w:val="0"/>
              <w:adjustRightInd w:val="0"/>
              <w:rPr>
                <w:rFonts w:ascii="Times" w:hAnsi="Times" w:cs="Times"/>
                <w:sz w:val="16"/>
                <w:szCs w:val="16"/>
                <w:lang w:val="en-US"/>
              </w:rPr>
            </w:pPr>
          </w:p>
        </w:tc>
        <w:tc>
          <w:tcPr>
            <w:tcW w:w="936" w:type="dxa"/>
            <w:tcBorders>
              <w:top w:val="single" w:sz="4" w:space="0" w:color="auto"/>
            </w:tcBorders>
            <w:tcMar>
              <w:top w:w="20" w:type="nil"/>
              <w:left w:w="20" w:type="nil"/>
              <w:bottom w:w="20" w:type="nil"/>
              <w:right w:w="20" w:type="nil"/>
            </w:tcMar>
            <w:vAlign w:val="center"/>
          </w:tcPr>
          <w:p w14:paraId="5F156D3A"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Probit</w:t>
            </w:r>
          </w:p>
        </w:tc>
        <w:tc>
          <w:tcPr>
            <w:tcW w:w="1428" w:type="dxa"/>
            <w:tcBorders>
              <w:top w:val="single" w:sz="4" w:space="0" w:color="auto"/>
            </w:tcBorders>
            <w:tcMar>
              <w:top w:w="20" w:type="nil"/>
              <w:left w:w="20" w:type="nil"/>
              <w:bottom w:w="20" w:type="nil"/>
              <w:right w:w="20" w:type="nil"/>
            </w:tcMar>
            <w:vAlign w:val="center"/>
          </w:tcPr>
          <w:p w14:paraId="540C2735"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OLS-HMR</w:t>
            </w:r>
          </w:p>
        </w:tc>
        <w:tc>
          <w:tcPr>
            <w:tcW w:w="1404" w:type="dxa"/>
            <w:tcBorders>
              <w:top w:val="single" w:sz="4" w:space="0" w:color="auto"/>
            </w:tcBorders>
            <w:tcMar>
              <w:top w:w="20" w:type="nil"/>
              <w:left w:w="20" w:type="nil"/>
              <w:bottom w:w="20" w:type="nil"/>
              <w:right w:w="20" w:type="nil"/>
            </w:tcMar>
            <w:vAlign w:val="center"/>
          </w:tcPr>
          <w:p w14:paraId="7148EDA0"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OLS-HMR I</w:t>
            </w:r>
          </w:p>
        </w:tc>
        <w:tc>
          <w:tcPr>
            <w:tcW w:w="1152" w:type="dxa"/>
            <w:tcBorders>
              <w:top w:val="single" w:sz="4" w:space="0" w:color="auto"/>
            </w:tcBorders>
            <w:tcMar>
              <w:top w:w="20" w:type="nil"/>
              <w:left w:w="20" w:type="nil"/>
              <w:bottom w:w="20" w:type="nil"/>
              <w:right w:w="20" w:type="nil"/>
            </w:tcMar>
            <w:vAlign w:val="center"/>
          </w:tcPr>
          <w:p w14:paraId="15D0F702"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FE</w:t>
            </w:r>
          </w:p>
        </w:tc>
        <w:tc>
          <w:tcPr>
            <w:tcW w:w="1053" w:type="dxa"/>
            <w:tcBorders>
              <w:top w:val="single" w:sz="4" w:space="0" w:color="auto"/>
            </w:tcBorders>
            <w:tcMar>
              <w:top w:w="20" w:type="nil"/>
              <w:left w:w="20" w:type="nil"/>
              <w:bottom w:w="20" w:type="nil"/>
              <w:right w:w="20" w:type="nil"/>
            </w:tcMar>
            <w:vAlign w:val="center"/>
          </w:tcPr>
          <w:p w14:paraId="0CA0C027"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FE-I</w:t>
            </w:r>
          </w:p>
        </w:tc>
        <w:tc>
          <w:tcPr>
            <w:tcW w:w="1334" w:type="dxa"/>
            <w:tcBorders>
              <w:top w:val="single" w:sz="4" w:space="0" w:color="auto"/>
            </w:tcBorders>
            <w:tcMar>
              <w:top w:w="20" w:type="nil"/>
              <w:left w:w="20" w:type="nil"/>
              <w:bottom w:w="20" w:type="nil"/>
              <w:right w:w="20" w:type="nil"/>
            </w:tcMar>
            <w:vAlign w:val="center"/>
          </w:tcPr>
          <w:p w14:paraId="0DF84308"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FE-II</w:t>
            </w:r>
          </w:p>
        </w:tc>
        <w:tc>
          <w:tcPr>
            <w:tcW w:w="1059" w:type="dxa"/>
            <w:tcBorders>
              <w:top w:val="single" w:sz="4" w:space="0" w:color="auto"/>
            </w:tcBorders>
            <w:tcMar>
              <w:top w:w="20" w:type="nil"/>
              <w:left w:w="20" w:type="nil"/>
              <w:bottom w:w="20" w:type="nil"/>
              <w:right w:w="20" w:type="nil"/>
            </w:tcMar>
            <w:vAlign w:val="center"/>
          </w:tcPr>
          <w:p w14:paraId="0830397D"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FE-III</w:t>
            </w:r>
          </w:p>
        </w:tc>
      </w:tr>
      <w:tr w:rsidR="00047ADA" w:rsidRPr="00A7356B" w14:paraId="19B41874" w14:textId="77777777" w:rsidTr="00047ADA">
        <w:trPr>
          <w:trHeight w:val="60"/>
        </w:trPr>
        <w:tc>
          <w:tcPr>
            <w:tcW w:w="1560" w:type="dxa"/>
            <w:gridSpan w:val="2"/>
            <w:tcBorders>
              <w:bottom w:val="single" w:sz="4" w:space="0" w:color="auto"/>
            </w:tcBorders>
            <w:tcMar>
              <w:top w:w="20" w:type="nil"/>
              <w:left w:w="20" w:type="nil"/>
              <w:bottom w:w="20" w:type="nil"/>
              <w:right w:w="20" w:type="nil"/>
            </w:tcMar>
            <w:vAlign w:val="center"/>
          </w:tcPr>
          <w:p w14:paraId="30D69682"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936" w:type="dxa"/>
            <w:tcBorders>
              <w:bottom w:val="single" w:sz="4" w:space="0" w:color="auto"/>
            </w:tcBorders>
            <w:tcMar>
              <w:top w:w="20" w:type="nil"/>
              <w:left w:w="20" w:type="nil"/>
              <w:bottom w:w="20" w:type="nil"/>
              <w:right w:w="20" w:type="nil"/>
            </w:tcMar>
            <w:vAlign w:val="center"/>
          </w:tcPr>
          <w:p w14:paraId="3358B3F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(1)</w:t>
            </w:r>
          </w:p>
        </w:tc>
        <w:tc>
          <w:tcPr>
            <w:tcW w:w="1428" w:type="dxa"/>
            <w:tcBorders>
              <w:bottom w:val="single" w:sz="4" w:space="0" w:color="auto"/>
            </w:tcBorders>
            <w:tcMar>
              <w:top w:w="20" w:type="nil"/>
              <w:left w:w="20" w:type="nil"/>
              <w:bottom w:w="20" w:type="nil"/>
              <w:right w:w="20" w:type="nil"/>
            </w:tcMar>
            <w:vAlign w:val="center"/>
          </w:tcPr>
          <w:p w14:paraId="6CFD1A84"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(2)</w:t>
            </w:r>
          </w:p>
        </w:tc>
        <w:tc>
          <w:tcPr>
            <w:tcW w:w="1404" w:type="dxa"/>
            <w:tcBorders>
              <w:bottom w:val="single" w:sz="4" w:space="0" w:color="auto"/>
            </w:tcBorders>
            <w:tcMar>
              <w:top w:w="20" w:type="nil"/>
              <w:left w:w="20" w:type="nil"/>
              <w:bottom w:w="20" w:type="nil"/>
              <w:right w:w="20" w:type="nil"/>
            </w:tcMar>
            <w:vAlign w:val="center"/>
          </w:tcPr>
          <w:p w14:paraId="44EF299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(3)</w:t>
            </w:r>
          </w:p>
        </w:tc>
        <w:tc>
          <w:tcPr>
            <w:tcW w:w="1152" w:type="dxa"/>
            <w:tcBorders>
              <w:bottom w:val="single" w:sz="4" w:space="0" w:color="auto"/>
            </w:tcBorders>
            <w:tcMar>
              <w:top w:w="20" w:type="nil"/>
              <w:left w:w="20" w:type="nil"/>
              <w:bottom w:w="20" w:type="nil"/>
              <w:right w:w="20" w:type="nil"/>
            </w:tcMar>
            <w:vAlign w:val="center"/>
          </w:tcPr>
          <w:p w14:paraId="261B9EF0"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(4)</w:t>
            </w:r>
          </w:p>
        </w:tc>
        <w:tc>
          <w:tcPr>
            <w:tcW w:w="1053" w:type="dxa"/>
            <w:tcBorders>
              <w:bottom w:val="single" w:sz="4" w:space="0" w:color="auto"/>
            </w:tcBorders>
            <w:tcMar>
              <w:top w:w="20" w:type="nil"/>
              <w:left w:w="20" w:type="nil"/>
              <w:bottom w:w="20" w:type="nil"/>
              <w:right w:w="20" w:type="nil"/>
            </w:tcMar>
            <w:vAlign w:val="center"/>
          </w:tcPr>
          <w:p w14:paraId="0CAD1430"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(5)</w:t>
            </w:r>
          </w:p>
        </w:tc>
        <w:tc>
          <w:tcPr>
            <w:tcW w:w="1334" w:type="dxa"/>
            <w:tcBorders>
              <w:bottom w:val="single" w:sz="4" w:space="0" w:color="auto"/>
            </w:tcBorders>
            <w:tcMar>
              <w:top w:w="20" w:type="nil"/>
              <w:left w:w="20" w:type="nil"/>
              <w:bottom w:w="20" w:type="nil"/>
              <w:right w:w="20" w:type="nil"/>
            </w:tcMar>
            <w:vAlign w:val="center"/>
          </w:tcPr>
          <w:p w14:paraId="66EC355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(6)</w:t>
            </w:r>
          </w:p>
        </w:tc>
        <w:tc>
          <w:tcPr>
            <w:tcW w:w="1059" w:type="dxa"/>
            <w:tcBorders>
              <w:bottom w:val="single" w:sz="4" w:space="0" w:color="auto"/>
            </w:tcBorders>
            <w:tcMar>
              <w:top w:w="20" w:type="nil"/>
              <w:left w:w="20" w:type="nil"/>
              <w:bottom w:w="20" w:type="nil"/>
              <w:right w:w="20" w:type="nil"/>
            </w:tcMar>
            <w:vAlign w:val="center"/>
          </w:tcPr>
          <w:p w14:paraId="0EC79537"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(7)</w:t>
            </w:r>
          </w:p>
        </w:tc>
      </w:tr>
      <w:tr w:rsidR="00047ADA" w:rsidRPr="00A7356B" w14:paraId="0A77B5EB" w14:textId="77777777" w:rsidTr="00047ADA">
        <w:tc>
          <w:tcPr>
            <w:tcW w:w="1560" w:type="dxa"/>
            <w:gridSpan w:val="2"/>
            <w:tcBorders>
              <w:top w:val="single" w:sz="4" w:space="0" w:color="auto"/>
            </w:tcBorders>
            <w:tcMar>
              <w:top w:w="20" w:type="nil"/>
              <w:left w:w="20" w:type="nil"/>
              <w:bottom w:w="20" w:type="nil"/>
              <w:right w:w="20" w:type="nil"/>
            </w:tcMar>
            <w:vAlign w:val="center"/>
          </w:tcPr>
          <w:p w14:paraId="2D1AD9D5"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 xml:space="preserve">Production </w:t>
            </w:r>
            <w:r w:rsidRPr="00A7356B">
              <w:rPr>
                <w:rFonts w:ascii="Times" w:hAnsi="Times" w:cs="Times"/>
                <w:i/>
                <w:sz w:val="16"/>
                <w:szCs w:val="16"/>
                <w:lang w:val="en-US"/>
              </w:rPr>
              <w:t>j</w:t>
            </w:r>
          </w:p>
        </w:tc>
        <w:tc>
          <w:tcPr>
            <w:tcW w:w="936" w:type="dxa"/>
            <w:tcBorders>
              <w:top w:val="single" w:sz="4" w:space="0" w:color="auto"/>
            </w:tcBorders>
            <w:tcMar>
              <w:top w:w="20" w:type="nil"/>
              <w:left w:w="20" w:type="nil"/>
              <w:bottom w:w="20" w:type="nil"/>
              <w:right w:w="20" w:type="nil"/>
            </w:tcMar>
            <w:vAlign w:val="center"/>
          </w:tcPr>
          <w:p w14:paraId="7A2382FD"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0.027</w:t>
            </w:r>
            <w:r w:rsidRPr="00A7356B">
              <w:rPr>
                <w:rFonts w:ascii="Times" w:hAnsi="Times" w:cs="Times"/>
                <w:sz w:val="16"/>
                <w:szCs w:val="16"/>
                <w:vertAlign w:val="superscript"/>
                <w:lang w:val="en-US"/>
              </w:rPr>
              <w:t>***</w:t>
            </w:r>
          </w:p>
        </w:tc>
        <w:tc>
          <w:tcPr>
            <w:tcW w:w="1428" w:type="dxa"/>
            <w:tcBorders>
              <w:top w:val="single" w:sz="4" w:space="0" w:color="auto"/>
            </w:tcBorders>
            <w:tcMar>
              <w:top w:w="20" w:type="nil"/>
              <w:left w:w="20" w:type="nil"/>
              <w:bottom w:w="20" w:type="nil"/>
              <w:right w:w="20" w:type="nil"/>
            </w:tcMar>
            <w:vAlign w:val="center"/>
          </w:tcPr>
          <w:p w14:paraId="3F65101B"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0.408</w:t>
            </w:r>
            <w:r w:rsidRPr="00A7356B">
              <w:rPr>
                <w:rFonts w:ascii="Times" w:hAnsi="Times" w:cs="Times"/>
                <w:sz w:val="16"/>
                <w:szCs w:val="16"/>
                <w:vertAlign w:val="superscript"/>
                <w:lang w:val="en-US"/>
              </w:rPr>
              <w:t>***</w:t>
            </w:r>
          </w:p>
        </w:tc>
        <w:tc>
          <w:tcPr>
            <w:tcW w:w="1404" w:type="dxa"/>
            <w:tcBorders>
              <w:top w:val="single" w:sz="4" w:space="0" w:color="auto"/>
            </w:tcBorders>
            <w:tcMar>
              <w:top w:w="20" w:type="nil"/>
              <w:left w:w="20" w:type="nil"/>
              <w:bottom w:w="20" w:type="nil"/>
              <w:right w:w="20" w:type="nil"/>
            </w:tcMar>
            <w:vAlign w:val="center"/>
          </w:tcPr>
          <w:p w14:paraId="2327C0BD"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0.302</w:t>
            </w:r>
            <w:r w:rsidRPr="00A7356B">
              <w:rPr>
                <w:rFonts w:ascii="Times" w:hAnsi="Times" w:cs="Times"/>
                <w:sz w:val="16"/>
                <w:szCs w:val="16"/>
                <w:vertAlign w:val="superscript"/>
                <w:lang w:val="en-US"/>
              </w:rPr>
              <w:t>***</w:t>
            </w:r>
          </w:p>
        </w:tc>
        <w:tc>
          <w:tcPr>
            <w:tcW w:w="1152" w:type="dxa"/>
            <w:tcBorders>
              <w:top w:val="single" w:sz="4" w:space="0" w:color="auto"/>
            </w:tcBorders>
            <w:tcMar>
              <w:top w:w="20" w:type="nil"/>
              <w:left w:w="20" w:type="nil"/>
              <w:bottom w:w="20" w:type="nil"/>
              <w:right w:w="20" w:type="nil"/>
            </w:tcMar>
            <w:vAlign w:val="center"/>
          </w:tcPr>
          <w:p w14:paraId="4719DFD6"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0.395</w:t>
            </w:r>
            <w:r w:rsidRPr="00A7356B">
              <w:rPr>
                <w:rFonts w:ascii="Times" w:hAnsi="Times" w:cs="Times"/>
                <w:sz w:val="16"/>
                <w:szCs w:val="16"/>
                <w:vertAlign w:val="superscript"/>
                <w:lang w:val="en-US"/>
              </w:rPr>
              <w:t>***</w:t>
            </w:r>
          </w:p>
        </w:tc>
        <w:tc>
          <w:tcPr>
            <w:tcW w:w="1053" w:type="dxa"/>
            <w:tcBorders>
              <w:top w:val="single" w:sz="4" w:space="0" w:color="auto"/>
            </w:tcBorders>
            <w:tcMar>
              <w:top w:w="20" w:type="nil"/>
              <w:left w:w="20" w:type="nil"/>
              <w:bottom w:w="20" w:type="nil"/>
              <w:right w:w="20" w:type="nil"/>
            </w:tcMar>
            <w:vAlign w:val="center"/>
          </w:tcPr>
          <w:p w14:paraId="46ACF207"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0.382</w:t>
            </w:r>
            <w:r w:rsidRPr="00A7356B">
              <w:rPr>
                <w:rFonts w:ascii="Times" w:hAnsi="Times" w:cs="Times"/>
                <w:sz w:val="16"/>
                <w:szCs w:val="16"/>
                <w:vertAlign w:val="superscript"/>
                <w:lang w:val="en-US"/>
              </w:rPr>
              <w:t>***</w:t>
            </w:r>
          </w:p>
        </w:tc>
        <w:tc>
          <w:tcPr>
            <w:tcW w:w="1334" w:type="dxa"/>
            <w:tcBorders>
              <w:top w:val="single" w:sz="4" w:space="0" w:color="auto"/>
            </w:tcBorders>
            <w:tcMar>
              <w:top w:w="20" w:type="nil"/>
              <w:left w:w="20" w:type="nil"/>
              <w:bottom w:w="20" w:type="nil"/>
              <w:right w:w="20" w:type="nil"/>
            </w:tcMar>
            <w:vAlign w:val="center"/>
          </w:tcPr>
          <w:p w14:paraId="73CDD5D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0.381</w:t>
            </w:r>
            <w:r w:rsidRPr="00A7356B">
              <w:rPr>
                <w:rFonts w:ascii="Times" w:hAnsi="Times" w:cs="Times"/>
                <w:sz w:val="16"/>
                <w:szCs w:val="16"/>
                <w:vertAlign w:val="superscript"/>
                <w:lang w:val="en-US"/>
              </w:rPr>
              <w:t>***</w:t>
            </w:r>
          </w:p>
        </w:tc>
        <w:tc>
          <w:tcPr>
            <w:tcW w:w="1059" w:type="dxa"/>
            <w:tcBorders>
              <w:top w:val="single" w:sz="4" w:space="0" w:color="auto"/>
            </w:tcBorders>
            <w:tcMar>
              <w:top w:w="20" w:type="nil"/>
              <w:left w:w="20" w:type="nil"/>
              <w:bottom w:w="20" w:type="nil"/>
              <w:right w:w="20" w:type="nil"/>
            </w:tcMar>
            <w:vAlign w:val="center"/>
          </w:tcPr>
          <w:p w14:paraId="3A91E7D5"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0.381</w:t>
            </w:r>
            <w:r w:rsidRPr="00A7356B">
              <w:rPr>
                <w:rFonts w:ascii="Times" w:hAnsi="Times" w:cs="Times"/>
                <w:sz w:val="16"/>
                <w:szCs w:val="16"/>
                <w:vertAlign w:val="superscript"/>
                <w:lang w:val="en-US"/>
              </w:rPr>
              <w:t>***</w:t>
            </w:r>
          </w:p>
        </w:tc>
      </w:tr>
      <w:tr w:rsidR="00047ADA" w:rsidRPr="00A7356B" w14:paraId="231FBE0C" w14:textId="77777777" w:rsidTr="00047ADA">
        <w:tc>
          <w:tcPr>
            <w:tcW w:w="1560" w:type="dxa"/>
            <w:gridSpan w:val="2"/>
            <w:tcMar>
              <w:top w:w="20" w:type="nil"/>
              <w:left w:w="20" w:type="nil"/>
              <w:bottom w:w="20" w:type="nil"/>
              <w:right w:w="20" w:type="nil"/>
            </w:tcMar>
            <w:vAlign w:val="center"/>
          </w:tcPr>
          <w:p w14:paraId="2D8A9C30"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936" w:type="dxa"/>
            <w:tcMar>
              <w:top w:w="20" w:type="nil"/>
              <w:left w:w="20" w:type="nil"/>
              <w:bottom w:w="20" w:type="nil"/>
              <w:right w:w="20" w:type="nil"/>
            </w:tcMar>
            <w:vAlign w:val="center"/>
          </w:tcPr>
          <w:p w14:paraId="3996B08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(0.001)</w:t>
            </w:r>
          </w:p>
        </w:tc>
        <w:tc>
          <w:tcPr>
            <w:tcW w:w="1428" w:type="dxa"/>
            <w:tcMar>
              <w:top w:w="20" w:type="nil"/>
              <w:left w:w="20" w:type="nil"/>
              <w:bottom w:w="20" w:type="nil"/>
              <w:right w:w="20" w:type="nil"/>
            </w:tcMar>
            <w:vAlign w:val="center"/>
          </w:tcPr>
          <w:p w14:paraId="64FF3C1A"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(0.016)</w:t>
            </w:r>
          </w:p>
        </w:tc>
        <w:tc>
          <w:tcPr>
            <w:tcW w:w="1404" w:type="dxa"/>
            <w:tcMar>
              <w:top w:w="20" w:type="nil"/>
              <w:left w:w="20" w:type="nil"/>
              <w:bottom w:w="20" w:type="nil"/>
              <w:right w:w="20" w:type="nil"/>
            </w:tcMar>
            <w:vAlign w:val="center"/>
          </w:tcPr>
          <w:p w14:paraId="2EB1A476"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(0.025)</w:t>
            </w:r>
          </w:p>
        </w:tc>
        <w:tc>
          <w:tcPr>
            <w:tcW w:w="1152" w:type="dxa"/>
            <w:tcMar>
              <w:top w:w="20" w:type="nil"/>
              <w:left w:w="20" w:type="nil"/>
              <w:bottom w:w="20" w:type="nil"/>
              <w:right w:w="20" w:type="nil"/>
            </w:tcMar>
            <w:vAlign w:val="center"/>
          </w:tcPr>
          <w:p w14:paraId="6FFF15B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(0.030)</w:t>
            </w:r>
          </w:p>
        </w:tc>
        <w:tc>
          <w:tcPr>
            <w:tcW w:w="1053" w:type="dxa"/>
            <w:tcMar>
              <w:top w:w="20" w:type="nil"/>
              <w:left w:w="20" w:type="nil"/>
              <w:bottom w:w="20" w:type="nil"/>
              <w:right w:w="20" w:type="nil"/>
            </w:tcMar>
            <w:vAlign w:val="center"/>
          </w:tcPr>
          <w:p w14:paraId="27F1C974"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(0.032)</w:t>
            </w:r>
          </w:p>
        </w:tc>
        <w:tc>
          <w:tcPr>
            <w:tcW w:w="1334" w:type="dxa"/>
            <w:tcMar>
              <w:top w:w="20" w:type="nil"/>
              <w:left w:w="20" w:type="nil"/>
              <w:bottom w:w="20" w:type="nil"/>
              <w:right w:w="20" w:type="nil"/>
            </w:tcMar>
            <w:vAlign w:val="center"/>
          </w:tcPr>
          <w:p w14:paraId="01CA403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(0.026)</w:t>
            </w:r>
          </w:p>
        </w:tc>
        <w:tc>
          <w:tcPr>
            <w:tcW w:w="1059" w:type="dxa"/>
            <w:tcMar>
              <w:top w:w="20" w:type="nil"/>
              <w:left w:w="20" w:type="nil"/>
              <w:bottom w:w="20" w:type="nil"/>
              <w:right w:w="20" w:type="nil"/>
            </w:tcMar>
            <w:vAlign w:val="center"/>
          </w:tcPr>
          <w:p w14:paraId="470EF026"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(0.032)</w:t>
            </w:r>
          </w:p>
        </w:tc>
      </w:tr>
      <w:tr w:rsidR="00047ADA" w:rsidRPr="00A7356B" w14:paraId="67BF0F63" w14:textId="77777777" w:rsidTr="00047ADA">
        <w:tc>
          <w:tcPr>
            <w:tcW w:w="1560" w:type="dxa"/>
            <w:gridSpan w:val="2"/>
            <w:tcMar>
              <w:top w:w="20" w:type="nil"/>
              <w:left w:w="20" w:type="nil"/>
              <w:bottom w:w="20" w:type="nil"/>
              <w:right w:w="20" w:type="nil"/>
            </w:tcMar>
            <w:vAlign w:val="center"/>
          </w:tcPr>
          <w:p w14:paraId="13CA8D7B"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 xml:space="preserve">Remoteness </w:t>
            </w:r>
            <m:oMath>
              <m:r>
                <w:rPr>
                  <w:rFonts w:ascii="Cambria Math" w:hAnsi="Cambria Math" w:cs="Times"/>
                  <w:sz w:val="16"/>
                  <w:szCs w:val="16"/>
                  <w:lang w:val="en-US"/>
                </w:rPr>
                <m:t>j</m:t>
              </m:r>
            </m:oMath>
          </w:p>
        </w:tc>
        <w:tc>
          <w:tcPr>
            <w:tcW w:w="936" w:type="dxa"/>
            <w:tcMar>
              <w:top w:w="20" w:type="nil"/>
              <w:left w:w="20" w:type="nil"/>
              <w:bottom w:w="20" w:type="nil"/>
              <w:right w:w="20" w:type="nil"/>
            </w:tcMar>
            <w:vAlign w:val="center"/>
          </w:tcPr>
          <w:p w14:paraId="5CA2673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0.003</w:t>
            </w:r>
            <w:r w:rsidRPr="00A7356B">
              <w:rPr>
                <w:rFonts w:ascii="Times" w:hAnsi="Times" w:cs="Times"/>
                <w:sz w:val="16"/>
                <w:szCs w:val="16"/>
                <w:vertAlign w:val="superscript"/>
                <w:lang w:val="en-US"/>
              </w:rPr>
              <w:t>*</w:t>
            </w:r>
          </w:p>
        </w:tc>
        <w:tc>
          <w:tcPr>
            <w:tcW w:w="1428" w:type="dxa"/>
            <w:tcMar>
              <w:top w:w="20" w:type="nil"/>
              <w:left w:w="20" w:type="nil"/>
              <w:bottom w:w="20" w:type="nil"/>
              <w:right w:w="20" w:type="nil"/>
            </w:tcMar>
            <w:vAlign w:val="center"/>
          </w:tcPr>
          <w:p w14:paraId="5D5ED0BE"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-0.073</w:t>
            </w:r>
            <w:r w:rsidRPr="00A7356B">
              <w:rPr>
                <w:rFonts w:ascii="Times" w:hAnsi="Times" w:cs="Times"/>
                <w:sz w:val="16"/>
                <w:szCs w:val="16"/>
                <w:vertAlign w:val="superscript"/>
                <w:lang w:val="en-US"/>
              </w:rPr>
              <w:t>*</w:t>
            </w:r>
          </w:p>
        </w:tc>
        <w:tc>
          <w:tcPr>
            <w:tcW w:w="1404" w:type="dxa"/>
            <w:tcMar>
              <w:top w:w="20" w:type="nil"/>
              <w:left w:w="20" w:type="nil"/>
              <w:bottom w:w="20" w:type="nil"/>
              <w:right w:w="20" w:type="nil"/>
            </w:tcMar>
            <w:vAlign w:val="center"/>
          </w:tcPr>
          <w:p w14:paraId="197AFD77"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-0.120</w:t>
            </w:r>
            <w:r w:rsidRPr="00A7356B">
              <w:rPr>
                <w:rFonts w:ascii="Times" w:hAnsi="Times" w:cs="Times"/>
                <w:sz w:val="16"/>
                <w:szCs w:val="16"/>
                <w:vertAlign w:val="superscript"/>
                <w:lang w:val="en-US"/>
              </w:rPr>
              <w:t>***</w:t>
            </w:r>
          </w:p>
        </w:tc>
        <w:tc>
          <w:tcPr>
            <w:tcW w:w="1152" w:type="dxa"/>
            <w:tcMar>
              <w:top w:w="20" w:type="nil"/>
              <w:left w:w="20" w:type="nil"/>
              <w:bottom w:w="20" w:type="nil"/>
              <w:right w:w="20" w:type="nil"/>
            </w:tcMar>
            <w:vAlign w:val="center"/>
          </w:tcPr>
          <w:p w14:paraId="1E5A7C0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-0.045</w:t>
            </w:r>
          </w:p>
        </w:tc>
        <w:tc>
          <w:tcPr>
            <w:tcW w:w="1053" w:type="dxa"/>
            <w:tcMar>
              <w:top w:w="20" w:type="nil"/>
              <w:left w:w="20" w:type="nil"/>
              <w:bottom w:w="20" w:type="nil"/>
              <w:right w:w="20" w:type="nil"/>
            </w:tcMar>
            <w:vAlign w:val="center"/>
          </w:tcPr>
          <w:p w14:paraId="1055AC95"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-0.049</w:t>
            </w:r>
          </w:p>
        </w:tc>
        <w:tc>
          <w:tcPr>
            <w:tcW w:w="1334" w:type="dxa"/>
            <w:tcMar>
              <w:top w:w="20" w:type="nil"/>
              <w:left w:w="20" w:type="nil"/>
              <w:bottom w:w="20" w:type="nil"/>
              <w:right w:w="20" w:type="nil"/>
            </w:tcMar>
            <w:vAlign w:val="center"/>
          </w:tcPr>
          <w:p w14:paraId="41CA89E6"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-0.043</w:t>
            </w:r>
          </w:p>
        </w:tc>
        <w:tc>
          <w:tcPr>
            <w:tcW w:w="1059" w:type="dxa"/>
            <w:tcMar>
              <w:top w:w="20" w:type="nil"/>
              <w:left w:w="20" w:type="nil"/>
              <w:bottom w:w="20" w:type="nil"/>
              <w:right w:w="20" w:type="nil"/>
            </w:tcMar>
            <w:vAlign w:val="center"/>
          </w:tcPr>
          <w:p w14:paraId="1219181F"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-0.043</w:t>
            </w:r>
          </w:p>
        </w:tc>
      </w:tr>
      <w:tr w:rsidR="00047ADA" w:rsidRPr="00A7356B" w14:paraId="0C0AC24C" w14:textId="77777777" w:rsidTr="00047ADA">
        <w:tc>
          <w:tcPr>
            <w:tcW w:w="1560" w:type="dxa"/>
            <w:gridSpan w:val="2"/>
            <w:tcMar>
              <w:top w:w="20" w:type="nil"/>
              <w:left w:w="20" w:type="nil"/>
              <w:bottom w:w="20" w:type="nil"/>
              <w:right w:w="20" w:type="nil"/>
            </w:tcMar>
            <w:vAlign w:val="center"/>
          </w:tcPr>
          <w:p w14:paraId="27BE36A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936" w:type="dxa"/>
            <w:tcMar>
              <w:top w:w="20" w:type="nil"/>
              <w:left w:w="20" w:type="nil"/>
              <w:bottom w:w="20" w:type="nil"/>
              <w:right w:w="20" w:type="nil"/>
            </w:tcMar>
            <w:vAlign w:val="center"/>
          </w:tcPr>
          <w:p w14:paraId="4743C83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(0.002)</w:t>
            </w:r>
          </w:p>
        </w:tc>
        <w:tc>
          <w:tcPr>
            <w:tcW w:w="1428" w:type="dxa"/>
            <w:tcMar>
              <w:top w:w="20" w:type="nil"/>
              <w:left w:w="20" w:type="nil"/>
              <w:bottom w:w="20" w:type="nil"/>
              <w:right w:w="20" w:type="nil"/>
            </w:tcMar>
            <w:vAlign w:val="center"/>
          </w:tcPr>
          <w:p w14:paraId="0E6593A5"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(0.039)</w:t>
            </w:r>
          </w:p>
        </w:tc>
        <w:tc>
          <w:tcPr>
            <w:tcW w:w="1404" w:type="dxa"/>
            <w:tcMar>
              <w:top w:w="20" w:type="nil"/>
              <w:left w:w="20" w:type="nil"/>
              <w:bottom w:w="20" w:type="nil"/>
              <w:right w:w="20" w:type="nil"/>
            </w:tcMar>
            <w:vAlign w:val="center"/>
          </w:tcPr>
          <w:p w14:paraId="69DDDF5B"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(0.039)</w:t>
            </w:r>
          </w:p>
        </w:tc>
        <w:tc>
          <w:tcPr>
            <w:tcW w:w="1152" w:type="dxa"/>
            <w:tcMar>
              <w:top w:w="20" w:type="nil"/>
              <w:left w:w="20" w:type="nil"/>
              <w:bottom w:w="20" w:type="nil"/>
              <w:right w:w="20" w:type="nil"/>
            </w:tcMar>
            <w:vAlign w:val="center"/>
          </w:tcPr>
          <w:p w14:paraId="7FCE8BA8"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(0.097)</w:t>
            </w:r>
          </w:p>
        </w:tc>
        <w:tc>
          <w:tcPr>
            <w:tcW w:w="1053" w:type="dxa"/>
            <w:tcMar>
              <w:top w:w="20" w:type="nil"/>
              <w:left w:w="20" w:type="nil"/>
              <w:bottom w:w="20" w:type="nil"/>
              <w:right w:w="20" w:type="nil"/>
            </w:tcMar>
            <w:vAlign w:val="center"/>
          </w:tcPr>
          <w:p w14:paraId="31D0B7E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(0.096)</w:t>
            </w:r>
          </w:p>
        </w:tc>
        <w:tc>
          <w:tcPr>
            <w:tcW w:w="1334" w:type="dxa"/>
            <w:tcMar>
              <w:top w:w="20" w:type="nil"/>
              <w:left w:w="20" w:type="nil"/>
              <w:bottom w:w="20" w:type="nil"/>
              <w:right w:w="20" w:type="nil"/>
            </w:tcMar>
            <w:vAlign w:val="center"/>
          </w:tcPr>
          <w:p w14:paraId="2F2CB75F"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(0.071)</w:t>
            </w:r>
          </w:p>
        </w:tc>
        <w:tc>
          <w:tcPr>
            <w:tcW w:w="1059" w:type="dxa"/>
            <w:tcMar>
              <w:top w:w="20" w:type="nil"/>
              <w:left w:w="20" w:type="nil"/>
              <w:bottom w:w="20" w:type="nil"/>
              <w:right w:w="20" w:type="nil"/>
            </w:tcMar>
            <w:vAlign w:val="center"/>
          </w:tcPr>
          <w:p w14:paraId="61837AC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(0.096)</w:t>
            </w:r>
          </w:p>
        </w:tc>
      </w:tr>
      <w:tr w:rsidR="00047ADA" w:rsidRPr="00A7356B" w14:paraId="4AA2AFE7" w14:textId="77777777" w:rsidTr="00047ADA">
        <w:tc>
          <w:tcPr>
            <w:tcW w:w="1560" w:type="dxa"/>
            <w:gridSpan w:val="2"/>
            <w:tcMar>
              <w:top w:w="20" w:type="nil"/>
              <w:left w:w="20" w:type="nil"/>
              <w:bottom w:w="20" w:type="nil"/>
              <w:right w:w="20" w:type="nil"/>
            </w:tcMar>
            <w:vAlign w:val="center"/>
          </w:tcPr>
          <w:p w14:paraId="13CC9D74"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 xml:space="preserve">Exch. Rate </w:t>
            </w:r>
            <m:oMath>
              <m:r>
                <w:rPr>
                  <w:rFonts w:ascii="Cambria Math" w:hAnsi="Cambria Math" w:cs="Times"/>
                  <w:sz w:val="16"/>
                  <w:szCs w:val="16"/>
                  <w:lang w:val="en-US"/>
                </w:rPr>
                <m:t>j</m:t>
              </m:r>
            </m:oMath>
          </w:p>
        </w:tc>
        <w:tc>
          <w:tcPr>
            <w:tcW w:w="936" w:type="dxa"/>
            <w:tcMar>
              <w:top w:w="20" w:type="nil"/>
              <w:left w:w="20" w:type="nil"/>
              <w:bottom w:w="20" w:type="nil"/>
              <w:right w:w="20" w:type="nil"/>
            </w:tcMar>
            <w:vAlign w:val="center"/>
          </w:tcPr>
          <w:p w14:paraId="2BC11554"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0.008</w:t>
            </w:r>
            <w:r w:rsidRPr="00A7356B">
              <w:rPr>
                <w:rFonts w:ascii="Times" w:hAnsi="Times" w:cs="Times"/>
                <w:sz w:val="16"/>
                <w:szCs w:val="16"/>
                <w:vertAlign w:val="superscript"/>
                <w:lang w:val="en-US"/>
              </w:rPr>
              <w:t>***</w:t>
            </w:r>
          </w:p>
        </w:tc>
        <w:tc>
          <w:tcPr>
            <w:tcW w:w="1428" w:type="dxa"/>
            <w:tcMar>
              <w:top w:w="20" w:type="nil"/>
              <w:left w:w="20" w:type="nil"/>
              <w:bottom w:w="20" w:type="nil"/>
              <w:right w:w="20" w:type="nil"/>
            </w:tcMar>
            <w:vAlign w:val="center"/>
          </w:tcPr>
          <w:p w14:paraId="295BF51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0.122</w:t>
            </w:r>
            <w:r w:rsidRPr="00A7356B">
              <w:rPr>
                <w:rFonts w:ascii="Times" w:hAnsi="Times" w:cs="Times"/>
                <w:sz w:val="16"/>
                <w:szCs w:val="16"/>
                <w:vertAlign w:val="superscript"/>
                <w:lang w:val="en-US"/>
              </w:rPr>
              <w:t>***</w:t>
            </w:r>
          </w:p>
        </w:tc>
        <w:tc>
          <w:tcPr>
            <w:tcW w:w="1404" w:type="dxa"/>
            <w:tcMar>
              <w:top w:w="20" w:type="nil"/>
              <w:left w:w="20" w:type="nil"/>
              <w:bottom w:w="20" w:type="nil"/>
              <w:right w:w="20" w:type="nil"/>
            </w:tcMar>
            <w:vAlign w:val="center"/>
          </w:tcPr>
          <w:p w14:paraId="47D6F27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0.082</w:t>
            </w:r>
            <w:r w:rsidRPr="00A7356B">
              <w:rPr>
                <w:rFonts w:ascii="Times" w:hAnsi="Times" w:cs="Times"/>
                <w:sz w:val="16"/>
                <w:szCs w:val="16"/>
                <w:vertAlign w:val="superscript"/>
                <w:lang w:val="en-US"/>
              </w:rPr>
              <w:t>***</w:t>
            </w:r>
          </w:p>
        </w:tc>
        <w:tc>
          <w:tcPr>
            <w:tcW w:w="1152" w:type="dxa"/>
            <w:tcMar>
              <w:top w:w="20" w:type="nil"/>
              <w:left w:w="20" w:type="nil"/>
              <w:bottom w:w="20" w:type="nil"/>
              <w:right w:w="20" w:type="nil"/>
            </w:tcMar>
            <w:vAlign w:val="center"/>
          </w:tcPr>
          <w:p w14:paraId="1C216B8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0.041</w:t>
            </w:r>
          </w:p>
        </w:tc>
        <w:tc>
          <w:tcPr>
            <w:tcW w:w="1053" w:type="dxa"/>
            <w:tcMar>
              <w:top w:w="20" w:type="nil"/>
              <w:left w:w="20" w:type="nil"/>
              <w:bottom w:w="20" w:type="nil"/>
              <w:right w:w="20" w:type="nil"/>
            </w:tcMar>
            <w:vAlign w:val="center"/>
          </w:tcPr>
          <w:p w14:paraId="49278DEF"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0.043</w:t>
            </w:r>
          </w:p>
        </w:tc>
        <w:tc>
          <w:tcPr>
            <w:tcW w:w="1334" w:type="dxa"/>
            <w:tcMar>
              <w:top w:w="20" w:type="nil"/>
              <w:left w:w="20" w:type="nil"/>
              <w:bottom w:w="20" w:type="nil"/>
              <w:right w:w="20" w:type="nil"/>
            </w:tcMar>
            <w:vAlign w:val="center"/>
          </w:tcPr>
          <w:p w14:paraId="0D7CECE2"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0.045</w:t>
            </w:r>
            <w:r w:rsidRPr="00A7356B">
              <w:rPr>
                <w:rFonts w:ascii="Times" w:hAnsi="Times" w:cs="Times"/>
                <w:sz w:val="16"/>
                <w:szCs w:val="16"/>
                <w:vertAlign w:val="superscript"/>
                <w:lang w:val="en-US"/>
              </w:rPr>
              <w:t>*</w:t>
            </w:r>
          </w:p>
        </w:tc>
        <w:tc>
          <w:tcPr>
            <w:tcW w:w="1059" w:type="dxa"/>
            <w:tcMar>
              <w:top w:w="20" w:type="nil"/>
              <w:left w:w="20" w:type="nil"/>
              <w:bottom w:w="20" w:type="nil"/>
              <w:right w:w="20" w:type="nil"/>
            </w:tcMar>
            <w:vAlign w:val="center"/>
          </w:tcPr>
          <w:p w14:paraId="0C985287"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0.045</w:t>
            </w:r>
          </w:p>
        </w:tc>
      </w:tr>
      <w:tr w:rsidR="00047ADA" w:rsidRPr="00A7356B" w14:paraId="0FDB8AF3" w14:textId="77777777" w:rsidTr="00047ADA">
        <w:tc>
          <w:tcPr>
            <w:tcW w:w="1560" w:type="dxa"/>
            <w:gridSpan w:val="2"/>
            <w:tcMar>
              <w:top w:w="20" w:type="nil"/>
              <w:left w:w="20" w:type="nil"/>
              <w:bottom w:w="20" w:type="nil"/>
              <w:right w:w="20" w:type="nil"/>
            </w:tcMar>
            <w:vAlign w:val="center"/>
          </w:tcPr>
          <w:p w14:paraId="5E4306D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936" w:type="dxa"/>
            <w:tcMar>
              <w:top w:w="20" w:type="nil"/>
              <w:left w:w="20" w:type="nil"/>
              <w:bottom w:w="20" w:type="nil"/>
              <w:right w:w="20" w:type="nil"/>
            </w:tcMar>
            <w:vAlign w:val="center"/>
          </w:tcPr>
          <w:p w14:paraId="4C6B0CDF"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(0.001)</w:t>
            </w:r>
          </w:p>
        </w:tc>
        <w:tc>
          <w:tcPr>
            <w:tcW w:w="1428" w:type="dxa"/>
            <w:tcMar>
              <w:top w:w="20" w:type="nil"/>
              <w:left w:w="20" w:type="nil"/>
              <w:bottom w:w="20" w:type="nil"/>
              <w:right w:w="20" w:type="nil"/>
            </w:tcMar>
            <w:vAlign w:val="center"/>
          </w:tcPr>
          <w:p w14:paraId="41D9B6E1"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(0.017)</w:t>
            </w:r>
          </w:p>
        </w:tc>
        <w:tc>
          <w:tcPr>
            <w:tcW w:w="1404" w:type="dxa"/>
            <w:tcMar>
              <w:top w:w="20" w:type="nil"/>
              <w:left w:w="20" w:type="nil"/>
              <w:bottom w:w="20" w:type="nil"/>
              <w:right w:w="20" w:type="nil"/>
            </w:tcMar>
            <w:vAlign w:val="center"/>
          </w:tcPr>
          <w:p w14:paraId="5849B6D8"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(0.018)</w:t>
            </w:r>
          </w:p>
        </w:tc>
        <w:tc>
          <w:tcPr>
            <w:tcW w:w="1152" w:type="dxa"/>
            <w:tcMar>
              <w:top w:w="20" w:type="nil"/>
              <w:left w:w="20" w:type="nil"/>
              <w:bottom w:w="20" w:type="nil"/>
              <w:right w:w="20" w:type="nil"/>
            </w:tcMar>
            <w:vAlign w:val="center"/>
          </w:tcPr>
          <w:p w14:paraId="1EF865E5"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(0.034)</w:t>
            </w:r>
          </w:p>
        </w:tc>
        <w:tc>
          <w:tcPr>
            <w:tcW w:w="1053" w:type="dxa"/>
            <w:tcMar>
              <w:top w:w="20" w:type="nil"/>
              <w:left w:w="20" w:type="nil"/>
              <w:bottom w:w="20" w:type="nil"/>
              <w:right w:w="20" w:type="nil"/>
            </w:tcMar>
            <w:vAlign w:val="center"/>
          </w:tcPr>
          <w:p w14:paraId="3A69CB7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(0.034)</w:t>
            </w:r>
          </w:p>
        </w:tc>
        <w:tc>
          <w:tcPr>
            <w:tcW w:w="1334" w:type="dxa"/>
            <w:tcMar>
              <w:top w:w="20" w:type="nil"/>
              <w:left w:w="20" w:type="nil"/>
              <w:bottom w:w="20" w:type="nil"/>
              <w:right w:w="20" w:type="nil"/>
            </w:tcMar>
            <w:vAlign w:val="center"/>
          </w:tcPr>
          <w:p w14:paraId="07AFAD2A"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(0.027)</w:t>
            </w:r>
          </w:p>
        </w:tc>
        <w:tc>
          <w:tcPr>
            <w:tcW w:w="1059" w:type="dxa"/>
            <w:tcMar>
              <w:top w:w="20" w:type="nil"/>
              <w:left w:w="20" w:type="nil"/>
              <w:bottom w:w="20" w:type="nil"/>
              <w:right w:w="20" w:type="nil"/>
            </w:tcMar>
            <w:vAlign w:val="center"/>
          </w:tcPr>
          <w:p w14:paraId="7992CD51"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(0.034)</w:t>
            </w:r>
          </w:p>
        </w:tc>
      </w:tr>
      <w:tr w:rsidR="00047ADA" w:rsidRPr="00A7356B" w14:paraId="5DEA4D33" w14:textId="77777777" w:rsidTr="00047ADA">
        <w:tc>
          <w:tcPr>
            <w:tcW w:w="1560" w:type="dxa"/>
            <w:gridSpan w:val="2"/>
            <w:tcMar>
              <w:top w:w="20" w:type="nil"/>
              <w:left w:w="20" w:type="nil"/>
              <w:bottom w:w="20" w:type="nil"/>
              <w:right w:w="20" w:type="nil"/>
            </w:tcMar>
            <w:vAlign w:val="center"/>
          </w:tcPr>
          <w:p w14:paraId="746E3CC1"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 xml:space="preserve">Landlocked </w:t>
            </w:r>
            <w:r w:rsidRPr="00A7356B">
              <w:rPr>
                <w:rFonts w:ascii="Times" w:hAnsi="Times" w:cs="Times"/>
                <w:i/>
                <w:sz w:val="16"/>
                <w:szCs w:val="16"/>
                <w:lang w:val="en-US"/>
              </w:rPr>
              <w:t>j</w:t>
            </w:r>
          </w:p>
        </w:tc>
        <w:tc>
          <w:tcPr>
            <w:tcW w:w="936" w:type="dxa"/>
            <w:tcMar>
              <w:top w:w="20" w:type="nil"/>
              <w:left w:w="20" w:type="nil"/>
              <w:bottom w:w="20" w:type="nil"/>
              <w:right w:w="20" w:type="nil"/>
            </w:tcMar>
            <w:vAlign w:val="center"/>
          </w:tcPr>
          <w:p w14:paraId="441DA5F5"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-0.029</w:t>
            </w:r>
            <w:r w:rsidRPr="00A7356B">
              <w:rPr>
                <w:rFonts w:ascii="Times" w:hAnsi="Times" w:cs="Times"/>
                <w:sz w:val="16"/>
                <w:szCs w:val="16"/>
                <w:vertAlign w:val="superscript"/>
                <w:lang w:val="en-US"/>
              </w:rPr>
              <w:t>***</w:t>
            </w:r>
          </w:p>
        </w:tc>
        <w:tc>
          <w:tcPr>
            <w:tcW w:w="1428" w:type="dxa"/>
            <w:tcMar>
              <w:top w:w="20" w:type="nil"/>
              <w:left w:w="20" w:type="nil"/>
              <w:bottom w:w="20" w:type="nil"/>
              <w:right w:w="20" w:type="nil"/>
            </w:tcMar>
            <w:vAlign w:val="center"/>
          </w:tcPr>
          <w:p w14:paraId="40748CEF"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1.455</w:t>
            </w:r>
            <w:r w:rsidRPr="00A7356B">
              <w:rPr>
                <w:rFonts w:ascii="Times" w:hAnsi="Times" w:cs="Times"/>
                <w:sz w:val="16"/>
                <w:szCs w:val="16"/>
                <w:vertAlign w:val="superscript"/>
                <w:lang w:val="en-US"/>
              </w:rPr>
              <w:t>***</w:t>
            </w:r>
          </w:p>
        </w:tc>
        <w:tc>
          <w:tcPr>
            <w:tcW w:w="1404" w:type="dxa"/>
            <w:tcMar>
              <w:top w:w="20" w:type="nil"/>
              <w:left w:w="20" w:type="nil"/>
              <w:bottom w:w="20" w:type="nil"/>
              <w:right w:w="20" w:type="nil"/>
            </w:tcMar>
            <w:vAlign w:val="center"/>
          </w:tcPr>
          <w:p w14:paraId="524F7A00"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1.678</w:t>
            </w:r>
            <w:r w:rsidRPr="00A7356B">
              <w:rPr>
                <w:rFonts w:ascii="Times" w:hAnsi="Times" w:cs="Times"/>
                <w:sz w:val="16"/>
                <w:szCs w:val="16"/>
                <w:vertAlign w:val="superscript"/>
                <w:lang w:val="en-US"/>
              </w:rPr>
              <w:t>***</w:t>
            </w:r>
          </w:p>
        </w:tc>
        <w:tc>
          <w:tcPr>
            <w:tcW w:w="1152" w:type="dxa"/>
            <w:tcMar>
              <w:top w:w="20" w:type="nil"/>
              <w:left w:w="20" w:type="nil"/>
              <w:bottom w:w="20" w:type="nil"/>
              <w:right w:w="20" w:type="nil"/>
            </w:tcMar>
            <w:vAlign w:val="center"/>
          </w:tcPr>
          <w:p w14:paraId="4E082F4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1.141</w:t>
            </w:r>
            <w:r w:rsidRPr="00A7356B">
              <w:rPr>
                <w:rFonts w:ascii="Times" w:hAnsi="Times" w:cs="Times"/>
                <w:sz w:val="16"/>
                <w:szCs w:val="16"/>
                <w:vertAlign w:val="superscript"/>
                <w:lang w:val="en-US"/>
              </w:rPr>
              <w:t>***</w:t>
            </w:r>
          </w:p>
        </w:tc>
        <w:tc>
          <w:tcPr>
            <w:tcW w:w="1053" w:type="dxa"/>
            <w:tcMar>
              <w:top w:w="20" w:type="nil"/>
              <w:left w:w="20" w:type="nil"/>
              <w:bottom w:w="20" w:type="nil"/>
              <w:right w:w="20" w:type="nil"/>
            </w:tcMar>
            <w:vAlign w:val="center"/>
          </w:tcPr>
          <w:p w14:paraId="2B0AE2D4"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1.165</w:t>
            </w:r>
            <w:r w:rsidRPr="00A7356B">
              <w:rPr>
                <w:rFonts w:ascii="Times" w:hAnsi="Times" w:cs="Times"/>
                <w:sz w:val="16"/>
                <w:szCs w:val="16"/>
                <w:vertAlign w:val="superscript"/>
                <w:lang w:val="en-US"/>
              </w:rPr>
              <w:t>***</w:t>
            </w:r>
          </w:p>
        </w:tc>
        <w:tc>
          <w:tcPr>
            <w:tcW w:w="1334" w:type="dxa"/>
            <w:tcMar>
              <w:top w:w="20" w:type="nil"/>
              <w:left w:w="20" w:type="nil"/>
              <w:bottom w:w="20" w:type="nil"/>
              <w:right w:w="20" w:type="nil"/>
            </w:tcMar>
            <w:vAlign w:val="center"/>
          </w:tcPr>
          <w:p w14:paraId="5BACBAA7"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1.169</w:t>
            </w:r>
            <w:r w:rsidRPr="00A7356B">
              <w:rPr>
                <w:rFonts w:ascii="Times" w:hAnsi="Times" w:cs="Times"/>
                <w:sz w:val="16"/>
                <w:szCs w:val="16"/>
                <w:vertAlign w:val="superscript"/>
                <w:lang w:val="en-US"/>
              </w:rPr>
              <w:t>***</w:t>
            </w:r>
          </w:p>
        </w:tc>
        <w:tc>
          <w:tcPr>
            <w:tcW w:w="1059" w:type="dxa"/>
            <w:tcMar>
              <w:top w:w="20" w:type="nil"/>
              <w:left w:w="20" w:type="nil"/>
              <w:bottom w:w="20" w:type="nil"/>
              <w:right w:w="20" w:type="nil"/>
            </w:tcMar>
            <w:vAlign w:val="center"/>
          </w:tcPr>
          <w:p w14:paraId="0C817821"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1.169</w:t>
            </w:r>
            <w:r w:rsidRPr="00A7356B">
              <w:rPr>
                <w:rFonts w:ascii="Times" w:hAnsi="Times" w:cs="Times"/>
                <w:sz w:val="16"/>
                <w:szCs w:val="16"/>
                <w:vertAlign w:val="superscript"/>
                <w:lang w:val="en-US"/>
              </w:rPr>
              <w:t>***</w:t>
            </w:r>
          </w:p>
        </w:tc>
      </w:tr>
      <w:tr w:rsidR="00047ADA" w:rsidRPr="00A7356B" w14:paraId="651C25B4" w14:textId="77777777" w:rsidTr="00047ADA">
        <w:tc>
          <w:tcPr>
            <w:tcW w:w="1560" w:type="dxa"/>
            <w:gridSpan w:val="2"/>
            <w:tcMar>
              <w:top w:w="20" w:type="nil"/>
              <w:left w:w="20" w:type="nil"/>
              <w:bottom w:w="20" w:type="nil"/>
              <w:right w:w="20" w:type="nil"/>
            </w:tcMar>
            <w:vAlign w:val="center"/>
          </w:tcPr>
          <w:p w14:paraId="00A074C0"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936" w:type="dxa"/>
            <w:tcMar>
              <w:top w:w="20" w:type="nil"/>
              <w:left w:w="20" w:type="nil"/>
              <w:bottom w:w="20" w:type="nil"/>
              <w:right w:w="20" w:type="nil"/>
            </w:tcMar>
            <w:vAlign w:val="center"/>
          </w:tcPr>
          <w:p w14:paraId="26AB875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(0.004)</w:t>
            </w:r>
          </w:p>
        </w:tc>
        <w:tc>
          <w:tcPr>
            <w:tcW w:w="1428" w:type="dxa"/>
            <w:tcMar>
              <w:top w:w="20" w:type="nil"/>
              <w:left w:w="20" w:type="nil"/>
              <w:bottom w:w="20" w:type="nil"/>
              <w:right w:w="20" w:type="nil"/>
            </w:tcMar>
            <w:vAlign w:val="center"/>
          </w:tcPr>
          <w:p w14:paraId="1D743182"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(0.116)</w:t>
            </w:r>
          </w:p>
        </w:tc>
        <w:tc>
          <w:tcPr>
            <w:tcW w:w="1404" w:type="dxa"/>
            <w:tcMar>
              <w:top w:w="20" w:type="nil"/>
              <w:left w:w="20" w:type="nil"/>
              <w:bottom w:w="20" w:type="nil"/>
              <w:right w:w="20" w:type="nil"/>
            </w:tcMar>
            <w:vAlign w:val="center"/>
          </w:tcPr>
          <w:p w14:paraId="0D9C14D8"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(0.117)</w:t>
            </w:r>
          </w:p>
        </w:tc>
        <w:tc>
          <w:tcPr>
            <w:tcW w:w="1152" w:type="dxa"/>
            <w:tcMar>
              <w:top w:w="20" w:type="nil"/>
              <w:left w:w="20" w:type="nil"/>
              <w:bottom w:w="20" w:type="nil"/>
              <w:right w:w="20" w:type="nil"/>
            </w:tcMar>
            <w:vAlign w:val="center"/>
          </w:tcPr>
          <w:p w14:paraId="37D85EAD"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(0.244)</w:t>
            </w:r>
          </w:p>
        </w:tc>
        <w:tc>
          <w:tcPr>
            <w:tcW w:w="1053" w:type="dxa"/>
            <w:tcMar>
              <w:top w:w="20" w:type="nil"/>
              <w:left w:w="20" w:type="nil"/>
              <w:bottom w:w="20" w:type="nil"/>
              <w:right w:w="20" w:type="nil"/>
            </w:tcMar>
            <w:vAlign w:val="center"/>
          </w:tcPr>
          <w:p w14:paraId="02B4D786"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(0.243)</w:t>
            </w:r>
          </w:p>
        </w:tc>
        <w:tc>
          <w:tcPr>
            <w:tcW w:w="1334" w:type="dxa"/>
            <w:tcMar>
              <w:top w:w="20" w:type="nil"/>
              <w:left w:w="20" w:type="nil"/>
              <w:bottom w:w="20" w:type="nil"/>
              <w:right w:w="20" w:type="nil"/>
            </w:tcMar>
            <w:vAlign w:val="center"/>
          </w:tcPr>
          <w:p w14:paraId="6EBCE22E"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(0.183)</w:t>
            </w:r>
          </w:p>
        </w:tc>
        <w:tc>
          <w:tcPr>
            <w:tcW w:w="1059" w:type="dxa"/>
            <w:tcMar>
              <w:top w:w="20" w:type="nil"/>
              <w:left w:w="20" w:type="nil"/>
              <w:bottom w:w="20" w:type="nil"/>
              <w:right w:w="20" w:type="nil"/>
            </w:tcMar>
            <w:vAlign w:val="center"/>
          </w:tcPr>
          <w:p w14:paraId="5F3DE8E3"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(0.243)</w:t>
            </w:r>
          </w:p>
        </w:tc>
      </w:tr>
      <w:tr w:rsidR="00047ADA" w:rsidRPr="00A7356B" w14:paraId="6937CC53" w14:textId="77777777" w:rsidTr="00047ADA">
        <w:tc>
          <w:tcPr>
            <w:tcW w:w="1560" w:type="dxa"/>
            <w:gridSpan w:val="2"/>
            <w:tcMar>
              <w:top w:w="20" w:type="nil"/>
              <w:left w:w="20" w:type="nil"/>
              <w:bottom w:w="20" w:type="nil"/>
              <w:right w:w="20" w:type="nil"/>
            </w:tcMar>
            <w:vAlign w:val="center"/>
          </w:tcPr>
          <w:p w14:paraId="03DF510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 xml:space="preserve">Yield </w:t>
            </w:r>
            <w:r w:rsidRPr="00A7356B">
              <w:rPr>
                <w:rFonts w:ascii="Times" w:hAnsi="Times" w:cs="Times"/>
                <w:i/>
                <w:sz w:val="16"/>
                <w:szCs w:val="16"/>
                <w:lang w:val="en-US"/>
              </w:rPr>
              <w:t>j</w:t>
            </w:r>
          </w:p>
        </w:tc>
        <w:tc>
          <w:tcPr>
            <w:tcW w:w="936" w:type="dxa"/>
            <w:tcMar>
              <w:top w:w="20" w:type="nil"/>
              <w:left w:w="20" w:type="nil"/>
              <w:bottom w:w="20" w:type="nil"/>
              <w:right w:w="20" w:type="nil"/>
            </w:tcMar>
            <w:vAlign w:val="center"/>
          </w:tcPr>
          <w:p w14:paraId="2934E6FE"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0.054</w:t>
            </w:r>
            <w:r w:rsidRPr="00A7356B">
              <w:rPr>
                <w:rFonts w:ascii="Times" w:hAnsi="Times" w:cs="Times"/>
                <w:sz w:val="16"/>
                <w:szCs w:val="16"/>
                <w:vertAlign w:val="superscript"/>
                <w:lang w:val="en-US"/>
              </w:rPr>
              <w:t>***</w:t>
            </w:r>
          </w:p>
        </w:tc>
        <w:tc>
          <w:tcPr>
            <w:tcW w:w="1428" w:type="dxa"/>
            <w:tcMar>
              <w:top w:w="20" w:type="nil"/>
              <w:left w:w="20" w:type="nil"/>
              <w:bottom w:w="20" w:type="nil"/>
              <w:right w:w="20" w:type="nil"/>
            </w:tcMar>
            <w:vAlign w:val="center"/>
          </w:tcPr>
          <w:p w14:paraId="6D8E6980"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1.226</w:t>
            </w:r>
            <w:r w:rsidRPr="00A7356B">
              <w:rPr>
                <w:rFonts w:ascii="Times" w:hAnsi="Times" w:cs="Times"/>
                <w:sz w:val="16"/>
                <w:szCs w:val="16"/>
                <w:vertAlign w:val="superscript"/>
                <w:lang w:val="en-US"/>
              </w:rPr>
              <w:t>***</w:t>
            </w:r>
          </w:p>
        </w:tc>
        <w:tc>
          <w:tcPr>
            <w:tcW w:w="1404" w:type="dxa"/>
            <w:tcMar>
              <w:top w:w="20" w:type="nil"/>
              <w:left w:w="20" w:type="nil"/>
              <w:bottom w:w="20" w:type="nil"/>
              <w:right w:w="20" w:type="nil"/>
            </w:tcMar>
            <w:vAlign w:val="center"/>
          </w:tcPr>
          <w:p w14:paraId="0B723B6E"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1.001</w:t>
            </w:r>
            <w:r w:rsidRPr="00A7356B">
              <w:rPr>
                <w:rFonts w:ascii="Times" w:hAnsi="Times" w:cs="Times"/>
                <w:sz w:val="16"/>
                <w:szCs w:val="16"/>
                <w:vertAlign w:val="superscript"/>
                <w:lang w:val="en-US"/>
              </w:rPr>
              <w:t>***</w:t>
            </w:r>
          </w:p>
        </w:tc>
        <w:tc>
          <w:tcPr>
            <w:tcW w:w="1152" w:type="dxa"/>
            <w:tcMar>
              <w:top w:w="20" w:type="nil"/>
              <w:left w:w="20" w:type="nil"/>
              <w:bottom w:w="20" w:type="nil"/>
              <w:right w:w="20" w:type="nil"/>
            </w:tcMar>
            <w:vAlign w:val="center"/>
          </w:tcPr>
          <w:p w14:paraId="385E9C0A"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1.138</w:t>
            </w:r>
            <w:r w:rsidRPr="00A7356B">
              <w:rPr>
                <w:rFonts w:ascii="Times" w:hAnsi="Times" w:cs="Times"/>
                <w:sz w:val="16"/>
                <w:szCs w:val="16"/>
                <w:vertAlign w:val="superscript"/>
                <w:lang w:val="en-US"/>
              </w:rPr>
              <w:t>***</w:t>
            </w:r>
          </w:p>
        </w:tc>
        <w:tc>
          <w:tcPr>
            <w:tcW w:w="1053" w:type="dxa"/>
            <w:tcMar>
              <w:top w:w="20" w:type="nil"/>
              <w:left w:w="20" w:type="nil"/>
              <w:bottom w:w="20" w:type="nil"/>
              <w:right w:w="20" w:type="nil"/>
            </w:tcMar>
            <w:vAlign w:val="center"/>
          </w:tcPr>
          <w:p w14:paraId="20950480"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1.141</w:t>
            </w:r>
            <w:r w:rsidRPr="00A7356B">
              <w:rPr>
                <w:rFonts w:ascii="Times" w:hAnsi="Times" w:cs="Times"/>
                <w:sz w:val="16"/>
                <w:szCs w:val="16"/>
                <w:vertAlign w:val="superscript"/>
                <w:lang w:val="en-US"/>
              </w:rPr>
              <w:t>***</w:t>
            </w:r>
          </w:p>
        </w:tc>
        <w:tc>
          <w:tcPr>
            <w:tcW w:w="1334" w:type="dxa"/>
            <w:tcMar>
              <w:top w:w="20" w:type="nil"/>
              <w:left w:w="20" w:type="nil"/>
              <w:bottom w:w="20" w:type="nil"/>
              <w:right w:w="20" w:type="nil"/>
            </w:tcMar>
            <w:vAlign w:val="center"/>
          </w:tcPr>
          <w:p w14:paraId="0FDA6650"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1.143</w:t>
            </w:r>
            <w:r w:rsidRPr="00A7356B">
              <w:rPr>
                <w:rFonts w:ascii="Times" w:hAnsi="Times" w:cs="Times"/>
                <w:sz w:val="16"/>
                <w:szCs w:val="16"/>
                <w:vertAlign w:val="superscript"/>
                <w:lang w:val="en-US"/>
              </w:rPr>
              <w:t>***</w:t>
            </w:r>
          </w:p>
        </w:tc>
        <w:tc>
          <w:tcPr>
            <w:tcW w:w="1059" w:type="dxa"/>
            <w:tcMar>
              <w:top w:w="20" w:type="nil"/>
              <w:left w:w="20" w:type="nil"/>
              <w:bottom w:w="20" w:type="nil"/>
              <w:right w:w="20" w:type="nil"/>
            </w:tcMar>
            <w:vAlign w:val="center"/>
          </w:tcPr>
          <w:p w14:paraId="4893CD4D"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1.143</w:t>
            </w:r>
            <w:r w:rsidRPr="00A7356B">
              <w:rPr>
                <w:rFonts w:ascii="Times" w:hAnsi="Times" w:cs="Times"/>
                <w:sz w:val="16"/>
                <w:szCs w:val="16"/>
                <w:vertAlign w:val="superscript"/>
                <w:lang w:val="en-US"/>
              </w:rPr>
              <w:t>***</w:t>
            </w:r>
          </w:p>
        </w:tc>
      </w:tr>
      <w:tr w:rsidR="00047ADA" w:rsidRPr="00A7356B" w14:paraId="34BA98CD" w14:textId="77777777" w:rsidTr="00047ADA">
        <w:tc>
          <w:tcPr>
            <w:tcW w:w="1560" w:type="dxa"/>
            <w:gridSpan w:val="2"/>
            <w:tcMar>
              <w:top w:w="20" w:type="nil"/>
              <w:left w:w="20" w:type="nil"/>
              <w:bottom w:w="20" w:type="nil"/>
              <w:right w:w="20" w:type="nil"/>
            </w:tcMar>
            <w:vAlign w:val="center"/>
          </w:tcPr>
          <w:p w14:paraId="1CA685B0"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936" w:type="dxa"/>
            <w:tcMar>
              <w:top w:w="20" w:type="nil"/>
              <w:left w:w="20" w:type="nil"/>
              <w:bottom w:w="20" w:type="nil"/>
              <w:right w:w="20" w:type="nil"/>
            </w:tcMar>
            <w:vAlign w:val="center"/>
          </w:tcPr>
          <w:p w14:paraId="3B637C3E"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(0.005)</w:t>
            </w:r>
          </w:p>
        </w:tc>
        <w:tc>
          <w:tcPr>
            <w:tcW w:w="1428" w:type="dxa"/>
            <w:tcMar>
              <w:top w:w="20" w:type="nil"/>
              <w:left w:w="20" w:type="nil"/>
              <w:bottom w:w="20" w:type="nil"/>
              <w:right w:w="20" w:type="nil"/>
            </w:tcMar>
            <w:vAlign w:val="center"/>
          </w:tcPr>
          <w:p w14:paraId="72A21F0D"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(0.127)</w:t>
            </w:r>
          </w:p>
        </w:tc>
        <w:tc>
          <w:tcPr>
            <w:tcW w:w="1404" w:type="dxa"/>
            <w:tcMar>
              <w:top w:w="20" w:type="nil"/>
              <w:left w:w="20" w:type="nil"/>
              <w:bottom w:w="20" w:type="nil"/>
              <w:right w:w="20" w:type="nil"/>
            </w:tcMar>
            <w:vAlign w:val="center"/>
          </w:tcPr>
          <w:p w14:paraId="508E2F55"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(0.130)</w:t>
            </w:r>
          </w:p>
        </w:tc>
        <w:tc>
          <w:tcPr>
            <w:tcW w:w="1152" w:type="dxa"/>
            <w:tcMar>
              <w:top w:w="20" w:type="nil"/>
              <w:left w:w="20" w:type="nil"/>
              <w:bottom w:w="20" w:type="nil"/>
              <w:right w:w="20" w:type="nil"/>
            </w:tcMar>
            <w:vAlign w:val="center"/>
          </w:tcPr>
          <w:p w14:paraId="79BAA23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(0.270)</w:t>
            </w:r>
          </w:p>
        </w:tc>
        <w:tc>
          <w:tcPr>
            <w:tcW w:w="1053" w:type="dxa"/>
            <w:tcMar>
              <w:top w:w="20" w:type="nil"/>
              <w:left w:w="20" w:type="nil"/>
              <w:bottom w:w="20" w:type="nil"/>
              <w:right w:w="20" w:type="nil"/>
            </w:tcMar>
            <w:vAlign w:val="center"/>
          </w:tcPr>
          <w:p w14:paraId="07EE5674"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(0.270)</w:t>
            </w:r>
          </w:p>
        </w:tc>
        <w:tc>
          <w:tcPr>
            <w:tcW w:w="1334" w:type="dxa"/>
            <w:tcMar>
              <w:top w:w="20" w:type="nil"/>
              <w:left w:w="20" w:type="nil"/>
              <w:bottom w:w="20" w:type="nil"/>
              <w:right w:w="20" w:type="nil"/>
            </w:tcMar>
            <w:vAlign w:val="center"/>
          </w:tcPr>
          <w:p w14:paraId="5D77496D"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(0.196)</w:t>
            </w:r>
          </w:p>
        </w:tc>
        <w:tc>
          <w:tcPr>
            <w:tcW w:w="1059" w:type="dxa"/>
            <w:tcMar>
              <w:top w:w="20" w:type="nil"/>
              <w:left w:w="20" w:type="nil"/>
              <w:bottom w:w="20" w:type="nil"/>
              <w:right w:w="20" w:type="nil"/>
            </w:tcMar>
            <w:vAlign w:val="center"/>
          </w:tcPr>
          <w:p w14:paraId="4448B7A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(0.270)</w:t>
            </w:r>
          </w:p>
        </w:tc>
      </w:tr>
      <w:tr w:rsidR="00047ADA" w:rsidRPr="00A7356B" w14:paraId="654D39A5" w14:textId="77777777" w:rsidTr="00047ADA">
        <w:tc>
          <w:tcPr>
            <w:tcW w:w="1560" w:type="dxa"/>
            <w:gridSpan w:val="2"/>
            <w:tcMar>
              <w:top w:w="20" w:type="nil"/>
              <w:left w:w="20" w:type="nil"/>
              <w:bottom w:w="20" w:type="nil"/>
              <w:right w:w="20" w:type="nil"/>
            </w:tcMar>
            <w:vAlign w:val="center"/>
          </w:tcPr>
          <w:p w14:paraId="7584B21B"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 xml:space="preserve">Consumption </w:t>
            </w:r>
            <w:proofErr w:type="spellStart"/>
            <w:r w:rsidRPr="00A7356B">
              <w:rPr>
                <w:rFonts w:ascii="Times" w:hAnsi="Times" w:cs="Times"/>
                <w:i/>
                <w:sz w:val="16"/>
                <w:szCs w:val="16"/>
                <w:lang w:val="en-US"/>
              </w:rPr>
              <w:t>i</w:t>
            </w:r>
            <w:proofErr w:type="spellEnd"/>
          </w:p>
        </w:tc>
        <w:tc>
          <w:tcPr>
            <w:tcW w:w="936" w:type="dxa"/>
            <w:tcMar>
              <w:top w:w="20" w:type="nil"/>
              <w:left w:w="20" w:type="nil"/>
              <w:bottom w:w="20" w:type="nil"/>
              <w:right w:w="20" w:type="nil"/>
            </w:tcMar>
            <w:vAlign w:val="center"/>
          </w:tcPr>
          <w:p w14:paraId="7EB1BA81"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0.009</w:t>
            </w:r>
            <w:r w:rsidRPr="00A7356B">
              <w:rPr>
                <w:rFonts w:ascii="Times" w:hAnsi="Times" w:cs="Times"/>
                <w:sz w:val="16"/>
                <w:szCs w:val="16"/>
                <w:vertAlign w:val="superscript"/>
                <w:lang w:val="en-US"/>
              </w:rPr>
              <w:t>***</w:t>
            </w:r>
          </w:p>
        </w:tc>
        <w:tc>
          <w:tcPr>
            <w:tcW w:w="1428" w:type="dxa"/>
            <w:tcMar>
              <w:top w:w="20" w:type="nil"/>
              <w:left w:w="20" w:type="nil"/>
              <w:bottom w:w="20" w:type="nil"/>
              <w:right w:w="20" w:type="nil"/>
            </w:tcMar>
            <w:vAlign w:val="center"/>
          </w:tcPr>
          <w:p w14:paraId="034CDB15"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0.317</w:t>
            </w:r>
            <w:r w:rsidRPr="00A7356B">
              <w:rPr>
                <w:rFonts w:ascii="Times" w:hAnsi="Times" w:cs="Times"/>
                <w:sz w:val="16"/>
                <w:szCs w:val="16"/>
                <w:vertAlign w:val="superscript"/>
                <w:lang w:val="en-US"/>
              </w:rPr>
              <w:t>***</w:t>
            </w:r>
          </w:p>
        </w:tc>
        <w:tc>
          <w:tcPr>
            <w:tcW w:w="1404" w:type="dxa"/>
            <w:tcMar>
              <w:top w:w="20" w:type="nil"/>
              <w:left w:w="20" w:type="nil"/>
              <w:bottom w:w="20" w:type="nil"/>
              <w:right w:w="20" w:type="nil"/>
            </w:tcMar>
            <w:vAlign w:val="center"/>
          </w:tcPr>
          <w:p w14:paraId="367D5D9E"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0.267</w:t>
            </w:r>
            <w:r w:rsidRPr="00A7356B">
              <w:rPr>
                <w:rFonts w:ascii="Times" w:hAnsi="Times" w:cs="Times"/>
                <w:sz w:val="16"/>
                <w:szCs w:val="16"/>
                <w:vertAlign w:val="superscript"/>
                <w:lang w:val="en-US"/>
              </w:rPr>
              <w:t>***</w:t>
            </w:r>
          </w:p>
        </w:tc>
        <w:tc>
          <w:tcPr>
            <w:tcW w:w="1152" w:type="dxa"/>
            <w:tcMar>
              <w:top w:w="20" w:type="nil"/>
              <w:left w:w="20" w:type="nil"/>
              <w:bottom w:w="20" w:type="nil"/>
              <w:right w:w="20" w:type="nil"/>
            </w:tcMar>
            <w:vAlign w:val="center"/>
          </w:tcPr>
          <w:p w14:paraId="027D3798"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0.302</w:t>
            </w:r>
            <w:r w:rsidRPr="00A7356B">
              <w:rPr>
                <w:rFonts w:ascii="Times" w:hAnsi="Times" w:cs="Times"/>
                <w:sz w:val="16"/>
                <w:szCs w:val="16"/>
                <w:vertAlign w:val="superscript"/>
                <w:lang w:val="en-US"/>
              </w:rPr>
              <w:t>***</w:t>
            </w:r>
          </w:p>
        </w:tc>
        <w:tc>
          <w:tcPr>
            <w:tcW w:w="1053" w:type="dxa"/>
            <w:tcMar>
              <w:top w:w="20" w:type="nil"/>
              <w:left w:w="20" w:type="nil"/>
              <w:bottom w:w="20" w:type="nil"/>
              <w:right w:w="20" w:type="nil"/>
            </w:tcMar>
            <w:vAlign w:val="center"/>
          </w:tcPr>
          <w:p w14:paraId="18CA6763"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0.300</w:t>
            </w:r>
            <w:r w:rsidRPr="00A7356B">
              <w:rPr>
                <w:rFonts w:ascii="Times" w:hAnsi="Times" w:cs="Times"/>
                <w:sz w:val="16"/>
                <w:szCs w:val="16"/>
                <w:vertAlign w:val="superscript"/>
                <w:lang w:val="en-US"/>
              </w:rPr>
              <w:t>***</w:t>
            </w:r>
          </w:p>
        </w:tc>
        <w:tc>
          <w:tcPr>
            <w:tcW w:w="1334" w:type="dxa"/>
            <w:tcMar>
              <w:top w:w="20" w:type="nil"/>
              <w:left w:w="20" w:type="nil"/>
              <w:bottom w:w="20" w:type="nil"/>
              <w:right w:w="20" w:type="nil"/>
            </w:tcMar>
            <w:vAlign w:val="center"/>
          </w:tcPr>
          <w:p w14:paraId="27ECF80B"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0.301</w:t>
            </w:r>
            <w:r w:rsidRPr="00A7356B">
              <w:rPr>
                <w:rFonts w:ascii="Times" w:hAnsi="Times" w:cs="Times"/>
                <w:sz w:val="16"/>
                <w:szCs w:val="16"/>
                <w:vertAlign w:val="superscript"/>
                <w:lang w:val="en-US"/>
              </w:rPr>
              <w:t>***</w:t>
            </w:r>
          </w:p>
        </w:tc>
        <w:tc>
          <w:tcPr>
            <w:tcW w:w="1059" w:type="dxa"/>
            <w:tcMar>
              <w:top w:w="20" w:type="nil"/>
              <w:left w:w="20" w:type="nil"/>
              <w:bottom w:w="20" w:type="nil"/>
              <w:right w:w="20" w:type="nil"/>
            </w:tcMar>
            <w:vAlign w:val="center"/>
          </w:tcPr>
          <w:p w14:paraId="48F47585"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0.301</w:t>
            </w:r>
            <w:r w:rsidRPr="00A7356B">
              <w:rPr>
                <w:rFonts w:ascii="Times" w:hAnsi="Times" w:cs="Times"/>
                <w:sz w:val="16"/>
                <w:szCs w:val="16"/>
                <w:vertAlign w:val="superscript"/>
                <w:lang w:val="en-US"/>
              </w:rPr>
              <w:t>***</w:t>
            </w:r>
          </w:p>
        </w:tc>
      </w:tr>
      <w:tr w:rsidR="00047ADA" w:rsidRPr="00A7356B" w14:paraId="744876CB" w14:textId="77777777" w:rsidTr="00047ADA">
        <w:tc>
          <w:tcPr>
            <w:tcW w:w="1560" w:type="dxa"/>
            <w:gridSpan w:val="2"/>
            <w:tcMar>
              <w:top w:w="20" w:type="nil"/>
              <w:left w:w="20" w:type="nil"/>
              <w:bottom w:w="20" w:type="nil"/>
              <w:right w:w="20" w:type="nil"/>
            </w:tcMar>
            <w:vAlign w:val="center"/>
          </w:tcPr>
          <w:p w14:paraId="5EA94FF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936" w:type="dxa"/>
            <w:tcMar>
              <w:top w:w="20" w:type="nil"/>
              <w:left w:w="20" w:type="nil"/>
              <w:bottom w:w="20" w:type="nil"/>
              <w:right w:w="20" w:type="nil"/>
            </w:tcMar>
            <w:vAlign w:val="center"/>
          </w:tcPr>
          <w:p w14:paraId="206DE5EA"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(0.001)</w:t>
            </w:r>
          </w:p>
        </w:tc>
        <w:tc>
          <w:tcPr>
            <w:tcW w:w="1428" w:type="dxa"/>
            <w:tcMar>
              <w:top w:w="20" w:type="nil"/>
              <w:left w:w="20" w:type="nil"/>
              <w:bottom w:w="20" w:type="nil"/>
              <w:right w:w="20" w:type="nil"/>
            </w:tcMar>
            <w:vAlign w:val="center"/>
          </w:tcPr>
          <w:p w14:paraId="331A0F6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(0.017)</w:t>
            </w:r>
          </w:p>
        </w:tc>
        <w:tc>
          <w:tcPr>
            <w:tcW w:w="1404" w:type="dxa"/>
            <w:tcMar>
              <w:top w:w="20" w:type="nil"/>
              <w:left w:w="20" w:type="nil"/>
              <w:bottom w:w="20" w:type="nil"/>
              <w:right w:w="20" w:type="nil"/>
            </w:tcMar>
            <w:vAlign w:val="center"/>
          </w:tcPr>
          <w:p w14:paraId="09CDFAFA"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(0.018)</w:t>
            </w:r>
          </w:p>
        </w:tc>
        <w:tc>
          <w:tcPr>
            <w:tcW w:w="1152" w:type="dxa"/>
            <w:tcMar>
              <w:top w:w="20" w:type="nil"/>
              <w:left w:w="20" w:type="nil"/>
              <w:bottom w:w="20" w:type="nil"/>
              <w:right w:w="20" w:type="nil"/>
            </w:tcMar>
            <w:vAlign w:val="center"/>
          </w:tcPr>
          <w:p w14:paraId="3E21F567"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(0.020)</w:t>
            </w:r>
          </w:p>
        </w:tc>
        <w:tc>
          <w:tcPr>
            <w:tcW w:w="1053" w:type="dxa"/>
            <w:tcMar>
              <w:top w:w="20" w:type="nil"/>
              <w:left w:w="20" w:type="nil"/>
              <w:bottom w:w="20" w:type="nil"/>
              <w:right w:w="20" w:type="nil"/>
            </w:tcMar>
            <w:vAlign w:val="center"/>
          </w:tcPr>
          <w:p w14:paraId="37D04D2E"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(0.020)</w:t>
            </w:r>
          </w:p>
        </w:tc>
        <w:tc>
          <w:tcPr>
            <w:tcW w:w="1334" w:type="dxa"/>
            <w:tcMar>
              <w:top w:w="20" w:type="nil"/>
              <w:left w:w="20" w:type="nil"/>
              <w:bottom w:w="20" w:type="nil"/>
              <w:right w:w="20" w:type="nil"/>
            </w:tcMar>
            <w:vAlign w:val="center"/>
          </w:tcPr>
          <w:p w14:paraId="4D2DB29B"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(0.017)</w:t>
            </w:r>
          </w:p>
        </w:tc>
        <w:tc>
          <w:tcPr>
            <w:tcW w:w="1059" w:type="dxa"/>
            <w:tcMar>
              <w:top w:w="20" w:type="nil"/>
              <w:left w:w="20" w:type="nil"/>
              <w:bottom w:w="20" w:type="nil"/>
              <w:right w:w="20" w:type="nil"/>
            </w:tcMar>
            <w:vAlign w:val="center"/>
          </w:tcPr>
          <w:p w14:paraId="6D29B66D"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(0.020)</w:t>
            </w:r>
          </w:p>
        </w:tc>
      </w:tr>
      <w:tr w:rsidR="00047ADA" w:rsidRPr="00A7356B" w14:paraId="7099DD53" w14:textId="77777777" w:rsidTr="00047ADA">
        <w:tc>
          <w:tcPr>
            <w:tcW w:w="1560" w:type="dxa"/>
            <w:gridSpan w:val="2"/>
            <w:tcMar>
              <w:top w:w="20" w:type="nil"/>
              <w:left w:w="20" w:type="nil"/>
              <w:bottom w:w="20" w:type="nil"/>
              <w:right w:w="20" w:type="nil"/>
            </w:tcMar>
            <w:vAlign w:val="center"/>
          </w:tcPr>
          <w:p w14:paraId="1B024C0D"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 xml:space="preserve">Remoteness </w:t>
            </w:r>
            <m:oMath>
              <m:r>
                <w:rPr>
                  <w:rFonts w:ascii="Cambria Math" w:hAnsi="Cambria Math" w:cs="Times"/>
                  <w:sz w:val="16"/>
                  <w:szCs w:val="16"/>
                  <w:lang w:val="en-US"/>
                </w:rPr>
                <m:t>i</m:t>
              </m:r>
            </m:oMath>
          </w:p>
        </w:tc>
        <w:tc>
          <w:tcPr>
            <w:tcW w:w="936" w:type="dxa"/>
            <w:tcMar>
              <w:top w:w="20" w:type="nil"/>
              <w:left w:w="20" w:type="nil"/>
              <w:bottom w:w="20" w:type="nil"/>
              <w:right w:w="20" w:type="nil"/>
            </w:tcMar>
            <w:vAlign w:val="center"/>
          </w:tcPr>
          <w:p w14:paraId="422C3D67"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-0.003</w:t>
            </w:r>
            <w:r w:rsidRPr="00A7356B">
              <w:rPr>
                <w:rFonts w:ascii="Times" w:hAnsi="Times" w:cs="Times"/>
                <w:sz w:val="16"/>
                <w:szCs w:val="16"/>
                <w:vertAlign w:val="superscript"/>
                <w:lang w:val="en-US"/>
              </w:rPr>
              <w:t>**</w:t>
            </w:r>
          </w:p>
        </w:tc>
        <w:tc>
          <w:tcPr>
            <w:tcW w:w="1428" w:type="dxa"/>
            <w:tcMar>
              <w:top w:w="20" w:type="nil"/>
              <w:left w:w="20" w:type="nil"/>
              <w:bottom w:w="20" w:type="nil"/>
              <w:right w:w="20" w:type="nil"/>
            </w:tcMar>
            <w:vAlign w:val="center"/>
          </w:tcPr>
          <w:p w14:paraId="363C787A"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-0.110</w:t>
            </w:r>
            <w:r w:rsidRPr="00A7356B">
              <w:rPr>
                <w:rFonts w:ascii="Times" w:hAnsi="Times" w:cs="Times"/>
                <w:sz w:val="16"/>
                <w:szCs w:val="16"/>
                <w:vertAlign w:val="superscript"/>
                <w:lang w:val="en-US"/>
              </w:rPr>
              <w:t>***</w:t>
            </w:r>
          </w:p>
        </w:tc>
        <w:tc>
          <w:tcPr>
            <w:tcW w:w="1404" w:type="dxa"/>
            <w:tcMar>
              <w:top w:w="20" w:type="nil"/>
              <w:left w:w="20" w:type="nil"/>
              <w:bottom w:w="20" w:type="nil"/>
              <w:right w:w="20" w:type="nil"/>
            </w:tcMar>
            <w:vAlign w:val="center"/>
          </w:tcPr>
          <w:p w14:paraId="48E6B4EA"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-0.086</w:t>
            </w:r>
            <w:r w:rsidRPr="00A7356B">
              <w:rPr>
                <w:rFonts w:ascii="Times" w:hAnsi="Times" w:cs="Times"/>
                <w:sz w:val="16"/>
                <w:szCs w:val="16"/>
                <w:vertAlign w:val="superscript"/>
                <w:lang w:val="en-US"/>
              </w:rPr>
              <w:t>**</w:t>
            </w:r>
          </w:p>
        </w:tc>
        <w:tc>
          <w:tcPr>
            <w:tcW w:w="1152" w:type="dxa"/>
            <w:tcMar>
              <w:top w:w="20" w:type="nil"/>
              <w:left w:w="20" w:type="nil"/>
              <w:bottom w:w="20" w:type="nil"/>
              <w:right w:w="20" w:type="nil"/>
            </w:tcMar>
            <w:vAlign w:val="center"/>
          </w:tcPr>
          <w:p w14:paraId="55B7519E"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-0.102</w:t>
            </w:r>
            <w:r w:rsidRPr="00A7356B">
              <w:rPr>
                <w:rFonts w:ascii="Times" w:hAnsi="Times" w:cs="Times"/>
                <w:sz w:val="16"/>
                <w:szCs w:val="16"/>
                <w:vertAlign w:val="superscript"/>
                <w:lang w:val="en-US"/>
              </w:rPr>
              <w:t>**</w:t>
            </w:r>
          </w:p>
        </w:tc>
        <w:tc>
          <w:tcPr>
            <w:tcW w:w="1053" w:type="dxa"/>
            <w:tcMar>
              <w:top w:w="20" w:type="nil"/>
              <w:left w:w="20" w:type="nil"/>
              <w:bottom w:w="20" w:type="nil"/>
              <w:right w:w="20" w:type="nil"/>
            </w:tcMar>
            <w:vAlign w:val="center"/>
          </w:tcPr>
          <w:p w14:paraId="74C307B7"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-0.101</w:t>
            </w:r>
            <w:r w:rsidRPr="00A7356B">
              <w:rPr>
                <w:rFonts w:ascii="Times" w:hAnsi="Times" w:cs="Times"/>
                <w:sz w:val="16"/>
                <w:szCs w:val="16"/>
                <w:vertAlign w:val="superscript"/>
                <w:lang w:val="en-US"/>
              </w:rPr>
              <w:t>**</w:t>
            </w:r>
          </w:p>
        </w:tc>
        <w:tc>
          <w:tcPr>
            <w:tcW w:w="1334" w:type="dxa"/>
            <w:tcMar>
              <w:top w:w="20" w:type="nil"/>
              <w:left w:w="20" w:type="nil"/>
              <w:bottom w:w="20" w:type="nil"/>
              <w:right w:w="20" w:type="nil"/>
            </w:tcMar>
            <w:vAlign w:val="center"/>
          </w:tcPr>
          <w:p w14:paraId="790BF834"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-0.105</w:t>
            </w:r>
            <w:r w:rsidRPr="00A7356B">
              <w:rPr>
                <w:rFonts w:ascii="Times" w:hAnsi="Times" w:cs="Times"/>
                <w:sz w:val="16"/>
                <w:szCs w:val="16"/>
                <w:vertAlign w:val="superscript"/>
                <w:lang w:val="en-US"/>
              </w:rPr>
              <w:t>***</w:t>
            </w:r>
          </w:p>
        </w:tc>
        <w:tc>
          <w:tcPr>
            <w:tcW w:w="1059" w:type="dxa"/>
            <w:tcMar>
              <w:top w:w="20" w:type="nil"/>
              <w:left w:w="20" w:type="nil"/>
              <w:bottom w:w="20" w:type="nil"/>
              <w:right w:w="20" w:type="nil"/>
            </w:tcMar>
            <w:vAlign w:val="center"/>
          </w:tcPr>
          <w:p w14:paraId="5B3DE57D"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-0.105</w:t>
            </w:r>
            <w:r w:rsidRPr="00A7356B">
              <w:rPr>
                <w:rFonts w:ascii="Times" w:hAnsi="Times" w:cs="Times"/>
                <w:sz w:val="16"/>
                <w:szCs w:val="16"/>
                <w:vertAlign w:val="superscript"/>
                <w:lang w:val="en-US"/>
              </w:rPr>
              <w:t>***</w:t>
            </w:r>
          </w:p>
        </w:tc>
      </w:tr>
      <w:tr w:rsidR="00047ADA" w:rsidRPr="00A7356B" w14:paraId="263B7E33" w14:textId="77777777" w:rsidTr="00047ADA">
        <w:tc>
          <w:tcPr>
            <w:tcW w:w="1560" w:type="dxa"/>
            <w:gridSpan w:val="2"/>
            <w:tcMar>
              <w:top w:w="20" w:type="nil"/>
              <w:left w:w="20" w:type="nil"/>
              <w:bottom w:w="20" w:type="nil"/>
              <w:right w:w="20" w:type="nil"/>
            </w:tcMar>
            <w:vAlign w:val="center"/>
          </w:tcPr>
          <w:p w14:paraId="59CCAF17"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936" w:type="dxa"/>
            <w:tcMar>
              <w:top w:w="20" w:type="nil"/>
              <w:left w:w="20" w:type="nil"/>
              <w:bottom w:w="20" w:type="nil"/>
              <w:right w:w="20" w:type="nil"/>
            </w:tcMar>
            <w:vAlign w:val="center"/>
          </w:tcPr>
          <w:p w14:paraId="1C65DB9A"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(0.010)</w:t>
            </w:r>
          </w:p>
        </w:tc>
        <w:tc>
          <w:tcPr>
            <w:tcW w:w="1428" w:type="dxa"/>
            <w:tcMar>
              <w:top w:w="20" w:type="nil"/>
              <w:left w:w="20" w:type="nil"/>
              <w:bottom w:w="20" w:type="nil"/>
              <w:right w:w="20" w:type="nil"/>
            </w:tcMar>
            <w:vAlign w:val="center"/>
          </w:tcPr>
          <w:p w14:paraId="0AA6590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(0.038)</w:t>
            </w:r>
          </w:p>
        </w:tc>
        <w:tc>
          <w:tcPr>
            <w:tcW w:w="1404" w:type="dxa"/>
            <w:tcMar>
              <w:top w:w="20" w:type="nil"/>
              <w:left w:w="20" w:type="nil"/>
              <w:bottom w:w="20" w:type="nil"/>
              <w:right w:w="20" w:type="nil"/>
            </w:tcMar>
            <w:vAlign w:val="center"/>
          </w:tcPr>
          <w:p w14:paraId="2AB2DA62"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(0.037)</w:t>
            </w:r>
          </w:p>
        </w:tc>
        <w:tc>
          <w:tcPr>
            <w:tcW w:w="1152" w:type="dxa"/>
            <w:tcMar>
              <w:top w:w="20" w:type="nil"/>
              <w:left w:w="20" w:type="nil"/>
              <w:bottom w:w="20" w:type="nil"/>
              <w:right w:w="20" w:type="nil"/>
            </w:tcMar>
            <w:vAlign w:val="center"/>
          </w:tcPr>
          <w:p w14:paraId="2A709DD8"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(0.040)</w:t>
            </w:r>
          </w:p>
        </w:tc>
        <w:tc>
          <w:tcPr>
            <w:tcW w:w="1053" w:type="dxa"/>
            <w:tcMar>
              <w:top w:w="20" w:type="nil"/>
              <w:left w:w="20" w:type="nil"/>
              <w:bottom w:w="20" w:type="nil"/>
              <w:right w:w="20" w:type="nil"/>
            </w:tcMar>
            <w:vAlign w:val="center"/>
          </w:tcPr>
          <w:p w14:paraId="3D6442CF"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(0.040)</w:t>
            </w:r>
          </w:p>
        </w:tc>
        <w:tc>
          <w:tcPr>
            <w:tcW w:w="1334" w:type="dxa"/>
            <w:tcMar>
              <w:top w:w="20" w:type="nil"/>
              <w:left w:w="20" w:type="nil"/>
              <w:bottom w:w="20" w:type="nil"/>
              <w:right w:w="20" w:type="nil"/>
            </w:tcMar>
            <w:vAlign w:val="center"/>
          </w:tcPr>
          <w:p w14:paraId="4A63C2C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(0.038)</w:t>
            </w:r>
          </w:p>
        </w:tc>
        <w:tc>
          <w:tcPr>
            <w:tcW w:w="1059" w:type="dxa"/>
            <w:tcMar>
              <w:top w:w="20" w:type="nil"/>
              <w:left w:w="20" w:type="nil"/>
              <w:bottom w:w="20" w:type="nil"/>
              <w:right w:w="20" w:type="nil"/>
            </w:tcMar>
            <w:vAlign w:val="center"/>
          </w:tcPr>
          <w:p w14:paraId="70346CB6"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(0.040)</w:t>
            </w:r>
          </w:p>
        </w:tc>
      </w:tr>
      <w:tr w:rsidR="00047ADA" w:rsidRPr="00A7356B" w14:paraId="5BC0FB79" w14:textId="77777777" w:rsidTr="00047ADA">
        <w:tc>
          <w:tcPr>
            <w:tcW w:w="1560" w:type="dxa"/>
            <w:gridSpan w:val="2"/>
            <w:tcMar>
              <w:top w:w="20" w:type="nil"/>
              <w:left w:w="20" w:type="nil"/>
              <w:bottom w:w="20" w:type="nil"/>
              <w:right w:w="20" w:type="nil"/>
            </w:tcMar>
            <w:vAlign w:val="center"/>
          </w:tcPr>
          <w:p w14:paraId="53653C93"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Exch. Rate</w:t>
            </w:r>
            <w:r w:rsidRPr="00A7356B">
              <w:rPr>
                <w:rFonts w:ascii="Times" w:hAnsi="Times" w:cs="Times"/>
                <w:i/>
                <w:sz w:val="16"/>
                <w:szCs w:val="16"/>
                <w:lang w:val="en-US"/>
              </w:rPr>
              <w:t xml:space="preserve"> </w:t>
            </w:r>
            <m:oMath>
              <m:r>
                <w:rPr>
                  <w:rFonts w:ascii="Cambria Math" w:hAnsi="Cambria Math" w:cs="Times"/>
                  <w:sz w:val="16"/>
                  <w:szCs w:val="16"/>
                  <w:lang w:val="en-US"/>
                </w:rPr>
                <m:t>i</m:t>
              </m:r>
            </m:oMath>
          </w:p>
        </w:tc>
        <w:tc>
          <w:tcPr>
            <w:tcW w:w="936" w:type="dxa"/>
            <w:tcMar>
              <w:top w:w="20" w:type="nil"/>
              <w:left w:w="20" w:type="nil"/>
              <w:bottom w:w="20" w:type="nil"/>
              <w:right w:w="20" w:type="nil"/>
            </w:tcMar>
            <w:vAlign w:val="center"/>
          </w:tcPr>
          <w:p w14:paraId="6DD1A945"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0.008</w:t>
            </w:r>
            <w:r w:rsidRPr="00A7356B">
              <w:rPr>
                <w:rFonts w:ascii="Times" w:hAnsi="Times" w:cs="Times"/>
                <w:sz w:val="16"/>
                <w:szCs w:val="16"/>
                <w:vertAlign w:val="superscript"/>
                <w:lang w:val="en-US"/>
              </w:rPr>
              <w:t>***</w:t>
            </w:r>
          </w:p>
        </w:tc>
        <w:tc>
          <w:tcPr>
            <w:tcW w:w="1428" w:type="dxa"/>
            <w:tcMar>
              <w:top w:w="20" w:type="nil"/>
              <w:left w:w="20" w:type="nil"/>
              <w:bottom w:w="20" w:type="nil"/>
              <w:right w:w="20" w:type="nil"/>
            </w:tcMar>
            <w:vAlign w:val="center"/>
          </w:tcPr>
          <w:p w14:paraId="1F579C0D"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-0.075</w:t>
            </w:r>
            <w:r w:rsidRPr="00A7356B">
              <w:rPr>
                <w:rFonts w:ascii="Times" w:hAnsi="Times" w:cs="Times"/>
                <w:sz w:val="16"/>
                <w:szCs w:val="16"/>
                <w:vertAlign w:val="superscript"/>
                <w:lang w:val="en-US"/>
              </w:rPr>
              <w:t>***</w:t>
            </w:r>
          </w:p>
        </w:tc>
        <w:tc>
          <w:tcPr>
            <w:tcW w:w="1404" w:type="dxa"/>
            <w:tcMar>
              <w:top w:w="20" w:type="nil"/>
              <w:left w:w="20" w:type="nil"/>
              <w:bottom w:w="20" w:type="nil"/>
              <w:right w:w="20" w:type="nil"/>
            </w:tcMar>
            <w:vAlign w:val="center"/>
          </w:tcPr>
          <w:p w14:paraId="7F0A6C6B"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-0.111</w:t>
            </w:r>
            <w:r w:rsidRPr="00A7356B">
              <w:rPr>
                <w:rFonts w:ascii="Times" w:hAnsi="Times" w:cs="Times"/>
                <w:sz w:val="16"/>
                <w:szCs w:val="16"/>
                <w:vertAlign w:val="superscript"/>
                <w:lang w:val="en-US"/>
              </w:rPr>
              <w:t>***</w:t>
            </w:r>
          </w:p>
        </w:tc>
        <w:tc>
          <w:tcPr>
            <w:tcW w:w="1152" w:type="dxa"/>
            <w:tcMar>
              <w:top w:w="20" w:type="nil"/>
              <w:left w:w="20" w:type="nil"/>
              <w:bottom w:w="20" w:type="nil"/>
              <w:right w:w="20" w:type="nil"/>
            </w:tcMar>
            <w:vAlign w:val="center"/>
          </w:tcPr>
          <w:p w14:paraId="4DEE52EF"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-0.066</w:t>
            </w:r>
            <w:r w:rsidRPr="00A7356B">
              <w:rPr>
                <w:rFonts w:ascii="Times" w:hAnsi="Times" w:cs="Times"/>
                <w:sz w:val="16"/>
                <w:szCs w:val="16"/>
                <w:vertAlign w:val="superscript"/>
                <w:lang w:val="en-US"/>
              </w:rPr>
              <w:t>***</w:t>
            </w:r>
          </w:p>
        </w:tc>
        <w:tc>
          <w:tcPr>
            <w:tcW w:w="1053" w:type="dxa"/>
            <w:tcMar>
              <w:top w:w="20" w:type="nil"/>
              <w:left w:w="20" w:type="nil"/>
              <w:bottom w:w="20" w:type="nil"/>
              <w:right w:w="20" w:type="nil"/>
            </w:tcMar>
            <w:vAlign w:val="center"/>
          </w:tcPr>
          <w:p w14:paraId="4AF083A6"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-0.071</w:t>
            </w:r>
            <w:r w:rsidRPr="00A7356B">
              <w:rPr>
                <w:rFonts w:ascii="Times" w:hAnsi="Times" w:cs="Times"/>
                <w:sz w:val="16"/>
                <w:szCs w:val="16"/>
                <w:vertAlign w:val="superscript"/>
                <w:lang w:val="en-US"/>
              </w:rPr>
              <w:t>***</w:t>
            </w:r>
          </w:p>
        </w:tc>
        <w:tc>
          <w:tcPr>
            <w:tcW w:w="1334" w:type="dxa"/>
            <w:tcMar>
              <w:top w:w="20" w:type="nil"/>
              <w:left w:w="20" w:type="nil"/>
              <w:bottom w:w="20" w:type="nil"/>
              <w:right w:w="20" w:type="nil"/>
            </w:tcMar>
            <w:vAlign w:val="center"/>
          </w:tcPr>
          <w:p w14:paraId="07F75591"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-0.072</w:t>
            </w:r>
            <w:r w:rsidRPr="00A7356B">
              <w:rPr>
                <w:rFonts w:ascii="Times" w:hAnsi="Times" w:cs="Times"/>
                <w:sz w:val="16"/>
                <w:szCs w:val="16"/>
                <w:vertAlign w:val="superscript"/>
                <w:lang w:val="en-US"/>
              </w:rPr>
              <w:t>***</w:t>
            </w:r>
          </w:p>
        </w:tc>
        <w:tc>
          <w:tcPr>
            <w:tcW w:w="1059" w:type="dxa"/>
            <w:tcMar>
              <w:top w:w="20" w:type="nil"/>
              <w:left w:w="20" w:type="nil"/>
              <w:bottom w:w="20" w:type="nil"/>
              <w:right w:w="20" w:type="nil"/>
            </w:tcMar>
            <w:vAlign w:val="center"/>
          </w:tcPr>
          <w:p w14:paraId="369A627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-0.072</w:t>
            </w:r>
            <w:r w:rsidRPr="00A7356B">
              <w:rPr>
                <w:rFonts w:ascii="Times" w:hAnsi="Times" w:cs="Times"/>
                <w:sz w:val="16"/>
                <w:szCs w:val="16"/>
                <w:vertAlign w:val="superscript"/>
                <w:lang w:val="en-US"/>
              </w:rPr>
              <w:t>***</w:t>
            </w:r>
          </w:p>
        </w:tc>
      </w:tr>
      <w:tr w:rsidR="00047ADA" w:rsidRPr="00A7356B" w14:paraId="1CFA5A4A" w14:textId="77777777" w:rsidTr="00047ADA">
        <w:tc>
          <w:tcPr>
            <w:tcW w:w="1560" w:type="dxa"/>
            <w:gridSpan w:val="2"/>
            <w:tcMar>
              <w:top w:w="20" w:type="nil"/>
              <w:left w:w="20" w:type="nil"/>
              <w:bottom w:w="20" w:type="nil"/>
              <w:right w:w="20" w:type="nil"/>
            </w:tcMar>
            <w:vAlign w:val="center"/>
          </w:tcPr>
          <w:p w14:paraId="157C354A"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936" w:type="dxa"/>
            <w:tcMar>
              <w:top w:w="20" w:type="nil"/>
              <w:left w:w="20" w:type="nil"/>
              <w:bottom w:w="20" w:type="nil"/>
              <w:right w:w="20" w:type="nil"/>
            </w:tcMar>
            <w:vAlign w:val="center"/>
          </w:tcPr>
          <w:p w14:paraId="591513AD"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(0.001)</w:t>
            </w:r>
          </w:p>
        </w:tc>
        <w:tc>
          <w:tcPr>
            <w:tcW w:w="1428" w:type="dxa"/>
            <w:tcMar>
              <w:top w:w="20" w:type="nil"/>
              <w:left w:w="20" w:type="nil"/>
              <w:bottom w:w="20" w:type="nil"/>
              <w:right w:w="20" w:type="nil"/>
            </w:tcMar>
            <w:vAlign w:val="center"/>
          </w:tcPr>
          <w:p w14:paraId="18A0ABBE"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(0.014)</w:t>
            </w:r>
          </w:p>
        </w:tc>
        <w:tc>
          <w:tcPr>
            <w:tcW w:w="1404" w:type="dxa"/>
            <w:tcMar>
              <w:top w:w="20" w:type="nil"/>
              <w:left w:w="20" w:type="nil"/>
              <w:bottom w:w="20" w:type="nil"/>
              <w:right w:w="20" w:type="nil"/>
            </w:tcMar>
            <w:vAlign w:val="center"/>
          </w:tcPr>
          <w:p w14:paraId="66E94DF8"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(0.015)</w:t>
            </w:r>
          </w:p>
        </w:tc>
        <w:tc>
          <w:tcPr>
            <w:tcW w:w="1152" w:type="dxa"/>
            <w:tcMar>
              <w:top w:w="20" w:type="nil"/>
              <w:left w:w="20" w:type="nil"/>
              <w:bottom w:w="20" w:type="nil"/>
              <w:right w:w="20" w:type="nil"/>
            </w:tcMar>
            <w:vAlign w:val="center"/>
          </w:tcPr>
          <w:p w14:paraId="1F611AE8"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(0.014)</w:t>
            </w:r>
          </w:p>
        </w:tc>
        <w:tc>
          <w:tcPr>
            <w:tcW w:w="1053" w:type="dxa"/>
            <w:tcMar>
              <w:top w:w="20" w:type="nil"/>
              <w:left w:w="20" w:type="nil"/>
              <w:bottom w:w="20" w:type="nil"/>
              <w:right w:w="20" w:type="nil"/>
            </w:tcMar>
            <w:vAlign w:val="center"/>
          </w:tcPr>
          <w:p w14:paraId="6B51FAC3"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(0.014)</w:t>
            </w:r>
          </w:p>
        </w:tc>
        <w:tc>
          <w:tcPr>
            <w:tcW w:w="1334" w:type="dxa"/>
            <w:tcMar>
              <w:top w:w="20" w:type="nil"/>
              <w:left w:w="20" w:type="nil"/>
              <w:bottom w:w="20" w:type="nil"/>
              <w:right w:w="20" w:type="nil"/>
            </w:tcMar>
            <w:vAlign w:val="center"/>
          </w:tcPr>
          <w:p w14:paraId="430E0BCB"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(0.014)</w:t>
            </w:r>
          </w:p>
        </w:tc>
        <w:tc>
          <w:tcPr>
            <w:tcW w:w="1059" w:type="dxa"/>
            <w:tcMar>
              <w:top w:w="20" w:type="nil"/>
              <w:left w:w="20" w:type="nil"/>
              <w:bottom w:w="20" w:type="nil"/>
              <w:right w:w="20" w:type="nil"/>
            </w:tcMar>
            <w:vAlign w:val="center"/>
          </w:tcPr>
          <w:p w14:paraId="0CE73574"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(0.014)</w:t>
            </w:r>
          </w:p>
        </w:tc>
      </w:tr>
      <w:tr w:rsidR="00047ADA" w:rsidRPr="00A7356B" w14:paraId="3224931F" w14:textId="77777777" w:rsidTr="00047ADA">
        <w:tc>
          <w:tcPr>
            <w:tcW w:w="1560" w:type="dxa"/>
            <w:gridSpan w:val="2"/>
            <w:tcMar>
              <w:top w:w="20" w:type="nil"/>
              <w:left w:w="20" w:type="nil"/>
              <w:bottom w:w="20" w:type="nil"/>
              <w:right w:w="20" w:type="nil"/>
            </w:tcMar>
            <w:vAlign w:val="center"/>
          </w:tcPr>
          <w:p w14:paraId="4B6696B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 xml:space="preserve">Landlocked </w:t>
            </w:r>
            <w:proofErr w:type="spellStart"/>
            <w:r w:rsidRPr="00A7356B">
              <w:rPr>
                <w:rFonts w:ascii="Times" w:hAnsi="Times" w:cs="Times"/>
                <w:i/>
                <w:sz w:val="16"/>
                <w:szCs w:val="16"/>
                <w:lang w:val="en-US"/>
              </w:rPr>
              <w:t>i</w:t>
            </w:r>
            <w:proofErr w:type="spellEnd"/>
          </w:p>
        </w:tc>
        <w:tc>
          <w:tcPr>
            <w:tcW w:w="936" w:type="dxa"/>
            <w:tcMar>
              <w:top w:w="20" w:type="nil"/>
              <w:left w:w="20" w:type="nil"/>
              <w:bottom w:w="20" w:type="nil"/>
              <w:right w:w="20" w:type="nil"/>
            </w:tcMar>
            <w:vAlign w:val="center"/>
          </w:tcPr>
          <w:p w14:paraId="39B17992"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0.010</w:t>
            </w:r>
            <w:r w:rsidRPr="00A7356B">
              <w:rPr>
                <w:rFonts w:ascii="Times" w:hAnsi="Times" w:cs="Times"/>
                <w:sz w:val="16"/>
                <w:szCs w:val="16"/>
                <w:vertAlign w:val="superscript"/>
                <w:lang w:val="en-US"/>
              </w:rPr>
              <w:t>*</w:t>
            </w:r>
          </w:p>
        </w:tc>
        <w:tc>
          <w:tcPr>
            <w:tcW w:w="1428" w:type="dxa"/>
            <w:tcMar>
              <w:top w:w="20" w:type="nil"/>
              <w:left w:w="20" w:type="nil"/>
              <w:bottom w:w="20" w:type="nil"/>
              <w:right w:w="20" w:type="nil"/>
            </w:tcMar>
            <w:vAlign w:val="center"/>
          </w:tcPr>
          <w:p w14:paraId="6891B69F"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-0.623</w:t>
            </w:r>
            <w:r w:rsidRPr="00A7356B">
              <w:rPr>
                <w:rFonts w:ascii="Times" w:hAnsi="Times" w:cs="Times"/>
                <w:sz w:val="16"/>
                <w:szCs w:val="16"/>
                <w:vertAlign w:val="superscript"/>
                <w:lang w:val="en-US"/>
              </w:rPr>
              <w:t>***</w:t>
            </w:r>
          </w:p>
        </w:tc>
        <w:tc>
          <w:tcPr>
            <w:tcW w:w="1404" w:type="dxa"/>
            <w:tcMar>
              <w:top w:w="20" w:type="nil"/>
              <w:left w:w="20" w:type="nil"/>
              <w:bottom w:w="20" w:type="nil"/>
              <w:right w:w="20" w:type="nil"/>
            </w:tcMar>
            <w:vAlign w:val="center"/>
          </w:tcPr>
          <w:p w14:paraId="3917D0C6"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-0.573</w:t>
            </w:r>
            <w:r w:rsidRPr="00A7356B">
              <w:rPr>
                <w:rFonts w:ascii="Times" w:hAnsi="Times" w:cs="Times"/>
                <w:sz w:val="16"/>
                <w:szCs w:val="16"/>
                <w:vertAlign w:val="superscript"/>
                <w:lang w:val="en-US"/>
              </w:rPr>
              <w:t>***</w:t>
            </w:r>
          </w:p>
        </w:tc>
        <w:tc>
          <w:tcPr>
            <w:tcW w:w="1152" w:type="dxa"/>
            <w:tcMar>
              <w:top w:w="20" w:type="nil"/>
              <w:left w:w="20" w:type="nil"/>
              <w:bottom w:w="20" w:type="nil"/>
              <w:right w:w="20" w:type="nil"/>
            </w:tcMar>
            <w:vAlign w:val="center"/>
          </w:tcPr>
          <w:p w14:paraId="61B0FBB1"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-0.589</w:t>
            </w:r>
            <w:r w:rsidRPr="00A7356B">
              <w:rPr>
                <w:rFonts w:ascii="Times" w:hAnsi="Times" w:cs="Times"/>
                <w:sz w:val="16"/>
                <w:szCs w:val="16"/>
                <w:vertAlign w:val="superscript"/>
                <w:lang w:val="en-US"/>
              </w:rPr>
              <w:t>***</w:t>
            </w:r>
          </w:p>
        </w:tc>
        <w:tc>
          <w:tcPr>
            <w:tcW w:w="1053" w:type="dxa"/>
            <w:tcMar>
              <w:top w:w="20" w:type="nil"/>
              <w:left w:w="20" w:type="nil"/>
              <w:bottom w:w="20" w:type="nil"/>
              <w:right w:w="20" w:type="nil"/>
            </w:tcMar>
            <w:vAlign w:val="center"/>
          </w:tcPr>
          <w:p w14:paraId="5DB4A53E"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-0.604</w:t>
            </w:r>
            <w:r w:rsidRPr="00A7356B">
              <w:rPr>
                <w:rFonts w:ascii="Times" w:hAnsi="Times" w:cs="Times"/>
                <w:sz w:val="16"/>
                <w:szCs w:val="16"/>
                <w:vertAlign w:val="superscript"/>
                <w:lang w:val="en-US"/>
              </w:rPr>
              <w:t>***</w:t>
            </w:r>
          </w:p>
        </w:tc>
        <w:tc>
          <w:tcPr>
            <w:tcW w:w="1334" w:type="dxa"/>
            <w:tcMar>
              <w:top w:w="20" w:type="nil"/>
              <w:left w:w="20" w:type="nil"/>
              <w:bottom w:w="20" w:type="nil"/>
              <w:right w:w="20" w:type="nil"/>
            </w:tcMar>
            <w:vAlign w:val="center"/>
          </w:tcPr>
          <w:p w14:paraId="7634239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-0.607</w:t>
            </w:r>
            <w:r w:rsidRPr="00A7356B">
              <w:rPr>
                <w:rFonts w:ascii="Times" w:hAnsi="Times" w:cs="Times"/>
                <w:sz w:val="16"/>
                <w:szCs w:val="16"/>
                <w:vertAlign w:val="superscript"/>
                <w:lang w:val="en-US"/>
              </w:rPr>
              <w:t>***</w:t>
            </w:r>
          </w:p>
        </w:tc>
        <w:tc>
          <w:tcPr>
            <w:tcW w:w="1059" w:type="dxa"/>
            <w:tcMar>
              <w:top w:w="20" w:type="nil"/>
              <w:left w:w="20" w:type="nil"/>
              <w:bottom w:w="20" w:type="nil"/>
              <w:right w:w="20" w:type="nil"/>
            </w:tcMar>
            <w:vAlign w:val="center"/>
          </w:tcPr>
          <w:p w14:paraId="494689E3"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-0.607</w:t>
            </w:r>
            <w:r w:rsidRPr="00A7356B">
              <w:rPr>
                <w:rFonts w:ascii="Times" w:hAnsi="Times" w:cs="Times"/>
                <w:sz w:val="16"/>
                <w:szCs w:val="16"/>
                <w:vertAlign w:val="superscript"/>
                <w:lang w:val="en-US"/>
              </w:rPr>
              <w:t>***</w:t>
            </w:r>
          </w:p>
        </w:tc>
      </w:tr>
      <w:tr w:rsidR="00047ADA" w:rsidRPr="00A7356B" w14:paraId="065DDB14" w14:textId="77777777" w:rsidTr="00047ADA">
        <w:tc>
          <w:tcPr>
            <w:tcW w:w="1560" w:type="dxa"/>
            <w:gridSpan w:val="2"/>
            <w:tcMar>
              <w:top w:w="20" w:type="nil"/>
              <w:left w:w="20" w:type="nil"/>
              <w:bottom w:w="20" w:type="nil"/>
              <w:right w:w="20" w:type="nil"/>
            </w:tcMar>
            <w:vAlign w:val="center"/>
          </w:tcPr>
          <w:p w14:paraId="402CD4F1"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936" w:type="dxa"/>
            <w:tcMar>
              <w:top w:w="20" w:type="nil"/>
              <w:left w:w="20" w:type="nil"/>
              <w:bottom w:w="20" w:type="nil"/>
              <w:right w:w="20" w:type="nil"/>
            </w:tcMar>
            <w:vAlign w:val="center"/>
          </w:tcPr>
          <w:p w14:paraId="12F202B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(0.006)</w:t>
            </w:r>
          </w:p>
        </w:tc>
        <w:tc>
          <w:tcPr>
            <w:tcW w:w="1428" w:type="dxa"/>
            <w:tcMar>
              <w:top w:w="20" w:type="nil"/>
              <w:left w:w="20" w:type="nil"/>
              <w:bottom w:w="20" w:type="nil"/>
              <w:right w:w="20" w:type="nil"/>
            </w:tcMar>
            <w:vAlign w:val="center"/>
          </w:tcPr>
          <w:p w14:paraId="695FB053"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(0.116)</w:t>
            </w:r>
          </w:p>
        </w:tc>
        <w:tc>
          <w:tcPr>
            <w:tcW w:w="1404" w:type="dxa"/>
            <w:tcMar>
              <w:top w:w="20" w:type="nil"/>
              <w:left w:w="20" w:type="nil"/>
              <w:bottom w:w="20" w:type="nil"/>
              <w:right w:w="20" w:type="nil"/>
            </w:tcMar>
            <w:vAlign w:val="center"/>
          </w:tcPr>
          <w:p w14:paraId="16FC4BAD"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(0.116)</w:t>
            </w:r>
          </w:p>
        </w:tc>
        <w:tc>
          <w:tcPr>
            <w:tcW w:w="1152" w:type="dxa"/>
            <w:tcMar>
              <w:top w:w="20" w:type="nil"/>
              <w:left w:w="20" w:type="nil"/>
              <w:bottom w:w="20" w:type="nil"/>
              <w:right w:w="20" w:type="nil"/>
            </w:tcMar>
            <w:vAlign w:val="center"/>
          </w:tcPr>
          <w:p w14:paraId="67EFF86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(0.117)</w:t>
            </w:r>
          </w:p>
        </w:tc>
        <w:tc>
          <w:tcPr>
            <w:tcW w:w="1053" w:type="dxa"/>
            <w:tcMar>
              <w:top w:w="20" w:type="nil"/>
              <w:left w:w="20" w:type="nil"/>
              <w:bottom w:w="20" w:type="nil"/>
              <w:right w:w="20" w:type="nil"/>
            </w:tcMar>
            <w:vAlign w:val="center"/>
          </w:tcPr>
          <w:p w14:paraId="7C1A397F"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(0.117)</w:t>
            </w:r>
          </w:p>
        </w:tc>
        <w:tc>
          <w:tcPr>
            <w:tcW w:w="1334" w:type="dxa"/>
            <w:tcMar>
              <w:top w:w="20" w:type="nil"/>
              <w:left w:w="20" w:type="nil"/>
              <w:bottom w:w="20" w:type="nil"/>
              <w:right w:w="20" w:type="nil"/>
            </w:tcMar>
            <w:vAlign w:val="center"/>
          </w:tcPr>
          <w:p w14:paraId="151CBD6B"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(0.118)</w:t>
            </w:r>
          </w:p>
        </w:tc>
        <w:tc>
          <w:tcPr>
            <w:tcW w:w="1059" w:type="dxa"/>
            <w:tcMar>
              <w:top w:w="20" w:type="nil"/>
              <w:left w:w="20" w:type="nil"/>
              <w:bottom w:w="20" w:type="nil"/>
              <w:right w:w="20" w:type="nil"/>
            </w:tcMar>
            <w:vAlign w:val="center"/>
          </w:tcPr>
          <w:p w14:paraId="0A9B6427"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(0.117)</w:t>
            </w:r>
          </w:p>
        </w:tc>
      </w:tr>
      <w:tr w:rsidR="00047ADA" w:rsidRPr="00A7356B" w14:paraId="589C0A26" w14:textId="77777777" w:rsidTr="00047ADA">
        <w:tc>
          <w:tcPr>
            <w:tcW w:w="1560" w:type="dxa"/>
            <w:gridSpan w:val="2"/>
            <w:tcMar>
              <w:top w:w="20" w:type="nil"/>
              <w:left w:w="20" w:type="nil"/>
              <w:bottom w:w="20" w:type="nil"/>
              <w:right w:w="20" w:type="nil"/>
            </w:tcMar>
            <w:vAlign w:val="center"/>
          </w:tcPr>
          <w:p w14:paraId="59AA3680"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 xml:space="preserve">Other Goods </w:t>
            </w:r>
            <m:oMath>
              <m:r>
                <w:rPr>
                  <w:rFonts w:ascii="Cambria Math" w:hAnsi="Cambria Math" w:cs="Times"/>
                  <w:sz w:val="16"/>
                  <w:szCs w:val="16"/>
                  <w:lang w:val="en-US"/>
                </w:rPr>
                <m:t>i</m:t>
              </m:r>
            </m:oMath>
          </w:p>
        </w:tc>
        <w:tc>
          <w:tcPr>
            <w:tcW w:w="936" w:type="dxa"/>
            <w:tcMar>
              <w:top w:w="20" w:type="nil"/>
              <w:left w:w="20" w:type="nil"/>
              <w:bottom w:w="20" w:type="nil"/>
              <w:right w:w="20" w:type="nil"/>
            </w:tcMar>
            <w:vAlign w:val="center"/>
          </w:tcPr>
          <w:p w14:paraId="71F9BB17"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0.028</w:t>
            </w:r>
            <w:r w:rsidRPr="00A7356B">
              <w:rPr>
                <w:rFonts w:ascii="Times" w:hAnsi="Times" w:cs="Times"/>
                <w:sz w:val="16"/>
                <w:szCs w:val="16"/>
                <w:vertAlign w:val="superscript"/>
                <w:lang w:val="en-US"/>
              </w:rPr>
              <w:t>***</w:t>
            </w:r>
          </w:p>
        </w:tc>
        <w:tc>
          <w:tcPr>
            <w:tcW w:w="1428" w:type="dxa"/>
            <w:tcMar>
              <w:top w:w="20" w:type="nil"/>
              <w:left w:w="20" w:type="nil"/>
              <w:bottom w:w="20" w:type="nil"/>
              <w:right w:w="20" w:type="nil"/>
            </w:tcMar>
            <w:vAlign w:val="center"/>
          </w:tcPr>
          <w:p w14:paraId="148B6575"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0.162</w:t>
            </w:r>
            <w:r w:rsidRPr="00A7356B">
              <w:rPr>
                <w:rFonts w:ascii="Times" w:hAnsi="Times" w:cs="Times"/>
                <w:sz w:val="16"/>
                <w:szCs w:val="16"/>
                <w:vertAlign w:val="superscript"/>
                <w:lang w:val="en-US"/>
              </w:rPr>
              <w:t>***</w:t>
            </w:r>
          </w:p>
        </w:tc>
        <w:tc>
          <w:tcPr>
            <w:tcW w:w="1404" w:type="dxa"/>
            <w:tcMar>
              <w:top w:w="20" w:type="nil"/>
              <w:left w:w="20" w:type="nil"/>
              <w:bottom w:w="20" w:type="nil"/>
              <w:right w:w="20" w:type="nil"/>
            </w:tcMar>
            <w:vAlign w:val="center"/>
          </w:tcPr>
          <w:p w14:paraId="42BFF5F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0.060</w:t>
            </w:r>
            <w:r w:rsidRPr="00A7356B">
              <w:rPr>
                <w:rFonts w:ascii="Times" w:hAnsi="Times" w:cs="Times"/>
                <w:sz w:val="16"/>
                <w:szCs w:val="16"/>
                <w:vertAlign w:val="superscript"/>
                <w:lang w:val="en-US"/>
              </w:rPr>
              <w:t>**</w:t>
            </w:r>
          </w:p>
        </w:tc>
        <w:tc>
          <w:tcPr>
            <w:tcW w:w="1152" w:type="dxa"/>
            <w:tcMar>
              <w:top w:w="20" w:type="nil"/>
              <w:left w:w="20" w:type="nil"/>
              <w:bottom w:w="20" w:type="nil"/>
              <w:right w:w="20" w:type="nil"/>
            </w:tcMar>
            <w:vAlign w:val="center"/>
          </w:tcPr>
          <w:p w14:paraId="594C1B56"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0.217</w:t>
            </w:r>
            <w:r w:rsidRPr="00A7356B">
              <w:rPr>
                <w:rFonts w:ascii="Times" w:hAnsi="Times" w:cs="Times"/>
                <w:sz w:val="16"/>
                <w:szCs w:val="16"/>
                <w:vertAlign w:val="superscript"/>
                <w:lang w:val="en-US"/>
              </w:rPr>
              <w:t>***</w:t>
            </w:r>
          </w:p>
        </w:tc>
        <w:tc>
          <w:tcPr>
            <w:tcW w:w="1053" w:type="dxa"/>
            <w:tcMar>
              <w:top w:w="20" w:type="nil"/>
              <w:left w:w="20" w:type="nil"/>
              <w:bottom w:w="20" w:type="nil"/>
              <w:right w:w="20" w:type="nil"/>
            </w:tcMar>
            <w:vAlign w:val="center"/>
          </w:tcPr>
          <w:p w14:paraId="57C18FD4"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0.213</w:t>
            </w:r>
            <w:r w:rsidRPr="00A7356B">
              <w:rPr>
                <w:rFonts w:ascii="Times" w:hAnsi="Times" w:cs="Times"/>
                <w:sz w:val="16"/>
                <w:szCs w:val="16"/>
                <w:vertAlign w:val="superscript"/>
                <w:lang w:val="en-US"/>
              </w:rPr>
              <w:t>***</w:t>
            </w:r>
          </w:p>
        </w:tc>
        <w:tc>
          <w:tcPr>
            <w:tcW w:w="1334" w:type="dxa"/>
            <w:tcMar>
              <w:top w:w="20" w:type="nil"/>
              <w:left w:w="20" w:type="nil"/>
              <w:bottom w:w="20" w:type="nil"/>
              <w:right w:w="20" w:type="nil"/>
            </w:tcMar>
            <w:vAlign w:val="center"/>
          </w:tcPr>
          <w:p w14:paraId="37B78CD6"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0.212</w:t>
            </w:r>
            <w:r w:rsidRPr="00A7356B">
              <w:rPr>
                <w:rFonts w:ascii="Times" w:hAnsi="Times" w:cs="Times"/>
                <w:sz w:val="16"/>
                <w:szCs w:val="16"/>
                <w:vertAlign w:val="superscript"/>
                <w:lang w:val="en-US"/>
              </w:rPr>
              <w:t>***</w:t>
            </w:r>
          </w:p>
        </w:tc>
        <w:tc>
          <w:tcPr>
            <w:tcW w:w="1059" w:type="dxa"/>
            <w:tcMar>
              <w:top w:w="20" w:type="nil"/>
              <w:left w:w="20" w:type="nil"/>
              <w:bottom w:w="20" w:type="nil"/>
              <w:right w:w="20" w:type="nil"/>
            </w:tcMar>
            <w:vAlign w:val="center"/>
          </w:tcPr>
          <w:p w14:paraId="17A2B8E6"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0.212</w:t>
            </w:r>
            <w:r w:rsidRPr="00A7356B">
              <w:rPr>
                <w:rFonts w:ascii="Times" w:hAnsi="Times" w:cs="Times"/>
                <w:sz w:val="16"/>
                <w:szCs w:val="16"/>
                <w:vertAlign w:val="superscript"/>
                <w:lang w:val="en-US"/>
              </w:rPr>
              <w:t>***</w:t>
            </w:r>
          </w:p>
        </w:tc>
      </w:tr>
      <w:tr w:rsidR="00047ADA" w:rsidRPr="00A7356B" w14:paraId="48AE1D8B" w14:textId="77777777" w:rsidTr="00047ADA">
        <w:tc>
          <w:tcPr>
            <w:tcW w:w="1560" w:type="dxa"/>
            <w:gridSpan w:val="2"/>
            <w:tcMar>
              <w:top w:w="20" w:type="nil"/>
              <w:left w:w="20" w:type="nil"/>
              <w:bottom w:w="20" w:type="nil"/>
              <w:right w:w="20" w:type="nil"/>
            </w:tcMar>
            <w:vAlign w:val="center"/>
          </w:tcPr>
          <w:p w14:paraId="753E2F4A"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936" w:type="dxa"/>
            <w:tcMar>
              <w:top w:w="20" w:type="nil"/>
              <w:left w:w="20" w:type="nil"/>
              <w:bottom w:w="20" w:type="nil"/>
              <w:right w:w="20" w:type="nil"/>
            </w:tcMar>
            <w:vAlign w:val="center"/>
          </w:tcPr>
          <w:p w14:paraId="6DA921C4"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(0.001)</w:t>
            </w:r>
          </w:p>
        </w:tc>
        <w:tc>
          <w:tcPr>
            <w:tcW w:w="1428" w:type="dxa"/>
            <w:tcMar>
              <w:top w:w="20" w:type="nil"/>
              <w:left w:w="20" w:type="nil"/>
              <w:bottom w:w="20" w:type="nil"/>
              <w:right w:w="20" w:type="nil"/>
            </w:tcMar>
            <w:vAlign w:val="center"/>
          </w:tcPr>
          <w:p w14:paraId="0C814E06"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(0.023)</w:t>
            </w:r>
          </w:p>
        </w:tc>
        <w:tc>
          <w:tcPr>
            <w:tcW w:w="1404" w:type="dxa"/>
            <w:tcMar>
              <w:top w:w="20" w:type="nil"/>
              <w:left w:w="20" w:type="nil"/>
              <w:bottom w:w="20" w:type="nil"/>
              <w:right w:w="20" w:type="nil"/>
            </w:tcMar>
            <w:vAlign w:val="center"/>
          </w:tcPr>
          <w:p w14:paraId="579AEC5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(0.030)</w:t>
            </w:r>
          </w:p>
        </w:tc>
        <w:tc>
          <w:tcPr>
            <w:tcW w:w="1152" w:type="dxa"/>
            <w:tcMar>
              <w:top w:w="20" w:type="nil"/>
              <w:left w:w="20" w:type="nil"/>
              <w:bottom w:w="20" w:type="nil"/>
              <w:right w:w="20" w:type="nil"/>
            </w:tcMar>
            <w:vAlign w:val="center"/>
          </w:tcPr>
          <w:p w14:paraId="6D6A5764"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(0.027)</w:t>
            </w:r>
          </w:p>
        </w:tc>
        <w:tc>
          <w:tcPr>
            <w:tcW w:w="1053" w:type="dxa"/>
            <w:tcMar>
              <w:top w:w="20" w:type="nil"/>
              <w:left w:w="20" w:type="nil"/>
              <w:bottom w:w="20" w:type="nil"/>
              <w:right w:w="20" w:type="nil"/>
            </w:tcMar>
            <w:vAlign w:val="center"/>
          </w:tcPr>
          <w:p w14:paraId="23A78C98"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(0.027)</w:t>
            </w:r>
          </w:p>
        </w:tc>
        <w:tc>
          <w:tcPr>
            <w:tcW w:w="1334" w:type="dxa"/>
            <w:tcMar>
              <w:top w:w="20" w:type="nil"/>
              <w:left w:w="20" w:type="nil"/>
              <w:bottom w:w="20" w:type="nil"/>
              <w:right w:w="20" w:type="nil"/>
            </w:tcMar>
            <w:vAlign w:val="center"/>
          </w:tcPr>
          <w:p w14:paraId="6DC96108"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(0.024)</w:t>
            </w:r>
          </w:p>
        </w:tc>
        <w:tc>
          <w:tcPr>
            <w:tcW w:w="1059" w:type="dxa"/>
            <w:tcMar>
              <w:top w:w="20" w:type="nil"/>
              <w:left w:w="20" w:type="nil"/>
              <w:bottom w:w="20" w:type="nil"/>
              <w:right w:w="20" w:type="nil"/>
            </w:tcMar>
            <w:vAlign w:val="center"/>
          </w:tcPr>
          <w:p w14:paraId="619C6A7D"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(0.027)</w:t>
            </w:r>
          </w:p>
        </w:tc>
      </w:tr>
      <w:tr w:rsidR="00047ADA" w:rsidRPr="00A7356B" w14:paraId="7150F51B" w14:textId="77777777" w:rsidTr="00047ADA">
        <w:tc>
          <w:tcPr>
            <w:tcW w:w="1560" w:type="dxa"/>
            <w:gridSpan w:val="2"/>
            <w:tcMar>
              <w:top w:w="20" w:type="nil"/>
              <w:left w:w="20" w:type="nil"/>
              <w:bottom w:w="20" w:type="nil"/>
              <w:right w:w="20" w:type="nil"/>
            </w:tcMar>
            <w:vAlign w:val="center"/>
          </w:tcPr>
          <w:p w14:paraId="5AB0390F"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 xml:space="preserve">Distance </w:t>
            </w:r>
          </w:p>
        </w:tc>
        <w:tc>
          <w:tcPr>
            <w:tcW w:w="936" w:type="dxa"/>
            <w:tcMar>
              <w:top w:w="20" w:type="nil"/>
              <w:left w:w="20" w:type="nil"/>
              <w:bottom w:w="20" w:type="nil"/>
              <w:right w:w="20" w:type="nil"/>
            </w:tcMar>
            <w:vAlign w:val="center"/>
          </w:tcPr>
          <w:p w14:paraId="3589CCF1" w14:textId="77777777" w:rsidR="00047ADA" w:rsidRPr="00A7356B" w:rsidRDefault="00047ADA" w:rsidP="00047ADA">
            <w:pPr>
              <w:widowControl w:val="0"/>
              <w:autoSpaceDE w:val="0"/>
              <w:autoSpaceDN w:val="0"/>
              <w:adjustRightInd w:val="0"/>
              <w:rPr>
                <w:rFonts w:ascii="Times" w:hAnsi="Times" w:cs="Times"/>
                <w:sz w:val="16"/>
                <w:szCs w:val="16"/>
                <w:lang w:val="en-US"/>
              </w:rPr>
            </w:pPr>
            <w:r w:rsidRPr="00A7356B">
              <w:rPr>
                <w:rFonts w:ascii="Times" w:hAnsi="Times" w:cs="Times"/>
                <w:sz w:val="16"/>
                <w:szCs w:val="16"/>
                <w:lang w:val="en-US"/>
              </w:rPr>
              <w:t>-0.063</w:t>
            </w:r>
            <w:r w:rsidRPr="00A7356B">
              <w:rPr>
                <w:rFonts w:ascii="Times" w:hAnsi="Times" w:cs="Times"/>
                <w:sz w:val="16"/>
                <w:szCs w:val="16"/>
                <w:vertAlign w:val="superscript"/>
                <w:lang w:val="en-US"/>
              </w:rPr>
              <w:t>***</w:t>
            </w:r>
          </w:p>
        </w:tc>
        <w:tc>
          <w:tcPr>
            <w:tcW w:w="1428" w:type="dxa"/>
            <w:tcMar>
              <w:top w:w="20" w:type="nil"/>
              <w:left w:w="20" w:type="nil"/>
              <w:bottom w:w="20" w:type="nil"/>
              <w:right w:w="20" w:type="nil"/>
            </w:tcMar>
            <w:vAlign w:val="center"/>
          </w:tcPr>
          <w:p w14:paraId="028800E3"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0.058</w:t>
            </w:r>
          </w:p>
        </w:tc>
        <w:tc>
          <w:tcPr>
            <w:tcW w:w="1404" w:type="dxa"/>
            <w:tcMar>
              <w:top w:w="20" w:type="nil"/>
              <w:left w:w="20" w:type="nil"/>
              <w:bottom w:w="20" w:type="nil"/>
              <w:right w:w="20" w:type="nil"/>
            </w:tcMar>
            <w:vAlign w:val="center"/>
          </w:tcPr>
          <w:p w14:paraId="3696B4F2"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0.370</w:t>
            </w:r>
            <w:r w:rsidRPr="00A7356B">
              <w:rPr>
                <w:rFonts w:ascii="Times" w:hAnsi="Times" w:cs="Times"/>
                <w:sz w:val="16"/>
                <w:szCs w:val="16"/>
                <w:vertAlign w:val="superscript"/>
                <w:lang w:val="en-US"/>
              </w:rPr>
              <w:t>***</w:t>
            </w:r>
          </w:p>
        </w:tc>
        <w:tc>
          <w:tcPr>
            <w:tcW w:w="1152" w:type="dxa"/>
            <w:tcMar>
              <w:top w:w="20" w:type="nil"/>
              <w:left w:w="20" w:type="nil"/>
              <w:bottom w:w="20" w:type="nil"/>
              <w:right w:w="20" w:type="nil"/>
            </w:tcMar>
            <w:vAlign w:val="center"/>
          </w:tcPr>
          <w:p w14:paraId="4EA86F66"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-0.303</w:t>
            </w:r>
            <w:r w:rsidRPr="00A7356B">
              <w:rPr>
                <w:rFonts w:ascii="Times" w:hAnsi="Times" w:cs="Times"/>
                <w:sz w:val="16"/>
                <w:szCs w:val="16"/>
                <w:vertAlign w:val="superscript"/>
                <w:lang w:val="en-US"/>
              </w:rPr>
              <w:t>***</w:t>
            </w:r>
          </w:p>
        </w:tc>
        <w:tc>
          <w:tcPr>
            <w:tcW w:w="1053" w:type="dxa"/>
            <w:tcMar>
              <w:top w:w="20" w:type="nil"/>
              <w:left w:w="20" w:type="nil"/>
              <w:bottom w:w="20" w:type="nil"/>
              <w:right w:w="20" w:type="nil"/>
            </w:tcMar>
            <w:vAlign w:val="center"/>
          </w:tcPr>
          <w:p w14:paraId="2EC6717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-0.287</w:t>
            </w:r>
            <w:r w:rsidRPr="00A7356B">
              <w:rPr>
                <w:rFonts w:ascii="Times" w:hAnsi="Times" w:cs="Times"/>
                <w:sz w:val="16"/>
                <w:szCs w:val="16"/>
                <w:vertAlign w:val="superscript"/>
                <w:lang w:val="en-US"/>
              </w:rPr>
              <w:t>***</w:t>
            </w:r>
          </w:p>
        </w:tc>
        <w:tc>
          <w:tcPr>
            <w:tcW w:w="1334" w:type="dxa"/>
            <w:tcMar>
              <w:top w:w="20" w:type="nil"/>
              <w:left w:w="20" w:type="nil"/>
              <w:bottom w:w="20" w:type="nil"/>
              <w:right w:w="20" w:type="nil"/>
            </w:tcMar>
            <w:vAlign w:val="center"/>
          </w:tcPr>
          <w:p w14:paraId="0DFC0B7F"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-0.289</w:t>
            </w:r>
            <w:r w:rsidRPr="00A7356B">
              <w:rPr>
                <w:rFonts w:ascii="Times" w:hAnsi="Times" w:cs="Times"/>
                <w:sz w:val="16"/>
                <w:szCs w:val="16"/>
                <w:vertAlign w:val="superscript"/>
                <w:lang w:val="en-US"/>
              </w:rPr>
              <w:t>***</w:t>
            </w:r>
          </w:p>
        </w:tc>
        <w:tc>
          <w:tcPr>
            <w:tcW w:w="1059" w:type="dxa"/>
            <w:tcMar>
              <w:top w:w="20" w:type="nil"/>
              <w:left w:w="20" w:type="nil"/>
              <w:bottom w:w="20" w:type="nil"/>
              <w:right w:w="20" w:type="nil"/>
            </w:tcMar>
            <w:vAlign w:val="center"/>
          </w:tcPr>
          <w:p w14:paraId="1951C721"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-0.289</w:t>
            </w:r>
            <w:r w:rsidRPr="00A7356B">
              <w:rPr>
                <w:rFonts w:ascii="Times" w:hAnsi="Times" w:cs="Times"/>
                <w:sz w:val="16"/>
                <w:szCs w:val="16"/>
                <w:vertAlign w:val="superscript"/>
                <w:lang w:val="en-US"/>
              </w:rPr>
              <w:t>***</w:t>
            </w:r>
          </w:p>
        </w:tc>
      </w:tr>
      <w:tr w:rsidR="00047ADA" w:rsidRPr="00A7356B" w14:paraId="6423A3B6" w14:textId="77777777" w:rsidTr="00047ADA">
        <w:tc>
          <w:tcPr>
            <w:tcW w:w="1560" w:type="dxa"/>
            <w:gridSpan w:val="2"/>
            <w:tcMar>
              <w:top w:w="20" w:type="nil"/>
              <w:left w:w="20" w:type="nil"/>
              <w:bottom w:w="20" w:type="nil"/>
              <w:right w:w="20" w:type="nil"/>
            </w:tcMar>
            <w:vAlign w:val="center"/>
          </w:tcPr>
          <w:p w14:paraId="49D80EE2"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936" w:type="dxa"/>
            <w:tcMar>
              <w:top w:w="20" w:type="nil"/>
              <w:left w:w="20" w:type="nil"/>
              <w:bottom w:w="20" w:type="nil"/>
              <w:right w:w="20" w:type="nil"/>
            </w:tcMar>
            <w:vAlign w:val="center"/>
          </w:tcPr>
          <w:p w14:paraId="00BFDA88"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(0.002)</w:t>
            </w:r>
          </w:p>
        </w:tc>
        <w:tc>
          <w:tcPr>
            <w:tcW w:w="1428" w:type="dxa"/>
            <w:tcMar>
              <w:top w:w="20" w:type="nil"/>
              <w:left w:w="20" w:type="nil"/>
              <w:bottom w:w="20" w:type="nil"/>
              <w:right w:w="20" w:type="nil"/>
            </w:tcMar>
            <w:vAlign w:val="center"/>
          </w:tcPr>
          <w:p w14:paraId="5B2F527F"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(0.061)</w:t>
            </w:r>
          </w:p>
        </w:tc>
        <w:tc>
          <w:tcPr>
            <w:tcW w:w="1404" w:type="dxa"/>
            <w:tcMar>
              <w:top w:w="20" w:type="nil"/>
              <w:left w:w="20" w:type="nil"/>
              <w:bottom w:w="20" w:type="nil"/>
              <w:right w:w="20" w:type="nil"/>
            </w:tcMar>
            <w:vAlign w:val="center"/>
          </w:tcPr>
          <w:p w14:paraId="417CA9BB"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(0.075)</w:t>
            </w:r>
          </w:p>
        </w:tc>
        <w:tc>
          <w:tcPr>
            <w:tcW w:w="1152" w:type="dxa"/>
            <w:tcMar>
              <w:top w:w="20" w:type="nil"/>
              <w:left w:w="20" w:type="nil"/>
              <w:bottom w:w="20" w:type="nil"/>
              <w:right w:w="20" w:type="nil"/>
            </w:tcMar>
            <w:vAlign w:val="center"/>
          </w:tcPr>
          <w:p w14:paraId="668836D5"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(0.067)</w:t>
            </w:r>
          </w:p>
        </w:tc>
        <w:tc>
          <w:tcPr>
            <w:tcW w:w="1053" w:type="dxa"/>
            <w:tcMar>
              <w:top w:w="20" w:type="nil"/>
              <w:left w:w="20" w:type="nil"/>
              <w:bottom w:w="20" w:type="nil"/>
              <w:right w:w="20" w:type="nil"/>
            </w:tcMar>
            <w:vAlign w:val="center"/>
          </w:tcPr>
          <w:p w14:paraId="12AC89A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(0.067)</w:t>
            </w:r>
          </w:p>
        </w:tc>
        <w:tc>
          <w:tcPr>
            <w:tcW w:w="1334" w:type="dxa"/>
            <w:tcMar>
              <w:top w:w="20" w:type="nil"/>
              <w:left w:w="20" w:type="nil"/>
              <w:bottom w:w="20" w:type="nil"/>
              <w:right w:w="20" w:type="nil"/>
            </w:tcMar>
            <w:vAlign w:val="center"/>
          </w:tcPr>
          <w:p w14:paraId="0029CAAD"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(0.069)</w:t>
            </w:r>
          </w:p>
        </w:tc>
        <w:tc>
          <w:tcPr>
            <w:tcW w:w="1059" w:type="dxa"/>
            <w:tcMar>
              <w:top w:w="20" w:type="nil"/>
              <w:left w:w="20" w:type="nil"/>
              <w:bottom w:w="20" w:type="nil"/>
              <w:right w:w="20" w:type="nil"/>
            </w:tcMar>
            <w:vAlign w:val="center"/>
          </w:tcPr>
          <w:p w14:paraId="5E50FDC0"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(0.067)</w:t>
            </w:r>
          </w:p>
        </w:tc>
      </w:tr>
      <w:tr w:rsidR="00047ADA" w:rsidRPr="00A7356B" w14:paraId="2696B194" w14:textId="77777777" w:rsidTr="00047ADA">
        <w:tc>
          <w:tcPr>
            <w:tcW w:w="1560" w:type="dxa"/>
            <w:gridSpan w:val="2"/>
            <w:tcMar>
              <w:top w:w="20" w:type="nil"/>
              <w:left w:w="20" w:type="nil"/>
              <w:bottom w:w="20" w:type="nil"/>
              <w:right w:w="20" w:type="nil"/>
            </w:tcMar>
            <w:vAlign w:val="center"/>
          </w:tcPr>
          <w:p w14:paraId="464C7A1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Land Border</w:t>
            </w:r>
          </w:p>
        </w:tc>
        <w:tc>
          <w:tcPr>
            <w:tcW w:w="936" w:type="dxa"/>
            <w:tcMar>
              <w:top w:w="20" w:type="nil"/>
              <w:left w:w="20" w:type="nil"/>
              <w:bottom w:w="20" w:type="nil"/>
              <w:right w:w="20" w:type="nil"/>
            </w:tcMar>
            <w:vAlign w:val="center"/>
          </w:tcPr>
          <w:p w14:paraId="7EF4EA05"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0.193</w:t>
            </w:r>
            <w:r w:rsidRPr="00A7356B">
              <w:rPr>
                <w:rFonts w:ascii="Times" w:hAnsi="Times" w:cs="Times"/>
                <w:sz w:val="16"/>
                <w:szCs w:val="16"/>
                <w:vertAlign w:val="superscript"/>
                <w:lang w:val="en-US"/>
              </w:rPr>
              <w:t>***</w:t>
            </w:r>
          </w:p>
        </w:tc>
        <w:tc>
          <w:tcPr>
            <w:tcW w:w="1428" w:type="dxa"/>
            <w:tcMar>
              <w:top w:w="20" w:type="nil"/>
              <w:left w:w="20" w:type="nil"/>
              <w:bottom w:w="20" w:type="nil"/>
              <w:right w:w="20" w:type="nil"/>
            </w:tcMar>
            <w:vAlign w:val="center"/>
          </w:tcPr>
          <w:p w14:paraId="14C2B2F6"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1.916</w:t>
            </w:r>
            <w:r w:rsidRPr="00A7356B">
              <w:rPr>
                <w:rFonts w:ascii="Times" w:hAnsi="Times" w:cs="Times"/>
                <w:sz w:val="16"/>
                <w:szCs w:val="16"/>
                <w:vertAlign w:val="superscript"/>
                <w:lang w:val="en-US"/>
              </w:rPr>
              <w:t>***</w:t>
            </w:r>
          </w:p>
        </w:tc>
        <w:tc>
          <w:tcPr>
            <w:tcW w:w="1404" w:type="dxa"/>
            <w:tcMar>
              <w:top w:w="20" w:type="nil"/>
              <w:left w:w="20" w:type="nil"/>
              <w:bottom w:w="20" w:type="nil"/>
              <w:right w:w="20" w:type="nil"/>
            </w:tcMar>
            <w:vAlign w:val="center"/>
          </w:tcPr>
          <w:p w14:paraId="0C5845A3"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0.884</w:t>
            </w:r>
            <w:r w:rsidRPr="00A7356B">
              <w:rPr>
                <w:rFonts w:ascii="Times" w:hAnsi="Times" w:cs="Times"/>
                <w:sz w:val="16"/>
                <w:szCs w:val="16"/>
                <w:vertAlign w:val="superscript"/>
                <w:lang w:val="en-US"/>
              </w:rPr>
              <w:t>***</w:t>
            </w:r>
          </w:p>
        </w:tc>
        <w:tc>
          <w:tcPr>
            <w:tcW w:w="1152" w:type="dxa"/>
            <w:tcMar>
              <w:top w:w="20" w:type="nil"/>
              <w:left w:w="20" w:type="nil"/>
              <w:bottom w:w="20" w:type="nil"/>
              <w:right w:w="20" w:type="nil"/>
            </w:tcMar>
            <w:vAlign w:val="center"/>
          </w:tcPr>
          <w:p w14:paraId="31742F85"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1.543</w:t>
            </w:r>
            <w:r w:rsidRPr="00A7356B">
              <w:rPr>
                <w:rFonts w:ascii="Times" w:hAnsi="Times" w:cs="Times"/>
                <w:sz w:val="16"/>
                <w:szCs w:val="16"/>
                <w:vertAlign w:val="superscript"/>
                <w:lang w:val="en-US"/>
              </w:rPr>
              <w:t>***</w:t>
            </w:r>
          </w:p>
        </w:tc>
        <w:tc>
          <w:tcPr>
            <w:tcW w:w="1053" w:type="dxa"/>
            <w:tcMar>
              <w:top w:w="20" w:type="nil"/>
              <w:left w:w="20" w:type="nil"/>
              <w:bottom w:w="20" w:type="nil"/>
              <w:right w:w="20" w:type="nil"/>
            </w:tcMar>
            <w:vAlign w:val="center"/>
          </w:tcPr>
          <w:p w14:paraId="514FC8B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1.533</w:t>
            </w:r>
            <w:r w:rsidRPr="00A7356B">
              <w:rPr>
                <w:rFonts w:ascii="Times" w:hAnsi="Times" w:cs="Times"/>
                <w:sz w:val="16"/>
                <w:szCs w:val="16"/>
                <w:vertAlign w:val="superscript"/>
                <w:lang w:val="en-US"/>
              </w:rPr>
              <w:t>***</w:t>
            </w:r>
          </w:p>
        </w:tc>
        <w:tc>
          <w:tcPr>
            <w:tcW w:w="1334" w:type="dxa"/>
            <w:tcMar>
              <w:top w:w="20" w:type="nil"/>
              <w:left w:w="20" w:type="nil"/>
              <w:bottom w:w="20" w:type="nil"/>
              <w:right w:w="20" w:type="nil"/>
            </w:tcMar>
            <w:vAlign w:val="center"/>
          </w:tcPr>
          <w:p w14:paraId="7CD43F04"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1.534</w:t>
            </w:r>
            <w:r w:rsidRPr="00A7356B">
              <w:rPr>
                <w:rFonts w:ascii="Times" w:hAnsi="Times" w:cs="Times"/>
                <w:sz w:val="16"/>
                <w:szCs w:val="16"/>
                <w:vertAlign w:val="superscript"/>
                <w:lang w:val="en-US"/>
              </w:rPr>
              <w:t>***</w:t>
            </w:r>
          </w:p>
        </w:tc>
        <w:tc>
          <w:tcPr>
            <w:tcW w:w="1059" w:type="dxa"/>
            <w:tcMar>
              <w:top w:w="20" w:type="nil"/>
              <w:left w:w="20" w:type="nil"/>
              <w:bottom w:w="20" w:type="nil"/>
              <w:right w:w="20" w:type="nil"/>
            </w:tcMar>
            <w:vAlign w:val="center"/>
          </w:tcPr>
          <w:p w14:paraId="7582662D"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1.534</w:t>
            </w:r>
            <w:r w:rsidRPr="00A7356B">
              <w:rPr>
                <w:rFonts w:ascii="Times" w:hAnsi="Times" w:cs="Times"/>
                <w:sz w:val="16"/>
                <w:szCs w:val="16"/>
                <w:vertAlign w:val="superscript"/>
                <w:lang w:val="en-US"/>
              </w:rPr>
              <w:t>***</w:t>
            </w:r>
          </w:p>
        </w:tc>
      </w:tr>
      <w:tr w:rsidR="00047ADA" w:rsidRPr="00A7356B" w14:paraId="4971C87B" w14:textId="77777777" w:rsidTr="00047ADA">
        <w:tc>
          <w:tcPr>
            <w:tcW w:w="1560" w:type="dxa"/>
            <w:gridSpan w:val="2"/>
            <w:tcMar>
              <w:top w:w="20" w:type="nil"/>
              <w:left w:w="20" w:type="nil"/>
              <w:bottom w:w="20" w:type="nil"/>
              <w:right w:w="20" w:type="nil"/>
            </w:tcMar>
            <w:vAlign w:val="center"/>
          </w:tcPr>
          <w:p w14:paraId="7E273D86"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936" w:type="dxa"/>
            <w:tcMar>
              <w:top w:w="20" w:type="nil"/>
              <w:left w:w="20" w:type="nil"/>
              <w:bottom w:w="20" w:type="nil"/>
              <w:right w:w="20" w:type="nil"/>
            </w:tcMar>
            <w:vAlign w:val="center"/>
          </w:tcPr>
          <w:p w14:paraId="427037D0"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(0.014)</w:t>
            </w:r>
          </w:p>
        </w:tc>
        <w:tc>
          <w:tcPr>
            <w:tcW w:w="1428" w:type="dxa"/>
            <w:tcMar>
              <w:top w:w="20" w:type="nil"/>
              <w:left w:w="20" w:type="nil"/>
              <w:bottom w:w="20" w:type="nil"/>
              <w:right w:w="20" w:type="nil"/>
            </w:tcMar>
            <w:vAlign w:val="center"/>
          </w:tcPr>
          <w:p w14:paraId="661A0366"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(0.128)</w:t>
            </w:r>
          </w:p>
        </w:tc>
        <w:tc>
          <w:tcPr>
            <w:tcW w:w="1404" w:type="dxa"/>
            <w:tcMar>
              <w:top w:w="20" w:type="nil"/>
              <w:left w:w="20" w:type="nil"/>
              <w:bottom w:w="20" w:type="nil"/>
              <w:right w:w="20" w:type="nil"/>
            </w:tcMar>
            <w:vAlign w:val="center"/>
          </w:tcPr>
          <w:p w14:paraId="0F013BE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(0.165)</w:t>
            </w:r>
          </w:p>
        </w:tc>
        <w:tc>
          <w:tcPr>
            <w:tcW w:w="1152" w:type="dxa"/>
            <w:tcMar>
              <w:top w:w="20" w:type="nil"/>
              <w:left w:w="20" w:type="nil"/>
              <w:bottom w:w="20" w:type="nil"/>
              <w:right w:w="20" w:type="nil"/>
            </w:tcMar>
            <w:vAlign w:val="center"/>
          </w:tcPr>
          <w:p w14:paraId="3D64745F"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(0.141)</w:t>
            </w:r>
          </w:p>
        </w:tc>
        <w:tc>
          <w:tcPr>
            <w:tcW w:w="1053" w:type="dxa"/>
            <w:tcMar>
              <w:top w:w="20" w:type="nil"/>
              <w:left w:w="20" w:type="nil"/>
              <w:bottom w:w="20" w:type="nil"/>
              <w:right w:w="20" w:type="nil"/>
            </w:tcMar>
            <w:vAlign w:val="center"/>
          </w:tcPr>
          <w:p w14:paraId="51D13DB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(0.141)</w:t>
            </w:r>
          </w:p>
        </w:tc>
        <w:tc>
          <w:tcPr>
            <w:tcW w:w="1334" w:type="dxa"/>
            <w:tcMar>
              <w:top w:w="20" w:type="nil"/>
              <w:left w:w="20" w:type="nil"/>
              <w:bottom w:w="20" w:type="nil"/>
              <w:right w:w="20" w:type="nil"/>
            </w:tcMar>
            <w:vAlign w:val="center"/>
          </w:tcPr>
          <w:p w14:paraId="6339BA8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(0.132)</w:t>
            </w:r>
          </w:p>
        </w:tc>
        <w:tc>
          <w:tcPr>
            <w:tcW w:w="1059" w:type="dxa"/>
            <w:tcMar>
              <w:top w:w="20" w:type="nil"/>
              <w:left w:w="20" w:type="nil"/>
              <w:bottom w:w="20" w:type="nil"/>
              <w:right w:w="20" w:type="nil"/>
            </w:tcMar>
            <w:vAlign w:val="center"/>
          </w:tcPr>
          <w:p w14:paraId="38B66C9E"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(0.141)</w:t>
            </w:r>
          </w:p>
        </w:tc>
      </w:tr>
      <w:tr w:rsidR="00047ADA" w:rsidRPr="00A7356B" w14:paraId="0168E7E7" w14:textId="77777777" w:rsidTr="00047ADA">
        <w:tc>
          <w:tcPr>
            <w:tcW w:w="1560" w:type="dxa"/>
            <w:gridSpan w:val="2"/>
            <w:tcMar>
              <w:top w:w="20" w:type="nil"/>
              <w:left w:w="20" w:type="nil"/>
              <w:bottom w:w="20" w:type="nil"/>
              <w:right w:w="20" w:type="nil"/>
            </w:tcMar>
            <w:vAlign w:val="center"/>
          </w:tcPr>
          <w:p w14:paraId="2D2503C8"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Language</w:t>
            </w:r>
          </w:p>
        </w:tc>
        <w:tc>
          <w:tcPr>
            <w:tcW w:w="936" w:type="dxa"/>
            <w:tcMar>
              <w:top w:w="20" w:type="nil"/>
              <w:left w:w="20" w:type="nil"/>
              <w:bottom w:w="20" w:type="nil"/>
              <w:right w:w="20" w:type="nil"/>
            </w:tcMar>
            <w:vAlign w:val="center"/>
          </w:tcPr>
          <w:p w14:paraId="000ED51E"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0.059</w:t>
            </w:r>
            <w:r w:rsidRPr="00A7356B">
              <w:rPr>
                <w:rFonts w:ascii="Times" w:hAnsi="Times" w:cs="Times"/>
                <w:sz w:val="16"/>
                <w:szCs w:val="16"/>
                <w:vertAlign w:val="superscript"/>
                <w:lang w:val="en-US"/>
              </w:rPr>
              <w:t>***</w:t>
            </w:r>
          </w:p>
        </w:tc>
        <w:tc>
          <w:tcPr>
            <w:tcW w:w="1428" w:type="dxa"/>
            <w:tcMar>
              <w:top w:w="20" w:type="nil"/>
              <w:left w:w="20" w:type="nil"/>
              <w:bottom w:w="20" w:type="nil"/>
              <w:right w:w="20" w:type="nil"/>
            </w:tcMar>
            <w:vAlign w:val="center"/>
          </w:tcPr>
          <w:p w14:paraId="5412A1F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0.019</w:t>
            </w:r>
          </w:p>
        </w:tc>
        <w:tc>
          <w:tcPr>
            <w:tcW w:w="1404" w:type="dxa"/>
            <w:tcMar>
              <w:top w:w="20" w:type="nil"/>
              <w:left w:w="20" w:type="nil"/>
              <w:bottom w:w="20" w:type="nil"/>
              <w:right w:w="20" w:type="nil"/>
            </w:tcMar>
            <w:vAlign w:val="center"/>
          </w:tcPr>
          <w:p w14:paraId="69DD2254"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-0.344</w:t>
            </w:r>
            <w:r w:rsidRPr="00A7356B">
              <w:rPr>
                <w:rFonts w:ascii="Times" w:hAnsi="Times" w:cs="Times"/>
                <w:sz w:val="16"/>
                <w:szCs w:val="16"/>
                <w:vertAlign w:val="superscript"/>
                <w:lang w:val="en-US"/>
              </w:rPr>
              <w:t>***</w:t>
            </w:r>
          </w:p>
        </w:tc>
        <w:tc>
          <w:tcPr>
            <w:tcW w:w="1152" w:type="dxa"/>
            <w:tcMar>
              <w:top w:w="20" w:type="nil"/>
              <w:left w:w="20" w:type="nil"/>
              <w:bottom w:w="20" w:type="nil"/>
              <w:right w:w="20" w:type="nil"/>
            </w:tcMar>
            <w:vAlign w:val="center"/>
          </w:tcPr>
          <w:p w14:paraId="637AD990"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-0.014</w:t>
            </w:r>
          </w:p>
        </w:tc>
        <w:tc>
          <w:tcPr>
            <w:tcW w:w="1053" w:type="dxa"/>
            <w:tcMar>
              <w:top w:w="20" w:type="nil"/>
              <w:left w:w="20" w:type="nil"/>
              <w:bottom w:w="20" w:type="nil"/>
              <w:right w:w="20" w:type="nil"/>
            </w:tcMar>
            <w:vAlign w:val="center"/>
          </w:tcPr>
          <w:p w14:paraId="7AF95C7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-0.019</w:t>
            </w:r>
          </w:p>
        </w:tc>
        <w:tc>
          <w:tcPr>
            <w:tcW w:w="1334" w:type="dxa"/>
            <w:tcMar>
              <w:top w:w="20" w:type="nil"/>
              <w:left w:w="20" w:type="nil"/>
              <w:bottom w:w="20" w:type="nil"/>
              <w:right w:w="20" w:type="nil"/>
            </w:tcMar>
            <w:vAlign w:val="center"/>
          </w:tcPr>
          <w:p w14:paraId="4B5D9521"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-0.015</w:t>
            </w:r>
          </w:p>
        </w:tc>
        <w:tc>
          <w:tcPr>
            <w:tcW w:w="1059" w:type="dxa"/>
            <w:tcMar>
              <w:top w:w="20" w:type="nil"/>
              <w:left w:w="20" w:type="nil"/>
              <w:bottom w:w="20" w:type="nil"/>
              <w:right w:w="20" w:type="nil"/>
            </w:tcMar>
            <w:vAlign w:val="center"/>
          </w:tcPr>
          <w:p w14:paraId="602EE08A"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-0.015</w:t>
            </w:r>
          </w:p>
        </w:tc>
      </w:tr>
      <w:tr w:rsidR="00047ADA" w:rsidRPr="00A7356B" w14:paraId="58D1DDD0" w14:textId="77777777" w:rsidTr="00047ADA">
        <w:tc>
          <w:tcPr>
            <w:tcW w:w="1560" w:type="dxa"/>
            <w:gridSpan w:val="2"/>
            <w:tcMar>
              <w:top w:w="20" w:type="nil"/>
              <w:left w:w="20" w:type="nil"/>
              <w:bottom w:w="20" w:type="nil"/>
              <w:right w:w="20" w:type="nil"/>
            </w:tcMar>
            <w:vAlign w:val="center"/>
          </w:tcPr>
          <w:p w14:paraId="30952D42"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936" w:type="dxa"/>
            <w:tcMar>
              <w:top w:w="20" w:type="nil"/>
              <w:left w:w="20" w:type="nil"/>
              <w:bottom w:w="20" w:type="nil"/>
              <w:right w:w="20" w:type="nil"/>
            </w:tcMar>
            <w:vAlign w:val="center"/>
          </w:tcPr>
          <w:p w14:paraId="65F61A7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(0.006)</w:t>
            </w:r>
          </w:p>
        </w:tc>
        <w:tc>
          <w:tcPr>
            <w:tcW w:w="1428" w:type="dxa"/>
            <w:tcMar>
              <w:top w:w="20" w:type="nil"/>
              <w:left w:w="20" w:type="nil"/>
              <w:bottom w:w="20" w:type="nil"/>
              <w:right w:w="20" w:type="nil"/>
            </w:tcMar>
            <w:vAlign w:val="center"/>
          </w:tcPr>
          <w:p w14:paraId="2D6306C3"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(0.092)</w:t>
            </w:r>
          </w:p>
        </w:tc>
        <w:tc>
          <w:tcPr>
            <w:tcW w:w="1404" w:type="dxa"/>
            <w:tcMar>
              <w:top w:w="20" w:type="nil"/>
              <w:left w:w="20" w:type="nil"/>
              <w:bottom w:w="20" w:type="nil"/>
              <w:right w:w="20" w:type="nil"/>
            </w:tcMar>
            <w:vAlign w:val="center"/>
          </w:tcPr>
          <w:p w14:paraId="4B0744CD"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(0.099)</w:t>
            </w:r>
          </w:p>
        </w:tc>
        <w:tc>
          <w:tcPr>
            <w:tcW w:w="1152" w:type="dxa"/>
            <w:tcMar>
              <w:top w:w="20" w:type="nil"/>
              <w:left w:w="20" w:type="nil"/>
              <w:bottom w:w="20" w:type="nil"/>
              <w:right w:w="20" w:type="nil"/>
            </w:tcMar>
            <w:vAlign w:val="center"/>
          </w:tcPr>
          <w:p w14:paraId="70E73DC4"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(0.105)</w:t>
            </w:r>
          </w:p>
        </w:tc>
        <w:tc>
          <w:tcPr>
            <w:tcW w:w="1053" w:type="dxa"/>
            <w:tcMar>
              <w:top w:w="20" w:type="nil"/>
              <w:left w:w="20" w:type="nil"/>
              <w:bottom w:w="20" w:type="nil"/>
              <w:right w:w="20" w:type="nil"/>
            </w:tcMar>
            <w:vAlign w:val="center"/>
          </w:tcPr>
          <w:p w14:paraId="72398B7A"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(0.105)</w:t>
            </w:r>
          </w:p>
        </w:tc>
        <w:tc>
          <w:tcPr>
            <w:tcW w:w="1334" w:type="dxa"/>
            <w:tcMar>
              <w:top w:w="20" w:type="nil"/>
              <w:left w:w="20" w:type="nil"/>
              <w:bottom w:w="20" w:type="nil"/>
              <w:right w:w="20" w:type="nil"/>
            </w:tcMar>
            <w:vAlign w:val="center"/>
          </w:tcPr>
          <w:p w14:paraId="24A8AA27"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(0.097)</w:t>
            </w:r>
          </w:p>
        </w:tc>
        <w:tc>
          <w:tcPr>
            <w:tcW w:w="1059" w:type="dxa"/>
            <w:tcMar>
              <w:top w:w="20" w:type="nil"/>
              <w:left w:w="20" w:type="nil"/>
              <w:bottom w:w="20" w:type="nil"/>
              <w:right w:w="20" w:type="nil"/>
            </w:tcMar>
            <w:vAlign w:val="center"/>
          </w:tcPr>
          <w:p w14:paraId="7594641F"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(0.105)</w:t>
            </w:r>
          </w:p>
        </w:tc>
      </w:tr>
      <w:tr w:rsidR="00047ADA" w:rsidRPr="00A7356B" w14:paraId="0A08DBF4" w14:textId="77777777" w:rsidTr="00047ADA">
        <w:tc>
          <w:tcPr>
            <w:tcW w:w="1560" w:type="dxa"/>
            <w:gridSpan w:val="2"/>
            <w:tcMar>
              <w:top w:w="20" w:type="nil"/>
              <w:left w:w="20" w:type="nil"/>
              <w:bottom w:w="20" w:type="nil"/>
              <w:right w:w="20" w:type="nil"/>
            </w:tcMar>
            <w:vAlign w:val="center"/>
          </w:tcPr>
          <w:p w14:paraId="06376BC7"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Colony</w:t>
            </w:r>
          </w:p>
        </w:tc>
        <w:tc>
          <w:tcPr>
            <w:tcW w:w="936" w:type="dxa"/>
            <w:tcMar>
              <w:top w:w="20" w:type="nil"/>
              <w:left w:w="20" w:type="nil"/>
              <w:bottom w:w="20" w:type="nil"/>
              <w:right w:w="20" w:type="nil"/>
            </w:tcMar>
            <w:vAlign w:val="center"/>
          </w:tcPr>
          <w:p w14:paraId="172E6466"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0.006</w:t>
            </w:r>
          </w:p>
        </w:tc>
        <w:tc>
          <w:tcPr>
            <w:tcW w:w="1428" w:type="dxa"/>
            <w:tcMar>
              <w:top w:w="20" w:type="nil"/>
              <w:left w:w="20" w:type="nil"/>
              <w:bottom w:w="20" w:type="nil"/>
              <w:right w:w="20" w:type="nil"/>
            </w:tcMar>
            <w:vAlign w:val="center"/>
          </w:tcPr>
          <w:p w14:paraId="69CE4BE2"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1.022</w:t>
            </w:r>
            <w:r w:rsidRPr="00A7356B">
              <w:rPr>
                <w:rFonts w:ascii="Times" w:hAnsi="Times" w:cs="Times"/>
                <w:sz w:val="16"/>
                <w:szCs w:val="16"/>
                <w:vertAlign w:val="superscript"/>
                <w:lang w:val="en-US"/>
              </w:rPr>
              <w:t>***</w:t>
            </w:r>
          </w:p>
        </w:tc>
        <w:tc>
          <w:tcPr>
            <w:tcW w:w="1404" w:type="dxa"/>
            <w:tcMar>
              <w:top w:w="20" w:type="nil"/>
              <w:left w:w="20" w:type="nil"/>
              <w:bottom w:w="20" w:type="nil"/>
              <w:right w:w="20" w:type="nil"/>
            </w:tcMar>
            <w:vAlign w:val="center"/>
          </w:tcPr>
          <w:p w14:paraId="2A420B1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0.917</w:t>
            </w:r>
            <w:r w:rsidRPr="00A7356B">
              <w:rPr>
                <w:rFonts w:ascii="Times" w:hAnsi="Times" w:cs="Times"/>
                <w:sz w:val="16"/>
                <w:szCs w:val="16"/>
                <w:vertAlign w:val="superscript"/>
                <w:lang w:val="en-US"/>
              </w:rPr>
              <w:t>***</w:t>
            </w:r>
          </w:p>
        </w:tc>
        <w:tc>
          <w:tcPr>
            <w:tcW w:w="1152" w:type="dxa"/>
            <w:tcMar>
              <w:top w:w="20" w:type="nil"/>
              <w:left w:w="20" w:type="nil"/>
              <w:bottom w:w="20" w:type="nil"/>
              <w:right w:w="20" w:type="nil"/>
            </w:tcMar>
            <w:vAlign w:val="center"/>
          </w:tcPr>
          <w:p w14:paraId="42B08A6F"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0.950</w:t>
            </w:r>
            <w:r w:rsidRPr="00A7356B">
              <w:rPr>
                <w:rFonts w:ascii="Times" w:hAnsi="Times" w:cs="Times"/>
                <w:sz w:val="16"/>
                <w:szCs w:val="16"/>
                <w:vertAlign w:val="superscript"/>
                <w:lang w:val="en-US"/>
              </w:rPr>
              <w:t>***</w:t>
            </w:r>
          </w:p>
        </w:tc>
        <w:tc>
          <w:tcPr>
            <w:tcW w:w="1053" w:type="dxa"/>
            <w:tcMar>
              <w:top w:w="20" w:type="nil"/>
              <w:left w:w="20" w:type="nil"/>
              <w:bottom w:w="20" w:type="nil"/>
              <w:right w:w="20" w:type="nil"/>
            </w:tcMar>
            <w:vAlign w:val="center"/>
          </w:tcPr>
          <w:p w14:paraId="09BBA1B0"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0.953</w:t>
            </w:r>
            <w:r w:rsidRPr="00A7356B">
              <w:rPr>
                <w:rFonts w:ascii="Times" w:hAnsi="Times" w:cs="Times"/>
                <w:sz w:val="16"/>
                <w:szCs w:val="16"/>
                <w:vertAlign w:val="superscript"/>
                <w:lang w:val="en-US"/>
              </w:rPr>
              <w:t>***</w:t>
            </w:r>
          </w:p>
        </w:tc>
        <w:tc>
          <w:tcPr>
            <w:tcW w:w="1334" w:type="dxa"/>
            <w:tcMar>
              <w:top w:w="20" w:type="nil"/>
              <w:left w:w="20" w:type="nil"/>
              <w:bottom w:w="20" w:type="nil"/>
              <w:right w:w="20" w:type="nil"/>
            </w:tcMar>
            <w:vAlign w:val="center"/>
          </w:tcPr>
          <w:p w14:paraId="7E369CD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0.949</w:t>
            </w:r>
            <w:r w:rsidRPr="00A7356B">
              <w:rPr>
                <w:rFonts w:ascii="Times" w:hAnsi="Times" w:cs="Times"/>
                <w:sz w:val="16"/>
                <w:szCs w:val="16"/>
                <w:vertAlign w:val="superscript"/>
                <w:lang w:val="en-US"/>
              </w:rPr>
              <w:t>***</w:t>
            </w:r>
          </w:p>
        </w:tc>
        <w:tc>
          <w:tcPr>
            <w:tcW w:w="1059" w:type="dxa"/>
            <w:tcMar>
              <w:top w:w="20" w:type="nil"/>
              <w:left w:w="20" w:type="nil"/>
              <w:bottom w:w="20" w:type="nil"/>
              <w:right w:w="20" w:type="nil"/>
            </w:tcMar>
            <w:vAlign w:val="center"/>
          </w:tcPr>
          <w:p w14:paraId="102C2EB7"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0.949</w:t>
            </w:r>
            <w:r w:rsidRPr="00A7356B">
              <w:rPr>
                <w:rFonts w:ascii="Times" w:hAnsi="Times" w:cs="Times"/>
                <w:sz w:val="16"/>
                <w:szCs w:val="16"/>
                <w:vertAlign w:val="superscript"/>
                <w:lang w:val="en-US"/>
              </w:rPr>
              <w:t>***</w:t>
            </w:r>
          </w:p>
        </w:tc>
      </w:tr>
      <w:tr w:rsidR="00047ADA" w:rsidRPr="00A7356B" w14:paraId="3E6F2B57" w14:textId="77777777" w:rsidTr="00047ADA">
        <w:tc>
          <w:tcPr>
            <w:tcW w:w="1560" w:type="dxa"/>
            <w:gridSpan w:val="2"/>
            <w:tcMar>
              <w:top w:w="20" w:type="nil"/>
              <w:left w:w="20" w:type="nil"/>
              <w:bottom w:w="20" w:type="nil"/>
              <w:right w:w="20" w:type="nil"/>
            </w:tcMar>
            <w:vAlign w:val="center"/>
          </w:tcPr>
          <w:p w14:paraId="10EADF55"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936" w:type="dxa"/>
            <w:tcMar>
              <w:top w:w="20" w:type="nil"/>
              <w:left w:w="20" w:type="nil"/>
              <w:bottom w:w="20" w:type="nil"/>
              <w:right w:w="20" w:type="nil"/>
            </w:tcMar>
            <w:vAlign w:val="center"/>
          </w:tcPr>
          <w:p w14:paraId="1D86827E"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(0.010)</w:t>
            </w:r>
          </w:p>
        </w:tc>
        <w:tc>
          <w:tcPr>
            <w:tcW w:w="1428" w:type="dxa"/>
            <w:tcMar>
              <w:top w:w="20" w:type="nil"/>
              <w:left w:w="20" w:type="nil"/>
              <w:bottom w:w="20" w:type="nil"/>
              <w:right w:w="20" w:type="nil"/>
            </w:tcMar>
            <w:vAlign w:val="center"/>
          </w:tcPr>
          <w:p w14:paraId="4C48E19B"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(0.160)</w:t>
            </w:r>
          </w:p>
        </w:tc>
        <w:tc>
          <w:tcPr>
            <w:tcW w:w="1404" w:type="dxa"/>
            <w:tcMar>
              <w:top w:w="20" w:type="nil"/>
              <w:left w:w="20" w:type="nil"/>
              <w:bottom w:w="20" w:type="nil"/>
              <w:right w:w="20" w:type="nil"/>
            </w:tcMar>
            <w:vAlign w:val="center"/>
          </w:tcPr>
          <w:p w14:paraId="2303DC3D"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(0.159)</w:t>
            </w:r>
          </w:p>
        </w:tc>
        <w:tc>
          <w:tcPr>
            <w:tcW w:w="1152" w:type="dxa"/>
            <w:tcMar>
              <w:top w:w="20" w:type="nil"/>
              <w:left w:w="20" w:type="nil"/>
              <w:bottom w:w="20" w:type="nil"/>
              <w:right w:w="20" w:type="nil"/>
            </w:tcMar>
            <w:vAlign w:val="center"/>
          </w:tcPr>
          <w:p w14:paraId="6624DD56"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(0.143)</w:t>
            </w:r>
          </w:p>
        </w:tc>
        <w:tc>
          <w:tcPr>
            <w:tcW w:w="1053" w:type="dxa"/>
            <w:tcMar>
              <w:top w:w="20" w:type="nil"/>
              <w:left w:w="20" w:type="nil"/>
              <w:bottom w:w="20" w:type="nil"/>
              <w:right w:w="20" w:type="nil"/>
            </w:tcMar>
            <w:vAlign w:val="center"/>
          </w:tcPr>
          <w:p w14:paraId="2F4C0987"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(0.142)</w:t>
            </w:r>
          </w:p>
        </w:tc>
        <w:tc>
          <w:tcPr>
            <w:tcW w:w="1334" w:type="dxa"/>
            <w:tcMar>
              <w:top w:w="20" w:type="nil"/>
              <w:left w:w="20" w:type="nil"/>
              <w:bottom w:w="20" w:type="nil"/>
              <w:right w:w="20" w:type="nil"/>
            </w:tcMar>
            <w:vAlign w:val="center"/>
          </w:tcPr>
          <w:p w14:paraId="13165F5B"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(0.164)</w:t>
            </w:r>
          </w:p>
        </w:tc>
        <w:tc>
          <w:tcPr>
            <w:tcW w:w="1059" w:type="dxa"/>
            <w:tcMar>
              <w:top w:w="20" w:type="nil"/>
              <w:left w:w="20" w:type="nil"/>
              <w:bottom w:w="20" w:type="nil"/>
              <w:right w:w="20" w:type="nil"/>
            </w:tcMar>
            <w:vAlign w:val="center"/>
          </w:tcPr>
          <w:p w14:paraId="5C54DB55"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(0.142)</w:t>
            </w:r>
          </w:p>
        </w:tc>
      </w:tr>
      <w:tr w:rsidR="00047ADA" w:rsidRPr="00A7356B" w14:paraId="537C2A15" w14:textId="77777777" w:rsidTr="00047ADA">
        <w:tc>
          <w:tcPr>
            <w:tcW w:w="1560" w:type="dxa"/>
            <w:gridSpan w:val="2"/>
            <w:tcMar>
              <w:top w:w="20" w:type="nil"/>
              <w:left w:w="20" w:type="nil"/>
              <w:bottom w:w="20" w:type="nil"/>
              <w:right w:w="20" w:type="nil"/>
            </w:tcMar>
            <w:vAlign w:val="center"/>
          </w:tcPr>
          <w:p w14:paraId="49DE6BD1"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Same Country</w:t>
            </w:r>
          </w:p>
        </w:tc>
        <w:tc>
          <w:tcPr>
            <w:tcW w:w="936" w:type="dxa"/>
            <w:tcMar>
              <w:top w:w="20" w:type="nil"/>
              <w:left w:w="20" w:type="nil"/>
              <w:bottom w:w="20" w:type="nil"/>
              <w:right w:w="20" w:type="nil"/>
            </w:tcMar>
            <w:vAlign w:val="center"/>
          </w:tcPr>
          <w:p w14:paraId="74DB0824"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0.032</w:t>
            </w:r>
            <w:r w:rsidRPr="00A7356B">
              <w:rPr>
                <w:rFonts w:ascii="Times" w:hAnsi="Times" w:cs="Times"/>
                <w:sz w:val="16"/>
                <w:szCs w:val="16"/>
                <w:vertAlign w:val="superscript"/>
                <w:lang w:val="en-US"/>
              </w:rPr>
              <w:t>**</w:t>
            </w:r>
          </w:p>
        </w:tc>
        <w:tc>
          <w:tcPr>
            <w:tcW w:w="1428" w:type="dxa"/>
            <w:tcMar>
              <w:top w:w="20" w:type="nil"/>
              <w:left w:w="20" w:type="nil"/>
              <w:bottom w:w="20" w:type="nil"/>
              <w:right w:w="20" w:type="nil"/>
            </w:tcMar>
            <w:vAlign w:val="center"/>
          </w:tcPr>
          <w:p w14:paraId="11D43768"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-0.210</w:t>
            </w:r>
          </w:p>
        </w:tc>
        <w:tc>
          <w:tcPr>
            <w:tcW w:w="1404" w:type="dxa"/>
            <w:tcMar>
              <w:top w:w="20" w:type="nil"/>
              <w:left w:w="20" w:type="nil"/>
              <w:bottom w:w="20" w:type="nil"/>
              <w:right w:w="20" w:type="nil"/>
            </w:tcMar>
            <w:vAlign w:val="center"/>
          </w:tcPr>
          <w:p w14:paraId="155E3AAB"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-0.360</w:t>
            </w:r>
            <w:r w:rsidRPr="00A7356B">
              <w:rPr>
                <w:rFonts w:ascii="Times" w:hAnsi="Times" w:cs="Times"/>
                <w:sz w:val="16"/>
                <w:szCs w:val="16"/>
                <w:vertAlign w:val="superscript"/>
                <w:lang w:val="en-US"/>
              </w:rPr>
              <w:t>*</w:t>
            </w:r>
          </w:p>
        </w:tc>
        <w:tc>
          <w:tcPr>
            <w:tcW w:w="1152" w:type="dxa"/>
            <w:tcMar>
              <w:top w:w="20" w:type="nil"/>
              <w:left w:w="20" w:type="nil"/>
              <w:bottom w:w="20" w:type="nil"/>
              <w:right w:w="20" w:type="nil"/>
            </w:tcMar>
            <w:vAlign w:val="center"/>
          </w:tcPr>
          <w:p w14:paraId="5AFD7A33"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-0.389</w:t>
            </w:r>
            <w:r w:rsidRPr="00A7356B">
              <w:rPr>
                <w:rFonts w:ascii="Times" w:hAnsi="Times" w:cs="Times"/>
                <w:sz w:val="16"/>
                <w:szCs w:val="16"/>
                <w:vertAlign w:val="superscript"/>
                <w:lang w:val="en-US"/>
              </w:rPr>
              <w:t>*</w:t>
            </w:r>
          </w:p>
        </w:tc>
        <w:tc>
          <w:tcPr>
            <w:tcW w:w="1053" w:type="dxa"/>
            <w:tcMar>
              <w:top w:w="20" w:type="nil"/>
              <w:left w:w="20" w:type="nil"/>
              <w:bottom w:w="20" w:type="nil"/>
              <w:right w:w="20" w:type="nil"/>
            </w:tcMar>
            <w:vAlign w:val="center"/>
          </w:tcPr>
          <w:p w14:paraId="4945ECB0"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-0.381</w:t>
            </w:r>
            <w:r w:rsidRPr="00A7356B">
              <w:rPr>
                <w:rFonts w:ascii="Times" w:hAnsi="Times" w:cs="Times"/>
                <w:sz w:val="16"/>
                <w:szCs w:val="16"/>
                <w:vertAlign w:val="superscript"/>
                <w:lang w:val="en-US"/>
              </w:rPr>
              <w:t>*</w:t>
            </w:r>
          </w:p>
        </w:tc>
        <w:tc>
          <w:tcPr>
            <w:tcW w:w="1334" w:type="dxa"/>
            <w:tcMar>
              <w:top w:w="20" w:type="nil"/>
              <w:left w:w="20" w:type="nil"/>
              <w:bottom w:w="20" w:type="nil"/>
              <w:right w:w="20" w:type="nil"/>
            </w:tcMar>
            <w:vAlign w:val="center"/>
          </w:tcPr>
          <w:p w14:paraId="1A9606F0"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-0.382</w:t>
            </w:r>
            <w:r w:rsidRPr="00A7356B">
              <w:rPr>
                <w:rFonts w:ascii="Times" w:hAnsi="Times" w:cs="Times"/>
                <w:sz w:val="16"/>
                <w:szCs w:val="16"/>
                <w:vertAlign w:val="superscript"/>
                <w:lang w:val="en-US"/>
              </w:rPr>
              <w:t>*</w:t>
            </w:r>
          </w:p>
        </w:tc>
        <w:tc>
          <w:tcPr>
            <w:tcW w:w="1059" w:type="dxa"/>
            <w:tcMar>
              <w:top w:w="20" w:type="nil"/>
              <w:left w:w="20" w:type="nil"/>
              <w:bottom w:w="20" w:type="nil"/>
              <w:right w:w="20" w:type="nil"/>
            </w:tcMar>
            <w:vAlign w:val="center"/>
          </w:tcPr>
          <w:p w14:paraId="0894E75A"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-0.382</w:t>
            </w:r>
            <w:r w:rsidRPr="00A7356B">
              <w:rPr>
                <w:rFonts w:ascii="Times" w:hAnsi="Times" w:cs="Times"/>
                <w:sz w:val="16"/>
                <w:szCs w:val="16"/>
                <w:vertAlign w:val="superscript"/>
                <w:lang w:val="en-US"/>
              </w:rPr>
              <w:t>*</w:t>
            </w:r>
          </w:p>
        </w:tc>
      </w:tr>
      <w:tr w:rsidR="00047ADA" w:rsidRPr="00A7356B" w14:paraId="6A27AAB5" w14:textId="77777777" w:rsidTr="00047ADA">
        <w:tc>
          <w:tcPr>
            <w:tcW w:w="1560" w:type="dxa"/>
            <w:gridSpan w:val="2"/>
            <w:tcMar>
              <w:top w:w="20" w:type="nil"/>
              <w:left w:w="20" w:type="nil"/>
              <w:bottom w:w="20" w:type="nil"/>
              <w:right w:w="20" w:type="nil"/>
            </w:tcMar>
            <w:vAlign w:val="center"/>
          </w:tcPr>
          <w:p w14:paraId="5D673EEB"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936" w:type="dxa"/>
            <w:tcMar>
              <w:top w:w="20" w:type="nil"/>
              <w:left w:w="20" w:type="nil"/>
              <w:bottom w:w="20" w:type="nil"/>
              <w:right w:w="20" w:type="nil"/>
            </w:tcMar>
            <w:vAlign w:val="center"/>
          </w:tcPr>
          <w:p w14:paraId="5CE5AEA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(0.015)</w:t>
            </w:r>
          </w:p>
        </w:tc>
        <w:tc>
          <w:tcPr>
            <w:tcW w:w="1428" w:type="dxa"/>
            <w:tcMar>
              <w:top w:w="20" w:type="nil"/>
              <w:left w:w="20" w:type="nil"/>
              <w:bottom w:w="20" w:type="nil"/>
              <w:right w:w="20" w:type="nil"/>
            </w:tcMar>
            <w:vAlign w:val="center"/>
          </w:tcPr>
          <w:p w14:paraId="726A7BCF"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(0.201)</w:t>
            </w:r>
          </w:p>
        </w:tc>
        <w:tc>
          <w:tcPr>
            <w:tcW w:w="1404" w:type="dxa"/>
            <w:tcMar>
              <w:top w:w="20" w:type="nil"/>
              <w:left w:w="20" w:type="nil"/>
              <w:bottom w:w="20" w:type="nil"/>
              <w:right w:w="20" w:type="nil"/>
            </w:tcMar>
            <w:vAlign w:val="center"/>
          </w:tcPr>
          <w:p w14:paraId="7A1C9C0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(0.201)</w:t>
            </w:r>
          </w:p>
        </w:tc>
        <w:tc>
          <w:tcPr>
            <w:tcW w:w="1152" w:type="dxa"/>
            <w:tcMar>
              <w:top w:w="20" w:type="nil"/>
              <w:left w:w="20" w:type="nil"/>
              <w:bottom w:w="20" w:type="nil"/>
              <w:right w:w="20" w:type="nil"/>
            </w:tcMar>
            <w:vAlign w:val="center"/>
          </w:tcPr>
          <w:p w14:paraId="369B6F45"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(0.213)</w:t>
            </w:r>
          </w:p>
        </w:tc>
        <w:tc>
          <w:tcPr>
            <w:tcW w:w="1053" w:type="dxa"/>
            <w:tcMar>
              <w:top w:w="20" w:type="nil"/>
              <w:left w:w="20" w:type="nil"/>
              <w:bottom w:w="20" w:type="nil"/>
              <w:right w:w="20" w:type="nil"/>
            </w:tcMar>
            <w:vAlign w:val="center"/>
          </w:tcPr>
          <w:p w14:paraId="04088E1A"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(0.213)</w:t>
            </w:r>
          </w:p>
        </w:tc>
        <w:tc>
          <w:tcPr>
            <w:tcW w:w="1334" w:type="dxa"/>
            <w:tcMar>
              <w:top w:w="20" w:type="nil"/>
              <w:left w:w="20" w:type="nil"/>
              <w:bottom w:w="20" w:type="nil"/>
              <w:right w:w="20" w:type="nil"/>
            </w:tcMar>
            <w:vAlign w:val="center"/>
          </w:tcPr>
          <w:p w14:paraId="57401B5D"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(0.208)</w:t>
            </w:r>
          </w:p>
        </w:tc>
        <w:tc>
          <w:tcPr>
            <w:tcW w:w="1059" w:type="dxa"/>
            <w:tcMar>
              <w:top w:w="20" w:type="nil"/>
              <w:left w:w="20" w:type="nil"/>
              <w:bottom w:w="20" w:type="nil"/>
              <w:right w:w="20" w:type="nil"/>
            </w:tcMar>
            <w:vAlign w:val="center"/>
          </w:tcPr>
          <w:p w14:paraId="5166A72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(0.213)</w:t>
            </w:r>
          </w:p>
        </w:tc>
      </w:tr>
      <w:tr w:rsidR="00047ADA" w:rsidRPr="00A7356B" w14:paraId="56814EA8" w14:textId="77777777" w:rsidTr="00047ADA">
        <w:tc>
          <w:tcPr>
            <w:tcW w:w="1560" w:type="dxa"/>
            <w:gridSpan w:val="2"/>
            <w:tcMar>
              <w:top w:w="20" w:type="nil"/>
              <w:left w:w="20" w:type="nil"/>
              <w:bottom w:w="20" w:type="nil"/>
              <w:right w:w="20" w:type="nil"/>
            </w:tcMar>
            <w:vAlign w:val="center"/>
          </w:tcPr>
          <w:p w14:paraId="0ECCC14A"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Land</w:t>
            </w:r>
          </w:p>
        </w:tc>
        <w:tc>
          <w:tcPr>
            <w:tcW w:w="936" w:type="dxa"/>
            <w:tcMar>
              <w:top w:w="20" w:type="nil"/>
              <w:left w:w="20" w:type="nil"/>
              <w:bottom w:w="20" w:type="nil"/>
              <w:right w:w="20" w:type="nil"/>
            </w:tcMar>
            <w:vAlign w:val="center"/>
          </w:tcPr>
          <w:p w14:paraId="601FFE0F"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0.008</w:t>
            </w:r>
            <w:r w:rsidRPr="00A7356B">
              <w:rPr>
                <w:rFonts w:ascii="Times" w:hAnsi="Times" w:cs="Times"/>
                <w:sz w:val="16"/>
                <w:szCs w:val="16"/>
                <w:vertAlign w:val="superscript"/>
                <w:lang w:val="en-US"/>
              </w:rPr>
              <w:t>***</w:t>
            </w:r>
          </w:p>
        </w:tc>
        <w:tc>
          <w:tcPr>
            <w:tcW w:w="1428" w:type="dxa"/>
            <w:tcMar>
              <w:top w:w="20" w:type="nil"/>
              <w:left w:w="20" w:type="nil"/>
              <w:bottom w:w="20" w:type="nil"/>
              <w:right w:w="20" w:type="nil"/>
            </w:tcMar>
            <w:vAlign w:val="center"/>
          </w:tcPr>
          <w:p w14:paraId="46627EE8"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0.211</w:t>
            </w:r>
            <w:r w:rsidRPr="00A7356B">
              <w:rPr>
                <w:rFonts w:ascii="Times" w:hAnsi="Times" w:cs="Times"/>
                <w:sz w:val="16"/>
                <w:szCs w:val="16"/>
                <w:vertAlign w:val="superscript"/>
                <w:lang w:val="en-US"/>
              </w:rPr>
              <w:t>***</w:t>
            </w:r>
          </w:p>
        </w:tc>
        <w:tc>
          <w:tcPr>
            <w:tcW w:w="1404" w:type="dxa"/>
            <w:tcMar>
              <w:top w:w="20" w:type="nil"/>
              <w:left w:w="20" w:type="nil"/>
              <w:bottom w:w="20" w:type="nil"/>
              <w:right w:w="20" w:type="nil"/>
            </w:tcMar>
            <w:vAlign w:val="center"/>
          </w:tcPr>
          <w:p w14:paraId="4BAB74FB"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0.179</w:t>
            </w:r>
            <w:r w:rsidRPr="00A7356B">
              <w:rPr>
                <w:rFonts w:ascii="Times" w:hAnsi="Times" w:cs="Times"/>
                <w:sz w:val="16"/>
                <w:szCs w:val="16"/>
                <w:vertAlign w:val="superscript"/>
                <w:lang w:val="en-US"/>
              </w:rPr>
              <w:t>***</w:t>
            </w:r>
          </w:p>
        </w:tc>
        <w:tc>
          <w:tcPr>
            <w:tcW w:w="1152" w:type="dxa"/>
            <w:tcMar>
              <w:top w:w="20" w:type="nil"/>
              <w:left w:w="20" w:type="nil"/>
              <w:bottom w:w="20" w:type="nil"/>
              <w:right w:w="20" w:type="nil"/>
            </w:tcMar>
            <w:vAlign w:val="center"/>
          </w:tcPr>
          <w:p w14:paraId="0BB38DD7"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0.182</w:t>
            </w:r>
            <w:r w:rsidRPr="00A7356B">
              <w:rPr>
                <w:rFonts w:ascii="Times" w:hAnsi="Times" w:cs="Times"/>
                <w:sz w:val="16"/>
                <w:szCs w:val="16"/>
                <w:vertAlign w:val="superscript"/>
                <w:lang w:val="en-US"/>
              </w:rPr>
              <w:t>***</w:t>
            </w:r>
          </w:p>
        </w:tc>
        <w:tc>
          <w:tcPr>
            <w:tcW w:w="1053" w:type="dxa"/>
            <w:tcMar>
              <w:top w:w="20" w:type="nil"/>
              <w:left w:w="20" w:type="nil"/>
              <w:bottom w:w="20" w:type="nil"/>
              <w:right w:w="20" w:type="nil"/>
            </w:tcMar>
            <w:vAlign w:val="center"/>
          </w:tcPr>
          <w:p w14:paraId="02551D9E"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0.186</w:t>
            </w:r>
            <w:r w:rsidRPr="00A7356B">
              <w:rPr>
                <w:rFonts w:ascii="Times" w:hAnsi="Times" w:cs="Times"/>
                <w:sz w:val="16"/>
                <w:szCs w:val="16"/>
                <w:vertAlign w:val="superscript"/>
                <w:lang w:val="en-US"/>
              </w:rPr>
              <w:t>***</w:t>
            </w:r>
          </w:p>
        </w:tc>
        <w:tc>
          <w:tcPr>
            <w:tcW w:w="1334" w:type="dxa"/>
            <w:tcMar>
              <w:top w:w="20" w:type="nil"/>
              <w:left w:w="20" w:type="nil"/>
              <w:bottom w:w="20" w:type="nil"/>
              <w:right w:w="20" w:type="nil"/>
            </w:tcMar>
            <w:vAlign w:val="center"/>
          </w:tcPr>
          <w:p w14:paraId="165DE5D5"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0.187</w:t>
            </w:r>
            <w:r w:rsidRPr="00A7356B">
              <w:rPr>
                <w:rFonts w:ascii="Times" w:hAnsi="Times" w:cs="Times"/>
                <w:sz w:val="16"/>
                <w:szCs w:val="16"/>
                <w:vertAlign w:val="superscript"/>
                <w:lang w:val="en-US"/>
              </w:rPr>
              <w:t>***</w:t>
            </w:r>
          </w:p>
        </w:tc>
        <w:tc>
          <w:tcPr>
            <w:tcW w:w="1059" w:type="dxa"/>
            <w:tcMar>
              <w:top w:w="20" w:type="nil"/>
              <w:left w:w="20" w:type="nil"/>
              <w:bottom w:w="20" w:type="nil"/>
              <w:right w:w="20" w:type="nil"/>
            </w:tcMar>
            <w:vAlign w:val="center"/>
          </w:tcPr>
          <w:p w14:paraId="2B46CF0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0.187</w:t>
            </w:r>
            <w:r w:rsidRPr="00A7356B">
              <w:rPr>
                <w:rFonts w:ascii="Times" w:hAnsi="Times" w:cs="Times"/>
                <w:sz w:val="16"/>
                <w:szCs w:val="16"/>
                <w:vertAlign w:val="superscript"/>
                <w:lang w:val="en-US"/>
              </w:rPr>
              <w:t>***</w:t>
            </w:r>
          </w:p>
        </w:tc>
      </w:tr>
      <w:tr w:rsidR="00047ADA" w:rsidRPr="00A7356B" w14:paraId="1C64CF8C" w14:textId="77777777" w:rsidTr="00047ADA">
        <w:tc>
          <w:tcPr>
            <w:tcW w:w="1560" w:type="dxa"/>
            <w:gridSpan w:val="2"/>
            <w:tcMar>
              <w:top w:w="20" w:type="nil"/>
              <w:left w:w="20" w:type="nil"/>
              <w:bottom w:w="20" w:type="nil"/>
              <w:right w:w="20" w:type="nil"/>
            </w:tcMar>
            <w:vAlign w:val="center"/>
          </w:tcPr>
          <w:p w14:paraId="39B35A53"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936" w:type="dxa"/>
            <w:tcMar>
              <w:top w:w="20" w:type="nil"/>
              <w:left w:w="20" w:type="nil"/>
              <w:bottom w:w="20" w:type="nil"/>
              <w:right w:w="20" w:type="nil"/>
            </w:tcMar>
            <w:vAlign w:val="center"/>
          </w:tcPr>
          <w:p w14:paraId="309CED15"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(0.001)</w:t>
            </w:r>
          </w:p>
        </w:tc>
        <w:tc>
          <w:tcPr>
            <w:tcW w:w="1428" w:type="dxa"/>
            <w:tcMar>
              <w:top w:w="20" w:type="nil"/>
              <w:left w:w="20" w:type="nil"/>
              <w:bottom w:w="20" w:type="nil"/>
              <w:right w:w="20" w:type="nil"/>
            </w:tcMar>
            <w:vAlign w:val="center"/>
          </w:tcPr>
          <w:p w14:paraId="0F400AAF"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(0.022)</w:t>
            </w:r>
          </w:p>
        </w:tc>
        <w:tc>
          <w:tcPr>
            <w:tcW w:w="1404" w:type="dxa"/>
            <w:tcMar>
              <w:top w:w="20" w:type="nil"/>
              <w:left w:w="20" w:type="nil"/>
              <w:bottom w:w="20" w:type="nil"/>
              <w:right w:w="20" w:type="nil"/>
            </w:tcMar>
            <w:vAlign w:val="center"/>
          </w:tcPr>
          <w:p w14:paraId="26E69D10"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(0.023)</w:t>
            </w:r>
          </w:p>
        </w:tc>
        <w:tc>
          <w:tcPr>
            <w:tcW w:w="1152" w:type="dxa"/>
            <w:tcMar>
              <w:top w:w="20" w:type="nil"/>
              <w:left w:w="20" w:type="nil"/>
              <w:bottom w:w="20" w:type="nil"/>
              <w:right w:w="20" w:type="nil"/>
            </w:tcMar>
            <w:vAlign w:val="center"/>
          </w:tcPr>
          <w:p w14:paraId="78243F35"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(0.027)</w:t>
            </w:r>
          </w:p>
        </w:tc>
        <w:tc>
          <w:tcPr>
            <w:tcW w:w="1053" w:type="dxa"/>
            <w:tcMar>
              <w:top w:w="20" w:type="nil"/>
              <w:left w:w="20" w:type="nil"/>
              <w:bottom w:w="20" w:type="nil"/>
              <w:right w:w="20" w:type="nil"/>
            </w:tcMar>
            <w:vAlign w:val="center"/>
          </w:tcPr>
          <w:p w14:paraId="2199D0A3"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(0.027)</w:t>
            </w:r>
          </w:p>
        </w:tc>
        <w:tc>
          <w:tcPr>
            <w:tcW w:w="1334" w:type="dxa"/>
            <w:tcMar>
              <w:top w:w="20" w:type="nil"/>
              <w:left w:w="20" w:type="nil"/>
              <w:bottom w:w="20" w:type="nil"/>
              <w:right w:w="20" w:type="nil"/>
            </w:tcMar>
            <w:vAlign w:val="center"/>
          </w:tcPr>
          <w:p w14:paraId="24E5C4C6"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(0.024)</w:t>
            </w:r>
          </w:p>
        </w:tc>
        <w:tc>
          <w:tcPr>
            <w:tcW w:w="1059" w:type="dxa"/>
            <w:tcMar>
              <w:top w:w="20" w:type="nil"/>
              <w:left w:w="20" w:type="nil"/>
              <w:bottom w:w="20" w:type="nil"/>
              <w:right w:w="20" w:type="nil"/>
            </w:tcMar>
            <w:vAlign w:val="center"/>
          </w:tcPr>
          <w:p w14:paraId="1DBAA551"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(0.027)</w:t>
            </w:r>
          </w:p>
        </w:tc>
      </w:tr>
      <w:tr w:rsidR="00047ADA" w:rsidRPr="00A7356B" w14:paraId="1EC590F7" w14:textId="77777777" w:rsidTr="00047ADA">
        <w:tc>
          <w:tcPr>
            <w:tcW w:w="1560" w:type="dxa"/>
            <w:gridSpan w:val="2"/>
            <w:tcMar>
              <w:top w:w="20" w:type="nil"/>
              <w:left w:w="20" w:type="nil"/>
              <w:bottom w:w="20" w:type="nil"/>
              <w:right w:w="20" w:type="nil"/>
            </w:tcMar>
            <w:vAlign w:val="center"/>
          </w:tcPr>
          <w:p w14:paraId="627AED66"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RTA</w:t>
            </w:r>
          </w:p>
        </w:tc>
        <w:tc>
          <w:tcPr>
            <w:tcW w:w="936" w:type="dxa"/>
            <w:tcMar>
              <w:top w:w="20" w:type="nil"/>
              <w:left w:w="20" w:type="nil"/>
              <w:bottom w:w="20" w:type="nil"/>
              <w:right w:w="20" w:type="nil"/>
            </w:tcMar>
            <w:vAlign w:val="center"/>
          </w:tcPr>
          <w:p w14:paraId="20F23D18"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0.033</w:t>
            </w:r>
            <w:r w:rsidRPr="00A7356B">
              <w:rPr>
                <w:rFonts w:ascii="Times" w:hAnsi="Times" w:cs="Times"/>
                <w:sz w:val="16"/>
                <w:szCs w:val="16"/>
                <w:vertAlign w:val="superscript"/>
                <w:lang w:val="en-US"/>
              </w:rPr>
              <w:t>***</w:t>
            </w:r>
          </w:p>
        </w:tc>
        <w:tc>
          <w:tcPr>
            <w:tcW w:w="1428" w:type="dxa"/>
            <w:tcMar>
              <w:top w:w="20" w:type="nil"/>
              <w:left w:w="20" w:type="nil"/>
              <w:bottom w:w="20" w:type="nil"/>
              <w:right w:w="20" w:type="nil"/>
            </w:tcMar>
            <w:vAlign w:val="center"/>
          </w:tcPr>
          <w:p w14:paraId="081E8FC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-0.210</w:t>
            </w:r>
            <w:r w:rsidRPr="00A7356B">
              <w:rPr>
                <w:rFonts w:ascii="Times" w:hAnsi="Times" w:cs="Times"/>
                <w:sz w:val="16"/>
                <w:szCs w:val="16"/>
                <w:vertAlign w:val="superscript"/>
                <w:lang w:val="en-US"/>
              </w:rPr>
              <w:t>*</w:t>
            </w:r>
          </w:p>
        </w:tc>
        <w:tc>
          <w:tcPr>
            <w:tcW w:w="1404" w:type="dxa"/>
            <w:tcMar>
              <w:top w:w="20" w:type="nil"/>
              <w:left w:w="20" w:type="nil"/>
              <w:bottom w:w="20" w:type="nil"/>
              <w:right w:w="20" w:type="nil"/>
            </w:tcMar>
            <w:vAlign w:val="center"/>
          </w:tcPr>
          <w:p w14:paraId="177F42EE"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-0.327</w:t>
            </w:r>
            <w:r w:rsidRPr="00A7356B">
              <w:rPr>
                <w:rFonts w:ascii="Times" w:hAnsi="Times" w:cs="Times"/>
                <w:sz w:val="16"/>
                <w:szCs w:val="16"/>
                <w:vertAlign w:val="superscript"/>
                <w:lang w:val="en-US"/>
              </w:rPr>
              <w:t>***</w:t>
            </w:r>
          </w:p>
        </w:tc>
        <w:tc>
          <w:tcPr>
            <w:tcW w:w="1152" w:type="dxa"/>
            <w:tcMar>
              <w:top w:w="20" w:type="nil"/>
              <w:left w:w="20" w:type="nil"/>
              <w:bottom w:w="20" w:type="nil"/>
              <w:right w:w="20" w:type="nil"/>
            </w:tcMar>
            <w:vAlign w:val="center"/>
          </w:tcPr>
          <w:p w14:paraId="08375252"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-0.401</w:t>
            </w:r>
            <w:r w:rsidRPr="00A7356B">
              <w:rPr>
                <w:rFonts w:ascii="Times" w:hAnsi="Times" w:cs="Times"/>
                <w:sz w:val="16"/>
                <w:szCs w:val="16"/>
                <w:vertAlign w:val="superscript"/>
                <w:lang w:val="en-US"/>
              </w:rPr>
              <w:t>***</w:t>
            </w:r>
          </w:p>
        </w:tc>
        <w:tc>
          <w:tcPr>
            <w:tcW w:w="1053" w:type="dxa"/>
            <w:tcMar>
              <w:top w:w="20" w:type="nil"/>
              <w:left w:w="20" w:type="nil"/>
              <w:bottom w:w="20" w:type="nil"/>
              <w:right w:w="20" w:type="nil"/>
            </w:tcMar>
            <w:vAlign w:val="center"/>
          </w:tcPr>
          <w:p w14:paraId="4D5DCD8F"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-0.379</w:t>
            </w:r>
            <w:r w:rsidRPr="00A7356B">
              <w:rPr>
                <w:rFonts w:ascii="Times" w:hAnsi="Times" w:cs="Times"/>
                <w:sz w:val="16"/>
                <w:szCs w:val="16"/>
                <w:vertAlign w:val="superscript"/>
                <w:lang w:val="en-US"/>
              </w:rPr>
              <w:t>***</w:t>
            </w:r>
          </w:p>
        </w:tc>
        <w:tc>
          <w:tcPr>
            <w:tcW w:w="1334" w:type="dxa"/>
            <w:tcMar>
              <w:top w:w="20" w:type="nil"/>
              <w:left w:w="20" w:type="nil"/>
              <w:bottom w:w="20" w:type="nil"/>
              <w:right w:w="20" w:type="nil"/>
            </w:tcMar>
            <w:vAlign w:val="center"/>
          </w:tcPr>
          <w:p w14:paraId="22A3C284"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-0.390</w:t>
            </w:r>
            <w:r w:rsidRPr="00A7356B">
              <w:rPr>
                <w:rFonts w:ascii="Times" w:hAnsi="Times" w:cs="Times"/>
                <w:sz w:val="16"/>
                <w:szCs w:val="16"/>
                <w:vertAlign w:val="superscript"/>
                <w:lang w:val="en-US"/>
              </w:rPr>
              <w:t>***</w:t>
            </w:r>
          </w:p>
        </w:tc>
        <w:tc>
          <w:tcPr>
            <w:tcW w:w="1059" w:type="dxa"/>
            <w:tcMar>
              <w:top w:w="20" w:type="nil"/>
              <w:left w:w="20" w:type="nil"/>
              <w:bottom w:w="20" w:type="nil"/>
              <w:right w:w="20" w:type="nil"/>
            </w:tcMar>
            <w:vAlign w:val="center"/>
          </w:tcPr>
          <w:p w14:paraId="7F69F414"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-0.390</w:t>
            </w:r>
            <w:r w:rsidRPr="00A7356B">
              <w:rPr>
                <w:rFonts w:ascii="Times" w:hAnsi="Times" w:cs="Times"/>
                <w:sz w:val="16"/>
                <w:szCs w:val="16"/>
                <w:vertAlign w:val="superscript"/>
                <w:lang w:val="en-US"/>
              </w:rPr>
              <w:t>***</w:t>
            </w:r>
          </w:p>
        </w:tc>
      </w:tr>
      <w:tr w:rsidR="00047ADA" w:rsidRPr="00A7356B" w14:paraId="4CC41CD8" w14:textId="77777777" w:rsidTr="00047ADA">
        <w:tc>
          <w:tcPr>
            <w:tcW w:w="1560" w:type="dxa"/>
            <w:gridSpan w:val="2"/>
            <w:tcMar>
              <w:top w:w="20" w:type="nil"/>
              <w:left w:w="20" w:type="nil"/>
              <w:bottom w:w="20" w:type="nil"/>
              <w:right w:w="20" w:type="nil"/>
            </w:tcMar>
            <w:vAlign w:val="center"/>
          </w:tcPr>
          <w:p w14:paraId="1C570436"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936" w:type="dxa"/>
            <w:tcMar>
              <w:top w:w="20" w:type="nil"/>
              <w:left w:w="20" w:type="nil"/>
              <w:bottom w:w="20" w:type="nil"/>
              <w:right w:w="20" w:type="nil"/>
            </w:tcMar>
            <w:vAlign w:val="center"/>
          </w:tcPr>
          <w:p w14:paraId="5149531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(0.005)</w:t>
            </w:r>
          </w:p>
        </w:tc>
        <w:tc>
          <w:tcPr>
            <w:tcW w:w="1428" w:type="dxa"/>
            <w:tcMar>
              <w:top w:w="20" w:type="nil"/>
              <w:left w:w="20" w:type="nil"/>
              <w:bottom w:w="20" w:type="nil"/>
              <w:right w:w="20" w:type="nil"/>
            </w:tcMar>
            <w:vAlign w:val="center"/>
          </w:tcPr>
          <w:p w14:paraId="0505CADD"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(0.127)</w:t>
            </w:r>
          </w:p>
        </w:tc>
        <w:tc>
          <w:tcPr>
            <w:tcW w:w="1404" w:type="dxa"/>
            <w:tcMar>
              <w:top w:w="20" w:type="nil"/>
              <w:left w:w="20" w:type="nil"/>
              <w:bottom w:w="20" w:type="nil"/>
              <w:right w:w="20" w:type="nil"/>
            </w:tcMar>
            <w:vAlign w:val="center"/>
          </w:tcPr>
          <w:p w14:paraId="4A443F86"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(0.126)</w:t>
            </w:r>
          </w:p>
        </w:tc>
        <w:tc>
          <w:tcPr>
            <w:tcW w:w="1152" w:type="dxa"/>
            <w:tcMar>
              <w:top w:w="20" w:type="nil"/>
              <w:left w:w="20" w:type="nil"/>
              <w:bottom w:w="20" w:type="nil"/>
              <w:right w:w="20" w:type="nil"/>
            </w:tcMar>
            <w:vAlign w:val="center"/>
          </w:tcPr>
          <w:p w14:paraId="3745DD35"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(0.143)</w:t>
            </w:r>
          </w:p>
        </w:tc>
        <w:tc>
          <w:tcPr>
            <w:tcW w:w="1053" w:type="dxa"/>
            <w:tcMar>
              <w:top w:w="20" w:type="nil"/>
              <w:left w:w="20" w:type="nil"/>
              <w:bottom w:w="20" w:type="nil"/>
              <w:right w:w="20" w:type="nil"/>
            </w:tcMar>
            <w:vAlign w:val="center"/>
          </w:tcPr>
          <w:p w14:paraId="0E4418D1"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(0.142)</w:t>
            </w:r>
          </w:p>
        </w:tc>
        <w:tc>
          <w:tcPr>
            <w:tcW w:w="1334" w:type="dxa"/>
            <w:tcMar>
              <w:top w:w="20" w:type="nil"/>
              <w:left w:w="20" w:type="nil"/>
              <w:bottom w:w="20" w:type="nil"/>
              <w:right w:w="20" w:type="nil"/>
            </w:tcMar>
            <w:vAlign w:val="center"/>
          </w:tcPr>
          <w:p w14:paraId="6578C63E"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(0.131)</w:t>
            </w:r>
          </w:p>
        </w:tc>
        <w:tc>
          <w:tcPr>
            <w:tcW w:w="1059" w:type="dxa"/>
            <w:tcMar>
              <w:top w:w="20" w:type="nil"/>
              <w:left w:w="20" w:type="nil"/>
              <w:bottom w:w="20" w:type="nil"/>
              <w:right w:w="20" w:type="nil"/>
            </w:tcMar>
            <w:vAlign w:val="center"/>
          </w:tcPr>
          <w:p w14:paraId="655A1AD4"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(0.142)</w:t>
            </w:r>
          </w:p>
        </w:tc>
      </w:tr>
      <w:tr w:rsidR="00047ADA" w:rsidRPr="00A7356B" w14:paraId="1DE563AD" w14:textId="77777777" w:rsidTr="00047ADA">
        <w:tc>
          <w:tcPr>
            <w:tcW w:w="1560" w:type="dxa"/>
            <w:gridSpan w:val="2"/>
            <w:tcMar>
              <w:top w:w="20" w:type="nil"/>
              <w:left w:w="20" w:type="nil"/>
              <w:bottom w:w="20" w:type="nil"/>
              <w:right w:w="20" w:type="nil"/>
            </w:tcMar>
            <w:vAlign w:val="center"/>
          </w:tcPr>
          <w:p w14:paraId="1A935E8A"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Price</w:t>
            </w:r>
          </w:p>
        </w:tc>
        <w:tc>
          <w:tcPr>
            <w:tcW w:w="936" w:type="dxa"/>
            <w:tcMar>
              <w:top w:w="20" w:type="nil"/>
              <w:left w:w="20" w:type="nil"/>
              <w:bottom w:w="20" w:type="nil"/>
              <w:right w:w="20" w:type="nil"/>
            </w:tcMar>
            <w:vAlign w:val="center"/>
          </w:tcPr>
          <w:p w14:paraId="229EA655"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428" w:type="dxa"/>
            <w:tcMar>
              <w:top w:w="20" w:type="nil"/>
              <w:left w:w="20" w:type="nil"/>
              <w:bottom w:w="20" w:type="nil"/>
              <w:right w:w="20" w:type="nil"/>
            </w:tcMar>
            <w:vAlign w:val="center"/>
          </w:tcPr>
          <w:p w14:paraId="3B5FC852"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404" w:type="dxa"/>
            <w:tcMar>
              <w:top w:w="20" w:type="nil"/>
              <w:left w:w="20" w:type="nil"/>
              <w:bottom w:w="20" w:type="nil"/>
              <w:right w:w="20" w:type="nil"/>
            </w:tcMar>
            <w:vAlign w:val="center"/>
          </w:tcPr>
          <w:p w14:paraId="6494C987"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152" w:type="dxa"/>
            <w:tcMar>
              <w:top w:w="20" w:type="nil"/>
              <w:left w:w="20" w:type="nil"/>
              <w:bottom w:w="20" w:type="nil"/>
              <w:right w:w="20" w:type="nil"/>
            </w:tcMar>
            <w:vAlign w:val="center"/>
          </w:tcPr>
          <w:p w14:paraId="3B0434C8"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5.223</w:t>
            </w:r>
            <w:r w:rsidRPr="00A7356B">
              <w:rPr>
                <w:rFonts w:ascii="Times" w:hAnsi="Times" w:cs="Times"/>
                <w:sz w:val="16"/>
                <w:szCs w:val="16"/>
                <w:vertAlign w:val="superscript"/>
                <w:lang w:val="en-US"/>
              </w:rPr>
              <w:t>**</w:t>
            </w:r>
          </w:p>
        </w:tc>
        <w:tc>
          <w:tcPr>
            <w:tcW w:w="1053" w:type="dxa"/>
            <w:tcMar>
              <w:top w:w="20" w:type="nil"/>
              <w:left w:w="20" w:type="nil"/>
              <w:bottom w:w="20" w:type="nil"/>
              <w:right w:w="20" w:type="nil"/>
            </w:tcMar>
            <w:vAlign w:val="center"/>
          </w:tcPr>
          <w:p w14:paraId="2B69B65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5.229</w:t>
            </w:r>
            <w:r w:rsidRPr="00A7356B">
              <w:rPr>
                <w:rFonts w:ascii="Times" w:hAnsi="Times" w:cs="Times"/>
                <w:sz w:val="16"/>
                <w:szCs w:val="16"/>
                <w:vertAlign w:val="superscript"/>
                <w:lang w:val="en-US"/>
              </w:rPr>
              <w:t>**</w:t>
            </w:r>
          </w:p>
        </w:tc>
        <w:tc>
          <w:tcPr>
            <w:tcW w:w="1334" w:type="dxa"/>
            <w:tcMar>
              <w:top w:w="20" w:type="nil"/>
              <w:left w:w="20" w:type="nil"/>
              <w:bottom w:w="20" w:type="nil"/>
              <w:right w:w="20" w:type="nil"/>
            </w:tcMar>
            <w:vAlign w:val="center"/>
          </w:tcPr>
          <w:p w14:paraId="11853812"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5.246</w:t>
            </w:r>
            <w:r w:rsidRPr="00A7356B">
              <w:rPr>
                <w:rFonts w:ascii="Times" w:hAnsi="Times" w:cs="Times"/>
                <w:sz w:val="16"/>
                <w:szCs w:val="16"/>
                <w:vertAlign w:val="superscript"/>
                <w:lang w:val="en-US"/>
              </w:rPr>
              <w:t>**</w:t>
            </w:r>
          </w:p>
        </w:tc>
        <w:tc>
          <w:tcPr>
            <w:tcW w:w="1059" w:type="dxa"/>
            <w:tcMar>
              <w:top w:w="20" w:type="nil"/>
              <w:left w:w="20" w:type="nil"/>
              <w:bottom w:w="20" w:type="nil"/>
              <w:right w:w="20" w:type="nil"/>
            </w:tcMar>
            <w:vAlign w:val="center"/>
          </w:tcPr>
          <w:p w14:paraId="3EC4C5CF"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5.246</w:t>
            </w:r>
            <w:r w:rsidRPr="00A7356B">
              <w:rPr>
                <w:rFonts w:ascii="Times" w:hAnsi="Times" w:cs="Times"/>
                <w:sz w:val="16"/>
                <w:szCs w:val="16"/>
                <w:vertAlign w:val="superscript"/>
                <w:lang w:val="en-US"/>
              </w:rPr>
              <w:t>**</w:t>
            </w:r>
          </w:p>
        </w:tc>
      </w:tr>
      <w:tr w:rsidR="00047ADA" w:rsidRPr="00A7356B" w14:paraId="76EF2F1D" w14:textId="77777777" w:rsidTr="00047ADA">
        <w:tc>
          <w:tcPr>
            <w:tcW w:w="1560" w:type="dxa"/>
            <w:gridSpan w:val="2"/>
            <w:tcMar>
              <w:top w:w="20" w:type="nil"/>
              <w:left w:w="20" w:type="nil"/>
              <w:bottom w:w="20" w:type="nil"/>
              <w:right w:w="20" w:type="nil"/>
            </w:tcMar>
            <w:vAlign w:val="center"/>
          </w:tcPr>
          <w:p w14:paraId="042DB6A6"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936" w:type="dxa"/>
            <w:tcMar>
              <w:top w:w="20" w:type="nil"/>
              <w:left w:w="20" w:type="nil"/>
              <w:bottom w:w="20" w:type="nil"/>
              <w:right w:w="20" w:type="nil"/>
            </w:tcMar>
            <w:vAlign w:val="center"/>
          </w:tcPr>
          <w:p w14:paraId="68C4A6C4"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428" w:type="dxa"/>
            <w:tcMar>
              <w:top w:w="20" w:type="nil"/>
              <w:left w:w="20" w:type="nil"/>
              <w:bottom w:w="20" w:type="nil"/>
              <w:right w:w="20" w:type="nil"/>
            </w:tcMar>
            <w:vAlign w:val="center"/>
          </w:tcPr>
          <w:p w14:paraId="5B3E8A56"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404" w:type="dxa"/>
            <w:tcMar>
              <w:top w:w="20" w:type="nil"/>
              <w:left w:w="20" w:type="nil"/>
              <w:bottom w:w="20" w:type="nil"/>
              <w:right w:w="20" w:type="nil"/>
            </w:tcMar>
            <w:vAlign w:val="center"/>
          </w:tcPr>
          <w:p w14:paraId="094DFCFB"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152" w:type="dxa"/>
            <w:tcMar>
              <w:top w:w="20" w:type="nil"/>
              <w:left w:w="20" w:type="nil"/>
              <w:bottom w:w="20" w:type="nil"/>
              <w:right w:w="20" w:type="nil"/>
            </w:tcMar>
            <w:vAlign w:val="center"/>
          </w:tcPr>
          <w:p w14:paraId="0FEEE6B4"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(2.273)</w:t>
            </w:r>
          </w:p>
        </w:tc>
        <w:tc>
          <w:tcPr>
            <w:tcW w:w="1053" w:type="dxa"/>
            <w:tcMar>
              <w:top w:w="20" w:type="nil"/>
              <w:left w:w="20" w:type="nil"/>
              <w:bottom w:w="20" w:type="nil"/>
              <w:right w:w="20" w:type="nil"/>
            </w:tcMar>
            <w:vAlign w:val="center"/>
          </w:tcPr>
          <w:p w14:paraId="5B153FB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(2.313)</w:t>
            </w:r>
          </w:p>
        </w:tc>
        <w:tc>
          <w:tcPr>
            <w:tcW w:w="1334" w:type="dxa"/>
            <w:tcMar>
              <w:top w:w="20" w:type="nil"/>
              <w:left w:w="20" w:type="nil"/>
              <w:bottom w:w="20" w:type="nil"/>
              <w:right w:w="20" w:type="nil"/>
            </w:tcMar>
            <w:vAlign w:val="center"/>
          </w:tcPr>
          <w:p w14:paraId="593AFFEA"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(2.518)</w:t>
            </w:r>
          </w:p>
        </w:tc>
        <w:tc>
          <w:tcPr>
            <w:tcW w:w="1059" w:type="dxa"/>
            <w:tcMar>
              <w:top w:w="20" w:type="nil"/>
              <w:left w:w="20" w:type="nil"/>
              <w:bottom w:w="20" w:type="nil"/>
              <w:right w:w="20" w:type="nil"/>
            </w:tcMar>
            <w:vAlign w:val="center"/>
          </w:tcPr>
          <w:p w14:paraId="47788E12"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(2.317)</w:t>
            </w:r>
          </w:p>
        </w:tc>
      </w:tr>
      <w:tr w:rsidR="00047ADA" w:rsidRPr="00A7356B" w14:paraId="69323EAC" w14:textId="77777777" w:rsidTr="00047ADA">
        <w:tc>
          <w:tcPr>
            <w:tcW w:w="1560" w:type="dxa"/>
            <w:gridSpan w:val="2"/>
            <w:tcMar>
              <w:top w:w="20" w:type="nil"/>
              <w:left w:w="20" w:type="nil"/>
              <w:bottom w:w="20" w:type="nil"/>
              <w:right w:w="20" w:type="nil"/>
            </w:tcMar>
            <w:vAlign w:val="center"/>
          </w:tcPr>
          <w:p w14:paraId="50EF5EED"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roofErr w:type="spellStart"/>
            <w:r w:rsidRPr="00A7356B">
              <w:rPr>
                <w:rFonts w:ascii="Times" w:hAnsi="Times" w:cs="Times"/>
                <w:sz w:val="16"/>
                <w:szCs w:val="16"/>
                <w:lang w:val="en-US"/>
              </w:rPr>
              <w:t>Mand</w:t>
            </w:r>
            <w:proofErr w:type="spellEnd"/>
            <w:r w:rsidRPr="00A7356B">
              <w:rPr>
                <w:rFonts w:ascii="Times" w:hAnsi="Times" w:cs="Times"/>
                <w:sz w:val="16"/>
                <w:szCs w:val="16"/>
                <w:lang w:val="en-US"/>
              </w:rPr>
              <w:t>. Label</w:t>
            </w:r>
          </w:p>
        </w:tc>
        <w:tc>
          <w:tcPr>
            <w:tcW w:w="936" w:type="dxa"/>
            <w:tcMar>
              <w:top w:w="20" w:type="nil"/>
              <w:left w:w="20" w:type="nil"/>
              <w:bottom w:w="20" w:type="nil"/>
              <w:right w:w="20" w:type="nil"/>
            </w:tcMar>
            <w:vAlign w:val="center"/>
          </w:tcPr>
          <w:p w14:paraId="0A197973"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-0.029</w:t>
            </w:r>
            <w:r w:rsidRPr="00A7356B">
              <w:rPr>
                <w:rFonts w:ascii="Times" w:hAnsi="Times" w:cs="Times"/>
                <w:sz w:val="16"/>
                <w:szCs w:val="16"/>
                <w:vertAlign w:val="superscript"/>
                <w:lang w:val="en-US"/>
              </w:rPr>
              <w:t>***</w:t>
            </w:r>
          </w:p>
        </w:tc>
        <w:tc>
          <w:tcPr>
            <w:tcW w:w="1428" w:type="dxa"/>
            <w:tcMar>
              <w:top w:w="20" w:type="nil"/>
              <w:left w:w="20" w:type="nil"/>
              <w:bottom w:w="20" w:type="nil"/>
              <w:right w:w="20" w:type="nil"/>
            </w:tcMar>
            <w:vAlign w:val="center"/>
          </w:tcPr>
          <w:p w14:paraId="0E54F1F8"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404" w:type="dxa"/>
            <w:tcMar>
              <w:top w:w="20" w:type="nil"/>
              <w:left w:w="20" w:type="nil"/>
              <w:bottom w:w="20" w:type="nil"/>
              <w:right w:w="20" w:type="nil"/>
            </w:tcMar>
            <w:vAlign w:val="center"/>
          </w:tcPr>
          <w:p w14:paraId="6BD36B9E"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152" w:type="dxa"/>
            <w:tcMar>
              <w:top w:w="20" w:type="nil"/>
              <w:left w:w="20" w:type="nil"/>
              <w:bottom w:w="20" w:type="nil"/>
              <w:right w:w="20" w:type="nil"/>
            </w:tcMar>
            <w:vAlign w:val="center"/>
          </w:tcPr>
          <w:p w14:paraId="28D472E7"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053" w:type="dxa"/>
            <w:tcMar>
              <w:top w:w="20" w:type="nil"/>
              <w:left w:w="20" w:type="nil"/>
              <w:bottom w:w="20" w:type="nil"/>
              <w:right w:w="20" w:type="nil"/>
            </w:tcMar>
            <w:vAlign w:val="center"/>
          </w:tcPr>
          <w:p w14:paraId="7948CDF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334" w:type="dxa"/>
            <w:tcMar>
              <w:top w:w="20" w:type="nil"/>
              <w:left w:w="20" w:type="nil"/>
              <w:bottom w:w="20" w:type="nil"/>
              <w:right w:w="20" w:type="nil"/>
            </w:tcMar>
            <w:vAlign w:val="center"/>
          </w:tcPr>
          <w:p w14:paraId="7912C34A"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059" w:type="dxa"/>
            <w:tcMar>
              <w:top w:w="20" w:type="nil"/>
              <w:left w:w="20" w:type="nil"/>
              <w:bottom w:w="20" w:type="nil"/>
              <w:right w:w="20" w:type="nil"/>
            </w:tcMar>
            <w:vAlign w:val="center"/>
          </w:tcPr>
          <w:p w14:paraId="5FDAD535"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r>
      <w:tr w:rsidR="00047ADA" w:rsidRPr="00A7356B" w14:paraId="68609271" w14:textId="77777777" w:rsidTr="00047ADA">
        <w:tc>
          <w:tcPr>
            <w:tcW w:w="1560" w:type="dxa"/>
            <w:gridSpan w:val="2"/>
            <w:tcMar>
              <w:top w:w="20" w:type="nil"/>
              <w:left w:w="20" w:type="nil"/>
              <w:bottom w:w="20" w:type="nil"/>
              <w:right w:w="20" w:type="nil"/>
            </w:tcMar>
            <w:vAlign w:val="center"/>
          </w:tcPr>
          <w:p w14:paraId="479B4651"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936" w:type="dxa"/>
            <w:tcMar>
              <w:top w:w="20" w:type="nil"/>
              <w:left w:w="20" w:type="nil"/>
              <w:bottom w:w="20" w:type="nil"/>
              <w:right w:w="20" w:type="nil"/>
            </w:tcMar>
            <w:vAlign w:val="center"/>
          </w:tcPr>
          <w:p w14:paraId="2AE5789B"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(0.023)</w:t>
            </w:r>
          </w:p>
        </w:tc>
        <w:tc>
          <w:tcPr>
            <w:tcW w:w="1428" w:type="dxa"/>
            <w:tcMar>
              <w:top w:w="20" w:type="nil"/>
              <w:left w:w="20" w:type="nil"/>
              <w:bottom w:w="20" w:type="nil"/>
              <w:right w:w="20" w:type="nil"/>
            </w:tcMar>
            <w:vAlign w:val="center"/>
          </w:tcPr>
          <w:p w14:paraId="40508A5B"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404" w:type="dxa"/>
            <w:tcMar>
              <w:top w:w="20" w:type="nil"/>
              <w:left w:w="20" w:type="nil"/>
              <w:bottom w:w="20" w:type="nil"/>
              <w:right w:w="20" w:type="nil"/>
            </w:tcMar>
            <w:vAlign w:val="center"/>
          </w:tcPr>
          <w:p w14:paraId="6CD899CD"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152" w:type="dxa"/>
            <w:tcMar>
              <w:top w:w="20" w:type="nil"/>
              <w:left w:w="20" w:type="nil"/>
              <w:bottom w:w="20" w:type="nil"/>
              <w:right w:w="20" w:type="nil"/>
            </w:tcMar>
            <w:vAlign w:val="center"/>
          </w:tcPr>
          <w:p w14:paraId="4C913805"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053" w:type="dxa"/>
            <w:tcMar>
              <w:top w:w="20" w:type="nil"/>
              <w:left w:w="20" w:type="nil"/>
              <w:bottom w:w="20" w:type="nil"/>
              <w:right w:w="20" w:type="nil"/>
            </w:tcMar>
            <w:vAlign w:val="center"/>
          </w:tcPr>
          <w:p w14:paraId="7A1EFD0B"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334" w:type="dxa"/>
            <w:tcMar>
              <w:top w:w="20" w:type="nil"/>
              <w:left w:w="20" w:type="nil"/>
              <w:bottom w:w="20" w:type="nil"/>
              <w:right w:w="20" w:type="nil"/>
            </w:tcMar>
            <w:vAlign w:val="center"/>
          </w:tcPr>
          <w:p w14:paraId="11DE780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059" w:type="dxa"/>
            <w:tcMar>
              <w:top w:w="20" w:type="nil"/>
              <w:left w:w="20" w:type="nil"/>
              <w:bottom w:w="20" w:type="nil"/>
              <w:right w:w="20" w:type="nil"/>
            </w:tcMar>
            <w:vAlign w:val="center"/>
          </w:tcPr>
          <w:p w14:paraId="1EB03150"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r>
      <w:tr w:rsidR="00047ADA" w:rsidRPr="00A7356B" w14:paraId="4ABF69B3" w14:textId="77777777" w:rsidTr="00047ADA">
        <w:tc>
          <w:tcPr>
            <w:tcW w:w="1560" w:type="dxa"/>
            <w:gridSpan w:val="2"/>
            <w:tcMar>
              <w:top w:w="20" w:type="nil"/>
              <w:left w:w="20" w:type="nil"/>
              <w:bottom w:w="20" w:type="nil"/>
              <w:right w:w="20" w:type="nil"/>
            </w:tcMar>
            <w:vAlign w:val="center"/>
          </w:tcPr>
          <w:p w14:paraId="5BDEE4B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Tech. Gap</w:t>
            </w:r>
          </w:p>
        </w:tc>
        <w:tc>
          <w:tcPr>
            <w:tcW w:w="936" w:type="dxa"/>
            <w:tcMar>
              <w:top w:w="20" w:type="nil"/>
              <w:left w:w="20" w:type="nil"/>
              <w:bottom w:w="20" w:type="nil"/>
              <w:right w:w="20" w:type="nil"/>
            </w:tcMar>
            <w:vAlign w:val="center"/>
          </w:tcPr>
          <w:p w14:paraId="10F967B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-0.034</w:t>
            </w:r>
            <w:r w:rsidRPr="00A7356B">
              <w:rPr>
                <w:rFonts w:ascii="Times" w:hAnsi="Times" w:cs="Times"/>
                <w:sz w:val="16"/>
                <w:szCs w:val="16"/>
                <w:vertAlign w:val="superscript"/>
                <w:lang w:val="en-US"/>
              </w:rPr>
              <w:t>***</w:t>
            </w:r>
          </w:p>
        </w:tc>
        <w:tc>
          <w:tcPr>
            <w:tcW w:w="1428" w:type="dxa"/>
            <w:tcMar>
              <w:top w:w="20" w:type="nil"/>
              <w:left w:w="20" w:type="nil"/>
              <w:bottom w:w="20" w:type="nil"/>
              <w:right w:w="20" w:type="nil"/>
            </w:tcMar>
            <w:vAlign w:val="center"/>
          </w:tcPr>
          <w:p w14:paraId="4B0CE7DE"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-0.376</w:t>
            </w:r>
            <w:r w:rsidRPr="00A7356B">
              <w:rPr>
                <w:rFonts w:ascii="Times" w:hAnsi="Times" w:cs="Times"/>
                <w:sz w:val="16"/>
                <w:szCs w:val="16"/>
                <w:vertAlign w:val="superscript"/>
                <w:lang w:val="en-US"/>
              </w:rPr>
              <w:t>***</w:t>
            </w:r>
          </w:p>
        </w:tc>
        <w:tc>
          <w:tcPr>
            <w:tcW w:w="1404" w:type="dxa"/>
            <w:tcMar>
              <w:top w:w="20" w:type="nil"/>
              <w:left w:w="20" w:type="nil"/>
              <w:bottom w:w="20" w:type="nil"/>
              <w:right w:w="20" w:type="nil"/>
            </w:tcMar>
            <w:vAlign w:val="center"/>
          </w:tcPr>
          <w:p w14:paraId="49280A50"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-0.222</w:t>
            </w:r>
            <w:r w:rsidRPr="00A7356B">
              <w:rPr>
                <w:rFonts w:ascii="Times" w:hAnsi="Times" w:cs="Times"/>
                <w:sz w:val="16"/>
                <w:szCs w:val="16"/>
                <w:vertAlign w:val="superscript"/>
                <w:lang w:val="en-US"/>
              </w:rPr>
              <w:t>***</w:t>
            </w:r>
          </w:p>
        </w:tc>
        <w:tc>
          <w:tcPr>
            <w:tcW w:w="1152" w:type="dxa"/>
            <w:tcMar>
              <w:top w:w="20" w:type="nil"/>
              <w:left w:w="20" w:type="nil"/>
              <w:bottom w:w="20" w:type="nil"/>
              <w:right w:w="20" w:type="nil"/>
            </w:tcMar>
            <w:vAlign w:val="center"/>
          </w:tcPr>
          <w:p w14:paraId="202070A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053" w:type="dxa"/>
            <w:tcMar>
              <w:top w:w="20" w:type="nil"/>
              <w:left w:w="20" w:type="nil"/>
              <w:bottom w:w="20" w:type="nil"/>
              <w:right w:w="20" w:type="nil"/>
            </w:tcMar>
            <w:vAlign w:val="center"/>
          </w:tcPr>
          <w:p w14:paraId="178ED5D2"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-0.163</w:t>
            </w:r>
            <w:r w:rsidRPr="00A7356B">
              <w:rPr>
                <w:rFonts w:ascii="Times" w:hAnsi="Times" w:cs="Times"/>
                <w:sz w:val="16"/>
                <w:szCs w:val="16"/>
                <w:vertAlign w:val="superscript"/>
                <w:lang w:val="en-US"/>
              </w:rPr>
              <w:t>**</w:t>
            </w:r>
          </w:p>
        </w:tc>
        <w:tc>
          <w:tcPr>
            <w:tcW w:w="1334" w:type="dxa"/>
            <w:tcMar>
              <w:top w:w="20" w:type="nil"/>
              <w:left w:w="20" w:type="nil"/>
              <w:bottom w:w="20" w:type="nil"/>
              <w:right w:w="20" w:type="nil"/>
            </w:tcMar>
            <w:vAlign w:val="center"/>
          </w:tcPr>
          <w:p w14:paraId="5DAD8545"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-0.164</w:t>
            </w:r>
            <w:r w:rsidRPr="00A7356B">
              <w:rPr>
                <w:rFonts w:ascii="Times" w:hAnsi="Times" w:cs="Times"/>
                <w:sz w:val="16"/>
                <w:szCs w:val="16"/>
                <w:vertAlign w:val="superscript"/>
                <w:lang w:val="en-US"/>
              </w:rPr>
              <w:t>***</w:t>
            </w:r>
          </w:p>
        </w:tc>
        <w:tc>
          <w:tcPr>
            <w:tcW w:w="1059" w:type="dxa"/>
            <w:tcMar>
              <w:top w:w="20" w:type="nil"/>
              <w:left w:w="20" w:type="nil"/>
              <w:bottom w:w="20" w:type="nil"/>
              <w:right w:w="20" w:type="nil"/>
            </w:tcMar>
            <w:vAlign w:val="center"/>
          </w:tcPr>
          <w:p w14:paraId="64DE99CE"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-0.164</w:t>
            </w:r>
            <w:r w:rsidRPr="00A7356B">
              <w:rPr>
                <w:rFonts w:ascii="Times" w:hAnsi="Times" w:cs="Times"/>
                <w:sz w:val="16"/>
                <w:szCs w:val="16"/>
                <w:vertAlign w:val="superscript"/>
                <w:lang w:val="en-US"/>
              </w:rPr>
              <w:t>**</w:t>
            </w:r>
          </w:p>
        </w:tc>
      </w:tr>
      <w:tr w:rsidR="00047ADA" w:rsidRPr="00A7356B" w14:paraId="43F773B2" w14:textId="77777777" w:rsidTr="00047ADA">
        <w:tc>
          <w:tcPr>
            <w:tcW w:w="1560" w:type="dxa"/>
            <w:gridSpan w:val="2"/>
            <w:tcMar>
              <w:top w:w="20" w:type="nil"/>
              <w:left w:w="20" w:type="nil"/>
              <w:bottom w:w="20" w:type="nil"/>
              <w:right w:w="20" w:type="nil"/>
            </w:tcMar>
            <w:vAlign w:val="center"/>
          </w:tcPr>
          <w:p w14:paraId="2C46C727"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936" w:type="dxa"/>
            <w:tcMar>
              <w:top w:w="20" w:type="nil"/>
              <w:left w:w="20" w:type="nil"/>
              <w:bottom w:w="20" w:type="nil"/>
              <w:right w:w="20" w:type="nil"/>
            </w:tcMar>
            <w:vAlign w:val="center"/>
          </w:tcPr>
          <w:p w14:paraId="3252F5D1"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(0.003)</w:t>
            </w:r>
          </w:p>
        </w:tc>
        <w:tc>
          <w:tcPr>
            <w:tcW w:w="1428" w:type="dxa"/>
            <w:tcMar>
              <w:top w:w="20" w:type="nil"/>
              <w:left w:w="20" w:type="nil"/>
              <w:bottom w:w="20" w:type="nil"/>
              <w:right w:w="20" w:type="nil"/>
            </w:tcMar>
            <w:vAlign w:val="center"/>
          </w:tcPr>
          <w:p w14:paraId="33AD13D1"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(0.046)</w:t>
            </w:r>
          </w:p>
        </w:tc>
        <w:tc>
          <w:tcPr>
            <w:tcW w:w="1404" w:type="dxa"/>
            <w:tcMar>
              <w:top w:w="20" w:type="nil"/>
              <w:left w:w="20" w:type="nil"/>
              <w:bottom w:w="20" w:type="nil"/>
              <w:right w:w="20" w:type="nil"/>
            </w:tcMar>
            <w:vAlign w:val="center"/>
          </w:tcPr>
          <w:p w14:paraId="11DDF7F2"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(0.050)</w:t>
            </w:r>
          </w:p>
        </w:tc>
        <w:tc>
          <w:tcPr>
            <w:tcW w:w="1152" w:type="dxa"/>
            <w:tcMar>
              <w:top w:w="20" w:type="nil"/>
              <w:left w:w="20" w:type="nil"/>
              <w:bottom w:w="20" w:type="nil"/>
              <w:right w:w="20" w:type="nil"/>
            </w:tcMar>
            <w:vAlign w:val="center"/>
          </w:tcPr>
          <w:p w14:paraId="0B7DA92D"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053" w:type="dxa"/>
            <w:tcMar>
              <w:top w:w="20" w:type="nil"/>
              <w:left w:w="20" w:type="nil"/>
              <w:bottom w:w="20" w:type="nil"/>
              <w:right w:w="20" w:type="nil"/>
            </w:tcMar>
            <w:vAlign w:val="center"/>
          </w:tcPr>
          <w:p w14:paraId="6ECFE7E8"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(0.065)</w:t>
            </w:r>
          </w:p>
        </w:tc>
        <w:tc>
          <w:tcPr>
            <w:tcW w:w="1334" w:type="dxa"/>
            <w:tcMar>
              <w:top w:w="20" w:type="nil"/>
              <w:left w:w="20" w:type="nil"/>
              <w:bottom w:w="20" w:type="nil"/>
              <w:right w:w="20" w:type="nil"/>
            </w:tcMar>
            <w:vAlign w:val="center"/>
          </w:tcPr>
          <w:p w14:paraId="390090D7"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(0.060)</w:t>
            </w:r>
          </w:p>
        </w:tc>
        <w:tc>
          <w:tcPr>
            <w:tcW w:w="1059" w:type="dxa"/>
            <w:tcMar>
              <w:top w:w="20" w:type="nil"/>
              <w:left w:w="20" w:type="nil"/>
              <w:bottom w:w="20" w:type="nil"/>
              <w:right w:w="20" w:type="nil"/>
            </w:tcMar>
            <w:vAlign w:val="center"/>
          </w:tcPr>
          <w:p w14:paraId="65C14EC3"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(0.065)</w:t>
            </w:r>
          </w:p>
        </w:tc>
      </w:tr>
      <w:tr w:rsidR="00047ADA" w:rsidRPr="00A7356B" w14:paraId="1B442B86" w14:textId="77777777" w:rsidTr="00047ADA">
        <w:tc>
          <w:tcPr>
            <w:tcW w:w="1560" w:type="dxa"/>
            <w:gridSpan w:val="2"/>
            <w:tcMar>
              <w:top w:w="20" w:type="nil"/>
              <w:left w:w="20" w:type="nil"/>
              <w:bottom w:w="20" w:type="nil"/>
              <w:right w:w="20" w:type="nil"/>
            </w:tcMar>
            <w:vAlign w:val="center"/>
          </w:tcPr>
          <w:p w14:paraId="071E39E0"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Demand Lag</w:t>
            </w:r>
          </w:p>
        </w:tc>
        <w:tc>
          <w:tcPr>
            <w:tcW w:w="936" w:type="dxa"/>
            <w:tcMar>
              <w:top w:w="20" w:type="nil"/>
              <w:left w:w="20" w:type="nil"/>
              <w:bottom w:w="20" w:type="nil"/>
              <w:right w:w="20" w:type="nil"/>
            </w:tcMar>
            <w:vAlign w:val="center"/>
          </w:tcPr>
          <w:p w14:paraId="2D9F016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-0.021</w:t>
            </w:r>
            <w:r w:rsidRPr="00A7356B">
              <w:rPr>
                <w:rFonts w:ascii="Times" w:hAnsi="Times" w:cs="Times"/>
                <w:sz w:val="16"/>
                <w:szCs w:val="16"/>
                <w:vertAlign w:val="superscript"/>
                <w:lang w:val="en-US"/>
              </w:rPr>
              <w:t>***</w:t>
            </w:r>
          </w:p>
        </w:tc>
        <w:tc>
          <w:tcPr>
            <w:tcW w:w="1428" w:type="dxa"/>
            <w:tcMar>
              <w:top w:w="20" w:type="nil"/>
              <w:left w:w="20" w:type="nil"/>
              <w:bottom w:w="20" w:type="nil"/>
              <w:right w:w="20" w:type="nil"/>
            </w:tcMar>
            <w:vAlign w:val="center"/>
          </w:tcPr>
          <w:p w14:paraId="480644CE"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-0.316</w:t>
            </w:r>
            <w:r w:rsidRPr="00A7356B">
              <w:rPr>
                <w:rFonts w:ascii="Times" w:hAnsi="Times" w:cs="Times"/>
                <w:sz w:val="16"/>
                <w:szCs w:val="16"/>
                <w:vertAlign w:val="superscript"/>
                <w:lang w:val="en-US"/>
              </w:rPr>
              <w:t>***</w:t>
            </w:r>
          </w:p>
        </w:tc>
        <w:tc>
          <w:tcPr>
            <w:tcW w:w="1404" w:type="dxa"/>
            <w:tcMar>
              <w:top w:w="20" w:type="nil"/>
              <w:left w:w="20" w:type="nil"/>
              <w:bottom w:w="20" w:type="nil"/>
              <w:right w:w="20" w:type="nil"/>
            </w:tcMar>
            <w:vAlign w:val="center"/>
          </w:tcPr>
          <w:p w14:paraId="338A71FF"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-0.249</w:t>
            </w:r>
            <w:r w:rsidRPr="00A7356B">
              <w:rPr>
                <w:rFonts w:ascii="Times" w:hAnsi="Times" w:cs="Times"/>
                <w:sz w:val="16"/>
                <w:szCs w:val="16"/>
                <w:vertAlign w:val="superscript"/>
                <w:lang w:val="en-US"/>
              </w:rPr>
              <w:t>***</w:t>
            </w:r>
          </w:p>
        </w:tc>
        <w:tc>
          <w:tcPr>
            <w:tcW w:w="1152" w:type="dxa"/>
            <w:tcMar>
              <w:top w:w="20" w:type="nil"/>
              <w:left w:w="20" w:type="nil"/>
              <w:bottom w:w="20" w:type="nil"/>
              <w:right w:w="20" w:type="nil"/>
            </w:tcMar>
            <w:vAlign w:val="center"/>
          </w:tcPr>
          <w:p w14:paraId="61441156"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053" w:type="dxa"/>
            <w:tcMar>
              <w:top w:w="20" w:type="nil"/>
              <w:left w:w="20" w:type="nil"/>
              <w:bottom w:w="20" w:type="nil"/>
              <w:right w:w="20" w:type="nil"/>
            </w:tcMar>
            <w:vAlign w:val="center"/>
          </w:tcPr>
          <w:p w14:paraId="0B59F7F2"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-0.159</w:t>
            </w:r>
            <w:r w:rsidRPr="00A7356B">
              <w:rPr>
                <w:rFonts w:ascii="Times" w:hAnsi="Times" w:cs="Times"/>
                <w:sz w:val="16"/>
                <w:szCs w:val="16"/>
                <w:vertAlign w:val="superscript"/>
                <w:lang w:val="en-US"/>
              </w:rPr>
              <w:t>***</w:t>
            </w:r>
          </w:p>
        </w:tc>
        <w:tc>
          <w:tcPr>
            <w:tcW w:w="1334" w:type="dxa"/>
            <w:tcMar>
              <w:top w:w="20" w:type="nil"/>
              <w:left w:w="20" w:type="nil"/>
              <w:bottom w:w="20" w:type="nil"/>
              <w:right w:w="20" w:type="nil"/>
            </w:tcMar>
            <w:vAlign w:val="center"/>
          </w:tcPr>
          <w:p w14:paraId="1589C161"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-0.160</w:t>
            </w:r>
            <w:r w:rsidRPr="00A7356B">
              <w:rPr>
                <w:rFonts w:ascii="Times" w:hAnsi="Times" w:cs="Times"/>
                <w:sz w:val="16"/>
                <w:szCs w:val="16"/>
                <w:vertAlign w:val="superscript"/>
                <w:lang w:val="en-US"/>
              </w:rPr>
              <w:t>***</w:t>
            </w:r>
          </w:p>
        </w:tc>
        <w:tc>
          <w:tcPr>
            <w:tcW w:w="1059" w:type="dxa"/>
            <w:tcMar>
              <w:top w:w="20" w:type="nil"/>
              <w:left w:w="20" w:type="nil"/>
              <w:bottom w:w="20" w:type="nil"/>
              <w:right w:w="20" w:type="nil"/>
            </w:tcMar>
            <w:vAlign w:val="center"/>
          </w:tcPr>
          <w:p w14:paraId="60CC5E22"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-0.160</w:t>
            </w:r>
            <w:r w:rsidRPr="00A7356B">
              <w:rPr>
                <w:rFonts w:ascii="Times" w:hAnsi="Times" w:cs="Times"/>
                <w:sz w:val="16"/>
                <w:szCs w:val="16"/>
                <w:vertAlign w:val="superscript"/>
                <w:lang w:val="en-US"/>
              </w:rPr>
              <w:t>***</w:t>
            </w:r>
          </w:p>
        </w:tc>
      </w:tr>
      <w:tr w:rsidR="00047ADA" w:rsidRPr="00A7356B" w14:paraId="1660B927" w14:textId="77777777" w:rsidTr="00047ADA">
        <w:tc>
          <w:tcPr>
            <w:tcW w:w="1560" w:type="dxa"/>
            <w:gridSpan w:val="2"/>
            <w:tcMar>
              <w:top w:w="20" w:type="nil"/>
              <w:left w:w="20" w:type="nil"/>
              <w:bottom w:w="20" w:type="nil"/>
              <w:right w:w="20" w:type="nil"/>
            </w:tcMar>
            <w:vAlign w:val="center"/>
          </w:tcPr>
          <w:p w14:paraId="2146801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936" w:type="dxa"/>
            <w:tcMar>
              <w:top w:w="20" w:type="nil"/>
              <w:left w:w="20" w:type="nil"/>
              <w:bottom w:w="20" w:type="nil"/>
              <w:right w:w="20" w:type="nil"/>
            </w:tcMar>
            <w:vAlign w:val="center"/>
          </w:tcPr>
          <w:p w14:paraId="28AD7024"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(0.003)</w:t>
            </w:r>
          </w:p>
        </w:tc>
        <w:tc>
          <w:tcPr>
            <w:tcW w:w="1428" w:type="dxa"/>
            <w:tcMar>
              <w:top w:w="20" w:type="nil"/>
              <w:left w:w="20" w:type="nil"/>
              <w:bottom w:w="20" w:type="nil"/>
              <w:right w:w="20" w:type="nil"/>
            </w:tcMar>
            <w:vAlign w:val="center"/>
          </w:tcPr>
          <w:p w14:paraId="20B3D0E0"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(0.046)</w:t>
            </w:r>
          </w:p>
        </w:tc>
        <w:tc>
          <w:tcPr>
            <w:tcW w:w="1404" w:type="dxa"/>
            <w:tcMar>
              <w:top w:w="20" w:type="nil"/>
              <w:left w:w="20" w:type="nil"/>
              <w:bottom w:w="20" w:type="nil"/>
              <w:right w:w="20" w:type="nil"/>
            </w:tcMar>
            <w:vAlign w:val="center"/>
          </w:tcPr>
          <w:p w14:paraId="2D60D2E7"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(0.049)</w:t>
            </w:r>
          </w:p>
        </w:tc>
        <w:tc>
          <w:tcPr>
            <w:tcW w:w="1152" w:type="dxa"/>
            <w:tcMar>
              <w:top w:w="20" w:type="nil"/>
              <w:left w:w="20" w:type="nil"/>
              <w:bottom w:w="20" w:type="nil"/>
              <w:right w:w="20" w:type="nil"/>
            </w:tcMar>
            <w:vAlign w:val="center"/>
          </w:tcPr>
          <w:p w14:paraId="7687C43A"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053" w:type="dxa"/>
            <w:tcMar>
              <w:top w:w="20" w:type="nil"/>
              <w:left w:w="20" w:type="nil"/>
              <w:bottom w:w="20" w:type="nil"/>
              <w:right w:w="20" w:type="nil"/>
            </w:tcMar>
            <w:vAlign w:val="center"/>
          </w:tcPr>
          <w:p w14:paraId="517FDCE1"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(0.061)</w:t>
            </w:r>
          </w:p>
        </w:tc>
        <w:tc>
          <w:tcPr>
            <w:tcW w:w="1334" w:type="dxa"/>
            <w:tcMar>
              <w:top w:w="20" w:type="nil"/>
              <w:left w:w="20" w:type="nil"/>
              <w:bottom w:w="20" w:type="nil"/>
              <w:right w:w="20" w:type="nil"/>
            </w:tcMar>
            <w:vAlign w:val="center"/>
          </w:tcPr>
          <w:p w14:paraId="31498EAA"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(0.057)</w:t>
            </w:r>
          </w:p>
        </w:tc>
        <w:tc>
          <w:tcPr>
            <w:tcW w:w="1059" w:type="dxa"/>
            <w:tcMar>
              <w:top w:w="20" w:type="nil"/>
              <w:left w:w="20" w:type="nil"/>
              <w:bottom w:w="20" w:type="nil"/>
              <w:right w:w="20" w:type="nil"/>
            </w:tcMar>
            <w:vAlign w:val="center"/>
          </w:tcPr>
          <w:p w14:paraId="6DF2CAF3"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(0.061)</w:t>
            </w:r>
          </w:p>
        </w:tc>
      </w:tr>
      <w:tr w:rsidR="00047ADA" w:rsidRPr="00A7356B" w14:paraId="3EE74E12" w14:textId="77777777" w:rsidTr="00047ADA">
        <w:tc>
          <w:tcPr>
            <w:tcW w:w="1560" w:type="dxa"/>
            <w:gridSpan w:val="2"/>
            <w:tcBorders>
              <w:bottom w:val="single" w:sz="4" w:space="0" w:color="auto"/>
            </w:tcBorders>
            <w:tcMar>
              <w:top w:w="20" w:type="nil"/>
              <w:left w:w="20" w:type="nil"/>
              <w:bottom w:w="20" w:type="nil"/>
              <w:right w:w="20" w:type="nil"/>
            </w:tcMar>
            <w:vAlign w:val="center"/>
          </w:tcPr>
          <w:p w14:paraId="17ABBDCD"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936" w:type="dxa"/>
            <w:tcBorders>
              <w:bottom w:val="single" w:sz="4" w:space="0" w:color="auto"/>
            </w:tcBorders>
            <w:tcMar>
              <w:top w:w="20" w:type="nil"/>
              <w:left w:w="20" w:type="nil"/>
              <w:bottom w:w="20" w:type="nil"/>
              <w:right w:w="20" w:type="nil"/>
            </w:tcMar>
            <w:vAlign w:val="center"/>
          </w:tcPr>
          <w:p w14:paraId="329D1087"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428" w:type="dxa"/>
            <w:tcBorders>
              <w:bottom w:val="single" w:sz="4" w:space="0" w:color="auto"/>
            </w:tcBorders>
            <w:tcMar>
              <w:top w:w="20" w:type="nil"/>
              <w:left w:w="20" w:type="nil"/>
              <w:bottom w:w="20" w:type="nil"/>
              <w:right w:w="20" w:type="nil"/>
            </w:tcMar>
            <w:vAlign w:val="center"/>
          </w:tcPr>
          <w:p w14:paraId="4E8FE794"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404" w:type="dxa"/>
            <w:tcBorders>
              <w:bottom w:val="single" w:sz="4" w:space="0" w:color="auto"/>
            </w:tcBorders>
            <w:tcMar>
              <w:top w:w="20" w:type="nil"/>
              <w:left w:w="20" w:type="nil"/>
              <w:bottom w:w="20" w:type="nil"/>
              <w:right w:w="20" w:type="nil"/>
            </w:tcMar>
            <w:vAlign w:val="center"/>
          </w:tcPr>
          <w:p w14:paraId="01B3FF1F"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152" w:type="dxa"/>
            <w:tcBorders>
              <w:bottom w:val="single" w:sz="4" w:space="0" w:color="auto"/>
            </w:tcBorders>
            <w:tcMar>
              <w:top w:w="20" w:type="nil"/>
              <w:left w:w="20" w:type="nil"/>
              <w:bottom w:w="20" w:type="nil"/>
              <w:right w:w="20" w:type="nil"/>
            </w:tcMar>
            <w:vAlign w:val="center"/>
          </w:tcPr>
          <w:p w14:paraId="714F0061"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053" w:type="dxa"/>
            <w:tcBorders>
              <w:bottom w:val="single" w:sz="4" w:space="0" w:color="auto"/>
            </w:tcBorders>
            <w:tcMar>
              <w:top w:w="20" w:type="nil"/>
              <w:left w:w="20" w:type="nil"/>
              <w:bottom w:w="20" w:type="nil"/>
              <w:right w:w="20" w:type="nil"/>
            </w:tcMar>
            <w:vAlign w:val="center"/>
          </w:tcPr>
          <w:p w14:paraId="7ECE8B50"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334" w:type="dxa"/>
            <w:tcBorders>
              <w:bottom w:val="single" w:sz="4" w:space="0" w:color="auto"/>
            </w:tcBorders>
            <w:tcMar>
              <w:top w:w="20" w:type="nil"/>
              <w:left w:w="20" w:type="nil"/>
              <w:bottom w:w="20" w:type="nil"/>
              <w:right w:w="20" w:type="nil"/>
            </w:tcMar>
            <w:vAlign w:val="center"/>
          </w:tcPr>
          <w:p w14:paraId="54C37991"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059" w:type="dxa"/>
            <w:tcBorders>
              <w:bottom w:val="single" w:sz="4" w:space="0" w:color="auto"/>
            </w:tcBorders>
            <w:tcMar>
              <w:top w:w="20" w:type="nil"/>
              <w:left w:w="20" w:type="nil"/>
              <w:bottom w:w="20" w:type="nil"/>
              <w:right w:w="20" w:type="nil"/>
            </w:tcMar>
            <w:vAlign w:val="center"/>
          </w:tcPr>
          <w:p w14:paraId="6A1B931A"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r>
      <w:tr w:rsidR="00047ADA" w:rsidRPr="00A7356B" w14:paraId="4E01FB86" w14:textId="77777777" w:rsidTr="00047ADA">
        <w:tc>
          <w:tcPr>
            <w:tcW w:w="1560" w:type="dxa"/>
            <w:gridSpan w:val="2"/>
            <w:tcBorders>
              <w:top w:val="single" w:sz="4" w:space="0" w:color="auto"/>
            </w:tcBorders>
            <w:tcMar>
              <w:top w:w="20" w:type="nil"/>
              <w:left w:w="20" w:type="nil"/>
              <w:bottom w:w="20" w:type="nil"/>
              <w:right w:w="20" w:type="nil"/>
            </w:tcMar>
            <w:vAlign w:val="center"/>
          </w:tcPr>
          <w:p w14:paraId="4AAAEB85" w14:textId="77777777" w:rsidR="00047ADA" w:rsidRPr="00A7356B" w:rsidRDefault="005008E5" w:rsidP="00047ADA">
            <w:pPr>
              <w:widowControl w:val="0"/>
              <w:autoSpaceDE w:val="0"/>
              <w:autoSpaceDN w:val="0"/>
              <w:adjustRightInd w:val="0"/>
              <w:jc w:val="center"/>
              <w:rPr>
                <w:rFonts w:ascii="Times" w:hAnsi="Times" w:cs="Times"/>
                <w:sz w:val="16"/>
                <w:szCs w:val="16"/>
                <w:lang w:val="en-US"/>
              </w:rPr>
            </w:pPr>
            <m:oMathPara>
              <m:oMath>
                <m:sSub>
                  <m:sSubPr>
                    <m:ctrlPr>
                      <w:rPr>
                        <w:rFonts w:ascii="Cambria Math" w:eastAsia="Times New Roman" w:hAnsi="Cambria Math" w:cs="Times New Roman"/>
                        <w:i/>
                        <w:sz w:val="16"/>
                        <w:szCs w:val="16"/>
                        <w:lang w:val="en-US"/>
                      </w:rPr>
                    </m:ctrlPr>
                  </m:sSubPr>
                  <m:e>
                    <m:sSup>
                      <m:sSupPr>
                        <m:ctrlPr>
                          <w:rPr>
                            <w:rFonts w:ascii="Cambria Math" w:eastAsia="Times New Roman" w:hAnsi="Cambria Math" w:cs="Times New Roman"/>
                            <w:i/>
                            <w:sz w:val="16"/>
                            <w:szCs w:val="16"/>
                            <w:lang w:val="en-US"/>
                          </w:rPr>
                        </m:ctrlPr>
                      </m:sSupPr>
                      <m:e>
                        <m:acc>
                          <m:accPr>
                            <m:ctrlPr>
                              <w:rPr>
                                <w:rFonts w:ascii="Cambria Math" w:eastAsia="Times New Roman" w:hAnsi="Cambria Math" w:cs="Times New Roman"/>
                                <w:i/>
                                <w:sz w:val="16"/>
                                <w:szCs w:val="16"/>
                                <w:lang w:val="en-US"/>
                              </w:rPr>
                            </m:ctrlPr>
                          </m:accPr>
                          <m:e>
                            <m:r>
                              <w:rPr>
                                <w:rFonts w:ascii="Cambria Math" w:eastAsia="Times New Roman" w:hAnsi="Cambria Math" w:cs="Times New Roman"/>
                                <w:sz w:val="16"/>
                                <w:szCs w:val="16"/>
                                <w:lang w:val="en-US"/>
                              </w:rPr>
                              <m:t>η</m:t>
                            </m:r>
                          </m:e>
                        </m:acc>
                      </m:e>
                      <m:sup>
                        <m:r>
                          <w:rPr>
                            <w:rFonts w:ascii="Cambria Math" w:eastAsia="Times New Roman" w:hAnsi="Cambria Math" w:cs="Times New Roman"/>
                            <w:sz w:val="16"/>
                            <w:szCs w:val="16"/>
                            <w:lang w:val="en-US"/>
                          </w:rPr>
                          <m:t>*</m:t>
                        </m:r>
                      </m:sup>
                    </m:sSup>
                  </m:e>
                  <m:sub>
                    <m:r>
                      <w:rPr>
                        <w:rFonts w:ascii="Cambria Math" w:eastAsia="Times New Roman" w:hAnsi="Cambria Math" w:cs="Times New Roman"/>
                        <w:sz w:val="16"/>
                        <w:szCs w:val="16"/>
                        <w:lang w:val="en-US"/>
                      </w:rPr>
                      <m:t>i</m:t>
                    </m:r>
                    <m:sSub>
                      <m:sSubPr>
                        <m:ctrlPr>
                          <w:rPr>
                            <w:rFonts w:ascii="Cambria Math" w:eastAsia="Times New Roman" w:hAnsi="Cambria Math" w:cs="Times New Roman"/>
                            <w:i/>
                            <w:sz w:val="16"/>
                            <w:szCs w:val="16"/>
                            <w:lang w:val="en-US"/>
                          </w:rPr>
                        </m:ctrlPr>
                      </m:sSubPr>
                      <m:e>
                        <m:r>
                          <w:rPr>
                            <w:rFonts w:ascii="Cambria Math" w:eastAsia="Times New Roman" w:hAnsi="Cambria Math" w:cs="Times New Roman"/>
                            <w:sz w:val="16"/>
                            <w:szCs w:val="16"/>
                            <w:lang w:val="en-US"/>
                          </w:rPr>
                          <m:t>j</m:t>
                        </m:r>
                      </m:e>
                      <m:sub>
                        <m:r>
                          <w:rPr>
                            <w:rFonts w:ascii="Cambria Math" w:eastAsia="Times New Roman" w:hAnsi="Cambria Math" w:cs="Times New Roman"/>
                            <w:sz w:val="16"/>
                            <w:szCs w:val="16"/>
                            <w:lang w:val="en-US"/>
                          </w:rPr>
                          <m:t>t</m:t>
                        </m:r>
                      </m:sub>
                    </m:sSub>
                  </m:sub>
                </m:sSub>
              </m:oMath>
            </m:oMathPara>
          </w:p>
        </w:tc>
        <w:tc>
          <w:tcPr>
            <w:tcW w:w="936" w:type="dxa"/>
            <w:tcBorders>
              <w:top w:val="single" w:sz="4" w:space="0" w:color="auto"/>
            </w:tcBorders>
            <w:tcMar>
              <w:top w:w="20" w:type="nil"/>
              <w:left w:w="20" w:type="nil"/>
              <w:bottom w:w="20" w:type="nil"/>
              <w:right w:w="20" w:type="nil"/>
            </w:tcMar>
            <w:vAlign w:val="center"/>
          </w:tcPr>
          <w:p w14:paraId="1A1A2523"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428" w:type="dxa"/>
            <w:tcBorders>
              <w:top w:val="single" w:sz="4" w:space="0" w:color="auto"/>
            </w:tcBorders>
            <w:tcMar>
              <w:top w:w="20" w:type="nil"/>
              <w:left w:w="20" w:type="nil"/>
              <w:bottom w:w="20" w:type="nil"/>
              <w:right w:w="20" w:type="nil"/>
            </w:tcMar>
            <w:vAlign w:val="center"/>
          </w:tcPr>
          <w:p w14:paraId="780F5EB1"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404" w:type="dxa"/>
            <w:tcBorders>
              <w:top w:val="single" w:sz="4" w:space="0" w:color="auto"/>
            </w:tcBorders>
            <w:tcMar>
              <w:top w:w="20" w:type="nil"/>
              <w:left w:w="20" w:type="nil"/>
              <w:bottom w:w="20" w:type="nil"/>
              <w:right w:w="20" w:type="nil"/>
            </w:tcMar>
            <w:vAlign w:val="center"/>
          </w:tcPr>
          <w:p w14:paraId="00B0A83D"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1.164</w:t>
            </w:r>
            <w:r w:rsidRPr="00A7356B">
              <w:rPr>
                <w:rFonts w:ascii="Times" w:hAnsi="Times" w:cs="Times"/>
                <w:sz w:val="16"/>
                <w:szCs w:val="16"/>
                <w:vertAlign w:val="superscript"/>
                <w:lang w:val="en-US"/>
              </w:rPr>
              <w:t>***</w:t>
            </w:r>
          </w:p>
        </w:tc>
        <w:tc>
          <w:tcPr>
            <w:tcW w:w="1152" w:type="dxa"/>
            <w:tcBorders>
              <w:top w:val="single" w:sz="4" w:space="0" w:color="auto"/>
            </w:tcBorders>
            <w:tcMar>
              <w:top w:w="20" w:type="nil"/>
              <w:left w:w="20" w:type="nil"/>
              <w:bottom w:w="20" w:type="nil"/>
              <w:right w:w="20" w:type="nil"/>
            </w:tcMar>
            <w:vAlign w:val="center"/>
          </w:tcPr>
          <w:p w14:paraId="1432CA0F"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053" w:type="dxa"/>
            <w:tcBorders>
              <w:top w:val="single" w:sz="4" w:space="0" w:color="auto"/>
            </w:tcBorders>
            <w:tcMar>
              <w:top w:w="20" w:type="nil"/>
              <w:left w:w="20" w:type="nil"/>
              <w:bottom w:w="20" w:type="nil"/>
              <w:right w:w="20" w:type="nil"/>
            </w:tcMar>
            <w:vAlign w:val="center"/>
          </w:tcPr>
          <w:p w14:paraId="7B7E6721"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334" w:type="dxa"/>
            <w:tcBorders>
              <w:top w:val="single" w:sz="4" w:space="0" w:color="auto"/>
            </w:tcBorders>
            <w:tcMar>
              <w:top w:w="20" w:type="nil"/>
              <w:left w:w="20" w:type="nil"/>
              <w:bottom w:w="20" w:type="nil"/>
              <w:right w:w="20" w:type="nil"/>
            </w:tcMar>
            <w:vAlign w:val="center"/>
          </w:tcPr>
          <w:p w14:paraId="3B4765D8"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-0.022</w:t>
            </w:r>
          </w:p>
        </w:tc>
        <w:tc>
          <w:tcPr>
            <w:tcW w:w="1059" w:type="dxa"/>
            <w:tcBorders>
              <w:top w:val="single" w:sz="4" w:space="0" w:color="auto"/>
            </w:tcBorders>
            <w:tcMar>
              <w:top w:w="20" w:type="nil"/>
              <w:left w:w="20" w:type="nil"/>
              <w:bottom w:w="20" w:type="nil"/>
              <w:right w:w="20" w:type="nil"/>
            </w:tcMar>
            <w:vAlign w:val="center"/>
          </w:tcPr>
          <w:p w14:paraId="3D1AF3A6"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-0.022</w:t>
            </w:r>
          </w:p>
        </w:tc>
      </w:tr>
      <w:tr w:rsidR="00047ADA" w:rsidRPr="00A7356B" w14:paraId="19BBD3F6" w14:textId="77777777" w:rsidTr="00047ADA">
        <w:tc>
          <w:tcPr>
            <w:tcW w:w="1560" w:type="dxa"/>
            <w:gridSpan w:val="2"/>
            <w:tcMar>
              <w:top w:w="20" w:type="nil"/>
              <w:left w:w="20" w:type="nil"/>
              <w:bottom w:w="20" w:type="nil"/>
              <w:right w:w="20" w:type="nil"/>
            </w:tcMar>
            <w:vAlign w:val="center"/>
          </w:tcPr>
          <w:p w14:paraId="3D1B23D0"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936" w:type="dxa"/>
            <w:tcMar>
              <w:top w:w="20" w:type="nil"/>
              <w:left w:w="20" w:type="nil"/>
              <w:bottom w:w="20" w:type="nil"/>
              <w:right w:w="20" w:type="nil"/>
            </w:tcMar>
            <w:vAlign w:val="center"/>
          </w:tcPr>
          <w:p w14:paraId="5539BE20"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428" w:type="dxa"/>
            <w:tcMar>
              <w:top w:w="20" w:type="nil"/>
              <w:left w:w="20" w:type="nil"/>
              <w:bottom w:w="20" w:type="nil"/>
              <w:right w:w="20" w:type="nil"/>
            </w:tcMar>
            <w:vAlign w:val="center"/>
          </w:tcPr>
          <w:p w14:paraId="233FAA1E"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404" w:type="dxa"/>
            <w:tcMar>
              <w:top w:w="20" w:type="nil"/>
              <w:left w:w="20" w:type="nil"/>
              <w:bottom w:w="20" w:type="nil"/>
              <w:right w:w="20" w:type="nil"/>
            </w:tcMar>
            <w:vAlign w:val="center"/>
          </w:tcPr>
          <w:p w14:paraId="5C6E083B"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(0.261)</w:t>
            </w:r>
          </w:p>
        </w:tc>
        <w:tc>
          <w:tcPr>
            <w:tcW w:w="1152" w:type="dxa"/>
            <w:tcMar>
              <w:top w:w="20" w:type="nil"/>
              <w:left w:w="20" w:type="nil"/>
              <w:bottom w:w="20" w:type="nil"/>
              <w:right w:w="20" w:type="nil"/>
            </w:tcMar>
            <w:vAlign w:val="center"/>
          </w:tcPr>
          <w:p w14:paraId="043E9648"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053" w:type="dxa"/>
            <w:tcMar>
              <w:top w:w="20" w:type="nil"/>
              <w:left w:w="20" w:type="nil"/>
              <w:bottom w:w="20" w:type="nil"/>
              <w:right w:w="20" w:type="nil"/>
            </w:tcMar>
            <w:vAlign w:val="center"/>
          </w:tcPr>
          <w:p w14:paraId="7017E946"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334" w:type="dxa"/>
            <w:tcMar>
              <w:top w:w="20" w:type="nil"/>
              <w:left w:w="20" w:type="nil"/>
              <w:bottom w:w="20" w:type="nil"/>
              <w:right w:w="20" w:type="nil"/>
            </w:tcMar>
            <w:vAlign w:val="center"/>
          </w:tcPr>
          <w:p w14:paraId="605D0735"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(0.433)</w:t>
            </w:r>
          </w:p>
        </w:tc>
        <w:tc>
          <w:tcPr>
            <w:tcW w:w="1059" w:type="dxa"/>
            <w:tcMar>
              <w:top w:w="20" w:type="nil"/>
              <w:left w:w="20" w:type="nil"/>
              <w:bottom w:w="20" w:type="nil"/>
              <w:right w:w="20" w:type="nil"/>
            </w:tcMar>
            <w:vAlign w:val="center"/>
          </w:tcPr>
          <w:p w14:paraId="6BEA61EE"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(0.438)</w:t>
            </w:r>
          </w:p>
        </w:tc>
      </w:tr>
      <w:tr w:rsidR="00047ADA" w:rsidRPr="00A7356B" w14:paraId="63F7256E" w14:textId="77777777" w:rsidTr="00047ADA">
        <w:tc>
          <w:tcPr>
            <w:tcW w:w="1560" w:type="dxa"/>
            <w:gridSpan w:val="2"/>
            <w:tcMar>
              <w:top w:w="20" w:type="nil"/>
              <w:left w:w="20" w:type="nil"/>
              <w:bottom w:w="20" w:type="nil"/>
              <w:right w:w="20" w:type="nil"/>
            </w:tcMar>
            <w:vAlign w:val="center"/>
          </w:tcPr>
          <w:p w14:paraId="55BF3871" w14:textId="77777777" w:rsidR="00047ADA" w:rsidRPr="00A7356B" w:rsidRDefault="005008E5" w:rsidP="00047ADA">
            <w:pPr>
              <w:widowControl w:val="0"/>
              <w:autoSpaceDE w:val="0"/>
              <w:autoSpaceDN w:val="0"/>
              <w:adjustRightInd w:val="0"/>
              <w:jc w:val="center"/>
              <w:rPr>
                <w:rFonts w:ascii="Times" w:hAnsi="Times" w:cs="Times"/>
                <w:sz w:val="16"/>
                <w:szCs w:val="16"/>
                <w:lang w:val="en-US"/>
              </w:rPr>
            </w:pPr>
            <m:oMathPara>
              <m:oMath>
                <m:sSub>
                  <m:sSubPr>
                    <m:ctrlPr>
                      <w:rPr>
                        <w:rFonts w:ascii="Cambria Math" w:eastAsia="Times New Roman" w:hAnsi="Cambria Math" w:cs="Times New Roman"/>
                        <w:i/>
                        <w:sz w:val="16"/>
                        <w:szCs w:val="16"/>
                        <w:lang w:val="en-US"/>
                      </w:rPr>
                    </m:ctrlPr>
                  </m:sSubPr>
                  <m:e>
                    <m:sSup>
                      <m:sSupPr>
                        <m:ctrlPr>
                          <w:rPr>
                            <w:rFonts w:ascii="Cambria Math" w:eastAsia="Times New Roman" w:hAnsi="Cambria Math" w:cs="Times New Roman"/>
                            <w:i/>
                            <w:sz w:val="16"/>
                            <w:szCs w:val="16"/>
                            <w:lang w:val="en-US"/>
                          </w:rPr>
                        </m:ctrlPr>
                      </m:sSupPr>
                      <m:e>
                        <m:acc>
                          <m:accPr>
                            <m:ctrlPr>
                              <w:rPr>
                                <w:rFonts w:ascii="Cambria Math" w:eastAsia="Times New Roman" w:hAnsi="Cambria Math" w:cs="Times New Roman"/>
                                <w:i/>
                                <w:sz w:val="16"/>
                                <w:szCs w:val="16"/>
                                <w:lang w:val="en-US"/>
                              </w:rPr>
                            </m:ctrlPr>
                          </m:accPr>
                          <m:e>
                            <m:r>
                              <w:rPr>
                                <w:rFonts w:ascii="Cambria Math" w:eastAsia="Times New Roman" w:hAnsi="Cambria Math" w:cs="Times New Roman"/>
                                <w:sz w:val="16"/>
                                <w:szCs w:val="16"/>
                                <w:lang w:val="en-US"/>
                              </w:rPr>
                              <m:t>z</m:t>
                            </m:r>
                          </m:e>
                        </m:acc>
                      </m:e>
                      <m:sup>
                        <m:r>
                          <w:rPr>
                            <w:rFonts w:ascii="Cambria Math" w:eastAsia="Times New Roman" w:hAnsi="Cambria Math" w:cs="Times New Roman"/>
                            <w:sz w:val="16"/>
                            <w:szCs w:val="16"/>
                            <w:lang w:val="en-US"/>
                          </w:rPr>
                          <m:t>*</m:t>
                        </m:r>
                      </m:sup>
                    </m:sSup>
                  </m:e>
                  <m:sub>
                    <m:r>
                      <w:rPr>
                        <w:rFonts w:ascii="Cambria Math" w:eastAsia="Times New Roman" w:hAnsi="Cambria Math" w:cs="Times New Roman"/>
                        <w:sz w:val="16"/>
                        <w:szCs w:val="16"/>
                        <w:lang w:val="en-US"/>
                      </w:rPr>
                      <m:t>i</m:t>
                    </m:r>
                    <m:sSub>
                      <m:sSubPr>
                        <m:ctrlPr>
                          <w:rPr>
                            <w:rFonts w:ascii="Cambria Math" w:eastAsia="Times New Roman" w:hAnsi="Cambria Math" w:cs="Times New Roman"/>
                            <w:i/>
                            <w:sz w:val="16"/>
                            <w:szCs w:val="16"/>
                            <w:lang w:val="en-US"/>
                          </w:rPr>
                        </m:ctrlPr>
                      </m:sSubPr>
                      <m:e>
                        <m:r>
                          <w:rPr>
                            <w:rFonts w:ascii="Cambria Math" w:eastAsia="Times New Roman" w:hAnsi="Cambria Math" w:cs="Times New Roman"/>
                            <w:sz w:val="16"/>
                            <w:szCs w:val="16"/>
                            <w:lang w:val="en-US"/>
                          </w:rPr>
                          <m:t>j</m:t>
                        </m:r>
                      </m:e>
                      <m:sub>
                        <m:r>
                          <w:rPr>
                            <w:rFonts w:ascii="Cambria Math" w:eastAsia="Times New Roman" w:hAnsi="Cambria Math" w:cs="Times New Roman"/>
                            <w:sz w:val="16"/>
                            <w:szCs w:val="16"/>
                            <w:lang w:val="en-US"/>
                          </w:rPr>
                          <m:t>t</m:t>
                        </m:r>
                      </m:sub>
                    </m:sSub>
                  </m:sub>
                </m:sSub>
              </m:oMath>
            </m:oMathPara>
          </w:p>
        </w:tc>
        <w:tc>
          <w:tcPr>
            <w:tcW w:w="936" w:type="dxa"/>
            <w:tcMar>
              <w:top w:w="20" w:type="nil"/>
              <w:left w:w="20" w:type="nil"/>
              <w:bottom w:w="20" w:type="nil"/>
              <w:right w:w="20" w:type="nil"/>
            </w:tcMar>
            <w:vAlign w:val="center"/>
          </w:tcPr>
          <w:p w14:paraId="23E52A1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428" w:type="dxa"/>
            <w:tcMar>
              <w:top w:w="20" w:type="nil"/>
              <w:left w:w="20" w:type="nil"/>
              <w:bottom w:w="20" w:type="nil"/>
              <w:right w:w="20" w:type="nil"/>
            </w:tcMar>
            <w:vAlign w:val="center"/>
          </w:tcPr>
          <w:p w14:paraId="298D2C98"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404" w:type="dxa"/>
            <w:tcMar>
              <w:top w:w="20" w:type="nil"/>
              <w:left w:w="20" w:type="nil"/>
              <w:bottom w:w="20" w:type="nil"/>
              <w:right w:w="20" w:type="nil"/>
            </w:tcMar>
            <w:vAlign w:val="center"/>
          </w:tcPr>
          <w:p w14:paraId="27F49471"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7.995</w:t>
            </w:r>
            <w:r w:rsidRPr="00A7356B">
              <w:rPr>
                <w:rFonts w:ascii="Times" w:hAnsi="Times" w:cs="Times"/>
                <w:sz w:val="16"/>
                <w:szCs w:val="16"/>
                <w:vertAlign w:val="superscript"/>
                <w:lang w:val="en-US"/>
              </w:rPr>
              <w:t>***</w:t>
            </w:r>
          </w:p>
        </w:tc>
        <w:tc>
          <w:tcPr>
            <w:tcW w:w="1152" w:type="dxa"/>
            <w:tcMar>
              <w:top w:w="20" w:type="nil"/>
              <w:left w:w="20" w:type="nil"/>
              <w:bottom w:w="20" w:type="nil"/>
              <w:right w:w="20" w:type="nil"/>
            </w:tcMar>
            <w:vAlign w:val="center"/>
          </w:tcPr>
          <w:p w14:paraId="6CEF88FE"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053" w:type="dxa"/>
            <w:tcMar>
              <w:top w:w="20" w:type="nil"/>
              <w:left w:w="20" w:type="nil"/>
              <w:bottom w:w="20" w:type="nil"/>
              <w:right w:w="20" w:type="nil"/>
            </w:tcMar>
            <w:vAlign w:val="center"/>
          </w:tcPr>
          <w:p w14:paraId="3C675F3A"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334" w:type="dxa"/>
            <w:tcMar>
              <w:top w:w="20" w:type="nil"/>
              <w:left w:w="20" w:type="nil"/>
              <w:bottom w:w="20" w:type="nil"/>
              <w:right w:w="20" w:type="nil"/>
            </w:tcMar>
            <w:vAlign w:val="center"/>
          </w:tcPr>
          <w:p w14:paraId="64BCFDB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-0.512</w:t>
            </w:r>
          </w:p>
        </w:tc>
        <w:tc>
          <w:tcPr>
            <w:tcW w:w="1059" w:type="dxa"/>
            <w:tcMar>
              <w:top w:w="20" w:type="nil"/>
              <w:left w:w="20" w:type="nil"/>
              <w:bottom w:w="20" w:type="nil"/>
              <w:right w:w="20" w:type="nil"/>
            </w:tcMar>
            <w:vAlign w:val="center"/>
          </w:tcPr>
          <w:p w14:paraId="415E9140"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-0.512</w:t>
            </w:r>
          </w:p>
        </w:tc>
      </w:tr>
      <w:tr w:rsidR="00047ADA" w:rsidRPr="00A7356B" w14:paraId="73A7CBDD" w14:textId="77777777" w:rsidTr="00047ADA">
        <w:tc>
          <w:tcPr>
            <w:tcW w:w="1560" w:type="dxa"/>
            <w:gridSpan w:val="2"/>
            <w:tcMar>
              <w:top w:w="20" w:type="nil"/>
              <w:left w:w="20" w:type="nil"/>
              <w:bottom w:w="20" w:type="nil"/>
              <w:right w:w="20" w:type="nil"/>
            </w:tcMar>
            <w:vAlign w:val="center"/>
          </w:tcPr>
          <w:p w14:paraId="1B63DD5B"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936" w:type="dxa"/>
            <w:tcMar>
              <w:top w:w="20" w:type="nil"/>
              <w:left w:w="20" w:type="nil"/>
              <w:bottom w:w="20" w:type="nil"/>
              <w:right w:w="20" w:type="nil"/>
            </w:tcMar>
            <w:vAlign w:val="center"/>
          </w:tcPr>
          <w:p w14:paraId="612FB137"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428" w:type="dxa"/>
            <w:tcMar>
              <w:top w:w="20" w:type="nil"/>
              <w:left w:w="20" w:type="nil"/>
              <w:bottom w:w="20" w:type="nil"/>
              <w:right w:w="20" w:type="nil"/>
            </w:tcMar>
            <w:vAlign w:val="center"/>
          </w:tcPr>
          <w:p w14:paraId="7DAE7DEB"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404" w:type="dxa"/>
            <w:tcMar>
              <w:top w:w="20" w:type="nil"/>
              <w:left w:w="20" w:type="nil"/>
              <w:bottom w:w="20" w:type="nil"/>
              <w:right w:w="20" w:type="nil"/>
            </w:tcMar>
            <w:vAlign w:val="center"/>
          </w:tcPr>
          <w:p w14:paraId="2A2192A3"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(1.069)</w:t>
            </w:r>
          </w:p>
        </w:tc>
        <w:tc>
          <w:tcPr>
            <w:tcW w:w="1152" w:type="dxa"/>
            <w:tcMar>
              <w:top w:w="20" w:type="nil"/>
              <w:left w:w="20" w:type="nil"/>
              <w:bottom w:w="20" w:type="nil"/>
              <w:right w:w="20" w:type="nil"/>
            </w:tcMar>
            <w:vAlign w:val="center"/>
          </w:tcPr>
          <w:p w14:paraId="65035134"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053" w:type="dxa"/>
            <w:tcMar>
              <w:top w:w="20" w:type="nil"/>
              <w:left w:w="20" w:type="nil"/>
              <w:bottom w:w="20" w:type="nil"/>
              <w:right w:w="20" w:type="nil"/>
            </w:tcMar>
            <w:vAlign w:val="center"/>
          </w:tcPr>
          <w:p w14:paraId="4B4F1780"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334" w:type="dxa"/>
            <w:tcMar>
              <w:top w:w="20" w:type="nil"/>
              <w:left w:w="20" w:type="nil"/>
              <w:bottom w:w="20" w:type="nil"/>
              <w:right w:w="20" w:type="nil"/>
            </w:tcMar>
            <w:vAlign w:val="center"/>
          </w:tcPr>
          <w:p w14:paraId="34455AA6"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(1.737)</w:t>
            </w:r>
          </w:p>
        </w:tc>
        <w:tc>
          <w:tcPr>
            <w:tcW w:w="1059" w:type="dxa"/>
            <w:tcMar>
              <w:top w:w="20" w:type="nil"/>
              <w:left w:w="20" w:type="nil"/>
              <w:bottom w:w="20" w:type="nil"/>
              <w:right w:w="20" w:type="nil"/>
            </w:tcMar>
            <w:vAlign w:val="center"/>
          </w:tcPr>
          <w:p w14:paraId="63B36147"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(1.576)</w:t>
            </w:r>
          </w:p>
        </w:tc>
      </w:tr>
      <w:tr w:rsidR="00047ADA" w:rsidRPr="00A7356B" w14:paraId="1690E0F0" w14:textId="77777777" w:rsidTr="00047ADA">
        <w:tc>
          <w:tcPr>
            <w:tcW w:w="1560" w:type="dxa"/>
            <w:gridSpan w:val="2"/>
            <w:tcMar>
              <w:top w:w="20" w:type="nil"/>
              <w:left w:w="20" w:type="nil"/>
              <w:bottom w:w="20" w:type="nil"/>
              <w:right w:w="20" w:type="nil"/>
            </w:tcMar>
            <w:vAlign w:val="center"/>
          </w:tcPr>
          <w:p w14:paraId="0744CCC8" w14:textId="77777777" w:rsidR="00047ADA" w:rsidRPr="00A7356B" w:rsidRDefault="005008E5" w:rsidP="00047ADA">
            <w:pPr>
              <w:widowControl w:val="0"/>
              <w:autoSpaceDE w:val="0"/>
              <w:autoSpaceDN w:val="0"/>
              <w:adjustRightInd w:val="0"/>
              <w:jc w:val="center"/>
              <w:rPr>
                <w:rFonts w:ascii="Times" w:hAnsi="Times" w:cs="Times"/>
                <w:sz w:val="16"/>
                <w:szCs w:val="16"/>
                <w:lang w:val="en-US"/>
              </w:rPr>
            </w:pPr>
            <m:oMathPara>
              <m:oMath>
                <m:sSub>
                  <m:sSubPr>
                    <m:ctrlPr>
                      <w:rPr>
                        <w:rFonts w:ascii="Cambria Math" w:eastAsia="Times New Roman" w:hAnsi="Cambria Math" w:cs="Times New Roman"/>
                        <w:i/>
                        <w:sz w:val="16"/>
                        <w:szCs w:val="16"/>
                        <w:lang w:val="en-US"/>
                      </w:rPr>
                    </m:ctrlPr>
                  </m:sSubPr>
                  <m:e>
                    <m:sSup>
                      <m:sSupPr>
                        <m:ctrlPr>
                          <w:rPr>
                            <w:rFonts w:ascii="Cambria Math" w:eastAsia="Times New Roman" w:hAnsi="Cambria Math" w:cs="Times New Roman"/>
                            <w:i/>
                            <w:sz w:val="16"/>
                            <w:szCs w:val="16"/>
                            <w:lang w:val="en-US"/>
                          </w:rPr>
                        </m:ctrlPr>
                      </m:sSupPr>
                      <m:e>
                        <m:acc>
                          <m:accPr>
                            <m:ctrlPr>
                              <w:rPr>
                                <w:rFonts w:ascii="Cambria Math" w:eastAsia="Times New Roman" w:hAnsi="Cambria Math" w:cs="Times New Roman"/>
                                <w:i/>
                                <w:sz w:val="16"/>
                                <w:szCs w:val="16"/>
                                <w:lang w:val="en-US"/>
                              </w:rPr>
                            </m:ctrlPr>
                          </m:accPr>
                          <m:e>
                            <m:r>
                              <w:rPr>
                                <w:rFonts w:ascii="Cambria Math" w:eastAsia="Times New Roman" w:hAnsi="Cambria Math" w:cs="Times New Roman"/>
                                <w:sz w:val="16"/>
                                <w:szCs w:val="16"/>
                                <w:lang w:val="en-US"/>
                              </w:rPr>
                              <m:t>z</m:t>
                            </m:r>
                          </m:e>
                        </m:acc>
                      </m:e>
                      <m:sup>
                        <m:r>
                          <w:rPr>
                            <w:rFonts w:ascii="Cambria Math" w:eastAsia="Times New Roman" w:hAnsi="Cambria Math" w:cs="Times New Roman"/>
                            <w:sz w:val="16"/>
                            <w:szCs w:val="16"/>
                            <w:lang w:val="en-US"/>
                          </w:rPr>
                          <m:t>*</m:t>
                        </m:r>
                      </m:sup>
                    </m:sSup>
                  </m:e>
                  <m:sub>
                    <m:r>
                      <w:rPr>
                        <w:rFonts w:ascii="Cambria Math" w:eastAsia="Times New Roman" w:hAnsi="Cambria Math" w:cs="Times New Roman"/>
                        <w:sz w:val="16"/>
                        <w:szCs w:val="16"/>
                        <w:lang w:val="en-US"/>
                      </w:rPr>
                      <m:t>i</m:t>
                    </m:r>
                    <m:sSub>
                      <m:sSubPr>
                        <m:ctrlPr>
                          <w:rPr>
                            <w:rFonts w:ascii="Cambria Math" w:eastAsia="Times New Roman" w:hAnsi="Cambria Math" w:cs="Times New Roman"/>
                            <w:i/>
                            <w:sz w:val="16"/>
                            <w:szCs w:val="16"/>
                            <w:lang w:val="en-US"/>
                          </w:rPr>
                        </m:ctrlPr>
                      </m:sSubPr>
                      <m:e>
                        <m:r>
                          <w:rPr>
                            <w:rFonts w:ascii="Cambria Math" w:eastAsia="Times New Roman" w:hAnsi="Cambria Math" w:cs="Times New Roman"/>
                            <w:sz w:val="16"/>
                            <w:szCs w:val="16"/>
                            <w:lang w:val="en-US"/>
                          </w:rPr>
                          <m:t>j</m:t>
                        </m:r>
                      </m:e>
                      <m:sub>
                        <m:r>
                          <w:rPr>
                            <w:rFonts w:ascii="Cambria Math" w:eastAsia="Times New Roman" w:hAnsi="Cambria Math" w:cs="Times New Roman"/>
                            <w:sz w:val="16"/>
                            <w:szCs w:val="16"/>
                            <w:lang w:val="en-US"/>
                          </w:rPr>
                          <m:t>t</m:t>
                        </m:r>
                      </m:sub>
                    </m:sSub>
                  </m:sub>
                </m:sSub>
                <m:r>
                  <w:rPr>
                    <w:rFonts w:ascii="Cambria Math" w:eastAsia="Times New Roman" w:hAnsi="Cambria Math" w:cs="Times New Roman"/>
                    <w:sz w:val="16"/>
                    <w:szCs w:val="16"/>
                    <w:lang w:val="en-US"/>
                  </w:rPr>
                  <m:t>2</m:t>
                </m:r>
              </m:oMath>
            </m:oMathPara>
          </w:p>
        </w:tc>
        <w:tc>
          <w:tcPr>
            <w:tcW w:w="936" w:type="dxa"/>
            <w:tcMar>
              <w:top w:w="20" w:type="nil"/>
              <w:left w:w="20" w:type="nil"/>
              <w:bottom w:w="20" w:type="nil"/>
              <w:right w:w="20" w:type="nil"/>
            </w:tcMar>
            <w:vAlign w:val="center"/>
          </w:tcPr>
          <w:p w14:paraId="7570D2EB"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428" w:type="dxa"/>
            <w:tcMar>
              <w:top w:w="20" w:type="nil"/>
              <w:left w:w="20" w:type="nil"/>
              <w:bottom w:w="20" w:type="nil"/>
              <w:right w:w="20" w:type="nil"/>
            </w:tcMar>
            <w:vAlign w:val="center"/>
          </w:tcPr>
          <w:p w14:paraId="04587F68"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404" w:type="dxa"/>
            <w:tcMar>
              <w:top w:w="20" w:type="nil"/>
              <w:left w:w="20" w:type="nil"/>
              <w:bottom w:w="20" w:type="nil"/>
              <w:right w:w="20" w:type="nil"/>
            </w:tcMar>
            <w:vAlign w:val="center"/>
          </w:tcPr>
          <w:p w14:paraId="521C59F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-2.249</w:t>
            </w:r>
            <w:r w:rsidRPr="00A7356B">
              <w:rPr>
                <w:rFonts w:ascii="Times" w:hAnsi="Times" w:cs="Times"/>
                <w:sz w:val="16"/>
                <w:szCs w:val="16"/>
                <w:vertAlign w:val="superscript"/>
                <w:lang w:val="en-US"/>
              </w:rPr>
              <w:t>***</w:t>
            </w:r>
          </w:p>
        </w:tc>
        <w:tc>
          <w:tcPr>
            <w:tcW w:w="1152" w:type="dxa"/>
            <w:tcMar>
              <w:top w:w="20" w:type="nil"/>
              <w:left w:w="20" w:type="nil"/>
              <w:bottom w:w="20" w:type="nil"/>
              <w:right w:w="20" w:type="nil"/>
            </w:tcMar>
            <w:vAlign w:val="center"/>
          </w:tcPr>
          <w:p w14:paraId="24B49135"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053" w:type="dxa"/>
            <w:tcMar>
              <w:top w:w="20" w:type="nil"/>
              <w:left w:w="20" w:type="nil"/>
              <w:bottom w:w="20" w:type="nil"/>
              <w:right w:w="20" w:type="nil"/>
            </w:tcMar>
            <w:vAlign w:val="center"/>
          </w:tcPr>
          <w:p w14:paraId="3E33595F"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334" w:type="dxa"/>
            <w:tcMar>
              <w:top w:w="20" w:type="nil"/>
              <w:left w:w="20" w:type="nil"/>
              <w:bottom w:w="20" w:type="nil"/>
              <w:right w:w="20" w:type="nil"/>
            </w:tcMar>
            <w:vAlign w:val="center"/>
          </w:tcPr>
          <w:p w14:paraId="52F8776A"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0.082</w:t>
            </w:r>
          </w:p>
        </w:tc>
        <w:tc>
          <w:tcPr>
            <w:tcW w:w="1059" w:type="dxa"/>
            <w:tcMar>
              <w:top w:w="20" w:type="nil"/>
              <w:left w:w="20" w:type="nil"/>
              <w:bottom w:w="20" w:type="nil"/>
              <w:right w:w="20" w:type="nil"/>
            </w:tcMar>
            <w:vAlign w:val="center"/>
          </w:tcPr>
          <w:p w14:paraId="2109F88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0.082</w:t>
            </w:r>
          </w:p>
        </w:tc>
      </w:tr>
      <w:tr w:rsidR="00047ADA" w:rsidRPr="00A7356B" w14:paraId="1A43749D" w14:textId="77777777" w:rsidTr="00047ADA">
        <w:tc>
          <w:tcPr>
            <w:tcW w:w="1560" w:type="dxa"/>
            <w:gridSpan w:val="2"/>
            <w:tcMar>
              <w:top w:w="20" w:type="nil"/>
              <w:left w:w="20" w:type="nil"/>
              <w:bottom w:w="20" w:type="nil"/>
              <w:right w:w="20" w:type="nil"/>
            </w:tcMar>
            <w:vAlign w:val="center"/>
          </w:tcPr>
          <w:p w14:paraId="4F121501"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936" w:type="dxa"/>
            <w:tcMar>
              <w:top w:w="20" w:type="nil"/>
              <w:left w:w="20" w:type="nil"/>
              <w:bottom w:w="20" w:type="nil"/>
              <w:right w:w="20" w:type="nil"/>
            </w:tcMar>
            <w:vAlign w:val="center"/>
          </w:tcPr>
          <w:p w14:paraId="03BC9B96"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428" w:type="dxa"/>
            <w:tcMar>
              <w:top w:w="20" w:type="nil"/>
              <w:left w:w="20" w:type="nil"/>
              <w:bottom w:w="20" w:type="nil"/>
              <w:right w:w="20" w:type="nil"/>
            </w:tcMar>
            <w:vAlign w:val="center"/>
          </w:tcPr>
          <w:p w14:paraId="75A98342"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404" w:type="dxa"/>
            <w:tcMar>
              <w:top w:w="20" w:type="nil"/>
              <w:left w:w="20" w:type="nil"/>
              <w:bottom w:w="20" w:type="nil"/>
              <w:right w:w="20" w:type="nil"/>
            </w:tcMar>
            <w:vAlign w:val="center"/>
          </w:tcPr>
          <w:p w14:paraId="031D7CE8"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(0.439)</w:t>
            </w:r>
          </w:p>
        </w:tc>
        <w:tc>
          <w:tcPr>
            <w:tcW w:w="1152" w:type="dxa"/>
            <w:tcMar>
              <w:top w:w="20" w:type="nil"/>
              <w:left w:w="20" w:type="nil"/>
              <w:bottom w:w="20" w:type="nil"/>
              <w:right w:w="20" w:type="nil"/>
            </w:tcMar>
            <w:vAlign w:val="center"/>
          </w:tcPr>
          <w:p w14:paraId="1D4D8290"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053" w:type="dxa"/>
            <w:tcMar>
              <w:top w:w="20" w:type="nil"/>
              <w:left w:w="20" w:type="nil"/>
              <w:bottom w:w="20" w:type="nil"/>
              <w:right w:w="20" w:type="nil"/>
            </w:tcMar>
            <w:vAlign w:val="center"/>
          </w:tcPr>
          <w:p w14:paraId="41967D38"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334" w:type="dxa"/>
            <w:tcMar>
              <w:top w:w="20" w:type="nil"/>
              <w:left w:w="20" w:type="nil"/>
              <w:bottom w:w="20" w:type="nil"/>
              <w:right w:w="20" w:type="nil"/>
            </w:tcMar>
            <w:vAlign w:val="center"/>
          </w:tcPr>
          <w:p w14:paraId="454EB2F2"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(0.673)</w:t>
            </w:r>
          </w:p>
        </w:tc>
        <w:tc>
          <w:tcPr>
            <w:tcW w:w="1059" w:type="dxa"/>
            <w:tcMar>
              <w:top w:w="20" w:type="nil"/>
              <w:left w:w="20" w:type="nil"/>
              <w:bottom w:w="20" w:type="nil"/>
              <w:right w:w="20" w:type="nil"/>
            </w:tcMar>
            <w:vAlign w:val="center"/>
          </w:tcPr>
          <w:p w14:paraId="7733D370"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(0.599)</w:t>
            </w:r>
          </w:p>
        </w:tc>
      </w:tr>
      <w:tr w:rsidR="00047ADA" w:rsidRPr="00A7356B" w14:paraId="0D18748E" w14:textId="77777777" w:rsidTr="00047ADA">
        <w:tc>
          <w:tcPr>
            <w:tcW w:w="1560" w:type="dxa"/>
            <w:gridSpan w:val="2"/>
            <w:tcMar>
              <w:top w:w="20" w:type="nil"/>
              <w:left w:w="20" w:type="nil"/>
              <w:bottom w:w="20" w:type="nil"/>
              <w:right w:w="20" w:type="nil"/>
            </w:tcMar>
            <w:vAlign w:val="center"/>
          </w:tcPr>
          <w:p w14:paraId="28DD6781" w14:textId="77777777" w:rsidR="00047ADA" w:rsidRPr="00A7356B" w:rsidRDefault="005008E5" w:rsidP="00047ADA">
            <w:pPr>
              <w:widowControl w:val="0"/>
              <w:autoSpaceDE w:val="0"/>
              <w:autoSpaceDN w:val="0"/>
              <w:adjustRightInd w:val="0"/>
              <w:jc w:val="center"/>
              <w:rPr>
                <w:rFonts w:ascii="Times" w:hAnsi="Times" w:cs="Times"/>
                <w:sz w:val="16"/>
                <w:szCs w:val="16"/>
                <w:lang w:val="en-US"/>
              </w:rPr>
            </w:pPr>
            <m:oMathPara>
              <m:oMath>
                <m:sSub>
                  <m:sSubPr>
                    <m:ctrlPr>
                      <w:rPr>
                        <w:rFonts w:ascii="Cambria Math" w:eastAsia="Times New Roman" w:hAnsi="Cambria Math" w:cs="Times New Roman"/>
                        <w:i/>
                        <w:sz w:val="16"/>
                        <w:szCs w:val="16"/>
                        <w:lang w:val="en-US"/>
                      </w:rPr>
                    </m:ctrlPr>
                  </m:sSubPr>
                  <m:e>
                    <m:sSup>
                      <m:sSupPr>
                        <m:ctrlPr>
                          <w:rPr>
                            <w:rFonts w:ascii="Cambria Math" w:eastAsia="Times New Roman" w:hAnsi="Cambria Math" w:cs="Times New Roman"/>
                            <w:i/>
                            <w:sz w:val="16"/>
                            <w:szCs w:val="16"/>
                            <w:lang w:val="en-US"/>
                          </w:rPr>
                        </m:ctrlPr>
                      </m:sSupPr>
                      <m:e>
                        <m:acc>
                          <m:accPr>
                            <m:ctrlPr>
                              <w:rPr>
                                <w:rFonts w:ascii="Cambria Math" w:eastAsia="Times New Roman" w:hAnsi="Cambria Math" w:cs="Times New Roman"/>
                                <w:i/>
                                <w:sz w:val="16"/>
                                <w:szCs w:val="16"/>
                                <w:lang w:val="en-US"/>
                              </w:rPr>
                            </m:ctrlPr>
                          </m:accPr>
                          <m:e>
                            <m:r>
                              <w:rPr>
                                <w:rFonts w:ascii="Cambria Math" w:eastAsia="Times New Roman" w:hAnsi="Cambria Math" w:cs="Times New Roman"/>
                                <w:sz w:val="16"/>
                                <w:szCs w:val="16"/>
                                <w:lang w:val="en-US"/>
                              </w:rPr>
                              <m:t>z</m:t>
                            </m:r>
                          </m:e>
                        </m:acc>
                      </m:e>
                      <m:sup>
                        <m:r>
                          <w:rPr>
                            <w:rFonts w:ascii="Cambria Math" w:eastAsia="Times New Roman" w:hAnsi="Cambria Math" w:cs="Times New Roman"/>
                            <w:sz w:val="16"/>
                            <w:szCs w:val="16"/>
                            <w:lang w:val="en-US"/>
                          </w:rPr>
                          <m:t>*</m:t>
                        </m:r>
                      </m:sup>
                    </m:sSup>
                  </m:e>
                  <m:sub>
                    <m:r>
                      <w:rPr>
                        <w:rFonts w:ascii="Cambria Math" w:eastAsia="Times New Roman" w:hAnsi="Cambria Math" w:cs="Times New Roman"/>
                        <w:sz w:val="16"/>
                        <w:szCs w:val="16"/>
                        <w:lang w:val="en-US"/>
                      </w:rPr>
                      <m:t>i</m:t>
                    </m:r>
                    <m:sSub>
                      <m:sSubPr>
                        <m:ctrlPr>
                          <w:rPr>
                            <w:rFonts w:ascii="Cambria Math" w:eastAsia="Times New Roman" w:hAnsi="Cambria Math" w:cs="Times New Roman"/>
                            <w:i/>
                            <w:sz w:val="16"/>
                            <w:szCs w:val="16"/>
                            <w:lang w:val="en-US"/>
                          </w:rPr>
                        </m:ctrlPr>
                      </m:sSubPr>
                      <m:e>
                        <m:r>
                          <w:rPr>
                            <w:rFonts w:ascii="Cambria Math" w:eastAsia="Times New Roman" w:hAnsi="Cambria Math" w:cs="Times New Roman"/>
                            <w:sz w:val="16"/>
                            <w:szCs w:val="16"/>
                            <w:lang w:val="en-US"/>
                          </w:rPr>
                          <m:t>j</m:t>
                        </m:r>
                      </m:e>
                      <m:sub>
                        <m:r>
                          <w:rPr>
                            <w:rFonts w:ascii="Cambria Math" w:eastAsia="Times New Roman" w:hAnsi="Cambria Math" w:cs="Times New Roman"/>
                            <w:sz w:val="16"/>
                            <w:szCs w:val="16"/>
                            <w:lang w:val="en-US"/>
                          </w:rPr>
                          <m:t>t</m:t>
                        </m:r>
                      </m:sub>
                    </m:sSub>
                  </m:sub>
                </m:sSub>
                <m:r>
                  <w:rPr>
                    <w:rFonts w:ascii="Cambria Math" w:eastAsia="Times New Roman" w:hAnsi="Cambria Math" w:cs="Times New Roman"/>
                    <w:sz w:val="16"/>
                    <w:szCs w:val="16"/>
                    <w:lang w:val="en-US"/>
                  </w:rPr>
                  <m:t>3</m:t>
                </m:r>
              </m:oMath>
            </m:oMathPara>
          </w:p>
        </w:tc>
        <w:tc>
          <w:tcPr>
            <w:tcW w:w="936" w:type="dxa"/>
            <w:tcMar>
              <w:top w:w="20" w:type="nil"/>
              <w:left w:w="20" w:type="nil"/>
              <w:bottom w:w="20" w:type="nil"/>
              <w:right w:w="20" w:type="nil"/>
            </w:tcMar>
            <w:vAlign w:val="center"/>
          </w:tcPr>
          <w:p w14:paraId="50D889BE"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428" w:type="dxa"/>
            <w:tcMar>
              <w:top w:w="20" w:type="nil"/>
              <w:left w:w="20" w:type="nil"/>
              <w:bottom w:w="20" w:type="nil"/>
              <w:right w:w="20" w:type="nil"/>
            </w:tcMar>
            <w:vAlign w:val="center"/>
          </w:tcPr>
          <w:p w14:paraId="1E291B9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404" w:type="dxa"/>
            <w:tcMar>
              <w:top w:w="20" w:type="nil"/>
              <w:left w:w="20" w:type="nil"/>
              <w:bottom w:w="20" w:type="nil"/>
              <w:right w:w="20" w:type="nil"/>
            </w:tcMar>
            <w:vAlign w:val="center"/>
          </w:tcPr>
          <w:p w14:paraId="2A15047E"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0.209</w:t>
            </w:r>
            <w:r w:rsidRPr="00A7356B">
              <w:rPr>
                <w:rFonts w:ascii="Times" w:hAnsi="Times" w:cs="Times"/>
                <w:sz w:val="16"/>
                <w:szCs w:val="16"/>
                <w:vertAlign w:val="superscript"/>
                <w:lang w:val="en-US"/>
              </w:rPr>
              <w:t>***</w:t>
            </w:r>
          </w:p>
        </w:tc>
        <w:tc>
          <w:tcPr>
            <w:tcW w:w="1152" w:type="dxa"/>
            <w:tcMar>
              <w:top w:w="20" w:type="nil"/>
              <w:left w:w="20" w:type="nil"/>
              <w:bottom w:w="20" w:type="nil"/>
              <w:right w:w="20" w:type="nil"/>
            </w:tcMar>
            <w:vAlign w:val="center"/>
          </w:tcPr>
          <w:p w14:paraId="035A20EE"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053" w:type="dxa"/>
            <w:tcMar>
              <w:top w:w="20" w:type="nil"/>
              <w:left w:w="20" w:type="nil"/>
              <w:bottom w:w="20" w:type="nil"/>
              <w:right w:w="20" w:type="nil"/>
            </w:tcMar>
            <w:vAlign w:val="center"/>
          </w:tcPr>
          <w:p w14:paraId="33AE050E"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334" w:type="dxa"/>
            <w:tcMar>
              <w:top w:w="20" w:type="nil"/>
              <w:left w:w="20" w:type="nil"/>
              <w:bottom w:w="20" w:type="nil"/>
              <w:right w:w="20" w:type="nil"/>
            </w:tcMar>
            <w:vAlign w:val="center"/>
          </w:tcPr>
          <w:p w14:paraId="3604C593"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-0.018</w:t>
            </w:r>
          </w:p>
        </w:tc>
        <w:tc>
          <w:tcPr>
            <w:tcW w:w="1059" w:type="dxa"/>
            <w:tcMar>
              <w:top w:w="20" w:type="nil"/>
              <w:left w:w="20" w:type="nil"/>
              <w:bottom w:w="20" w:type="nil"/>
              <w:right w:w="20" w:type="nil"/>
            </w:tcMar>
            <w:vAlign w:val="center"/>
          </w:tcPr>
          <w:p w14:paraId="701C69E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-0.018</w:t>
            </w:r>
          </w:p>
        </w:tc>
      </w:tr>
      <w:tr w:rsidR="00047ADA" w:rsidRPr="00A7356B" w14:paraId="124446FE" w14:textId="77777777" w:rsidTr="00047ADA">
        <w:tc>
          <w:tcPr>
            <w:tcW w:w="1560" w:type="dxa"/>
            <w:gridSpan w:val="2"/>
            <w:tcMar>
              <w:top w:w="20" w:type="nil"/>
              <w:left w:w="20" w:type="nil"/>
              <w:bottom w:w="20" w:type="nil"/>
              <w:right w:w="20" w:type="nil"/>
            </w:tcMar>
            <w:vAlign w:val="center"/>
          </w:tcPr>
          <w:p w14:paraId="7E3C1BC3"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936" w:type="dxa"/>
            <w:tcMar>
              <w:top w:w="20" w:type="nil"/>
              <w:left w:w="20" w:type="nil"/>
              <w:bottom w:w="20" w:type="nil"/>
              <w:right w:w="20" w:type="nil"/>
            </w:tcMar>
            <w:vAlign w:val="center"/>
          </w:tcPr>
          <w:p w14:paraId="6302002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428" w:type="dxa"/>
            <w:tcMar>
              <w:top w:w="20" w:type="nil"/>
              <w:left w:w="20" w:type="nil"/>
              <w:bottom w:w="20" w:type="nil"/>
              <w:right w:w="20" w:type="nil"/>
            </w:tcMar>
            <w:vAlign w:val="center"/>
          </w:tcPr>
          <w:p w14:paraId="5ECD8D65"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404" w:type="dxa"/>
            <w:tcMar>
              <w:top w:w="20" w:type="nil"/>
              <w:left w:w="20" w:type="nil"/>
              <w:bottom w:w="20" w:type="nil"/>
              <w:right w:w="20" w:type="nil"/>
            </w:tcMar>
            <w:vAlign w:val="center"/>
          </w:tcPr>
          <w:p w14:paraId="0EB64DB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(0.052)</w:t>
            </w:r>
          </w:p>
        </w:tc>
        <w:tc>
          <w:tcPr>
            <w:tcW w:w="1152" w:type="dxa"/>
            <w:tcMar>
              <w:top w:w="20" w:type="nil"/>
              <w:left w:w="20" w:type="nil"/>
              <w:bottom w:w="20" w:type="nil"/>
              <w:right w:w="20" w:type="nil"/>
            </w:tcMar>
            <w:vAlign w:val="center"/>
          </w:tcPr>
          <w:p w14:paraId="02D0EA4F"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053" w:type="dxa"/>
            <w:tcMar>
              <w:top w:w="20" w:type="nil"/>
              <w:left w:w="20" w:type="nil"/>
              <w:bottom w:w="20" w:type="nil"/>
              <w:right w:w="20" w:type="nil"/>
            </w:tcMar>
            <w:vAlign w:val="center"/>
          </w:tcPr>
          <w:p w14:paraId="23B99757"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334" w:type="dxa"/>
            <w:tcMar>
              <w:top w:w="20" w:type="nil"/>
              <w:left w:w="20" w:type="nil"/>
              <w:bottom w:w="20" w:type="nil"/>
              <w:right w:w="20" w:type="nil"/>
            </w:tcMar>
            <w:vAlign w:val="center"/>
          </w:tcPr>
          <w:p w14:paraId="21EFB8C1"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(0.073)</w:t>
            </w:r>
          </w:p>
        </w:tc>
        <w:tc>
          <w:tcPr>
            <w:tcW w:w="1059" w:type="dxa"/>
            <w:tcMar>
              <w:top w:w="20" w:type="nil"/>
              <w:left w:w="20" w:type="nil"/>
              <w:bottom w:w="20" w:type="nil"/>
              <w:right w:w="20" w:type="nil"/>
            </w:tcMar>
            <w:vAlign w:val="center"/>
          </w:tcPr>
          <w:p w14:paraId="048F8DE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(0.063)</w:t>
            </w:r>
          </w:p>
        </w:tc>
      </w:tr>
      <w:tr w:rsidR="00047ADA" w:rsidRPr="00A7356B" w14:paraId="46D38B82" w14:textId="77777777" w:rsidTr="00047ADA">
        <w:tc>
          <w:tcPr>
            <w:tcW w:w="1560" w:type="dxa"/>
            <w:gridSpan w:val="2"/>
            <w:tcMar>
              <w:top w:w="20" w:type="nil"/>
              <w:left w:w="20" w:type="nil"/>
              <w:bottom w:w="20" w:type="nil"/>
              <w:right w:w="20" w:type="nil"/>
            </w:tcMar>
            <w:vAlign w:val="center"/>
          </w:tcPr>
          <w:p w14:paraId="606430D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936" w:type="dxa"/>
            <w:tcMar>
              <w:top w:w="20" w:type="nil"/>
              <w:left w:w="20" w:type="nil"/>
              <w:bottom w:w="20" w:type="nil"/>
              <w:right w:w="20" w:type="nil"/>
            </w:tcMar>
            <w:vAlign w:val="center"/>
          </w:tcPr>
          <w:p w14:paraId="7EB2E5F8"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428" w:type="dxa"/>
            <w:tcMar>
              <w:top w:w="20" w:type="nil"/>
              <w:left w:w="20" w:type="nil"/>
              <w:bottom w:w="20" w:type="nil"/>
              <w:right w:w="20" w:type="nil"/>
            </w:tcMar>
            <w:vAlign w:val="center"/>
          </w:tcPr>
          <w:p w14:paraId="302D65F0"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404" w:type="dxa"/>
            <w:tcMar>
              <w:top w:w="20" w:type="nil"/>
              <w:left w:w="20" w:type="nil"/>
              <w:bottom w:w="20" w:type="nil"/>
              <w:right w:w="20" w:type="nil"/>
            </w:tcMar>
            <w:vAlign w:val="center"/>
          </w:tcPr>
          <w:p w14:paraId="58AC71FE"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152" w:type="dxa"/>
            <w:tcMar>
              <w:top w:w="20" w:type="nil"/>
              <w:left w:w="20" w:type="nil"/>
              <w:bottom w:w="20" w:type="nil"/>
              <w:right w:w="20" w:type="nil"/>
            </w:tcMar>
            <w:vAlign w:val="center"/>
          </w:tcPr>
          <w:p w14:paraId="6A9DF3E3"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053" w:type="dxa"/>
            <w:tcMar>
              <w:top w:w="20" w:type="nil"/>
              <w:left w:w="20" w:type="nil"/>
              <w:bottom w:w="20" w:type="nil"/>
              <w:right w:w="20" w:type="nil"/>
            </w:tcMar>
            <w:vAlign w:val="center"/>
          </w:tcPr>
          <w:p w14:paraId="48A24AC5"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334" w:type="dxa"/>
            <w:tcMar>
              <w:top w:w="20" w:type="nil"/>
              <w:left w:w="20" w:type="nil"/>
              <w:bottom w:w="20" w:type="nil"/>
              <w:right w:w="20" w:type="nil"/>
            </w:tcMar>
            <w:vAlign w:val="center"/>
          </w:tcPr>
          <w:p w14:paraId="151B3259"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059" w:type="dxa"/>
            <w:tcMar>
              <w:top w:w="20" w:type="nil"/>
              <w:left w:w="20" w:type="nil"/>
              <w:bottom w:w="20" w:type="nil"/>
              <w:right w:w="20" w:type="nil"/>
            </w:tcMar>
            <w:vAlign w:val="center"/>
          </w:tcPr>
          <w:p w14:paraId="4F673E72"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r>
      <w:tr w:rsidR="00047ADA" w:rsidRPr="00A7356B" w14:paraId="3B153A65" w14:textId="77777777" w:rsidTr="00047ADA">
        <w:tc>
          <w:tcPr>
            <w:tcW w:w="1560" w:type="dxa"/>
            <w:gridSpan w:val="2"/>
            <w:tcMar>
              <w:top w:w="20" w:type="nil"/>
              <w:left w:w="20" w:type="nil"/>
              <w:bottom w:w="20" w:type="nil"/>
              <w:right w:w="20" w:type="nil"/>
            </w:tcMar>
            <w:vAlign w:val="center"/>
          </w:tcPr>
          <w:p w14:paraId="3C9BC9E0"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Constant</w:t>
            </w:r>
          </w:p>
        </w:tc>
        <w:tc>
          <w:tcPr>
            <w:tcW w:w="936" w:type="dxa"/>
            <w:tcMar>
              <w:top w:w="20" w:type="nil"/>
              <w:left w:w="20" w:type="nil"/>
              <w:bottom w:w="20" w:type="nil"/>
              <w:right w:w="20" w:type="nil"/>
            </w:tcMar>
            <w:vAlign w:val="center"/>
          </w:tcPr>
          <w:p w14:paraId="3F9C7370"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-4.689</w:t>
            </w:r>
            <w:r w:rsidRPr="00A7356B">
              <w:rPr>
                <w:rFonts w:ascii="Times" w:hAnsi="Times" w:cs="Times"/>
                <w:sz w:val="16"/>
                <w:szCs w:val="16"/>
                <w:vertAlign w:val="superscript"/>
                <w:lang w:val="en-US"/>
              </w:rPr>
              <w:t>***</w:t>
            </w:r>
          </w:p>
        </w:tc>
        <w:tc>
          <w:tcPr>
            <w:tcW w:w="1428" w:type="dxa"/>
            <w:tcMar>
              <w:top w:w="20" w:type="nil"/>
              <w:left w:w="20" w:type="nil"/>
              <w:bottom w:w="20" w:type="nil"/>
              <w:right w:w="20" w:type="nil"/>
            </w:tcMar>
            <w:vAlign w:val="center"/>
          </w:tcPr>
          <w:p w14:paraId="70055A17"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-13.107</w:t>
            </w:r>
            <w:r w:rsidRPr="00A7356B">
              <w:rPr>
                <w:rFonts w:ascii="Times" w:hAnsi="Times" w:cs="Times"/>
                <w:sz w:val="16"/>
                <w:szCs w:val="16"/>
                <w:vertAlign w:val="superscript"/>
                <w:lang w:val="en-US"/>
              </w:rPr>
              <w:t>***</w:t>
            </w:r>
          </w:p>
        </w:tc>
        <w:tc>
          <w:tcPr>
            <w:tcW w:w="1404" w:type="dxa"/>
            <w:tcMar>
              <w:top w:w="20" w:type="nil"/>
              <w:left w:w="20" w:type="nil"/>
              <w:bottom w:w="20" w:type="nil"/>
              <w:right w:w="20" w:type="nil"/>
            </w:tcMar>
            <w:vAlign w:val="center"/>
          </w:tcPr>
          <w:p w14:paraId="185E0C5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-16.403</w:t>
            </w:r>
            <w:r w:rsidRPr="00A7356B">
              <w:rPr>
                <w:rFonts w:ascii="Times" w:hAnsi="Times" w:cs="Times"/>
                <w:sz w:val="16"/>
                <w:szCs w:val="16"/>
                <w:vertAlign w:val="superscript"/>
                <w:lang w:val="en-US"/>
              </w:rPr>
              <w:t>***</w:t>
            </w:r>
          </w:p>
        </w:tc>
        <w:tc>
          <w:tcPr>
            <w:tcW w:w="1152" w:type="dxa"/>
            <w:tcMar>
              <w:top w:w="20" w:type="nil"/>
              <w:left w:w="20" w:type="nil"/>
              <w:bottom w:w="20" w:type="nil"/>
              <w:right w:w="20" w:type="nil"/>
            </w:tcMar>
            <w:vAlign w:val="center"/>
          </w:tcPr>
          <w:p w14:paraId="6B0CDD64"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053" w:type="dxa"/>
            <w:tcMar>
              <w:top w:w="20" w:type="nil"/>
              <w:left w:w="20" w:type="nil"/>
              <w:bottom w:w="20" w:type="nil"/>
              <w:right w:w="20" w:type="nil"/>
            </w:tcMar>
            <w:vAlign w:val="center"/>
          </w:tcPr>
          <w:p w14:paraId="67963977"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334" w:type="dxa"/>
            <w:tcMar>
              <w:top w:w="20" w:type="nil"/>
              <w:left w:w="20" w:type="nil"/>
              <w:bottom w:w="20" w:type="nil"/>
              <w:right w:w="20" w:type="nil"/>
            </w:tcMar>
            <w:vAlign w:val="center"/>
          </w:tcPr>
          <w:p w14:paraId="0927790E"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059" w:type="dxa"/>
            <w:tcMar>
              <w:top w:w="20" w:type="nil"/>
              <w:left w:w="20" w:type="nil"/>
              <w:bottom w:w="20" w:type="nil"/>
              <w:right w:w="20" w:type="nil"/>
            </w:tcMar>
            <w:vAlign w:val="center"/>
          </w:tcPr>
          <w:p w14:paraId="4A5BB400"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r>
      <w:tr w:rsidR="00047ADA" w:rsidRPr="00A7356B" w14:paraId="2BFFF69A" w14:textId="77777777" w:rsidTr="00047ADA">
        <w:tc>
          <w:tcPr>
            <w:tcW w:w="1560" w:type="dxa"/>
            <w:gridSpan w:val="2"/>
            <w:tcBorders>
              <w:bottom w:val="single" w:sz="4" w:space="0" w:color="auto"/>
            </w:tcBorders>
            <w:tcMar>
              <w:top w:w="20" w:type="nil"/>
              <w:left w:w="20" w:type="nil"/>
              <w:bottom w:w="20" w:type="nil"/>
              <w:right w:w="20" w:type="nil"/>
            </w:tcMar>
            <w:vAlign w:val="center"/>
          </w:tcPr>
          <w:p w14:paraId="386DF8BA"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936" w:type="dxa"/>
            <w:tcBorders>
              <w:bottom w:val="single" w:sz="4" w:space="0" w:color="auto"/>
            </w:tcBorders>
            <w:tcMar>
              <w:top w:w="20" w:type="nil"/>
              <w:left w:w="20" w:type="nil"/>
              <w:bottom w:w="20" w:type="nil"/>
              <w:right w:w="20" w:type="nil"/>
            </w:tcMar>
            <w:vAlign w:val="center"/>
          </w:tcPr>
          <w:p w14:paraId="6DEBCEB6"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(0.384)</w:t>
            </w:r>
          </w:p>
        </w:tc>
        <w:tc>
          <w:tcPr>
            <w:tcW w:w="1428" w:type="dxa"/>
            <w:tcBorders>
              <w:bottom w:val="single" w:sz="4" w:space="0" w:color="auto"/>
            </w:tcBorders>
            <w:tcMar>
              <w:top w:w="20" w:type="nil"/>
              <w:left w:w="20" w:type="nil"/>
              <w:bottom w:w="20" w:type="nil"/>
              <w:right w:w="20" w:type="nil"/>
            </w:tcMar>
            <w:vAlign w:val="center"/>
          </w:tcPr>
          <w:p w14:paraId="0A65FF7A"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(1.611)</w:t>
            </w:r>
          </w:p>
        </w:tc>
        <w:tc>
          <w:tcPr>
            <w:tcW w:w="1404" w:type="dxa"/>
            <w:tcBorders>
              <w:bottom w:val="single" w:sz="4" w:space="0" w:color="auto"/>
            </w:tcBorders>
            <w:tcMar>
              <w:top w:w="20" w:type="nil"/>
              <w:left w:w="20" w:type="nil"/>
              <w:bottom w:w="20" w:type="nil"/>
              <w:right w:w="20" w:type="nil"/>
            </w:tcMar>
            <w:vAlign w:val="center"/>
          </w:tcPr>
          <w:p w14:paraId="06069968"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(1.857)</w:t>
            </w:r>
          </w:p>
        </w:tc>
        <w:tc>
          <w:tcPr>
            <w:tcW w:w="1152" w:type="dxa"/>
            <w:tcBorders>
              <w:bottom w:val="single" w:sz="4" w:space="0" w:color="auto"/>
            </w:tcBorders>
            <w:tcMar>
              <w:top w:w="20" w:type="nil"/>
              <w:left w:w="20" w:type="nil"/>
              <w:bottom w:w="20" w:type="nil"/>
              <w:right w:w="20" w:type="nil"/>
            </w:tcMar>
            <w:vAlign w:val="center"/>
          </w:tcPr>
          <w:p w14:paraId="4637D318"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053" w:type="dxa"/>
            <w:tcBorders>
              <w:bottom w:val="single" w:sz="4" w:space="0" w:color="auto"/>
            </w:tcBorders>
            <w:tcMar>
              <w:top w:w="20" w:type="nil"/>
              <w:left w:w="20" w:type="nil"/>
              <w:bottom w:w="20" w:type="nil"/>
              <w:right w:w="20" w:type="nil"/>
            </w:tcMar>
            <w:vAlign w:val="center"/>
          </w:tcPr>
          <w:p w14:paraId="66AA0EEA"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334" w:type="dxa"/>
            <w:tcBorders>
              <w:bottom w:val="single" w:sz="4" w:space="0" w:color="auto"/>
            </w:tcBorders>
            <w:tcMar>
              <w:top w:w="20" w:type="nil"/>
              <w:left w:w="20" w:type="nil"/>
              <w:bottom w:w="20" w:type="nil"/>
              <w:right w:w="20" w:type="nil"/>
            </w:tcMar>
            <w:vAlign w:val="center"/>
          </w:tcPr>
          <w:p w14:paraId="250B26FD"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059" w:type="dxa"/>
            <w:tcBorders>
              <w:bottom w:val="single" w:sz="4" w:space="0" w:color="auto"/>
            </w:tcBorders>
            <w:tcMar>
              <w:top w:w="20" w:type="nil"/>
              <w:left w:w="20" w:type="nil"/>
              <w:bottom w:w="20" w:type="nil"/>
              <w:right w:w="20" w:type="nil"/>
            </w:tcMar>
            <w:vAlign w:val="center"/>
          </w:tcPr>
          <w:p w14:paraId="37E374AE" w14:textId="77777777" w:rsidR="00047ADA" w:rsidRPr="00A7356B" w:rsidRDefault="00047ADA" w:rsidP="00047ADA">
            <w:pPr>
              <w:widowControl w:val="0"/>
              <w:autoSpaceDE w:val="0"/>
              <w:autoSpaceDN w:val="0"/>
              <w:adjustRightInd w:val="0"/>
              <w:rPr>
                <w:rFonts w:ascii="Times" w:hAnsi="Times" w:cs="Times"/>
                <w:sz w:val="16"/>
                <w:szCs w:val="16"/>
                <w:lang w:val="en-US"/>
              </w:rPr>
            </w:pPr>
          </w:p>
        </w:tc>
      </w:tr>
      <w:tr w:rsidR="00047ADA" w:rsidRPr="00A7356B" w14:paraId="2C806C35" w14:textId="77777777" w:rsidTr="00047ADA">
        <w:tc>
          <w:tcPr>
            <w:tcW w:w="1560" w:type="dxa"/>
            <w:gridSpan w:val="2"/>
            <w:tcBorders>
              <w:top w:val="single" w:sz="4" w:space="0" w:color="auto"/>
            </w:tcBorders>
            <w:tcMar>
              <w:top w:w="20" w:type="nil"/>
              <w:left w:w="20" w:type="nil"/>
              <w:bottom w:w="20" w:type="nil"/>
              <w:right w:w="20" w:type="nil"/>
            </w:tcMar>
            <w:vAlign w:val="center"/>
          </w:tcPr>
          <w:p w14:paraId="15A43F0D"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Observations</w:t>
            </w:r>
          </w:p>
        </w:tc>
        <w:tc>
          <w:tcPr>
            <w:tcW w:w="936" w:type="dxa"/>
            <w:tcBorders>
              <w:top w:val="single" w:sz="4" w:space="0" w:color="auto"/>
            </w:tcBorders>
            <w:tcMar>
              <w:top w:w="20" w:type="nil"/>
              <w:left w:w="20" w:type="nil"/>
              <w:bottom w:w="20" w:type="nil"/>
              <w:right w:w="20" w:type="nil"/>
            </w:tcMar>
            <w:vAlign w:val="center"/>
          </w:tcPr>
          <w:p w14:paraId="591385AD"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39,751</w:t>
            </w:r>
          </w:p>
        </w:tc>
        <w:tc>
          <w:tcPr>
            <w:tcW w:w="1428" w:type="dxa"/>
            <w:tcBorders>
              <w:top w:val="single" w:sz="4" w:space="0" w:color="auto"/>
            </w:tcBorders>
            <w:tcMar>
              <w:top w:w="20" w:type="nil"/>
              <w:left w:w="20" w:type="nil"/>
              <w:bottom w:w="20" w:type="nil"/>
              <w:right w:w="20" w:type="nil"/>
            </w:tcMar>
            <w:vAlign w:val="center"/>
          </w:tcPr>
          <w:p w14:paraId="5CFC2147"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6,634</w:t>
            </w:r>
          </w:p>
        </w:tc>
        <w:tc>
          <w:tcPr>
            <w:tcW w:w="1404" w:type="dxa"/>
            <w:tcBorders>
              <w:top w:val="single" w:sz="4" w:space="0" w:color="auto"/>
            </w:tcBorders>
            <w:tcMar>
              <w:top w:w="20" w:type="nil"/>
              <w:left w:w="20" w:type="nil"/>
              <w:bottom w:w="20" w:type="nil"/>
              <w:right w:w="20" w:type="nil"/>
            </w:tcMar>
            <w:vAlign w:val="center"/>
          </w:tcPr>
          <w:p w14:paraId="4F957C0E"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6,634</w:t>
            </w:r>
          </w:p>
        </w:tc>
        <w:tc>
          <w:tcPr>
            <w:tcW w:w="1152" w:type="dxa"/>
            <w:tcBorders>
              <w:top w:val="single" w:sz="4" w:space="0" w:color="auto"/>
            </w:tcBorders>
            <w:tcMar>
              <w:top w:w="20" w:type="nil"/>
              <w:left w:w="20" w:type="nil"/>
              <w:bottom w:w="20" w:type="nil"/>
              <w:right w:w="20" w:type="nil"/>
            </w:tcMar>
            <w:vAlign w:val="center"/>
          </w:tcPr>
          <w:p w14:paraId="34C50811"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6,634</w:t>
            </w:r>
          </w:p>
        </w:tc>
        <w:tc>
          <w:tcPr>
            <w:tcW w:w="1053" w:type="dxa"/>
            <w:tcBorders>
              <w:top w:val="single" w:sz="4" w:space="0" w:color="auto"/>
            </w:tcBorders>
            <w:tcMar>
              <w:top w:w="20" w:type="nil"/>
              <w:left w:w="20" w:type="nil"/>
              <w:bottom w:w="20" w:type="nil"/>
              <w:right w:w="20" w:type="nil"/>
            </w:tcMar>
            <w:vAlign w:val="center"/>
          </w:tcPr>
          <w:p w14:paraId="05D34BFF"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6,634</w:t>
            </w:r>
          </w:p>
        </w:tc>
        <w:tc>
          <w:tcPr>
            <w:tcW w:w="1334" w:type="dxa"/>
            <w:tcBorders>
              <w:top w:val="single" w:sz="4" w:space="0" w:color="auto"/>
            </w:tcBorders>
            <w:tcMar>
              <w:top w:w="20" w:type="nil"/>
              <w:left w:w="20" w:type="nil"/>
              <w:bottom w:w="20" w:type="nil"/>
              <w:right w:w="20" w:type="nil"/>
            </w:tcMar>
            <w:vAlign w:val="center"/>
          </w:tcPr>
          <w:p w14:paraId="1617249F"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6,634</w:t>
            </w:r>
          </w:p>
        </w:tc>
        <w:tc>
          <w:tcPr>
            <w:tcW w:w="1059" w:type="dxa"/>
            <w:tcBorders>
              <w:top w:val="single" w:sz="4" w:space="0" w:color="auto"/>
            </w:tcBorders>
            <w:tcMar>
              <w:top w:w="20" w:type="nil"/>
              <w:left w:w="20" w:type="nil"/>
              <w:bottom w:w="20" w:type="nil"/>
              <w:right w:w="20" w:type="nil"/>
            </w:tcMar>
            <w:vAlign w:val="center"/>
          </w:tcPr>
          <w:p w14:paraId="10E496F8" w14:textId="77777777" w:rsidR="00047ADA" w:rsidRPr="00A7356B" w:rsidRDefault="00047ADA" w:rsidP="00047ADA">
            <w:pPr>
              <w:widowControl w:val="0"/>
              <w:autoSpaceDE w:val="0"/>
              <w:autoSpaceDN w:val="0"/>
              <w:adjustRightInd w:val="0"/>
              <w:rPr>
                <w:rFonts w:ascii="Times" w:hAnsi="Times" w:cs="Times"/>
                <w:sz w:val="16"/>
                <w:szCs w:val="16"/>
                <w:lang w:val="en-US"/>
              </w:rPr>
            </w:pPr>
            <w:r w:rsidRPr="00A7356B">
              <w:rPr>
                <w:rFonts w:ascii="Times" w:hAnsi="Times" w:cs="Times"/>
                <w:sz w:val="16"/>
                <w:szCs w:val="16"/>
                <w:lang w:val="en-US"/>
              </w:rPr>
              <w:t>6,634</w:t>
            </w:r>
          </w:p>
        </w:tc>
      </w:tr>
      <w:tr w:rsidR="00047ADA" w:rsidRPr="00A7356B" w14:paraId="44D45644" w14:textId="77777777" w:rsidTr="00047ADA">
        <w:tc>
          <w:tcPr>
            <w:tcW w:w="1560" w:type="dxa"/>
            <w:gridSpan w:val="2"/>
            <w:tcMar>
              <w:top w:w="20" w:type="nil"/>
              <w:left w:w="20" w:type="nil"/>
              <w:bottom w:w="20" w:type="nil"/>
              <w:right w:w="20" w:type="nil"/>
            </w:tcMar>
            <w:vAlign w:val="center"/>
          </w:tcPr>
          <w:p w14:paraId="55C3E500"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R2</w:t>
            </w:r>
          </w:p>
        </w:tc>
        <w:tc>
          <w:tcPr>
            <w:tcW w:w="936" w:type="dxa"/>
            <w:tcMar>
              <w:top w:w="20" w:type="nil"/>
              <w:left w:w="20" w:type="nil"/>
              <w:bottom w:w="20" w:type="nil"/>
              <w:right w:w="20" w:type="nil"/>
            </w:tcMar>
            <w:vAlign w:val="center"/>
          </w:tcPr>
          <w:p w14:paraId="5735103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428" w:type="dxa"/>
            <w:tcMar>
              <w:top w:w="20" w:type="nil"/>
              <w:left w:w="20" w:type="nil"/>
              <w:bottom w:w="20" w:type="nil"/>
              <w:right w:w="20" w:type="nil"/>
            </w:tcMar>
            <w:vAlign w:val="center"/>
          </w:tcPr>
          <w:p w14:paraId="29BCA278"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0.425</w:t>
            </w:r>
          </w:p>
        </w:tc>
        <w:tc>
          <w:tcPr>
            <w:tcW w:w="1404" w:type="dxa"/>
            <w:tcMar>
              <w:top w:w="20" w:type="nil"/>
              <w:left w:w="20" w:type="nil"/>
              <w:bottom w:w="20" w:type="nil"/>
              <w:right w:w="20" w:type="nil"/>
            </w:tcMar>
            <w:vAlign w:val="center"/>
          </w:tcPr>
          <w:p w14:paraId="44B192CF"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0.438</w:t>
            </w:r>
          </w:p>
        </w:tc>
        <w:tc>
          <w:tcPr>
            <w:tcW w:w="1152" w:type="dxa"/>
            <w:tcMar>
              <w:top w:w="20" w:type="nil"/>
              <w:left w:w="20" w:type="nil"/>
              <w:bottom w:w="20" w:type="nil"/>
              <w:right w:w="20" w:type="nil"/>
            </w:tcMar>
            <w:vAlign w:val="center"/>
          </w:tcPr>
          <w:p w14:paraId="6B59F865"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0.253</w:t>
            </w:r>
          </w:p>
        </w:tc>
        <w:tc>
          <w:tcPr>
            <w:tcW w:w="1053" w:type="dxa"/>
            <w:tcMar>
              <w:top w:w="20" w:type="nil"/>
              <w:left w:w="20" w:type="nil"/>
              <w:bottom w:w="20" w:type="nil"/>
              <w:right w:w="20" w:type="nil"/>
            </w:tcMar>
            <w:vAlign w:val="center"/>
          </w:tcPr>
          <w:p w14:paraId="759B3BCA"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0.254</w:t>
            </w:r>
          </w:p>
        </w:tc>
        <w:tc>
          <w:tcPr>
            <w:tcW w:w="1334" w:type="dxa"/>
            <w:tcMar>
              <w:top w:w="20" w:type="nil"/>
              <w:left w:w="20" w:type="nil"/>
              <w:bottom w:w="20" w:type="nil"/>
              <w:right w:w="20" w:type="nil"/>
            </w:tcMar>
            <w:vAlign w:val="center"/>
          </w:tcPr>
          <w:p w14:paraId="5F51B362"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0.255</w:t>
            </w:r>
          </w:p>
        </w:tc>
        <w:tc>
          <w:tcPr>
            <w:tcW w:w="1059" w:type="dxa"/>
            <w:tcMar>
              <w:top w:w="20" w:type="nil"/>
              <w:left w:w="20" w:type="nil"/>
              <w:bottom w:w="20" w:type="nil"/>
              <w:right w:w="20" w:type="nil"/>
            </w:tcMar>
            <w:vAlign w:val="center"/>
          </w:tcPr>
          <w:p w14:paraId="5C5BB24F" w14:textId="77777777" w:rsidR="00047ADA" w:rsidRPr="00A7356B" w:rsidRDefault="00047ADA" w:rsidP="00047ADA">
            <w:pPr>
              <w:widowControl w:val="0"/>
              <w:autoSpaceDE w:val="0"/>
              <w:autoSpaceDN w:val="0"/>
              <w:adjustRightInd w:val="0"/>
              <w:rPr>
                <w:rFonts w:ascii="Times" w:hAnsi="Times" w:cs="Times"/>
                <w:sz w:val="16"/>
                <w:szCs w:val="16"/>
                <w:lang w:val="en-US"/>
              </w:rPr>
            </w:pPr>
            <w:r w:rsidRPr="00A7356B">
              <w:rPr>
                <w:rFonts w:ascii="Times" w:hAnsi="Times" w:cs="Times"/>
                <w:sz w:val="16"/>
                <w:szCs w:val="16"/>
                <w:lang w:val="en-US"/>
              </w:rPr>
              <w:t>0.255</w:t>
            </w:r>
          </w:p>
        </w:tc>
      </w:tr>
      <w:tr w:rsidR="00047ADA" w:rsidRPr="00A7356B" w14:paraId="52DC757B" w14:textId="77777777" w:rsidTr="00047ADA">
        <w:tc>
          <w:tcPr>
            <w:tcW w:w="1560" w:type="dxa"/>
            <w:gridSpan w:val="2"/>
            <w:tcMar>
              <w:top w:w="20" w:type="nil"/>
              <w:left w:w="20" w:type="nil"/>
              <w:bottom w:w="20" w:type="nil"/>
              <w:right w:w="20" w:type="nil"/>
            </w:tcMar>
            <w:vAlign w:val="center"/>
          </w:tcPr>
          <w:p w14:paraId="20FE592E"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roofErr w:type="spellStart"/>
            <w:r w:rsidRPr="00A7356B">
              <w:rPr>
                <w:rFonts w:ascii="Times" w:hAnsi="Times" w:cs="Times"/>
                <w:sz w:val="16"/>
                <w:szCs w:val="16"/>
                <w:lang w:val="en-US"/>
              </w:rPr>
              <w:t>Akaike</w:t>
            </w:r>
            <w:proofErr w:type="spellEnd"/>
            <w:r w:rsidRPr="00A7356B">
              <w:rPr>
                <w:rFonts w:ascii="Times" w:hAnsi="Times" w:cs="Times"/>
                <w:sz w:val="16"/>
                <w:szCs w:val="16"/>
                <w:lang w:val="en-US"/>
              </w:rPr>
              <w:t xml:space="preserve"> Inf. Crit.</w:t>
            </w:r>
          </w:p>
        </w:tc>
        <w:tc>
          <w:tcPr>
            <w:tcW w:w="936" w:type="dxa"/>
            <w:tcMar>
              <w:top w:w="20" w:type="nil"/>
              <w:left w:w="20" w:type="nil"/>
              <w:bottom w:w="20" w:type="nil"/>
              <w:right w:w="20" w:type="nil"/>
            </w:tcMar>
            <w:vAlign w:val="center"/>
          </w:tcPr>
          <w:p w14:paraId="58AFF175"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24,191.690</w:t>
            </w:r>
          </w:p>
        </w:tc>
        <w:tc>
          <w:tcPr>
            <w:tcW w:w="1428" w:type="dxa"/>
            <w:tcMar>
              <w:top w:w="20" w:type="nil"/>
              <w:left w:w="20" w:type="nil"/>
              <w:bottom w:w="20" w:type="nil"/>
              <w:right w:w="20" w:type="nil"/>
            </w:tcMar>
            <w:vAlign w:val="center"/>
          </w:tcPr>
          <w:p w14:paraId="70CEF4B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404" w:type="dxa"/>
            <w:tcMar>
              <w:top w:w="20" w:type="nil"/>
              <w:left w:w="20" w:type="nil"/>
              <w:bottom w:w="20" w:type="nil"/>
              <w:right w:w="20" w:type="nil"/>
            </w:tcMar>
            <w:vAlign w:val="center"/>
          </w:tcPr>
          <w:p w14:paraId="4E8FCB54"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152" w:type="dxa"/>
            <w:tcMar>
              <w:top w:w="20" w:type="nil"/>
              <w:left w:w="20" w:type="nil"/>
              <w:bottom w:w="20" w:type="nil"/>
              <w:right w:w="20" w:type="nil"/>
            </w:tcMar>
            <w:vAlign w:val="center"/>
          </w:tcPr>
          <w:p w14:paraId="7D78393E"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053" w:type="dxa"/>
            <w:tcMar>
              <w:top w:w="20" w:type="nil"/>
              <w:left w:w="20" w:type="nil"/>
              <w:bottom w:w="20" w:type="nil"/>
              <w:right w:w="20" w:type="nil"/>
            </w:tcMar>
            <w:vAlign w:val="center"/>
          </w:tcPr>
          <w:p w14:paraId="0838F6AA"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334" w:type="dxa"/>
            <w:tcMar>
              <w:top w:w="20" w:type="nil"/>
              <w:left w:w="20" w:type="nil"/>
              <w:bottom w:w="20" w:type="nil"/>
              <w:right w:w="20" w:type="nil"/>
            </w:tcMar>
            <w:vAlign w:val="center"/>
          </w:tcPr>
          <w:p w14:paraId="0C5B840B"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059" w:type="dxa"/>
            <w:tcMar>
              <w:top w:w="20" w:type="nil"/>
              <w:left w:w="20" w:type="nil"/>
              <w:bottom w:w="20" w:type="nil"/>
              <w:right w:w="20" w:type="nil"/>
            </w:tcMar>
            <w:vAlign w:val="center"/>
          </w:tcPr>
          <w:p w14:paraId="2DE55AE3" w14:textId="77777777" w:rsidR="00047ADA" w:rsidRPr="00A7356B" w:rsidRDefault="00047ADA" w:rsidP="00047ADA">
            <w:pPr>
              <w:widowControl w:val="0"/>
              <w:autoSpaceDE w:val="0"/>
              <w:autoSpaceDN w:val="0"/>
              <w:adjustRightInd w:val="0"/>
              <w:rPr>
                <w:rFonts w:ascii="Times" w:hAnsi="Times" w:cs="Times"/>
                <w:sz w:val="16"/>
                <w:szCs w:val="16"/>
                <w:lang w:val="en-US"/>
              </w:rPr>
            </w:pPr>
          </w:p>
        </w:tc>
      </w:tr>
      <w:tr w:rsidR="00047ADA" w:rsidRPr="00A7356B" w14:paraId="02788B4D" w14:textId="77777777" w:rsidTr="00047ADA">
        <w:tc>
          <w:tcPr>
            <w:tcW w:w="1560" w:type="dxa"/>
            <w:gridSpan w:val="2"/>
            <w:tcMar>
              <w:top w:w="20" w:type="nil"/>
              <w:left w:w="20" w:type="nil"/>
              <w:bottom w:w="20" w:type="nil"/>
              <w:right w:w="20" w:type="nil"/>
            </w:tcMar>
            <w:vAlign w:val="center"/>
          </w:tcPr>
          <w:p w14:paraId="6E93C04E"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F Statistic</w:t>
            </w:r>
          </w:p>
        </w:tc>
        <w:tc>
          <w:tcPr>
            <w:tcW w:w="936" w:type="dxa"/>
            <w:tcMar>
              <w:top w:w="20" w:type="nil"/>
              <w:left w:w="20" w:type="nil"/>
              <w:bottom w:w="20" w:type="nil"/>
              <w:right w:w="20" w:type="nil"/>
            </w:tcMar>
            <w:vAlign w:val="center"/>
          </w:tcPr>
          <w:p w14:paraId="35455B42"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428" w:type="dxa"/>
            <w:tcMar>
              <w:top w:w="20" w:type="nil"/>
              <w:left w:w="20" w:type="nil"/>
              <w:bottom w:w="20" w:type="nil"/>
              <w:right w:w="20" w:type="nil"/>
            </w:tcMar>
            <w:vAlign w:val="center"/>
          </w:tcPr>
          <w:tbl>
            <w:tblPr>
              <w:tblW w:w="1212" w:type="dxa"/>
              <w:tblBorders>
                <w:top w:val="nil"/>
                <w:left w:val="nil"/>
                <w:right w:val="nil"/>
              </w:tblBorders>
              <w:tblLayout w:type="fixed"/>
              <w:tblLook w:val="0000" w:firstRow="0" w:lastRow="0" w:firstColumn="0" w:lastColumn="0" w:noHBand="0" w:noVBand="0"/>
            </w:tblPr>
            <w:tblGrid>
              <w:gridCol w:w="976"/>
              <w:gridCol w:w="236"/>
            </w:tblGrid>
            <w:tr w:rsidR="00047ADA" w:rsidRPr="00A7356B" w14:paraId="1FCFAE9A" w14:textId="77777777" w:rsidTr="00047ADA">
              <w:tc>
                <w:tcPr>
                  <w:tcW w:w="976" w:type="dxa"/>
                  <w:tcMar>
                    <w:top w:w="20" w:type="nil"/>
                    <w:left w:w="20" w:type="nil"/>
                    <w:bottom w:w="20" w:type="nil"/>
                    <w:right w:w="20" w:type="nil"/>
                  </w:tcMar>
                  <w:vAlign w:val="center"/>
                </w:tcPr>
                <w:p w14:paraId="40CAD49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135.398*** (</w:t>
                  </w:r>
                  <w:proofErr w:type="spellStart"/>
                  <w:r w:rsidRPr="00A7356B">
                    <w:rPr>
                      <w:rFonts w:ascii="Times" w:hAnsi="Times" w:cs="Times"/>
                      <w:sz w:val="16"/>
                      <w:szCs w:val="16"/>
                      <w:lang w:val="en-US"/>
                    </w:rPr>
                    <w:t>df</w:t>
                  </w:r>
                  <w:proofErr w:type="spellEnd"/>
                  <w:r w:rsidRPr="00A7356B">
                    <w:rPr>
                      <w:rFonts w:ascii="Times" w:hAnsi="Times" w:cs="Times"/>
                      <w:sz w:val="16"/>
                      <w:szCs w:val="16"/>
                      <w:lang w:val="en-US"/>
                    </w:rPr>
                    <w:t xml:space="preserve"> = 36; 6597)</w:t>
                  </w:r>
                </w:p>
              </w:tc>
              <w:tc>
                <w:tcPr>
                  <w:tcW w:w="236" w:type="dxa"/>
                  <w:tcMar>
                    <w:top w:w="20" w:type="nil"/>
                    <w:left w:w="20" w:type="nil"/>
                    <w:bottom w:w="20" w:type="nil"/>
                    <w:right w:w="20" w:type="nil"/>
                  </w:tcMar>
                  <w:vAlign w:val="center"/>
                </w:tcPr>
                <w:p w14:paraId="404B3226" w14:textId="77777777" w:rsidR="00047ADA" w:rsidRPr="00A7356B" w:rsidRDefault="00047ADA" w:rsidP="00047ADA">
                  <w:pPr>
                    <w:widowControl w:val="0"/>
                    <w:autoSpaceDE w:val="0"/>
                    <w:autoSpaceDN w:val="0"/>
                    <w:adjustRightInd w:val="0"/>
                    <w:rPr>
                      <w:rFonts w:ascii="Times" w:hAnsi="Times" w:cs="Times"/>
                      <w:sz w:val="16"/>
                      <w:szCs w:val="16"/>
                      <w:lang w:val="en-US"/>
                    </w:rPr>
                  </w:pPr>
                </w:p>
              </w:tc>
            </w:tr>
          </w:tbl>
          <w:p w14:paraId="7D6A18C4"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404" w:type="dxa"/>
            <w:tcMar>
              <w:top w:w="20" w:type="nil"/>
              <w:left w:w="20" w:type="nil"/>
              <w:bottom w:w="20" w:type="nil"/>
              <w:right w:w="20" w:type="nil"/>
            </w:tcMar>
            <w:vAlign w:val="center"/>
          </w:tcPr>
          <w:p w14:paraId="6A451AB3"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128.565*** (</w:t>
            </w:r>
            <w:proofErr w:type="spellStart"/>
            <w:r w:rsidRPr="00A7356B">
              <w:rPr>
                <w:rFonts w:ascii="Times" w:hAnsi="Times" w:cs="Times"/>
                <w:sz w:val="16"/>
                <w:szCs w:val="16"/>
                <w:lang w:val="en-US"/>
              </w:rPr>
              <w:t>df</w:t>
            </w:r>
            <w:proofErr w:type="spellEnd"/>
            <w:r w:rsidRPr="00A7356B">
              <w:rPr>
                <w:rFonts w:ascii="Times" w:hAnsi="Times" w:cs="Times"/>
                <w:sz w:val="16"/>
                <w:szCs w:val="16"/>
                <w:lang w:val="en-US"/>
              </w:rPr>
              <w:t xml:space="preserve"> = 40; 6593)</w:t>
            </w:r>
          </w:p>
          <w:p w14:paraId="781E3CD6"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152" w:type="dxa"/>
            <w:tcMar>
              <w:top w:w="20" w:type="nil"/>
              <w:left w:w="20" w:type="nil"/>
              <w:bottom w:w="20" w:type="nil"/>
              <w:right w:w="20" w:type="nil"/>
            </w:tcMar>
            <w:vAlign w:val="center"/>
          </w:tcPr>
          <w:tbl>
            <w:tblPr>
              <w:tblW w:w="1132" w:type="dxa"/>
              <w:tblBorders>
                <w:top w:val="nil"/>
                <w:left w:val="nil"/>
                <w:right w:val="nil"/>
              </w:tblBorders>
              <w:tblLayout w:type="fixed"/>
              <w:tblLook w:val="0000" w:firstRow="0" w:lastRow="0" w:firstColumn="0" w:lastColumn="0" w:noHBand="0" w:noVBand="0"/>
            </w:tblPr>
            <w:tblGrid>
              <w:gridCol w:w="896"/>
              <w:gridCol w:w="236"/>
            </w:tblGrid>
            <w:tr w:rsidR="00047ADA" w:rsidRPr="00A7356B" w14:paraId="371E56C9" w14:textId="77777777" w:rsidTr="00047ADA">
              <w:tc>
                <w:tcPr>
                  <w:tcW w:w="896" w:type="dxa"/>
                  <w:tcMar>
                    <w:top w:w="20" w:type="nil"/>
                    <w:left w:w="20" w:type="nil"/>
                    <w:bottom w:w="20" w:type="nil"/>
                    <w:right w:w="20" w:type="nil"/>
                  </w:tcMar>
                  <w:vAlign w:val="center"/>
                </w:tcPr>
                <w:p w14:paraId="3B10C897"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47.974*** (</w:t>
                  </w:r>
                  <w:proofErr w:type="spellStart"/>
                  <w:r w:rsidRPr="00A7356B">
                    <w:rPr>
                      <w:rFonts w:ascii="Times" w:hAnsi="Times" w:cs="Times"/>
                      <w:sz w:val="16"/>
                      <w:szCs w:val="16"/>
                      <w:lang w:val="en-US"/>
                    </w:rPr>
                    <w:t>df</w:t>
                  </w:r>
                  <w:proofErr w:type="spellEnd"/>
                  <w:r w:rsidRPr="00A7356B">
                    <w:rPr>
                      <w:rFonts w:ascii="Times" w:hAnsi="Times" w:cs="Times"/>
                      <w:sz w:val="16"/>
                      <w:szCs w:val="16"/>
                      <w:lang w:val="en-US"/>
                    </w:rPr>
                    <w:t xml:space="preserve"> = 39; 5522)</w:t>
                  </w:r>
                </w:p>
              </w:tc>
              <w:tc>
                <w:tcPr>
                  <w:tcW w:w="236" w:type="dxa"/>
                  <w:tcMar>
                    <w:top w:w="20" w:type="nil"/>
                    <w:left w:w="20" w:type="nil"/>
                    <w:bottom w:w="20" w:type="nil"/>
                    <w:right w:w="20" w:type="nil"/>
                  </w:tcMar>
                  <w:vAlign w:val="center"/>
                </w:tcPr>
                <w:p w14:paraId="0DEC2399" w14:textId="77777777" w:rsidR="00047ADA" w:rsidRPr="00A7356B" w:rsidRDefault="00047ADA" w:rsidP="00047ADA">
                  <w:pPr>
                    <w:widowControl w:val="0"/>
                    <w:autoSpaceDE w:val="0"/>
                    <w:autoSpaceDN w:val="0"/>
                    <w:adjustRightInd w:val="0"/>
                    <w:rPr>
                      <w:rFonts w:ascii="Times" w:hAnsi="Times" w:cs="Times"/>
                      <w:sz w:val="16"/>
                      <w:szCs w:val="16"/>
                      <w:lang w:val="en-US"/>
                    </w:rPr>
                  </w:pPr>
                </w:p>
              </w:tc>
            </w:tr>
          </w:tbl>
          <w:p w14:paraId="21F42B52"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053" w:type="dxa"/>
            <w:tcMar>
              <w:top w:w="20" w:type="nil"/>
              <w:left w:w="20" w:type="nil"/>
              <w:bottom w:w="20" w:type="nil"/>
              <w:right w:w="20" w:type="nil"/>
            </w:tcMar>
            <w:vAlign w:val="center"/>
          </w:tcPr>
          <w:p w14:paraId="2F2EBB83"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334" w:type="dxa"/>
            <w:tcMar>
              <w:top w:w="20" w:type="nil"/>
              <w:left w:w="20" w:type="nil"/>
              <w:bottom w:w="20" w:type="nil"/>
              <w:right w:w="20" w:type="nil"/>
            </w:tcMar>
            <w:vAlign w:val="center"/>
          </w:tcPr>
          <w:tbl>
            <w:tblPr>
              <w:tblW w:w="0" w:type="auto"/>
              <w:tblBorders>
                <w:top w:val="nil"/>
                <w:left w:val="nil"/>
                <w:right w:val="nil"/>
              </w:tblBorders>
              <w:tblLayout w:type="fixed"/>
              <w:tblLook w:val="0000" w:firstRow="0" w:lastRow="0" w:firstColumn="0" w:lastColumn="0" w:noHBand="0" w:noVBand="0"/>
            </w:tblPr>
            <w:tblGrid>
              <w:gridCol w:w="3300"/>
              <w:gridCol w:w="1220"/>
            </w:tblGrid>
            <w:tr w:rsidR="00047ADA" w:rsidRPr="00A7356B" w14:paraId="07860D7C" w14:textId="77777777" w:rsidTr="00047ADA">
              <w:tc>
                <w:tcPr>
                  <w:tcW w:w="3300" w:type="dxa"/>
                  <w:tcMar>
                    <w:top w:w="20" w:type="nil"/>
                    <w:left w:w="20" w:type="nil"/>
                    <w:bottom w:w="20" w:type="nil"/>
                    <w:right w:w="20" w:type="nil"/>
                  </w:tcMar>
                  <w:vAlign w:val="center"/>
                </w:tcPr>
                <w:p w14:paraId="2EDC5873"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r w:rsidRPr="00A7356B">
                    <w:rPr>
                      <w:rFonts w:ascii="Times" w:hAnsi="Times" w:cs="Times"/>
                      <w:sz w:val="16"/>
                      <w:szCs w:val="16"/>
                      <w:lang w:val="en-US"/>
                    </w:rPr>
                    <w:t>53.285*** (</w:t>
                  </w:r>
                  <w:proofErr w:type="spellStart"/>
                  <w:r w:rsidRPr="00A7356B">
                    <w:rPr>
                      <w:rFonts w:ascii="Times" w:hAnsi="Times" w:cs="Times"/>
                      <w:sz w:val="16"/>
                      <w:szCs w:val="16"/>
                      <w:lang w:val="en-US"/>
                    </w:rPr>
                    <w:t>df</w:t>
                  </w:r>
                  <w:proofErr w:type="spellEnd"/>
                  <w:r w:rsidRPr="00A7356B">
                    <w:rPr>
                      <w:rFonts w:ascii="Times" w:hAnsi="Times" w:cs="Times"/>
                      <w:sz w:val="16"/>
                      <w:szCs w:val="16"/>
                      <w:lang w:val="en-US"/>
                    </w:rPr>
                    <w:t xml:space="preserve"> = 35; 5526)</w:t>
                  </w:r>
                </w:p>
              </w:tc>
              <w:tc>
                <w:tcPr>
                  <w:tcW w:w="1220" w:type="dxa"/>
                  <w:tcMar>
                    <w:top w:w="20" w:type="nil"/>
                    <w:left w:w="20" w:type="nil"/>
                    <w:bottom w:w="20" w:type="nil"/>
                    <w:right w:w="20" w:type="nil"/>
                  </w:tcMar>
                  <w:vAlign w:val="center"/>
                </w:tcPr>
                <w:p w14:paraId="5639EEAC"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r>
          </w:tbl>
          <w:p w14:paraId="3CC00F16" w14:textId="77777777" w:rsidR="00047ADA" w:rsidRPr="00A7356B" w:rsidRDefault="00047ADA" w:rsidP="00047ADA">
            <w:pPr>
              <w:widowControl w:val="0"/>
              <w:autoSpaceDE w:val="0"/>
              <w:autoSpaceDN w:val="0"/>
              <w:adjustRightInd w:val="0"/>
              <w:jc w:val="center"/>
              <w:rPr>
                <w:rFonts w:ascii="Times" w:hAnsi="Times" w:cs="Times"/>
                <w:sz w:val="16"/>
                <w:szCs w:val="16"/>
                <w:lang w:val="en-US"/>
              </w:rPr>
            </w:pPr>
          </w:p>
        </w:tc>
        <w:tc>
          <w:tcPr>
            <w:tcW w:w="1059" w:type="dxa"/>
            <w:tcMar>
              <w:top w:w="20" w:type="nil"/>
              <w:left w:w="20" w:type="nil"/>
              <w:bottom w:w="20" w:type="nil"/>
              <w:right w:w="20" w:type="nil"/>
            </w:tcMar>
            <w:vAlign w:val="center"/>
          </w:tcPr>
          <w:p w14:paraId="2F0F8BF2" w14:textId="77777777" w:rsidR="00047ADA" w:rsidRPr="00A7356B" w:rsidRDefault="00047ADA" w:rsidP="00047ADA">
            <w:pPr>
              <w:widowControl w:val="0"/>
              <w:autoSpaceDE w:val="0"/>
              <w:autoSpaceDN w:val="0"/>
              <w:adjustRightInd w:val="0"/>
              <w:rPr>
                <w:rFonts w:ascii="Times" w:hAnsi="Times" w:cs="Times"/>
                <w:sz w:val="16"/>
                <w:szCs w:val="16"/>
                <w:lang w:val="en-US"/>
              </w:rPr>
            </w:pPr>
          </w:p>
        </w:tc>
      </w:tr>
      <w:tr w:rsidR="00047ADA" w:rsidRPr="00A7356B" w14:paraId="5B9D2B20" w14:textId="77777777" w:rsidTr="00047ADA">
        <w:tblPrEx>
          <w:tblBorders>
            <w:top w:val="nil"/>
            <w:left w:val="nil"/>
            <w:right w:val="nil"/>
          </w:tblBorders>
        </w:tblPrEx>
        <w:tc>
          <w:tcPr>
            <w:tcW w:w="1344" w:type="dxa"/>
            <w:tcBorders>
              <w:top w:val="single" w:sz="4" w:space="0" w:color="auto"/>
            </w:tcBorders>
            <w:tcMar>
              <w:top w:w="20" w:type="nil"/>
              <w:left w:w="20" w:type="nil"/>
              <w:bottom w:w="20" w:type="nil"/>
              <w:right w:w="20" w:type="nil"/>
            </w:tcMar>
            <w:vAlign w:val="center"/>
          </w:tcPr>
          <w:p w14:paraId="6584A7EB" w14:textId="77777777" w:rsidR="00047ADA" w:rsidRPr="00A7356B" w:rsidRDefault="00047ADA" w:rsidP="00047ADA">
            <w:pPr>
              <w:widowControl w:val="0"/>
              <w:autoSpaceDE w:val="0"/>
              <w:autoSpaceDN w:val="0"/>
              <w:adjustRightInd w:val="0"/>
              <w:rPr>
                <w:rFonts w:ascii="Times" w:hAnsi="Times" w:cs="Times"/>
                <w:sz w:val="16"/>
                <w:szCs w:val="16"/>
                <w:lang w:val="en-US"/>
              </w:rPr>
            </w:pPr>
            <w:r w:rsidRPr="00A7356B">
              <w:rPr>
                <w:rFonts w:ascii="Times" w:hAnsi="Times" w:cs="Times"/>
                <w:i/>
                <w:iCs/>
                <w:sz w:val="16"/>
                <w:szCs w:val="16"/>
                <w:lang w:val="en-US"/>
              </w:rPr>
              <w:t>Note:</w:t>
            </w:r>
          </w:p>
        </w:tc>
        <w:tc>
          <w:tcPr>
            <w:tcW w:w="8582" w:type="dxa"/>
            <w:gridSpan w:val="8"/>
            <w:tcBorders>
              <w:top w:val="single" w:sz="4" w:space="0" w:color="auto"/>
            </w:tcBorders>
            <w:tcMar>
              <w:top w:w="20" w:type="nil"/>
              <w:left w:w="20" w:type="nil"/>
              <w:bottom w:w="20" w:type="nil"/>
              <w:right w:w="20" w:type="nil"/>
            </w:tcMar>
            <w:vAlign w:val="center"/>
          </w:tcPr>
          <w:p w14:paraId="2D2ABCE3" w14:textId="77777777" w:rsidR="00047ADA" w:rsidRPr="00A7356B" w:rsidRDefault="00047ADA" w:rsidP="00047ADA">
            <w:pPr>
              <w:widowControl w:val="0"/>
              <w:autoSpaceDE w:val="0"/>
              <w:autoSpaceDN w:val="0"/>
              <w:adjustRightInd w:val="0"/>
              <w:jc w:val="right"/>
              <w:rPr>
                <w:rFonts w:ascii="Times" w:hAnsi="Times" w:cs="Times"/>
                <w:sz w:val="16"/>
                <w:szCs w:val="16"/>
                <w:lang w:val="en-US"/>
              </w:rPr>
            </w:pPr>
            <w:r w:rsidRPr="00A7356B">
              <w:rPr>
                <w:rFonts w:ascii="Times" w:hAnsi="Times" w:cs="Times"/>
                <w:sz w:val="16"/>
                <w:szCs w:val="16"/>
                <w:vertAlign w:val="superscript"/>
                <w:lang w:val="en-US"/>
              </w:rPr>
              <w:t>*</w:t>
            </w:r>
            <w:proofErr w:type="gramStart"/>
            <w:r w:rsidRPr="00A7356B">
              <w:rPr>
                <w:rFonts w:ascii="Times" w:hAnsi="Times" w:cs="Times"/>
                <w:sz w:val="16"/>
                <w:szCs w:val="16"/>
                <w:lang w:val="en-US"/>
              </w:rPr>
              <w:t>p</w:t>
            </w:r>
            <w:proofErr w:type="gramEnd"/>
            <w:r w:rsidRPr="00A7356B">
              <w:rPr>
                <w:rFonts w:ascii="Times" w:hAnsi="Times" w:cs="Times"/>
                <w:sz w:val="16"/>
                <w:szCs w:val="16"/>
                <w:lang w:val="en-US"/>
              </w:rPr>
              <w:t xml:space="preserve">&lt;0.1; </w:t>
            </w:r>
            <w:r w:rsidRPr="00A7356B">
              <w:rPr>
                <w:rFonts w:ascii="Times" w:hAnsi="Times" w:cs="Times"/>
                <w:sz w:val="16"/>
                <w:szCs w:val="16"/>
                <w:vertAlign w:val="superscript"/>
                <w:lang w:val="en-US"/>
              </w:rPr>
              <w:t>**</w:t>
            </w:r>
            <w:r w:rsidRPr="00A7356B">
              <w:rPr>
                <w:rFonts w:ascii="Times" w:hAnsi="Times" w:cs="Times"/>
                <w:sz w:val="16"/>
                <w:szCs w:val="16"/>
                <w:lang w:val="en-US"/>
              </w:rPr>
              <w:t xml:space="preserve">p&lt;0.05; </w:t>
            </w:r>
            <w:r w:rsidRPr="00A7356B">
              <w:rPr>
                <w:rFonts w:ascii="Times" w:hAnsi="Times" w:cs="Times"/>
                <w:sz w:val="16"/>
                <w:szCs w:val="16"/>
                <w:vertAlign w:val="superscript"/>
                <w:lang w:val="en-US"/>
              </w:rPr>
              <w:t>***</w:t>
            </w:r>
            <w:r w:rsidRPr="00A7356B">
              <w:rPr>
                <w:rFonts w:ascii="Times" w:hAnsi="Times" w:cs="Times"/>
                <w:sz w:val="16"/>
                <w:szCs w:val="16"/>
                <w:lang w:val="en-US"/>
              </w:rPr>
              <w:t>p&lt;0.01</w:t>
            </w:r>
          </w:p>
        </w:tc>
      </w:tr>
      <w:tr w:rsidR="00047ADA" w:rsidRPr="00A7356B" w14:paraId="1FAEE6EA" w14:textId="77777777" w:rsidTr="00047ADA">
        <w:tblPrEx>
          <w:tblBorders>
            <w:top w:val="nil"/>
            <w:left w:val="nil"/>
            <w:right w:val="nil"/>
          </w:tblBorders>
        </w:tblPrEx>
        <w:tc>
          <w:tcPr>
            <w:tcW w:w="9926" w:type="dxa"/>
            <w:gridSpan w:val="9"/>
            <w:tcMar>
              <w:top w:w="20" w:type="nil"/>
              <w:left w:w="20" w:type="nil"/>
              <w:bottom w:w="20" w:type="nil"/>
              <w:right w:w="20" w:type="nil"/>
            </w:tcMar>
            <w:vAlign w:val="center"/>
          </w:tcPr>
          <w:p w14:paraId="378C6296" w14:textId="77777777" w:rsidR="00047ADA" w:rsidRPr="00A7356B" w:rsidRDefault="00047ADA" w:rsidP="00047ADA">
            <w:pPr>
              <w:widowControl w:val="0"/>
              <w:autoSpaceDE w:val="0"/>
              <w:autoSpaceDN w:val="0"/>
              <w:adjustRightInd w:val="0"/>
              <w:rPr>
                <w:rFonts w:ascii="Times" w:hAnsi="Times" w:cs="Times"/>
                <w:sz w:val="16"/>
                <w:szCs w:val="16"/>
              </w:rPr>
            </w:pPr>
            <w:proofErr w:type="spellStart"/>
            <w:r w:rsidRPr="00A7356B">
              <w:rPr>
                <w:rFonts w:ascii="Times" w:hAnsi="Times" w:cs="Times"/>
                <w:sz w:val="16"/>
                <w:szCs w:val="16"/>
              </w:rPr>
              <w:t>With</w:t>
            </w:r>
            <w:proofErr w:type="spellEnd"/>
            <w:r w:rsidRPr="00A7356B">
              <w:rPr>
                <w:rFonts w:ascii="Times" w:hAnsi="Times" w:cs="Times"/>
                <w:sz w:val="16"/>
                <w:szCs w:val="16"/>
              </w:rPr>
              <w:t xml:space="preserve"> </w:t>
            </w:r>
            <w:proofErr w:type="spellStart"/>
            <w:r w:rsidRPr="00A7356B">
              <w:rPr>
                <w:rFonts w:ascii="Times" w:hAnsi="Times" w:cs="Times"/>
                <w:sz w:val="16"/>
                <w:szCs w:val="16"/>
              </w:rPr>
              <w:t>the</w:t>
            </w:r>
            <w:proofErr w:type="spellEnd"/>
            <w:r w:rsidRPr="00A7356B">
              <w:rPr>
                <w:rFonts w:ascii="Times" w:hAnsi="Times" w:cs="Times"/>
                <w:sz w:val="16"/>
                <w:szCs w:val="16"/>
              </w:rPr>
              <w:t xml:space="preserve"> </w:t>
            </w:r>
            <w:proofErr w:type="spellStart"/>
            <w:r w:rsidRPr="00A7356B">
              <w:rPr>
                <w:rFonts w:ascii="Times" w:hAnsi="Times" w:cs="Times"/>
                <w:sz w:val="16"/>
                <w:szCs w:val="16"/>
              </w:rPr>
              <w:t>exception</w:t>
            </w:r>
            <w:proofErr w:type="spellEnd"/>
            <w:r w:rsidRPr="00A7356B">
              <w:rPr>
                <w:rFonts w:ascii="Times" w:hAnsi="Times" w:cs="Times"/>
                <w:sz w:val="16"/>
                <w:szCs w:val="16"/>
              </w:rPr>
              <w:t xml:space="preserve"> </w:t>
            </w:r>
            <w:proofErr w:type="spellStart"/>
            <w:r w:rsidRPr="00A7356B">
              <w:rPr>
                <w:rFonts w:ascii="Times" w:hAnsi="Times" w:cs="Times"/>
                <w:sz w:val="16"/>
                <w:szCs w:val="16"/>
              </w:rPr>
              <w:t>of</w:t>
            </w:r>
            <w:proofErr w:type="spellEnd"/>
            <w:r w:rsidRPr="00A7356B">
              <w:rPr>
                <w:rFonts w:ascii="Times" w:hAnsi="Times" w:cs="Times"/>
                <w:sz w:val="16"/>
                <w:szCs w:val="16"/>
              </w:rPr>
              <w:t xml:space="preserve"> </w:t>
            </w:r>
            <w:proofErr w:type="spellStart"/>
            <w:r w:rsidRPr="00A7356B">
              <w:rPr>
                <w:rFonts w:ascii="Times" w:hAnsi="Times" w:cs="Times"/>
                <w:sz w:val="16"/>
                <w:szCs w:val="16"/>
              </w:rPr>
              <w:t>Model</w:t>
            </w:r>
            <w:proofErr w:type="spellEnd"/>
            <w:r w:rsidRPr="00A7356B">
              <w:rPr>
                <w:rFonts w:ascii="Times" w:hAnsi="Times" w:cs="Times"/>
                <w:sz w:val="16"/>
                <w:szCs w:val="16"/>
              </w:rPr>
              <w:t xml:space="preserve"> (5) </w:t>
            </w:r>
            <w:proofErr w:type="spellStart"/>
            <w:r w:rsidRPr="00A7356B">
              <w:rPr>
                <w:rFonts w:ascii="Times" w:hAnsi="Times" w:cs="Times"/>
                <w:sz w:val="16"/>
                <w:szCs w:val="16"/>
              </w:rPr>
              <w:t>all</w:t>
            </w:r>
            <w:proofErr w:type="spellEnd"/>
            <w:r w:rsidRPr="00A7356B">
              <w:rPr>
                <w:rFonts w:ascii="Times" w:hAnsi="Times" w:cs="Times"/>
                <w:sz w:val="16"/>
                <w:szCs w:val="16"/>
              </w:rPr>
              <w:t xml:space="preserve"> </w:t>
            </w:r>
            <w:proofErr w:type="spellStart"/>
            <w:r w:rsidRPr="00A7356B">
              <w:rPr>
                <w:rFonts w:ascii="Times" w:hAnsi="Times" w:cs="Times"/>
                <w:sz w:val="16"/>
                <w:szCs w:val="16"/>
              </w:rPr>
              <w:t>models</w:t>
            </w:r>
            <w:proofErr w:type="spellEnd"/>
            <w:r w:rsidRPr="00A7356B">
              <w:rPr>
                <w:rFonts w:ascii="Times" w:hAnsi="Times" w:cs="Times"/>
                <w:sz w:val="16"/>
                <w:szCs w:val="16"/>
              </w:rPr>
              <w:t xml:space="preserve"> </w:t>
            </w:r>
            <w:proofErr w:type="spellStart"/>
            <w:r w:rsidRPr="00A7356B">
              <w:rPr>
                <w:rFonts w:ascii="Times" w:hAnsi="Times" w:cs="Times"/>
                <w:sz w:val="16"/>
                <w:szCs w:val="16"/>
              </w:rPr>
              <w:t>have</w:t>
            </w:r>
            <w:proofErr w:type="spellEnd"/>
            <w:r w:rsidRPr="00A7356B">
              <w:rPr>
                <w:rFonts w:ascii="Times" w:hAnsi="Times" w:cs="Times"/>
                <w:sz w:val="16"/>
                <w:szCs w:val="16"/>
              </w:rPr>
              <w:t xml:space="preserve"> </w:t>
            </w:r>
            <w:proofErr w:type="spellStart"/>
            <w:r w:rsidRPr="00A7356B">
              <w:rPr>
                <w:rFonts w:ascii="Times" w:hAnsi="Times" w:cs="Times"/>
                <w:sz w:val="16"/>
                <w:szCs w:val="16"/>
              </w:rPr>
              <w:t>robust</w:t>
            </w:r>
            <w:proofErr w:type="spellEnd"/>
            <w:r w:rsidRPr="00A7356B">
              <w:rPr>
                <w:rFonts w:ascii="Times" w:hAnsi="Times" w:cs="Times"/>
                <w:sz w:val="16"/>
                <w:szCs w:val="16"/>
              </w:rPr>
              <w:t xml:space="preserve"> stand </w:t>
            </w:r>
            <w:proofErr w:type="spellStart"/>
            <w:r w:rsidRPr="00A7356B">
              <w:rPr>
                <w:rFonts w:ascii="Times" w:hAnsi="Times" w:cs="Times"/>
                <w:sz w:val="16"/>
                <w:szCs w:val="16"/>
              </w:rPr>
              <w:t>errors</w:t>
            </w:r>
            <w:proofErr w:type="spellEnd"/>
            <w:r w:rsidRPr="00A7356B">
              <w:rPr>
                <w:rFonts w:ascii="Times" w:hAnsi="Times" w:cs="Times"/>
                <w:sz w:val="16"/>
                <w:szCs w:val="16"/>
              </w:rPr>
              <w:t xml:space="preserve"> (</w:t>
            </w:r>
            <w:proofErr w:type="spellStart"/>
            <w:r w:rsidRPr="00A7356B">
              <w:rPr>
                <w:rFonts w:ascii="Times" w:hAnsi="Times" w:cs="Times"/>
                <w:i/>
                <w:sz w:val="16"/>
                <w:szCs w:val="16"/>
              </w:rPr>
              <w:t>arellano</w:t>
            </w:r>
            <w:proofErr w:type="spellEnd"/>
            <w:r w:rsidRPr="00A7356B">
              <w:rPr>
                <w:rFonts w:ascii="Times" w:hAnsi="Times" w:cs="Times"/>
                <w:sz w:val="16"/>
                <w:szCs w:val="16"/>
              </w:rPr>
              <w:t xml:space="preserve">). </w:t>
            </w:r>
            <w:proofErr w:type="spellStart"/>
            <w:r w:rsidRPr="00A7356B">
              <w:rPr>
                <w:rFonts w:ascii="Times" w:hAnsi="Times" w:cs="Times"/>
                <w:sz w:val="16"/>
                <w:szCs w:val="16"/>
              </w:rPr>
              <w:t>Dummies</w:t>
            </w:r>
            <w:proofErr w:type="spellEnd"/>
            <w:r w:rsidRPr="00A7356B">
              <w:rPr>
                <w:rFonts w:ascii="Times" w:hAnsi="Times" w:cs="Times"/>
                <w:sz w:val="16"/>
                <w:szCs w:val="16"/>
              </w:rPr>
              <w:t xml:space="preserve"> for </w:t>
            </w:r>
            <w:proofErr w:type="spellStart"/>
            <w:r w:rsidRPr="00A7356B">
              <w:rPr>
                <w:rFonts w:ascii="Times" w:hAnsi="Times" w:cs="Times"/>
                <w:sz w:val="16"/>
                <w:szCs w:val="16"/>
              </w:rPr>
              <w:t>year</w:t>
            </w:r>
            <w:proofErr w:type="spellEnd"/>
            <w:r w:rsidRPr="00A7356B">
              <w:rPr>
                <w:rFonts w:ascii="Times" w:hAnsi="Times" w:cs="Times"/>
                <w:sz w:val="16"/>
                <w:szCs w:val="16"/>
              </w:rPr>
              <w:t xml:space="preserve"> </w:t>
            </w:r>
            <w:proofErr w:type="spellStart"/>
            <w:r w:rsidRPr="00A7356B">
              <w:rPr>
                <w:rFonts w:ascii="Times" w:hAnsi="Times" w:cs="Times"/>
                <w:sz w:val="16"/>
                <w:szCs w:val="16"/>
              </w:rPr>
              <w:t>fixed</w:t>
            </w:r>
            <w:proofErr w:type="spellEnd"/>
            <w:r w:rsidRPr="00A7356B">
              <w:rPr>
                <w:rFonts w:ascii="Times" w:hAnsi="Times" w:cs="Times"/>
                <w:sz w:val="16"/>
                <w:szCs w:val="16"/>
              </w:rPr>
              <w:t xml:space="preserve"> </w:t>
            </w:r>
            <w:proofErr w:type="spellStart"/>
            <w:r w:rsidRPr="00A7356B">
              <w:rPr>
                <w:rFonts w:ascii="Times" w:hAnsi="Times" w:cs="Times"/>
                <w:sz w:val="16"/>
                <w:szCs w:val="16"/>
              </w:rPr>
              <w:t>effects</w:t>
            </w:r>
            <w:proofErr w:type="spellEnd"/>
            <w:r w:rsidRPr="00A7356B">
              <w:rPr>
                <w:rFonts w:ascii="Times" w:hAnsi="Times" w:cs="Times"/>
                <w:sz w:val="16"/>
                <w:szCs w:val="16"/>
              </w:rPr>
              <w:t xml:space="preserve"> </w:t>
            </w:r>
            <w:proofErr w:type="spellStart"/>
            <w:r w:rsidRPr="00A7356B">
              <w:rPr>
                <w:rFonts w:ascii="Times" w:hAnsi="Times" w:cs="Times"/>
                <w:sz w:val="16"/>
                <w:szCs w:val="16"/>
              </w:rPr>
              <w:t>were</w:t>
            </w:r>
            <w:proofErr w:type="spellEnd"/>
            <w:r w:rsidRPr="00A7356B">
              <w:rPr>
                <w:rFonts w:ascii="Times" w:hAnsi="Times" w:cs="Times"/>
                <w:sz w:val="16"/>
                <w:szCs w:val="16"/>
              </w:rPr>
              <w:t xml:space="preserve"> </w:t>
            </w:r>
            <w:proofErr w:type="spellStart"/>
            <w:r w:rsidRPr="00A7356B">
              <w:rPr>
                <w:rFonts w:ascii="Times" w:hAnsi="Times" w:cs="Times"/>
                <w:sz w:val="16"/>
                <w:szCs w:val="16"/>
              </w:rPr>
              <w:t>used</w:t>
            </w:r>
            <w:proofErr w:type="spellEnd"/>
            <w:r w:rsidRPr="00A7356B">
              <w:rPr>
                <w:rFonts w:ascii="Times" w:hAnsi="Times" w:cs="Times"/>
                <w:sz w:val="16"/>
                <w:szCs w:val="16"/>
              </w:rPr>
              <w:t xml:space="preserve"> </w:t>
            </w:r>
            <w:proofErr w:type="spellStart"/>
            <w:r w:rsidRPr="00A7356B">
              <w:rPr>
                <w:rFonts w:ascii="Times" w:hAnsi="Times" w:cs="Times"/>
                <w:sz w:val="16"/>
                <w:szCs w:val="16"/>
              </w:rPr>
              <w:t>to</w:t>
            </w:r>
            <w:proofErr w:type="spellEnd"/>
            <w:r w:rsidRPr="00A7356B">
              <w:rPr>
                <w:rFonts w:ascii="Times" w:hAnsi="Times" w:cs="Times"/>
                <w:sz w:val="16"/>
                <w:szCs w:val="16"/>
              </w:rPr>
              <w:t xml:space="preserve"> </w:t>
            </w:r>
            <w:proofErr w:type="spellStart"/>
            <w:r w:rsidRPr="00A7356B">
              <w:rPr>
                <w:rFonts w:ascii="Times" w:hAnsi="Times" w:cs="Times"/>
                <w:sz w:val="16"/>
                <w:szCs w:val="16"/>
              </w:rPr>
              <w:t>all</w:t>
            </w:r>
            <w:proofErr w:type="spellEnd"/>
            <w:r w:rsidRPr="00A7356B">
              <w:rPr>
                <w:rFonts w:ascii="Times" w:hAnsi="Times" w:cs="Times"/>
                <w:sz w:val="16"/>
                <w:szCs w:val="16"/>
              </w:rPr>
              <w:t xml:space="preserve"> </w:t>
            </w:r>
            <w:proofErr w:type="spellStart"/>
            <w:r w:rsidRPr="00A7356B">
              <w:rPr>
                <w:rFonts w:ascii="Times" w:hAnsi="Times" w:cs="Times"/>
                <w:sz w:val="16"/>
                <w:szCs w:val="16"/>
              </w:rPr>
              <w:t>models</w:t>
            </w:r>
            <w:proofErr w:type="spellEnd"/>
            <w:r w:rsidRPr="00A7356B">
              <w:rPr>
                <w:rFonts w:ascii="Times" w:hAnsi="Times" w:cs="Times"/>
                <w:sz w:val="16"/>
                <w:szCs w:val="16"/>
              </w:rPr>
              <w:t xml:space="preserve"> </w:t>
            </w:r>
            <w:proofErr w:type="spellStart"/>
            <w:r w:rsidRPr="00A7356B">
              <w:rPr>
                <w:rFonts w:ascii="Times" w:hAnsi="Times" w:cs="Times"/>
                <w:sz w:val="16"/>
                <w:szCs w:val="16"/>
              </w:rPr>
              <w:t>and</w:t>
            </w:r>
            <w:proofErr w:type="spellEnd"/>
            <w:r w:rsidRPr="00A7356B">
              <w:rPr>
                <w:rFonts w:ascii="Times" w:hAnsi="Times" w:cs="Times"/>
                <w:sz w:val="16"/>
                <w:szCs w:val="16"/>
              </w:rPr>
              <w:t xml:space="preserve"> are </w:t>
            </w:r>
            <w:proofErr w:type="spellStart"/>
            <w:r w:rsidRPr="00A7356B">
              <w:rPr>
                <w:rFonts w:ascii="Times" w:hAnsi="Times" w:cs="Times"/>
                <w:sz w:val="16"/>
                <w:szCs w:val="16"/>
              </w:rPr>
              <w:t>omitted</w:t>
            </w:r>
            <w:proofErr w:type="spellEnd"/>
            <w:r w:rsidRPr="00A7356B">
              <w:rPr>
                <w:rFonts w:ascii="Times" w:hAnsi="Times" w:cs="Times"/>
                <w:sz w:val="16"/>
                <w:szCs w:val="16"/>
              </w:rPr>
              <w:t xml:space="preserve">. </w:t>
            </w:r>
          </w:p>
        </w:tc>
      </w:tr>
    </w:tbl>
    <w:p w14:paraId="38A7C97F" w14:textId="77777777" w:rsidR="006D64E4" w:rsidRDefault="006D64E4" w:rsidP="003A5A14">
      <w:pPr>
        <w:pStyle w:val="title1-d"/>
        <w:numPr>
          <w:ilvl w:val="0"/>
          <w:numId w:val="0"/>
        </w:numPr>
      </w:pPr>
    </w:p>
    <w:p w14:paraId="3697E8B4" w14:textId="7D9A7608" w:rsidR="003A5A14" w:rsidRDefault="003A5A14" w:rsidP="003A5A14">
      <w:pPr>
        <w:pStyle w:val="title1-d"/>
        <w:numPr>
          <w:ilvl w:val="0"/>
          <w:numId w:val="0"/>
        </w:numPr>
      </w:pPr>
      <w:r>
        <w:t xml:space="preserve">References </w:t>
      </w:r>
    </w:p>
    <w:p w14:paraId="5BE21EBE" w14:textId="42CFD345" w:rsidR="003A5A14" w:rsidRPr="003A5A14" w:rsidRDefault="003A5A14" w:rsidP="003A5A14">
      <w:pPr>
        <w:widowControl w:val="0"/>
        <w:autoSpaceDE w:val="0"/>
        <w:autoSpaceDN w:val="0"/>
        <w:adjustRightInd w:val="0"/>
        <w:spacing w:before="120" w:after="120"/>
        <w:rPr>
          <w:rFonts w:ascii="Times" w:hAnsi="Times"/>
          <w:noProof/>
          <w:sz w:val="20"/>
        </w:rPr>
      </w:pPr>
      <w:r>
        <w:rPr>
          <w:rFonts w:ascii="Times" w:hAnsi="Times"/>
          <w:sz w:val="20"/>
          <w:szCs w:val="20"/>
        </w:rPr>
        <w:fldChar w:fldCharType="begin" w:fldLock="1"/>
      </w:r>
      <w:r>
        <w:rPr>
          <w:rFonts w:ascii="Times" w:hAnsi="Times"/>
          <w:sz w:val="20"/>
          <w:szCs w:val="20"/>
        </w:rPr>
        <w:instrText xml:space="preserve">ADDIN Mendeley Bibliography CSL_BIBLIOGRAPHY </w:instrText>
      </w:r>
      <w:r>
        <w:rPr>
          <w:rFonts w:ascii="Times" w:hAnsi="Times"/>
          <w:sz w:val="20"/>
          <w:szCs w:val="20"/>
        </w:rPr>
        <w:fldChar w:fldCharType="separate"/>
      </w:r>
      <w:r w:rsidRPr="003A5A14">
        <w:rPr>
          <w:rFonts w:ascii="Times" w:hAnsi="Times"/>
          <w:noProof/>
          <w:sz w:val="20"/>
        </w:rPr>
        <w:t>ANDERSON, J. E.; WINCOOP, E. VAN. Gravity with Gravitas</w:t>
      </w:r>
      <w:r w:rsidRPr="003A5A14">
        <w:rPr>
          <w:rFonts w:ascii="Times New Roman" w:hAnsi="Times New Roman" w:cs="Times New Roman"/>
          <w:noProof/>
          <w:sz w:val="20"/>
        </w:rPr>
        <w:t> </w:t>
      </w:r>
      <w:r w:rsidRPr="003A5A14">
        <w:rPr>
          <w:rFonts w:ascii="Times" w:hAnsi="Times"/>
          <w:noProof/>
          <w:sz w:val="20"/>
        </w:rPr>
        <w:t xml:space="preserve">: A Solution to the Border Puzzle. </w:t>
      </w:r>
      <w:r w:rsidRPr="003A5A14">
        <w:rPr>
          <w:rFonts w:ascii="Times" w:hAnsi="Times"/>
          <w:b/>
          <w:bCs/>
          <w:noProof/>
          <w:sz w:val="20"/>
        </w:rPr>
        <w:t>The American Economic Review</w:t>
      </w:r>
      <w:r w:rsidRPr="003A5A14">
        <w:rPr>
          <w:rFonts w:ascii="Times" w:hAnsi="Times"/>
          <w:noProof/>
          <w:sz w:val="20"/>
        </w:rPr>
        <w:t xml:space="preserve">, v. 93, n. 1, p. 170–192, 2003. </w:t>
      </w:r>
    </w:p>
    <w:p w14:paraId="0CC24E4C"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ANDERSON, K.; JACKSON, L. A. </w:t>
      </w:r>
      <w:r w:rsidRPr="003A5A14">
        <w:rPr>
          <w:rFonts w:ascii="Times" w:hAnsi="Times"/>
          <w:b/>
          <w:bCs/>
          <w:noProof/>
          <w:sz w:val="20"/>
        </w:rPr>
        <w:t>Standards , trade and protection</w:t>
      </w:r>
      <w:r w:rsidRPr="003A5A14">
        <w:rPr>
          <w:rFonts w:ascii="Times New Roman" w:hAnsi="Times New Roman" w:cs="Times New Roman"/>
          <w:b/>
          <w:bCs/>
          <w:noProof/>
          <w:sz w:val="20"/>
        </w:rPr>
        <w:t> </w:t>
      </w:r>
      <w:r w:rsidRPr="003A5A14">
        <w:rPr>
          <w:rFonts w:ascii="Times" w:hAnsi="Times"/>
          <w:b/>
          <w:bCs/>
          <w:noProof/>
          <w:sz w:val="20"/>
        </w:rPr>
        <w:t>: the case of GMOs</w:t>
      </w:r>
      <w:r w:rsidRPr="003A5A14">
        <w:rPr>
          <w:rFonts w:ascii="Times" w:hAnsi="Times"/>
          <w:noProof/>
          <w:sz w:val="20"/>
        </w:rPr>
        <w:t xml:space="preserve">. Adelaide: [s.n.]. </w:t>
      </w:r>
    </w:p>
    <w:p w14:paraId="154262F9"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ANDINO, J.; KOO, W. W. The Impact of Brazil and Argentina ’ s Currency Devaluation on U . S . Soybean Trade. </w:t>
      </w:r>
      <w:r w:rsidRPr="003A5A14">
        <w:rPr>
          <w:rFonts w:ascii="Times" w:hAnsi="Times"/>
          <w:b/>
          <w:bCs/>
          <w:noProof/>
          <w:sz w:val="20"/>
        </w:rPr>
        <w:t>Agribusiness &amp; Applied Economics</w:t>
      </w:r>
      <w:r w:rsidRPr="003A5A14">
        <w:rPr>
          <w:rFonts w:ascii="Times" w:hAnsi="Times"/>
          <w:noProof/>
          <w:sz w:val="20"/>
        </w:rPr>
        <w:t xml:space="preserve">, n. 574, p. 18, 2005. </w:t>
      </w:r>
    </w:p>
    <w:p w14:paraId="2EDBA820"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ARELLANO, M. </w:t>
      </w:r>
      <w:r w:rsidRPr="003A5A14">
        <w:rPr>
          <w:rFonts w:ascii="Times" w:hAnsi="Times"/>
          <w:b/>
          <w:bCs/>
          <w:noProof/>
          <w:sz w:val="20"/>
        </w:rPr>
        <w:t>Computing robust standard errors for within group estimatorsOxford Bulletin of Economics and Statistics</w:t>
      </w:r>
      <w:r w:rsidRPr="003A5A14">
        <w:rPr>
          <w:rFonts w:ascii="Times" w:hAnsi="Times"/>
          <w:noProof/>
          <w:sz w:val="20"/>
        </w:rPr>
        <w:t xml:space="preserve">, 1987. </w:t>
      </w:r>
    </w:p>
    <w:p w14:paraId="3BCD99E9"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BALTAGI, B. H.; EGGER, P.; PFAFFERMAYR, M. </w:t>
      </w:r>
      <w:r w:rsidRPr="003A5A14">
        <w:rPr>
          <w:rFonts w:ascii="Times" w:hAnsi="Times"/>
          <w:b/>
          <w:bCs/>
          <w:noProof/>
          <w:sz w:val="20"/>
        </w:rPr>
        <w:t>Panel Data Gravity Models of International TradeWorking Papers CESifo</w:t>
      </w:r>
      <w:r w:rsidRPr="003A5A14">
        <w:rPr>
          <w:rFonts w:ascii="Times" w:hAnsi="Times"/>
          <w:noProof/>
          <w:sz w:val="20"/>
        </w:rPr>
        <w:t xml:space="preserve">: Category 8: Trade Policy. Munich: [s.n.]. </w:t>
      </w:r>
    </w:p>
    <w:p w14:paraId="599641A8"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BÄRWALD BOHM, G. M. </w:t>
      </w:r>
      <w:r w:rsidRPr="003A5A14">
        <w:rPr>
          <w:rFonts w:ascii="Times" w:hAnsi="Times"/>
          <w:i/>
          <w:iCs/>
          <w:noProof/>
          <w:sz w:val="20"/>
        </w:rPr>
        <w:t>et al.</w:t>
      </w:r>
      <w:r w:rsidRPr="003A5A14">
        <w:rPr>
          <w:rFonts w:ascii="Times" w:hAnsi="Times"/>
          <w:noProof/>
          <w:sz w:val="20"/>
        </w:rPr>
        <w:t xml:space="preserve"> Glyphosate effects on yield, nitrogen fixation, and seed quality in glyphosate-resistant soybean. </w:t>
      </w:r>
      <w:r w:rsidRPr="003A5A14">
        <w:rPr>
          <w:rFonts w:ascii="Times" w:hAnsi="Times"/>
          <w:b/>
          <w:bCs/>
          <w:noProof/>
          <w:sz w:val="20"/>
        </w:rPr>
        <w:t>Crop Science</w:t>
      </w:r>
      <w:r w:rsidRPr="003A5A14">
        <w:rPr>
          <w:rFonts w:ascii="Times" w:hAnsi="Times"/>
          <w:noProof/>
          <w:sz w:val="20"/>
        </w:rPr>
        <w:t xml:space="preserve">, v. 54, n. 4, p. 1737–1743, 2014. </w:t>
      </w:r>
    </w:p>
    <w:p w14:paraId="7461A4D7"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BROOKES, G.; BARFOOT, P. The global income and production effects 1996 – 2012 Economic impact of GM crops. </w:t>
      </w:r>
      <w:r w:rsidRPr="003A5A14">
        <w:rPr>
          <w:rFonts w:ascii="Times" w:hAnsi="Times"/>
          <w:b/>
          <w:bCs/>
          <w:noProof/>
          <w:sz w:val="20"/>
        </w:rPr>
        <w:t>GM Crops</w:t>
      </w:r>
      <w:r w:rsidRPr="003A5A14">
        <w:rPr>
          <w:rFonts w:ascii="Times" w:hAnsi="Times"/>
          <w:noProof/>
          <w:sz w:val="20"/>
        </w:rPr>
        <w:t xml:space="preserve">, v. 5698, n. March, p. http://dx.doi.org/10.4161/gmcr.28098, 2014. </w:t>
      </w:r>
    </w:p>
    <w:p w14:paraId="60FDD200"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BURNQUIST, H. L. </w:t>
      </w:r>
      <w:r w:rsidRPr="003A5A14">
        <w:rPr>
          <w:rFonts w:ascii="Times" w:hAnsi="Times"/>
          <w:i/>
          <w:iCs/>
          <w:noProof/>
          <w:sz w:val="20"/>
        </w:rPr>
        <w:t>et al.</w:t>
      </w:r>
      <w:r w:rsidRPr="003A5A14">
        <w:rPr>
          <w:rFonts w:ascii="Times" w:hAnsi="Times"/>
          <w:noProof/>
          <w:sz w:val="20"/>
        </w:rPr>
        <w:t xml:space="preserve"> </w:t>
      </w:r>
      <w:r w:rsidRPr="003A5A14">
        <w:rPr>
          <w:rFonts w:ascii="Times" w:hAnsi="Times"/>
          <w:b/>
          <w:bCs/>
          <w:noProof/>
          <w:sz w:val="20"/>
        </w:rPr>
        <w:t>Heterogeneity Index of Trade and Actual Heterogeneity Index – the case of maximum residue levels ( MRLs ) for pesticides</w:t>
      </w:r>
      <w:r w:rsidRPr="003A5A14">
        <w:rPr>
          <w:rFonts w:ascii="Times" w:hAnsi="Times"/>
          <w:noProof/>
          <w:sz w:val="20"/>
        </w:rPr>
        <w:t xml:space="preserve">Agricultural &amp; Applied Economics Association’s 2011 AAEA &amp; NAREA Joint Annual Meeting. </w:t>
      </w:r>
      <w:r w:rsidRPr="003A5A14">
        <w:rPr>
          <w:rFonts w:ascii="Times" w:hAnsi="Times"/>
          <w:b/>
          <w:bCs/>
          <w:noProof/>
          <w:sz w:val="20"/>
        </w:rPr>
        <w:t>Anais</w:t>
      </w:r>
      <w:r w:rsidRPr="003A5A14">
        <w:rPr>
          <w:rFonts w:ascii="Times" w:hAnsi="Times"/>
          <w:noProof/>
          <w:sz w:val="20"/>
        </w:rPr>
        <w:t>...Pittsburgh: 2011</w:t>
      </w:r>
    </w:p>
    <w:p w14:paraId="046E3A9F"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CARTER, C.; GRUÈRE, G. International approval and labeling regulations of genetically modified food in major trading countries. </w:t>
      </w:r>
      <w:r w:rsidRPr="003A5A14">
        <w:rPr>
          <w:rFonts w:ascii="Times" w:hAnsi="Times"/>
          <w:i/>
          <w:iCs/>
          <w:noProof/>
          <w:sz w:val="20"/>
        </w:rPr>
        <w:t>In</w:t>
      </w:r>
      <w:r w:rsidRPr="003A5A14">
        <w:rPr>
          <w:rFonts w:ascii="Times" w:hAnsi="Times"/>
          <w:noProof/>
          <w:sz w:val="20"/>
        </w:rPr>
        <w:t xml:space="preserve">: JUST, R. E. ( U. OF M.; ALSTON, JULIIAN M. (UNIVERSITY OF CALIFORNIA, D.; ZILBERMAN, DAVID (UNIVERSITY OF CALIFORNIA, B. (Eds.). . </w:t>
      </w:r>
      <w:r w:rsidRPr="003A5A14">
        <w:rPr>
          <w:rFonts w:ascii="Times" w:hAnsi="Times"/>
          <w:b/>
          <w:bCs/>
          <w:noProof/>
          <w:sz w:val="20"/>
        </w:rPr>
        <w:t>Regulating agricultural biotechnology: economics and policy</w:t>
      </w:r>
      <w:r w:rsidRPr="003A5A14">
        <w:rPr>
          <w:rFonts w:ascii="Times" w:hAnsi="Times"/>
          <w:noProof/>
          <w:sz w:val="20"/>
        </w:rPr>
        <w:t xml:space="preserve">. New York, NY: Springer New York, 2006. p. 459–480. </w:t>
      </w:r>
    </w:p>
    <w:p w14:paraId="13CB9977"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CARVALHO, F. </w:t>
      </w:r>
      <w:r w:rsidRPr="003A5A14">
        <w:rPr>
          <w:rFonts w:ascii="Times" w:hAnsi="Times"/>
          <w:b/>
          <w:bCs/>
          <w:noProof/>
          <w:sz w:val="20"/>
        </w:rPr>
        <w:t>O comportamento das exportações brasileiras ea dinâmica do complexo agroindustrial. 1995</w:t>
      </w:r>
      <w:r w:rsidRPr="003A5A14">
        <w:rPr>
          <w:rFonts w:ascii="Times" w:hAnsi="Times"/>
          <w:noProof/>
          <w:sz w:val="20"/>
        </w:rPr>
        <w:t>. [s.l.] São Paulo University, 1995.</w:t>
      </w:r>
    </w:p>
    <w:p w14:paraId="04CB2A73"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CHARBONNEAU, K. B. </w:t>
      </w:r>
      <w:r w:rsidRPr="003A5A14">
        <w:rPr>
          <w:rFonts w:ascii="Times" w:hAnsi="Times"/>
          <w:b/>
          <w:bCs/>
          <w:noProof/>
          <w:sz w:val="20"/>
        </w:rPr>
        <w:t>Multiple Fixed Effects in Binary Response Panel Data Models</w:t>
      </w:r>
      <w:r w:rsidRPr="003A5A14">
        <w:rPr>
          <w:rFonts w:ascii="Times" w:hAnsi="Times"/>
          <w:noProof/>
          <w:sz w:val="20"/>
        </w:rPr>
        <w:t xml:space="preserve">. Ottawa: [s.n.]. </w:t>
      </w:r>
    </w:p>
    <w:p w14:paraId="01282472"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CHAVAS, J. P.; SHI, G.; LAUER, J. The effects of GM Technology on maize yield. </w:t>
      </w:r>
      <w:r w:rsidRPr="003A5A14">
        <w:rPr>
          <w:rFonts w:ascii="Times" w:hAnsi="Times"/>
          <w:b/>
          <w:bCs/>
          <w:noProof/>
          <w:sz w:val="20"/>
        </w:rPr>
        <w:t>Crop Science</w:t>
      </w:r>
      <w:r w:rsidRPr="003A5A14">
        <w:rPr>
          <w:rFonts w:ascii="Times" w:hAnsi="Times"/>
          <w:noProof/>
          <w:sz w:val="20"/>
        </w:rPr>
        <w:t xml:space="preserve">, v. 54, n. 4, p. 1331–1335, 2014. </w:t>
      </w:r>
    </w:p>
    <w:p w14:paraId="7C0AD266"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DISDIE, A.-C.; FONTAGNÉ, L. Trade Impact of European Measures on GMOs Condemned by the WTO Panel. </w:t>
      </w:r>
      <w:r w:rsidRPr="003A5A14">
        <w:rPr>
          <w:rFonts w:ascii="Times" w:hAnsi="Times"/>
          <w:b/>
          <w:bCs/>
          <w:noProof/>
          <w:sz w:val="20"/>
        </w:rPr>
        <w:t>Review of World Eocnomics</w:t>
      </w:r>
      <w:r w:rsidRPr="003A5A14">
        <w:rPr>
          <w:rFonts w:ascii="Times" w:hAnsi="Times"/>
          <w:noProof/>
          <w:sz w:val="20"/>
        </w:rPr>
        <w:t xml:space="preserve">, v. 146, n. 3, p. 495–514, 2009. </w:t>
      </w:r>
    </w:p>
    <w:p w14:paraId="46367A9B"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DISDIER, A.-C.; FONTAGNÉ, L. Trade impact of European measures on GMOs condemned by the WTO panel. </w:t>
      </w:r>
      <w:r w:rsidRPr="003A5A14">
        <w:rPr>
          <w:rFonts w:ascii="Times" w:hAnsi="Times"/>
          <w:b/>
          <w:bCs/>
          <w:noProof/>
          <w:sz w:val="20"/>
        </w:rPr>
        <w:t>Review of World Economics</w:t>
      </w:r>
      <w:r w:rsidRPr="003A5A14">
        <w:rPr>
          <w:rFonts w:ascii="Times" w:hAnsi="Times"/>
          <w:noProof/>
          <w:sz w:val="20"/>
        </w:rPr>
        <w:t xml:space="preserve">, v. 146, n. 3, p. 495–514, 23 maio 2010. </w:t>
      </w:r>
    </w:p>
    <w:p w14:paraId="330A72BD"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DORNBUSCH, R.; FISCHER, S.; SAMUELSON, P. A. Comparative Advantage, Trade, and Payments in a Ricardian Model with a Continuum of Goods. </w:t>
      </w:r>
      <w:r w:rsidRPr="003A5A14">
        <w:rPr>
          <w:rFonts w:ascii="Times" w:hAnsi="Times"/>
          <w:b/>
          <w:bCs/>
          <w:noProof/>
          <w:sz w:val="20"/>
        </w:rPr>
        <w:t>The American Economic Review</w:t>
      </w:r>
      <w:r w:rsidRPr="003A5A14">
        <w:rPr>
          <w:rFonts w:ascii="Times" w:hAnsi="Times"/>
          <w:noProof/>
          <w:sz w:val="20"/>
        </w:rPr>
        <w:t xml:space="preserve">, v. 67, n. 5, p. 823–839, 1977. </w:t>
      </w:r>
    </w:p>
    <w:p w14:paraId="32E07BC0"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DOSI, G.; GRAZZI, M.; MOSCHELLA, D. Technology and costs in international competitiveness: From countries and sectors to firms. </w:t>
      </w:r>
      <w:r w:rsidRPr="003A5A14">
        <w:rPr>
          <w:rFonts w:ascii="Times" w:hAnsi="Times"/>
          <w:b/>
          <w:bCs/>
          <w:noProof/>
          <w:sz w:val="20"/>
        </w:rPr>
        <w:t>Research Policy</w:t>
      </w:r>
      <w:r w:rsidRPr="003A5A14">
        <w:rPr>
          <w:rFonts w:ascii="Times" w:hAnsi="Times"/>
          <w:noProof/>
          <w:sz w:val="20"/>
        </w:rPr>
        <w:t xml:space="preserve">, v. 44, n. 10, p. 1795–1814, 2015. </w:t>
      </w:r>
    </w:p>
    <w:p w14:paraId="68F84C57"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DOSI, G.; PAVITT, K.; SOETE, L. Technology gaps, cost-based adjustments and international trade. </w:t>
      </w:r>
      <w:r w:rsidRPr="003A5A14">
        <w:rPr>
          <w:rFonts w:ascii="Times" w:hAnsi="Times"/>
          <w:i/>
          <w:iCs/>
          <w:noProof/>
          <w:sz w:val="20"/>
        </w:rPr>
        <w:t>In</w:t>
      </w:r>
      <w:r w:rsidRPr="003A5A14">
        <w:rPr>
          <w:rFonts w:ascii="Times" w:hAnsi="Times"/>
          <w:noProof/>
          <w:sz w:val="20"/>
        </w:rPr>
        <w:t xml:space="preserve">: </w:t>
      </w:r>
      <w:r w:rsidRPr="003A5A14">
        <w:rPr>
          <w:rFonts w:ascii="Times" w:hAnsi="Times"/>
          <w:b/>
          <w:bCs/>
          <w:noProof/>
          <w:sz w:val="20"/>
        </w:rPr>
        <w:t>The Economics of Technical Change and International Trade</w:t>
      </w:r>
      <w:r w:rsidRPr="003A5A14">
        <w:rPr>
          <w:rFonts w:ascii="Times" w:hAnsi="Times"/>
          <w:noProof/>
          <w:sz w:val="20"/>
        </w:rPr>
        <w:t xml:space="preserve">. [s.l: s.n.]. . </w:t>
      </w:r>
    </w:p>
    <w:p w14:paraId="18958C69"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DOSI, G.; SOETE, L. Technical change and international trade. </w:t>
      </w:r>
      <w:r w:rsidRPr="003A5A14">
        <w:rPr>
          <w:rFonts w:ascii="Times" w:hAnsi="Times"/>
          <w:i/>
          <w:iCs/>
          <w:noProof/>
          <w:sz w:val="20"/>
        </w:rPr>
        <w:t>In</w:t>
      </w:r>
      <w:r w:rsidRPr="003A5A14">
        <w:rPr>
          <w:rFonts w:ascii="Times" w:hAnsi="Times"/>
          <w:noProof/>
          <w:sz w:val="20"/>
        </w:rPr>
        <w:t xml:space="preserve">: SOETE, L. (Ed.). . </w:t>
      </w:r>
      <w:r w:rsidRPr="003A5A14">
        <w:rPr>
          <w:rFonts w:ascii="Times" w:hAnsi="Times"/>
          <w:b/>
          <w:bCs/>
          <w:noProof/>
          <w:sz w:val="20"/>
        </w:rPr>
        <w:t>The Economics of Technical Change and International Trade</w:t>
      </w:r>
      <w:r w:rsidRPr="003A5A14">
        <w:rPr>
          <w:rFonts w:ascii="Times" w:hAnsi="Times"/>
          <w:noProof/>
          <w:sz w:val="20"/>
        </w:rPr>
        <w:t xml:space="preserve">. [s.l: s.n.]. p. 401–431. </w:t>
      </w:r>
    </w:p>
    <w:p w14:paraId="3C3853B7"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EATON, J.; KORTUM, S. Technology, Geography, and Trade. </w:t>
      </w:r>
      <w:r w:rsidRPr="003A5A14">
        <w:rPr>
          <w:rFonts w:ascii="Times" w:hAnsi="Times"/>
          <w:b/>
          <w:bCs/>
          <w:noProof/>
          <w:sz w:val="20"/>
        </w:rPr>
        <w:t>Econometrica</w:t>
      </w:r>
      <w:r w:rsidRPr="003A5A14">
        <w:rPr>
          <w:rFonts w:ascii="Times" w:hAnsi="Times"/>
          <w:noProof/>
          <w:sz w:val="20"/>
        </w:rPr>
        <w:t xml:space="preserve">, v. 70, n. 5, p. 1741–1779, 2002. </w:t>
      </w:r>
    </w:p>
    <w:p w14:paraId="57F05677"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FARIA, R. N. DE; WIECK, C. Empirical evidence on the trade impact of asynchronous regulatory approval of new GMO events. </w:t>
      </w:r>
      <w:r w:rsidRPr="003A5A14">
        <w:rPr>
          <w:rFonts w:ascii="Times" w:hAnsi="Times"/>
          <w:b/>
          <w:bCs/>
          <w:noProof/>
          <w:sz w:val="20"/>
        </w:rPr>
        <w:t>Food Policy</w:t>
      </w:r>
      <w:r w:rsidRPr="003A5A14">
        <w:rPr>
          <w:rFonts w:ascii="Times" w:hAnsi="Times"/>
          <w:noProof/>
          <w:sz w:val="20"/>
        </w:rPr>
        <w:t xml:space="preserve">, v. 53, p. 22–32, 2015. </w:t>
      </w:r>
    </w:p>
    <w:p w14:paraId="3A31FBE8"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FOSTER, M. </w:t>
      </w:r>
      <w:r w:rsidRPr="003A5A14">
        <w:rPr>
          <w:rFonts w:ascii="Times" w:hAnsi="Times"/>
          <w:b/>
          <w:bCs/>
          <w:noProof/>
          <w:sz w:val="20"/>
        </w:rPr>
        <w:t>Evidence of price premiums for non-GM grains in world marketsAustralian Agricultural and Resource Economics Society</w:t>
      </w:r>
      <w:r w:rsidRPr="003A5A14">
        <w:rPr>
          <w:rFonts w:ascii="Times" w:hAnsi="Times"/>
          <w:noProof/>
          <w:sz w:val="20"/>
        </w:rPr>
        <w:t xml:space="preserve">ABARE, Australia, , 2010. </w:t>
      </w:r>
    </w:p>
    <w:p w14:paraId="2A99C39B"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GÓMEZ-HERRERA, E. Comparing alternative methods to estimate gravity models of bilateral trade. </w:t>
      </w:r>
      <w:r w:rsidRPr="003A5A14">
        <w:rPr>
          <w:rFonts w:ascii="Times" w:hAnsi="Times"/>
          <w:b/>
          <w:bCs/>
          <w:noProof/>
          <w:sz w:val="20"/>
        </w:rPr>
        <w:t>Empirical Economics</w:t>
      </w:r>
      <w:r w:rsidRPr="003A5A14">
        <w:rPr>
          <w:rFonts w:ascii="Times" w:hAnsi="Times"/>
          <w:noProof/>
          <w:sz w:val="20"/>
        </w:rPr>
        <w:t xml:space="preserve">, v. 44, n. 3, p. 1087–1111, 28 mar. 2012. </w:t>
      </w:r>
    </w:p>
    <w:p w14:paraId="67F1E05B"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GUILLAUME, G.; ZIGNAGO, S. </w:t>
      </w:r>
      <w:r w:rsidRPr="003A5A14">
        <w:rPr>
          <w:rFonts w:ascii="Times" w:hAnsi="Times"/>
          <w:b/>
          <w:bCs/>
          <w:noProof/>
          <w:sz w:val="20"/>
        </w:rPr>
        <w:t>BACI: International Trade Database at the Product-Level. The 1994-2007 Version</w:t>
      </w:r>
      <w:r w:rsidRPr="003A5A14">
        <w:rPr>
          <w:rFonts w:ascii="Times" w:hAnsi="Times"/>
          <w:noProof/>
          <w:sz w:val="20"/>
        </w:rPr>
        <w:t>. Paris: [s.n.]. Disponível em: &lt;http://www.cepii.fr/CEPII/fr/publications/wp/abstract.asp?NoDoc=2726&gt;.</w:t>
      </w:r>
    </w:p>
    <w:p w14:paraId="4538F519"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HEAD, K.; MAYER, T. Gravity Equations: Workhorse, Toolkit, and Cookbook. </w:t>
      </w:r>
      <w:r w:rsidRPr="003A5A14">
        <w:rPr>
          <w:rFonts w:ascii="Times" w:hAnsi="Times"/>
          <w:b/>
          <w:bCs/>
          <w:noProof/>
          <w:sz w:val="20"/>
        </w:rPr>
        <w:t>Handbook of International Economics</w:t>
      </w:r>
      <w:r w:rsidRPr="003A5A14">
        <w:rPr>
          <w:rFonts w:ascii="Times" w:hAnsi="Times"/>
          <w:noProof/>
          <w:sz w:val="20"/>
        </w:rPr>
        <w:t xml:space="preserve">, p. 63, 2013. </w:t>
      </w:r>
    </w:p>
    <w:p w14:paraId="351FAB75"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HECKMAN, J. Sample selection bias as a specification error. </w:t>
      </w:r>
      <w:r w:rsidRPr="003A5A14">
        <w:rPr>
          <w:rFonts w:ascii="Times" w:hAnsi="Times"/>
          <w:b/>
          <w:bCs/>
          <w:noProof/>
          <w:sz w:val="20"/>
        </w:rPr>
        <w:t>Econometrica: Journal of the econometric society</w:t>
      </w:r>
      <w:r w:rsidRPr="003A5A14">
        <w:rPr>
          <w:rFonts w:ascii="Times" w:hAnsi="Times"/>
          <w:noProof/>
          <w:sz w:val="20"/>
        </w:rPr>
        <w:t xml:space="preserve">, v. 47, n. 1, p. 153–161, 1979. </w:t>
      </w:r>
    </w:p>
    <w:p w14:paraId="1B016626"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HELPMAN, E.; MELITZ, M.; RUBESTEIN, Y. Estimating trade flows: Trading partners and trading volumes. </w:t>
      </w:r>
      <w:r w:rsidRPr="003A5A14">
        <w:rPr>
          <w:rFonts w:ascii="Times" w:hAnsi="Times"/>
          <w:b/>
          <w:bCs/>
          <w:noProof/>
          <w:sz w:val="20"/>
        </w:rPr>
        <w:t>The Quarterly Journal of Economics</w:t>
      </w:r>
      <w:r w:rsidRPr="003A5A14">
        <w:rPr>
          <w:rFonts w:ascii="Times" w:hAnsi="Times"/>
          <w:noProof/>
          <w:sz w:val="20"/>
        </w:rPr>
        <w:t xml:space="preserve">, v. CXXIII, n. May, p. 441–487, 2008. </w:t>
      </w:r>
    </w:p>
    <w:p w14:paraId="1FB86D97"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HIGHQUEST; SOYTECH. </w:t>
      </w:r>
      <w:r w:rsidRPr="003A5A14">
        <w:rPr>
          <w:rFonts w:ascii="Times" w:hAnsi="Times"/>
          <w:b/>
          <w:bCs/>
          <w:noProof/>
          <w:sz w:val="20"/>
        </w:rPr>
        <w:t>How the Global Oilseed and Grain Trade WorksU.S. Soybean Export Council</w:t>
      </w:r>
      <w:r w:rsidRPr="003A5A14">
        <w:rPr>
          <w:rFonts w:ascii="Times" w:hAnsi="Times"/>
          <w:noProof/>
          <w:sz w:val="20"/>
        </w:rPr>
        <w:t xml:space="preserve">. Danvers MA: [s.n.]. </w:t>
      </w:r>
    </w:p>
    <w:p w14:paraId="0150ECA9"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LINDERS, G.-J. M.; GROOT, H. L. F. DE. </w:t>
      </w:r>
      <w:r w:rsidRPr="003A5A14">
        <w:rPr>
          <w:rFonts w:ascii="Times" w:hAnsi="Times"/>
          <w:b/>
          <w:bCs/>
          <w:noProof/>
          <w:sz w:val="20"/>
        </w:rPr>
        <w:t>Estimation of the Gravity Equation in the Presence of Zero FlowsTinbergen Institute Discussion Paper</w:t>
      </w:r>
      <w:r w:rsidRPr="003A5A14">
        <w:rPr>
          <w:rFonts w:ascii="Times" w:hAnsi="Times"/>
          <w:noProof/>
          <w:sz w:val="20"/>
        </w:rPr>
        <w:t>. Amsterdam: [s.n.]. Disponível em: &lt;http://www.econstor.eu/handle/10419/86589&gt;. Acesso em: 12 set. 2014.</w:t>
      </w:r>
    </w:p>
    <w:p w14:paraId="1893C8B8"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MAGGI, G. Technology gap and international trade: an evolutionary model. </w:t>
      </w:r>
      <w:r w:rsidRPr="003A5A14">
        <w:rPr>
          <w:rFonts w:ascii="Times" w:hAnsi="Times"/>
          <w:b/>
          <w:bCs/>
          <w:noProof/>
          <w:sz w:val="20"/>
        </w:rPr>
        <w:t>Journal of Evolutionary Economics</w:t>
      </w:r>
      <w:r w:rsidRPr="003A5A14">
        <w:rPr>
          <w:rFonts w:ascii="Times" w:hAnsi="Times"/>
          <w:noProof/>
          <w:sz w:val="20"/>
        </w:rPr>
        <w:t xml:space="preserve">, p. 109–126, 1993. </w:t>
      </w:r>
    </w:p>
    <w:p w14:paraId="7887EC98"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MARTÍNEZ-ZARZOSO, I.; VIDOVIC, M.; VOICU, A. M. </w:t>
      </w:r>
      <w:r w:rsidRPr="003A5A14">
        <w:rPr>
          <w:rFonts w:ascii="Times" w:hAnsi="Times"/>
          <w:b/>
          <w:bCs/>
          <w:noProof/>
          <w:sz w:val="20"/>
        </w:rPr>
        <w:t>EU-Accession Effects on Sectoral Trade</w:t>
      </w:r>
      <w:r w:rsidRPr="003A5A14">
        <w:rPr>
          <w:rFonts w:ascii="Times New Roman" w:hAnsi="Times New Roman" w:cs="Times New Roman"/>
          <w:b/>
          <w:bCs/>
          <w:noProof/>
          <w:sz w:val="20"/>
        </w:rPr>
        <w:t> </w:t>
      </w:r>
      <w:r w:rsidRPr="003A5A14">
        <w:rPr>
          <w:rFonts w:ascii="Times" w:hAnsi="Times"/>
          <w:b/>
          <w:bCs/>
          <w:noProof/>
          <w:sz w:val="20"/>
        </w:rPr>
        <w:t>: A Helpman-Melitz-Rubinstein Approach with Panel DataCategory 8: Trade Policy</w:t>
      </w:r>
      <w:r w:rsidRPr="003A5A14">
        <w:rPr>
          <w:rFonts w:ascii="Times" w:hAnsi="Times"/>
          <w:noProof/>
          <w:sz w:val="20"/>
        </w:rPr>
        <w:t xml:space="preserve">. Munich: [s.n.]. </w:t>
      </w:r>
    </w:p>
    <w:p w14:paraId="118C7FF1"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MAYER, T.; ZIGNAGO, S. </w:t>
      </w:r>
      <w:r w:rsidRPr="003A5A14">
        <w:rPr>
          <w:rFonts w:ascii="Times" w:hAnsi="Times"/>
          <w:b/>
          <w:bCs/>
          <w:noProof/>
          <w:sz w:val="20"/>
        </w:rPr>
        <w:t>Notes on CEPII’s distance measures: the GeoDist databaseCEPII Working Paper</w:t>
      </w:r>
      <w:r w:rsidRPr="003A5A14">
        <w:rPr>
          <w:rFonts w:ascii="Times" w:hAnsi="Times"/>
          <w:noProof/>
          <w:sz w:val="20"/>
        </w:rPr>
        <w:t>. Paris: [s.n.]. Disponível em: &lt;http://mpra.ub.uni-muenchen.de/36347/2/MPRA_paper_36347.pdf&gt;.</w:t>
      </w:r>
    </w:p>
    <w:p w14:paraId="5614EE08"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MELITZ, M. J. The Impact of Trade on Intra-Industry Reallocations and Aggregate Industry Productivity. </w:t>
      </w:r>
      <w:r w:rsidRPr="003A5A14">
        <w:rPr>
          <w:rFonts w:ascii="Times" w:hAnsi="Times"/>
          <w:b/>
          <w:bCs/>
          <w:noProof/>
          <w:sz w:val="20"/>
        </w:rPr>
        <w:t>Econometrica</w:t>
      </w:r>
      <w:r w:rsidRPr="003A5A14">
        <w:rPr>
          <w:rFonts w:ascii="Times" w:hAnsi="Times"/>
          <w:noProof/>
          <w:sz w:val="20"/>
        </w:rPr>
        <w:t xml:space="preserve">, v. 71, n. 6, p. 1695–1725, 2003. </w:t>
      </w:r>
    </w:p>
    <w:p w14:paraId="7BFC8C8F"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MOOLA, S.; MUNNIK, V. </w:t>
      </w:r>
      <w:r w:rsidRPr="003A5A14">
        <w:rPr>
          <w:rFonts w:ascii="Times" w:hAnsi="Times"/>
          <w:b/>
          <w:bCs/>
          <w:noProof/>
          <w:sz w:val="20"/>
        </w:rPr>
        <w:t>GMOs in Africa</w:t>
      </w:r>
      <w:r w:rsidRPr="003A5A14">
        <w:rPr>
          <w:rFonts w:ascii="Times New Roman" w:hAnsi="Times New Roman" w:cs="Times New Roman"/>
          <w:b/>
          <w:bCs/>
          <w:noProof/>
          <w:sz w:val="20"/>
        </w:rPr>
        <w:t> </w:t>
      </w:r>
      <w:r w:rsidRPr="003A5A14">
        <w:rPr>
          <w:rFonts w:ascii="Times" w:hAnsi="Times"/>
          <w:b/>
          <w:bCs/>
          <w:noProof/>
          <w:sz w:val="20"/>
        </w:rPr>
        <w:t>: food and agriculture Status report 2007Africa</w:t>
      </w:r>
      <w:r w:rsidRPr="003A5A14">
        <w:rPr>
          <w:rFonts w:ascii="Times" w:hAnsi="Times"/>
          <w:noProof/>
          <w:sz w:val="20"/>
        </w:rPr>
        <w:t xml:space="preserve">. Johannesburg: [s.n.]. </w:t>
      </w:r>
    </w:p>
    <w:p w14:paraId="22A93A1E"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OLIVEIRA, P. R. S. </w:t>
      </w:r>
      <w:r w:rsidRPr="003A5A14">
        <w:rPr>
          <w:rFonts w:ascii="Times" w:hAnsi="Times"/>
          <w:i/>
          <w:iCs/>
          <w:noProof/>
          <w:sz w:val="20"/>
        </w:rPr>
        <w:t>et al.</w:t>
      </w:r>
      <w:r w:rsidRPr="003A5A14">
        <w:rPr>
          <w:rFonts w:ascii="Times" w:hAnsi="Times"/>
          <w:noProof/>
          <w:sz w:val="20"/>
        </w:rPr>
        <w:t xml:space="preserve"> </w:t>
      </w:r>
      <w:r w:rsidRPr="003A5A14">
        <w:rPr>
          <w:rFonts w:ascii="Times" w:hAnsi="Times"/>
          <w:b/>
          <w:bCs/>
          <w:noProof/>
          <w:sz w:val="20"/>
        </w:rPr>
        <w:t>Adoption Of Technologies With Market Rejection And Return On Exports: Brazil, United States, Argentina And The Case Of Gm-Soybeans</w:t>
      </w:r>
      <w:r w:rsidRPr="003A5A14">
        <w:rPr>
          <w:rFonts w:ascii="Times" w:hAnsi="Times"/>
          <w:noProof/>
          <w:sz w:val="20"/>
        </w:rPr>
        <w:t xml:space="preserve">17th ICABR Conference: “INNOVATION AND POLICY FOR THE BIOECONOMY”. </w:t>
      </w:r>
      <w:r w:rsidRPr="003A5A14">
        <w:rPr>
          <w:rFonts w:ascii="Times" w:hAnsi="Times"/>
          <w:b/>
          <w:bCs/>
          <w:noProof/>
          <w:sz w:val="20"/>
        </w:rPr>
        <w:t>Anais</w:t>
      </w:r>
      <w:r w:rsidRPr="003A5A14">
        <w:rPr>
          <w:rFonts w:ascii="Times" w:hAnsi="Times"/>
          <w:noProof/>
          <w:sz w:val="20"/>
        </w:rPr>
        <w:t>...Ravello - Italy: 2013</w:t>
      </w:r>
    </w:p>
    <w:p w14:paraId="51276797"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POSNER, M. International trade and technical change. </w:t>
      </w:r>
      <w:r w:rsidRPr="003A5A14">
        <w:rPr>
          <w:rFonts w:ascii="Times" w:hAnsi="Times"/>
          <w:b/>
          <w:bCs/>
          <w:noProof/>
          <w:sz w:val="20"/>
        </w:rPr>
        <w:t>Oxford economic papers</w:t>
      </w:r>
      <w:r w:rsidRPr="003A5A14">
        <w:rPr>
          <w:rFonts w:ascii="Times" w:hAnsi="Times"/>
          <w:noProof/>
          <w:sz w:val="20"/>
        </w:rPr>
        <w:t xml:space="preserve">, v. 13, n. 3, p. 323–341, 1961. </w:t>
      </w:r>
    </w:p>
    <w:p w14:paraId="6FBDEBC3"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QAIM, M.; ZILBERMAN, D. Yield effects of genetically modified crops in developing countries. </w:t>
      </w:r>
      <w:r w:rsidRPr="003A5A14">
        <w:rPr>
          <w:rFonts w:ascii="Times" w:hAnsi="Times"/>
          <w:b/>
          <w:bCs/>
          <w:noProof/>
          <w:sz w:val="20"/>
        </w:rPr>
        <w:t>Science (New York, N.Y.)</w:t>
      </w:r>
      <w:r w:rsidRPr="003A5A14">
        <w:rPr>
          <w:rFonts w:ascii="Times" w:hAnsi="Times"/>
          <w:noProof/>
          <w:sz w:val="20"/>
        </w:rPr>
        <w:t xml:space="preserve">, v. 299, n. 5608, p. 900–902, 2003. </w:t>
      </w:r>
    </w:p>
    <w:p w14:paraId="640A84DC"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REGIMES, R.; GIANNAKAS, K. Inserting Gm Products Into The Food Chain: The Market And Welfare Effects Of Different Labeling And Regulatory. </w:t>
      </w:r>
      <w:r w:rsidRPr="003A5A14">
        <w:rPr>
          <w:rFonts w:ascii="Times" w:hAnsi="Times"/>
          <w:b/>
          <w:bCs/>
          <w:noProof/>
          <w:sz w:val="20"/>
        </w:rPr>
        <w:t>American Journal of Agricultural Economics</w:t>
      </w:r>
      <w:r w:rsidRPr="003A5A14">
        <w:rPr>
          <w:rFonts w:ascii="Times" w:hAnsi="Times"/>
          <w:noProof/>
          <w:sz w:val="20"/>
        </w:rPr>
        <w:t xml:space="preserve">, v. 86, n. 1, p. 42–60, 2013. </w:t>
      </w:r>
    </w:p>
    <w:p w14:paraId="0297D0DB"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SMART, R. D.; BLUM, M.; WESSELER, J. EU Member States’ Voting for Authorizing Genetically Engineered Crops: a Regulatory Gridlock. </w:t>
      </w:r>
      <w:r w:rsidRPr="003A5A14">
        <w:rPr>
          <w:rFonts w:ascii="Times" w:hAnsi="Times"/>
          <w:b/>
          <w:bCs/>
          <w:noProof/>
          <w:sz w:val="20"/>
        </w:rPr>
        <w:t>German Journal of Agricultural Economics</w:t>
      </w:r>
      <w:r w:rsidRPr="003A5A14">
        <w:rPr>
          <w:rFonts w:ascii="Times" w:hAnsi="Times"/>
          <w:noProof/>
          <w:sz w:val="20"/>
        </w:rPr>
        <w:t xml:space="preserve">, v. 64, n. 4, p. 244–262, 2015. </w:t>
      </w:r>
    </w:p>
    <w:p w14:paraId="15340860"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SMYTH, S.; KERR, W. A.; DAVEY, K. A. Closing markets to biotechnology: does it pose an economic risk if markets are globalised? </w:t>
      </w:r>
      <w:r w:rsidRPr="003A5A14">
        <w:rPr>
          <w:rFonts w:ascii="Times" w:hAnsi="Times"/>
          <w:i/>
          <w:iCs/>
          <w:noProof/>
          <w:sz w:val="20"/>
        </w:rPr>
        <w:t>In</w:t>
      </w:r>
      <w:r w:rsidRPr="003A5A14">
        <w:rPr>
          <w:rFonts w:ascii="Times" w:hAnsi="Times"/>
          <w:noProof/>
          <w:sz w:val="20"/>
        </w:rPr>
        <w:t xml:space="preserve">: </w:t>
      </w:r>
      <w:r w:rsidRPr="003A5A14">
        <w:rPr>
          <w:rFonts w:ascii="Times" w:hAnsi="Times"/>
          <w:b/>
          <w:bCs/>
          <w:noProof/>
          <w:sz w:val="20"/>
        </w:rPr>
        <w:t>International Journal of Technology and Globalisation</w:t>
      </w:r>
      <w:r w:rsidRPr="003A5A14">
        <w:rPr>
          <w:rFonts w:ascii="Times" w:hAnsi="Times"/>
          <w:noProof/>
          <w:sz w:val="20"/>
        </w:rPr>
        <w:t xml:space="preserve">. [s.l: s.n.]. v. 2p. 377. </w:t>
      </w:r>
    </w:p>
    <w:p w14:paraId="083201CE"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SOUSA, J. DE. The currency union effect on trade is decreasing over time. </w:t>
      </w:r>
      <w:r w:rsidRPr="003A5A14">
        <w:rPr>
          <w:rFonts w:ascii="Times" w:hAnsi="Times"/>
          <w:b/>
          <w:bCs/>
          <w:noProof/>
          <w:sz w:val="20"/>
        </w:rPr>
        <w:t>Economics Letters</w:t>
      </w:r>
      <w:r w:rsidRPr="003A5A14">
        <w:rPr>
          <w:rFonts w:ascii="Times" w:hAnsi="Times"/>
          <w:noProof/>
          <w:sz w:val="20"/>
        </w:rPr>
        <w:t xml:space="preserve">, v. 117, n. 3, p. 917–920, 2012. </w:t>
      </w:r>
    </w:p>
    <w:p w14:paraId="017BE56D"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STEIN, A. J.; RODRIGUEZ-CEREZO, E. </w:t>
      </w:r>
      <w:r w:rsidRPr="003A5A14">
        <w:rPr>
          <w:rFonts w:ascii="Times" w:hAnsi="Times"/>
          <w:b/>
          <w:bCs/>
          <w:noProof/>
          <w:sz w:val="20"/>
        </w:rPr>
        <w:t>The global pipeline of new GM crops Implications of asynchronous approval</w:t>
      </w:r>
      <w:r w:rsidRPr="003A5A14">
        <w:rPr>
          <w:rFonts w:ascii="Times" w:hAnsi="Times"/>
          <w:noProof/>
          <w:sz w:val="20"/>
        </w:rPr>
        <w:t xml:space="preserve">. Luxembourg: [s.n.]. </w:t>
      </w:r>
    </w:p>
    <w:p w14:paraId="091D32CF"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STURGES, W. </w:t>
      </w:r>
      <w:r w:rsidRPr="003A5A14">
        <w:rPr>
          <w:rFonts w:ascii="Times" w:hAnsi="Times"/>
          <w:i/>
          <w:iCs/>
          <w:noProof/>
          <w:sz w:val="20"/>
        </w:rPr>
        <w:t>et al.</w:t>
      </w:r>
      <w:r w:rsidRPr="003A5A14">
        <w:rPr>
          <w:rFonts w:ascii="Times" w:hAnsi="Times"/>
          <w:noProof/>
          <w:sz w:val="20"/>
        </w:rPr>
        <w:t xml:space="preserve"> Insect-Resistant GM Rice in Farmers ’ Fields</w:t>
      </w:r>
      <w:r w:rsidRPr="003A5A14">
        <w:rPr>
          <w:rFonts w:ascii="Times New Roman" w:hAnsi="Times New Roman" w:cs="Times New Roman"/>
          <w:noProof/>
          <w:sz w:val="20"/>
        </w:rPr>
        <w:t> </w:t>
      </w:r>
      <w:r w:rsidRPr="003A5A14">
        <w:rPr>
          <w:rFonts w:ascii="Times" w:hAnsi="Times"/>
          <w:noProof/>
          <w:sz w:val="20"/>
        </w:rPr>
        <w:t xml:space="preserve">: Assessing Productivity and Health Effects in China. 2003. </w:t>
      </w:r>
    </w:p>
    <w:p w14:paraId="4032E91F"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TOMICH, F. A.; LEITE, C. A. M. </w:t>
      </w:r>
      <w:r w:rsidRPr="003A5A14">
        <w:rPr>
          <w:rFonts w:ascii="Times" w:hAnsi="Times"/>
          <w:b/>
          <w:bCs/>
          <w:noProof/>
          <w:sz w:val="20"/>
        </w:rPr>
        <w:t>Competitividade das exportações brasileiras de frutas selecionadas</w:t>
      </w:r>
      <w:r w:rsidRPr="003A5A14">
        <w:rPr>
          <w:rFonts w:ascii="Times" w:hAnsi="Times"/>
          <w:noProof/>
          <w:sz w:val="20"/>
        </w:rPr>
        <w:t xml:space="preserve">. [s.l.] Universidade Federal de Viçosa., 1999. </w:t>
      </w:r>
    </w:p>
    <w:p w14:paraId="7C2618E5"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VIGANI, M.; OLPER, A. GMO standards, endogenous policy and the market for information. </w:t>
      </w:r>
      <w:r w:rsidRPr="003A5A14">
        <w:rPr>
          <w:rFonts w:ascii="Times" w:hAnsi="Times"/>
          <w:b/>
          <w:bCs/>
          <w:noProof/>
          <w:sz w:val="20"/>
        </w:rPr>
        <w:t>Food Policy</w:t>
      </w:r>
      <w:r w:rsidRPr="003A5A14">
        <w:rPr>
          <w:rFonts w:ascii="Times" w:hAnsi="Times"/>
          <w:noProof/>
          <w:sz w:val="20"/>
        </w:rPr>
        <w:t xml:space="preserve">, v. 43, p. 32–43, 2013. </w:t>
      </w:r>
    </w:p>
    <w:p w14:paraId="5C960E6A"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VIGANI, M.; RAIMONDI, V.; OLPER, A. International trade and endogenous standards: the case of GMO regulations. </w:t>
      </w:r>
      <w:r w:rsidRPr="003A5A14">
        <w:rPr>
          <w:rFonts w:ascii="Times" w:hAnsi="Times"/>
          <w:b/>
          <w:bCs/>
          <w:noProof/>
          <w:sz w:val="20"/>
        </w:rPr>
        <w:t>World Trade Review</w:t>
      </w:r>
      <w:r w:rsidRPr="003A5A14">
        <w:rPr>
          <w:rFonts w:ascii="Times" w:hAnsi="Times"/>
          <w:noProof/>
          <w:sz w:val="20"/>
        </w:rPr>
        <w:t xml:space="preserve">, v. 11, n. 03, p. 415–437, 6 jul. 2012. </w:t>
      </w:r>
    </w:p>
    <w:p w14:paraId="03B3D0DA"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WHITE, H. A Heteroskedasticity-Consistent Covariance Matrix Estimator and a Direct Test for Heteroskedasticity. </w:t>
      </w:r>
      <w:r w:rsidRPr="003A5A14">
        <w:rPr>
          <w:rFonts w:ascii="Times" w:hAnsi="Times"/>
          <w:b/>
          <w:bCs/>
          <w:noProof/>
          <w:sz w:val="20"/>
        </w:rPr>
        <w:t>Econometrica</w:t>
      </w:r>
      <w:r w:rsidRPr="003A5A14">
        <w:rPr>
          <w:rFonts w:ascii="Times" w:hAnsi="Times"/>
          <w:noProof/>
          <w:sz w:val="20"/>
        </w:rPr>
        <w:t xml:space="preserve">, v. 48, n. 4, p. 817–838, 1980. </w:t>
      </w:r>
    </w:p>
    <w:p w14:paraId="245FF498"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WINCHESTER, N. </w:t>
      </w:r>
      <w:r w:rsidRPr="003A5A14">
        <w:rPr>
          <w:rFonts w:ascii="Times" w:hAnsi="Times"/>
          <w:i/>
          <w:iCs/>
          <w:noProof/>
          <w:sz w:val="20"/>
        </w:rPr>
        <w:t>et al.</w:t>
      </w:r>
      <w:r w:rsidRPr="003A5A14">
        <w:rPr>
          <w:rFonts w:ascii="Times" w:hAnsi="Times"/>
          <w:noProof/>
          <w:sz w:val="20"/>
        </w:rPr>
        <w:t xml:space="preserve"> The Impact of Regulatory Heterogeneity on Agri-food Trade. </w:t>
      </w:r>
      <w:r w:rsidRPr="003A5A14">
        <w:rPr>
          <w:rFonts w:ascii="Times" w:hAnsi="Times"/>
          <w:b/>
          <w:bCs/>
          <w:noProof/>
          <w:sz w:val="20"/>
        </w:rPr>
        <w:t>World Economy</w:t>
      </w:r>
      <w:r w:rsidRPr="003A5A14">
        <w:rPr>
          <w:rFonts w:ascii="Times" w:hAnsi="Times"/>
          <w:noProof/>
          <w:sz w:val="20"/>
        </w:rPr>
        <w:t xml:space="preserve">, v. 35, n. 8, p. 973–993, 2012. </w:t>
      </w:r>
    </w:p>
    <w:p w14:paraId="103723F1"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WOOLDRIDGE, J. M. Selection corrections for panel data models under conditional mean independence assumptions. </w:t>
      </w:r>
      <w:r w:rsidRPr="003A5A14">
        <w:rPr>
          <w:rFonts w:ascii="Times" w:hAnsi="Times"/>
          <w:b/>
          <w:bCs/>
          <w:noProof/>
          <w:sz w:val="20"/>
        </w:rPr>
        <w:t>Journal of Econometrics</w:t>
      </w:r>
      <w:r w:rsidRPr="003A5A14">
        <w:rPr>
          <w:rFonts w:ascii="Times" w:hAnsi="Times"/>
          <w:noProof/>
          <w:sz w:val="20"/>
        </w:rPr>
        <w:t xml:space="preserve">, v. 68, p. 115–132, 1995. </w:t>
      </w:r>
    </w:p>
    <w:p w14:paraId="2E6A9B49" w14:textId="77777777" w:rsidR="003A5A14" w:rsidRPr="003A5A14" w:rsidRDefault="003A5A14" w:rsidP="003A5A14">
      <w:pPr>
        <w:widowControl w:val="0"/>
        <w:autoSpaceDE w:val="0"/>
        <w:autoSpaceDN w:val="0"/>
        <w:adjustRightInd w:val="0"/>
        <w:spacing w:before="120" w:after="120"/>
        <w:rPr>
          <w:rFonts w:ascii="Times" w:hAnsi="Times"/>
          <w:noProof/>
          <w:sz w:val="20"/>
        </w:rPr>
      </w:pPr>
      <w:r w:rsidRPr="003A5A14">
        <w:rPr>
          <w:rFonts w:ascii="Times" w:hAnsi="Times"/>
          <w:noProof/>
          <w:sz w:val="20"/>
        </w:rPr>
        <w:t xml:space="preserve">WTO; UNCTAD. Analyzing bilateral trade using gravity equation. </w:t>
      </w:r>
      <w:r w:rsidRPr="003A5A14">
        <w:rPr>
          <w:rFonts w:ascii="Times" w:hAnsi="Times"/>
          <w:i/>
          <w:iCs/>
          <w:noProof/>
          <w:sz w:val="20"/>
        </w:rPr>
        <w:t>In</w:t>
      </w:r>
      <w:r w:rsidRPr="003A5A14">
        <w:rPr>
          <w:rFonts w:ascii="Times" w:hAnsi="Times"/>
          <w:noProof/>
          <w:sz w:val="20"/>
        </w:rPr>
        <w:t xml:space="preserve">: </w:t>
      </w:r>
      <w:r w:rsidRPr="003A5A14">
        <w:rPr>
          <w:rFonts w:ascii="Times" w:hAnsi="Times"/>
          <w:b/>
          <w:bCs/>
          <w:noProof/>
          <w:sz w:val="20"/>
        </w:rPr>
        <w:t>A Pratical Guide to Trade Policy Analysis</w:t>
      </w:r>
      <w:r w:rsidRPr="003A5A14">
        <w:rPr>
          <w:rFonts w:ascii="Times" w:hAnsi="Times"/>
          <w:noProof/>
          <w:sz w:val="20"/>
        </w:rPr>
        <w:t xml:space="preserve">. [s.l: s.n.]. p. 101–136. </w:t>
      </w:r>
    </w:p>
    <w:p w14:paraId="7CC71C6D" w14:textId="6087DA4B" w:rsidR="003A5A14" w:rsidRPr="00A7356B" w:rsidRDefault="003A5A14" w:rsidP="00FD5A10">
      <w:pPr>
        <w:spacing w:before="120" w:after="120"/>
        <w:rPr>
          <w:rFonts w:ascii="Times" w:hAnsi="Times"/>
          <w:sz w:val="20"/>
          <w:szCs w:val="20"/>
        </w:rPr>
      </w:pPr>
      <w:r>
        <w:rPr>
          <w:rFonts w:ascii="Times" w:hAnsi="Times"/>
          <w:sz w:val="20"/>
          <w:szCs w:val="20"/>
        </w:rPr>
        <w:fldChar w:fldCharType="end"/>
      </w:r>
    </w:p>
    <w:sectPr w:rsidR="003A5A14" w:rsidRPr="00A7356B" w:rsidSect="003A5A14">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FDC51F" w14:textId="77777777" w:rsidR="00BF27E3" w:rsidRDefault="00BF27E3" w:rsidP="005F7C0C">
      <w:r>
        <w:separator/>
      </w:r>
    </w:p>
  </w:endnote>
  <w:endnote w:type="continuationSeparator" w:id="0">
    <w:p w14:paraId="1AD45FB1" w14:textId="77777777" w:rsidR="00BF27E3" w:rsidRDefault="00BF27E3" w:rsidP="005F7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F1DF0C" w14:textId="77777777" w:rsidR="00BF27E3" w:rsidRDefault="00BF27E3" w:rsidP="005F7C0C">
      <w:r>
        <w:separator/>
      </w:r>
    </w:p>
  </w:footnote>
  <w:footnote w:type="continuationSeparator" w:id="0">
    <w:p w14:paraId="071F529D" w14:textId="77777777" w:rsidR="00BF27E3" w:rsidRDefault="00BF27E3" w:rsidP="005F7C0C">
      <w:r>
        <w:continuationSeparator/>
      </w:r>
    </w:p>
  </w:footnote>
  <w:footnote w:id="1">
    <w:p w14:paraId="5CEEB940" w14:textId="7C47C8AD" w:rsidR="00BF27E3" w:rsidRPr="004F5791" w:rsidRDefault="00BF27E3">
      <w:pPr>
        <w:pStyle w:val="FootnoteText"/>
        <w:rPr>
          <w:sz w:val="20"/>
          <w:szCs w:val="20"/>
          <w:lang w:val="en-US"/>
        </w:rPr>
      </w:pPr>
      <w:r w:rsidRPr="004F5791">
        <w:rPr>
          <w:rStyle w:val="FootnoteReference"/>
          <w:sz w:val="20"/>
          <w:szCs w:val="20"/>
        </w:rPr>
        <w:footnoteRef/>
      </w:r>
      <w:r w:rsidRPr="004F5791">
        <w:rPr>
          <w:sz w:val="20"/>
          <w:szCs w:val="20"/>
        </w:rPr>
        <w:t xml:space="preserve"> </w:t>
      </w:r>
      <w:r w:rsidRPr="004F5791">
        <w:rPr>
          <w:sz w:val="20"/>
          <w:szCs w:val="20"/>
          <w:lang w:val="en-US"/>
        </w:rPr>
        <w:t xml:space="preserve">Professor at the Pontifical Catholic University of Campinas and Associate Researcher at University of Campinas (Unicamp)  </w:t>
      </w:r>
    </w:p>
  </w:footnote>
  <w:footnote w:id="2">
    <w:p w14:paraId="22E56319" w14:textId="6D6A9D11" w:rsidR="00BF27E3" w:rsidRPr="004F5791" w:rsidRDefault="00BF27E3">
      <w:pPr>
        <w:pStyle w:val="FootnoteText"/>
        <w:rPr>
          <w:sz w:val="20"/>
          <w:szCs w:val="20"/>
          <w:lang w:val="en-US"/>
        </w:rPr>
      </w:pPr>
      <w:r w:rsidRPr="004F5791">
        <w:rPr>
          <w:rStyle w:val="FootnoteReference"/>
          <w:sz w:val="20"/>
          <w:szCs w:val="20"/>
        </w:rPr>
        <w:footnoteRef/>
      </w:r>
      <w:r w:rsidRPr="004F5791">
        <w:rPr>
          <w:sz w:val="20"/>
          <w:szCs w:val="20"/>
        </w:rPr>
        <w:t xml:space="preserve"> </w:t>
      </w:r>
      <w:r w:rsidRPr="004F5791">
        <w:rPr>
          <w:sz w:val="20"/>
          <w:szCs w:val="20"/>
          <w:lang w:val="en-US"/>
        </w:rPr>
        <w:t>Professor at the University of Campinas (Unicamp)</w:t>
      </w:r>
    </w:p>
  </w:footnote>
  <w:footnote w:id="3">
    <w:p w14:paraId="32FC6BBC" w14:textId="099C8D39" w:rsidR="00BF27E3" w:rsidRPr="008D44EE" w:rsidRDefault="00BF27E3">
      <w:pPr>
        <w:pStyle w:val="FootnoteText"/>
        <w:rPr>
          <w:lang w:val="en-US"/>
        </w:rPr>
      </w:pPr>
      <w:r w:rsidRPr="004F5791">
        <w:rPr>
          <w:rStyle w:val="FootnoteReference"/>
          <w:sz w:val="20"/>
          <w:szCs w:val="20"/>
        </w:rPr>
        <w:footnoteRef/>
      </w:r>
      <w:r w:rsidRPr="004F5791">
        <w:rPr>
          <w:sz w:val="20"/>
          <w:szCs w:val="20"/>
        </w:rPr>
        <w:t xml:space="preserve"> </w:t>
      </w:r>
      <w:r w:rsidRPr="004F5791">
        <w:rPr>
          <w:sz w:val="20"/>
          <w:szCs w:val="20"/>
          <w:lang w:val="en-US"/>
        </w:rPr>
        <w:t>Professor at the University of Illinois at Urbana-Champaign</w:t>
      </w:r>
    </w:p>
  </w:footnote>
  <w:footnote w:id="4">
    <w:p w14:paraId="4C04AAC9" w14:textId="526AED2A" w:rsidR="00BF27E3" w:rsidRPr="00973CE7" w:rsidRDefault="00BF27E3" w:rsidP="00354F0B">
      <w:pPr>
        <w:pStyle w:val="Footnote"/>
        <w:rPr>
          <w:lang w:val="en-US"/>
        </w:rPr>
      </w:pPr>
      <w:r w:rsidRPr="00973CE7">
        <w:rPr>
          <w:rStyle w:val="FootnoteReference"/>
          <w:lang w:val="en-US"/>
        </w:rPr>
        <w:footnoteRef/>
      </w:r>
      <w:r w:rsidRPr="00973CE7">
        <w:rPr>
          <w:lang w:val="en-US"/>
        </w:rPr>
        <w:t xml:space="preserve"> </w:t>
      </w:r>
      <w:r>
        <w:rPr>
          <w:lang w:val="en-US"/>
        </w:rPr>
        <w:t>Authors employed a Constant Market Share (CMS)</w:t>
      </w:r>
      <w:r w:rsidRPr="00973CE7">
        <w:rPr>
          <w:lang w:val="en-US"/>
        </w:rPr>
        <w:t xml:space="preserve"> technique</w:t>
      </w:r>
      <w:r>
        <w:rPr>
          <w:lang w:val="en-US"/>
        </w:rPr>
        <w:t>, which</w:t>
      </w:r>
      <w:r w:rsidRPr="00973CE7">
        <w:rPr>
          <w:lang w:val="en-US"/>
        </w:rPr>
        <w:t xml:space="preserve"> assumes that a country keeps constant it market shares being any change in the trade-flows a result of three basic effects:  growth of world trade, destination market and competitiveness. Competitiveness is a residual effect and can have a number of explanations such as reduced production or trade costs or, in the case studied, certain level of hate against GMOs, see </w:t>
      </w:r>
      <w:r w:rsidRPr="00973CE7">
        <w:rPr>
          <w:lang w:val="en-US"/>
        </w:rPr>
        <w:fldChar w:fldCharType="begin" w:fldLock="1"/>
      </w:r>
      <w:r>
        <w:rPr>
          <w:lang w:val="en-US"/>
        </w:rPr>
        <w:instrText>ADDIN CSL_CITATION { "citationItems" : [ { "id" : "ITEM-1", "itemData" : { "author" : [ { "dropping-particle" : "", "family" : "Carvalho", "given" : "FMA", "non-dropping-particle" : "", "parse-names" : false, "suffix" : "" } ], "id" : "ITEM-1", "issued" : { "date-parts" : [ [ "1995" ] ] }, "publisher" : "S\u00e3o Paulo University", "title" : "O comportamento das exporta\u00e7\u00f5es brasileiras ea din\u00e2mica do complexo agroindustrial. 1995", "type" : "thesis" }, "uris" : [ "http://www.mendeley.com/documents/?uuid=4c68222c-0e27-4545-93f9-cfa7d58b1948" ] }, { "id" : "ITEM-2", "itemData" : { "author" : [ { "dropping-particle" : "", "family" : "Tomich", "given" : "F A", "non-dropping-particle" : "", "parse-names" : false, "suffix" : "" }, { "dropping-particle" : "", "family" : "Leite", "given" : "C A M", "non-dropping-particle" : "", "parse-names" : false, "suffix" : "" } ], "id" : "ITEM-2", "issued" : { "date-parts" : [ [ "1999" ] ] }, "publisher" : "Universidade Federal de Vi\u00e7osa.", "title" : "Competitividade das exporta\u00e7\u00f5es brasileiras de frutas selecionadas", "type" : "book" }, "uris" : [ "http://www.mendeley.com/documents/?uuid=00a7d50c-6eef-4945-80af-a998424299d8" ] } ], "mendeley" : { "formattedCitation" : "(Carvalho, 1995; Tomich e Leite, 1999)", "plainTextFormattedCitation" : "(Carvalho, 1995; Tomich e Leite, 1999)", "previouslyFormattedCitation" : "(Carvalho, 1995; Tomich e Leite, 1999)" }, "properties" : { "noteIndex" : 0 }, "schema" : "https://github.com/citation-style-language/schema/raw/master/csl-citation.json" }</w:instrText>
      </w:r>
      <w:r w:rsidRPr="00973CE7">
        <w:rPr>
          <w:lang w:val="en-US"/>
        </w:rPr>
        <w:fldChar w:fldCharType="separate"/>
      </w:r>
      <w:r w:rsidRPr="0021722C">
        <w:rPr>
          <w:noProof/>
          <w:lang w:val="en-US"/>
        </w:rPr>
        <w:t>(Carvalho, 1995; Tomich e Leite, 1999)</w:t>
      </w:r>
      <w:r w:rsidRPr="00973CE7">
        <w:rPr>
          <w:lang w:val="en-US"/>
        </w:rPr>
        <w:fldChar w:fldCharType="end"/>
      </w:r>
      <w:r w:rsidRPr="00973CE7">
        <w:rPr>
          <w:lang w:val="en-US"/>
        </w:rPr>
        <w:t>.</w:t>
      </w:r>
    </w:p>
  </w:footnote>
  <w:footnote w:id="5">
    <w:p w14:paraId="546766B6" w14:textId="42AE2927" w:rsidR="00BF27E3" w:rsidRDefault="00BF27E3" w:rsidP="005B6699">
      <w:pPr>
        <w:pStyle w:val="Footnote"/>
      </w:pPr>
      <w:r w:rsidRPr="00201549">
        <w:rPr>
          <w:rStyle w:val="FootnoteReference"/>
          <w:rFonts w:ascii="Times New Roman" w:eastAsiaTheme="minorHAnsi" w:hAnsi="Times New Roman" w:cs="Times New Roman"/>
          <w:sz w:val="18"/>
          <w:szCs w:val="18"/>
        </w:rPr>
        <w:footnoteRef/>
      </w:r>
      <w:r>
        <w:t xml:space="preserve"> </w:t>
      </w:r>
      <w:r w:rsidRPr="00201549">
        <w:t xml:space="preserve">However </w:t>
      </w:r>
      <w:r w:rsidRPr="00201549">
        <w:fldChar w:fldCharType="begin" w:fldLock="1"/>
      </w:r>
      <w:r w:rsidRPr="00201549">
        <w:instrText>ADDIN CSL_CITATION { "citationItems" : [ { "id" : "ITEM-1", "itemData" : { "DOI" : "10.1007/s10290-010-0057-7", "ISSN" : "1610-2878", "author" : [ { "dropping-particle" : "", "family" : "Disdier", "given" : "Anne-C\u00e9lia", "non-dropping-particle" : "", "parse-names" : false, "suffix" : "" }, { "dropping-particle" : "", "family" : "Fontagn\u00e9", "given" : "Lionel", "non-dropping-particle" : "", "parse-names" : false, "suffix" : "" } ], "container-title" : "Review of World Economics", "id" : "ITEM-1", "issue" : "3", "issued" : { "date-parts" : [ [ "2010", "5", "23" ] ] }, "page" : "495-514", "title" : "Trade impact of European measures on GMOs condemned by the WTO panel", "type" : "article-journal", "volume" : "146" }, "uris" : [ "http://www.mendeley.com/documents/?uuid=1d2fa7e8-1c8b-407a-97f2-189085307b78" ] } ], "mendeley" : { "formattedCitation" : "(Disdier e Fontagn\u00e9, 2010)", "manualFormatting" : "Disdier &amp; Fontagn\u00e9 (2010)", "plainTextFormattedCitation" : "(Disdier e Fontagn\u00e9, 2010)", "previouslyFormattedCitation" : "(Disdier e Fontagn\u00e9, 2010)" }, "properties" : { "noteIndex" : 0 }, "schema" : "https://github.com/citation-style-language/schema/raw/master/csl-citation.json" }</w:instrText>
      </w:r>
      <w:r w:rsidRPr="00201549">
        <w:fldChar w:fldCharType="separate"/>
      </w:r>
      <w:r w:rsidRPr="00201549">
        <w:rPr>
          <w:noProof/>
        </w:rPr>
        <w:t>Disdier &amp; Fontagné (2010)</w:t>
      </w:r>
      <w:r w:rsidRPr="00201549">
        <w:fldChar w:fldCharType="end"/>
      </w:r>
      <w:r w:rsidRPr="00201549">
        <w:t xml:space="preserve"> did not analyzed soybean trade because they focused on potential regulatory effects, and soybean was the only crop that was approved before the de facto moratorium initiated in 1998. Our study goes to another direction, showing that impacts beyond the differences in regulatory positions can give out many interesting stylized effects of technology adoption under certain levels of hatred. </w:t>
      </w:r>
    </w:p>
  </w:footnote>
  <w:footnote w:id="6">
    <w:p w14:paraId="494F1C04" w14:textId="77777777" w:rsidR="00BF27E3" w:rsidRPr="00973CE7" w:rsidRDefault="00BF27E3" w:rsidP="008A2512">
      <w:pPr>
        <w:pStyle w:val="Footnote"/>
        <w:rPr>
          <w:lang w:val="en-US"/>
        </w:rPr>
      </w:pPr>
      <w:r w:rsidRPr="00973CE7">
        <w:rPr>
          <w:rStyle w:val="FootnoteReference"/>
          <w:lang w:val="en-US"/>
        </w:rPr>
        <w:footnoteRef/>
      </w:r>
      <w:r w:rsidRPr="00973CE7">
        <w:rPr>
          <w:vertAlign w:val="superscript"/>
          <w:lang w:val="en-US"/>
        </w:rPr>
        <w:t xml:space="preserve"> </w:t>
      </w:r>
      <w:r w:rsidRPr="00973CE7">
        <w:rPr>
          <w:lang w:val="en-US"/>
        </w:rPr>
        <w:t xml:space="preserve">The EU pressured by national interest groups did not approve any new event between 1998 and 2003. This period was defined by literature as the de facto moratorium. The controversies and conflicts that arose from this period were discussed at the DSB (Dispute Settlement Body) under WTO. </w:t>
      </w:r>
    </w:p>
  </w:footnote>
  <w:footnote w:id="7">
    <w:p w14:paraId="322A06A2" w14:textId="77777777" w:rsidR="00BF27E3" w:rsidRPr="00192B07" w:rsidRDefault="00BF27E3" w:rsidP="000E4EF5">
      <w:pPr>
        <w:pStyle w:val="footnoted"/>
      </w:pPr>
      <w:r>
        <w:rPr>
          <w:rStyle w:val="FootnoteReference"/>
        </w:rPr>
        <w:footnoteRef/>
      </w:r>
      <w:r>
        <w:t xml:space="preserve"> By dynamic we mean an effect changing over time. </w:t>
      </w:r>
    </w:p>
  </w:footnote>
  <w:footnote w:id="8">
    <w:p w14:paraId="3D09F37C" w14:textId="77777777" w:rsidR="00BF27E3" w:rsidRPr="009C265F" w:rsidRDefault="00BF27E3" w:rsidP="000E4EF5">
      <w:pPr>
        <w:pStyle w:val="FootnoteText"/>
        <w:rPr>
          <w:rFonts w:ascii="Times New Roman" w:eastAsiaTheme="minorHAnsi" w:hAnsi="Times New Roman" w:cs="Times New Roman"/>
          <w:sz w:val="20"/>
          <w:szCs w:val="20"/>
          <w:lang w:val="en-US"/>
        </w:rPr>
      </w:pPr>
      <w:r w:rsidRPr="009C265F">
        <w:rPr>
          <w:rStyle w:val="FootnoteReference"/>
          <w:rFonts w:ascii="Times New Roman" w:eastAsiaTheme="minorHAnsi" w:hAnsi="Times New Roman" w:cs="Times New Roman"/>
          <w:sz w:val="20"/>
          <w:szCs w:val="20"/>
          <w:lang w:val="en-US"/>
        </w:rPr>
        <w:footnoteRef/>
      </w:r>
      <w:r>
        <w:t xml:space="preserve"> </w:t>
      </w:r>
      <w:r>
        <w:rPr>
          <w:rFonts w:ascii="Times New Roman" w:eastAsiaTheme="minorHAnsi" w:hAnsi="Times New Roman" w:cs="Times New Roman"/>
          <w:sz w:val="20"/>
          <w:szCs w:val="20"/>
          <w:lang w:val="en-US"/>
        </w:rPr>
        <w:t>For clarity,</w:t>
      </w:r>
      <w:r w:rsidRPr="009C265F">
        <w:rPr>
          <w:rFonts w:ascii="Times New Roman" w:eastAsiaTheme="minorHAnsi" w:hAnsi="Times New Roman" w:cs="Times New Roman"/>
          <w:sz w:val="20"/>
          <w:szCs w:val="20"/>
          <w:lang w:val="en-US"/>
        </w:rPr>
        <w:t xml:space="preserve"> we are not saying that geographical distance changes over the time, but we are saying that some variable costs, such as “demand lag” can vary across the </w:t>
      </w:r>
      <w:proofErr w:type="gramStart"/>
      <m:oMath>
        <m:r>
          <m:rPr>
            <m:sty m:val="p"/>
          </m:rPr>
          <w:rPr>
            <w:rFonts w:ascii="Cambria Math" w:eastAsiaTheme="minorHAnsi" w:hAnsi="Cambria Math" w:cs="Times New Roman"/>
            <w:sz w:val="20"/>
            <w:szCs w:val="20"/>
            <w:lang w:val="en-US"/>
          </w:rPr>
          <m:t>t</m:t>
        </m:r>
      </m:oMath>
      <w:r w:rsidRPr="009C265F">
        <w:rPr>
          <w:rFonts w:ascii="Times New Roman" w:eastAsiaTheme="minorHAnsi" w:hAnsi="Times New Roman" w:cs="Times New Roman"/>
          <w:sz w:val="20"/>
          <w:szCs w:val="20"/>
          <w:lang w:val="en-US"/>
        </w:rPr>
        <w:t>’s</w:t>
      </w:r>
      <w:proofErr w:type="gramEnd"/>
      <w:r w:rsidRPr="009C265F">
        <w:rPr>
          <w:rFonts w:ascii="Times New Roman" w:eastAsiaTheme="minorHAnsi" w:hAnsi="Times New Roman" w:cs="Times New Roman"/>
          <w:sz w:val="20"/>
          <w:szCs w:val="20"/>
          <w:lang w:val="en-US"/>
        </w:rPr>
        <w:t>.</w:t>
      </w:r>
    </w:p>
  </w:footnote>
  <w:footnote w:id="9">
    <w:p w14:paraId="41CEB2F7" w14:textId="77777777" w:rsidR="00BF27E3" w:rsidRDefault="00BF27E3" w:rsidP="000E4EF5">
      <w:pPr>
        <w:pStyle w:val="footnoted"/>
      </w:pPr>
      <w:r>
        <w:rPr>
          <w:rStyle w:val="FootnoteReference"/>
        </w:rPr>
        <w:footnoteRef/>
      </w:r>
      <w:r>
        <w:t xml:space="preserve"> Remember we are assuming a Pareto distribution for firm heterogeneity with productivities varying from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to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t xml:space="preserve">. Zero profit condition was defined as </w:t>
      </w:r>
    </w:p>
    <w:p w14:paraId="31B47C2E" w14:textId="77777777" w:rsidR="00BF27E3" w:rsidRDefault="00BF27E3" w:rsidP="000E4EF5">
      <w:pPr>
        <w:pStyle w:val="footnoted"/>
      </w:pPr>
    </w:p>
    <w:tbl>
      <w:tblPr>
        <w:tblW w:w="0" w:type="auto"/>
        <w:jc w:val="center"/>
        <w:tblLook w:val="04A0" w:firstRow="1" w:lastRow="0" w:firstColumn="1" w:lastColumn="0" w:noHBand="0" w:noVBand="1"/>
      </w:tblPr>
      <w:tblGrid>
        <w:gridCol w:w="236"/>
        <w:gridCol w:w="7882"/>
        <w:gridCol w:w="936"/>
      </w:tblGrid>
      <w:tr w:rsidR="00BF27E3" w14:paraId="5305BAAD" w14:textId="77777777" w:rsidTr="000E4EF5">
        <w:trPr>
          <w:trHeight w:val="710"/>
          <w:jc w:val="center"/>
        </w:trPr>
        <w:tc>
          <w:tcPr>
            <w:tcW w:w="236" w:type="dxa"/>
            <w:vAlign w:val="center"/>
          </w:tcPr>
          <w:p w14:paraId="740CD15E" w14:textId="77777777" w:rsidR="00BF27E3" w:rsidRDefault="00BF27E3" w:rsidP="000E4EF5">
            <w:pPr>
              <w:pStyle w:val="footnoted"/>
            </w:pPr>
          </w:p>
        </w:tc>
        <w:tc>
          <w:tcPr>
            <w:tcW w:w="7882" w:type="dxa"/>
          </w:tcPr>
          <w:p w14:paraId="76F92B09" w14:textId="77777777" w:rsidR="00BF27E3" w:rsidRDefault="005008E5" w:rsidP="00391935">
            <w:pPr>
              <w:pStyle w:val="footnoted"/>
              <w:ind w:left="1440"/>
              <w:jc w:val="center"/>
            </w:pPr>
            <m:oMath>
              <m:d>
                <m:dPr>
                  <m:ctrlPr>
                    <w:rPr>
                      <w:rFonts w:ascii="Cambria Math" w:hAnsi="Cambria Math"/>
                      <w:i/>
                    </w:rPr>
                  </m:ctrlPr>
                </m:dPr>
                <m:e>
                  <m:r>
                    <m:rPr>
                      <m:sty m:val="bi"/>
                    </m:rPr>
                    <w:rPr>
                      <w:rFonts w:ascii="Cambria Math" w:hAnsi="Cambria Math"/>
                    </w:rPr>
                    <m:t>1-α</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ij</m:t>
                              </m:r>
                            </m:sub>
                          </m:sSub>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j</m:t>
                              </m:r>
                            </m:sub>
                          </m:sSub>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ij</m:t>
                              </m:r>
                            </m:sub>
                          </m:sSub>
                        </m:num>
                        <m:den>
                          <m:r>
                            <m:rPr>
                              <m:sty m:val="bi"/>
                            </m:rPr>
                            <w:rPr>
                              <w:rFonts w:ascii="Cambria Math" w:hAnsi="Cambria Math"/>
                            </w:rPr>
                            <m:t>α</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t>
                              </m:r>
                            </m:sub>
                          </m:sSub>
                        </m:den>
                      </m:f>
                    </m:e>
                  </m:d>
                </m:e>
                <m:sup>
                  <m:r>
                    <m:rPr>
                      <m:sty m:val="bi"/>
                    </m:rPr>
                    <w:rPr>
                      <w:rFonts w:ascii="Cambria Math" w:hAnsi="Cambria Math"/>
                    </w:rPr>
                    <m:t>1-ε</m:t>
                  </m:r>
                </m:sup>
              </m:sSup>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j</m:t>
                  </m:r>
                </m:sub>
              </m:sSub>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ij</m:t>
                  </m:r>
                </m:sub>
              </m:sSub>
            </m:oMath>
            <w:r w:rsidR="00BF27E3">
              <w:t>.</w:t>
            </w:r>
          </w:p>
          <w:p w14:paraId="2AC8E921" w14:textId="77777777" w:rsidR="00BF27E3" w:rsidRPr="0049125A" w:rsidRDefault="00BF27E3" w:rsidP="00391935">
            <w:pPr>
              <w:pStyle w:val="footnoted"/>
              <w:ind w:left="1440"/>
              <w:jc w:val="center"/>
            </w:pPr>
          </w:p>
        </w:tc>
        <w:tc>
          <w:tcPr>
            <w:tcW w:w="936" w:type="dxa"/>
          </w:tcPr>
          <w:p w14:paraId="78A452B4" w14:textId="1C74DCE8" w:rsidR="00BF27E3" w:rsidRDefault="00BF27E3" w:rsidP="00B36698">
            <w:pPr>
              <w:pStyle w:val="footnoted"/>
              <w:ind w:left="1440"/>
            </w:pPr>
          </w:p>
        </w:tc>
      </w:tr>
    </w:tbl>
    <w:p w14:paraId="1DD75F48" w14:textId="7B112B51" w:rsidR="00BF27E3" w:rsidRPr="00B25C99" w:rsidRDefault="00BF27E3" w:rsidP="00C515C0">
      <w:pPr>
        <w:pStyle w:val="footnoted"/>
      </w:pPr>
      <w:proofErr w:type="gramStart"/>
      <w:r>
        <w:t>where</w:t>
      </w:r>
      <w:proofErr w:type="gramEnd"/>
      <w:r>
        <w:t xml:space="preserve"> </w:t>
      </w:r>
      <m:oMath>
        <m:sSub>
          <m:sSubPr>
            <m:ctrlPr>
              <w:rPr>
                <w:rFonts w:ascii="Cambria Math" w:hAnsi="Cambria Math"/>
                <w:i/>
              </w:rPr>
            </m:ctrlPr>
          </m:sSubPr>
          <m:e>
            <m:r>
              <w:rPr>
                <w:rFonts w:ascii="Cambria Math" w:hAnsi="Cambria Math"/>
              </w:rPr>
              <m:t>f</m:t>
            </m:r>
          </m:e>
          <m:sub>
            <m:r>
              <w:rPr>
                <w:rFonts w:ascii="Cambria Math" w:hAnsi="Cambria Math"/>
              </w:rPr>
              <m:t>ij</m:t>
            </m:r>
          </m:sub>
        </m:sSub>
      </m:oMath>
      <w:r>
        <w:rPr>
          <w:rFonts w:eastAsiaTheme="minorEastAsia"/>
        </w:rPr>
        <w:t xml:space="preserve"> are fixed costs of trade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oMath>
      <w:r>
        <w:rPr>
          <w:rFonts w:eastAsiaTheme="minorEastAsia"/>
        </w:rPr>
        <w:t xml:space="preserve"> is the minimum productivity necessary to make any export from country </w:t>
      </w:r>
      <m:oMath>
        <m:r>
          <w:rPr>
            <w:rFonts w:ascii="Cambria Math" w:eastAsiaTheme="minorEastAsia" w:hAnsi="Cambria Math"/>
          </w:rPr>
          <m:t>j</m:t>
        </m:r>
      </m:oMath>
      <w:r>
        <w:rPr>
          <w:rFonts w:eastAsiaTheme="minorEastAsia"/>
        </w:rPr>
        <w:t xml:space="preserve"> to country </w:t>
      </w:r>
      <m:oMath>
        <m:r>
          <w:rPr>
            <w:rFonts w:ascii="Cambria Math" w:eastAsiaTheme="minorEastAsia" w:hAnsi="Cambria Math"/>
          </w:rPr>
          <m:t xml:space="preserve">i </m:t>
        </m:r>
      </m:oMath>
      <w:r>
        <w:rPr>
          <w:rFonts w:eastAsiaTheme="minorEastAsia"/>
        </w:rPr>
        <w:t xml:space="preserve"> profitable. </w:t>
      </w:r>
    </w:p>
  </w:footnote>
  <w:footnote w:id="10">
    <w:p w14:paraId="6251D657" w14:textId="3B08DD1E" w:rsidR="00BF27E3" w:rsidRPr="00973CE7" w:rsidRDefault="00BF27E3" w:rsidP="000E4EF5">
      <w:pPr>
        <w:pStyle w:val="Footnote"/>
        <w:rPr>
          <w:lang w:val="en-US"/>
        </w:rPr>
      </w:pPr>
      <w:r w:rsidRPr="00973CE7">
        <w:rPr>
          <w:rStyle w:val="FootnoteReference"/>
          <w:lang w:val="en-US"/>
        </w:rPr>
        <w:footnoteRef/>
      </w:r>
      <w:r w:rsidRPr="00973CE7">
        <w:rPr>
          <w:lang w:val="en-US"/>
        </w:rPr>
        <w:t xml:space="preserve"> </w:t>
      </w:r>
      <w:r>
        <w:rPr>
          <w:lang w:val="en-US"/>
        </w:rPr>
        <w:t xml:space="preserve">As in </w:t>
      </w:r>
      <w:r w:rsidRPr="00973CE7">
        <w:rPr>
          <w:lang w:val="en-US"/>
        </w:rPr>
        <w:t>HMR (2008</w:t>
      </w:r>
      <w:r>
        <w:rPr>
          <w:lang w:val="en-US"/>
        </w:rPr>
        <w:t xml:space="preserve">) we </w:t>
      </w:r>
      <w:r w:rsidRPr="00973CE7">
        <w:rPr>
          <w:lang w:val="en-US"/>
        </w:rPr>
        <w:t>divi</w:t>
      </w:r>
      <w:r>
        <w:rPr>
          <w:lang w:val="en-US"/>
        </w:rPr>
        <w:t>de</w:t>
      </w:r>
      <w:r w:rsidRPr="00973CE7">
        <w:rPr>
          <w:lang w:val="en-US"/>
        </w:rPr>
        <w:t xml:space="preserve">d equation </w:t>
      </w:r>
      <w:r>
        <w:rPr>
          <w:lang w:val="en-US"/>
        </w:rPr>
        <w:t xml:space="preserve">4 </w:t>
      </w:r>
      <w:r w:rsidRPr="00973CE7">
        <w:rPr>
          <w:lang w:val="en-US"/>
        </w:rPr>
        <w:t xml:space="preserve">by the standard deviation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η</m:t>
            </m:r>
          </m:sub>
        </m:sSub>
      </m:oMath>
      <w:r w:rsidRPr="00973CE7">
        <w:rPr>
          <w:lang w:val="en-US"/>
        </w:rPr>
        <w:t xml:space="preserve"> before specifying the </w:t>
      </w:r>
      <w:proofErr w:type="gramStart"/>
      <w:r w:rsidRPr="00973CE7">
        <w:rPr>
          <w:lang w:val="en-US"/>
        </w:rPr>
        <w:t>Probit</w:t>
      </w:r>
      <w:proofErr w:type="gramEnd"/>
      <w:r w:rsidRPr="00973CE7">
        <w:rPr>
          <w:lang w:val="en-US"/>
        </w:rPr>
        <w:t xml:space="preserve"> equation to avoid imposing conjunct normality  </w:t>
      </w:r>
      <m:oMath>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η</m:t>
            </m:r>
          </m:sub>
          <m:sup>
            <m:r>
              <w:rPr>
                <w:rFonts w:ascii="Cambria Math" w:hAnsi="Cambria Math"/>
                <w:lang w:val="en-US"/>
              </w:rPr>
              <m:t>2</m:t>
            </m:r>
          </m:sup>
        </m:sSubSup>
        <m:r>
          <w:rPr>
            <w:rFonts w:ascii="Cambria Math" w:hAnsi="Cambria Math" w:hint="eastAsia"/>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u</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v</m:t>
            </m:r>
          </m:sub>
          <m:sup>
            <m:r>
              <w:rPr>
                <w:rFonts w:ascii="Cambria Math" w:hAnsi="Cambria Math"/>
                <w:lang w:val="en-US"/>
              </w:rPr>
              <m:t>2</m:t>
            </m:r>
          </m:sup>
        </m:sSubSup>
        <m:r>
          <w:rPr>
            <w:rFonts w:ascii="Cambria Math" w:hAnsi="Cambria Math"/>
            <w:lang w:val="en-US"/>
          </w:rPr>
          <m:t>=1)</m:t>
        </m:r>
      </m:oMath>
      <w:r w:rsidRPr="00973CE7">
        <w:rPr>
          <w:lang w:val="en-US"/>
        </w:rPr>
        <w:t>.</w:t>
      </w:r>
      <w:r>
        <w:rPr>
          <w:lang w:val="en-US"/>
        </w:rPr>
        <w:t xml:space="preserve"> However we omitted the star as a superscript to indicate it.</w:t>
      </w:r>
      <w:r w:rsidRPr="00973CE7">
        <w:rPr>
          <w:lang w:val="en-US"/>
        </w:rPr>
        <w:t xml:space="preserve"> Empirical estimations, as suggested by </w:t>
      </w:r>
      <w:r w:rsidRPr="00973CE7">
        <w:rPr>
          <w:lang w:val="en-US"/>
        </w:rPr>
        <w:fldChar w:fldCharType="begin" w:fldLock="1"/>
      </w:r>
      <w:r>
        <w:rPr>
          <w:lang w:val="en-US"/>
        </w:rPr>
        <w:instrText>ADDIN CSL_CITATION { "citationItems" : [ { "id" : "ITEM-1", "itemData" : { "author" : [ { "dropping-particle" : "", "family" : "WTO", "given" : "", "non-dropping-particle" : "", "parse-names" : false, "suffix" : "" }, { "dropping-particle" : "", "family" : "UNCTAD", "given" : "", "non-dropping-particle" : "", "parse-names" : false, "suffix" : "" } ], "container-title" : "A Pratical Guide to Trade Policy Analysis", "id" : "ITEM-1", "issued" : { "date-parts" : [ [ "2012" ] ] }, "page" : "101-136", "title" : "Analyzing bilateral trade using gravity equation", "type" : "chapter" }, "uris" : [ "http://www.mendeley.com/documents/?uuid=36de047c-6fbb-42f7-b42c-af268c4a7ac9" ] } ], "mendeley" : { "formattedCitation" : "(WTO e UNCTAD, 2012)", "manualFormatting" : "WTO &amp; UNCTAD (2012)", "plainTextFormattedCitation" : "(WTO e UNCTAD, 2012)", "previouslyFormattedCitation" : "(WTO e UNCTAD, 2012)" }, "properties" : { "noteIndex" : 0 }, "schema" : "https://github.com/citation-style-language/schema/raw/master/csl-citation.json" }</w:instrText>
      </w:r>
      <w:r w:rsidRPr="00973CE7">
        <w:rPr>
          <w:lang w:val="en-US"/>
        </w:rPr>
        <w:fldChar w:fldCharType="separate"/>
      </w:r>
      <w:r>
        <w:rPr>
          <w:noProof/>
          <w:lang w:val="en-US"/>
        </w:rPr>
        <w:t>WTO &amp; UNCTAD</w:t>
      </w:r>
      <w:r w:rsidRPr="00C96CEA">
        <w:rPr>
          <w:noProof/>
          <w:lang w:val="en-US"/>
        </w:rPr>
        <w:t xml:space="preserve"> </w:t>
      </w:r>
      <w:r>
        <w:rPr>
          <w:noProof/>
          <w:lang w:val="en-US"/>
        </w:rPr>
        <w:t>(</w:t>
      </w:r>
      <w:r w:rsidRPr="00C96CEA">
        <w:rPr>
          <w:noProof/>
          <w:lang w:val="en-US"/>
        </w:rPr>
        <w:t>2012)</w:t>
      </w:r>
      <w:r w:rsidRPr="00973CE7">
        <w:rPr>
          <w:lang w:val="en-US"/>
        </w:rPr>
        <w:fldChar w:fldCharType="end"/>
      </w:r>
      <w:r>
        <w:rPr>
          <w:lang w:val="en-US"/>
        </w:rPr>
        <w:t>,</w:t>
      </w:r>
      <w:r w:rsidRPr="00973CE7">
        <w:rPr>
          <w:lang w:val="en-US"/>
        </w:rPr>
        <w:t xml:space="preserve"> usually ignores this step. We run models with and without this </w:t>
      </w:r>
      <w:r>
        <w:rPr>
          <w:lang w:val="en-US"/>
        </w:rPr>
        <w:t>procedure</w:t>
      </w:r>
      <w:r w:rsidRPr="00973CE7">
        <w:rPr>
          <w:lang w:val="en-US"/>
        </w:rPr>
        <w:t xml:space="preserve"> and </w:t>
      </w:r>
      <w:r>
        <w:rPr>
          <w:lang w:val="en-US"/>
        </w:rPr>
        <w:t xml:space="preserve">we have </w:t>
      </w:r>
      <w:r w:rsidRPr="00973CE7">
        <w:rPr>
          <w:lang w:val="en-US"/>
        </w:rPr>
        <w:t xml:space="preserve">found no meaningful differences in </w:t>
      </w:r>
      <w:r>
        <w:rPr>
          <w:lang w:val="en-US"/>
        </w:rPr>
        <w:t xml:space="preserve">the </w:t>
      </w:r>
      <w:r w:rsidRPr="00973CE7">
        <w:rPr>
          <w:lang w:val="en-US"/>
        </w:rPr>
        <w:t xml:space="preserve">model coefficients. </w:t>
      </w:r>
    </w:p>
  </w:footnote>
  <w:footnote w:id="11">
    <w:p w14:paraId="7898A3C4" w14:textId="77777777" w:rsidR="00BF27E3" w:rsidRPr="00973CE7" w:rsidRDefault="00BF27E3" w:rsidP="000E4EF5">
      <w:pPr>
        <w:pStyle w:val="Footnote"/>
        <w:rPr>
          <w:lang w:val="en-US"/>
        </w:rPr>
      </w:pPr>
      <w:r w:rsidRPr="00973CE7">
        <w:rPr>
          <w:rStyle w:val="FootnoteReference"/>
          <w:lang w:val="en-US"/>
        </w:rPr>
        <w:footnoteRef/>
      </w:r>
      <w:r w:rsidRPr="00973CE7">
        <w:rPr>
          <w:lang w:val="en-US"/>
        </w:rPr>
        <w:t xml:space="preserve"> The inverse Mills ratio is written as </w:t>
      </w:r>
      <m:oMath>
        <m:sSub>
          <m:sSubPr>
            <m:ctrlPr>
              <w:rPr>
                <w:rFonts w:ascii="Cambria Math" w:hAnsi="Cambria Math" w:cs="Arial"/>
                <w:i/>
              </w:rPr>
            </m:ctrlPr>
          </m:sSubPr>
          <m:e>
            <m:acc>
              <m:accPr>
                <m:ctrlPr>
                  <w:rPr>
                    <w:rFonts w:ascii="Cambria Math" w:hAnsi="Cambria Math" w:cs="Arial"/>
                    <w:i/>
                    <w:sz w:val="24"/>
                    <w:szCs w:val="24"/>
                    <w:lang w:val="en-US"/>
                  </w:rPr>
                </m:ctrlPr>
              </m:accPr>
              <m:e>
                <m:acc>
                  <m:accPr>
                    <m:chr m:val="̅"/>
                    <m:ctrlPr>
                      <w:rPr>
                        <w:rFonts w:ascii="Cambria Math" w:hAnsi="Cambria Math" w:cs="Arial"/>
                        <w:i/>
                        <w:sz w:val="24"/>
                        <w:szCs w:val="24"/>
                        <w:lang w:val="en-US"/>
                      </w:rPr>
                    </m:ctrlPr>
                  </m:accPr>
                  <m:e>
                    <m:r>
                      <w:rPr>
                        <w:rFonts w:ascii="Cambria Math" w:hAnsi="Cambria Math"/>
                        <w:lang w:val="en-US"/>
                      </w:rPr>
                      <m:t>η</m:t>
                    </m:r>
                  </m:e>
                </m:acc>
              </m:e>
            </m:acc>
            <m:ctrlPr>
              <w:rPr>
                <w:rFonts w:ascii="Cambria Math" w:hAnsi="Cambria Math"/>
                <w:i/>
              </w:rPr>
            </m:ctrlPr>
          </m:e>
          <m:sub>
            <m:r>
              <w:rPr>
                <w:rFonts w:ascii="Cambria Math" w:hAnsi="Cambria Math"/>
                <w:lang w:val="en-US"/>
              </w:rPr>
              <m:t>ij</m:t>
            </m:r>
            <m:ctrlPr>
              <w:rPr>
                <w:rFonts w:ascii="Cambria Math" w:hAnsi="Cambria Math"/>
                <w:i/>
              </w:rPr>
            </m:ctrlPr>
          </m:sub>
        </m:sSub>
        <m:r>
          <w:rPr>
            <w:rFonts w:ascii="Cambria Math" w:hAnsi="Cambria Math"/>
            <w:lang w:val="en-US"/>
          </w:rPr>
          <m:t>=ϕ</m:t>
        </m:r>
        <m:sSub>
          <m:sSubPr>
            <m:ctrlPr>
              <w:rPr>
                <w:rFonts w:ascii="Cambria Math" w:hAnsi="Cambria Math"/>
                <w:i/>
              </w:rPr>
            </m:ctrlPr>
          </m:sSubPr>
          <m:e>
            <m:r>
              <w:rPr>
                <w:rFonts w:ascii="Cambria Math" w:hAnsi="Cambria Math"/>
                <w:lang w:val="en-US"/>
              </w:rPr>
              <m:t>(</m:t>
            </m:r>
            <m:acc>
              <m:accPr>
                <m:ctrlPr>
                  <w:rPr>
                    <w:rFonts w:ascii="Cambria Math" w:hAnsi="Cambria Math"/>
                    <w:i/>
                    <w:lang w:val="en-US"/>
                  </w:rPr>
                </m:ctrlPr>
              </m:accPr>
              <m:e>
                <m:r>
                  <w:rPr>
                    <w:rFonts w:ascii="Cambria Math" w:hAnsi="Cambria Math"/>
                    <w:lang w:val="en-US"/>
                  </w:rPr>
                  <m:t>z</m:t>
                </m:r>
              </m:e>
            </m:acc>
          </m:e>
          <m:sub>
            <m:r>
              <w:rPr>
                <w:rFonts w:ascii="Cambria Math" w:hAnsi="Cambria Math"/>
                <w:lang w:val="en-US"/>
              </w:rPr>
              <m:t>ij</m:t>
            </m:r>
          </m:sub>
        </m:sSub>
        <m:r>
          <w:rPr>
            <w:rFonts w:ascii="Cambria Math" w:hAnsi="Cambria Math"/>
            <w:lang w:val="en-US"/>
          </w:rPr>
          <m:t>)/Φ</m:t>
        </m:r>
        <m:sSub>
          <m:sSubPr>
            <m:ctrlPr>
              <w:rPr>
                <w:rFonts w:ascii="Cambria Math" w:hAnsi="Cambria Math"/>
                <w:i/>
              </w:rPr>
            </m:ctrlPr>
          </m:sSubPr>
          <m:e>
            <m:r>
              <w:rPr>
                <w:rFonts w:ascii="Cambria Math" w:hAnsi="Cambria Math"/>
                <w:lang w:val="en-US"/>
              </w:rPr>
              <m:t>(</m:t>
            </m:r>
            <m:acc>
              <m:accPr>
                <m:ctrlPr>
                  <w:rPr>
                    <w:rFonts w:ascii="Cambria Math" w:hAnsi="Cambria Math"/>
                    <w:i/>
                    <w:lang w:val="en-US"/>
                  </w:rPr>
                </m:ctrlPr>
              </m:accPr>
              <m:e>
                <m:r>
                  <w:rPr>
                    <w:rFonts w:ascii="Cambria Math" w:hAnsi="Cambria Math"/>
                    <w:lang w:val="en-US"/>
                  </w:rPr>
                  <m:t>z</m:t>
                </m:r>
              </m:e>
            </m:acc>
          </m:e>
          <m:sub>
            <m:r>
              <w:rPr>
                <w:rFonts w:ascii="Cambria Math" w:hAnsi="Cambria Math"/>
                <w:lang w:val="en-US"/>
              </w:rPr>
              <m:t>ij</m:t>
            </m:r>
          </m:sub>
        </m:sSub>
        <m:r>
          <w:rPr>
            <w:rFonts w:ascii="Cambria Math" w:hAnsi="Cambria Math"/>
            <w:lang w:val="en-US"/>
          </w:rPr>
          <m:t>)</m:t>
        </m:r>
      </m:oMath>
      <w:r w:rsidRPr="00973CE7">
        <w:rPr>
          <w:lang w:val="en-US"/>
        </w:rPr>
        <w:t>, that is, the probability density function (</w:t>
      </w:r>
      <w:proofErr w:type="spellStart"/>
      <w:r w:rsidRPr="00973CE7">
        <w:rPr>
          <w:lang w:val="en-US"/>
        </w:rPr>
        <w:t>pdf</w:t>
      </w:r>
      <w:proofErr w:type="spellEnd"/>
      <w:r w:rsidRPr="00973CE7">
        <w:rPr>
          <w:lang w:val="en-US"/>
        </w:rPr>
        <w:t>) over the cumulative density function (</w:t>
      </w:r>
      <w:proofErr w:type="spellStart"/>
      <w:r w:rsidRPr="00973CE7">
        <w:rPr>
          <w:lang w:val="en-US"/>
        </w:rPr>
        <w:t>cdf</w:t>
      </w:r>
      <w:proofErr w:type="spellEnd"/>
      <w:r w:rsidRPr="00973CE7">
        <w:rPr>
          <w:lang w:val="en-US"/>
        </w:rPr>
        <w:t xml:space="preserve">). </w:t>
      </w:r>
    </w:p>
  </w:footnote>
  <w:footnote w:id="12">
    <w:p w14:paraId="12CF8014" w14:textId="77777777" w:rsidR="00BF27E3" w:rsidRPr="00973CE7" w:rsidRDefault="00BF27E3" w:rsidP="000E4EF5">
      <w:pPr>
        <w:pStyle w:val="Footnote"/>
        <w:rPr>
          <w:lang w:val="en-US"/>
        </w:rPr>
      </w:pPr>
      <w:r w:rsidRPr="00973CE7">
        <w:rPr>
          <w:rStyle w:val="FootnoteReference"/>
          <w:lang w:val="en-US"/>
        </w:rPr>
        <w:footnoteRef/>
      </w:r>
      <w:r w:rsidRPr="00973CE7">
        <w:rPr>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sSup>
                  <m:sSupPr>
                    <m:ctrlPr>
                      <w:rPr>
                        <w:rFonts w:ascii="Cambria Math" w:hAnsi="Cambria Math"/>
                        <w:i/>
                        <w:lang w:val="en-US"/>
                      </w:rPr>
                    </m:ctrlPr>
                  </m:sSupPr>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L</m:t>
                            </m:r>
                          </m:sub>
                        </m:sSub>
                      </m:sub>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sup>
                      <m:e>
                        <m:r>
                          <w:rPr>
                            <w:rFonts w:ascii="Cambria Math" w:hAnsi="Cambria Math"/>
                            <w:lang w:val="en-US"/>
                          </w:rPr>
                          <m:t>a</m:t>
                        </m:r>
                      </m:e>
                    </m:nary>
                  </m:e>
                  <m:sup>
                    <m:r>
                      <w:rPr>
                        <w:rFonts w:ascii="Cambria Math" w:hAnsi="Cambria Math"/>
                        <w:lang w:val="en-US"/>
                      </w:rPr>
                      <m:t>1-ε</m:t>
                    </m:r>
                  </m:sup>
                </m:sSup>
                <m:r>
                  <m:rPr>
                    <m:sty m:val="p"/>
                  </m:rPr>
                  <w:rPr>
                    <w:rFonts w:ascii="Cambria Math" w:hAnsi="Cambria Math"/>
                    <w:lang w:val="en-US"/>
                  </w:rPr>
                  <m:t xml:space="preserve">for </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L</m:t>
                    </m:r>
                  </m:sub>
                </m:sSub>
              </m:e>
              <m:e>
                <m:r>
                  <w:rPr>
                    <w:rFonts w:ascii="Cambria Math" w:hAnsi="Cambria Math"/>
                    <w:lang w:val="en-US"/>
                  </w:rPr>
                  <m:t xml:space="preserve">0          </m:t>
                </m:r>
                <m:r>
                  <m:rPr>
                    <m:sty m:val="p"/>
                  </m:rPr>
                  <w:rPr>
                    <w:rFonts w:ascii="Cambria Math" w:hAnsi="Cambria Math"/>
                    <w:lang w:val="en-US"/>
                  </w:rPr>
                  <m:t>otherwise</m:t>
                </m:r>
              </m:e>
            </m:eqArr>
          </m:e>
        </m:d>
        <m:r>
          <w:rPr>
            <w:rFonts w:ascii="Cambria Math" w:hAnsi="Cambria Math"/>
            <w:lang w:val="en-US"/>
          </w:rPr>
          <m:t xml:space="preserve"> </m:t>
        </m:r>
      </m:oMath>
      <w:r w:rsidRPr="00973CE7">
        <w:rPr>
          <w:lang w:val="en-US"/>
        </w:rPr>
        <w:t>is presented and discussed in the previous chapter.</w:t>
      </w:r>
    </w:p>
  </w:footnote>
  <w:footnote w:id="13">
    <w:p w14:paraId="3D714C11" w14:textId="77777777" w:rsidR="00BF27E3" w:rsidRPr="00D16EC7" w:rsidRDefault="00BF27E3" w:rsidP="000E4EF5">
      <w:pPr>
        <w:pStyle w:val="footnoted"/>
      </w:pPr>
      <w:r>
        <w:rPr>
          <w:rStyle w:val="FootnoteReference"/>
        </w:rPr>
        <w:footnoteRef/>
      </w:r>
      <w:r>
        <w:t xml:space="preserve"> This database will be used to analyze impacts of individual approvals in trade in a future analysis. </w:t>
      </w:r>
    </w:p>
  </w:footnote>
  <w:footnote w:id="14">
    <w:p w14:paraId="3E8008FC" w14:textId="77777777" w:rsidR="00BF27E3" w:rsidRPr="007A344E" w:rsidRDefault="00BF27E3" w:rsidP="000E4EF5">
      <w:pPr>
        <w:pStyle w:val="footnoted"/>
      </w:pPr>
      <w:r>
        <w:rPr>
          <w:rStyle w:val="FootnoteReference"/>
        </w:rPr>
        <w:footnoteRef/>
      </w:r>
      <w:r>
        <w:t xml:space="preserve"> </w:t>
      </w:r>
      <w:r w:rsidRPr="007A344E">
        <w:t xml:space="preserve">Landlocked countries tend to trade less (extensive and intensive margins) due to their remoteness leading to increased trade costs – including transaction and transportation costs. According to World Bank they trade on average 60% less when compared to countries with maritime boundaries. </w:t>
      </w:r>
    </w:p>
    <w:p w14:paraId="50E57919" w14:textId="77777777" w:rsidR="00BF27E3" w:rsidRPr="00000529" w:rsidRDefault="00BF27E3" w:rsidP="000E4EF5">
      <w:pPr>
        <w:pStyle w:val="FootnoteText"/>
        <w:rPr>
          <w:lang w:val="en-US"/>
        </w:rPr>
      </w:pPr>
    </w:p>
  </w:footnote>
  <w:footnote w:id="15">
    <w:p w14:paraId="4EBC3D62" w14:textId="1A87AA9D" w:rsidR="00BF27E3" w:rsidRPr="00883F78" w:rsidRDefault="00BF27E3" w:rsidP="00883F78">
      <w:pPr>
        <w:pStyle w:val="Footnote"/>
        <w:rPr>
          <w:lang w:val="en-US"/>
        </w:rPr>
      </w:pPr>
      <w:r>
        <w:rPr>
          <w:rStyle w:val="FootnoteReference"/>
        </w:rPr>
        <w:footnoteRef/>
      </w:r>
      <w:r>
        <w:t xml:space="preserve"> </w:t>
      </w:r>
      <w:r>
        <w:rPr>
          <w:lang w:val="en-US"/>
        </w:rPr>
        <w:t xml:space="preserve">Soybean meal represents around 80% of soybeans use </w:t>
      </w:r>
      <w:r>
        <w:rPr>
          <w:lang w:val="en-US"/>
        </w:rPr>
        <w:fldChar w:fldCharType="begin" w:fldLock="1"/>
      </w:r>
      <w:r>
        <w:rPr>
          <w:lang w:val="en-US"/>
        </w:rPr>
        <w:instrText>ADDIN CSL_CITATION { "citationItems" : [ { "id" : "ITEM-1", "itemData" : { "author" : [ { "dropping-particle" : "", "family" : "HighQuest", "given" : "", "non-dropping-particle" : "", "parse-names" : false, "suffix" : "" }, { "dropping-particle" : "", "family" : "Soytech", "given" : "", "non-dropping-particle" : "", "parse-names" : false, "suffix" : "" } ], "container-title" : "U.S. Soybean Export Council", "id" : "ITEM-1", "issued" : { "date-parts" : [ [ "2011" ] ] }, "number-of-pages" : "79", "publisher-place" : "Danvers MA", "title" : "How the Global Oilseed and Grain Trade Works", "type" : "report" }, "uris" : [ "http://www.mendeley.com/documents/?uuid=2b91a5a9-4449-45fe-81ee-0115e9f9c010" ] } ], "mendeley" : { "formattedCitation" : "(HighQuest e Soytech, 2011)", "plainTextFormattedCitation" : "(HighQuest e Soytech, 2011)", "previouslyFormattedCitation" : "(HighQuest e Soytech, 2011)" }, "properties" : { "noteIndex" : 0 }, "schema" : "https://github.com/citation-style-language/schema/raw/master/csl-citation.json" }</w:instrText>
      </w:r>
      <w:r>
        <w:rPr>
          <w:lang w:val="en-US"/>
        </w:rPr>
        <w:fldChar w:fldCharType="separate"/>
      </w:r>
      <w:r w:rsidRPr="00883F78">
        <w:rPr>
          <w:noProof/>
          <w:lang w:val="en-US"/>
        </w:rPr>
        <w:t>(HighQuest e Soytech, 2011)</w:t>
      </w:r>
      <w:r>
        <w:rPr>
          <w:lang w:val="en-US"/>
        </w:rPr>
        <w:fldChar w:fldCharType="end"/>
      </w:r>
      <w:r>
        <w:rPr>
          <w:lang w:val="en-US"/>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2926"/>
    <w:multiLevelType w:val="multilevel"/>
    <w:tmpl w:val="1764B024"/>
    <w:lvl w:ilvl="0">
      <w:start w:val="1"/>
      <w:numFmt w:val="upperRoman"/>
      <w:pStyle w:val="title1-d"/>
      <w:lvlText w:val="%1."/>
      <w:lvlJc w:val="left"/>
      <w:pPr>
        <w:ind w:left="1080" w:hanging="720"/>
      </w:pPr>
      <w:rPr>
        <w:rFonts w:hint="default"/>
      </w:rPr>
    </w:lvl>
    <w:lvl w:ilvl="1">
      <w:start w:val="1"/>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
    <w:nsid w:val="03933D03"/>
    <w:multiLevelType w:val="multilevel"/>
    <w:tmpl w:val="B2E0AFD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6842A5D"/>
    <w:multiLevelType w:val="multilevel"/>
    <w:tmpl w:val="BA7A53B4"/>
    <w:lvl w:ilvl="0">
      <w:start w:val="2"/>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3"/>
      <w:numFmt w:val="decimal"/>
      <w:isLgl/>
      <w:lvlText w:val="%2%1..%3"/>
      <w:lvlJc w:val="left"/>
      <w:pPr>
        <w:ind w:left="1080" w:hanging="720"/>
      </w:pPr>
      <w:rPr>
        <w:rFonts w:hint="default"/>
      </w:rPr>
    </w:lvl>
    <w:lvl w:ilvl="3">
      <w:numFmt w:val="decimal"/>
      <w:isLgl/>
      <w:lvlText w:val="%1.%2.%3.%4"/>
      <w:lvlJc w:val="left"/>
      <w:pPr>
        <w:ind w:left="1440" w:hanging="1080"/>
      </w:pPr>
      <w:rPr>
        <w:rFonts w:hint="default"/>
      </w:rPr>
    </w:lvl>
    <w:lvl w:ilvl="4">
      <w:numFmt w:val="decimal"/>
      <w:isLgl/>
      <w:lvlText w:val="%1.%2.%3.%4.%5"/>
      <w:lvlJc w:val="left"/>
      <w:pPr>
        <w:ind w:left="1440" w:hanging="1080"/>
      </w:pPr>
      <w:rPr>
        <w:rFonts w:hint="default"/>
      </w:rPr>
    </w:lvl>
    <w:lvl w:ilvl="5">
      <w:numFmt w:val="decimal"/>
      <w:isLgl/>
      <w:lvlText w:val="%1.%2.%3.%4.%5.%6"/>
      <w:lvlJc w:val="left"/>
      <w:pPr>
        <w:ind w:left="1800" w:hanging="1440"/>
      </w:pPr>
      <w:rPr>
        <w:rFonts w:hint="default"/>
      </w:rPr>
    </w:lvl>
    <w:lvl w:ilvl="6">
      <w:numFmt w:val="decimal"/>
      <w:isLgl/>
      <w:lvlText w:val="%1.%2.%3.%4.%5.%6.%7"/>
      <w:lvlJc w:val="left"/>
      <w:pPr>
        <w:ind w:left="1800" w:hanging="1440"/>
      </w:pPr>
      <w:rPr>
        <w:rFonts w:hint="default"/>
      </w:rPr>
    </w:lvl>
    <w:lvl w:ilvl="7">
      <w:numFmt w:val="decimal"/>
      <w:isLgl/>
      <w:lvlText w:val="%1.%2.%3.%4.%5.%6.%7.%8"/>
      <w:lvlJc w:val="left"/>
      <w:pPr>
        <w:ind w:left="2160" w:hanging="1800"/>
      </w:pPr>
      <w:rPr>
        <w:rFonts w:hint="default"/>
      </w:rPr>
    </w:lvl>
    <w:lvl w:ilvl="8">
      <w:numFmt w:val="decimal"/>
      <w:isLgl/>
      <w:lvlText w:val="%1.%2.%3.%4.%5.%6.%7.%8.%9"/>
      <w:lvlJc w:val="left"/>
      <w:pPr>
        <w:ind w:left="2160" w:hanging="1800"/>
      </w:pPr>
      <w:rPr>
        <w:rFonts w:hint="default"/>
      </w:rPr>
    </w:lvl>
  </w:abstractNum>
  <w:abstractNum w:abstractNumId="3">
    <w:nsid w:val="0DBA3ABD"/>
    <w:multiLevelType w:val="multilevel"/>
    <w:tmpl w:val="F424C148"/>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284"/>
        </w:tabs>
        <w:ind w:left="284" w:hanging="284"/>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04"/>
        </w:tabs>
        <w:ind w:left="504" w:hanging="864"/>
      </w:pPr>
      <w:rPr>
        <w:rFonts w:hint="default"/>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4">
    <w:nsid w:val="0E864F13"/>
    <w:multiLevelType w:val="hybridMultilevel"/>
    <w:tmpl w:val="C584DA4E"/>
    <w:lvl w:ilvl="0" w:tplc="86249C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4A1A7E"/>
    <w:multiLevelType w:val="multilevel"/>
    <w:tmpl w:val="CCE870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1BC16D9"/>
    <w:multiLevelType w:val="hybridMultilevel"/>
    <w:tmpl w:val="5844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887883"/>
    <w:multiLevelType w:val="hybridMultilevel"/>
    <w:tmpl w:val="07384C88"/>
    <w:lvl w:ilvl="0" w:tplc="8FE8213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9C6720"/>
    <w:multiLevelType w:val="hybridMultilevel"/>
    <w:tmpl w:val="F328DC2A"/>
    <w:lvl w:ilvl="0" w:tplc="88D48D9A">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1063DF"/>
    <w:multiLevelType w:val="multilevel"/>
    <w:tmpl w:val="BA7A53B4"/>
    <w:lvl w:ilvl="0">
      <w:start w:val="2"/>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3"/>
      <w:numFmt w:val="decimal"/>
      <w:isLgl/>
      <w:lvlText w:val="%2%1..%3"/>
      <w:lvlJc w:val="left"/>
      <w:pPr>
        <w:ind w:left="1080" w:hanging="720"/>
      </w:pPr>
      <w:rPr>
        <w:rFonts w:hint="default"/>
      </w:rPr>
    </w:lvl>
    <w:lvl w:ilvl="3">
      <w:numFmt w:val="decimal"/>
      <w:isLgl/>
      <w:lvlText w:val="%1.%2.%3.%4"/>
      <w:lvlJc w:val="left"/>
      <w:pPr>
        <w:ind w:left="1440" w:hanging="1080"/>
      </w:pPr>
      <w:rPr>
        <w:rFonts w:hint="default"/>
      </w:rPr>
    </w:lvl>
    <w:lvl w:ilvl="4">
      <w:numFmt w:val="decimal"/>
      <w:isLgl/>
      <w:lvlText w:val="%1.%2.%3.%4.%5"/>
      <w:lvlJc w:val="left"/>
      <w:pPr>
        <w:ind w:left="1440" w:hanging="1080"/>
      </w:pPr>
      <w:rPr>
        <w:rFonts w:hint="default"/>
      </w:rPr>
    </w:lvl>
    <w:lvl w:ilvl="5">
      <w:numFmt w:val="decimal"/>
      <w:isLgl/>
      <w:lvlText w:val="%1.%2.%3.%4.%5.%6"/>
      <w:lvlJc w:val="left"/>
      <w:pPr>
        <w:ind w:left="1800" w:hanging="1440"/>
      </w:pPr>
      <w:rPr>
        <w:rFonts w:hint="default"/>
      </w:rPr>
    </w:lvl>
    <w:lvl w:ilvl="6">
      <w:numFmt w:val="decimal"/>
      <w:isLgl/>
      <w:lvlText w:val="%1.%2.%3.%4.%5.%6.%7"/>
      <w:lvlJc w:val="left"/>
      <w:pPr>
        <w:ind w:left="1800" w:hanging="1440"/>
      </w:pPr>
      <w:rPr>
        <w:rFonts w:hint="default"/>
      </w:rPr>
    </w:lvl>
    <w:lvl w:ilvl="7">
      <w:numFmt w:val="decimal"/>
      <w:isLgl/>
      <w:lvlText w:val="%1.%2.%3.%4.%5.%6.%7.%8"/>
      <w:lvlJc w:val="left"/>
      <w:pPr>
        <w:ind w:left="2160" w:hanging="1800"/>
      </w:pPr>
      <w:rPr>
        <w:rFonts w:hint="default"/>
      </w:rPr>
    </w:lvl>
    <w:lvl w:ilvl="8">
      <w:numFmt w:val="decimal"/>
      <w:isLgl/>
      <w:lvlText w:val="%1.%2.%3.%4.%5.%6.%7.%8.%9"/>
      <w:lvlJc w:val="left"/>
      <w:pPr>
        <w:ind w:left="2160" w:hanging="1800"/>
      </w:pPr>
      <w:rPr>
        <w:rFonts w:hint="default"/>
      </w:rPr>
    </w:lvl>
  </w:abstractNum>
  <w:abstractNum w:abstractNumId="10">
    <w:nsid w:val="235704C4"/>
    <w:multiLevelType w:val="multilevel"/>
    <w:tmpl w:val="BA7A53B4"/>
    <w:lvl w:ilvl="0">
      <w:start w:val="2"/>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3"/>
      <w:numFmt w:val="decimal"/>
      <w:pStyle w:val="title2di"/>
      <w:isLgl/>
      <w:lvlText w:val="%2%1..%3"/>
      <w:lvlJc w:val="left"/>
      <w:pPr>
        <w:ind w:left="1080" w:hanging="720"/>
      </w:pPr>
      <w:rPr>
        <w:rFonts w:hint="default"/>
      </w:rPr>
    </w:lvl>
    <w:lvl w:ilvl="3">
      <w:numFmt w:val="decimal"/>
      <w:isLgl/>
      <w:lvlText w:val="%1.%2.%3.%4"/>
      <w:lvlJc w:val="left"/>
      <w:pPr>
        <w:ind w:left="1440" w:hanging="1080"/>
      </w:pPr>
      <w:rPr>
        <w:rFonts w:hint="default"/>
      </w:rPr>
    </w:lvl>
    <w:lvl w:ilvl="4">
      <w:numFmt w:val="decimal"/>
      <w:isLgl/>
      <w:lvlText w:val="%1.%2.%3.%4.%5"/>
      <w:lvlJc w:val="left"/>
      <w:pPr>
        <w:ind w:left="1440" w:hanging="1080"/>
      </w:pPr>
      <w:rPr>
        <w:rFonts w:hint="default"/>
      </w:rPr>
    </w:lvl>
    <w:lvl w:ilvl="5">
      <w:numFmt w:val="decimal"/>
      <w:isLgl/>
      <w:lvlText w:val="%1.%2.%3.%4.%5.%6"/>
      <w:lvlJc w:val="left"/>
      <w:pPr>
        <w:ind w:left="1800" w:hanging="1440"/>
      </w:pPr>
      <w:rPr>
        <w:rFonts w:hint="default"/>
      </w:rPr>
    </w:lvl>
    <w:lvl w:ilvl="6">
      <w:numFmt w:val="decimal"/>
      <w:isLgl/>
      <w:lvlText w:val="%1.%2.%3.%4.%5.%6.%7"/>
      <w:lvlJc w:val="left"/>
      <w:pPr>
        <w:ind w:left="1800" w:hanging="1440"/>
      </w:pPr>
      <w:rPr>
        <w:rFonts w:hint="default"/>
      </w:rPr>
    </w:lvl>
    <w:lvl w:ilvl="7">
      <w:numFmt w:val="decimal"/>
      <w:isLgl/>
      <w:lvlText w:val="%1.%2.%3.%4.%5.%6.%7.%8"/>
      <w:lvlJc w:val="left"/>
      <w:pPr>
        <w:ind w:left="2160" w:hanging="1800"/>
      </w:pPr>
      <w:rPr>
        <w:rFonts w:hint="default"/>
      </w:rPr>
    </w:lvl>
    <w:lvl w:ilvl="8">
      <w:numFmt w:val="decimal"/>
      <w:isLgl/>
      <w:lvlText w:val="%1.%2.%3.%4.%5.%6.%7.%8.%9"/>
      <w:lvlJc w:val="left"/>
      <w:pPr>
        <w:ind w:left="2160" w:hanging="1800"/>
      </w:pPr>
      <w:rPr>
        <w:rFonts w:hint="default"/>
      </w:rPr>
    </w:lvl>
  </w:abstractNum>
  <w:abstractNum w:abstractNumId="11">
    <w:nsid w:val="2BB17321"/>
    <w:multiLevelType w:val="multilevel"/>
    <w:tmpl w:val="03A64652"/>
    <w:lvl w:ilvl="0">
      <w:start w:val="2"/>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1D443AB"/>
    <w:multiLevelType w:val="multilevel"/>
    <w:tmpl w:val="508222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33237EB9"/>
    <w:multiLevelType w:val="multilevel"/>
    <w:tmpl w:val="2404F068"/>
    <w:lvl w:ilvl="0">
      <w:start w:val="1"/>
      <w:numFmt w:val="upperRoman"/>
      <w:lvlText w:val="%1."/>
      <w:lvlJc w:val="left"/>
      <w:pPr>
        <w:ind w:left="1080" w:hanging="720"/>
      </w:pPr>
      <w:rPr>
        <w:rFonts w:hint="default"/>
      </w:rPr>
    </w:lvl>
    <w:lvl w:ilvl="1">
      <w:start w:val="1"/>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4">
    <w:nsid w:val="354B3255"/>
    <w:multiLevelType w:val="multilevel"/>
    <w:tmpl w:val="879A92F0"/>
    <w:lvl w:ilvl="0">
      <w:start w:val="3"/>
      <w:numFmt w:val="upperRoman"/>
      <w:lvlText w:val="%1."/>
      <w:lvlJc w:val="left"/>
      <w:pPr>
        <w:ind w:left="1080" w:hanging="720"/>
      </w:pPr>
      <w:rPr>
        <w:rFonts w:hint="default"/>
      </w:rPr>
    </w:lvl>
    <w:lvl w:ilvl="1">
      <w:start w:val="1"/>
      <w:numFmt w:val="decimal"/>
      <w:pStyle w:val="Titulo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3A9365C0"/>
    <w:multiLevelType w:val="hybridMultilevel"/>
    <w:tmpl w:val="49D01BD6"/>
    <w:lvl w:ilvl="0" w:tplc="A75AA11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CB51AEE"/>
    <w:multiLevelType w:val="multilevel"/>
    <w:tmpl w:val="AA7A738E"/>
    <w:lvl w:ilvl="0">
      <w:start w:val="2"/>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F043B84"/>
    <w:multiLevelType w:val="multilevel"/>
    <w:tmpl w:val="10F84060"/>
    <w:lvl w:ilvl="0">
      <w:start w:val="1"/>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18">
    <w:nsid w:val="4005473A"/>
    <w:multiLevelType w:val="multilevel"/>
    <w:tmpl w:val="CCE870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4047317C"/>
    <w:multiLevelType w:val="multilevel"/>
    <w:tmpl w:val="DF5C7A1A"/>
    <w:lvl w:ilvl="0">
      <w:start w:val="1"/>
      <w:numFmt w:val="upperRoman"/>
      <w:lvlText w:val="%1."/>
      <w:lvlJc w:val="left"/>
      <w:pPr>
        <w:ind w:left="1080" w:hanging="720"/>
      </w:pPr>
      <w:rPr>
        <w:rFonts w:hint="default"/>
      </w:rPr>
    </w:lvl>
    <w:lvl w:ilvl="1">
      <w:start w:val="5"/>
      <w:numFmt w:val="none"/>
      <w:isLgl/>
      <w:lvlText w:val="5.1"/>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0">
    <w:nsid w:val="466E3D4A"/>
    <w:multiLevelType w:val="hybridMultilevel"/>
    <w:tmpl w:val="FA1E048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479A26B4"/>
    <w:multiLevelType w:val="multilevel"/>
    <w:tmpl w:val="E626CA24"/>
    <w:lvl w:ilvl="0">
      <w:start w:val="3"/>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2">
    <w:nsid w:val="4BA07118"/>
    <w:multiLevelType w:val="multilevel"/>
    <w:tmpl w:val="BA7A53B4"/>
    <w:lvl w:ilvl="0">
      <w:start w:val="2"/>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3"/>
      <w:numFmt w:val="decimal"/>
      <w:isLgl/>
      <w:lvlText w:val="%2%1..%3"/>
      <w:lvlJc w:val="left"/>
      <w:pPr>
        <w:ind w:left="1080" w:hanging="720"/>
      </w:pPr>
      <w:rPr>
        <w:rFonts w:hint="default"/>
      </w:rPr>
    </w:lvl>
    <w:lvl w:ilvl="3">
      <w:numFmt w:val="decimal"/>
      <w:isLgl/>
      <w:lvlText w:val="%1.%2.%3.%4"/>
      <w:lvlJc w:val="left"/>
      <w:pPr>
        <w:ind w:left="1440" w:hanging="1080"/>
      </w:pPr>
      <w:rPr>
        <w:rFonts w:hint="default"/>
      </w:rPr>
    </w:lvl>
    <w:lvl w:ilvl="4">
      <w:numFmt w:val="decimal"/>
      <w:isLgl/>
      <w:lvlText w:val="%1.%2.%3.%4.%5"/>
      <w:lvlJc w:val="left"/>
      <w:pPr>
        <w:ind w:left="1440" w:hanging="1080"/>
      </w:pPr>
      <w:rPr>
        <w:rFonts w:hint="default"/>
      </w:rPr>
    </w:lvl>
    <w:lvl w:ilvl="5">
      <w:numFmt w:val="decimal"/>
      <w:isLgl/>
      <w:lvlText w:val="%1.%2.%3.%4.%5.%6"/>
      <w:lvlJc w:val="left"/>
      <w:pPr>
        <w:ind w:left="1800" w:hanging="1440"/>
      </w:pPr>
      <w:rPr>
        <w:rFonts w:hint="default"/>
      </w:rPr>
    </w:lvl>
    <w:lvl w:ilvl="6">
      <w:numFmt w:val="decimal"/>
      <w:isLgl/>
      <w:lvlText w:val="%1.%2.%3.%4.%5.%6.%7"/>
      <w:lvlJc w:val="left"/>
      <w:pPr>
        <w:ind w:left="1800" w:hanging="1440"/>
      </w:pPr>
      <w:rPr>
        <w:rFonts w:hint="default"/>
      </w:rPr>
    </w:lvl>
    <w:lvl w:ilvl="7">
      <w:numFmt w:val="decimal"/>
      <w:isLgl/>
      <w:lvlText w:val="%1.%2.%3.%4.%5.%6.%7.%8"/>
      <w:lvlJc w:val="left"/>
      <w:pPr>
        <w:ind w:left="2160" w:hanging="1800"/>
      </w:pPr>
      <w:rPr>
        <w:rFonts w:hint="default"/>
      </w:rPr>
    </w:lvl>
    <w:lvl w:ilvl="8">
      <w:numFmt w:val="decimal"/>
      <w:isLgl/>
      <w:lvlText w:val="%1.%2.%3.%4.%5.%6.%7.%8.%9"/>
      <w:lvlJc w:val="left"/>
      <w:pPr>
        <w:ind w:left="2160" w:hanging="1800"/>
      </w:pPr>
      <w:rPr>
        <w:rFonts w:hint="default"/>
      </w:rPr>
    </w:lvl>
  </w:abstractNum>
  <w:abstractNum w:abstractNumId="23">
    <w:nsid w:val="516D11E4"/>
    <w:multiLevelType w:val="multilevel"/>
    <w:tmpl w:val="079EA238"/>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53436577"/>
    <w:multiLevelType w:val="multilevel"/>
    <w:tmpl w:val="CCE870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53BB70A0"/>
    <w:multiLevelType w:val="multilevel"/>
    <w:tmpl w:val="42C4A884"/>
    <w:lvl w:ilvl="0">
      <w:start w:val="1"/>
      <w:numFmt w:val="none"/>
      <w:lvlText w:val="V"/>
      <w:lvlJc w:val="left"/>
      <w:pPr>
        <w:ind w:left="1080" w:hanging="720"/>
      </w:pPr>
      <w:rPr>
        <w:rFonts w:hint="default"/>
      </w:rPr>
    </w:lvl>
    <w:lvl w:ilvl="1">
      <w:start w:val="5"/>
      <w:numFmt w:val="none"/>
      <w:isLgl/>
      <w:lvlText w:val="5.1"/>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6">
    <w:nsid w:val="57477FDC"/>
    <w:multiLevelType w:val="multilevel"/>
    <w:tmpl w:val="23BC3EAC"/>
    <w:lvl w:ilvl="0">
      <w:start w:val="1"/>
      <w:numFmt w:val="none"/>
      <w:lvlText w:val="V."/>
      <w:lvlJc w:val="left"/>
      <w:pPr>
        <w:ind w:left="1080" w:hanging="720"/>
      </w:pPr>
      <w:rPr>
        <w:rFonts w:hint="default"/>
      </w:rPr>
    </w:lvl>
    <w:lvl w:ilvl="1">
      <w:start w:val="5"/>
      <w:numFmt w:val="none"/>
      <w:isLgl/>
      <w:lvlText w:val="5.1"/>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7">
    <w:nsid w:val="5B2B510A"/>
    <w:multiLevelType w:val="multilevel"/>
    <w:tmpl w:val="E47289D6"/>
    <w:lvl w:ilvl="0">
      <w:start w:val="1"/>
      <w:numFmt w:val="upperRoman"/>
      <w:lvlText w:val="%1."/>
      <w:lvlJc w:val="left"/>
      <w:pPr>
        <w:ind w:left="1080" w:hanging="720"/>
      </w:pPr>
      <w:rPr>
        <w:rFonts w:hint="default"/>
      </w:rPr>
    </w:lvl>
    <w:lvl w:ilvl="1">
      <w:start w:val="5"/>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8">
    <w:nsid w:val="5D2B7D2B"/>
    <w:multiLevelType w:val="multilevel"/>
    <w:tmpl w:val="D9902CB2"/>
    <w:lvl w:ilvl="0">
      <w:start w:val="1"/>
      <w:numFmt w:val="decimal"/>
      <w:pStyle w:val="T1Tese"/>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9">
    <w:nsid w:val="5FF33EB6"/>
    <w:multiLevelType w:val="multilevel"/>
    <w:tmpl w:val="CCE870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61E37FFC"/>
    <w:multiLevelType w:val="multilevel"/>
    <w:tmpl w:val="89DAECF6"/>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1">
    <w:nsid w:val="6400314A"/>
    <w:multiLevelType w:val="multilevel"/>
    <w:tmpl w:val="C7E641E2"/>
    <w:lvl w:ilvl="0">
      <w:start w:val="1"/>
      <w:numFmt w:val="decimal"/>
      <w:lvlText w:val="%1."/>
      <w:lvlJc w:val="left"/>
      <w:pPr>
        <w:ind w:left="720" w:hanging="360"/>
      </w:pPr>
      <w:rPr>
        <w:rFonts w:hint="default"/>
      </w:rPr>
    </w:lvl>
    <w:lvl w:ilvl="1">
      <w:start w:val="1"/>
      <w:numFmt w:val="none"/>
      <w:isLgl/>
      <w:lvlText w:val="5.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nsid w:val="65331033"/>
    <w:multiLevelType w:val="hybridMultilevel"/>
    <w:tmpl w:val="ABB24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3C43DB"/>
    <w:multiLevelType w:val="multilevel"/>
    <w:tmpl w:val="BB4CD7E0"/>
    <w:lvl w:ilvl="0">
      <w:start w:val="5"/>
      <w:numFmt w:val="decimal"/>
      <w:lvlText w:val="%1"/>
      <w:lvlJc w:val="left"/>
      <w:pPr>
        <w:ind w:left="360" w:hanging="360"/>
      </w:pPr>
      <w:rPr>
        <w:rFonts w:hint="default"/>
      </w:rPr>
    </w:lvl>
    <w:lvl w:ilvl="1">
      <w:start w:val="2"/>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34">
    <w:nsid w:val="685137E9"/>
    <w:multiLevelType w:val="hybridMultilevel"/>
    <w:tmpl w:val="2EC814E4"/>
    <w:lvl w:ilvl="0" w:tplc="F8F0CCEC">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8545D6"/>
    <w:multiLevelType w:val="multilevel"/>
    <w:tmpl w:val="CCE870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7A957875"/>
    <w:multiLevelType w:val="hybridMultilevel"/>
    <w:tmpl w:val="4DC014C2"/>
    <w:lvl w:ilvl="0" w:tplc="2D8CB0E8">
      <w:start w:val="4"/>
      <w:numFmt w:val="bullet"/>
      <w:lvlText w:val="-"/>
      <w:lvlJc w:val="left"/>
      <w:pPr>
        <w:ind w:left="2188" w:hanging="1180"/>
      </w:pPr>
      <w:rPr>
        <w:rFonts w:ascii="Times" w:eastAsiaTheme="minorEastAsia" w:hAnsi="Times" w:cs="Aria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7">
    <w:nsid w:val="7B665541"/>
    <w:multiLevelType w:val="hybridMultilevel"/>
    <w:tmpl w:val="022A63A2"/>
    <w:lvl w:ilvl="0" w:tplc="B71893DC">
      <w:start w:val="18"/>
      <w:numFmt w:val="bullet"/>
      <w:lvlText w:val="-"/>
      <w:lvlJc w:val="left"/>
      <w:pPr>
        <w:ind w:left="720" w:hanging="360"/>
      </w:pPr>
      <w:rPr>
        <w:rFonts w:ascii="Calibri" w:eastAsiaTheme="minorHAnsi"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7"/>
  </w:num>
  <w:num w:numId="4">
    <w:abstractNumId w:val="32"/>
  </w:num>
  <w:num w:numId="5">
    <w:abstractNumId w:val="28"/>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4"/>
  </w:num>
  <w:num w:numId="9">
    <w:abstractNumId w:val="7"/>
  </w:num>
  <w:num w:numId="10">
    <w:abstractNumId w:val="11"/>
  </w:num>
  <w:num w:numId="11">
    <w:abstractNumId w:val="23"/>
  </w:num>
  <w:num w:numId="12">
    <w:abstractNumId w:val="16"/>
  </w:num>
  <w:num w:numId="13">
    <w:abstractNumId w:val="29"/>
  </w:num>
  <w:num w:numId="14">
    <w:abstractNumId w:val="5"/>
  </w:num>
  <w:num w:numId="15">
    <w:abstractNumId w:val="12"/>
  </w:num>
  <w:num w:numId="16">
    <w:abstractNumId w:val="13"/>
  </w:num>
  <w:num w:numId="17">
    <w:abstractNumId w:val="27"/>
  </w:num>
  <w:num w:numId="18">
    <w:abstractNumId w:val="19"/>
  </w:num>
  <w:num w:numId="19">
    <w:abstractNumId w:val="25"/>
  </w:num>
  <w:num w:numId="20">
    <w:abstractNumId w:val="35"/>
  </w:num>
  <w:num w:numId="21">
    <w:abstractNumId w:val="31"/>
  </w:num>
  <w:num w:numId="22">
    <w:abstractNumId w:val="21"/>
  </w:num>
  <w:num w:numId="23">
    <w:abstractNumId w:val="33"/>
  </w:num>
  <w:num w:numId="24">
    <w:abstractNumId w:val="14"/>
  </w:num>
  <w:num w:numId="25">
    <w:abstractNumId w:val="26"/>
  </w:num>
  <w:num w:numId="26">
    <w:abstractNumId w:val="24"/>
  </w:num>
  <w:num w:numId="27">
    <w:abstractNumId w:val="4"/>
  </w:num>
  <w:num w:numId="28">
    <w:abstractNumId w:val="10"/>
    <w:lvlOverride w:ilvl="0">
      <w:startOverride w:val="2"/>
    </w:lvlOverride>
    <w:lvlOverride w:ilvl="1">
      <w:startOverride w:val="2"/>
    </w:lvlOverride>
    <w:lvlOverride w:ilvl="2">
      <w:startOverride w:val="3"/>
    </w:lvlOverride>
  </w:num>
  <w:num w:numId="29">
    <w:abstractNumId w:val="10"/>
    <w:lvlOverride w:ilvl="0">
      <w:startOverride w:val="2"/>
    </w:lvlOverride>
    <w:lvlOverride w:ilvl="1">
      <w:startOverride w:val="2"/>
    </w:lvlOverride>
    <w:lvlOverride w:ilvl="2">
      <w:startOverride w:val="3"/>
    </w:lvlOverride>
  </w:num>
  <w:num w:numId="30">
    <w:abstractNumId w:val="18"/>
  </w:num>
  <w:num w:numId="31">
    <w:abstractNumId w:val="30"/>
  </w:num>
  <w:num w:numId="32">
    <w:abstractNumId w:val="6"/>
  </w:num>
  <w:num w:numId="33">
    <w:abstractNumId w:val="8"/>
  </w:num>
  <w:num w:numId="34">
    <w:abstractNumId w:val="22"/>
  </w:num>
  <w:num w:numId="35">
    <w:abstractNumId w:val="9"/>
  </w:num>
  <w:num w:numId="36">
    <w:abstractNumId w:val="17"/>
  </w:num>
  <w:num w:numId="37">
    <w:abstractNumId w:val="2"/>
  </w:num>
  <w:num w:numId="38">
    <w:abstractNumId w:val="36"/>
  </w:num>
  <w:num w:numId="39">
    <w:abstractNumId w:val="15"/>
  </w:num>
  <w:num w:numId="40">
    <w:abstractNumId w:val="0"/>
  </w:num>
  <w:num w:numId="41">
    <w:abstractNumId w:val="28"/>
    <w:lvlOverride w:ilvl="0">
      <w:startOverride w:val="4"/>
    </w:lvlOverride>
  </w:num>
  <w:num w:numId="42">
    <w:abstractNumId w:val="28"/>
  </w:num>
  <w:num w:numId="43">
    <w:abstractNumId w:val="3"/>
  </w:num>
  <w:num w:numId="44">
    <w:abstractNumId w:val="28"/>
  </w:num>
  <w:num w:numId="45">
    <w:abstractNumId w:val="28"/>
    <w:lvlOverride w:ilvl="0">
      <w:startOverride w:val="4"/>
    </w:lvlOverride>
  </w:num>
  <w:num w:numId="46">
    <w:abstractNumId w:val="28"/>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222"/>
    <w:rsid w:val="000006C2"/>
    <w:rsid w:val="00020B7A"/>
    <w:rsid w:val="00042268"/>
    <w:rsid w:val="00047ADA"/>
    <w:rsid w:val="00091D6F"/>
    <w:rsid w:val="00094421"/>
    <w:rsid w:val="000971E9"/>
    <w:rsid w:val="000A77B6"/>
    <w:rsid w:val="000B2865"/>
    <w:rsid w:val="000C5259"/>
    <w:rsid w:val="000D5DDB"/>
    <w:rsid w:val="000E4EF5"/>
    <w:rsid w:val="000E692F"/>
    <w:rsid w:val="000F57BB"/>
    <w:rsid w:val="00105B2E"/>
    <w:rsid w:val="00105EB7"/>
    <w:rsid w:val="001201DC"/>
    <w:rsid w:val="00121F88"/>
    <w:rsid w:val="00122D1C"/>
    <w:rsid w:val="001269D3"/>
    <w:rsid w:val="0013141A"/>
    <w:rsid w:val="00155A99"/>
    <w:rsid w:val="00183536"/>
    <w:rsid w:val="00193321"/>
    <w:rsid w:val="001A2C40"/>
    <w:rsid w:val="001B26CF"/>
    <w:rsid w:val="001C34A8"/>
    <w:rsid w:val="001F0817"/>
    <w:rsid w:val="001F7808"/>
    <w:rsid w:val="00201549"/>
    <w:rsid w:val="0021722C"/>
    <w:rsid w:val="00231F38"/>
    <w:rsid w:val="002426F6"/>
    <w:rsid w:val="002779FB"/>
    <w:rsid w:val="002A43F2"/>
    <w:rsid w:val="002A7279"/>
    <w:rsid w:val="002B00F9"/>
    <w:rsid w:val="002B5583"/>
    <w:rsid w:val="002C13FE"/>
    <w:rsid w:val="002F09FA"/>
    <w:rsid w:val="002F7FFE"/>
    <w:rsid w:val="00301238"/>
    <w:rsid w:val="00314A2A"/>
    <w:rsid w:val="00321247"/>
    <w:rsid w:val="00321B96"/>
    <w:rsid w:val="003242EB"/>
    <w:rsid w:val="00345601"/>
    <w:rsid w:val="00354F0B"/>
    <w:rsid w:val="00376006"/>
    <w:rsid w:val="00387683"/>
    <w:rsid w:val="00391935"/>
    <w:rsid w:val="003A5A14"/>
    <w:rsid w:val="003C7842"/>
    <w:rsid w:val="003D0EF2"/>
    <w:rsid w:val="003E1434"/>
    <w:rsid w:val="0041076F"/>
    <w:rsid w:val="00412867"/>
    <w:rsid w:val="004157AC"/>
    <w:rsid w:val="00417D75"/>
    <w:rsid w:val="004400B5"/>
    <w:rsid w:val="00462954"/>
    <w:rsid w:val="004840F1"/>
    <w:rsid w:val="00493850"/>
    <w:rsid w:val="004A068B"/>
    <w:rsid w:val="004A2761"/>
    <w:rsid w:val="004F0041"/>
    <w:rsid w:val="004F5791"/>
    <w:rsid w:val="004F7901"/>
    <w:rsid w:val="005008E5"/>
    <w:rsid w:val="00501785"/>
    <w:rsid w:val="005029F1"/>
    <w:rsid w:val="0050377A"/>
    <w:rsid w:val="00505618"/>
    <w:rsid w:val="00505757"/>
    <w:rsid w:val="00521214"/>
    <w:rsid w:val="00531430"/>
    <w:rsid w:val="00554596"/>
    <w:rsid w:val="005546EF"/>
    <w:rsid w:val="00561550"/>
    <w:rsid w:val="005751F5"/>
    <w:rsid w:val="00583BCD"/>
    <w:rsid w:val="0059675A"/>
    <w:rsid w:val="005B5804"/>
    <w:rsid w:val="005B6666"/>
    <w:rsid w:val="005B6699"/>
    <w:rsid w:val="005C6A6D"/>
    <w:rsid w:val="005E02A4"/>
    <w:rsid w:val="005F0446"/>
    <w:rsid w:val="005F7C0C"/>
    <w:rsid w:val="00607E19"/>
    <w:rsid w:val="00624AC1"/>
    <w:rsid w:val="00635CEA"/>
    <w:rsid w:val="00680B95"/>
    <w:rsid w:val="0068400F"/>
    <w:rsid w:val="006913BA"/>
    <w:rsid w:val="006A1931"/>
    <w:rsid w:val="006A718E"/>
    <w:rsid w:val="006B1A26"/>
    <w:rsid w:val="006D64E4"/>
    <w:rsid w:val="00700D27"/>
    <w:rsid w:val="00707B6F"/>
    <w:rsid w:val="00733E25"/>
    <w:rsid w:val="007367F4"/>
    <w:rsid w:val="00786B3F"/>
    <w:rsid w:val="007929A2"/>
    <w:rsid w:val="007B380F"/>
    <w:rsid w:val="007B72E7"/>
    <w:rsid w:val="007D36D0"/>
    <w:rsid w:val="007E2222"/>
    <w:rsid w:val="0080192C"/>
    <w:rsid w:val="00812469"/>
    <w:rsid w:val="00824A52"/>
    <w:rsid w:val="00845104"/>
    <w:rsid w:val="00883F78"/>
    <w:rsid w:val="008A2512"/>
    <w:rsid w:val="008C2523"/>
    <w:rsid w:val="008D44EE"/>
    <w:rsid w:val="00904392"/>
    <w:rsid w:val="009415EF"/>
    <w:rsid w:val="00951946"/>
    <w:rsid w:val="00953952"/>
    <w:rsid w:val="00955F96"/>
    <w:rsid w:val="00960ED4"/>
    <w:rsid w:val="009C35F8"/>
    <w:rsid w:val="009E012D"/>
    <w:rsid w:val="009E15AA"/>
    <w:rsid w:val="009F1CF9"/>
    <w:rsid w:val="00A00485"/>
    <w:rsid w:val="00A03006"/>
    <w:rsid w:val="00A048F5"/>
    <w:rsid w:val="00A10C44"/>
    <w:rsid w:val="00A10E8F"/>
    <w:rsid w:val="00A22D4A"/>
    <w:rsid w:val="00A23D16"/>
    <w:rsid w:val="00A36AB0"/>
    <w:rsid w:val="00A37384"/>
    <w:rsid w:val="00A51DCC"/>
    <w:rsid w:val="00A6716F"/>
    <w:rsid w:val="00A72E34"/>
    <w:rsid w:val="00A7356B"/>
    <w:rsid w:val="00A8392D"/>
    <w:rsid w:val="00A86A86"/>
    <w:rsid w:val="00A870CE"/>
    <w:rsid w:val="00AE41A0"/>
    <w:rsid w:val="00AE7C14"/>
    <w:rsid w:val="00B05514"/>
    <w:rsid w:val="00B107EE"/>
    <w:rsid w:val="00B14AE0"/>
    <w:rsid w:val="00B331B7"/>
    <w:rsid w:val="00B36698"/>
    <w:rsid w:val="00B4394C"/>
    <w:rsid w:val="00B644C9"/>
    <w:rsid w:val="00BA4DDE"/>
    <w:rsid w:val="00BB66FC"/>
    <w:rsid w:val="00BC44B4"/>
    <w:rsid w:val="00BD45F7"/>
    <w:rsid w:val="00BF27E3"/>
    <w:rsid w:val="00C434B9"/>
    <w:rsid w:val="00C43540"/>
    <w:rsid w:val="00C4521D"/>
    <w:rsid w:val="00C515C0"/>
    <w:rsid w:val="00C55C55"/>
    <w:rsid w:val="00C57841"/>
    <w:rsid w:val="00C61C04"/>
    <w:rsid w:val="00CB1637"/>
    <w:rsid w:val="00CD3C70"/>
    <w:rsid w:val="00CE7328"/>
    <w:rsid w:val="00D30D82"/>
    <w:rsid w:val="00D71D39"/>
    <w:rsid w:val="00D73118"/>
    <w:rsid w:val="00DA1BC1"/>
    <w:rsid w:val="00DC1840"/>
    <w:rsid w:val="00DC3D56"/>
    <w:rsid w:val="00DC62A5"/>
    <w:rsid w:val="00DD3152"/>
    <w:rsid w:val="00E05108"/>
    <w:rsid w:val="00E057CC"/>
    <w:rsid w:val="00E1137D"/>
    <w:rsid w:val="00E36926"/>
    <w:rsid w:val="00E52960"/>
    <w:rsid w:val="00E74764"/>
    <w:rsid w:val="00E91918"/>
    <w:rsid w:val="00E95DD4"/>
    <w:rsid w:val="00EA1C57"/>
    <w:rsid w:val="00ED0ACC"/>
    <w:rsid w:val="00F11BC7"/>
    <w:rsid w:val="00F15E58"/>
    <w:rsid w:val="00F17058"/>
    <w:rsid w:val="00F35B23"/>
    <w:rsid w:val="00F51CB0"/>
    <w:rsid w:val="00F600F1"/>
    <w:rsid w:val="00F75D52"/>
    <w:rsid w:val="00F913D7"/>
    <w:rsid w:val="00FA5170"/>
    <w:rsid w:val="00FB660D"/>
    <w:rsid w:val="00FD5A10"/>
    <w:rsid w:val="00FE04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C72E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paragraph" w:styleId="Heading1">
    <w:name w:val="heading 1"/>
    <w:basedOn w:val="Normal"/>
    <w:next w:val="Normal"/>
    <w:link w:val="Heading1Char"/>
    <w:uiPriority w:val="9"/>
    <w:qFormat/>
    <w:rsid w:val="000E4EF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EF5"/>
    <w:rPr>
      <w:rFonts w:asciiTheme="majorHAnsi" w:eastAsiaTheme="majorEastAsia" w:hAnsiTheme="majorHAnsi" w:cstheme="majorBidi"/>
      <w:b/>
      <w:bCs/>
      <w:color w:val="345A8A" w:themeColor="accent1" w:themeShade="B5"/>
      <w:sz w:val="32"/>
      <w:szCs w:val="32"/>
      <w:lang w:val="pt-BR"/>
    </w:rPr>
  </w:style>
  <w:style w:type="paragraph" w:customStyle="1" w:styleId="title1-d">
    <w:name w:val="title1-d"/>
    <w:basedOn w:val="Normal"/>
    <w:qFormat/>
    <w:rsid w:val="00A86A86"/>
    <w:pPr>
      <w:numPr>
        <w:numId w:val="1"/>
      </w:numPr>
      <w:spacing w:before="120" w:line="360" w:lineRule="auto"/>
      <w:ind w:left="1077"/>
      <w:jc w:val="both"/>
    </w:pPr>
    <w:rPr>
      <w:rFonts w:ascii="Times" w:hAnsi="Times" w:cs="Arial"/>
      <w:b/>
      <w:bCs/>
      <w:smallCaps/>
      <w:sz w:val="28"/>
      <w:szCs w:val="28"/>
      <w:lang w:val="en-US"/>
    </w:rPr>
  </w:style>
  <w:style w:type="paragraph" w:customStyle="1" w:styleId="text-d">
    <w:name w:val="text-d"/>
    <w:basedOn w:val="Normal"/>
    <w:qFormat/>
    <w:rsid w:val="00CE73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1008"/>
      <w:jc w:val="both"/>
    </w:pPr>
    <w:rPr>
      <w:rFonts w:ascii="Times" w:hAnsi="Times" w:cs="Arial"/>
      <w:sz w:val="22"/>
      <w:lang w:val="en-US"/>
    </w:rPr>
  </w:style>
  <w:style w:type="paragraph" w:customStyle="1" w:styleId="Style1">
    <w:name w:val="Style1"/>
    <w:basedOn w:val="title1-d"/>
    <w:qFormat/>
    <w:rsid w:val="007E2222"/>
    <w:pPr>
      <w:numPr>
        <w:numId w:val="0"/>
      </w:numPr>
      <w:spacing w:before="0"/>
      <w:ind w:left="720"/>
      <w:jc w:val="center"/>
    </w:pPr>
    <w:rPr>
      <w:sz w:val="32"/>
      <w:szCs w:val="32"/>
    </w:rPr>
  </w:style>
  <w:style w:type="character" w:styleId="FootnoteReference">
    <w:name w:val="footnote reference"/>
    <w:basedOn w:val="DefaultParagraphFont"/>
    <w:uiPriority w:val="99"/>
    <w:unhideWhenUsed/>
    <w:rsid w:val="005F7C0C"/>
    <w:rPr>
      <w:vertAlign w:val="superscript"/>
    </w:rPr>
  </w:style>
  <w:style w:type="paragraph" w:customStyle="1" w:styleId="footnoted">
    <w:name w:val="footnote d"/>
    <w:basedOn w:val="FootnoteText"/>
    <w:link w:val="footnotedChar"/>
    <w:qFormat/>
    <w:rsid w:val="005F7C0C"/>
    <w:pPr>
      <w:jc w:val="both"/>
    </w:pPr>
    <w:rPr>
      <w:rFonts w:ascii="Times New Roman" w:eastAsiaTheme="minorHAnsi" w:hAnsi="Times New Roman" w:cs="Times New Roman"/>
      <w:sz w:val="20"/>
      <w:szCs w:val="20"/>
      <w:lang w:val="en-US"/>
    </w:rPr>
  </w:style>
  <w:style w:type="paragraph" w:styleId="FootnoteText">
    <w:name w:val="footnote text"/>
    <w:aliases w:val="FN"/>
    <w:basedOn w:val="Normal"/>
    <w:link w:val="FootnoteTextChar"/>
    <w:uiPriority w:val="99"/>
    <w:unhideWhenUsed/>
    <w:rsid w:val="005F7C0C"/>
  </w:style>
  <w:style w:type="character" w:customStyle="1" w:styleId="FootnoteTextChar">
    <w:name w:val="Footnote Text Char"/>
    <w:aliases w:val="FN Char"/>
    <w:basedOn w:val="DefaultParagraphFont"/>
    <w:link w:val="FootnoteText"/>
    <w:uiPriority w:val="99"/>
    <w:rsid w:val="005F7C0C"/>
    <w:rPr>
      <w:lang w:val="pt-BR"/>
    </w:rPr>
  </w:style>
  <w:style w:type="character" w:customStyle="1" w:styleId="footnotedChar">
    <w:name w:val="footnote d Char"/>
    <w:basedOn w:val="DefaultParagraphFont"/>
    <w:link w:val="footnoted"/>
    <w:rsid w:val="005F7C0C"/>
    <w:rPr>
      <w:rFonts w:ascii="Times New Roman" w:eastAsiaTheme="minorHAnsi" w:hAnsi="Times New Roman" w:cs="Times New Roman"/>
      <w:sz w:val="20"/>
      <w:szCs w:val="20"/>
    </w:rPr>
  </w:style>
  <w:style w:type="character" w:customStyle="1" w:styleId="CommentTextChar">
    <w:name w:val="Comment Text Char"/>
    <w:basedOn w:val="DefaultParagraphFont"/>
    <w:link w:val="CommentText"/>
    <w:uiPriority w:val="99"/>
    <w:semiHidden/>
    <w:rsid w:val="000E4EF5"/>
    <w:rPr>
      <w:lang w:val="pt-BR"/>
    </w:rPr>
  </w:style>
  <w:style w:type="paragraph" w:styleId="CommentText">
    <w:name w:val="annotation text"/>
    <w:basedOn w:val="Normal"/>
    <w:link w:val="CommentTextChar"/>
    <w:uiPriority w:val="99"/>
    <w:semiHidden/>
    <w:unhideWhenUsed/>
    <w:rsid w:val="000E4EF5"/>
  </w:style>
  <w:style w:type="character" w:customStyle="1" w:styleId="CommentSubjectChar">
    <w:name w:val="Comment Subject Char"/>
    <w:basedOn w:val="CommentTextChar"/>
    <w:link w:val="CommentSubject"/>
    <w:uiPriority w:val="99"/>
    <w:semiHidden/>
    <w:rsid w:val="000E4EF5"/>
    <w:rPr>
      <w:b/>
      <w:bCs/>
      <w:sz w:val="20"/>
      <w:szCs w:val="20"/>
      <w:lang w:val="pt-BR"/>
    </w:rPr>
  </w:style>
  <w:style w:type="paragraph" w:styleId="CommentSubject">
    <w:name w:val="annotation subject"/>
    <w:basedOn w:val="CommentText"/>
    <w:next w:val="CommentText"/>
    <w:link w:val="CommentSubjectChar"/>
    <w:uiPriority w:val="99"/>
    <w:semiHidden/>
    <w:unhideWhenUsed/>
    <w:rsid w:val="000E4EF5"/>
    <w:rPr>
      <w:b/>
      <w:bCs/>
      <w:sz w:val="20"/>
      <w:szCs w:val="20"/>
    </w:rPr>
  </w:style>
  <w:style w:type="paragraph" w:styleId="BalloonText">
    <w:name w:val="Balloon Text"/>
    <w:basedOn w:val="Normal"/>
    <w:link w:val="BalloonTextChar"/>
    <w:uiPriority w:val="99"/>
    <w:semiHidden/>
    <w:unhideWhenUsed/>
    <w:rsid w:val="000E4E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4EF5"/>
    <w:rPr>
      <w:rFonts w:ascii="Lucida Grande" w:hAnsi="Lucida Grande" w:cs="Lucida Grande"/>
      <w:sz w:val="18"/>
      <w:szCs w:val="18"/>
      <w:lang w:val="pt-BR"/>
    </w:rPr>
  </w:style>
  <w:style w:type="paragraph" w:customStyle="1" w:styleId="Texto-d">
    <w:name w:val="Texto-d"/>
    <w:basedOn w:val="Normal"/>
    <w:autoRedefine/>
    <w:qFormat/>
    <w:rsid w:val="00CE7328"/>
    <w:pPr>
      <w:spacing w:line="480" w:lineRule="auto"/>
      <w:ind w:firstLine="1008"/>
      <w:jc w:val="both"/>
    </w:pPr>
    <w:rPr>
      <w:rFonts w:ascii="Times" w:hAnsi="Times" w:cs="Arial"/>
      <w:sz w:val="22"/>
      <w:lang w:val="en-US"/>
    </w:rPr>
  </w:style>
  <w:style w:type="paragraph" w:customStyle="1" w:styleId="Titulo2">
    <w:name w:val="Titulo 2"/>
    <w:basedOn w:val="Normal"/>
    <w:qFormat/>
    <w:rsid w:val="00501785"/>
    <w:pPr>
      <w:numPr>
        <w:ilvl w:val="1"/>
        <w:numId w:val="24"/>
      </w:numPr>
      <w:spacing w:before="240" w:after="120" w:line="360" w:lineRule="auto"/>
      <w:ind w:left="714" w:hanging="357"/>
      <w:jc w:val="both"/>
    </w:pPr>
    <w:rPr>
      <w:rFonts w:ascii="Times" w:hAnsi="Times" w:cs="Arial"/>
      <w:b/>
      <w:lang w:val="en-US"/>
    </w:rPr>
  </w:style>
  <w:style w:type="paragraph" w:styleId="Caption">
    <w:name w:val="caption"/>
    <w:basedOn w:val="Normal"/>
    <w:next w:val="Normal"/>
    <w:unhideWhenUsed/>
    <w:qFormat/>
    <w:rsid w:val="000E4EF5"/>
    <w:pPr>
      <w:spacing w:before="240" w:after="240"/>
      <w:jc w:val="center"/>
    </w:pPr>
    <w:rPr>
      <w:rFonts w:ascii="Times" w:hAnsi="Times"/>
      <w:b/>
      <w:bCs/>
      <w:lang w:val="en-US"/>
    </w:rPr>
  </w:style>
  <w:style w:type="paragraph" w:styleId="PlainText">
    <w:name w:val="Plain Text"/>
    <w:basedOn w:val="Normal"/>
    <w:link w:val="PlainTextChar"/>
    <w:uiPriority w:val="99"/>
    <w:unhideWhenUsed/>
    <w:rsid w:val="000E4EF5"/>
    <w:rPr>
      <w:rFonts w:ascii="Courier" w:hAnsi="Courier"/>
      <w:sz w:val="21"/>
      <w:szCs w:val="21"/>
      <w:lang w:val="en-US"/>
    </w:rPr>
  </w:style>
  <w:style w:type="character" w:customStyle="1" w:styleId="PlainTextChar">
    <w:name w:val="Plain Text Char"/>
    <w:basedOn w:val="DefaultParagraphFont"/>
    <w:link w:val="PlainText"/>
    <w:uiPriority w:val="99"/>
    <w:rsid w:val="000E4EF5"/>
    <w:rPr>
      <w:rFonts w:ascii="Courier" w:hAnsi="Courier"/>
      <w:sz w:val="21"/>
      <w:szCs w:val="21"/>
    </w:rPr>
  </w:style>
  <w:style w:type="paragraph" w:customStyle="1" w:styleId="source">
    <w:name w:val="source"/>
    <w:basedOn w:val="Normal"/>
    <w:qFormat/>
    <w:rsid w:val="000E4EF5"/>
    <w:pPr>
      <w:spacing w:after="360"/>
      <w:ind w:right="1530"/>
      <w:jc w:val="both"/>
    </w:pPr>
    <w:rPr>
      <w:rFonts w:ascii="Times" w:hAnsi="Times" w:cs="Arial"/>
      <w:sz w:val="18"/>
      <w:szCs w:val="18"/>
      <w:lang w:val="en-US"/>
    </w:rPr>
  </w:style>
  <w:style w:type="paragraph" w:customStyle="1" w:styleId="Footnote">
    <w:name w:val="Footnote"/>
    <w:basedOn w:val="FootnoteText"/>
    <w:link w:val="FootnoteChar"/>
    <w:qFormat/>
    <w:rsid w:val="000E4EF5"/>
    <w:pPr>
      <w:jc w:val="both"/>
    </w:pPr>
    <w:rPr>
      <w:rFonts w:ascii="Times" w:hAnsi="Times"/>
      <w:sz w:val="20"/>
      <w:szCs w:val="20"/>
    </w:rPr>
  </w:style>
  <w:style w:type="character" w:customStyle="1" w:styleId="FootnoteChar">
    <w:name w:val="Footnote Char"/>
    <w:basedOn w:val="FootnoteTextChar"/>
    <w:link w:val="Footnote"/>
    <w:rsid w:val="000E4EF5"/>
    <w:rPr>
      <w:rFonts w:ascii="Times" w:hAnsi="Times"/>
      <w:sz w:val="20"/>
      <w:szCs w:val="20"/>
      <w:lang w:val="pt-BR"/>
    </w:rPr>
  </w:style>
  <w:style w:type="paragraph" w:styleId="ListParagraph">
    <w:name w:val="List Paragraph"/>
    <w:basedOn w:val="Normal"/>
    <w:uiPriority w:val="34"/>
    <w:qFormat/>
    <w:rsid w:val="000E4EF5"/>
    <w:pPr>
      <w:ind w:left="720"/>
      <w:contextualSpacing/>
      <w:jc w:val="both"/>
    </w:pPr>
    <w:rPr>
      <w:rFonts w:ascii="Times New Roman" w:eastAsiaTheme="minorHAnsi" w:hAnsi="Times New Roman" w:cs="Times New Roman"/>
      <w:szCs w:val="22"/>
      <w:lang w:val="en-US"/>
    </w:rPr>
  </w:style>
  <w:style w:type="paragraph" w:customStyle="1" w:styleId="RodapeICABR">
    <w:name w:val="Roda pe ICABR"/>
    <w:basedOn w:val="FootnoteText"/>
    <w:link w:val="RodapeICABRChar"/>
    <w:qFormat/>
    <w:rsid w:val="000E4EF5"/>
    <w:pPr>
      <w:jc w:val="both"/>
    </w:pPr>
    <w:rPr>
      <w:rFonts w:ascii="Times New Roman" w:eastAsiaTheme="minorHAnsi" w:hAnsi="Times New Roman" w:cs="Times New Roman"/>
      <w:sz w:val="20"/>
      <w:szCs w:val="20"/>
    </w:rPr>
  </w:style>
  <w:style w:type="character" w:customStyle="1" w:styleId="RodapeICABRChar">
    <w:name w:val="Roda pe ICABR Char"/>
    <w:basedOn w:val="FootnoteTextChar"/>
    <w:link w:val="RodapeICABR"/>
    <w:rsid w:val="000E4EF5"/>
    <w:rPr>
      <w:rFonts w:ascii="Times New Roman" w:eastAsiaTheme="minorHAnsi" w:hAnsi="Times New Roman" w:cs="Times New Roman"/>
      <w:sz w:val="20"/>
      <w:szCs w:val="20"/>
      <w:lang w:val="pt-BR"/>
    </w:rPr>
  </w:style>
  <w:style w:type="paragraph" w:customStyle="1" w:styleId="title2di">
    <w:name w:val="title 2 di"/>
    <w:basedOn w:val="Texto-d"/>
    <w:qFormat/>
    <w:rsid w:val="000E4EF5"/>
    <w:pPr>
      <w:numPr>
        <w:ilvl w:val="2"/>
        <w:numId w:val="2"/>
      </w:numPr>
    </w:pPr>
    <w:rPr>
      <w:b/>
    </w:rPr>
  </w:style>
  <w:style w:type="table" w:styleId="TableGrid">
    <w:name w:val="Table Grid"/>
    <w:basedOn w:val="TableNormal"/>
    <w:uiPriority w:val="59"/>
    <w:rsid w:val="000E4E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1Tese">
    <w:name w:val="T 1 Tese"/>
    <w:basedOn w:val="ListParagraph"/>
    <w:qFormat/>
    <w:rsid w:val="00A72E34"/>
    <w:pPr>
      <w:numPr>
        <w:numId w:val="5"/>
      </w:numPr>
      <w:spacing w:before="240" w:line="360" w:lineRule="auto"/>
      <w:ind w:left="1434" w:hanging="357"/>
    </w:pPr>
    <w:rPr>
      <w:b/>
      <w:smallCaps/>
      <w:sz w:val="28"/>
      <w:szCs w:val="28"/>
      <w:lang w:val="pt-BR"/>
    </w:rPr>
  </w:style>
  <w:style w:type="paragraph" w:customStyle="1" w:styleId="RodapD">
    <w:name w:val="Rodapé D"/>
    <w:basedOn w:val="FootnoteText"/>
    <w:link w:val="RodapDChar"/>
    <w:autoRedefine/>
    <w:qFormat/>
    <w:rsid w:val="000E4EF5"/>
    <w:pPr>
      <w:ind w:firstLine="709"/>
      <w:jc w:val="both"/>
    </w:pPr>
    <w:rPr>
      <w:rFonts w:ascii="Times New Roman" w:eastAsiaTheme="minorHAnsi" w:hAnsi="Times New Roman" w:cs="Times New Roman"/>
      <w:sz w:val="18"/>
      <w:szCs w:val="18"/>
    </w:rPr>
  </w:style>
  <w:style w:type="character" w:customStyle="1" w:styleId="RodapDChar">
    <w:name w:val="Rodapé D Char"/>
    <w:basedOn w:val="FootnoteTextChar"/>
    <w:link w:val="RodapD"/>
    <w:rsid w:val="000E4EF5"/>
    <w:rPr>
      <w:rFonts w:ascii="Times New Roman" w:eastAsiaTheme="minorHAnsi" w:hAnsi="Times New Roman" w:cs="Times New Roman"/>
      <w:sz w:val="18"/>
      <w:szCs w:val="18"/>
      <w:lang w:val="pt-BR"/>
    </w:rPr>
  </w:style>
  <w:style w:type="paragraph" w:customStyle="1" w:styleId="T2Di">
    <w:name w:val="T 2 Di"/>
    <w:basedOn w:val="Normal"/>
    <w:link w:val="T2DiChar"/>
    <w:qFormat/>
    <w:rsid w:val="000E4EF5"/>
    <w:pPr>
      <w:spacing w:before="480" w:after="360" w:line="360" w:lineRule="auto"/>
      <w:ind w:firstLine="1134"/>
      <w:jc w:val="both"/>
    </w:pPr>
    <w:rPr>
      <w:rFonts w:ascii="Times New Roman" w:eastAsiaTheme="minorHAnsi" w:hAnsi="Times New Roman" w:cs="Times New Roman"/>
      <w:smallCaps/>
    </w:rPr>
  </w:style>
  <w:style w:type="character" w:customStyle="1" w:styleId="T2DiChar">
    <w:name w:val="T 2 Di Char"/>
    <w:basedOn w:val="DefaultParagraphFont"/>
    <w:link w:val="T2Di"/>
    <w:rsid w:val="000E4EF5"/>
    <w:rPr>
      <w:rFonts w:ascii="Times New Roman" w:eastAsiaTheme="minorHAnsi" w:hAnsi="Times New Roman" w:cs="Times New Roman"/>
      <w:smallCaps/>
      <w:lang w:val="pt-BR"/>
    </w:rPr>
  </w:style>
  <w:style w:type="paragraph" w:customStyle="1" w:styleId="Agroalimentaria-Texto">
    <w:name w:val="Agroalimentaria-Texto"/>
    <w:basedOn w:val="Normal"/>
    <w:link w:val="Agroalimentaria-TextoChar"/>
    <w:qFormat/>
    <w:rsid w:val="000E4EF5"/>
    <w:pPr>
      <w:spacing w:line="360" w:lineRule="auto"/>
      <w:jc w:val="both"/>
    </w:pPr>
    <w:rPr>
      <w:rFonts w:ascii="Times New Roman" w:eastAsiaTheme="minorHAnsi" w:hAnsi="Times New Roman" w:cs="Times New Roman"/>
      <w:lang w:val="en-US"/>
    </w:rPr>
  </w:style>
  <w:style w:type="character" w:customStyle="1" w:styleId="Agroalimentaria-TextoChar">
    <w:name w:val="Agroalimentaria-Texto Char"/>
    <w:basedOn w:val="DefaultParagraphFont"/>
    <w:link w:val="Agroalimentaria-Texto"/>
    <w:rsid w:val="000E4EF5"/>
    <w:rPr>
      <w:rFonts w:ascii="Times New Roman" w:eastAsiaTheme="minorHAnsi" w:hAnsi="Times New Roman" w:cs="Times New Roman"/>
    </w:rPr>
  </w:style>
  <w:style w:type="character" w:customStyle="1" w:styleId="apple-converted-space">
    <w:name w:val="apple-converted-space"/>
    <w:basedOn w:val="DefaultParagraphFont"/>
    <w:rsid w:val="000E4EF5"/>
  </w:style>
  <w:style w:type="paragraph" w:customStyle="1" w:styleId="ANPEC2013">
    <w:name w:val="ANPEC2013"/>
    <w:basedOn w:val="Normal"/>
    <w:link w:val="ANPEC2013Char"/>
    <w:autoRedefine/>
    <w:qFormat/>
    <w:rsid w:val="00BF27E3"/>
    <w:pPr>
      <w:tabs>
        <w:tab w:val="left" w:pos="9540"/>
      </w:tabs>
      <w:ind w:firstLine="1134"/>
      <w:jc w:val="both"/>
    </w:pPr>
    <w:rPr>
      <w:rFonts w:ascii="Times New Roman" w:eastAsiaTheme="minorHAnsi" w:hAnsi="Times New Roman" w:cs="Times New Roman"/>
      <w:szCs w:val="22"/>
      <w:lang w:val="en-US"/>
    </w:rPr>
  </w:style>
  <w:style w:type="character" w:customStyle="1" w:styleId="ANPEC2013Char">
    <w:name w:val="ANPEC2013 Char"/>
    <w:basedOn w:val="DefaultParagraphFont"/>
    <w:link w:val="ANPEC2013"/>
    <w:rsid w:val="00BF27E3"/>
    <w:rPr>
      <w:rFonts w:ascii="Times New Roman" w:eastAsiaTheme="minorHAnsi" w:hAnsi="Times New Roman" w:cs="Times New Roman"/>
      <w:szCs w:val="22"/>
    </w:rPr>
  </w:style>
  <w:style w:type="paragraph" w:customStyle="1" w:styleId="subtitutloIFAMA">
    <w:name w:val="subtitutloIFAMA"/>
    <w:basedOn w:val="Normal"/>
    <w:link w:val="subtitutloIFAMAChar"/>
    <w:qFormat/>
    <w:rsid w:val="000E4EF5"/>
    <w:pPr>
      <w:spacing w:before="360" w:after="120" w:line="480" w:lineRule="auto"/>
      <w:ind w:left="714" w:hanging="357"/>
    </w:pPr>
    <w:rPr>
      <w:rFonts w:ascii="Times New Roman" w:eastAsiaTheme="minorHAnsi" w:hAnsi="Times New Roman" w:cs="Times New Roman"/>
      <w:i/>
      <w:smallCaps/>
      <w:lang w:val="en-US"/>
    </w:rPr>
  </w:style>
  <w:style w:type="character" w:customStyle="1" w:styleId="subtitutloIFAMAChar">
    <w:name w:val="subtitutloIFAMA Char"/>
    <w:basedOn w:val="DefaultParagraphFont"/>
    <w:link w:val="subtitutloIFAMA"/>
    <w:rsid w:val="000E4EF5"/>
    <w:rPr>
      <w:rFonts w:ascii="Times New Roman" w:eastAsiaTheme="minorHAnsi" w:hAnsi="Times New Roman" w:cs="Times New Roman"/>
      <w:i/>
      <w:smallCaps/>
    </w:rPr>
  </w:style>
  <w:style w:type="paragraph" w:customStyle="1" w:styleId="Body">
    <w:name w:val="Body"/>
    <w:rsid w:val="000E4EF5"/>
    <w:pPr>
      <w:pBdr>
        <w:top w:val="nil"/>
        <w:left w:val="nil"/>
        <w:bottom w:val="nil"/>
        <w:right w:val="nil"/>
        <w:between w:val="nil"/>
        <w:bar w:val="nil"/>
      </w:pBdr>
    </w:pPr>
    <w:rPr>
      <w:rFonts w:ascii="Calibri" w:eastAsia="Calibri" w:hAnsi="Calibri" w:cs="Calibri"/>
      <w:color w:val="000000"/>
      <w:u w:color="000000"/>
      <w:bdr w:val="nil"/>
      <w:lang w:val="pt-PT"/>
    </w:rPr>
  </w:style>
  <w:style w:type="paragraph" w:customStyle="1" w:styleId="LegendaD">
    <w:name w:val="Legenda D"/>
    <w:link w:val="LegendaDChar"/>
    <w:qFormat/>
    <w:rsid w:val="000E4EF5"/>
    <w:pPr>
      <w:pBdr>
        <w:top w:val="nil"/>
        <w:left w:val="nil"/>
        <w:bottom w:val="nil"/>
        <w:right w:val="nil"/>
        <w:between w:val="nil"/>
        <w:bar w:val="nil"/>
      </w:pBdr>
      <w:spacing w:before="240" w:after="240" w:line="360" w:lineRule="auto"/>
      <w:jc w:val="center"/>
    </w:pPr>
    <w:rPr>
      <w:rFonts w:ascii="Arial" w:eastAsia="Arial" w:hAnsi="Arial" w:cs="Arial"/>
      <w:b/>
      <w:bCs/>
      <w:color w:val="000000"/>
      <w:sz w:val="20"/>
      <w:szCs w:val="20"/>
      <w:u w:color="000000"/>
      <w:bdr w:val="nil"/>
      <w:lang w:val="pt-PT"/>
    </w:rPr>
  </w:style>
  <w:style w:type="character" w:customStyle="1" w:styleId="LegendaDChar">
    <w:name w:val="Legenda D Char"/>
    <w:basedOn w:val="DefaultParagraphFont"/>
    <w:link w:val="LegendaD"/>
    <w:rsid w:val="000E4EF5"/>
    <w:rPr>
      <w:rFonts w:ascii="Arial" w:eastAsia="Arial" w:hAnsi="Arial" w:cs="Arial"/>
      <w:b/>
      <w:bCs/>
      <w:color w:val="000000"/>
      <w:sz w:val="20"/>
      <w:szCs w:val="20"/>
      <w:u w:color="000000"/>
      <w:bdr w:val="nil"/>
      <w:lang w:val="pt-PT"/>
    </w:rPr>
  </w:style>
  <w:style w:type="character" w:customStyle="1" w:styleId="Hyperlink0">
    <w:name w:val="Hyperlink.0"/>
    <w:basedOn w:val="apple-converted-space"/>
    <w:rsid w:val="000E4EF5"/>
    <w:rPr>
      <w:rFonts w:ascii="Arial" w:eastAsia="Arial" w:hAnsi="Arial" w:cs="Arial"/>
      <w:caps w:val="0"/>
      <w:smallCaps w:val="0"/>
      <w:strike w:val="0"/>
      <w:dstrike w:val="0"/>
      <w:outline w:val="0"/>
      <w:color w:val="000000"/>
      <w:spacing w:val="0"/>
      <w:kern w:val="0"/>
      <w:position w:val="0"/>
      <w:sz w:val="20"/>
      <w:szCs w:val="20"/>
      <w:u w:val="none" w:color="000000"/>
      <w:vertAlign w:val="baseline"/>
      <w:lang w:val="pt-PT"/>
    </w:rPr>
  </w:style>
  <w:style w:type="paragraph" w:customStyle="1" w:styleId="Fonte">
    <w:name w:val="Fonte"/>
    <w:link w:val="FonteChar"/>
    <w:qFormat/>
    <w:rsid w:val="000E4EF5"/>
    <w:pPr>
      <w:pBdr>
        <w:top w:val="nil"/>
        <w:left w:val="nil"/>
        <w:bottom w:val="nil"/>
        <w:right w:val="nil"/>
        <w:between w:val="nil"/>
        <w:bar w:val="nil"/>
      </w:pBdr>
      <w:spacing w:after="360"/>
      <w:ind w:left="709"/>
    </w:pPr>
    <w:rPr>
      <w:rFonts w:ascii="Times New Roman" w:eastAsia="Arial Unicode MS" w:hAnsi="Arial Unicode MS" w:cs="Arial Unicode MS"/>
      <w:color w:val="000000"/>
      <w:sz w:val="18"/>
      <w:szCs w:val="18"/>
      <w:u w:color="000000"/>
      <w:bdr w:val="nil"/>
      <w:lang w:val="pt-PT"/>
    </w:rPr>
  </w:style>
  <w:style w:type="character" w:customStyle="1" w:styleId="FonteChar">
    <w:name w:val="Fonte Char"/>
    <w:basedOn w:val="DefaultParagraphFont"/>
    <w:link w:val="Fonte"/>
    <w:rsid w:val="000E4EF5"/>
    <w:rPr>
      <w:rFonts w:ascii="Times New Roman" w:eastAsia="Arial Unicode MS" w:hAnsi="Arial Unicode MS" w:cs="Arial Unicode MS"/>
      <w:color w:val="000000"/>
      <w:sz w:val="18"/>
      <w:szCs w:val="18"/>
      <w:u w:color="000000"/>
      <w:bdr w:val="nil"/>
      <w:lang w:val="pt-PT"/>
    </w:rPr>
  </w:style>
  <w:style w:type="paragraph" w:customStyle="1" w:styleId="Default">
    <w:name w:val="Default"/>
    <w:rsid w:val="000E4EF5"/>
    <w:pPr>
      <w:pBdr>
        <w:top w:val="nil"/>
        <w:left w:val="nil"/>
        <w:bottom w:val="nil"/>
        <w:right w:val="nil"/>
        <w:between w:val="nil"/>
        <w:bar w:val="nil"/>
      </w:pBdr>
    </w:pPr>
    <w:rPr>
      <w:rFonts w:ascii="Helvetica" w:eastAsia="Helvetica" w:hAnsi="Helvetica" w:cs="Helvetica"/>
      <w:color w:val="000000"/>
      <w:sz w:val="22"/>
      <w:szCs w:val="22"/>
      <w:bdr w:val="nil"/>
    </w:rPr>
  </w:style>
  <w:style w:type="paragraph" w:customStyle="1" w:styleId="CitaoD">
    <w:name w:val="Citação D"/>
    <w:rsid w:val="000E4EF5"/>
    <w:pPr>
      <w:pBdr>
        <w:top w:val="nil"/>
        <w:left w:val="nil"/>
        <w:bottom w:val="nil"/>
        <w:right w:val="nil"/>
        <w:between w:val="nil"/>
        <w:bar w:val="nil"/>
      </w:pBdr>
      <w:spacing w:before="600" w:after="600"/>
      <w:ind w:left="2268"/>
      <w:jc w:val="both"/>
    </w:pPr>
    <w:rPr>
      <w:rFonts w:ascii="Times New Roman" w:eastAsia="Times New Roman" w:hAnsi="Times New Roman" w:cs="Times New Roman"/>
      <w:color w:val="000000"/>
      <w:sz w:val="20"/>
      <w:szCs w:val="20"/>
      <w:u w:color="000000"/>
      <w:bdr w:val="nil"/>
      <w:lang w:val="pt-PT"/>
    </w:rPr>
  </w:style>
  <w:style w:type="paragraph" w:customStyle="1" w:styleId="TituloI-monografia">
    <w:name w:val="Titulo I - monografia"/>
    <w:rsid w:val="000E4EF5"/>
    <w:pPr>
      <w:pBdr>
        <w:top w:val="nil"/>
        <w:left w:val="nil"/>
        <w:bottom w:val="nil"/>
        <w:right w:val="nil"/>
        <w:between w:val="nil"/>
        <w:bar w:val="nil"/>
      </w:pBdr>
      <w:spacing w:before="360" w:after="360"/>
      <w:ind w:left="142"/>
      <w:outlineLvl w:val="1"/>
    </w:pPr>
    <w:rPr>
      <w:rFonts w:ascii="Times New Roman" w:eastAsia="Times New Roman" w:hAnsi="Times New Roman" w:cs="Times New Roman"/>
      <w:b/>
      <w:bCs/>
      <w:color w:val="000000"/>
      <w:u w:color="000000"/>
      <w:bdr w:val="nil"/>
      <w:lang w:val="pt-PT"/>
    </w:rPr>
  </w:style>
  <w:style w:type="paragraph" w:customStyle="1" w:styleId="textomono">
    <w:name w:val="texto_mono"/>
    <w:rsid w:val="000E4EF5"/>
    <w:pPr>
      <w:pBdr>
        <w:top w:val="nil"/>
        <w:left w:val="nil"/>
        <w:bottom w:val="nil"/>
        <w:right w:val="nil"/>
        <w:between w:val="nil"/>
        <w:bar w:val="nil"/>
      </w:pBdr>
      <w:spacing w:line="360" w:lineRule="auto"/>
      <w:ind w:firstLine="1134"/>
      <w:jc w:val="both"/>
    </w:pPr>
    <w:rPr>
      <w:rFonts w:ascii="Arial" w:eastAsia="Arial Unicode MS" w:hAnsi="Arial Unicode MS" w:cs="Arial Unicode MS"/>
      <w:color w:val="000000"/>
      <w:u w:color="000000"/>
      <w:bdr w:val="nil"/>
      <w:lang w:val="pt-PT"/>
    </w:rPr>
  </w:style>
  <w:style w:type="paragraph" w:styleId="Footer">
    <w:name w:val="footer"/>
    <w:basedOn w:val="Normal"/>
    <w:link w:val="FooterChar"/>
    <w:uiPriority w:val="99"/>
    <w:unhideWhenUsed/>
    <w:rsid w:val="000E4EF5"/>
    <w:pPr>
      <w:tabs>
        <w:tab w:val="center" w:pos="4320"/>
        <w:tab w:val="right" w:pos="8640"/>
      </w:tabs>
    </w:pPr>
    <w:rPr>
      <w:lang w:val="en-US"/>
    </w:rPr>
  </w:style>
  <w:style w:type="character" w:customStyle="1" w:styleId="FooterChar">
    <w:name w:val="Footer Char"/>
    <w:basedOn w:val="DefaultParagraphFont"/>
    <w:link w:val="Footer"/>
    <w:uiPriority w:val="99"/>
    <w:rsid w:val="000E4EF5"/>
  </w:style>
  <w:style w:type="paragraph" w:styleId="Header">
    <w:name w:val="header"/>
    <w:basedOn w:val="Normal"/>
    <w:link w:val="HeaderChar"/>
    <w:uiPriority w:val="99"/>
    <w:unhideWhenUsed/>
    <w:rsid w:val="000E4EF5"/>
    <w:pPr>
      <w:tabs>
        <w:tab w:val="center" w:pos="4320"/>
        <w:tab w:val="right" w:pos="8640"/>
      </w:tabs>
    </w:pPr>
  </w:style>
  <w:style w:type="character" w:customStyle="1" w:styleId="HeaderChar">
    <w:name w:val="Header Char"/>
    <w:basedOn w:val="DefaultParagraphFont"/>
    <w:link w:val="Header"/>
    <w:uiPriority w:val="99"/>
    <w:rsid w:val="000E4EF5"/>
    <w:rPr>
      <w:lang w:val="pt-BR"/>
    </w:rPr>
  </w:style>
  <w:style w:type="paragraph" w:styleId="TOC1">
    <w:name w:val="toc 1"/>
    <w:basedOn w:val="Normal"/>
    <w:next w:val="Normal"/>
    <w:autoRedefine/>
    <w:uiPriority w:val="39"/>
    <w:unhideWhenUsed/>
    <w:rsid w:val="000E4EF5"/>
    <w:pPr>
      <w:spacing w:before="120"/>
    </w:pPr>
    <w:rPr>
      <w:b/>
    </w:rPr>
  </w:style>
  <w:style w:type="paragraph" w:styleId="TOC2">
    <w:name w:val="toc 2"/>
    <w:basedOn w:val="Normal"/>
    <w:next w:val="Normal"/>
    <w:autoRedefine/>
    <w:uiPriority w:val="39"/>
    <w:unhideWhenUsed/>
    <w:rsid w:val="000E4EF5"/>
    <w:pPr>
      <w:ind w:left="240"/>
    </w:pPr>
    <w:rPr>
      <w:b/>
      <w:sz w:val="22"/>
      <w:szCs w:val="22"/>
    </w:rPr>
  </w:style>
  <w:style w:type="paragraph" w:styleId="TOC3">
    <w:name w:val="toc 3"/>
    <w:basedOn w:val="Normal"/>
    <w:next w:val="Normal"/>
    <w:autoRedefine/>
    <w:uiPriority w:val="39"/>
    <w:unhideWhenUsed/>
    <w:rsid w:val="000E4EF5"/>
    <w:pPr>
      <w:ind w:left="480"/>
    </w:pPr>
    <w:rPr>
      <w:sz w:val="22"/>
      <w:szCs w:val="22"/>
    </w:rPr>
  </w:style>
  <w:style w:type="paragraph" w:styleId="TOC4">
    <w:name w:val="toc 4"/>
    <w:basedOn w:val="Normal"/>
    <w:next w:val="Normal"/>
    <w:autoRedefine/>
    <w:uiPriority w:val="39"/>
    <w:unhideWhenUsed/>
    <w:rsid w:val="000E4EF5"/>
    <w:pPr>
      <w:ind w:left="720"/>
    </w:pPr>
    <w:rPr>
      <w:sz w:val="20"/>
      <w:szCs w:val="20"/>
    </w:rPr>
  </w:style>
  <w:style w:type="paragraph" w:styleId="TOC5">
    <w:name w:val="toc 5"/>
    <w:basedOn w:val="Normal"/>
    <w:next w:val="Normal"/>
    <w:autoRedefine/>
    <w:uiPriority w:val="39"/>
    <w:unhideWhenUsed/>
    <w:rsid w:val="000E4EF5"/>
    <w:pPr>
      <w:ind w:left="960"/>
    </w:pPr>
    <w:rPr>
      <w:sz w:val="20"/>
      <w:szCs w:val="20"/>
    </w:rPr>
  </w:style>
  <w:style w:type="paragraph" w:styleId="TOC6">
    <w:name w:val="toc 6"/>
    <w:basedOn w:val="Normal"/>
    <w:next w:val="Normal"/>
    <w:autoRedefine/>
    <w:uiPriority w:val="39"/>
    <w:unhideWhenUsed/>
    <w:rsid w:val="000E4EF5"/>
    <w:pPr>
      <w:ind w:left="1200"/>
    </w:pPr>
    <w:rPr>
      <w:sz w:val="20"/>
      <w:szCs w:val="20"/>
    </w:rPr>
  </w:style>
  <w:style w:type="paragraph" w:styleId="TOC7">
    <w:name w:val="toc 7"/>
    <w:basedOn w:val="Normal"/>
    <w:next w:val="Normal"/>
    <w:autoRedefine/>
    <w:uiPriority w:val="39"/>
    <w:unhideWhenUsed/>
    <w:rsid w:val="000E4EF5"/>
    <w:pPr>
      <w:ind w:left="1440"/>
    </w:pPr>
    <w:rPr>
      <w:sz w:val="20"/>
      <w:szCs w:val="20"/>
    </w:rPr>
  </w:style>
  <w:style w:type="paragraph" w:styleId="TOC8">
    <w:name w:val="toc 8"/>
    <w:basedOn w:val="Normal"/>
    <w:next w:val="Normal"/>
    <w:autoRedefine/>
    <w:uiPriority w:val="39"/>
    <w:unhideWhenUsed/>
    <w:rsid w:val="000E4EF5"/>
    <w:pPr>
      <w:ind w:left="1680"/>
    </w:pPr>
    <w:rPr>
      <w:sz w:val="20"/>
      <w:szCs w:val="20"/>
    </w:rPr>
  </w:style>
  <w:style w:type="paragraph" w:styleId="TOC9">
    <w:name w:val="toc 9"/>
    <w:basedOn w:val="Normal"/>
    <w:next w:val="Normal"/>
    <w:autoRedefine/>
    <w:uiPriority w:val="39"/>
    <w:unhideWhenUsed/>
    <w:rsid w:val="000E4EF5"/>
    <w:pPr>
      <w:ind w:left="1920"/>
    </w:pPr>
    <w:rPr>
      <w:sz w:val="20"/>
      <w:szCs w:val="20"/>
    </w:rPr>
  </w:style>
  <w:style w:type="character" w:styleId="Emphasis">
    <w:name w:val="Emphasis"/>
    <w:basedOn w:val="DefaultParagraphFont"/>
    <w:uiPriority w:val="20"/>
    <w:qFormat/>
    <w:rsid w:val="000E4EF5"/>
    <w:rPr>
      <w:i/>
      <w:iCs/>
    </w:rPr>
  </w:style>
  <w:style w:type="paragraph" w:customStyle="1" w:styleId="head-3d">
    <w:name w:val="head-3 d"/>
    <w:basedOn w:val="Texto-d"/>
    <w:qFormat/>
    <w:rsid w:val="0080192C"/>
    <w:pPr>
      <w:spacing w:before="240"/>
      <w:ind w:firstLine="1009"/>
    </w:pPr>
    <w:rPr>
      <w:i/>
    </w:rPr>
  </w:style>
  <w:style w:type="paragraph" w:styleId="TOCHeading">
    <w:name w:val="TOC Heading"/>
    <w:basedOn w:val="Heading1"/>
    <w:next w:val="Normal"/>
    <w:uiPriority w:val="39"/>
    <w:unhideWhenUsed/>
    <w:qFormat/>
    <w:rsid w:val="000E4EF5"/>
    <w:pPr>
      <w:spacing w:line="276" w:lineRule="auto"/>
      <w:outlineLvl w:val="9"/>
    </w:pPr>
    <w:rPr>
      <w:color w:val="365F91" w:themeColor="accent1" w:themeShade="BF"/>
      <w:sz w:val="28"/>
      <w:szCs w:val="28"/>
      <w:lang w:val="en-US"/>
    </w:rPr>
  </w:style>
  <w:style w:type="character" w:customStyle="1" w:styleId="apple-style-span">
    <w:name w:val="apple-style-span"/>
    <w:basedOn w:val="DefaultParagraphFont"/>
    <w:rsid w:val="000E4EF5"/>
  </w:style>
  <w:style w:type="paragraph" w:customStyle="1" w:styleId="Tabela">
    <w:name w:val="Tabela"/>
    <w:basedOn w:val="Normal"/>
    <w:autoRedefine/>
    <w:qFormat/>
    <w:rsid w:val="000E4EF5"/>
    <w:pPr>
      <w:jc w:val="center"/>
    </w:pPr>
    <w:rPr>
      <w:rFonts w:ascii="Times New Roman" w:eastAsia="Calibri" w:hAnsi="Times New Roman" w:cs="Times New Roman"/>
      <w:sz w:val="18"/>
      <w:szCs w:val="18"/>
      <w:lang w:val="en-US"/>
    </w:rPr>
  </w:style>
  <w:style w:type="paragraph" w:customStyle="1" w:styleId="direct">
    <w:name w:val="direct"/>
    <w:basedOn w:val="Texto-d"/>
    <w:qFormat/>
    <w:rsid w:val="000E4EF5"/>
    <w:pPr>
      <w:spacing w:before="360" w:after="360" w:line="240" w:lineRule="auto"/>
      <w:ind w:left="2606" w:firstLine="0"/>
    </w:pPr>
    <w:rPr>
      <w:szCs w:val="22"/>
    </w:rPr>
  </w:style>
  <w:style w:type="paragraph" w:styleId="EndnoteText">
    <w:name w:val="endnote text"/>
    <w:basedOn w:val="Normal"/>
    <w:link w:val="EndnoteTextChar"/>
    <w:uiPriority w:val="99"/>
    <w:unhideWhenUsed/>
    <w:rsid w:val="000E4EF5"/>
  </w:style>
  <w:style w:type="character" w:customStyle="1" w:styleId="EndnoteTextChar">
    <w:name w:val="Endnote Text Char"/>
    <w:basedOn w:val="DefaultParagraphFont"/>
    <w:link w:val="EndnoteText"/>
    <w:uiPriority w:val="99"/>
    <w:rsid w:val="000E4EF5"/>
    <w:rPr>
      <w:lang w:val="pt-BR"/>
    </w:rPr>
  </w:style>
  <w:style w:type="character" w:styleId="EndnoteReference">
    <w:name w:val="endnote reference"/>
    <w:basedOn w:val="DefaultParagraphFont"/>
    <w:uiPriority w:val="99"/>
    <w:unhideWhenUsed/>
    <w:rsid w:val="000E4EF5"/>
    <w:rPr>
      <w:vertAlign w:val="superscript"/>
    </w:rPr>
  </w:style>
  <w:style w:type="paragraph" w:customStyle="1" w:styleId="title3">
    <w:name w:val="title 3"/>
    <w:basedOn w:val="title2di"/>
    <w:qFormat/>
    <w:rsid w:val="000E4EF5"/>
    <w:pPr>
      <w:numPr>
        <w:ilvl w:val="0"/>
        <w:numId w:val="0"/>
      </w:numPr>
      <w:ind w:left="360"/>
    </w:pPr>
  </w:style>
  <w:style w:type="paragraph" w:styleId="TableofFigures">
    <w:name w:val="table of figures"/>
    <w:basedOn w:val="Normal"/>
    <w:next w:val="Normal"/>
    <w:uiPriority w:val="99"/>
    <w:unhideWhenUsed/>
    <w:rsid w:val="000E4EF5"/>
    <w:pPr>
      <w:ind w:left="480" w:hanging="480"/>
    </w:pPr>
    <w:rPr>
      <w:caps/>
      <w:sz w:val="20"/>
      <w:szCs w:val="20"/>
    </w:rPr>
  </w:style>
  <w:style w:type="paragraph" w:styleId="Index1">
    <w:name w:val="index 1"/>
    <w:basedOn w:val="Normal"/>
    <w:next w:val="Normal"/>
    <w:autoRedefine/>
    <w:uiPriority w:val="99"/>
    <w:unhideWhenUsed/>
    <w:rsid w:val="000E4EF5"/>
    <w:pPr>
      <w:ind w:left="240" w:hanging="240"/>
    </w:pPr>
    <w:rPr>
      <w:sz w:val="18"/>
      <w:szCs w:val="18"/>
    </w:rPr>
  </w:style>
  <w:style w:type="paragraph" w:styleId="Index2">
    <w:name w:val="index 2"/>
    <w:basedOn w:val="Normal"/>
    <w:next w:val="Normal"/>
    <w:autoRedefine/>
    <w:uiPriority w:val="99"/>
    <w:unhideWhenUsed/>
    <w:rsid w:val="000E4EF5"/>
    <w:pPr>
      <w:ind w:left="480" w:hanging="240"/>
    </w:pPr>
    <w:rPr>
      <w:sz w:val="18"/>
      <w:szCs w:val="18"/>
    </w:rPr>
  </w:style>
  <w:style w:type="paragraph" w:styleId="Index3">
    <w:name w:val="index 3"/>
    <w:basedOn w:val="Normal"/>
    <w:next w:val="Normal"/>
    <w:autoRedefine/>
    <w:uiPriority w:val="99"/>
    <w:unhideWhenUsed/>
    <w:rsid w:val="000E4EF5"/>
    <w:pPr>
      <w:ind w:left="720" w:hanging="240"/>
    </w:pPr>
    <w:rPr>
      <w:sz w:val="18"/>
      <w:szCs w:val="18"/>
    </w:rPr>
  </w:style>
  <w:style w:type="paragraph" w:styleId="Index4">
    <w:name w:val="index 4"/>
    <w:basedOn w:val="Normal"/>
    <w:next w:val="Normal"/>
    <w:autoRedefine/>
    <w:uiPriority w:val="99"/>
    <w:unhideWhenUsed/>
    <w:rsid w:val="000E4EF5"/>
    <w:pPr>
      <w:ind w:left="960" w:hanging="240"/>
    </w:pPr>
    <w:rPr>
      <w:sz w:val="18"/>
      <w:szCs w:val="18"/>
    </w:rPr>
  </w:style>
  <w:style w:type="paragraph" w:styleId="Index5">
    <w:name w:val="index 5"/>
    <w:basedOn w:val="Normal"/>
    <w:next w:val="Normal"/>
    <w:autoRedefine/>
    <w:uiPriority w:val="99"/>
    <w:unhideWhenUsed/>
    <w:rsid w:val="000E4EF5"/>
    <w:pPr>
      <w:ind w:left="1200" w:hanging="240"/>
    </w:pPr>
    <w:rPr>
      <w:sz w:val="18"/>
      <w:szCs w:val="18"/>
    </w:rPr>
  </w:style>
  <w:style w:type="paragraph" w:styleId="Index6">
    <w:name w:val="index 6"/>
    <w:basedOn w:val="Normal"/>
    <w:next w:val="Normal"/>
    <w:autoRedefine/>
    <w:uiPriority w:val="99"/>
    <w:unhideWhenUsed/>
    <w:rsid w:val="000E4EF5"/>
    <w:pPr>
      <w:ind w:left="1440" w:hanging="240"/>
    </w:pPr>
    <w:rPr>
      <w:sz w:val="18"/>
      <w:szCs w:val="18"/>
    </w:rPr>
  </w:style>
  <w:style w:type="paragraph" w:styleId="Index7">
    <w:name w:val="index 7"/>
    <w:basedOn w:val="Normal"/>
    <w:next w:val="Normal"/>
    <w:autoRedefine/>
    <w:uiPriority w:val="99"/>
    <w:unhideWhenUsed/>
    <w:rsid w:val="000E4EF5"/>
    <w:pPr>
      <w:ind w:left="1680" w:hanging="240"/>
    </w:pPr>
    <w:rPr>
      <w:sz w:val="18"/>
      <w:szCs w:val="18"/>
    </w:rPr>
  </w:style>
  <w:style w:type="paragraph" w:styleId="Index8">
    <w:name w:val="index 8"/>
    <w:basedOn w:val="Normal"/>
    <w:next w:val="Normal"/>
    <w:autoRedefine/>
    <w:uiPriority w:val="99"/>
    <w:unhideWhenUsed/>
    <w:rsid w:val="000E4EF5"/>
    <w:pPr>
      <w:ind w:left="1920" w:hanging="240"/>
    </w:pPr>
    <w:rPr>
      <w:sz w:val="18"/>
      <w:szCs w:val="18"/>
    </w:rPr>
  </w:style>
  <w:style w:type="paragraph" w:styleId="Index9">
    <w:name w:val="index 9"/>
    <w:basedOn w:val="Normal"/>
    <w:next w:val="Normal"/>
    <w:autoRedefine/>
    <w:uiPriority w:val="99"/>
    <w:unhideWhenUsed/>
    <w:rsid w:val="000E4EF5"/>
    <w:pPr>
      <w:ind w:left="2160" w:hanging="240"/>
    </w:pPr>
    <w:rPr>
      <w:sz w:val="18"/>
      <w:szCs w:val="18"/>
    </w:rPr>
  </w:style>
  <w:style w:type="paragraph" w:styleId="IndexHeading">
    <w:name w:val="index heading"/>
    <w:basedOn w:val="Normal"/>
    <w:next w:val="Index1"/>
    <w:uiPriority w:val="99"/>
    <w:unhideWhenUsed/>
    <w:rsid w:val="000E4EF5"/>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sz w:val="22"/>
      <w:szCs w:val="22"/>
    </w:rPr>
  </w:style>
  <w:style w:type="paragraph" w:customStyle="1" w:styleId="Style2">
    <w:name w:val="Style2"/>
    <w:basedOn w:val="title1-d"/>
    <w:qFormat/>
    <w:rsid w:val="000E4EF5"/>
    <w:pPr>
      <w:numPr>
        <w:numId w:val="0"/>
      </w:numPr>
      <w:spacing w:line="240" w:lineRule="auto"/>
      <w:ind w:left="4234"/>
    </w:pPr>
    <w:rPr>
      <w:b w:val="0"/>
      <w:bCs w:val="0"/>
      <w:smallCaps w:val="0"/>
      <w:sz w:val="24"/>
      <w:szCs w:val="24"/>
    </w:rPr>
  </w:style>
  <w:style w:type="paragraph" w:customStyle="1" w:styleId="xx">
    <w:name w:val="xx"/>
    <w:basedOn w:val="text-d"/>
    <w:qFormat/>
    <w:rsid w:val="002C13FE"/>
    <w:pPr>
      <w:numPr>
        <w:numId w:val="5"/>
      </w:numPr>
      <w:spacing w:before="240" w:after="360"/>
      <w:ind w:firstLine="1008"/>
      <w:contextualSpacing/>
    </w:pPr>
    <w:rPr>
      <w:rFonts w:eastAsiaTheme="minorHAnsi"/>
      <w:b/>
      <w:smallCaps/>
      <w:szCs w:val="22"/>
    </w:rPr>
  </w:style>
  <w:style w:type="character" w:styleId="CommentReference">
    <w:name w:val="annotation reference"/>
    <w:basedOn w:val="DefaultParagraphFont"/>
    <w:uiPriority w:val="99"/>
    <w:semiHidden/>
    <w:unhideWhenUsed/>
    <w:rsid w:val="00845104"/>
    <w:rPr>
      <w:sz w:val="18"/>
      <w:szCs w:val="18"/>
    </w:rPr>
  </w:style>
  <w:style w:type="character" w:styleId="PlaceholderText">
    <w:name w:val="Placeholder Text"/>
    <w:basedOn w:val="DefaultParagraphFont"/>
    <w:uiPriority w:val="99"/>
    <w:semiHidden/>
    <w:rsid w:val="0013141A"/>
    <w:rPr>
      <w:color w:val="808080"/>
    </w:rPr>
  </w:style>
  <w:style w:type="paragraph" w:styleId="Revision">
    <w:name w:val="Revision"/>
    <w:hidden/>
    <w:uiPriority w:val="99"/>
    <w:semiHidden/>
    <w:rsid w:val="00122D1C"/>
    <w:rPr>
      <w:lang w:val="pt-BR"/>
    </w:rPr>
  </w:style>
  <w:style w:type="paragraph" w:customStyle="1" w:styleId="Authors">
    <w:name w:val="Authors"/>
    <w:basedOn w:val="Normal"/>
    <w:rsid w:val="00F75D52"/>
    <w:pPr>
      <w:keepNext/>
      <w:spacing w:before="120" w:after="720"/>
      <w:jc w:val="center"/>
    </w:pPr>
    <w:rPr>
      <w:rFonts w:ascii="Times New Roman" w:eastAsia="Times New Roman" w:hAnsi="Times New Roman" w:cs="Times New Roman"/>
      <w:i/>
      <w:lang w:val="en-GB" w:eastAsia="da-DK"/>
    </w:rPr>
  </w:style>
  <w:style w:type="paragraph" w:customStyle="1" w:styleId="Title1">
    <w:name w:val="Title1"/>
    <w:basedOn w:val="Normal"/>
    <w:next w:val="Normal"/>
    <w:rsid w:val="00F75D52"/>
    <w:pPr>
      <w:spacing w:before="360" w:after="120"/>
      <w:jc w:val="center"/>
    </w:pPr>
    <w:rPr>
      <w:rFonts w:ascii="Times New Roman" w:eastAsia="Times New Roman" w:hAnsi="Times New Roman" w:cs="Times New Roman"/>
      <w:b/>
      <w:smallCaps/>
      <w:sz w:val="28"/>
      <w:lang w:val="en-GB" w:eastAsia="da-D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paragraph" w:styleId="Heading1">
    <w:name w:val="heading 1"/>
    <w:basedOn w:val="Normal"/>
    <w:next w:val="Normal"/>
    <w:link w:val="Heading1Char"/>
    <w:uiPriority w:val="9"/>
    <w:qFormat/>
    <w:rsid w:val="000E4EF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EF5"/>
    <w:rPr>
      <w:rFonts w:asciiTheme="majorHAnsi" w:eastAsiaTheme="majorEastAsia" w:hAnsiTheme="majorHAnsi" w:cstheme="majorBidi"/>
      <w:b/>
      <w:bCs/>
      <w:color w:val="345A8A" w:themeColor="accent1" w:themeShade="B5"/>
      <w:sz w:val="32"/>
      <w:szCs w:val="32"/>
      <w:lang w:val="pt-BR"/>
    </w:rPr>
  </w:style>
  <w:style w:type="paragraph" w:customStyle="1" w:styleId="title1-d">
    <w:name w:val="title1-d"/>
    <w:basedOn w:val="Normal"/>
    <w:qFormat/>
    <w:rsid w:val="00A86A86"/>
    <w:pPr>
      <w:numPr>
        <w:numId w:val="1"/>
      </w:numPr>
      <w:spacing w:before="120" w:line="360" w:lineRule="auto"/>
      <w:ind w:left="1077"/>
      <w:jc w:val="both"/>
    </w:pPr>
    <w:rPr>
      <w:rFonts w:ascii="Times" w:hAnsi="Times" w:cs="Arial"/>
      <w:b/>
      <w:bCs/>
      <w:smallCaps/>
      <w:sz w:val="28"/>
      <w:szCs w:val="28"/>
      <w:lang w:val="en-US"/>
    </w:rPr>
  </w:style>
  <w:style w:type="paragraph" w:customStyle="1" w:styleId="text-d">
    <w:name w:val="text-d"/>
    <w:basedOn w:val="Normal"/>
    <w:qFormat/>
    <w:rsid w:val="00CE73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1008"/>
      <w:jc w:val="both"/>
    </w:pPr>
    <w:rPr>
      <w:rFonts w:ascii="Times" w:hAnsi="Times" w:cs="Arial"/>
      <w:sz w:val="22"/>
      <w:lang w:val="en-US"/>
    </w:rPr>
  </w:style>
  <w:style w:type="paragraph" w:customStyle="1" w:styleId="Style1">
    <w:name w:val="Style1"/>
    <w:basedOn w:val="title1-d"/>
    <w:qFormat/>
    <w:rsid w:val="007E2222"/>
    <w:pPr>
      <w:numPr>
        <w:numId w:val="0"/>
      </w:numPr>
      <w:spacing w:before="0"/>
      <w:ind w:left="720"/>
      <w:jc w:val="center"/>
    </w:pPr>
    <w:rPr>
      <w:sz w:val="32"/>
      <w:szCs w:val="32"/>
    </w:rPr>
  </w:style>
  <w:style w:type="character" w:styleId="FootnoteReference">
    <w:name w:val="footnote reference"/>
    <w:basedOn w:val="DefaultParagraphFont"/>
    <w:uiPriority w:val="99"/>
    <w:unhideWhenUsed/>
    <w:rsid w:val="005F7C0C"/>
    <w:rPr>
      <w:vertAlign w:val="superscript"/>
    </w:rPr>
  </w:style>
  <w:style w:type="paragraph" w:customStyle="1" w:styleId="footnoted">
    <w:name w:val="footnote d"/>
    <w:basedOn w:val="FootnoteText"/>
    <w:link w:val="footnotedChar"/>
    <w:qFormat/>
    <w:rsid w:val="005F7C0C"/>
    <w:pPr>
      <w:jc w:val="both"/>
    </w:pPr>
    <w:rPr>
      <w:rFonts w:ascii="Times New Roman" w:eastAsiaTheme="minorHAnsi" w:hAnsi="Times New Roman" w:cs="Times New Roman"/>
      <w:sz w:val="20"/>
      <w:szCs w:val="20"/>
      <w:lang w:val="en-US"/>
    </w:rPr>
  </w:style>
  <w:style w:type="paragraph" w:styleId="FootnoteText">
    <w:name w:val="footnote text"/>
    <w:aliases w:val="FN"/>
    <w:basedOn w:val="Normal"/>
    <w:link w:val="FootnoteTextChar"/>
    <w:uiPriority w:val="99"/>
    <w:unhideWhenUsed/>
    <w:rsid w:val="005F7C0C"/>
  </w:style>
  <w:style w:type="character" w:customStyle="1" w:styleId="FootnoteTextChar">
    <w:name w:val="Footnote Text Char"/>
    <w:aliases w:val="FN Char"/>
    <w:basedOn w:val="DefaultParagraphFont"/>
    <w:link w:val="FootnoteText"/>
    <w:uiPriority w:val="99"/>
    <w:rsid w:val="005F7C0C"/>
    <w:rPr>
      <w:lang w:val="pt-BR"/>
    </w:rPr>
  </w:style>
  <w:style w:type="character" w:customStyle="1" w:styleId="footnotedChar">
    <w:name w:val="footnote d Char"/>
    <w:basedOn w:val="DefaultParagraphFont"/>
    <w:link w:val="footnoted"/>
    <w:rsid w:val="005F7C0C"/>
    <w:rPr>
      <w:rFonts w:ascii="Times New Roman" w:eastAsiaTheme="minorHAnsi" w:hAnsi="Times New Roman" w:cs="Times New Roman"/>
      <w:sz w:val="20"/>
      <w:szCs w:val="20"/>
    </w:rPr>
  </w:style>
  <w:style w:type="character" w:customStyle="1" w:styleId="CommentTextChar">
    <w:name w:val="Comment Text Char"/>
    <w:basedOn w:val="DefaultParagraphFont"/>
    <w:link w:val="CommentText"/>
    <w:uiPriority w:val="99"/>
    <w:semiHidden/>
    <w:rsid w:val="000E4EF5"/>
    <w:rPr>
      <w:lang w:val="pt-BR"/>
    </w:rPr>
  </w:style>
  <w:style w:type="paragraph" w:styleId="CommentText">
    <w:name w:val="annotation text"/>
    <w:basedOn w:val="Normal"/>
    <w:link w:val="CommentTextChar"/>
    <w:uiPriority w:val="99"/>
    <w:semiHidden/>
    <w:unhideWhenUsed/>
    <w:rsid w:val="000E4EF5"/>
  </w:style>
  <w:style w:type="character" w:customStyle="1" w:styleId="CommentSubjectChar">
    <w:name w:val="Comment Subject Char"/>
    <w:basedOn w:val="CommentTextChar"/>
    <w:link w:val="CommentSubject"/>
    <w:uiPriority w:val="99"/>
    <w:semiHidden/>
    <w:rsid w:val="000E4EF5"/>
    <w:rPr>
      <w:b/>
      <w:bCs/>
      <w:sz w:val="20"/>
      <w:szCs w:val="20"/>
      <w:lang w:val="pt-BR"/>
    </w:rPr>
  </w:style>
  <w:style w:type="paragraph" w:styleId="CommentSubject">
    <w:name w:val="annotation subject"/>
    <w:basedOn w:val="CommentText"/>
    <w:next w:val="CommentText"/>
    <w:link w:val="CommentSubjectChar"/>
    <w:uiPriority w:val="99"/>
    <w:semiHidden/>
    <w:unhideWhenUsed/>
    <w:rsid w:val="000E4EF5"/>
    <w:rPr>
      <w:b/>
      <w:bCs/>
      <w:sz w:val="20"/>
      <w:szCs w:val="20"/>
    </w:rPr>
  </w:style>
  <w:style w:type="paragraph" w:styleId="BalloonText">
    <w:name w:val="Balloon Text"/>
    <w:basedOn w:val="Normal"/>
    <w:link w:val="BalloonTextChar"/>
    <w:uiPriority w:val="99"/>
    <w:semiHidden/>
    <w:unhideWhenUsed/>
    <w:rsid w:val="000E4E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4EF5"/>
    <w:rPr>
      <w:rFonts w:ascii="Lucida Grande" w:hAnsi="Lucida Grande" w:cs="Lucida Grande"/>
      <w:sz w:val="18"/>
      <w:szCs w:val="18"/>
      <w:lang w:val="pt-BR"/>
    </w:rPr>
  </w:style>
  <w:style w:type="paragraph" w:customStyle="1" w:styleId="Texto-d">
    <w:name w:val="Texto-d"/>
    <w:basedOn w:val="Normal"/>
    <w:autoRedefine/>
    <w:qFormat/>
    <w:rsid w:val="00CE7328"/>
    <w:pPr>
      <w:spacing w:line="480" w:lineRule="auto"/>
      <w:ind w:firstLine="1008"/>
      <w:jc w:val="both"/>
    </w:pPr>
    <w:rPr>
      <w:rFonts w:ascii="Times" w:hAnsi="Times" w:cs="Arial"/>
      <w:sz w:val="22"/>
      <w:lang w:val="en-US"/>
    </w:rPr>
  </w:style>
  <w:style w:type="paragraph" w:customStyle="1" w:styleId="Titulo2">
    <w:name w:val="Titulo 2"/>
    <w:basedOn w:val="Normal"/>
    <w:qFormat/>
    <w:rsid w:val="00501785"/>
    <w:pPr>
      <w:numPr>
        <w:ilvl w:val="1"/>
        <w:numId w:val="24"/>
      </w:numPr>
      <w:spacing w:before="240" w:after="120" w:line="360" w:lineRule="auto"/>
      <w:ind w:left="714" w:hanging="357"/>
      <w:jc w:val="both"/>
    </w:pPr>
    <w:rPr>
      <w:rFonts w:ascii="Times" w:hAnsi="Times" w:cs="Arial"/>
      <w:b/>
      <w:lang w:val="en-US"/>
    </w:rPr>
  </w:style>
  <w:style w:type="paragraph" w:styleId="Caption">
    <w:name w:val="caption"/>
    <w:basedOn w:val="Normal"/>
    <w:next w:val="Normal"/>
    <w:unhideWhenUsed/>
    <w:qFormat/>
    <w:rsid w:val="000E4EF5"/>
    <w:pPr>
      <w:spacing w:before="240" w:after="240"/>
      <w:jc w:val="center"/>
    </w:pPr>
    <w:rPr>
      <w:rFonts w:ascii="Times" w:hAnsi="Times"/>
      <w:b/>
      <w:bCs/>
      <w:lang w:val="en-US"/>
    </w:rPr>
  </w:style>
  <w:style w:type="paragraph" w:styleId="PlainText">
    <w:name w:val="Plain Text"/>
    <w:basedOn w:val="Normal"/>
    <w:link w:val="PlainTextChar"/>
    <w:uiPriority w:val="99"/>
    <w:unhideWhenUsed/>
    <w:rsid w:val="000E4EF5"/>
    <w:rPr>
      <w:rFonts w:ascii="Courier" w:hAnsi="Courier"/>
      <w:sz w:val="21"/>
      <w:szCs w:val="21"/>
      <w:lang w:val="en-US"/>
    </w:rPr>
  </w:style>
  <w:style w:type="character" w:customStyle="1" w:styleId="PlainTextChar">
    <w:name w:val="Plain Text Char"/>
    <w:basedOn w:val="DefaultParagraphFont"/>
    <w:link w:val="PlainText"/>
    <w:uiPriority w:val="99"/>
    <w:rsid w:val="000E4EF5"/>
    <w:rPr>
      <w:rFonts w:ascii="Courier" w:hAnsi="Courier"/>
      <w:sz w:val="21"/>
      <w:szCs w:val="21"/>
    </w:rPr>
  </w:style>
  <w:style w:type="paragraph" w:customStyle="1" w:styleId="source">
    <w:name w:val="source"/>
    <w:basedOn w:val="Normal"/>
    <w:qFormat/>
    <w:rsid w:val="000E4EF5"/>
    <w:pPr>
      <w:spacing w:after="360"/>
      <w:ind w:right="1530"/>
      <w:jc w:val="both"/>
    </w:pPr>
    <w:rPr>
      <w:rFonts w:ascii="Times" w:hAnsi="Times" w:cs="Arial"/>
      <w:sz w:val="18"/>
      <w:szCs w:val="18"/>
      <w:lang w:val="en-US"/>
    </w:rPr>
  </w:style>
  <w:style w:type="paragraph" w:customStyle="1" w:styleId="Footnote">
    <w:name w:val="Footnote"/>
    <w:basedOn w:val="FootnoteText"/>
    <w:link w:val="FootnoteChar"/>
    <w:qFormat/>
    <w:rsid w:val="000E4EF5"/>
    <w:pPr>
      <w:jc w:val="both"/>
    </w:pPr>
    <w:rPr>
      <w:rFonts w:ascii="Times" w:hAnsi="Times"/>
      <w:sz w:val="20"/>
      <w:szCs w:val="20"/>
    </w:rPr>
  </w:style>
  <w:style w:type="character" w:customStyle="1" w:styleId="FootnoteChar">
    <w:name w:val="Footnote Char"/>
    <w:basedOn w:val="FootnoteTextChar"/>
    <w:link w:val="Footnote"/>
    <w:rsid w:val="000E4EF5"/>
    <w:rPr>
      <w:rFonts w:ascii="Times" w:hAnsi="Times"/>
      <w:sz w:val="20"/>
      <w:szCs w:val="20"/>
      <w:lang w:val="pt-BR"/>
    </w:rPr>
  </w:style>
  <w:style w:type="paragraph" w:styleId="ListParagraph">
    <w:name w:val="List Paragraph"/>
    <w:basedOn w:val="Normal"/>
    <w:uiPriority w:val="34"/>
    <w:qFormat/>
    <w:rsid w:val="000E4EF5"/>
    <w:pPr>
      <w:ind w:left="720"/>
      <w:contextualSpacing/>
      <w:jc w:val="both"/>
    </w:pPr>
    <w:rPr>
      <w:rFonts w:ascii="Times New Roman" w:eastAsiaTheme="minorHAnsi" w:hAnsi="Times New Roman" w:cs="Times New Roman"/>
      <w:szCs w:val="22"/>
      <w:lang w:val="en-US"/>
    </w:rPr>
  </w:style>
  <w:style w:type="paragraph" w:customStyle="1" w:styleId="RodapeICABR">
    <w:name w:val="Roda pe ICABR"/>
    <w:basedOn w:val="FootnoteText"/>
    <w:link w:val="RodapeICABRChar"/>
    <w:qFormat/>
    <w:rsid w:val="000E4EF5"/>
    <w:pPr>
      <w:jc w:val="both"/>
    </w:pPr>
    <w:rPr>
      <w:rFonts w:ascii="Times New Roman" w:eastAsiaTheme="minorHAnsi" w:hAnsi="Times New Roman" w:cs="Times New Roman"/>
      <w:sz w:val="20"/>
      <w:szCs w:val="20"/>
    </w:rPr>
  </w:style>
  <w:style w:type="character" w:customStyle="1" w:styleId="RodapeICABRChar">
    <w:name w:val="Roda pe ICABR Char"/>
    <w:basedOn w:val="FootnoteTextChar"/>
    <w:link w:val="RodapeICABR"/>
    <w:rsid w:val="000E4EF5"/>
    <w:rPr>
      <w:rFonts w:ascii="Times New Roman" w:eastAsiaTheme="minorHAnsi" w:hAnsi="Times New Roman" w:cs="Times New Roman"/>
      <w:sz w:val="20"/>
      <w:szCs w:val="20"/>
      <w:lang w:val="pt-BR"/>
    </w:rPr>
  </w:style>
  <w:style w:type="paragraph" w:customStyle="1" w:styleId="title2di">
    <w:name w:val="title 2 di"/>
    <w:basedOn w:val="Texto-d"/>
    <w:qFormat/>
    <w:rsid w:val="000E4EF5"/>
    <w:pPr>
      <w:numPr>
        <w:ilvl w:val="2"/>
        <w:numId w:val="2"/>
      </w:numPr>
    </w:pPr>
    <w:rPr>
      <w:b/>
    </w:rPr>
  </w:style>
  <w:style w:type="table" w:styleId="TableGrid">
    <w:name w:val="Table Grid"/>
    <w:basedOn w:val="TableNormal"/>
    <w:uiPriority w:val="59"/>
    <w:rsid w:val="000E4E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1Tese">
    <w:name w:val="T 1 Tese"/>
    <w:basedOn w:val="ListParagraph"/>
    <w:qFormat/>
    <w:rsid w:val="00A72E34"/>
    <w:pPr>
      <w:numPr>
        <w:numId w:val="5"/>
      </w:numPr>
      <w:spacing w:before="240" w:line="360" w:lineRule="auto"/>
      <w:ind w:left="1434" w:hanging="357"/>
    </w:pPr>
    <w:rPr>
      <w:b/>
      <w:smallCaps/>
      <w:sz w:val="28"/>
      <w:szCs w:val="28"/>
      <w:lang w:val="pt-BR"/>
    </w:rPr>
  </w:style>
  <w:style w:type="paragraph" w:customStyle="1" w:styleId="RodapD">
    <w:name w:val="Rodapé D"/>
    <w:basedOn w:val="FootnoteText"/>
    <w:link w:val="RodapDChar"/>
    <w:autoRedefine/>
    <w:qFormat/>
    <w:rsid w:val="000E4EF5"/>
    <w:pPr>
      <w:ind w:firstLine="709"/>
      <w:jc w:val="both"/>
    </w:pPr>
    <w:rPr>
      <w:rFonts w:ascii="Times New Roman" w:eastAsiaTheme="minorHAnsi" w:hAnsi="Times New Roman" w:cs="Times New Roman"/>
      <w:sz w:val="18"/>
      <w:szCs w:val="18"/>
    </w:rPr>
  </w:style>
  <w:style w:type="character" w:customStyle="1" w:styleId="RodapDChar">
    <w:name w:val="Rodapé D Char"/>
    <w:basedOn w:val="FootnoteTextChar"/>
    <w:link w:val="RodapD"/>
    <w:rsid w:val="000E4EF5"/>
    <w:rPr>
      <w:rFonts w:ascii="Times New Roman" w:eastAsiaTheme="minorHAnsi" w:hAnsi="Times New Roman" w:cs="Times New Roman"/>
      <w:sz w:val="18"/>
      <w:szCs w:val="18"/>
      <w:lang w:val="pt-BR"/>
    </w:rPr>
  </w:style>
  <w:style w:type="paragraph" w:customStyle="1" w:styleId="T2Di">
    <w:name w:val="T 2 Di"/>
    <w:basedOn w:val="Normal"/>
    <w:link w:val="T2DiChar"/>
    <w:qFormat/>
    <w:rsid w:val="000E4EF5"/>
    <w:pPr>
      <w:spacing w:before="480" w:after="360" w:line="360" w:lineRule="auto"/>
      <w:ind w:firstLine="1134"/>
      <w:jc w:val="both"/>
    </w:pPr>
    <w:rPr>
      <w:rFonts w:ascii="Times New Roman" w:eastAsiaTheme="minorHAnsi" w:hAnsi="Times New Roman" w:cs="Times New Roman"/>
      <w:smallCaps/>
    </w:rPr>
  </w:style>
  <w:style w:type="character" w:customStyle="1" w:styleId="T2DiChar">
    <w:name w:val="T 2 Di Char"/>
    <w:basedOn w:val="DefaultParagraphFont"/>
    <w:link w:val="T2Di"/>
    <w:rsid w:val="000E4EF5"/>
    <w:rPr>
      <w:rFonts w:ascii="Times New Roman" w:eastAsiaTheme="minorHAnsi" w:hAnsi="Times New Roman" w:cs="Times New Roman"/>
      <w:smallCaps/>
      <w:lang w:val="pt-BR"/>
    </w:rPr>
  </w:style>
  <w:style w:type="paragraph" w:customStyle="1" w:styleId="Agroalimentaria-Texto">
    <w:name w:val="Agroalimentaria-Texto"/>
    <w:basedOn w:val="Normal"/>
    <w:link w:val="Agroalimentaria-TextoChar"/>
    <w:qFormat/>
    <w:rsid w:val="000E4EF5"/>
    <w:pPr>
      <w:spacing w:line="360" w:lineRule="auto"/>
      <w:jc w:val="both"/>
    </w:pPr>
    <w:rPr>
      <w:rFonts w:ascii="Times New Roman" w:eastAsiaTheme="minorHAnsi" w:hAnsi="Times New Roman" w:cs="Times New Roman"/>
      <w:lang w:val="en-US"/>
    </w:rPr>
  </w:style>
  <w:style w:type="character" w:customStyle="1" w:styleId="Agroalimentaria-TextoChar">
    <w:name w:val="Agroalimentaria-Texto Char"/>
    <w:basedOn w:val="DefaultParagraphFont"/>
    <w:link w:val="Agroalimentaria-Texto"/>
    <w:rsid w:val="000E4EF5"/>
    <w:rPr>
      <w:rFonts w:ascii="Times New Roman" w:eastAsiaTheme="minorHAnsi" w:hAnsi="Times New Roman" w:cs="Times New Roman"/>
    </w:rPr>
  </w:style>
  <w:style w:type="character" w:customStyle="1" w:styleId="apple-converted-space">
    <w:name w:val="apple-converted-space"/>
    <w:basedOn w:val="DefaultParagraphFont"/>
    <w:rsid w:val="000E4EF5"/>
  </w:style>
  <w:style w:type="paragraph" w:customStyle="1" w:styleId="ANPEC2013">
    <w:name w:val="ANPEC2013"/>
    <w:basedOn w:val="Normal"/>
    <w:link w:val="ANPEC2013Char"/>
    <w:autoRedefine/>
    <w:qFormat/>
    <w:rsid w:val="00BF27E3"/>
    <w:pPr>
      <w:tabs>
        <w:tab w:val="left" w:pos="9540"/>
      </w:tabs>
      <w:ind w:firstLine="1134"/>
      <w:jc w:val="both"/>
    </w:pPr>
    <w:rPr>
      <w:rFonts w:ascii="Times New Roman" w:eastAsiaTheme="minorHAnsi" w:hAnsi="Times New Roman" w:cs="Times New Roman"/>
      <w:szCs w:val="22"/>
      <w:lang w:val="en-US"/>
    </w:rPr>
  </w:style>
  <w:style w:type="character" w:customStyle="1" w:styleId="ANPEC2013Char">
    <w:name w:val="ANPEC2013 Char"/>
    <w:basedOn w:val="DefaultParagraphFont"/>
    <w:link w:val="ANPEC2013"/>
    <w:rsid w:val="00BF27E3"/>
    <w:rPr>
      <w:rFonts w:ascii="Times New Roman" w:eastAsiaTheme="minorHAnsi" w:hAnsi="Times New Roman" w:cs="Times New Roman"/>
      <w:szCs w:val="22"/>
    </w:rPr>
  </w:style>
  <w:style w:type="paragraph" w:customStyle="1" w:styleId="subtitutloIFAMA">
    <w:name w:val="subtitutloIFAMA"/>
    <w:basedOn w:val="Normal"/>
    <w:link w:val="subtitutloIFAMAChar"/>
    <w:qFormat/>
    <w:rsid w:val="000E4EF5"/>
    <w:pPr>
      <w:spacing w:before="360" w:after="120" w:line="480" w:lineRule="auto"/>
      <w:ind w:left="714" w:hanging="357"/>
    </w:pPr>
    <w:rPr>
      <w:rFonts w:ascii="Times New Roman" w:eastAsiaTheme="minorHAnsi" w:hAnsi="Times New Roman" w:cs="Times New Roman"/>
      <w:i/>
      <w:smallCaps/>
      <w:lang w:val="en-US"/>
    </w:rPr>
  </w:style>
  <w:style w:type="character" w:customStyle="1" w:styleId="subtitutloIFAMAChar">
    <w:name w:val="subtitutloIFAMA Char"/>
    <w:basedOn w:val="DefaultParagraphFont"/>
    <w:link w:val="subtitutloIFAMA"/>
    <w:rsid w:val="000E4EF5"/>
    <w:rPr>
      <w:rFonts w:ascii="Times New Roman" w:eastAsiaTheme="minorHAnsi" w:hAnsi="Times New Roman" w:cs="Times New Roman"/>
      <w:i/>
      <w:smallCaps/>
    </w:rPr>
  </w:style>
  <w:style w:type="paragraph" w:customStyle="1" w:styleId="Body">
    <w:name w:val="Body"/>
    <w:rsid w:val="000E4EF5"/>
    <w:pPr>
      <w:pBdr>
        <w:top w:val="nil"/>
        <w:left w:val="nil"/>
        <w:bottom w:val="nil"/>
        <w:right w:val="nil"/>
        <w:between w:val="nil"/>
        <w:bar w:val="nil"/>
      </w:pBdr>
    </w:pPr>
    <w:rPr>
      <w:rFonts w:ascii="Calibri" w:eastAsia="Calibri" w:hAnsi="Calibri" w:cs="Calibri"/>
      <w:color w:val="000000"/>
      <w:u w:color="000000"/>
      <w:bdr w:val="nil"/>
      <w:lang w:val="pt-PT"/>
    </w:rPr>
  </w:style>
  <w:style w:type="paragraph" w:customStyle="1" w:styleId="LegendaD">
    <w:name w:val="Legenda D"/>
    <w:link w:val="LegendaDChar"/>
    <w:qFormat/>
    <w:rsid w:val="000E4EF5"/>
    <w:pPr>
      <w:pBdr>
        <w:top w:val="nil"/>
        <w:left w:val="nil"/>
        <w:bottom w:val="nil"/>
        <w:right w:val="nil"/>
        <w:between w:val="nil"/>
        <w:bar w:val="nil"/>
      </w:pBdr>
      <w:spacing w:before="240" w:after="240" w:line="360" w:lineRule="auto"/>
      <w:jc w:val="center"/>
    </w:pPr>
    <w:rPr>
      <w:rFonts w:ascii="Arial" w:eastAsia="Arial" w:hAnsi="Arial" w:cs="Arial"/>
      <w:b/>
      <w:bCs/>
      <w:color w:val="000000"/>
      <w:sz w:val="20"/>
      <w:szCs w:val="20"/>
      <w:u w:color="000000"/>
      <w:bdr w:val="nil"/>
      <w:lang w:val="pt-PT"/>
    </w:rPr>
  </w:style>
  <w:style w:type="character" w:customStyle="1" w:styleId="LegendaDChar">
    <w:name w:val="Legenda D Char"/>
    <w:basedOn w:val="DefaultParagraphFont"/>
    <w:link w:val="LegendaD"/>
    <w:rsid w:val="000E4EF5"/>
    <w:rPr>
      <w:rFonts w:ascii="Arial" w:eastAsia="Arial" w:hAnsi="Arial" w:cs="Arial"/>
      <w:b/>
      <w:bCs/>
      <w:color w:val="000000"/>
      <w:sz w:val="20"/>
      <w:szCs w:val="20"/>
      <w:u w:color="000000"/>
      <w:bdr w:val="nil"/>
      <w:lang w:val="pt-PT"/>
    </w:rPr>
  </w:style>
  <w:style w:type="character" w:customStyle="1" w:styleId="Hyperlink0">
    <w:name w:val="Hyperlink.0"/>
    <w:basedOn w:val="apple-converted-space"/>
    <w:rsid w:val="000E4EF5"/>
    <w:rPr>
      <w:rFonts w:ascii="Arial" w:eastAsia="Arial" w:hAnsi="Arial" w:cs="Arial"/>
      <w:caps w:val="0"/>
      <w:smallCaps w:val="0"/>
      <w:strike w:val="0"/>
      <w:dstrike w:val="0"/>
      <w:outline w:val="0"/>
      <w:color w:val="000000"/>
      <w:spacing w:val="0"/>
      <w:kern w:val="0"/>
      <w:position w:val="0"/>
      <w:sz w:val="20"/>
      <w:szCs w:val="20"/>
      <w:u w:val="none" w:color="000000"/>
      <w:vertAlign w:val="baseline"/>
      <w:lang w:val="pt-PT"/>
    </w:rPr>
  </w:style>
  <w:style w:type="paragraph" w:customStyle="1" w:styleId="Fonte">
    <w:name w:val="Fonte"/>
    <w:link w:val="FonteChar"/>
    <w:qFormat/>
    <w:rsid w:val="000E4EF5"/>
    <w:pPr>
      <w:pBdr>
        <w:top w:val="nil"/>
        <w:left w:val="nil"/>
        <w:bottom w:val="nil"/>
        <w:right w:val="nil"/>
        <w:between w:val="nil"/>
        <w:bar w:val="nil"/>
      </w:pBdr>
      <w:spacing w:after="360"/>
      <w:ind w:left="709"/>
    </w:pPr>
    <w:rPr>
      <w:rFonts w:ascii="Times New Roman" w:eastAsia="Arial Unicode MS" w:hAnsi="Arial Unicode MS" w:cs="Arial Unicode MS"/>
      <w:color w:val="000000"/>
      <w:sz w:val="18"/>
      <w:szCs w:val="18"/>
      <w:u w:color="000000"/>
      <w:bdr w:val="nil"/>
      <w:lang w:val="pt-PT"/>
    </w:rPr>
  </w:style>
  <w:style w:type="character" w:customStyle="1" w:styleId="FonteChar">
    <w:name w:val="Fonte Char"/>
    <w:basedOn w:val="DefaultParagraphFont"/>
    <w:link w:val="Fonte"/>
    <w:rsid w:val="000E4EF5"/>
    <w:rPr>
      <w:rFonts w:ascii="Times New Roman" w:eastAsia="Arial Unicode MS" w:hAnsi="Arial Unicode MS" w:cs="Arial Unicode MS"/>
      <w:color w:val="000000"/>
      <w:sz w:val="18"/>
      <w:szCs w:val="18"/>
      <w:u w:color="000000"/>
      <w:bdr w:val="nil"/>
      <w:lang w:val="pt-PT"/>
    </w:rPr>
  </w:style>
  <w:style w:type="paragraph" w:customStyle="1" w:styleId="Default">
    <w:name w:val="Default"/>
    <w:rsid w:val="000E4EF5"/>
    <w:pPr>
      <w:pBdr>
        <w:top w:val="nil"/>
        <w:left w:val="nil"/>
        <w:bottom w:val="nil"/>
        <w:right w:val="nil"/>
        <w:between w:val="nil"/>
        <w:bar w:val="nil"/>
      </w:pBdr>
    </w:pPr>
    <w:rPr>
      <w:rFonts w:ascii="Helvetica" w:eastAsia="Helvetica" w:hAnsi="Helvetica" w:cs="Helvetica"/>
      <w:color w:val="000000"/>
      <w:sz w:val="22"/>
      <w:szCs w:val="22"/>
      <w:bdr w:val="nil"/>
    </w:rPr>
  </w:style>
  <w:style w:type="paragraph" w:customStyle="1" w:styleId="CitaoD">
    <w:name w:val="Citação D"/>
    <w:rsid w:val="000E4EF5"/>
    <w:pPr>
      <w:pBdr>
        <w:top w:val="nil"/>
        <w:left w:val="nil"/>
        <w:bottom w:val="nil"/>
        <w:right w:val="nil"/>
        <w:between w:val="nil"/>
        <w:bar w:val="nil"/>
      </w:pBdr>
      <w:spacing w:before="600" w:after="600"/>
      <w:ind w:left="2268"/>
      <w:jc w:val="both"/>
    </w:pPr>
    <w:rPr>
      <w:rFonts w:ascii="Times New Roman" w:eastAsia="Times New Roman" w:hAnsi="Times New Roman" w:cs="Times New Roman"/>
      <w:color w:val="000000"/>
      <w:sz w:val="20"/>
      <w:szCs w:val="20"/>
      <w:u w:color="000000"/>
      <w:bdr w:val="nil"/>
      <w:lang w:val="pt-PT"/>
    </w:rPr>
  </w:style>
  <w:style w:type="paragraph" w:customStyle="1" w:styleId="TituloI-monografia">
    <w:name w:val="Titulo I - monografia"/>
    <w:rsid w:val="000E4EF5"/>
    <w:pPr>
      <w:pBdr>
        <w:top w:val="nil"/>
        <w:left w:val="nil"/>
        <w:bottom w:val="nil"/>
        <w:right w:val="nil"/>
        <w:between w:val="nil"/>
        <w:bar w:val="nil"/>
      </w:pBdr>
      <w:spacing w:before="360" w:after="360"/>
      <w:ind w:left="142"/>
      <w:outlineLvl w:val="1"/>
    </w:pPr>
    <w:rPr>
      <w:rFonts w:ascii="Times New Roman" w:eastAsia="Times New Roman" w:hAnsi="Times New Roman" w:cs="Times New Roman"/>
      <w:b/>
      <w:bCs/>
      <w:color w:val="000000"/>
      <w:u w:color="000000"/>
      <w:bdr w:val="nil"/>
      <w:lang w:val="pt-PT"/>
    </w:rPr>
  </w:style>
  <w:style w:type="paragraph" w:customStyle="1" w:styleId="textomono">
    <w:name w:val="texto_mono"/>
    <w:rsid w:val="000E4EF5"/>
    <w:pPr>
      <w:pBdr>
        <w:top w:val="nil"/>
        <w:left w:val="nil"/>
        <w:bottom w:val="nil"/>
        <w:right w:val="nil"/>
        <w:between w:val="nil"/>
        <w:bar w:val="nil"/>
      </w:pBdr>
      <w:spacing w:line="360" w:lineRule="auto"/>
      <w:ind w:firstLine="1134"/>
      <w:jc w:val="both"/>
    </w:pPr>
    <w:rPr>
      <w:rFonts w:ascii="Arial" w:eastAsia="Arial Unicode MS" w:hAnsi="Arial Unicode MS" w:cs="Arial Unicode MS"/>
      <w:color w:val="000000"/>
      <w:u w:color="000000"/>
      <w:bdr w:val="nil"/>
      <w:lang w:val="pt-PT"/>
    </w:rPr>
  </w:style>
  <w:style w:type="paragraph" w:styleId="Footer">
    <w:name w:val="footer"/>
    <w:basedOn w:val="Normal"/>
    <w:link w:val="FooterChar"/>
    <w:uiPriority w:val="99"/>
    <w:unhideWhenUsed/>
    <w:rsid w:val="000E4EF5"/>
    <w:pPr>
      <w:tabs>
        <w:tab w:val="center" w:pos="4320"/>
        <w:tab w:val="right" w:pos="8640"/>
      </w:tabs>
    </w:pPr>
    <w:rPr>
      <w:lang w:val="en-US"/>
    </w:rPr>
  </w:style>
  <w:style w:type="character" w:customStyle="1" w:styleId="FooterChar">
    <w:name w:val="Footer Char"/>
    <w:basedOn w:val="DefaultParagraphFont"/>
    <w:link w:val="Footer"/>
    <w:uiPriority w:val="99"/>
    <w:rsid w:val="000E4EF5"/>
  </w:style>
  <w:style w:type="paragraph" w:styleId="Header">
    <w:name w:val="header"/>
    <w:basedOn w:val="Normal"/>
    <w:link w:val="HeaderChar"/>
    <w:uiPriority w:val="99"/>
    <w:unhideWhenUsed/>
    <w:rsid w:val="000E4EF5"/>
    <w:pPr>
      <w:tabs>
        <w:tab w:val="center" w:pos="4320"/>
        <w:tab w:val="right" w:pos="8640"/>
      </w:tabs>
    </w:pPr>
  </w:style>
  <w:style w:type="character" w:customStyle="1" w:styleId="HeaderChar">
    <w:name w:val="Header Char"/>
    <w:basedOn w:val="DefaultParagraphFont"/>
    <w:link w:val="Header"/>
    <w:uiPriority w:val="99"/>
    <w:rsid w:val="000E4EF5"/>
    <w:rPr>
      <w:lang w:val="pt-BR"/>
    </w:rPr>
  </w:style>
  <w:style w:type="paragraph" w:styleId="TOC1">
    <w:name w:val="toc 1"/>
    <w:basedOn w:val="Normal"/>
    <w:next w:val="Normal"/>
    <w:autoRedefine/>
    <w:uiPriority w:val="39"/>
    <w:unhideWhenUsed/>
    <w:rsid w:val="000E4EF5"/>
    <w:pPr>
      <w:spacing w:before="120"/>
    </w:pPr>
    <w:rPr>
      <w:b/>
    </w:rPr>
  </w:style>
  <w:style w:type="paragraph" w:styleId="TOC2">
    <w:name w:val="toc 2"/>
    <w:basedOn w:val="Normal"/>
    <w:next w:val="Normal"/>
    <w:autoRedefine/>
    <w:uiPriority w:val="39"/>
    <w:unhideWhenUsed/>
    <w:rsid w:val="000E4EF5"/>
    <w:pPr>
      <w:ind w:left="240"/>
    </w:pPr>
    <w:rPr>
      <w:b/>
      <w:sz w:val="22"/>
      <w:szCs w:val="22"/>
    </w:rPr>
  </w:style>
  <w:style w:type="paragraph" w:styleId="TOC3">
    <w:name w:val="toc 3"/>
    <w:basedOn w:val="Normal"/>
    <w:next w:val="Normal"/>
    <w:autoRedefine/>
    <w:uiPriority w:val="39"/>
    <w:unhideWhenUsed/>
    <w:rsid w:val="000E4EF5"/>
    <w:pPr>
      <w:ind w:left="480"/>
    </w:pPr>
    <w:rPr>
      <w:sz w:val="22"/>
      <w:szCs w:val="22"/>
    </w:rPr>
  </w:style>
  <w:style w:type="paragraph" w:styleId="TOC4">
    <w:name w:val="toc 4"/>
    <w:basedOn w:val="Normal"/>
    <w:next w:val="Normal"/>
    <w:autoRedefine/>
    <w:uiPriority w:val="39"/>
    <w:unhideWhenUsed/>
    <w:rsid w:val="000E4EF5"/>
    <w:pPr>
      <w:ind w:left="720"/>
    </w:pPr>
    <w:rPr>
      <w:sz w:val="20"/>
      <w:szCs w:val="20"/>
    </w:rPr>
  </w:style>
  <w:style w:type="paragraph" w:styleId="TOC5">
    <w:name w:val="toc 5"/>
    <w:basedOn w:val="Normal"/>
    <w:next w:val="Normal"/>
    <w:autoRedefine/>
    <w:uiPriority w:val="39"/>
    <w:unhideWhenUsed/>
    <w:rsid w:val="000E4EF5"/>
    <w:pPr>
      <w:ind w:left="960"/>
    </w:pPr>
    <w:rPr>
      <w:sz w:val="20"/>
      <w:szCs w:val="20"/>
    </w:rPr>
  </w:style>
  <w:style w:type="paragraph" w:styleId="TOC6">
    <w:name w:val="toc 6"/>
    <w:basedOn w:val="Normal"/>
    <w:next w:val="Normal"/>
    <w:autoRedefine/>
    <w:uiPriority w:val="39"/>
    <w:unhideWhenUsed/>
    <w:rsid w:val="000E4EF5"/>
    <w:pPr>
      <w:ind w:left="1200"/>
    </w:pPr>
    <w:rPr>
      <w:sz w:val="20"/>
      <w:szCs w:val="20"/>
    </w:rPr>
  </w:style>
  <w:style w:type="paragraph" w:styleId="TOC7">
    <w:name w:val="toc 7"/>
    <w:basedOn w:val="Normal"/>
    <w:next w:val="Normal"/>
    <w:autoRedefine/>
    <w:uiPriority w:val="39"/>
    <w:unhideWhenUsed/>
    <w:rsid w:val="000E4EF5"/>
    <w:pPr>
      <w:ind w:left="1440"/>
    </w:pPr>
    <w:rPr>
      <w:sz w:val="20"/>
      <w:szCs w:val="20"/>
    </w:rPr>
  </w:style>
  <w:style w:type="paragraph" w:styleId="TOC8">
    <w:name w:val="toc 8"/>
    <w:basedOn w:val="Normal"/>
    <w:next w:val="Normal"/>
    <w:autoRedefine/>
    <w:uiPriority w:val="39"/>
    <w:unhideWhenUsed/>
    <w:rsid w:val="000E4EF5"/>
    <w:pPr>
      <w:ind w:left="1680"/>
    </w:pPr>
    <w:rPr>
      <w:sz w:val="20"/>
      <w:szCs w:val="20"/>
    </w:rPr>
  </w:style>
  <w:style w:type="paragraph" w:styleId="TOC9">
    <w:name w:val="toc 9"/>
    <w:basedOn w:val="Normal"/>
    <w:next w:val="Normal"/>
    <w:autoRedefine/>
    <w:uiPriority w:val="39"/>
    <w:unhideWhenUsed/>
    <w:rsid w:val="000E4EF5"/>
    <w:pPr>
      <w:ind w:left="1920"/>
    </w:pPr>
    <w:rPr>
      <w:sz w:val="20"/>
      <w:szCs w:val="20"/>
    </w:rPr>
  </w:style>
  <w:style w:type="character" w:styleId="Emphasis">
    <w:name w:val="Emphasis"/>
    <w:basedOn w:val="DefaultParagraphFont"/>
    <w:uiPriority w:val="20"/>
    <w:qFormat/>
    <w:rsid w:val="000E4EF5"/>
    <w:rPr>
      <w:i/>
      <w:iCs/>
    </w:rPr>
  </w:style>
  <w:style w:type="paragraph" w:customStyle="1" w:styleId="head-3d">
    <w:name w:val="head-3 d"/>
    <w:basedOn w:val="Texto-d"/>
    <w:qFormat/>
    <w:rsid w:val="0080192C"/>
    <w:pPr>
      <w:spacing w:before="240"/>
      <w:ind w:firstLine="1009"/>
    </w:pPr>
    <w:rPr>
      <w:i/>
    </w:rPr>
  </w:style>
  <w:style w:type="paragraph" w:styleId="TOCHeading">
    <w:name w:val="TOC Heading"/>
    <w:basedOn w:val="Heading1"/>
    <w:next w:val="Normal"/>
    <w:uiPriority w:val="39"/>
    <w:unhideWhenUsed/>
    <w:qFormat/>
    <w:rsid w:val="000E4EF5"/>
    <w:pPr>
      <w:spacing w:line="276" w:lineRule="auto"/>
      <w:outlineLvl w:val="9"/>
    </w:pPr>
    <w:rPr>
      <w:color w:val="365F91" w:themeColor="accent1" w:themeShade="BF"/>
      <w:sz w:val="28"/>
      <w:szCs w:val="28"/>
      <w:lang w:val="en-US"/>
    </w:rPr>
  </w:style>
  <w:style w:type="character" w:customStyle="1" w:styleId="apple-style-span">
    <w:name w:val="apple-style-span"/>
    <w:basedOn w:val="DefaultParagraphFont"/>
    <w:rsid w:val="000E4EF5"/>
  </w:style>
  <w:style w:type="paragraph" w:customStyle="1" w:styleId="Tabela">
    <w:name w:val="Tabela"/>
    <w:basedOn w:val="Normal"/>
    <w:autoRedefine/>
    <w:qFormat/>
    <w:rsid w:val="000E4EF5"/>
    <w:pPr>
      <w:jc w:val="center"/>
    </w:pPr>
    <w:rPr>
      <w:rFonts w:ascii="Times New Roman" w:eastAsia="Calibri" w:hAnsi="Times New Roman" w:cs="Times New Roman"/>
      <w:sz w:val="18"/>
      <w:szCs w:val="18"/>
      <w:lang w:val="en-US"/>
    </w:rPr>
  </w:style>
  <w:style w:type="paragraph" w:customStyle="1" w:styleId="direct">
    <w:name w:val="direct"/>
    <w:basedOn w:val="Texto-d"/>
    <w:qFormat/>
    <w:rsid w:val="000E4EF5"/>
    <w:pPr>
      <w:spacing w:before="360" w:after="360" w:line="240" w:lineRule="auto"/>
      <w:ind w:left="2606" w:firstLine="0"/>
    </w:pPr>
    <w:rPr>
      <w:szCs w:val="22"/>
    </w:rPr>
  </w:style>
  <w:style w:type="paragraph" w:styleId="EndnoteText">
    <w:name w:val="endnote text"/>
    <w:basedOn w:val="Normal"/>
    <w:link w:val="EndnoteTextChar"/>
    <w:uiPriority w:val="99"/>
    <w:unhideWhenUsed/>
    <w:rsid w:val="000E4EF5"/>
  </w:style>
  <w:style w:type="character" w:customStyle="1" w:styleId="EndnoteTextChar">
    <w:name w:val="Endnote Text Char"/>
    <w:basedOn w:val="DefaultParagraphFont"/>
    <w:link w:val="EndnoteText"/>
    <w:uiPriority w:val="99"/>
    <w:rsid w:val="000E4EF5"/>
    <w:rPr>
      <w:lang w:val="pt-BR"/>
    </w:rPr>
  </w:style>
  <w:style w:type="character" w:styleId="EndnoteReference">
    <w:name w:val="endnote reference"/>
    <w:basedOn w:val="DefaultParagraphFont"/>
    <w:uiPriority w:val="99"/>
    <w:unhideWhenUsed/>
    <w:rsid w:val="000E4EF5"/>
    <w:rPr>
      <w:vertAlign w:val="superscript"/>
    </w:rPr>
  </w:style>
  <w:style w:type="paragraph" w:customStyle="1" w:styleId="title3">
    <w:name w:val="title 3"/>
    <w:basedOn w:val="title2di"/>
    <w:qFormat/>
    <w:rsid w:val="000E4EF5"/>
    <w:pPr>
      <w:numPr>
        <w:ilvl w:val="0"/>
        <w:numId w:val="0"/>
      </w:numPr>
      <w:ind w:left="360"/>
    </w:pPr>
  </w:style>
  <w:style w:type="paragraph" w:styleId="TableofFigures">
    <w:name w:val="table of figures"/>
    <w:basedOn w:val="Normal"/>
    <w:next w:val="Normal"/>
    <w:uiPriority w:val="99"/>
    <w:unhideWhenUsed/>
    <w:rsid w:val="000E4EF5"/>
    <w:pPr>
      <w:ind w:left="480" w:hanging="480"/>
    </w:pPr>
    <w:rPr>
      <w:caps/>
      <w:sz w:val="20"/>
      <w:szCs w:val="20"/>
    </w:rPr>
  </w:style>
  <w:style w:type="paragraph" w:styleId="Index1">
    <w:name w:val="index 1"/>
    <w:basedOn w:val="Normal"/>
    <w:next w:val="Normal"/>
    <w:autoRedefine/>
    <w:uiPriority w:val="99"/>
    <w:unhideWhenUsed/>
    <w:rsid w:val="000E4EF5"/>
    <w:pPr>
      <w:ind w:left="240" w:hanging="240"/>
    </w:pPr>
    <w:rPr>
      <w:sz w:val="18"/>
      <w:szCs w:val="18"/>
    </w:rPr>
  </w:style>
  <w:style w:type="paragraph" w:styleId="Index2">
    <w:name w:val="index 2"/>
    <w:basedOn w:val="Normal"/>
    <w:next w:val="Normal"/>
    <w:autoRedefine/>
    <w:uiPriority w:val="99"/>
    <w:unhideWhenUsed/>
    <w:rsid w:val="000E4EF5"/>
    <w:pPr>
      <w:ind w:left="480" w:hanging="240"/>
    </w:pPr>
    <w:rPr>
      <w:sz w:val="18"/>
      <w:szCs w:val="18"/>
    </w:rPr>
  </w:style>
  <w:style w:type="paragraph" w:styleId="Index3">
    <w:name w:val="index 3"/>
    <w:basedOn w:val="Normal"/>
    <w:next w:val="Normal"/>
    <w:autoRedefine/>
    <w:uiPriority w:val="99"/>
    <w:unhideWhenUsed/>
    <w:rsid w:val="000E4EF5"/>
    <w:pPr>
      <w:ind w:left="720" w:hanging="240"/>
    </w:pPr>
    <w:rPr>
      <w:sz w:val="18"/>
      <w:szCs w:val="18"/>
    </w:rPr>
  </w:style>
  <w:style w:type="paragraph" w:styleId="Index4">
    <w:name w:val="index 4"/>
    <w:basedOn w:val="Normal"/>
    <w:next w:val="Normal"/>
    <w:autoRedefine/>
    <w:uiPriority w:val="99"/>
    <w:unhideWhenUsed/>
    <w:rsid w:val="000E4EF5"/>
    <w:pPr>
      <w:ind w:left="960" w:hanging="240"/>
    </w:pPr>
    <w:rPr>
      <w:sz w:val="18"/>
      <w:szCs w:val="18"/>
    </w:rPr>
  </w:style>
  <w:style w:type="paragraph" w:styleId="Index5">
    <w:name w:val="index 5"/>
    <w:basedOn w:val="Normal"/>
    <w:next w:val="Normal"/>
    <w:autoRedefine/>
    <w:uiPriority w:val="99"/>
    <w:unhideWhenUsed/>
    <w:rsid w:val="000E4EF5"/>
    <w:pPr>
      <w:ind w:left="1200" w:hanging="240"/>
    </w:pPr>
    <w:rPr>
      <w:sz w:val="18"/>
      <w:szCs w:val="18"/>
    </w:rPr>
  </w:style>
  <w:style w:type="paragraph" w:styleId="Index6">
    <w:name w:val="index 6"/>
    <w:basedOn w:val="Normal"/>
    <w:next w:val="Normal"/>
    <w:autoRedefine/>
    <w:uiPriority w:val="99"/>
    <w:unhideWhenUsed/>
    <w:rsid w:val="000E4EF5"/>
    <w:pPr>
      <w:ind w:left="1440" w:hanging="240"/>
    </w:pPr>
    <w:rPr>
      <w:sz w:val="18"/>
      <w:szCs w:val="18"/>
    </w:rPr>
  </w:style>
  <w:style w:type="paragraph" w:styleId="Index7">
    <w:name w:val="index 7"/>
    <w:basedOn w:val="Normal"/>
    <w:next w:val="Normal"/>
    <w:autoRedefine/>
    <w:uiPriority w:val="99"/>
    <w:unhideWhenUsed/>
    <w:rsid w:val="000E4EF5"/>
    <w:pPr>
      <w:ind w:left="1680" w:hanging="240"/>
    </w:pPr>
    <w:rPr>
      <w:sz w:val="18"/>
      <w:szCs w:val="18"/>
    </w:rPr>
  </w:style>
  <w:style w:type="paragraph" w:styleId="Index8">
    <w:name w:val="index 8"/>
    <w:basedOn w:val="Normal"/>
    <w:next w:val="Normal"/>
    <w:autoRedefine/>
    <w:uiPriority w:val="99"/>
    <w:unhideWhenUsed/>
    <w:rsid w:val="000E4EF5"/>
    <w:pPr>
      <w:ind w:left="1920" w:hanging="240"/>
    </w:pPr>
    <w:rPr>
      <w:sz w:val="18"/>
      <w:szCs w:val="18"/>
    </w:rPr>
  </w:style>
  <w:style w:type="paragraph" w:styleId="Index9">
    <w:name w:val="index 9"/>
    <w:basedOn w:val="Normal"/>
    <w:next w:val="Normal"/>
    <w:autoRedefine/>
    <w:uiPriority w:val="99"/>
    <w:unhideWhenUsed/>
    <w:rsid w:val="000E4EF5"/>
    <w:pPr>
      <w:ind w:left="2160" w:hanging="240"/>
    </w:pPr>
    <w:rPr>
      <w:sz w:val="18"/>
      <w:szCs w:val="18"/>
    </w:rPr>
  </w:style>
  <w:style w:type="paragraph" w:styleId="IndexHeading">
    <w:name w:val="index heading"/>
    <w:basedOn w:val="Normal"/>
    <w:next w:val="Index1"/>
    <w:uiPriority w:val="99"/>
    <w:unhideWhenUsed/>
    <w:rsid w:val="000E4EF5"/>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sz w:val="22"/>
      <w:szCs w:val="22"/>
    </w:rPr>
  </w:style>
  <w:style w:type="paragraph" w:customStyle="1" w:styleId="Style2">
    <w:name w:val="Style2"/>
    <w:basedOn w:val="title1-d"/>
    <w:qFormat/>
    <w:rsid w:val="000E4EF5"/>
    <w:pPr>
      <w:numPr>
        <w:numId w:val="0"/>
      </w:numPr>
      <w:spacing w:line="240" w:lineRule="auto"/>
      <w:ind w:left="4234"/>
    </w:pPr>
    <w:rPr>
      <w:b w:val="0"/>
      <w:bCs w:val="0"/>
      <w:smallCaps w:val="0"/>
      <w:sz w:val="24"/>
      <w:szCs w:val="24"/>
    </w:rPr>
  </w:style>
  <w:style w:type="paragraph" w:customStyle="1" w:styleId="xx">
    <w:name w:val="xx"/>
    <w:basedOn w:val="text-d"/>
    <w:qFormat/>
    <w:rsid w:val="002C13FE"/>
    <w:pPr>
      <w:numPr>
        <w:numId w:val="5"/>
      </w:numPr>
      <w:spacing w:before="240" w:after="360"/>
      <w:ind w:firstLine="1008"/>
      <w:contextualSpacing/>
    </w:pPr>
    <w:rPr>
      <w:rFonts w:eastAsiaTheme="minorHAnsi"/>
      <w:b/>
      <w:smallCaps/>
      <w:szCs w:val="22"/>
    </w:rPr>
  </w:style>
  <w:style w:type="character" w:styleId="CommentReference">
    <w:name w:val="annotation reference"/>
    <w:basedOn w:val="DefaultParagraphFont"/>
    <w:uiPriority w:val="99"/>
    <w:semiHidden/>
    <w:unhideWhenUsed/>
    <w:rsid w:val="00845104"/>
    <w:rPr>
      <w:sz w:val="18"/>
      <w:szCs w:val="18"/>
    </w:rPr>
  </w:style>
  <w:style w:type="character" w:styleId="PlaceholderText">
    <w:name w:val="Placeholder Text"/>
    <w:basedOn w:val="DefaultParagraphFont"/>
    <w:uiPriority w:val="99"/>
    <w:semiHidden/>
    <w:rsid w:val="0013141A"/>
    <w:rPr>
      <w:color w:val="808080"/>
    </w:rPr>
  </w:style>
  <w:style w:type="paragraph" w:styleId="Revision">
    <w:name w:val="Revision"/>
    <w:hidden/>
    <w:uiPriority w:val="99"/>
    <w:semiHidden/>
    <w:rsid w:val="00122D1C"/>
    <w:rPr>
      <w:lang w:val="pt-BR"/>
    </w:rPr>
  </w:style>
  <w:style w:type="paragraph" w:customStyle="1" w:styleId="Authors">
    <w:name w:val="Authors"/>
    <w:basedOn w:val="Normal"/>
    <w:rsid w:val="00F75D52"/>
    <w:pPr>
      <w:keepNext/>
      <w:spacing w:before="120" w:after="720"/>
      <w:jc w:val="center"/>
    </w:pPr>
    <w:rPr>
      <w:rFonts w:ascii="Times New Roman" w:eastAsia="Times New Roman" w:hAnsi="Times New Roman" w:cs="Times New Roman"/>
      <w:i/>
      <w:lang w:val="en-GB" w:eastAsia="da-DK"/>
    </w:rPr>
  </w:style>
  <w:style w:type="paragraph" w:customStyle="1" w:styleId="Title1">
    <w:name w:val="Title1"/>
    <w:basedOn w:val="Normal"/>
    <w:next w:val="Normal"/>
    <w:rsid w:val="00F75D52"/>
    <w:pPr>
      <w:spacing w:before="360" w:after="120"/>
      <w:jc w:val="center"/>
    </w:pPr>
    <w:rPr>
      <w:rFonts w:ascii="Times New Roman" w:eastAsia="Times New Roman" w:hAnsi="Times New Roman" w:cs="Times New Roman"/>
      <w:b/>
      <w:smallCaps/>
      <w:sz w:val="28"/>
      <w:lang w:val="en-GB"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4524D-C927-4648-BD44-90FE95354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20</Pages>
  <Words>28521</Words>
  <Characters>156296</Characters>
  <Application>Microsoft Macintosh Word</Application>
  <DocSecurity>0</DocSecurity>
  <Lines>4007</Lines>
  <Paragraphs>2253</Paragraphs>
  <ScaleCrop>false</ScaleCrop>
  <HeadingPairs>
    <vt:vector size="2" baseType="variant">
      <vt:variant>
        <vt:lpstr>Title</vt:lpstr>
      </vt:variant>
      <vt:variant>
        <vt:i4>1</vt:i4>
      </vt:variant>
    </vt:vector>
  </HeadingPairs>
  <TitlesOfParts>
    <vt:vector size="1" baseType="lpstr">
      <vt:lpstr/>
    </vt:vector>
  </TitlesOfParts>
  <Company>Unicamp</Company>
  <LinksUpToDate>false</LinksUpToDate>
  <CharactersWithSpaces>182564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Ricardo Oliveira</dc:creator>
  <cp:keywords/>
  <dc:description/>
  <cp:lastModifiedBy>Paulo Ricardo Oliveira</cp:lastModifiedBy>
  <cp:revision>84</cp:revision>
  <cp:lastPrinted>2016-05-30T20:27:00Z</cp:lastPrinted>
  <dcterms:created xsi:type="dcterms:W3CDTF">2016-07-19T23:14:00Z</dcterms:created>
  <dcterms:modified xsi:type="dcterms:W3CDTF">2016-07-20T15:40:00Z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oliveira.prs@gmail.com@www.mendeley.com</vt:lpwstr>
  </property>
  <property fmtid="{D5CDD505-2E9C-101B-9397-08002B2CF9AE}" pid="4" name="Mendeley Citation Style_1">
    <vt:lpwstr>http://www.zotero.org/styles/associacao-brasileira-de-normas-tecnicas-ipea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http://www.zotero.org/styles/associacao-brasileira-de-normas-tecnicas-note</vt:lpwstr>
  </property>
  <property fmtid="{D5CDD505-2E9C-101B-9397-08002B2CF9AE}" pid="14" name="Mendeley Recent Style Name 4_1">
    <vt:lpwstr>Associação Brasileira de Normas Técnicas (note, Portuguese - Brazil)</vt:lpwstr>
  </property>
  <property fmtid="{D5CDD505-2E9C-101B-9397-08002B2CF9AE}" pid="15" name="Mendeley Recent Style Id 5_1">
    <vt:lpwstr>http://www.zotero.org/styles/associacao-brasileira-de-normas-tecnicas-usp-fmvz</vt:lpwstr>
  </property>
  <property fmtid="{D5CDD505-2E9C-101B-9397-08002B2CF9AE}" pid="16" name="Mendeley Recent Style Name 5_1">
    <vt:lpwstr>Associação Brasileira de Normas Técnicas - Faculdade de Medicina Veterinária e Zootecnia - USP (Portuguese - Brazil)</vt:lpwstr>
  </property>
  <property fmtid="{D5CDD505-2E9C-101B-9397-08002B2CF9AE}" pid="17" name="Mendeley Recent Style Id 6_1">
    <vt:lpwstr>http://www.zotero.org/styles/associacao-brasileira-de-normas-tecnicas-ipea</vt:lpwstr>
  </property>
  <property fmtid="{D5CDD505-2E9C-101B-9397-08002B2CF9AE}" pid="18" name="Mendeley Recent Style Name 6_1">
    <vt:lpwstr>Associação Brasileira de Normas Técnicas - Instituto de Pesquisa Econômica Aplicada (Portuguese - Brazil)</vt:lpwstr>
  </property>
  <property fmtid="{D5CDD505-2E9C-101B-9397-08002B2CF9AE}" pid="19" name="Mendeley Recent Style Id 7_1">
    <vt:lpwstr>http://www.zotero.org/styles/associacao-brasileira-de-normas-tecnicas-ufmg-face-full</vt:lpwstr>
  </property>
  <property fmtid="{D5CDD505-2E9C-101B-9397-08002B2CF9AE}" pid="20" name="Mendeley Recent Style Name 7_1">
    <vt:lpwstr>Associação Brasileira de Normas Técnicas - Universidade Federal de Minas Gerais - FACE (Autoria completa. Exemplo: MENDES, José) (Portuguese - Brazil)</vt:lpwstr>
  </property>
  <property fmtid="{D5CDD505-2E9C-101B-9397-08002B2CF9AE}" pid="21" name="Mendeley Recent Style Id 8_1">
    <vt:lpwstr>http://www.zotero.org/styles/chicago-author-date</vt:lpwstr>
  </property>
  <property fmtid="{D5CDD505-2E9C-101B-9397-08002B2CF9AE}" pid="22" name="Mendeley Recent Style Name 8_1">
    <vt:lpwstr>Chicago Manual of Style 16th edition (author-date)</vt:lpwstr>
  </property>
  <property fmtid="{D5CDD505-2E9C-101B-9397-08002B2CF9AE}" pid="23" name="Mendeley Recent Style Id 9_1">
    <vt:lpwstr>http://www.zotero.org/styles/chicago-fullnote-bibliography</vt:lpwstr>
  </property>
  <property fmtid="{D5CDD505-2E9C-101B-9397-08002B2CF9AE}" pid="24" name="Mendeley Recent Style Name 9_1">
    <vt:lpwstr>Chicago Manual of Style 16th edition (full note)</vt:lpwstr>
  </property>
</Properties>
</file>